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377" w:rsidRPr="00BE36D3" w:rsidRDefault="00571ABA" w:rsidP="00CC548E">
      <w:pPr>
        <w:spacing w:line="240" w:lineRule="auto"/>
        <w:contextualSpacing/>
        <w:jc w:val="center"/>
        <w:rPr>
          <w:rFonts w:ascii="Arial" w:hAnsi="Arial" w:cs="Arial"/>
          <w:b/>
        </w:rPr>
      </w:pPr>
      <w:bookmarkStart w:id="0" w:name="_Hlk41061258"/>
      <w:bookmarkStart w:id="1" w:name="_GoBack"/>
      <w:bookmarkEnd w:id="0"/>
      <w:bookmarkEnd w:id="1"/>
      <w:r w:rsidRPr="00BE36D3">
        <w:rPr>
          <w:rFonts w:ascii="Arial" w:hAnsi="Arial" w:cs="Arial"/>
          <w:b/>
        </w:rPr>
        <w:t xml:space="preserve">INFORME DE </w:t>
      </w:r>
      <w:r w:rsidR="00E94523">
        <w:rPr>
          <w:rFonts w:ascii="Arial" w:hAnsi="Arial" w:cs="Arial"/>
          <w:b/>
        </w:rPr>
        <w:t>DIAGNÓSTICO</w:t>
      </w:r>
    </w:p>
    <w:p w:rsidR="00BC3289" w:rsidRPr="00BE36D3" w:rsidRDefault="008F6377" w:rsidP="00CC548E">
      <w:pPr>
        <w:spacing w:line="240" w:lineRule="auto"/>
        <w:contextualSpacing/>
        <w:jc w:val="center"/>
        <w:rPr>
          <w:rFonts w:ascii="Arial" w:hAnsi="Arial" w:cs="Arial"/>
          <w:b/>
        </w:rPr>
      </w:pPr>
      <w:r w:rsidRPr="00BE36D3">
        <w:rPr>
          <w:rFonts w:ascii="Arial" w:hAnsi="Arial" w:cs="Arial"/>
          <w:b/>
          <w:bCs/>
        </w:rPr>
        <w:t>PARTICIPACIÓN DE PROPÓSITO GENERAL</w:t>
      </w:r>
    </w:p>
    <w:p w:rsidR="00571ABA" w:rsidRPr="00BE36D3" w:rsidRDefault="00571ABA" w:rsidP="00CC548E">
      <w:pPr>
        <w:spacing w:line="240" w:lineRule="auto"/>
        <w:contextualSpacing/>
        <w:jc w:val="center"/>
        <w:rPr>
          <w:rFonts w:ascii="Arial" w:hAnsi="Arial" w:cs="Arial"/>
          <w:b/>
          <w:bCs/>
        </w:rPr>
      </w:pPr>
      <w:r w:rsidRPr="00BE36D3">
        <w:rPr>
          <w:rFonts w:ascii="Arial" w:hAnsi="Arial" w:cs="Arial"/>
          <w:b/>
          <w:bCs/>
        </w:rPr>
        <w:t>MUNICIPIO DE SANTIAGO DE TOLÚ</w:t>
      </w:r>
      <w:r w:rsidR="15EB08DF" w:rsidRPr="00BE36D3">
        <w:rPr>
          <w:rFonts w:ascii="Arial" w:hAnsi="Arial" w:cs="Arial"/>
          <w:b/>
          <w:bCs/>
        </w:rPr>
        <w:t xml:space="preserve"> </w:t>
      </w:r>
      <w:r w:rsidRPr="00BE36D3">
        <w:rPr>
          <w:rFonts w:ascii="Arial" w:hAnsi="Arial" w:cs="Arial"/>
          <w:b/>
          <w:bCs/>
        </w:rPr>
        <w:t>-</w:t>
      </w:r>
      <w:r w:rsidR="6D1660D8" w:rsidRPr="00BE36D3">
        <w:rPr>
          <w:rFonts w:ascii="Arial" w:hAnsi="Arial" w:cs="Arial"/>
          <w:b/>
          <w:bCs/>
        </w:rPr>
        <w:t xml:space="preserve"> </w:t>
      </w:r>
      <w:r w:rsidRPr="00BE36D3">
        <w:rPr>
          <w:rFonts w:ascii="Arial" w:hAnsi="Arial" w:cs="Arial"/>
          <w:b/>
          <w:bCs/>
        </w:rPr>
        <w:t>DEPARTAMENTO DE SUCRE</w:t>
      </w:r>
    </w:p>
    <w:p w:rsidR="00571ABA" w:rsidRPr="00BE36D3" w:rsidRDefault="00571ABA" w:rsidP="00CC548E">
      <w:pPr>
        <w:spacing w:line="240" w:lineRule="auto"/>
        <w:contextualSpacing/>
        <w:jc w:val="center"/>
        <w:rPr>
          <w:rFonts w:ascii="Arial" w:hAnsi="Arial" w:cs="Arial"/>
          <w:b/>
          <w:bCs/>
        </w:rPr>
      </w:pPr>
    </w:p>
    <w:tbl>
      <w:tblPr>
        <w:tblStyle w:val="Tablaconcuadrcula"/>
        <w:tblW w:w="0" w:type="auto"/>
        <w:shd w:val="clear" w:color="auto" w:fill="D9E2F3" w:themeFill="accent1" w:themeFillTint="33"/>
        <w:tblLayout w:type="fixed"/>
        <w:tblLook w:val="04A0" w:firstRow="1" w:lastRow="0" w:firstColumn="1" w:lastColumn="0" w:noHBand="0" w:noVBand="1"/>
      </w:tblPr>
      <w:tblGrid>
        <w:gridCol w:w="4419"/>
        <w:gridCol w:w="4419"/>
      </w:tblGrid>
      <w:tr w:rsidR="7B8004BE" w:rsidRPr="0009074C" w:rsidTr="0A442F2E">
        <w:tc>
          <w:tcPr>
            <w:tcW w:w="4419" w:type="dxa"/>
            <w:shd w:val="clear" w:color="auto" w:fill="D9E2F3" w:themeFill="accent1" w:themeFillTint="33"/>
          </w:tcPr>
          <w:p w:rsidR="7B8004BE" w:rsidRPr="00654B96" w:rsidRDefault="7B8004BE" w:rsidP="00CC548E">
            <w:pPr>
              <w:contextualSpacing/>
              <w:rPr>
                <w:rFonts w:ascii="Arial" w:hAnsi="Arial" w:cs="Arial"/>
                <w:b/>
                <w:bCs/>
                <w:sz w:val="20"/>
                <w:szCs w:val="20"/>
              </w:rPr>
            </w:pPr>
            <w:r w:rsidRPr="00654B96">
              <w:rPr>
                <w:rFonts w:ascii="Arial" w:eastAsia="Arial" w:hAnsi="Arial" w:cs="Arial"/>
                <w:b/>
                <w:bCs/>
                <w:i/>
                <w:iCs/>
                <w:sz w:val="20"/>
                <w:szCs w:val="20"/>
                <w:lang w:val="es"/>
              </w:rPr>
              <w:t>Número de Expediente</w:t>
            </w:r>
          </w:p>
        </w:tc>
        <w:tc>
          <w:tcPr>
            <w:tcW w:w="4419" w:type="dxa"/>
            <w:shd w:val="clear" w:color="auto" w:fill="D9E2F3" w:themeFill="accent1" w:themeFillTint="33"/>
          </w:tcPr>
          <w:p w:rsidR="7B8004BE" w:rsidRPr="00654B96" w:rsidRDefault="7C54DCAA" w:rsidP="00CC548E">
            <w:pPr>
              <w:contextualSpacing/>
              <w:rPr>
                <w:rFonts w:ascii="Arial" w:hAnsi="Arial" w:cs="Arial"/>
                <w:sz w:val="20"/>
                <w:szCs w:val="20"/>
              </w:rPr>
            </w:pPr>
            <w:r w:rsidRPr="00654B96">
              <w:rPr>
                <w:rFonts w:ascii="Arial" w:eastAsia="Arial" w:hAnsi="Arial" w:cs="Arial"/>
                <w:sz w:val="20"/>
                <w:szCs w:val="20"/>
                <w:lang w:val="es"/>
              </w:rPr>
              <w:t>6</w:t>
            </w:r>
            <w:r w:rsidR="7B8004BE" w:rsidRPr="00654B96">
              <w:rPr>
                <w:rFonts w:ascii="Arial" w:eastAsia="Arial" w:hAnsi="Arial" w:cs="Arial"/>
                <w:sz w:val="20"/>
                <w:szCs w:val="20"/>
                <w:lang w:val="es"/>
              </w:rPr>
              <w:t>/202</w:t>
            </w:r>
            <w:r w:rsidR="16B17FEE" w:rsidRPr="00654B96">
              <w:rPr>
                <w:rFonts w:ascii="Arial" w:eastAsia="Arial" w:hAnsi="Arial" w:cs="Arial"/>
                <w:sz w:val="20"/>
                <w:szCs w:val="20"/>
                <w:lang w:val="es"/>
              </w:rPr>
              <w:t>1</w:t>
            </w:r>
            <w:r w:rsidR="7B8004BE" w:rsidRPr="00654B96">
              <w:rPr>
                <w:rFonts w:ascii="Arial" w:eastAsia="Arial" w:hAnsi="Arial" w:cs="Arial"/>
                <w:sz w:val="20"/>
                <w:szCs w:val="20"/>
                <w:lang w:val="es"/>
              </w:rPr>
              <w:t>/D028-PREDI</w:t>
            </w:r>
          </w:p>
        </w:tc>
      </w:tr>
      <w:tr w:rsidR="7B8004BE" w:rsidRPr="0009074C" w:rsidTr="0A442F2E">
        <w:tc>
          <w:tcPr>
            <w:tcW w:w="4419" w:type="dxa"/>
            <w:shd w:val="clear" w:color="auto" w:fill="D9E2F3" w:themeFill="accent1" w:themeFillTint="33"/>
          </w:tcPr>
          <w:p w:rsidR="7B8004BE" w:rsidRPr="00654B96" w:rsidRDefault="7B8004BE" w:rsidP="00CC548E">
            <w:pPr>
              <w:contextualSpacing/>
              <w:rPr>
                <w:rFonts w:ascii="Arial" w:hAnsi="Arial" w:cs="Arial"/>
                <w:b/>
                <w:bCs/>
                <w:sz w:val="20"/>
                <w:szCs w:val="20"/>
              </w:rPr>
            </w:pPr>
            <w:r w:rsidRPr="00654B96">
              <w:rPr>
                <w:rFonts w:ascii="Arial" w:eastAsia="Arial" w:hAnsi="Arial" w:cs="Arial"/>
                <w:b/>
                <w:bCs/>
                <w:i/>
                <w:iCs/>
                <w:sz w:val="20"/>
                <w:szCs w:val="20"/>
                <w:lang w:val="es"/>
              </w:rPr>
              <w:t>Sector</w:t>
            </w:r>
          </w:p>
        </w:tc>
        <w:tc>
          <w:tcPr>
            <w:tcW w:w="4419" w:type="dxa"/>
            <w:shd w:val="clear" w:color="auto" w:fill="D9E2F3" w:themeFill="accent1" w:themeFillTint="33"/>
          </w:tcPr>
          <w:p w:rsidR="7B8004BE" w:rsidRPr="00654B96" w:rsidRDefault="7B8004BE" w:rsidP="00CC548E">
            <w:pPr>
              <w:contextualSpacing/>
              <w:rPr>
                <w:rFonts w:ascii="Arial" w:hAnsi="Arial" w:cs="Arial"/>
                <w:sz w:val="20"/>
                <w:szCs w:val="20"/>
              </w:rPr>
            </w:pPr>
            <w:r w:rsidRPr="00654B96">
              <w:rPr>
                <w:rFonts w:ascii="Arial" w:eastAsia="Arial" w:hAnsi="Arial" w:cs="Arial"/>
                <w:sz w:val="20"/>
                <w:szCs w:val="20"/>
                <w:lang w:val="es"/>
              </w:rPr>
              <w:t xml:space="preserve">Propósito General </w:t>
            </w:r>
          </w:p>
        </w:tc>
      </w:tr>
      <w:tr w:rsidR="7B8004BE" w:rsidRPr="0009074C" w:rsidTr="0A442F2E">
        <w:tc>
          <w:tcPr>
            <w:tcW w:w="4419" w:type="dxa"/>
            <w:shd w:val="clear" w:color="auto" w:fill="D9E2F3" w:themeFill="accent1" w:themeFillTint="33"/>
          </w:tcPr>
          <w:p w:rsidR="7B8004BE" w:rsidRPr="00654B96" w:rsidRDefault="7B8004BE" w:rsidP="00CC548E">
            <w:pPr>
              <w:contextualSpacing/>
              <w:rPr>
                <w:rFonts w:ascii="Arial" w:hAnsi="Arial" w:cs="Arial"/>
                <w:b/>
                <w:bCs/>
                <w:sz w:val="20"/>
                <w:szCs w:val="20"/>
              </w:rPr>
            </w:pPr>
            <w:r w:rsidRPr="00654B96">
              <w:rPr>
                <w:rFonts w:ascii="Arial" w:eastAsia="Arial" w:hAnsi="Arial" w:cs="Arial"/>
                <w:b/>
                <w:bCs/>
                <w:i/>
                <w:iCs/>
                <w:sz w:val="20"/>
                <w:szCs w:val="20"/>
                <w:lang w:val="es"/>
              </w:rPr>
              <w:t>Tipo de Entidad</w:t>
            </w:r>
          </w:p>
        </w:tc>
        <w:tc>
          <w:tcPr>
            <w:tcW w:w="4419" w:type="dxa"/>
            <w:shd w:val="clear" w:color="auto" w:fill="D9E2F3" w:themeFill="accent1" w:themeFillTint="33"/>
          </w:tcPr>
          <w:p w:rsidR="7B8004BE" w:rsidRPr="00654B96" w:rsidRDefault="7B8004BE" w:rsidP="00CC548E">
            <w:pPr>
              <w:contextualSpacing/>
              <w:jc w:val="both"/>
              <w:rPr>
                <w:rFonts w:ascii="Arial" w:hAnsi="Arial" w:cs="Arial"/>
                <w:sz w:val="20"/>
                <w:szCs w:val="20"/>
              </w:rPr>
            </w:pPr>
            <w:r w:rsidRPr="00654B96">
              <w:rPr>
                <w:rFonts w:ascii="Arial" w:eastAsia="Arial" w:hAnsi="Arial" w:cs="Arial"/>
                <w:sz w:val="20"/>
                <w:szCs w:val="20"/>
              </w:rPr>
              <w:t>Municipio</w:t>
            </w:r>
          </w:p>
        </w:tc>
      </w:tr>
      <w:tr w:rsidR="7B8004BE" w:rsidRPr="0009074C" w:rsidTr="0A442F2E">
        <w:tc>
          <w:tcPr>
            <w:tcW w:w="4419" w:type="dxa"/>
            <w:shd w:val="clear" w:color="auto" w:fill="D9E2F3" w:themeFill="accent1" w:themeFillTint="33"/>
          </w:tcPr>
          <w:p w:rsidR="7B8004BE" w:rsidRPr="00654B96" w:rsidRDefault="7B8004BE" w:rsidP="00CC548E">
            <w:pPr>
              <w:contextualSpacing/>
              <w:rPr>
                <w:rFonts w:ascii="Arial" w:hAnsi="Arial" w:cs="Arial"/>
                <w:b/>
                <w:bCs/>
                <w:sz w:val="20"/>
                <w:szCs w:val="20"/>
              </w:rPr>
            </w:pPr>
            <w:r w:rsidRPr="00654B96">
              <w:rPr>
                <w:rFonts w:ascii="Arial" w:eastAsia="Arial" w:hAnsi="Arial" w:cs="Arial"/>
                <w:b/>
                <w:bCs/>
                <w:i/>
                <w:iCs/>
                <w:sz w:val="20"/>
                <w:szCs w:val="20"/>
                <w:lang w:val="es"/>
              </w:rPr>
              <w:t>Entidad</w:t>
            </w:r>
          </w:p>
        </w:tc>
        <w:tc>
          <w:tcPr>
            <w:tcW w:w="4419" w:type="dxa"/>
            <w:shd w:val="clear" w:color="auto" w:fill="D9E2F3" w:themeFill="accent1" w:themeFillTint="33"/>
          </w:tcPr>
          <w:p w:rsidR="4BE7E8BD" w:rsidRPr="00654B96" w:rsidRDefault="639E16CB" w:rsidP="00CC548E">
            <w:pPr>
              <w:contextualSpacing/>
              <w:jc w:val="both"/>
              <w:rPr>
                <w:rFonts w:ascii="Arial" w:hAnsi="Arial" w:cs="Arial"/>
                <w:sz w:val="20"/>
                <w:szCs w:val="20"/>
              </w:rPr>
            </w:pPr>
            <w:r w:rsidRPr="00654B96">
              <w:rPr>
                <w:rFonts w:ascii="Arial" w:eastAsia="Arial" w:hAnsi="Arial" w:cs="Arial"/>
                <w:sz w:val="20"/>
                <w:szCs w:val="20"/>
              </w:rPr>
              <w:t>Santiago de Tolú</w:t>
            </w:r>
            <w:r w:rsidR="154C6003" w:rsidRPr="00654B96">
              <w:rPr>
                <w:rFonts w:ascii="Arial" w:eastAsia="Arial" w:hAnsi="Arial" w:cs="Arial"/>
                <w:sz w:val="20"/>
                <w:szCs w:val="20"/>
              </w:rPr>
              <w:t xml:space="preserve"> </w:t>
            </w:r>
            <w:r w:rsidRPr="00654B96">
              <w:rPr>
                <w:rFonts w:ascii="Arial" w:eastAsia="Arial" w:hAnsi="Arial" w:cs="Arial"/>
                <w:sz w:val="20"/>
                <w:szCs w:val="20"/>
              </w:rPr>
              <w:t>-</w:t>
            </w:r>
            <w:r w:rsidR="08186BD5" w:rsidRPr="00654B96">
              <w:rPr>
                <w:rFonts w:ascii="Arial" w:eastAsia="Arial" w:hAnsi="Arial" w:cs="Arial"/>
                <w:sz w:val="20"/>
                <w:szCs w:val="20"/>
              </w:rPr>
              <w:t xml:space="preserve"> </w:t>
            </w:r>
            <w:r w:rsidRPr="00654B96">
              <w:rPr>
                <w:rFonts w:ascii="Arial" w:eastAsia="Arial" w:hAnsi="Arial" w:cs="Arial"/>
                <w:sz w:val="20"/>
                <w:szCs w:val="20"/>
              </w:rPr>
              <w:t>Sucre</w:t>
            </w:r>
          </w:p>
        </w:tc>
      </w:tr>
    </w:tbl>
    <w:p w:rsidR="00571ABA" w:rsidRPr="00BE36D3" w:rsidRDefault="00571ABA" w:rsidP="00CC548E">
      <w:pPr>
        <w:spacing w:line="240" w:lineRule="auto"/>
        <w:contextualSpacing/>
        <w:rPr>
          <w:rFonts w:ascii="Arial" w:hAnsi="Arial" w:cs="Arial"/>
        </w:rPr>
      </w:pPr>
    </w:p>
    <w:p w:rsidR="00571ABA" w:rsidRPr="00BE36D3" w:rsidRDefault="3C6A6F35" w:rsidP="00CC548E">
      <w:pPr>
        <w:pStyle w:val="Prrafodelista"/>
        <w:numPr>
          <w:ilvl w:val="0"/>
          <w:numId w:val="2"/>
        </w:numPr>
        <w:spacing w:line="240" w:lineRule="auto"/>
        <w:rPr>
          <w:rFonts w:ascii="Arial" w:eastAsiaTheme="minorEastAsia" w:hAnsi="Arial" w:cs="Arial"/>
          <w:b/>
          <w:bCs/>
        </w:rPr>
      </w:pPr>
      <w:r w:rsidRPr="00BE36D3">
        <w:rPr>
          <w:rFonts w:ascii="Arial" w:eastAsia="Arial Narrow" w:hAnsi="Arial" w:cs="Arial"/>
          <w:b/>
          <w:bCs/>
        </w:rPr>
        <w:t>ANTECEDENTES</w:t>
      </w:r>
      <w:r w:rsidR="00D6457B">
        <w:rPr>
          <w:rFonts w:ascii="Arial" w:eastAsia="Arial Narrow" w:hAnsi="Arial" w:cs="Arial"/>
          <w:b/>
          <w:bCs/>
        </w:rPr>
        <w:t>.</w:t>
      </w:r>
    </w:p>
    <w:p w:rsidR="0009074C" w:rsidRPr="00BE36D3" w:rsidRDefault="0009074C" w:rsidP="00CC548E">
      <w:pPr>
        <w:spacing w:line="240" w:lineRule="auto"/>
        <w:contextualSpacing/>
        <w:jc w:val="both"/>
        <w:rPr>
          <w:rFonts w:ascii="Arial" w:eastAsia="Arial Narrow" w:hAnsi="Arial" w:cs="Arial"/>
        </w:rPr>
      </w:pPr>
    </w:p>
    <w:p w:rsidR="00571ABA" w:rsidRPr="00BE36D3" w:rsidRDefault="3C6A6F35" w:rsidP="00CC548E">
      <w:pPr>
        <w:spacing w:line="240" w:lineRule="auto"/>
        <w:contextualSpacing/>
        <w:jc w:val="both"/>
        <w:rPr>
          <w:rFonts w:ascii="Arial" w:eastAsia="Arial Narrow" w:hAnsi="Arial" w:cs="Arial"/>
        </w:rPr>
      </w:pPr>
      <w:r w:rsidRPr="00BE36D3">
        <w:rPr>
          <w:rFonts w:ascii="Arial" w:eastAsia="Arial Narrow" w:hAnsi="Arial" w:cs="Arial"/>
        </w:rPr>
        <w:t xml:space="preserve">En el marco de la Estrategia de Monitoreo, Seguimiento y Control </w:t>
      </w:r>
      <w:r w:rsidR="00D6457B">
        <w:rPr>
          <w:rFonts w:ascii="Arial" w:eastAsia="Arial Narrow" w:hAnsi="Arial" w:cs="Arial"/>
        </w:rPr>
        <w:t xml:space="preserve">Integral </w:t>
      </w:r>
      <w:r w:rsidRPr="00BE36D3">
        <w:rPr>
          <w:rFonts w:ascii="Arial" w:eastAsia="Arial Narrow" w:hAnsi="Arial" w:cs="Arial"/>
        </w:rPr>
        <w:t xml:space="preserve">al uso de los recursos del Sistema General de Participaciones, reglamentada por el Decreto 028 de 2008, el Departamento Nacional de Planeación (en adelante DNP) realizó una visita de monitoreo en campo al </w:t>
      </w:r>
      <w:r w:rsidR="00D6457B">
        <w:rPr>
          <w:rFonts w:ascii="Arial" w:eastAsia="Arial Narrow" w:hAnsi="Arial" w:cs="Arial"/>
        </w:rPr>
        <w:t>M</w:t>
      </w:r>
      <w:r w:rsidRPr="00BE36D3">
        <w:rPr>
          <w:rFonts w:ascii="Arial" w:eastAsia="Arial Narrow" w:hAnsi="Arial" w:cs="Arial"/>
        </w:rPr>
        <w:t>unicipio de S</w:t>
      </w:r>
      <w:r w:rsidR="6A0413D3" w:rsidRPr="00BE36D3">
        <w:rPr>
          <w:rFonts w:ascii="Arial" w:eastAsia="Arial Narrow" w:hAnsi="Arial" w:cs="Arial"/>
        </w:rPr>
        <w:t>antiago de Tolú</w:t>
      </w:r>
      <w:r w:rsidR="5D6963F6" w:rsidRPr="00BE36D3">
        <w:rPr>
          <w:rFonts w:ascii="Arial" w:eastAsia="Arial Narrow" w:hAnsi="Arial" w:cs="Arial"/>
        </w:rPr>
        <w:t xml:space="preserve"> </w:t>
      </w:r>
      <w:r w:rsidR="6A0413D3" w:rsidRPr="00BE36D3">
        <w:rPr>
          <w:rFonts w:ascii="Arial" w:eastAsia="Arial Narrow" w:hAnsi="Arial" w:cs="Arial"/>
        </w:rPr>
        <w:t>-</w:t>
      </w:r>
      <w:r w:rsidR="5AEFA02A" w:rsidRPr="00BE36D3">
        <w:rPr>
          <w:rFonts w:ascii="Arial" w:eastAsia="Arial Narrow" w:hAnsi="Arial" w:cs="Arial"/>
        </w:rPr>
        <w:t xml:space="preserve"> </w:t>
      </w:r>
      <w:r w:rsidR="6A0413D3" w:rsidRPr="00BE36D3">
        <w:rPr>
          <w:rFonts w:ascii="Arial" w:eastAsia="Arial Narrow" w:hAnsi="Arial" w:cs="Arial"/>
        </w:rPr>
        <w:t>Sucre</w:t>
      </w:r>
      <w:r w:rsidRPr="00BE36D3">
        <w:rPr>
          <w:rFonts w:ascii="Arial" w:eastAsia="Arial Narrow" w:hAnsi="Arial" w:cs="Arial"/>
        </w:rPr>
        <w:t xml:space="preserve"> los días </w:t>
      </w:r>
      <w:r w:rsidR="662E2A71" w:rsidRPr="00BE36D3">
        <w:rPr>
          <w:rFonts w:ascii="Arial" w:eastAsia="Arial Narrow" w:hAnsi="Arial" w:cs="Arial"/>
        </w:rPr>
        <w:t>3, 4 y 5 de abril de 2019</w:t>
      </w:r>
      <w:r w:rsidRPr="00BE36D3">
        <w:rPr>
          <w:rFonts w:ascii="Arial" w:eastAsia="Arial Narrow" w:hAnsi="Arial" w:cs="Arial"/>
        </w:rPr>
        <w:t xml:space="preserve">. Esta visita tuvo como motivación el Monitoreo General llevado a cabo por el DNP, en el cual identificó a los municipios que presentan alertas de riesgo en nivel crítico alto en el uso de los recursos del Sistema General de Participaciones de Propósito General y las Asignaciones Especiales. De dicha visita de campo surgió el </w:t>
      </w:r>
      <w:r w:rsidR="00D6457B">
        <w:rPr>
          <w:rFonts w:ascii="Arial" w:eastAsia="Arial Narrow" w:hAnsi="Arial" w:cs="Arial"/>
        </w:rPr>
        <w:t>“</w:t>
      </w:r>
      <w:r w:rsidRPr="00BE36D3">
        <w:rPr>
          <w:rFonts w:ascii="Arial" w:eastAsia="Arial Narrow" w:hAnsi="Arial" w:cs="Arial"/>
          <w:i/>
          <w:iCs/>
        </w:rPr>
        <w:t>Informe de monitoreo de campo, S</w:t>
      </w:r>
      <w:r w:rsidR="325D1854" w:rsidRPr="00BE36D3">
        <w:rPr>
          <w:rFonts w:ascii="Arial" w:eastAsia="Arial Narrow" w:hAnsi="Arial" w:cs="Arial"/>
          <w:i/>
          <w:iCs/>
        </w:rPr>
        <w:t xml:space="preserve">antiago de </w:t>
      </w:r>
      <w:r w:rsidR="000966E6">
        <w:rPr>
          <w:rFonts w:ascii="Arial" w:eastAsia="Arial Narrow" w:hAnsi="Arial" w:cs="Arial"/>
          <w:i/>
          <w:iCs/>
        </w:rPr>
        <w:t>Tolú - Sucre</w:t>
      </w:r>
      <w:r w:rsidRPr="00BE36D3">
        <w:rPr>
          <w:rFonts w:ascii="Arial" w:eastAsia="Arial Narrow" w:hAnsi="Arial" w:cs="Arial"/>
          <w:i/>
          <w:iCs/>
        </w:rPr>
        <w:t>, Vigencias 2017 y 2018</w:t>
      </w:r>
      <w:r w:rsidR="00D6457B">
        <w:rPr>
          <w:rFonts w:ascii="Arial" w:eastAsia="Arial Narrow" w:hAnsi="Arial" w:cs="Arial"/>
        </w:rPr>
        <w:t>”</w:t>
      </w:r>
      <w:r w:rsidRPr="00BE36D3">
        <w:rPr>
          <w:rFonts w:ascii="Arial" w:eastAsia="Arial Narrow" w:hAnsi="Arial" w:cs="Arial"/>
        </w:rPr>
        <w:t xml:space="preserve">, el cual fue remitido a la Dirección General de Apoyo Fiscal del Ministerio de Hacienda y Crédito Público mediante </w:t>
      </w:r>
      <w:r w:rsidR="00D6457B">
        <w:rPr>
          <w:rFonts w:ascii="Arial" w:eastAsia="Arial Narrow" w:hAnsi="Arial" w:cs="Arial"/>
        </w:rPr>
        <w:t xml:space="preserve">oficio con </w:t>
      </w:r>
      <w:r w:rsidRPr="00BE36D3">
        <w:rPr>
          <w:rFonts w:ascii="Arial" w:eastAsia="Arial Narrow" w:hAnsi="Arial" w:cs="Arial"/>
        </w:rPr>
        <w:t xml:space="preserve">radicado No. </w:t>
      </w:r>
      <w:r w:rsidR="3CCC0F19" w:rsidRPr="00BE36D3">
        <w:rPr>
          <w:rFonts w:ascii="Arial" w:eastAsia="Arial Narrow" w:hAnsi="Arial" w:cs="Arial"/>
        </w:rPr>
        <w:t>1-2019-079798 del 28 de agosto de 2019.</w:t>
      </w:r>
    </w:p>
    <w:p w:rsidR="0009074C" w:rsidRPr="00BE36D3" w:rsidRDefault="0009074C" w:rsidP="00CC548E">
      <w:pPr>
        <w:spacing w:line="240" w:lineRule="auto"/>
        <w:contextualSpacing/>
        <w:jc w:val="both"/>
        <w:rPr>
          <w:rFonts w:ascii="Arial" w:eastAsia="Arial Narrow" w:hAnsi="Arial" w:cs="Arial"/>
        </w:rPr>
      </w:pPr>
    </w:p>
    <w:p w:rsidR="0063378A" w:rsidRPr="00BE36D3" w:rsidRDefault="3C6A6F35" w:rsidP="00CC548E">
      <w:pPr>
        <w:spacing w:line="240" w:lineRule="auto"/>
        <w:contextualSpacing/>
        <w:jc w:val="both"/>
        <w:rPr>
          <w:rFonts w:ascii="Arial" w:eastAsia="Arial Narrow" w:hAnsi="Arial" w:cs="Arial"/>
        </w:rPr>
      </w:pPr>
      <w:r w:rsidRPr="00BE36D3">
        <w:rPr>
          <w:rFonts w:ascii="Arial" w:eastAsia="Arial Narrow" w:hAnsi="Arial" w:cs="Arial"/>
        </w:rPr>
        <w:t xml:space="preserve">Dicho informe fue enviado con el fin de que esta Dirección evaluara la posibilidad de adopción de </w:t>
      </w:r>
      <w:r w:rsidR="7692237F" w:rsidRPr="00BE36D3">
        <w:rPr>
          <w:rFonts w:ascii="Arial" w:eastAsia="Arial Narrow" w:hAnsi="Arial" w:cs="Arial"/>
        </w:rPr>
        <w:t>las acciones</w:t>
      </w:r>
      <w:r w:rsidRPr="00BE36D3">
        <w:rPr>
          <w:rFonts w:ascii="Arial" w:eastAsia="Arial Narrow" w:hAnsi="Arial" w:cs="Arial"/>
        </w:rPr>
        <w:t xml:space="preserve"> que se considere</w:t>
      </w:r>
      <w:r w:rsidR="4CB88BF6" w:rsidRPr="00BE36D3">
        <w:rPr>
          <w:rFonts w:ascii="Arial" w:eastAsia="Arial Narrow" w:hAnsi="Arial" w:cs="Arial"/>
        </w:rPr>
        <w:t>n</w:t>
      </w:r>
      <w:r w:rsidRPr="00BE36D3">
        <w:rPr>
          <w:rFonts w:ascii="Arial" w:eastAsia="Arial Narrow" w:hAnsi="Arial" w:cs="Arial"/>
        </w:rPr>
        <w:t xml:space="preserve"> pertinente</w:t>
      </w:r>
      <w:r w:rsidR="0A2C8549" w:rsidRPr="00BE36D3">
        <w:rPr>
          <w:rFonts w:ascii="Arial" w:eastAsia="Arial Narrow" w:hAnsi="Arial" w:cs="Arial"/>
        </w:rPr>
        <w:t>s</w:t>
      </w:r>
      <w:r w:rsidRPr="00BE36D3">
        <w:rPr>
          <w:rFonts w:ascii="Arial" w:eastAsia="Arial Narrow" w:hAnsi="Arial" w:cs="Arial"/>
        </w:rPr>
        <w:t xml:space="preserve"> de acuerdo con el Decreto 028 de 2008. El presente informe </w:t>
      </w:r>
      <w:r w:rsidR="46C5BCD6" w:rsidRPr="00BE36D3">
        <w:rPr>
          <w:rFonts w:ascii="Arial" w:eastAsia="Arial Narrow" w:hAnsi="Arial" w:cs="Arial"/>
        </w:rPr>
        <w:t>presenta</w:t>
      </w:r>
      <w:r w:rsidRPr="00BE36D3">
        <w:rPr>
          <w:rFonts w:ascii="Arial" w:eastAsia="Arial Narrow" w:hAnsi="Arial" w:cs="Arial"/>
        </w:rPr>
        <w:t xml:space="preserve"> algunas situaciones problemáticas resaltadas en el </w:t>
      </w:r>
      <w:r w:rsidR="00D6457B">
        <w:rPr>
          <w:rFonts w:ascii="Arial" w:eastAsia="Arial Narrow" w:hAnsi="Arial" w:cs="Arial"/>
        </w:rPr>
        <w:t>“</w:t>
      </w:r>
      <w:r w:rsidRPr="00BE36D3">
        <w:rPr>
          <w:rFonts w:ascii="Arial" w:eastAsia="Arial Narrow" w:hAnsi="Arial" w:cs="Arial"/>
          <w:i/>
          <w:iCs/>
        </w:rPr>
        <w:t>Informe de Monitoreo de Campo</w:t>
      </w:r>
      <w:r w:rsidR="00D6457B">
        <w:rPr>
          <w:rFonts w:ascii="Arial" w:eastAsia="Arial Narrow" w:hAnsi="Arial" w:cs="Arial"/>
        </w:rPr>
        <w:t>”</w:t>
      </w:r>
      <w:r w:rsidRPr="00BE36D3">
        <w:rPr>
          <w:rFonts w:ascii="Arial" w:eastAsia="Arial Narrow" w:hAnsi="Arial" w:cs="Arial"/>
        </w:rPr>
        <w:t xml:space="preserve"> remitido por el DNP, así como </w:t>
      </w:r>
      <w:r w:rsidR="648CC9ED" w:rsidRPr="00BE36D3">
        <w:rPr>
          <w:rFonts w:ascii="Arial" w:eastAsia="Arial Narrow" w:hAnsi="Arial" w:cs="Arial"/>
        </w:rPr>
        <w:t xml:space="preserve">otras que se encontraron </w:t>
      </w:r>
      <w:r w:rsidR="00C451EB" w:rsidRPr="00BE36D3">
        <w:rPr>
          <w:rFonts w:ascii="Arial" w:eastAsia="Arial Narrow" w:hAnsi="Arial" w:cs="Arial"/>
        </w:rPr>
        <w:t xml:space="preserve">en </w:t>
      </w:r>
      <w:r w:rsidRPr="00BE36D3">
        <w:rPr>
          <w:rFonts w:ascii="Arial" w:eastAsia="Arial Narrow" w:hAnsi="Arial" w:cs="Arial"/>
        </w:rPr>
        <w:t>sus respectivos anexos</w:t>
      </w:r>
      <w:r w:rsidR="5B201A99" w:rsidRPr="00BE36D3">
        <w:rPr>
          <w:rFonts w:ascii="Arial" w:eastAsia="Arial Narrow" w:hAnsi="Arial" w:cs="Arial"/>
        </w:rPr>
        <w:t xml:space="preserve"> relacionadas con el uso </w:t>
      </w:r>
      <w:r w:rsidR="00F33A8E" w:rsidRPr="00BE36D3">
        <w:rPr>
          <w:rFonts w:ascii="Arial" w:eastAsia="Arial Narrow" w:hAnsi="Arial" w:cs="Arial"/>
        </w:rPr>
        <w:t xml:space="preserve">inadecuado </w:t>
      </w:r>
      <w:r w:rsidR="5B201A99" w:rsidRPr="00BE36D3">
        <w:rPr>
          <w:rFonts w:ascii="Arial" w:eastAsia="Arial Narrow" w:hAnsi="Arial" w:cs="Arial"/>
        </w:rPr>
        <w:t>de los recursos de la Participación de Propósito General</w:t>
      </w:r>
      <w:r w:rsidRPr="00BE36D3">
        <w:rPr>
          <w:rFonts w:ascii="Arial" w:eastAsia="Arial Narrow" w:hAnsi="Arial" w:cs="Arial"/>
        </w:rPr>
        <w:t xml:space="preserve">. Lo anterior, con el fin de determinar si es necesaria o no la activación de las actividades de seguimiento de la Estrategia de Monitoreo, Seguimiento y Control </w:t>
      </w:r>
      <w:r w:rsidR="00D6457B">
        <w:rPr>
          <w:rFonts w:ascii="Arial" w:eastAsia="Arial Narrow" w:hAnsi="Arial" w:cs="Arial"/>
        </w:rPr>
        <w:t xml:space="preserve">Integral </w:t>
      </w:r>
      <w:r w:rsidRPr="00BE36D3">
        <w:rPr>
          <w:rFonts w:ascii="Arial" w:eastAsia="Arial Narrow" w:hAnsi="Arial" w:cs="Arial"/>
        </w:rPr>
        <w:t>al uso de los recursos del Sistema General de Participaciones.</w:t>
      </w:r>
    </w:p>
    <w:p w:rsidR="00B90B07" w:rsidRPr="0009074C" w:rsidRDefault="00B90B07" w:rsidP="00CC548E">
      <w:pPr>
        <w:spacing w:line="240" w:lineRule="auto"/>
        <w:contextualSpacing/>
        <w:rPr>
          <w:rFonts w:ascii="Arial" w:hAnsi="Arial" w:cs="Arial"/>
        </w:rPr>
      </w:pPr>
    </w:p>
    <w:p w:rsidR="00B90B07" w:rsidRPr="0009074C" w:rsidRDefault="0009074C" w:rsidP="00CC548E">
      <w:pPr>
        <w:pStyle w:val="Prrafodelista"/>
        <w:numPr>
          <w:ilvl w:val="0"/>
          <w:numId w:val="26"/>
        </w:numPr>
        <w:spacing w:line="240" w:lineRule="auto"/>
        <w:jc w:val="both"/>
        <w:rPr>
          <w:rFonts w:ascii="Arial" w:hAnsi="Arial" w:cs="Arial"/>
          <w:b/>
        </w:rPr>
      </w:pPr>
      <w:r w:rsidRPr="00BE36D3">
        <w:rPr>
          <w:rFonts w:ascii="Arial" w:hAnsi="Arial" w:cs="Arial"/>
          <w:noProof/>
          <w:lang w:eastAsia="es-CO"/>
        </w:rPr>
        <w:drawing>
          <wp:anchor distT="0" distB="0" distL="114300" distR="114300" simplePos="0" relativeHeight="251660290" behindDoc="0" locked="0" layoutInCell="1" allowOverlap="1">
            <wp:simplePos x="0" y="0"/>
            <wp:positionH relativeFrom="column">
              <wp:posOffset>-273685</wp:posOffset>
            </wp:positionH>
            <wp:positionV relativeFrom="paragraph">
              <wp:posOffset>287020</wp:posOffset>
            </wp:positionV>
            <wp:extent cx="5981700" cy="166179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l="1402" t="5421" r="2045" b="6862"/>
                    <a:stretch>
                      <a:fillRect/>
                    </a:stretch>
                  </pic:blipFill>
                  <pic:spPr bwMode="auto">
                    <a:xfrm>
                      <a:off x="0" y="0"/>
                      <a:ext cx="5981700" cy="1661795"/>
                    </a:xfrm>
                    <a:prstGeom prst="rect">
                      <a:avLst/>
                    </a:prstGeom>
                    <a:noFill/>
                    <a:ln>
                      <a:noFill/>
                    </a:ln>
                  </pic:spPr>
                </pic:pic>
              </a:graphicData>
            </a:graphic>
          </wp:anchor>
        </w:drawing>
      </w:r>
      <w:r w:rsidR="00B90B07" w:rsidRPr="0009074C">
        <w:rPr>
          <w:rFonts w:ascii="Arial" w:hAnsi="Arial" w:cs="Arial"/>
          <w:b/>
        </w:rPr>
        <w:t>CARACTERIZACIÓN.</w:t>
      </w:r>
    </w:p>
    <w:p w:rsidR="00B90B07" w:rsidRPr="0009074C" w:rsidRDefault="00B90B07" w:rsidP="00CC548E">
      <w:pPr>
        <w:pStyle w:val="Prrafodelista"/>
        <w:spacing w:line="240" w:lineRule="auto"/>
        <w:jc w:val="both"/>
        <w:rPr>
          <w:rFonts w:ascii="Arial" w:hAnsi="Arial" w:cs="Arial"/>
          <w:b/>
        </w:rPr>
      </w:pPr>
    </w:p>
    <w:p w:rsidR="00B90B07" w:rsidRPr="0009074C" w:rsidRDefault="00B90B07" w:rsidP="00CC548E">
      <w:pPr>
        <w:pStyle w:val="Prrafodelista"/>
        <w:spacing w:line="240" w:lineRule="auto"/>
        <w:ind w:left="-1418"/>
        <w:jc w:val="center"/>
        <w:rPr>
          <w:rFonts w:ascii="Arial" w:hAnsi="Arial" w:cs="Arial"/>
          <w:b/>
        </w:rPr>
      </w:pPr>
    </w:p>
    <w:p w:rsidR="00B90B07" w:rsidRPr="0009074C" w:rsidRDefault="00B90B07" w:rsidP="00CC548E">
      <w:pPr>
        <w:spacing w:line="240" w:lineRule="auto"/>
        <w:ind w:left="-1418"/>
        <w:contextualSpacing/>
        <w:rPr>
          <w:rFonts w:ascii="Arial" w:hAnsi="Arial" w:cs="Arial"/>
          <w:b/>
        </w:rPr>
      </w:pPr>
    </w:p>
    <w:p w:rsidR="00B90B07" w:rsidRPr="0009074C" w:rsidRDefault="00B02F09" w:rsidP="00CC548E">
      <w:pPr>
        <w:spacing w:line="240" w:lineRule="auto"/>
        <w:contextualSpacing/>
        <w:rPr>
          <w:rFonts w:ascii="Arial" w:hAnsi="Arial" w:cs="Arial"/>
          <w:b/>
          <w:lang w:val="es-ES" w:eastAsia="es-ES"/>
        </w:rPr>
      </w:pPr>
      <w:r w:rsidRPr="00BE36D3">
        <w:rPr>
          <w:rFonts w:ascii="Arial" w:hAnsi="Arial" w:cs="Arial"/>
          <w:noProof/>
          <w:lang w:eastAsia="es-CO"/>
        </w:rPr>
        <w:drawing>
          <wp:anchor distT="0" distB="0" distL="114300" distR="114300" simplePos="0" relativeHeight="251663362" behindDoc="0" locked="0" layoutInCell="1" allowOverlap="1">
            <wp:simplePos x="0" y="0"/>
            <wp:positionH relativeFrom="margin">
              <wp:posOffset>-109855</wp:posOffset>
            </wp:positionH>
            <wp:positionV relativeFrom="margin">
              <wp:posOffset>6084210</wp:posOffset>
            </wp:positionV>
            <wp:extent cx="6154420" cy="238823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4420" cy="2388235"/>
                    </a:xfrm>
                    <a:prstGeom prst="rect">
                      <a:avLst/>
                    </a:prstGeom>
                    <a:noFill/>
                    <a:ln>
                      <a:noFill/>
                    </a:ln>
                  </pic:spPr>
                </pic:pic>
              </a:graphicData>
            </a:graphic>
          </wp:anchor>
        </w:drawing>
      </w:r>
      <w:r w:rsidR="00B90B07" w:rsidRPr="00BE36D3">
        <w:rPr>
          <w:rFonts w:ascii="Arial" w:hAnsi="Arial" w:cs="Arial"/>
          <w:noProof/>
          <w:lang w:eastAsia="es-CO"/>
        </w:rPr>
        <w:drawing>
          <wp:anchor distT="0" distB="0" distL="114300" distR="114300" simplePos="0" relativeHeight="251661314" behindDoc="0" locked="0" layoutInCell="1" allowOverlap="1">
            <wp:simplePos x="298450" y="901700"/>
            <wp:positionH relativeFrom="margin">
              <wp:align>left</wp:align>
            </wp:positionH>
            <wp:positionV relativeFrom="margin">
              <wp:align>top</wp:align>
            </wp:positionV>
            <wp:extent cx="6269992" cy="257746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t="5705"/>
                    <a:stretch>
                      <a:fillRect/>
                    </a:stretch>
                  </pic:blipFill>
                  <pic:spPr bwMode="auto">
                    <a:xfrm>
                      <a:off x="0" y="0"/>
                      <a:ext cx="6269992" cy="2577465"/>
                    </a:xfrm>
                    <a:prstGeom prst="rect">
                      <a:avLst/>
                    </a:prstGeom>
                    <a:noFill/>
                    <a:ln>
                      <a:noFill/>
                    </a:ln>
                  </pic:spPr>
                </pic:pic>
              </a:graphicData>
            </a:graphic>
          </wp:anchor>
        </w:drawing>
      </w:r>
      <w:r w:rsidR="00B90B07" w:rsidRPr="00BE36D3">
        <w:rPr>
          <w:rFonts w:ascii="Arial" w:hAnsi="Arial" w:cs="Arial"/>
          <w:noProof/>
          <w:lang w:eastAsia="es-CO"/>
        </w:rPr>
        <w:drawing>
          <wp:anchor distT="0" distB="0" distL="114300" distR="114300" simplePos="0" relativeHeight="251662338" behindDoc="0" locked="0" layoutInCell="1" allowOverlap="1">
            <wp:simplePos x="501650" y="3638550"/>
            <wp:positionH relativeFrom="margin">
              <wp:align>left</wp:align>
            </wp:positionH>
            <wp:positionV relativeFrom="margin">
              <wp:align>center</wp:align>
            </wp:positionV>
            <wp:extent cx="6043295" cy="2920727"/>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3295" cy="2920727"/>
                    </a:xfrm>
                    <a:prstGeom prst="rect">
                      <a:avLst/>
                    </a:prstGeom>
                    <a:noFill/>
                  </pic:spPr>
                </pic:pic>
              </a:graphicData>
            </a:graphic>
          </wp:anchor>
        </w:drawing>
      </w:r>
    </w:p>
    <w:p w:rsidR="00965AB7" w:rsidRPr="00BE36D3" w:rsidRDefault="00965AB7" w:rsidP="00CC548E">
      <w:pPr>
        <w:pStyle w:val="Prrafodelista"/>
        <w:spacing w:line="240" w:lineRule="auto"/>
        <w:jc w:val="both"/>
        <w:rPr>
          <w:rFonts w:ascii="Arial" w:eastAsia="Arial Narrow" w:hAnsi="Arial" w:cs="Arial"/>
          <w:b/>
          <w:bCs/>
        </w:rPr>
      </w:pPr>
    </w:p>
    <w:p w:rsidR="4F68F2A8" w:rsidRPr="00BE36D3" w:rsidRDefault="4F68F2A8" w:rsidP="00CC548E">
      <w:pPr>
        <w:pStyle w:val="Prrafodelista"/>
        <w:numPr>
          <w:ilvl w:val="0"/>
          <w:numId w:val="2"/>
        </w:numPr>
        <w:spacing w:line="240" w:lineRule="auto"/>
        <w:jc w:val="both"/>
        <w:rPr>
          <w:rFonts w:ascii="Arial" w:eastAsia="Arial Narrow" w:hAnsi="Arial" w:cs="Arial"/>
          <w:b/>
          <w:bCs/>
        </w:rPr>
      </w:pPr>
      <w:r w:rsidRPr="00BE36D3">
        <w:rPr>
          <w:rFonts w:ascii="Arial" w:eastAsia="Arial Narrow" w:hAnsi="Arial" w:cs="Arial"/>
          <w:b/>
          <w:bCs/>
        </w:rPr>
        <w:t>ANÁLISIS FINANCIERO</w:t>
      </w:r>
      <w:r w:rsidR="00D6457B">
        <w:rPr>
          <w:rFonts w:ascii="Arial" w:eastAsia="Arial Narrow" w:hAnsi="Arial" w:cs="Arial"/>
          <w:b/>
          <w:bCs/>
        </w:rPr>
        <w:t>.</w:t>
      </w:r>
    </w:p>
    <w:p w:rsidR="0009074C" w:rsidRPr="00BE36D3" w:rsidRDefault="0009074C" w:rsidP="00CC548E">
      <w:pPr>
        <w:spacing w:line="240" w:lineRule="auto"/>
        <w:contextualSpacing/>
        <w:jc w:val="both"/>
        <w:rPr>
          <w:rFonts w:ascii="Arial" w:eastAsia="Arial Narrow" w:hAnsi="Arial" w:cs="Arial"/>
        </w:rPr>
      </w:pPr>
    </w:p>
    <w:p w:rsidR="4C4A6D37" w:rsidRPr="00BE36D3" w:rsidRDefault="4C4A6D37" w:rsidP="00CC548E">
      <w:pPr>
        <w:spacing w:line="240" w:lineRule="auto"/>
        <w:contextualSpacing/>
        <w:jc w:val="both"/>
        <w:rPr>
          <w:rFonts w:ascii="Arial" w:eastAsia="Arial Narrow" w:hAnsi="Arial" w:cs="Arial"/>
        </w:rPr>
      </w:pPr>
      <w:r w:rsidRPr="00BE36D3">
        <w:rPr>
          <w:rFonts w:ascii="Arial" w:eastAsia="Arial Narrow" w:hAnsi="Arial" w:cs="Arial"/>
        </w:rPr>
        <w:t xml:space="preserve">En primer lugar, se </w:t>
      </w:r>
      <w:r w:rsidR="0084489E" w:rsidRPr="00BE36D3">
        <w:rPr>
          <w:rFonts w:ascii="Arial" w:eastAsia="Arial Narrow" w:hAnsi="Arial" w:cs="Arial"/>
        </w:rPr>
        <w:t>presenta</w:t>
      </w:r>
      <w:r w:rsidRPr="00BE36D3">
        <w:rPr>
          <w:rFonts w:ascii="Arial" w:eastAsia="Arial Narrow" w:hAnsi="Arial" w:cs="Arial"/>
        </w:rPr>
        <w:t xml:space="preserve"> el escenario financiero de los recursos de</w:t>
      </w:r>
      <w:r w:rsidR="571B41D2" w:rsidRPr="00BE36D3">
        <w:rPr>
          <w:rFonts w:ascii="Arial" w:eastAsia="Arial Narrow" w:hAnsi="Arial" w:cs="Arial"/>
        </w:rPr>
        <w:t>l SGP Propósito General, en donde se analiz</w:t>
      </w:r>
      <w:r w:rsidR="6932A649" w:rsidRPr="00BE36D3">
        <w:rPr>
          <w:rFonts w:ascii="Arial" w:eastAsia="Arial Narrow" w:hAnsi="Arial" w:cs="Arial"/>
        </w:rPr>
        <w:t>a</w:t>
      </w:r>
      <w:r w:rsidR="571B41D2" w:rsidRPr="00BE36D3">
        <w:rPr>
          <w:rFonts w:ascii="Arial" w:eastAsia="Arial Narrow" w:hAnsi="Arial" w:cs="Arial"/>
        </w:rPr>
        <w:t xml:space="preserve">, entre otros aspectos, la asignación de estos recursos de acuerdo con los criterios </w:t>
      </w:r>
      <w:r w:rsidR="1FBF73D7" w:rsidRPr="00BE36D3">
        <w:rPr>
          <w:rFonts w:ascii="Arial" w:eastAsia="Arial Narrow" w:hAnsi="Arial" w:cs="Arial"/>
        </w:rPr>
        <w:t>legales, el</w:t>
      </w:r>
      <w:r w:rsidR="571B41D2" w:rsidRPr="00BE36D3">
        <w:rPr>
          <w:rFonts w:ascii="Arial" w:eastAsia="Arial Narrow" w:hAnsi="Arial" w:cs="Arial"/>
        </w:rPr>
        <w:t xml:space="preserve"> nivel de incorporación, </w:t>
      </w:r>
      <w:r w:rsidR="2ECD08FC" w:rsidRPr="00BE36D3">
        <w:rPr>
          <w:rFonts w:ascii="Arial" w:eastAsia="Arial Narrow" w:hAnsi="Arial" w:cs="Arial"/>
        </w:rPr>
        <w:t xml:space="preserve">la ejecución de ingresos y gastos, </w:t>
      </w:r>
      <w:r w:rsidR="6EAD6499" w:rsidRPr="00BE36D3">
        <w:rPr>
          <w:rFonts w:ascii="Arial" w:eastAsia="Arial Narrow" w:hAnsi="Arial" w:cs="Arial"/>
        </w:rPr>
        <w:t>así como</w:t>
      </w:r>
      <w:r w:rsidR="2ECD08FC" w:rsidRPr="00BE36D3">
        <w:rPr>
          <w:rFonts w:ascii="Arial" w:eastAsia="Arial Narrow" w:hAnsi="Arial" w:cs="Arial"/>
        </w:rPr>
        <w:t xml:space="preserve"> los patrones de inversión. A</w:t>
      </w:r>
      <w:r w:rsidR="0A53146F" w:rsidRPr="00BE36D3">
        <w:rPr>
          <w:rFonts w:ascii="Arial" w:eastAsia="Arial Narrow" w:hAnsi="Arial" w:cs="Arial"/>
        </w:rPr>
        <w:t>demás, se</w:t>
      </w:r>
      <w:r w:rsidR="00DA0AE0" w:rsidRPr="00BE36D3">
        <w:rPr>
          <w:rFonts w:ascii="Arial" w:eastAsia="Arial Narrow" w:hAnsi="Arial" w:cs="Arial"/>
        </w:rPr>
        <w:t xml:space="preserve"> analiza</w:t>
      </w:r>
      <w:r w:rsidR="5DF1CF45" w:rsidRPr="00BE36D3">
        <w:rPr>
          <w:rFonts w:ascii="Arial" w:eastAsia="Arial Narrow" w:hAnsi="Arial" w:cs="Arial"/>
        </w:rPr>
        <w:t xml:space="preserve"> el cierre fiscal de las vigencias </w:t>
      </w:r>
      <w:r w:rsidR="16B3D4E3" w:rsidRPr="00BE36D3">
        <w:rPr>
          <w:rFonts w:ascii="Arial" w:eastAsia="Arial Narrow" w:hAnsi="Arial" w:cs="Arial"/>
        </w:rPr>
        <w:t xml:space="preserve">2017, 2018 y 2019, </w:t>
      </w:r>
      <w:r w:rsidR="5DF1CF45" w:rsidRPr="00BE36D3">
        <w:rPr>
          <w:rFonts w:ascii="Arial" w:eastAsia="Arial Narrow" w:hAnsi="Arial" w:cs="Arial"/>
        </w:rPr>
        <w:t xml:space="preserve">y el manejo de tesorería de los recursos a través de la Cuenta Maestra de Propósito General. </w:t>
      </w:r>
      <w:r w:rsidR="08CB57C5" w:rsidRPr="00BE36D3">
        <w:rPr>
          <w:rFonts w:ascii="Arial" w:eastAsia="Arial Narrow" w:hAnsi="Arial" w:cs="Arial"/>
        </w:rPr>
        <w:t>Cabe resaltar que los datos de la vigencia 2019 no corresponden a la ejecución presupuestal del Municipio</w:t>
      </w:r>
      <w:r w:rsidR="2EF9816B" w:rsidRPr="00BE36D3">
        <w:rPr>
          <w:rFonts w:ascii="Arial" w:eastAsia="Arial Narrow" w:hAnsi="Arial" w:cs="Arial"/>
        </w:rPr>
        <w:t>,</w:t>
      </w:r>
      <w:r w:rsidR="08CB57C5" w:rsidRPr="00BE36D3">
        <w:rPr>
          <w:rFonts w:ascii="Arial" w:eastAsia="Arial Narrow" w:hAnsi="Arial" w:cs="Arial"/>
        </w:rPr>
        <w:t xml:space="preserve"> debido a que </w:t>
      </w:r>
      <w:r w:rsidR="00DA0AE0" w:rsidRPr="00BE36D3">
        <w:rPr>
          <w:rFonts w:ascii="Arial" w:eastAsia="Arial Narrow" w:hAnsi="Arial" w:cs="Arial"/>
        </w:rPr>
        <w:t>esta vigencia no fue objeto de revisión dentro</w:t>
      </w:r>
      <w:r w:rsidR="08CB57C5" w:rsidRPr="00BE36D3">
        <w:rPr>
          <w:rFonts w:ascii="Arial" w:eastAsia="Arial Narrow" w:hAnsi="Arial" w:cs="Arial"/>
        </w:rPr>
        <w:t xml:space="preserve"> del </w:t>
      </w:r>
      <w:r w:rsidR="00D6457B">
        <w:rPr>
          <w:rFonts w:ascii="Arial" w:eastAsia="Arial Narrow" w:hAnsi="Arial" w:cs="Arial"/>
        </w:rPr>
        <w:t>“</w:t>
      </w:r>
      <w:r w:rsidR="08CB57C5" w:rsidRPr="00BE36D3">
        <w:rPr>
          <w:rFonts w:ascii="Arial" w:eastAsia="Arial Narrow" w:hAnsi="Arial" w:cs="Arial"/>
          <w:i/>
          <w:iCs/>
        </w:rPr>
        <w:t>Informe de Monitoreo en Campo</w:t>
      </w:r>
      <w:r w:rsidR="00D6457B">
        <w:rPr>
          <w:rFonts w:ascii="Arial" w:eastAsia="Arial Narrow" w:hAnsi="Arial" w:cs="Arial"/>
        </w:rPr>
        <w:t>”</w:t>
      </w:r>
      <w:r w:rsidR="00FE66DD" w:rsidRPr="00BE36D3">
        <w:rPr>
          <w:rFonts w:ascii="Arial" w:eastAsia="Arial Narrow" w:hAnsi="Arial" w:cs="Arial"/>
          <w:i/>
          <w:iCs/>
        </w:rPr>
        <w:t xml:space="preserve"> </w:t>
      </w:r>
      <w:r w:rsidR="00FE66DD" w:rsidRPr="00BE36D3">
        <w:rPr>
          <w:rFonts w:ascii="Arial" w:eastAsia="Arial Narrow" w:hAnsi="Arial" w:cs="Arial"/>
        </w:rPr>
        <w:t>remitido por el DNP</w:t>
      </w:r>
      <w:r w:rsidR="08CB57C5" w:rsidRPr="00BE36D3">
        <w:rPr>
          <w:rFonts w:ascii="Arial" w:eastAsia="Arial Narrow" w:hAnsi="Arial" w:cs="Arial"/>
        </w:rPr>
        <w:t xml:space="preserve">, por lo cual </w:t>
      </w:r>
      <w:r w:rsidR="5CC829B9" w:rsidRPr="00BE36D3">
        <w:rPr>
          <w:rFonts w:ascii="Arial" w:eastAsia="Arial Narrow" w:hAnsi="Arial" w:cs="Arial"/>
        </w:rPr>
        <w:t xml:space="preserve">la información de esta vigencia </w:t>
      </w:r>
      <w:r w:rsidR="08CB57C5" w:rsidRPr="00BE36D3">
        <w:rPr>
          <w:rFonts w:ascii="Arial" w:eastAsia="Arial Narrow" w:hAnsi="Arial" w:cs="Arial"/>
        </w:rPr>
        <w:t xml:space="preserve">se actualizó con la información reportada por la Entidad Territorial en el </w:t>
      </w:r>
      <w:r w:rsidR="7AF01225" w:rsidRPr="00BE36D3">
        <w:rPr>
          <w:rFonts w:ascii="Arial" w:eastAsia="Arial Narrow" w:hAnsi="Arial" w:cs="Arial"/>
        </w:rPr>
        <w:t>Form</w:t>
      </w:r>
      <w:r w:rsidR="007704D3">
        <w:rPr>
          <w:rFonts w:ascii="Arial" w:eastAsia="Arial Narrow" w:hAnsi="Arial" w:cs="Arial"/>
        </w:rPr>
        <w:t>ulario</w:t>
      </w:r>
      <w:r w:rsidR="7AF01225" w:rsidRPr="00BE36D3">
        <w:rPr>
          <w:rFonts w:ascii="Arial" w:eastAsia="Arial Narrow" w:hAnsi="Arial" w:cs="Arial"/>
        </w:rPr>
        <w:t xml:space="preserve"> Único Territorial-</w:t>
      </w:r>
      <w:r w:rsidR="08CB57C5" w:rsidRPr="00BE36D3">
        <w:rPr>
          <w:rFonts w:ascii="Arial" w:eastAsia="Arial Narrow" w:hAnsi="Arial" w:cs="Arial"/>
        </w:rPr>
        <w:t>FUT.</w:t>
      </w:r>
    </w:p>
    <w:p w:rsidR="00965AB7" w:rsidRPr="00BE36D3" w:rsidRDefault="00965AB7" w:rsidP="00CC548E">
      <w:pPr>
        <w:spacing w:line="240" w:lineRule="auto"/>
        <w:contextualSpacing/>
        <w:jc w:val="both"/>
        <w:rPr>
          <w:rFonts w:ascii="Arial" w:eastAsia="Arial Narrow" w:hAnsi="Arial" w:cs="Arial"/>
        </w:rPr>
      </w:pPr>
    </w:p>
    <w:p w:rsidR="3559D86F" w:rsidRPr="00BE36D3" w:rsidRDefault="3559D86F" w:rsidP="00CC548E">
      <w:pPr>
        <w:spacing w:line="240" w:lineRule="auto"/>
        <w:contextualSpacing/>
        <w:jc w:val="both"/>
        <w:rPr>
          <w:rFonts w:ascii="Arial" w:eastAsia="Arial Narrow" w:hAnsi="Arial" w:cs="Arial"/>
          <w:b/>
          <w:bCs/>
        </w:rPr>
      </w:pPr>
      <w:r w:rsidRPr="00BE36D3">
        <w:rPr>
          <w:rFonts w:ascii="Arial" w:eastAsia="Arial Narrow" w:hAnsi="Arial" w:cs="Arial"/>
          <w:b/>
          <w:bCs/>
        </w:rPr>
        <w:t>3.1 INGRESOS</w:t>
      </w:r>
      <w:r w:rsidR="00D6457B">
        <w:rPr>
          <w:rFonts w:ascii="Arial" w:eastAsia="Arial Narrow" w:hAnsi="Arial" w:cs="Arial"/>
          <w:b/>
          <w:bCs/>
        </w:rPr>
        <w:t>.</w:t>
      </w:r>
    </w:p>
    <w:p w:rsidR="0009074C" w:rsidRPr="00BE36D3" w:rsidRDefault="0009074C" w:rsidP="00CC548E">
      <w:pPr>
        <w:spacing w:line="240" w:lineRule="auto"/>
        <w:contextualSpacing/>
        <w:jc w:val="both"/>
        <w:rPr>
          <w:rFonts w:ascii="Arial" w:eastAsia="Arial Narrow" w:hAnsi="Arial" w:cs="Arial"/>
          <w:b/>
          <w:bCs/>
        </w:rPr>
      </w:pPr>
    </w:p>
    <w:p w:rsidR="2CC5B70F" w:rsidRPr="00BE36D3" w:rsidRDefault="2CC5B70F" w:rsidP="00CC548E">
      <w:pPr>
        <w:pStyle w:val="Prrafodelista"/>
        <w:numPr>
          <w:ilvl w:val="0"/>
          <w:numId w:val="1"/>
        </w:numPr>
        <w:spacing w:line="240" w:lineRule="auto"/>
        <w:jc w:val="both"/>
        <w:rPr>
          <w:rFonts w:ascii="Arial" w:eastAsia="Arial Narrow" w:hAnsi="Arial" w:cs="Arial"/>
          <w:b/>
          <w:bCs/>
        </w:rPr>
      </w:pPr>
      <w:r w:rsidRPr="00BE36D3">
        <w:rPr>
          <w:rFonts w:ascii="Arial" w:eastAsia="Arial Narrow" w:hAnsi="Arial" w:cs="Arial"/>
          <w:b/>
          <w:bCs/>
        </w:rPr>
        <w:t>Análisis de Asignación Participación Propósito General</w:t>
      </w:r>
      <w:r w:rsidR="00D6457B">
        <w:rPr>
          <w:rFonts w:ascii="Arial" w:eastAsia="Arial Narrow" w:hAnsi="Arial" w:cs="Arial"/>
          <w:b/>
          <w:bCs/>
        </w:rPr>
        <w:t>.</w:t>
      </w:r>
    </w:p>
    <w:p w:rsidR="0009074C" w:rsidRPr="00BE36D3" w:rsidRDefault="0009074C" w:rsidP="00CC548E">
      <w:pPr>
        <w:spacing w:line="240" w:lineRule="auto"/>
        <w:contextualSpacing/>
        <w:jc w:val="both"/>
        <w:rPr>
          <w:rFonts w:ascii="Arial" w:eastAsia="Arial Narrow" w:hAnsi="Arial" w:cs="Arial"/>
        </w:rPr>
      </w:pPr>
    </w:p>
    <w:p w:rsidR="003228B5" w:rsidRDefault="003228B5" w:rsidP="00CC548E">
      <w:pPr>
        <w:spacing w:line="240" w:lineRule="auto"/>
        <w:contextualSpacing/>
        <w:jc w:val="both"/>
        <w:rPr>
          <w:rFonts w:ascii="Arial" w:eastAsia="Arial Narrow" w:hAnsi="Arial" w:cs="Arial"/>
        </w:rPr>
      </w:pPr>
      <w:r w:rsidRPr="00BE36D3">
        <w:rPr>
          <w:rFonts w:ascii="Arial" w:eastAsia="Arial Narrow" w:hAnsi="Arial" w:cs="Arial"/>
        </w:rPr>
        <w:t>E</w:t>
      </w:r>
      <w:r w:rsidR="00D6457B">
        <w:rPr>
          <w:rFonts w:ascii="Arial" w:eastAsia="Arial Narrow" w:hAnsi="Arial" w:cs="Arial"/>
        </w:rPr>
        <w:t>n e</w:t>
      </w:r>
      <w:r w:rsidRPr="00BE36D3">
        <w:rPr>
          <w:rFonts w:ascii="Arial" w:eastAsia="Arial Narrow" w:hAnsi="Arial" w:cs="Arial"/>
        </w:rPr>
        <w:t xml:space="preserve">l Municipio de Santiago de Tolú - Sucre </w:t>
      </w:r>
      <w:r w:rsidR="00D6457B">
        <w:rPr>
          <w:rFonts w:ascii="Arial" w:eastAsia="Arial Narrow" w:hAnsi="Arial" w:cs="Arial"/>
        </w:rPr>
        <w:t xml:space="preserve">se </w:t>
      </w:r>
      <w:r w:rsidRPr="00BE36D3">
        <w:rPr>
          <w:rFonts w:ascii="Arial" w:eastAsia="Arial Narrow" w:hAnsi="Arial" w:cs="Arial"/>
        </w:rPr>
        <w:t>evidenció un crecimiento de los recursos asignados por concepto de SGP-Propósito General de 0,6</w:t>
      </w:r>
      <w:r w:rsidR="00EE26A7">
        <w:rPr>
          <w:rFonts w:ascii="Arial" w:eastAsia="Arial Narrow" w:hAnsi="Arial" w:cs="Arial"/>
        </w:rPr>
        <w:t xml:space="preserve"> </w:t>
      </w:r>
      <w:r w:rsidRPr="00BE36D3">
        <w:rPr>
          <w:rFonts w:ascii="Arial" w:eastAsia="Arial Narrow" w:hAnsi="Arial" w:cs="Arial"/>
        </w:rPr>
        <w:t>% entre las vigencias 2017 y 2018 y de 2,1</w:t>
      </w:r>
      <w:r w:rsidR="00EE26A7">
        <w:rPr>
          <w:rFonts w:ascii="Arial" w:eastAsia="Arial Narrow" w:hAnsi="Arial" w:cs="Arial"/>
        </w:rPr>
        <w:t xml:space="preserve"> </w:t>
      </w:r>
      <w:r w:rsidRPr="00BE36D3">
        <w:rPr>
          <w:rFonts w:ascii="Arial" w:eastAsia="Arial Narrow" w:hAnsi="Arial" w:cs="Arial"/>
        </w:rPr>
        <w:t xml:space="preserve">% entre las vigencias 2018 y 2019 como se muestra en la </w:t>
      </w:r>
      <w:r w:rsidR="00EE26A7">
        <w:rPr>
          <w:rFonts w:ascii="Arial" w:eastAsia="Arial Narrow" w:hAnsi="Arial" w:cs="Arial"/>
        </w:rPr>
        <w:t>G</w:t>
      </w:r>
      <w:r w:rsidRPr="00BE36D3">
        <w:rPr>
          <w:rFonts w:ascii="Arial" w:eastAsia="Arial Narrow" w:hAnsi="Arial" w:cs="Arial"/>
        </w:rPr>
        <w:t xml:space="preserve">ráfica No. 2. Lo anterior demuestra que el crecimiento ha sido mínimo y el ingreso del </w:t>
      </w:r>
      <w:r w:rsidR="00EE26A7">
        <w:rPr>
          <w:rFonts w:ascii="Arial" w:eastAsia="Arial Narrow" w:hAnsi="Arial" w:cs="Arial"/>
        </w:rPr>
        <w:t>M</w:t>
      </w:r>
      <w:r w:rsidRPr="00BE36D3">
        <w:rPr>
          <w:rFonts w:ascii="Arial" w:eastAsia="Arial Narrow" w:hAnsi="Arial" w:cs="Arial"/>
        </w:rPr>
        <w:t>unicipio por Propósito General ha tenido un comportamiento constante en las últimas tres vigencias. Este ingreso fue de $2.628.092.630 en 2017, de $2.644.498.612 en 2018 y de $2.699.709.938 en 2019.</w:t>
      </w:r>
    </w:p>
    <w:p w:rsidR="00F4471B" w:rsidRDefault="00F4471B">
      <w:pPr>
        <w:rPr>
          <w:rFonts w:ascii="Arial" w:eastAsia="Arial Narrow" w:hAnsi="Arial" w:cs="Arial"/>
        </w:rPr>
      </w:pPr>
      <w:r>
        <w:rPr>
          <w:rFonts w:ascii="Arial" w:eastAsia="Arial Narrow" w:hAnsi="Arial" w:cs="Arial"/>
        </w:rPr>
        <w:br w:type="page"/>
      </w:r>
    </w:p>
    <w:p w:rsidR="00F4471B" w:rsidRPr="00BE36D3" w:rsidRDefault="00F4471B" w:rsidP="00CC548E">
      <w:pPr>
        <w:spacing w:line="240" w:lineRule="auto"/>
        <w:contextualSpacing/>
        <w:jc w:val="both"/>
        <w:rPr>
          <w:rFonts w:ascii="Arial" w:eastAsia="Arial Narrow" w:hAnsi="Arial" w:cs="Arial"/>
        </w:rPr>
      </w:pPr>
    </w:p>
    <w:p w:rsidR="003228B5" w:rsidRPr="00BE36D3" w:rsidRDefault="003228B5" w:rsidP="00CC548E">
      <w:pPr>
        <w:pStyle w:val="Prrafodelista"/>
        <w:spacing w:after="0" w:line="240" w:lineRule="auto"/>
        <w:jc w:val="center"/>
        <w:rPr>
          <w:rFonts w:ascii="Arial" w:eastAsia="Arial Narrow" w:hAnsi="Arial" w:cs="Arial"/>
          <w:b/>
          <w:bCs/>
          <w:sz w:val="20"/>
          <w:szCs w:val="20"/>
        </w:rPr>
      </w:pPr>
      <w:r w:rsidRPr="00BE36D3">
        <w:rPr>
          <w:rFonts w:ascii="Arial" w:eastAsia="Arial Narrow" w:hAnsi="Arial" w:cs="Arial"/>
          <w:b/>
          <w:bCs/>
          <w:sz w:val="20"/>
          <w:szCs w:val="20"/>
        </w:rPr>
        <w:t xml:space="preserve">Gráfica No. </w:t>
      </w:r>
      <w:r w:rsidR="00C51C54" w:rsidRPr="00BE36D3">
        <w:rPr>
          <w:rFonts w:ascii="Arial" w:eastAsia="Arial Narrow" w:hAnsi="Arial" w:cs="Arial"/>
          <w:b/>
          <w:bCs/>
          <w:sz w:val="20"/>
          <w:szCs w:val="20"/>
        </w:rPr>
        <w:t>1</w:t>
      </w:r>
    </w:p>
    <w:p w:rsidR="003228B5" w:rsidRPr="00BE36D3" w:rsidRDefault="003228B5" w:rsidP="00CC548E">
      <w:pPr>
        <w:pStyle w:val="Prrafodelista"/>
        <w:spacing w:after="0" w:line="240" w:lineRule="auto"/>
        <w:jc w:val="center"/>
        <w:rPr>
          <w:rFonts w:ascii="Arial" w:hAnsi="Arial" w:cs="Arial"/>
          <w:sz w:val="20"/>
          <w:szCs w:val="20"/>
        </w:rPr>
      </w:pPr>
      <w:r w:rsidRPr="00BE36D3">
        <w:rPr>
          <w:rFonts w:ascii="Arial" w:hAnsi="Arial" w:cs="Arial"/>
          <w:sz w:val="20"/>
          <w:szCs w:val="20"/>
        </w:rPr>
        <w:t>Crecimiento de la de la Participación de Propósito General vigencias 2017-2019</w:t>
      </w:r>
    </w:p>
    <w:p w:rsidR="003228B5" w:rsidRPr="00BE36D3" w:rsidRDefault="003228B5" w:rsidP="00CC548E">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3228B5" w:rsidRPr="00BE36D3" w:rsidRDefault="003228B5" w:rsidP="00CC548E">
      <w:pPr>
        <w:pStyle w:val="Prrafodelista"/>
        <w:spacing w:after="0" w:line="240" w:lineRule="auto"/>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p w:rsidR="003228B5" w:rsidRPr="00BE36D3" w:rsidRDefault="003228B5" w:rsidP="00CC548E">
      <w:pPr>
        <w:pStyle w:val="Prrafodelista"/>
        <w:spacing w:after="0" w:line="240" w:lineRule="auto"/>
        <w:jc w:val="center"/>
        <w:rPr>
          <w:rFonts w:ascii="Arial" w:hAnsi="Arial" w:cs="Arial"/>
          <w:sz w:val="18"/>
          <w:szCs w:val="18"/>
        </w:rPr>
      </w:pPr>
      <w:r w:rsidRPr="00BE36D3">
        <w:rPr>
          <w:rFonts w:ascii="Arial" w:hAnsi="Arial" w:cs="Arial"/>
          <w:noProof/>
          <w:lang w:eastAsia="es-CO"/>
        </w:rPr>
        <w:drawing>
          <wp:inline distT="0" distB="0" distL="0" distR="0">
            <wp:extent cx="4204804" cy="2527540"/>
            <wp:effectExtent l="0" t="0" r="571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5">
                      <a:extLst>
                        <a:ext uri="{28A0092B-C50C-407E-A947-70E740481C1C}">
                          <a14:useLocalDpi xmlns:a14="http://schemas.microsoft.com/office/drawing/2010/main" val="0"/>
                        </a:ext>
                      </a:extLst>
                    </a:blip>
                    <a:stretch>
                      <a:fillRect/>
                    </a:stretch>
                  </pic:blipFill>
                  <pic:spPr>
                    <a:xfrm>
                      <a:off x="0" y="0"/>
                      <a:ext cx="4255485" cy="2558005"/>
                    </a:xfrm>
                    <a:prstGeom prst="rect">
                      <a:avLst/>
                    </a:prstGeom>
                  </pic:spPr>
                </pic:pic>
              </a:graphicData>
            </a:graphic>
          </wp:inline>
        </w:drawing>
      </w:r>
    </w:p>
    <w:p w:rsidR="003228B5" w:rsidRPr="00BE36D3" w:rsidRDefault="003228B5" w:rsidP="00CC548E">
      <w:pPr>
        <w:pStyle w:val="Sinespaciado"/>
        <w:ind w:left="720"/>
        <w:contextualSpacing/>
        <w:jc w:val="center"/>
        <w:rPr>
          <w:rFonts w:ascii="Arial" w:hAnsi="Arial" w:cs="Arial"/>
          <w:sz w:val="20"/>
          <w:szCs w:val="20"/>
        </w:rPr>
      </w:pPr>
      <w:r w:rsidRPr="00BE36D3">
        <w:rPr>
          <w:rFonts w:ascii="Arial" w:hAnsi="Arial" w:cs="Arial"/>
          <w:b/>
          <w:bCs/>
          <w:sz w:val="20"/>
          <w:szCs w:val="20"/>
        </w:rPr>
        <w:t>Fuente:</w:t>
      </w:r>
      <w:r w:rsidRPr="00BE36D3">
        <w:rPr>
          <w:rFonts w:ascii="Arial" w:hAnsi="Arial" w:cs="Arial"/>
          <w:sz w:val="20"/>
          <w:szCs w:val="20"/>
        </w:rPr>
        <w:t xml:space="preserve"> Elaboración propia con base en la información de los Documentos de Distribución SGP-13-2016, SGP-15-2017, SGP-23-2017, SGP-26-2018, SGP-33-2018 y SGP-36-2019.</w:t>
      </w:r>
    </w:p>
    <w:p w:rsidR="00965AB7" w:rsidRPr="00BE36D3" w:rsidRDefault="00965AB7" w:rsidP="00CC548E">
      <w:pPr>
        <w:spacing w:line="240" w:lineRule="auto"/>
        <w:contextualSpacing/>
        <w:jc w:val="both"/>
        <w:rPr>
          <w:rFonts w:ascii="Arial" w:eastAsiaTheme="minorEastAsia" w:hAnsi="Arial" w:cs="Arial"/>
        </w:rPr>
      </w:pPr>
    </w:p>
    <w:p w:rsidR="00082349" w:rsidRDefault="000F505E" w:rsidP="00CC548E">
      <w:pPr>
        <w:spacing w:line="240" w:lineRule="auto"/>
        <w:contextualSpacing/>
        <w:jc w:val="both"/>
        <w:rPr>
          <w:rFonts w:ascii="Arial" w:eastAsia="Arial Narrow" w:hAnsi="Arial" w:cs="Arial"/>
          <w:b/>
          <w:bCs/>
          <w:sz w:val="20"/>
          <w:szCs w:val="20"/>
        </w:rPr>
      </w:pPr>
      <w:r w:rsidRPr="00BE36D3">
        <w:rPr>
          <w:rFonts w:ascii="Arial" w:eastAsiaTheme="minorEastAsia" w:hAnsi="Arial" w:cs="Arial"/>
        </w:rPr>
        <w:t xml:space="preserve">En cuanto a la asignación de recursos </w:t>
      </w:r>
      <w:r w:rsidR="00545225" w:rsidRPr="00BE36D3">
        <w:rPr>
          <w:rFonts w:ascii="Arial" w:eastAsiaTheme="minorEastAsia" w:hAnsi="Arial" w:cs="Arial"/>
        </w:rPr>
        <w:t xml:space="preserve">para la Participación de Propósito General, </w:t>
      </w:r>
      <w:r w:rsidRPr="00BE36D3">
        <w:rPr>
          <w:rFonts w:ascii="Arial" w:eastAsiaTheme="minorEastAsia" w:hAnsi="Arial" w:cs="Arial"/>
        </w:rPr>
        <w:t xml:space="preserve">de acuerdo con cada </w:t>
      </w:r>
      <w:r w:rsidR="0051543A" w:rsidRPr="00BE36D3">
        <w:rPr>
          <w:rFonts w:ascii="Arial" w:eastAsiaTheme="minorEastAsia" w:hAnsi="Arial" w:cs="Arial"/>
        </w:rPr>
        <w:t>criterio utilizado por el D</w:t>
      </w:r>
      <w:r w:rsidR="3FCA4D3B" w:rsidRPr="00BE36D3">
        <w:rPr>
          <w:rFonts w:ascii="Arial" w:eastAsiaTheme="minorEastAsia" w:hAnsi="Arial" w:cs="Arial"/>
        </w:rPr>
        <w:t>NP</w:t>
      </w:r>
      <w:r w:rsidR="0051543A" w:rsidRPr="00BE36D3">
        <w:rPr>
          <w:rFonts w:ascii="Arial" w:eastAsiaTheme="minorEastAsia" w:hAnsi="Arial" w:cs="Arial"/>
        </w:rPr>
        <w:t xml:space="preserve"> (</w:t>
      </w:r>
      <w:r w:rsidR="00EE26A7">
        <w:rPr>
          <w:rFonts w:ascii="Arial" w:eastAsiaTheme="minorEastAsia" w:hAnsi="Arial" w:cs="Arial"/>
        </w:rPr>
        <w:t>p</w:t>
      </w:r>
      <w:r w:rsidR="0051543A" w:rsidRPr="00BE36D3">
        <w:rPr>
          <w:rFonts w:ascii="Arial" w:eastAsiaTheme="minorEastAsia" w:hAnsi="Arial" w:cs="Arial"/>
        </w:rPr>
        <w:t>oblación, pobreza relativa, eficiencia fiscal y eficiencia administrativa), se evidenció que para el caso del Municipio de Santiago de Tolú</w:t>
      </w:r>
      <w:r w:rsidR="5EC510C6" w:rsidRPr="00BE36D3">
        <w:rPr>
          <w:rFonts w:ascii="Arial" w:eastAsiaTheme="minorEastAsia" w:hAnsi="Arial" w:cs="Arial"/>
        </w:rPr>
        <w:t xml:space="preserve"> </w:t>
      </w:r>
      <w:r w:rsidR="0051543A" w:rsidRPr="00BE36D3">
        <w:rPr>
          <w:rFonts w:ascii="Arial" w:eastAsiaTheme="minorEastAsia" w:hAnsi="Arial" w:cs="Arial"/>
        </w:rPr>
        <w:t>-</w:t>
      </w:r>
      <w:r w:rsidR="200516F4" w:rsidRPr="00BE36D3">
        <w:rPr>
          <w:rFonts w:ascii="Arial" w:eastAsiaTheme="minorEastAsia" w:hAnsi="Arial" w:cs="Arial"/>
        </w:rPr>
        <w:t xml:space="preserve"> </w:t>
      </w:r>
      <w:r w:rsidR="0051543A" w:rsidRPr="00BE36D3">
        <w:rPr>
          <w:rFonts w:ascii="Arial" w:eastAsiaTheme="minorEastAsia" w:hAnsi="Arial" w:cs="Arial"/>
        </w:rPr>
        <w:t>Sucr</w:t>
      </w:r>
      <w:r w:rsidR="00FE1769" w:rsidRPr="00BE36D3">
        <w:rPr>
          <w:rFonts w:ascii="Arial" w:eastAsiaTheme="minorEastAsia" w:hAnsi="Arial" w:cs="Arial"/>
        </w:rPr>
        <w:t>e la asignación por los dos primeros criterios ha tenido un incremento a lo largo de las vigencias analizadas. El incremento</w:t>
      </w:r>
      <w:r w:rsidR="00EB4EE0" w:rsidRPr="00BE36D3">
        <w:rPr>
          <w:rFonts w:ascii="Arial" w:eastAsiaTheme="minorEastAsia" w:hAnsi="Arial" w:cs="Arial"/>
        </w:rPr>
        <w:t xml:space="preserve"> más pronunciado se dio en la vigencia 2019 en donde</w:t>
      </w:r>
      <w:r w:rsidR="00CC1EEB" w:rsidRPr="00BE36D3">
        <w:rPr>
          <w:rFonts w:ascii="Arial" w:eastAsiaTheme="minorEastAsia" w:hAnsi="Arial" w:cs="Arial"/>
        </w:rPr>
        <w:t>,</w:t>
      </w:r>
      <w:r w:rsidR="00EB4EE0" w:rsidRPr="00BE36D3">
        <w:rPr>
          <w:rFonts w:ascii="Arial" w:eastAsiaTheme="minorEastAsia" w:hAnsi="Arial" w:cs="Arial"/>
        </w:rPr>
        <w:t xml:space="preserve"> por cuenta del criterio poblacional</w:t>
      </w:r>
      <w:r w:rsidR="00CC1EEB" w:rsidRPr="00BE36D3">
        <w:rPr>
          <w:rFonts w:ascii="Arial" w:eastAsiaTheme="minorEastAsia" w:hAnsi="Arial" w:cs="Arial"/>
        </w:rPr>
        <w:t xml:space="preserve">, </w:t>
      </w:r>
      <w:r w:rsidR="00EB4EE0" w:rsidRPr="00BE36D3">
        <w:rPr>
          <w:rFonts w:ascii="Arial" w:eastAsiaTheme="minorEastAsia" w:hAnsi="Arial" w:cs="Arial"/>
        </w:rPr>
        <w:t xml:space="preserve">la asignación creció un </w:t>
      </w:r>
      <w:r w:rsidR="005D1E91" w:rsidRPr="00BE36D3">
        <w:rPr>
          <w:rFonts w:ascii="Arial" w:eastAsiaTheme="minorEastAsia" w:hAnsi="Arial" w:cs="Arial"/>
        </w:rPr>
        <w:t>12,9</w:t>
      </w:r>
      <w:r w:rsidR="00EE26A7">
        <w:rPr>
          <w:rFonts w:ascii="Arial" w:eastAsiaTheme="minorEastAsia" w:hAnsi="Arial" w:cs="Arial"/>
        </w:rPr>
        <w:t xml:space="preserve"> </w:t>
      </w:r>
      <w:r w:rsidR="005D1E91" w:rsidRPr="00BE36D3">
        <w:rPr>
          <w:rFonts w:ascii="Arial" w:eastAsiaTheme="minorEastAsia" w:hAnsi="Arial" w:cs="Arial"/>
        </w:rPr>
        <w:t xml:space="preserve">% y por el criterio de pobreza relativa aumentó </w:t>
      </w:r>
      <w:r w:rsidR="00631CD8" w:rsidRPr="00BE36D3">
        <w:rPr>
          <w:rFonts w:ascii="Arial" w:eastAsiaTheme="minorEastAsia" w:hAnsi="Arial" w:cs="Arial"/>
        </w:rPr>
        <w:t>12,1</w:t>
      </w:r>
      <w:r w:rsidR="00EE26A7">
        <w:rPr>
          <w:rFonts w:ascii="Arial" w:eastAsiaTheme="minorEastAsia" w:hAnsi="Arial" w:cs="Arial"/>
        </w:rPr>
        <w:t xml:space="preserve"> </w:t>
      </w:r>
      <w:r w:rsidR="00631CD8" w:rsidRPr="00BE36D3">
        <w:rPr>
          <w:rFonts w:ascii="Arial" w:eastAsiaTheme="minorEastAsia" w:hAnsi="Arial" w:cs="Arial"/>
        </w:rPr>
        <w:t>%. Sin embargo, el aumento acumulado de la asignación solo fue del 2,1</w:t>
      </w:r>
      <w:r w:rsidR="00EE26A7">
        <w:rPr>
          <w:rFonts w:ascii="Arial" w:eastAsiaTheme="minorEastAsia" w:hAnsi="Arial" w:cs="Arial"/>
        </w:rPr>
        <w:t xml:space="preserve"> </w:t>
      </w:r>
      <w:r w:rsidR="00631CD8" w:rsidRPr="00BE36D3">
        <w:rPr>
          <w:rFonts w:ascii="Arial" w:eastAsiaTheme="minorEastAsia" w:hAnsi="Arial" w:cs="Arial"/>
        </w:rPr>
        <w:t>% entre 2018 y 2019, esto se debe principalmente a que la asignación por cuenta del criterio de eficiencia administrativa cayó 58</w:t>
      </w:r>
      <w:r w:rsidR="000022CF" w:rsidRPr="00BE36D3">
        <w:rPr>
          <w:rFonts w:ascii="Arial" w:eastAsiaTheme="minorEastAsia" w:hAnsi="Arial" w:cs="Arial"/>
        </w:rPr>
        <w:t>,9</w:t>
      </w:r>
      <w:r w:rsidR="00EE26A7">
        <w:rPr>
          <w:rFonts w:ascii="Arial" w:eastAsiaTheme="minorEastAsia" w:hAnsi="Arial" w:cs="Arial"/>
        </w:rPr>
        <w:t xml:space="preserve"> </w:t>
      </w:r>
      <w:r w:rsidR="000022CF" w:rsidRPr="00BE36D3">
        <w:rPr>
          <w:rFonts w:ascii="Arial" w:eastAsiaTheme="minorEastAsia" w:hAnsi="Arial" w:cs="Arial"/>
        </w:rPr>
        <w:t xml:space="preserve">% entre 2018 y 2019. Lo anterior indica que el </w:t>
      </w:r>
      <w:r w:rsidR="00EE26A7">
        <w:rPr>
          <w:rFonts w:ascii="Arial" w:eastAsiaTheme="minorEastAsia" w:hAnsi="Arial" w:cs="Arial"/>
        </w:rPr>
        <w:t>M</w:t>
      </w:r>
      <w:r w:rsidR="000022CF" w:rsidRPr="00BE36D3">
        <w:rPr>
          <w:rFonts w:ascii="Arial" w:eastAsiaTheme="minorEastAsia" w:hAnsi="Arial" w:cs="Arial"/>
        </w:rPr>
        <w:t xml:space="preserve">unicipio tuvo un retroceso en los procesos de racionalización del gasto y los cumplimientos de metas de gasto que impone la Ley 617 de 2000. Además, el </w:t>
      </w:r>
      <w:r w:rsidR="00EE26A7">
        <w:rPr>
          <w:rFonts w:ascii="Arial" w:eastAsiaTheme="minorEastAsia" w:hAnsi="Arial" w:cs="Arial"/>
        </w:rPr>
        <w:t>M</w:t>
      </w:r>
      <w:r w:rsidR="000022CF" w:rsidRPr="00BE36D3">
        <w:rPr>
          <w:rFonts w:ascii="Arial" w:eastAsiaTheme="minorEastAsia" w:hAnsi="Arial" w:cs="Arial"/>
        </w:rPr>
        <w:t>unicipio de Santiago de Tolú</w:t>
      </w:r>
      <w:r w:rsidR="435637A0" w:rsidRPr="00BE36D3">
        <w:rPr>
          <w:rFonts w:ascii="Arial" w:eastAsiaTheme="minorEastAsia" w:hAnsi="Arial" w:cs="Arial"/>
        </w:rPr>
        <w:t xml:space="preserve"> </w:t>
      </w:r>
      <w:r w:rsidR="000022CF" w:rsidRPr="00BE36D3">
        <w:rPr>
          <w:rFonts w:ascii="Arial" w:eastAsiaTheme="minorEastAsia" w:hAnsi="Arial" w:cs="Arial"/>
        </w:rPr>
        <w:t>-</w:t>
      </w:r>
      <w:r w:rsidR="17FFDABA" w:rsidRPr="00BE36D3">
        <w:rPr>
          <w:rFonts w:ascii="Arial" w:eastAsiaTheme="minorEastAsia" w:hAnsi="Arial" w:cs="Arial"/>
        </w:rPr>
        <w:t xml:space="preserve"> </w:t>
      </w:r>
      <w:r w:rsidR="000022CF" w:rsidRPr="00BE36D3">
        <w:rPr>
          <w:rFonts w:ascii="Arial" w:eastAsiaTheme="minorEastAsia" w:hAnsi="Arial" w:cs="Arial"/>
        </w:rPr>
        <w:t>Sucre no ha tenido asignación por cuenta del criterio de eficiencia fiscal, lo que quiere decir que</w:t>
      </w:r>
      <w:r w:rsidR="007A09C8" w:rsidRPr="00BE36D3">
        <w:rPr>
          <w:rFonts w:ascii="Arial" w:eastAsiaTheme="minorEastAsia" w:hAnsi="Arial" w:cs="Arial"/>
        </w:rPr>
        <w:t xml:space="preserve"> sus ingresos tributarios no han crecido a lo largo de las vigencias, lo cual indica poca capacidad de generar recursos propios (ver </w:t>
      </w:r>
      <w:r w:rsidR="00EE26A7">
        <w:rPr>
          <w:rFonts w:ascii="Arial" w:eastAsiaTheme="minorEastAsia" w:hAnsi="Arial" w:cs="Arial"/>
        </w:rPr>
        <w:t>G</w:t>
      </w:r>
      <w:r w:rsidR="007A09C8" w:rsidRPr="00BE36D3">
        <w:rPr>
          <w:rFonts w:ascii="Arial" w:eastAsiaTheme="minorEastAsia" w:hAnsi="Arial" w:cs="Arial"/>
        </w:rPr>
        <w:t>ráfico 1).</w:t>
      </w:r>
    </w:p>
    <w:p w:rsidR="00F4471B" w:rsidRDefault="00F4471B">
      <w:pPr>
        <w:rPr>
          <w:rFonts w:ascii="Arial" w:eastAsia="Arial Narrow" w:hAnsi="Arial" w:cs="Arial"/>
          <w:b/>
          <w:bCs/>
          <w:sz w:val="20"/>
          <w:szCs w:val="20"/>
        </w:rPr>
      </w:pPr>
      <w:r>
        <w:rPr>
          <w:rFonts w:ascii="Arial" w:eastAsia="Arial Narrow" w:hAnsi="Arial" w:cs="Arial"/>
          <w:b/>
          <w:bCs/>
          <w:sz w:val="20"/>
          <w:szCs w:val="20"/>
        </w:rPr>
        <w:br w:type="page"/>
      </w:r>
    </w:p>
    <w:p w:rsidR="00082349" w:rsidRDefault="00082349" w:rsidP="00CC548E">
      <w:pPr>
        <w:spacing w:after="0" w:line="240" w:lineRule="auto"/>
        <w:contextualSpacing/>
        <w:jc w:val="center"/>
        <w:rPr>
          <w:rFonts w:ascii="Arial" w:eastAsia="Arial Narrow" w:hAnsi="Arial" w:cs="Arial"/>
          <w:b/>
          <w:bCs/>
          <w:sz w:val="20"/>
          <w:szCs w:val="20"/>
        </w:rPr>
      </w:pPr>
    </w:p>
    <w:p w:rsidR="00401B2B" w:rsidRPr="00BE36D3" w:rsidRDefault="00401B2B" w:rsidP="00CC548E">
      <w:pPr>
        <w:spacing w:after="0" w:line="240" w:lineRule="auto"/>
        <w:contextualSpacing/>
        <w:jc w:val="center"/>
        <w:rPr>
          <w:rFonts w:ascii="Arial" w:eastAsia="Arial Narrow" w:hAnsi="Arial" w:cs="Arial"/>
          <w:b/>
          <w:bCs/>
          <w:sz w:val="20"/>
          <w:szCs w:val="20"/>
        </w:rPr>
      </w:pPr>
      <w:r w:rsidRPr="00BE36D3">
        <w:rPr>
          <w:rFonts w:ascii="Arial" w:eastAsia="Arial Narrow" w:hAnsi="Arial" w:cs="Arial"/>
          <w:b/>
          <w:bCs/>
          <w:sz w:val="20"/>
          <w:szCs w:val="20"/>
        </w:rPr>
        <w:t xml:space="preserve">Gráfica No. </w:t>
      </w:r>
      <w:r w:rsidR="00A7338D" w:rsidRPr="00BE36D3">
        <w:rPr>
          <w:rFonts w:ascii="Arial" w:eastAsia="Arial Narrow" w:hAnsi="Arial" w:cs="Arial"/>
          <w:b/>
          <w:bCs/>
          <w:sz w:val="20"/>
          <w:szCs w:val="20"/>
        </w:rPr>
        <w:t>2</w:t>
      </w:r>
    </w:p>
    <w:p w:rsidR="00191B6E" w:rsidRPr="00BE36D3" w:rsidRDefault="00191B6E" w:rsidP="00CC548E">
      <w:pPr>
        <w:spacing w:after="0" w:line="240" w:lineRule="auto"/>
        <w:contextualSpacing/>
        <w:jc w:val="center"/>
        <w:rPr>
          <w:rFonts w:ascii="Arial" w:hAnsi="Arial" w:cs="Arial"/>
          <w:sz w:val="20"/>
          <w:szCs w:val="20"/>
        </w:rPr>
      </w:pPr>
      <w:r w:rsidRPr="00BE36D3">
        <w:rPr>
          <w:rFonts w:ascii="Arial" w:hAnsi="Arial" w:cs="Arial"/>
          <w:sz w:val="20"/>
          <w:szCs w:val="20"/>
        </w:rPr>
        <w:t>Análisis de la Asignación y distribución por criterios de la Participación de Propósito General</w:t>
      </w:r>
      <w:r w:rsidR="00597DC5" w:rsidRPr="00BE36D3">
        <w:rPr>
          <w:rFonts w:ascii="Arial" w:hAnsi="Arial" w:cs="Arial"/>
          <w:sz w:val="20"/>
          <w:szCs w:val="20"/>
        </w:rPr>
        <w:t xml:space="preserve"> vigencias 2017-2019</w:t>
      </w:r>
    </w:p>
    <w:p w:rsidR="00191B6E" w:rsidRPr="00BE36D3" w:rsidRDefault="00191B6E" w:rsidP="00CC548E">
      <w:pPr>
        <w:spacing w:after="0" w:line="240" w:lineRule="auto"/>
        <w:contextualSpacing/>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401B2B" w:rsidRPr="00BE36D3" w:rsidRDefault="00191B6E" w:rsidP="00CC548E">
      <w:pPr>
        <w:spacing w:after="0" w:line="240" w:lineRule="auto"/>
        <w:contextualSpacing/>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p w:rsidR="22372A3A" w:rsidRPr="00BE36D3" w:rsidRDefault="22372A3A" w:rsidP="00CC548E">
      <w:pPr>
        <w:spacing w:line="240" w:lineRule="auto"/>
        <w:contextualSpacing/>
        <w:jc w:val="center"/>
        <w:rPr>
          <w:rFonts w:ascii="Arial" w:hAnsi="Arial" w:cs="Arial"/>
        </w:rPr>
      </w:pPr>
      <w:r w:rsidRPr="00BE36D3">
        <w:rPr>
          <w:rFonts w:ascii="Arial" w:hAnsi="Arial" w:cs="Arial"/>
          <w:noProof/>
          <w:lang w:eastAsia="es-CO"/>
        </w:rPr>
        <w:drawing>
          <wp:inline distT="0" distB="0" distL="0" distR="0">
            <wp:extent cx="4155033" cy="2219506"/>
            <wp:effectExtent l="0" t="0" r="0" b="9525"/>
            <wp:docPr id="802842146" name="Imagen 176541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5413290"/>
                    <pic:cNvPicPr/>
                  </pic:nvPicPr>
                  <pic:blipFill>
                    <a:blip r:embed="rId16">
                      <a:extLst>
                        <a:ext uri="{28A0092B-C50C-407E-A947-70E740481C1C}">
                          <a14:useLocalDpi xmlns:a14="http://schemas.microsoft.com/office/drawing/2010/main" val="0"/>
                        </a:ext>
                      </a:extLst>
                    </a:blip>
                    <a:stretch>
                      <a:fillRect/>
                    </a:stretch>
                  </pic:blipFill>
                  <pic:spPr>
                    <a:xfrm>
                      <a:off x="0" y="0"/>
                      <a:ext cx="4196407" cy="2241607"/>
                    </a:xfrm>
                    <a:prstGeom prst="rect">
                      <a:avLst/>
                    </a:prstGeom>
                  </pic:spPr>
                </pic:pic>
              </a:graphicData>
            </a:graphic>
          </wp:inline>
        </w:drawing>
      </w:r>
    </w:p>
    <w:p w:rsidR="006A7B58" w:rsidRPr="00BE36D3" w:rsidRDefault="006A7B58" w:rsidP="00CC548E">
      <w:pPr>
        <w:pStyle w:val="Sinespaciado"/>
        <w:contextualSpacing/>
        <w:jc w:val="center"/>
        <w:rPr>
          <w:rFonts w:ascii="Arial" w:hAnsi="Arial" w:cs="Arial"/>
          <w:sz w:val="20"/>
          <w:szCs w:val="20"/>
        </w:rPr>
      </w:pPr>
      <w:r w:rsidRPr="00BE36D3">
        <w:rPr>
          <w:rFonts w:ascii="Arial" w:hAnsi="Arial" w:cs="Arial"/>
          <w:b/>
          <w:sz w:val="20"/>
          <w:szCs w:val="20"/>
        </w:rPr>
        <w:t>Fuente:</w:t>
      </w:r>
      <w:r w:rsidRPr="00BE36D3">
        <w:rPr>
          <w:rFonts w:ascii="Arial" w:hAnsi="Arial" w:cs="Arial"/>
          <w:sz w:val="20"/>
          <w:szCs w:val="20"/>
        </w:rPr>
        <w:t xml:space="preserve"> Elaboración propia con base en la información de los Documentos de Distribución SGP-13-2016, SGP-15-2017, SGP-23-2017, SGP-26-2018, SGP-33-2018 y SGP-36-2019.</w:t>
      </w:r>
    </w:p>
    <w:p w:rsidR="005A23E9" w:rsidRPr="00BE36D3" w:rsidRDefault="005A23E9" w:rsidP="00CC548E">
      <w:pPr>
        <w:pStyle w:val="Sinespaciado"/>
        <w:contextualSpacing/>
        <w:rPr>
          <w:rFonts w:ascii="Arial" w:hAnsi="Arial" w:cs="Arial"/>
        </w:rPr>
      </w:pPr>
    </w:p>
    <w:p w:rsidR="7B8004BE" w:rsidRPr="00BE36D3" w:rsidRDefault="00D97DE3" w:rsidP="00CC548E">
      <w:pPr>
        <w:spacing w:line="240" w:lineRule="auto"/>
        <w:contextualSpacing/>
        <w:jc w:val="both"/>
        <w:rPr>
          <w:rFonts w:ascii="Arial" w:hAnsi="Arial" w:cs="Arial"/>
        </w:rPr>
      </w:pPr>
      <w:r w:rsidRPr="00BE36D3">
        <w:rPr>
          <w:rFonts w:ascii="Arial" w:hAnsi="Arial" w:cs="Arial"/>
        </w:rPr>
        <w:t xml:space="preserve">El análisis de la asignación por criterios demuestra que la </w:t>
      </w:r>
      <w:r w:rsidR="000966E6">
        <w:rPr>
          <w:rFonts w:ascii="Arial" w:hAnsi="Arial" w:cs="Arial"/>
        </w:rPr>
        <w:t>E</w:t>
      </w:r>
      <w:r w:rsidRPr="00BE36D3">
        <w:rPr>
          <w:rFonts w:ascii="Arial" w:hAnsi="Arial" w:cs="Arial"/>
        </w:rPr>
        <w:t xml:space="preserve">ntidad </w:t>
      </w:r>
      <w:r w:rsidR="000966E6">
        <w:rPr>
          <w:rFonts w:ascii="Arial" w:hAnsi="Arial" w:cs="Arial"/>
        </w:rPr>
        <w:t>T</w:t>
      </w:r>
      <w:r w:rsidRPr="00BE36D3">
        <w:rPr>
          <w:rFonts w:ascii="Arial" w:hAnsi="Arial" w:cs="Arial"/>
        </w:rPr>
        <w:t xml:space="preserve">erritorial ha presentado un retroceso en su capacidad de mantener </w:t>
      </w:r>
      <w:r w:rsidR="001A4A76" w:rsidRPr="00BE36D3">
        <w:rPr>
          <w:rFonts w:ascii="Arial" w:hAnsi="Arial" w:cs="Arial"/>
        </w:rPr>
        <w:t>el umbral respecto a</w:t>
      </w:r>
      <w:r w:rsidRPr="00BE36D3">
        <w:rPr>
          <w:rFonts w:ascii="Arial" w:hAnsi="Arial" w:cs="Arial"/>
        </w:rPr>
        <w:t xml:space="preserve">l límite de gasto de funcionamiento impuesto por las leyes de disciplina fiscal, lo cual se traduce en una disminución de </w:t>
      </w:r>
      <w:r w:rsidR="00DA07B1" w:rsidRPr="00BE36D3">
        <w:rPr>
          <w:rFonts w:ascii="Arial" w:hAnsi="Arial" w:cs="Arial"/>
        </w:rPr>
        <w:t xml:space="preserve">las transferencias por este concepto. Así mismo, </w:t>
      </w:r>
      <w:r w:rsidR="00E902FE" w:rsidRPr="00BE36D3">
        <w:rPr>
          <w:rFonts w:ascii="Arial" w:hAnsi="Arial" w:cs="Arial"/>
        </w:rPr>
        <w:t xml:space="preserve">se evidencia que ha incrementado el monto asignado por cuenta del incremento del número de habitantes </w:t>
      </w:r>
      <w:r w:rsidR="00113041" w:rsidRPr="00BE36D3">
        <w:rPr>
          <w:rFonts w:ascii="Arial" w:hAnsi="Arial" w:cs="Arial"/>
        </w:rPr>
        <w:t xml:space="preserve">y del Índice de Necesidades Básicas Insatisfechas </w:t>
      </w:r>
      <w:r w:rsidR="000966E6">
        <w:rPr>
          <w:rFonts w:ascii="Arial" w:hAnsi="Arial" w:cs="Arial"/>
        </w:rPr>
        <w:t xml:space="preserve">- </w:t>
      </w:r>
      <w:r w:rsidR="00113041" w:rsidRPr="00BE36D3">
        <w:rPr>
          <w:rFonts w:ascii="Arial" w:hAnsi="Arial" w:cs="Arial"/>
        </w:rPr>
        <w:t xml:space="preserve">NBI </w:t>
      </w:r>
      <w:r w:rsidR="00BE0D73" w:rsidRPr="00BE36D3">
        <w:rPr>
          <w:rFonts w:ascii="Arial" w:hAnsi="Arial" w:cs="Arial"/>
        </w:rPr>
        <w:t>utilizado por el DANE para medir</w:t>
      </w:r>
      <w:r w:rsidR="00113041" w:rsidRPr="00BE36D3">
        <w:rPr>
          <w:rFonts w:ascii="Arial" w:hAnsi="Arial" w:cs="Arial"/>
        </w:rPr>
        <w:t xml:space="preserve"> la pobreza relativa. </w:t>
      </w:r>
      <w:r w:rsidR="00275ED3" w:rsidRPr="00BE36D3">
        <w:rPr>
          <w:rFonts w:ascii="Arial" w:hAnsi="Arial" w:cs="Arial"/>
        </w:rPr>
        <w:t xml:space="preserve">Por lo tanto, el incremento en la población </w:t>
      </w:r>
      <w:r w:rsidR="00CD290D" w:rsidRPr="00BE36D3">
        <w:rPr>
          <w:rFonts w:ascii="Arial" w:hAnsi="Arial" w:cs="Arial"/>
        </w:rPr>
        <w:t xml:space="preserve">y </w:t>
      </w:r>
      <w:r w:rsidR="00D242DD" w:rsidRPr="00BE36D3">
        <w:rPr>
          <w:rFonts w:ascii="Arial" w:hAnsi="Arial" w:cs="Arial"/>
        </w:rPr>
        <w:t>el NBI</w:t>
      </w:r>
      <w:r w:rsidR="00AF1614" w:rsidRPr="00BE36D3">
        <w:rPr>
          <w:rFonts w:ascii="Arial" w:hAnsi="Arial" w:cs="Arial"/>
        </w:rPr>
        <w:t xml:space="preserve"> compensaron</w:t>
      </w:r>
      <w:r w:rsidR="00AC0EC9" w:rsidRPr="00BE36D3">
        <w:rPr>
          <w:rFonts w:ascii="Arial" w:hAnsi="Arial" w:cs="Arial"/>
        </w:rPr>
        <w:t xml:space="preserve"> en parte</w:t>
      </w:r>
      <w:r w:rsidR="00AF1614" w:rsidRPr="00BE36D3">
        <w:rPr>
          <w:rFonts w:ascii="Arial" w:hAnsi="Arial" w:cs="Arial"/>
        </w:rPr>
        <w:t xml:space="preserve"> la caída en el criterio de eficiencia administrativa y el nulo crecimiento de </w:t>
      </w:r>
      <w:r w:rsidR="00AC0EC9" w:rsidRPr="00BE36D3">
        <w:rPr>
          <w:rFonts w:ascii="Arial" w:hAnsi="Arial" w:cs="Arial"/>
        </w:rPr>
        <w:t>la eficiencia fiscal</w:t>
      </w:r>
      <w:r w:rsidR="00AF5641" w:rsidRPr="00BE36D3">
        <w:rPr>
          <w:rFonts w:ascii="Arial" w:hAnsi="Arial" w:cs="Arial"/>
        </w:rPr>
        <w:t>, p</w:t>
      </w:r>
      <w:r w:rsidR="001A4A76" w:rsidRPr="00BE36D3">
        <w:rPr>
          <w:rFonts w:ascii="Arial" w:hAnsi="Arial" w:cs="Arial"/>
        </w:rPr>
        <w:t>or lo que</w:t>
      </w:r>
      <w:r w:rsidR="00AF5641" w:rsidRPr="00BE36D3">
        <w:rPr>
          <w:rFonts w:ascii="Arial" w:hAnsi="Arial" w:cs="Arial"/>
        </w:rPr>
        <w:t xml:space="preserve"> el Municipio debe trabajar en mejorar la gestión tributaria y la racionalización de los gastos de funcionamiento</w:t>
      </w:r>
      <w:r w:rsidR="00D242DD" w:rsidRPr="00BE36D3">
        <w:rPr>
          <w:rFonts w:ascii="Arial" w:hAnsi="Arial" w:cs="Arial"/>
        </w:rPr>
        <w:t>.</w:t>
      </w:r>
    </w:p>
    <w:p w:rsidR="0009074C" w:rsidRDefault="0009074C" w:rsidP="00CC548E">
      <w:pPr>
        <w:spacing w:line="240" w:lineRule="auto"/>
        <w:contextualSpacing/>
        <w:jc w:val="both"/>
        <w:rPr>
          <w:rFonts w:ascii="Arial" w:hAnsi="Arial" w:cs="Arial"/>
        </w:rPr>
      </w:pPr>
    </w:p>
    <w:p w:rsidR="00334D01" w:rsidRPr="00BE36D3" w:rsidRDefault="2AD6738F" w:rsidP="00CC548E">
      <w:pPr>
        <w:pStyle w:val="Prrafodelista"/>
        <w:numPr>
          <w:ilvl w:val="0"/>
          <w:numId w:val="1"/>
        </w:numPr>
        <w:spacing w:line="240" w:lineRule="auto"/>
        <w:jc w:val="both"/>
        <w:rPr>
          <w:rFonts w:ascii="Arial" w:eastAsiaTheme="minorEastAsia" w:hAnsi="Arial" w:cs="Arial"/>
          <w:b/>
          <w:bCs/>
        </w:rPr>
      </w:pPr>
      <w:r w:rsidRPr="00BE36D3">
        <w:rPr>
          <w:rFonts w:ascii="Arial" w:hAnsi="Arial" w:cs="Arial"/>
          <w:b/>
          <w:bCs/>
        </w:rPr>
        <w:t>Análisis de Incorporación de Ingresos</w:t>
      </w:r>
      <w:r w:rsidR="000966E6">
        <w:rPr>
          <w:rFonts w:ascii="Arial" w:hAnsi="Arial" w:cs="Arial"/>
          <w:b/>
          <w:bCs/>
        </w:rPr>
        <w:t>.</w:t>
      </w:r>
    </w:p>
    <w:p w:rsidR="00F4471B" w:rsidRDefault="00F4471B" w:rsidP="00CC548E">
      <w:pPr>
        <w:spacing w:line="240" w:lineRule="auto"/>
        <w:contextualSpacing/>
        <w:jc w:val="both"/>
        <w:rPr>
          <w:rFonts w:ascii="Arial" w:eastAsiaTheme="minorEastAsia" w:hAnsi="Arial" w:cs="Arial"/>
        </w:rPr>
      </w:pPr>
    </w:p>
    <w:p w:rsidR="00515FE1" w:rsidRPr="00BE36D3" w:rsidRDefault="003E0EAD" w:rsidP="00CC548E">
      <w:pPr>
        <w:spacing w:line="240" w:lineRule="auto"/>
        <w:contextualSpacing/>
        <w:jc w:val="both"/>
        <w:rPr>
          <w:rFonts w:ascii="Arial" w:eastAsiaTheme="minorEastAsia" w:hAnsi="Arial" w:cs="Arial"/>
        </w:rPr>
      </w:pPr>
      <w:r w:rsidRPr="00BE36D3">
        <w:rPr>
          <w:rFonts w:ascii="Arial" w:eastAsiaTheme="minorEastAsia" w:hAnsi="Arial" w:cs="Arial"/>
        </w:rPr>
        <w:t xml:space="preserve">En cuanto a la incorporación de los recursos </w:t>
      </w:r>
      <w:r w:rsidR="00CD535C" w:rsidRPr="00BE36D3">
        <w:rPr>
          <w:rFonts w:ascii="Arial" w:eastAsiaTheme="minorEastAsia" w:hAnsi="Arial" w:cs="Arial"/>
        </w:rPr>
        <w:t xml:space="preserve">asignados </w:t>
      </w:r>
      <w:r w:rsidR="00585AD2" w:rsidRPr="00BE36D3">
        <w:rPr>
          <w:rFonts w:ascii="Arial" w:eastAsiaTheme="minorEastAsia" w:hAnsi="Arial" w:cs="Arial"/>
        </w:rPr>
        <w:t xml:space="preserve">dentro del presupuesto del </w:t>
      </w:r>
      <w:r w:rsidR="000966E6">
        <w:rPr>
          <w:rFonts w:ascii="Arial" w:eastAsiaTheme="minorEastAsia" w:hAnsi="Arial" w:cs="Arial"/>
        </w:rPr>
        <w:t>M</w:t>
      </w:r>
      <w:r w:rsidR="00585AD2" w:rsidRPr="00BE36D3">
        <w:rPr>
          <w:rFonts w:ascii="Arial" w:eastAsiaTheme="minorEastAsia" w:hAnsi="Arial" w:cs="Arial"/>
        </w:rPr>
        <w:t xml:space="preserve">unicipio </w:t>
      </w:r>
      <w:r w:rsidRPr="00BE36D3">
        <w:rPr>
          <w:rFonts w:ascii="Arial" w:eastAsiaTheme="minorEastAsia" w:hAnsi="Arial" w:cs="Arial"/>
        </w:rPr>
        <w:t>se puede evidenciar el siguiente escenario:</w:t>
      </w:r>
    </w:p>
    <w:p w:rsidR="00F4471B" w:rsidRDefault="00F4471B">
      <w:pPr>
        <w:rPr>
          <w:rFonts w:ascii="Arial" w:eastAsiaTheme="minorEastAsia" w:hAnsi="Arial" w:cs="Arial"/>
        </w:rPr>
      </w:pPr>
      <w:r>
        <w:rPr>
          <w:rFonts w:ascii="Arial" w:eastAsiaTheme="minorEastAsia" w:hAnsi="Arial" w:cs="Arial"/>
        </w:rPr>
        <w:br w:type="page"/>
      </w:r>
    </w:p>
    <w:p w:rsidR="0009074C" w:rsidRPr="00BE36D3" w:rsidRDefault="0009074C" w:rsidP="00CC548E">
      <w:pPr>
        <w:spacing w:line="240" w:lineRule="auto"/>
        <w:contextualSpacing/>
        <w:jc w:val="both"/>
        <w:rPr>
          <w:rFonts w:ascii="Arial" w:eastAsiaTheme="minorEastAsia" w:hAnsi="Arial" w:cs="Arial"/>
        </w:rPr>
      </w:pPr>
    </w:p>
    <w:p w:rsidR="006A7B58" w:rsidRPr="00BE36D3" w:rsidRDefault="006A7B58" w:rsidP="00CC548E">
      <w:pPr>
        <w:spacing w:after="0" w:line="240" w:lineRule="auto"/>
        <w:ind w:left="360"/>
        <w:contextualSpacing/>
        <w:jc w:val="center"/>
        <w:rPr>
          <w:rFonts w:ascii="Arial" w:eastAsia="Arial Narrow" w:hAnsi="Arial" w:cs="Arial"/>
          <w:b/>
          <w:bCs/>
          <w:sz w:val="20"/>
          <w:szCs w:val="20"/>
        </w:rPr>
      </w:pPr>
      <w:r w:rsidRPr="00BE36D3">
        <w:rPr>
          <w:rFonts w:ascii="Arial" w:eastAsia="Arial Narrow" w:hAnsi="Arial" w:cs="Arial"/>
          <w:b/>
          <w:bCs/>
          <w:sz w:val="20"/>
          <w:szCs w:val="20"/>
        </w:rPr>
        <w:t>Cuadro No. 1</w:t>
      </w:r>
    </w:p>
    <w:p w:rsidR="006A7B58" w:rsidRPr="00BE36D3" w:rsidRDefault="006A7B58" w:rsidP="00CC548E">
      <w:pPr>
        <w:pStyle w:val="Prrafodelista"/>
        <w:spacing w:after="0" w:line="240" w:lineRule="auto"/>
        <w:jc w:val="center"/>
        <w:rPr>
          <w:rFonts w:ascii="Arial" w:hAnsi="Arial" w:cs="Arial"/>
          <w:sz w:val="20"/>
          <w:szCs w:val="20"/>
        </w:rPr>
      </w:pPr>
      <w:r w:rsidRPr="00BE36D3">
        <w:rPr>
          <w:rFonts w:ascii="Arial" w:hAnsi="Arial" w:cs="Arial"/>
          <w:sz w:val="20"/>
          <w:szCs w:val="20"/>
        </w:rPr>
        <w:t>Análisis de la</w:t>
      </w:r>
      <w:r w:rsidR="000F26E1" w:rsidRPr="00BE36D3">
        <w:rPr>
          <w:rFonts w:ascii="Arial" w:hAnsi="Arial" w:cs="Arial"/>
          <w:sz w:val="20"/>
          <w:szCs w:val="20"/>
        </w:rPr>
        <w:t xml:space="preserve"> incorporación</w:t>
      </w:r>
      <w:r w:rsidRPr="00BE36D3">
        <w:rPr>
          <w:rFonts w:ascii="Arial" w:hAnsi="Arial" w:cs="Arial"/>
          <w:sz w:val="20"/>
          <w:szCs w:val="20"/>
        </w:rPr>
        <w:t xml:space="preserve"> </w:t>
      </w:r>
      <w:r w:rsidR="00D70AA0" w:rsidRPr="00BE36D3">
        <w:rPr>
          <w:rFonts w:ascii="Arial" w:hAnsi="Arial" w:cs="Arial"/>
          <w:sz w:val="20"/>
          <w:szCs w:val="20"/>
        </w:rPr>
        <w:t>de los recursos de</w:t>
      </w:r>
      <w:r w:rsidRPr="00BE36D3">
        <w:rPr>
          <w:rFonts w:ascii="Arial" w:hAnsi="Arial" w:cs="Arial"/>
          <w:sz w:val="20"/>
          <w:szCs w:val="20"/>
        </w:rPr>
        <w:t xml:space="preserve"> la Participación de Propósito General </w:t>
      </w:r>
      <w:r w:rsidR="00620366" w:rsidRPr="00BE36D3">
        <w:rPr>
          <w:rFonts w:ascii="Arial" w:hAnsi="Arial" w:cs="Arial"/>
          <w:sz w:val="20"/>
          <w:szCs w:val="20"/>
        </w:rPr>
        <w:t>v</w:t>
      </w:r>
      <w:r w:rsidRPr="00BE36D3">
        <w:rPr>
          <w:rFonts w:ascii="Arial" w:hAnsi="Arial" w:cs="Arial"/>
          <w:sz w:val="20"/>
          <w:szCs w:val="20"/>
        </w:rPr>
        <w:t>igencias 2017-2019</w:t>
      </w:r>
    </w:p>
    <w:p w:rsidR="006A7B58" w:rsidRPr="00BE36D3" w:rsidRDefault="006A7B58" w:rsidP="00CC548E">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6A7B58" w:rsidRPr="00BE36D3" w:rsidRDefault="006A7B58" w:rsidP="00CC548E">
      <w:pPr>
        <w:pStyle w:val="Prrafodelista"/>
        <w:spacing w:after="0" w:line="240" w:lineRule="auto"/>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tbl>
      <w:tblPr>
        <w:tblW w:w="9138" w:type="dxa"/>
        <w:tblCellMar>
          <w:left w:w="70" w:type="dxa"/>
          <w:right w:w="70" w:type="dxa"/>
        </w:tblCellMar>
        <w:tblLook w:val="04A0" w:firstRow="1" w:lastRow="0" w:firstColumn="1" w:lastColumn="0" w:noHBand="0" w:noVBand="1"/>
      </w:tblPr>
      <w:tblGrid>
        <w:gridCol w:w="2000"/>
        <w:gridCol w:w="1194"/>
        <w:gridCol w:w="1186"/>
        <w:gridCol w:w="1193"/>
        <w:gridCol w:w="1186"/>
        <w:gridCol w:w="1193"/>
        <w:gridCol w:w="1186"/>
      </w:tblGrid>
      <w:tr w:rsidR="00401B2B" w:rsidRPr="0009074C" w:rsidTr="009E313F">
        <w:trPr>
          <w:trHeight w:val="302"/>
        </w:trPr>
        <w:tc>
          <w:tcPr>
            <w:tcW w:w="0" w:type="auto"/>
            <w:gridSpan w:val="7"/>
            <w:tcBorders>
              <w:top w:val="single" w:sz="4" w:space="0" w:color="auto"/>
              <w:left w:val="single" w:sz="4" w:space="0" w:color="auto"/>
              <w:bottom w:val="single" w:sz="4" w:space="0" w:color="auto"/>
              <w:right w:val="single" w:sz="4" w:space="0" w:color="auto"/>
            </w:tcBorders>
            <w:shd w:val="clear" w:color="000000" w:fill="666699"/>
            <w:noWrap/>
            <w:vAlign w:val="center"/>
            <w:hideMark/>
          </w:tcPr>
          <w:p w:rsidR="00401B2B" w:rsidRPr="00BE36D3" w:rsidRDefault="00401B2B"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Sector Propósito General </w:t>
            </w:r>
            <w:r w:rsidRPr="00BE36D3">
              <w:rPr>
                <w:rFonts w:ascii="Arial" w:eastAsia="Times New Roman" w:hAnsi="Arial" w:cs="Arial"/>
                <w:b/>
                <w:bCs/>
                <w:i/>
                <w:iCs/>
                <w:color w:val="FFFFFF"/>
                <w:sz w:val="16"/>
                <w:szCs w:val="16"/>
                <w:lang w:eastAsia="es-CO"/>
              </w:rPr>
              <w:t>(cifras en pesos)</w:t>
            </w:r>
          </w:p>
        </w:tc>
      </w:tr>
      <w:tr w:rsidR="00401B2B" w:rsidRPr="0009074C" w:rsidTr="009E313F">
        <w:trPr>
          <w:trHeight w:val="302"/>
        </w:trPr>
        <w:tc>
          <w:tcPr>
            <w:tcW w:w="0" w:type="auto"/>
            <w:vMerge w:val="restart"/>
            <w:tcBorders>
              <w:top w:val="nil"/>
              <w:left w:val="single" w:sz="4" w:space="0" w:color="auto"/>
              <w:bottom w:val="single" w:sz="4" w:space="0" w:color="auto"/>
              <w:right w:val="single" w:sz="4" w:space="0" w:color="auto"/>
            </w:tcBorders>
            <w:shd w:val="clear" w:color="000000" w:fill="666699"/>
            <w:vAlign w:val="center"/>
            <w:hideMark/>
          </w:tcPr>
          <w:p w:rsidR="00401B2B" w:rsidRPr="00BE36D3" w:rsidRDefault="00401B2B"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Conceptos</w:t>
            </w:r>
          </w:p>
        </w:tc>
        <w:tc>
          <w:tcPr>
            <w:tcW w:w="0" w:type="auto"/>
            <w:gridSpan w:val="2"/>
            <w:tcBorders>
              <w:top w:val="single" w:sz="4" w:space="0" w:color="auto"/>
              <w:left w:val="nil"/>
              <w:bottom w:val="single" w:sz="4" w:space="0" w:color="auto"/>
              <w:right w:val="single" w:sz="4" w:space="0" w:color="auto"/>
            </w:tcBorders>
            <w:shd w:val="clear" w:color="000000" w:fill="666699"/>
            <w:noWrap/>
            <w:vAlign w:val="center"/>
            <w:hideMark/>
          </w:tcPr>
          <w:p w:rsidR="00401B2B" w:rsidRPr="00BE36D3" w:rsidRDefault="00401B2B"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2017</w:t>
            </w:r>
          </w:p>
        </w:tc>
        <w:tc>
          <w:tcPr>
            <w:tcW w:w="0" w:type="auto"/>
            <w:gridSpan w:val="2"/>
            <w:tcBorders>
              <w:top w:val="single" w:sz="4" w:space="0" w:color="auto"/>
              <w:left w:val="nil"/>
              <w:bottom w:val="single" w:sz="4" w:space="0" w:color="auto"/>
              <w:right w:val="single" w:sz="4" w:space="0" w:color="auto"/>
            </w:tcBorders>
            <w:shd w:val="clear" w:color="000000" w:fill="666699"/>
            <w:vAlign w:val="center"/>
            <w:hideMark/>
          </w:tcPr>
          <w:p w:rsidR="00401B2B" w:rsidRPr="00BE36D3" w:rsidRDefault="00401B2B"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2018</w:t>
            </w:r>
          </w:p>
        </w:tc>
        <w:tc>
          <w:tcPr>
            <w:tcW w:w="0" w:type="auto"/>
            <w:gridSpan w:val="2"/>
            <w:tcBorders>
              <w:top w:val="single" w:sz="4" w:space="0" w:color="auto"/>
              <w:left w:val="nil"/>
              <w:bottom w:val="single" w:sz="4" w:space="0" w:color="auto"/>
              <w:right w:val="single" w:sz="4" w:space="0" w:color="auto"/>
            </w:tcBorders>
            <w:shd w:val="clear" w:color="000000" w:fill="666699"/>
            <w:vAlign w:val="center"/>
            <w:hideMark/>
          </w:tcPr>
          <w:p w:rsidR="00401B2B" w:rsidRPr="00BE36D3" w:rsidRDefault="00401B2B"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2019</w:t>
            </w:r>
          </w:p>
        </w:tc>
      </w:tr>
      <w:tr w:rsidR="00401B2B" w:rsidRPr="0009074C" w:rsidTr="009E313F">
        <w:trPr>
          <w:trHeight w:val="513"/>
        </w:trPr>
        <w:tc>
          <w:tcPr>
            <w:tcW w:w="0" w:type="auto"/>
            <w:vMerge/>
            <w:tcBorders>
              <w:top w:val="nil"/>
              <w:left w:val="single" w:sz="4" w:space="0" w:color="auto"/>
              <w:bottom w:val="single" w:sz="4" w:space="0" w:color="auto"/>
              <w:right w:val="single" w:sz="4" w:space="0" w:color="auto"/>
            </w:tcBorders>
            <w:vAlign w:val="center"/>
            <w:hideMark/>
          </w:tcPr>
          <w:p w:rsidR="00401B2B" w:rsidRPr="00BE36D3" w:rsidRDefault="00401B2B" w:rsidP="00CC548E">
            <w:pPr>
              <w:spacing w:after="0" w:line="240" w:lineRule="auto"/>
              <w:contextualSpacing/>
              <w:rPr>
                <w:rFonts w:ascii="Arial" w:eastAsia="Times New Roman" w:hAnsi="Arial" w:cs="Arial"/>
                <w:b/>
                <w:bCs/>
                <w:color w:val="FFFFFF"/>
                <w:sz w:val="16"/>
                <w:szCs w:val="16"/>
                <w:lang w:eastAsia="es-CO"/>
              </w:rPr>
            </w:pPr>
          </w:p>
        </w:tc>
        <w:tc>
          <w:tcPr>
            <w:tcW w:w="0" w:type="auto"/>
            <w:tcBorders>
              <w:top w:val="nil"/>
              <w:left w:val="nil"/>
              <w:bottom w:val="single" w:sz="4" w:space="0" w:color="auto"/>
              <w:right w:val="single" w:sz="4" w:space="0" w:color="auto"/>
            </w:tcBorders>
            <w:shd w:val="clear" w:color="000000" w:fill="666699"/>
            <w:vAlign w:val="center"/>
            <w:hideMark/>
          </w:tcPr>
          <w:p w:rsidR="00401B2B" w:rsidRPr="00BE36D3" w:rsidRDefault="00401B2B"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Documentos Distribución</w:t>
            </w:r>
          </w:p>
        </w:tc>
        <w:tc>
          <w:tcPr>
            <w:tcW w:w="0" w:type="auto"/>
            <w:tcBorders>
              <w:top w:val="nil"/>
              <w:left w:val="nil"/>
              <w:bottom w:val="single" w:sz="4" w:space="0" w:color="auto"/>
              <w:right w:val="single" w:sz="4" w:space="0" w:color="auto"/>
            </w:tcBorders>
            <w:shd w:val="clear" w:color="000000" w:fill="666699"/>
            <w:vAlign w:val="center"/>
            <w:hideMark/>
          </w:tcPr>
          <w:p w:rsidR="00401B2B" w:rsidRPr="00BE36D3" w:rsidRDefault="00401B2B"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Presupuesto definitivo</w:t>
            </w:r>
          </w:p>
        </w:tc>
        <w:tc>
          <w:tcPr>
            <w:tcW w:w="0" w:type="auto"/>
            <w:tcBorders>
              <w:top w:val="nil"/>
              <w:left w:val="nil"/>
              <w:bottom w:val="single" w:sz="4" w:space="0" w:color="auto"/>
              <w:right w:val="single" w:sz="4" w:space="0" w:color="auto"/>
            </w:tcBorders>
            <w:shd w:val="clear" w:color="000000" w:fill="666699"/>
            <w:vAlign w:val="center"/>
            <w:hideMark/>
          </w:tcPr>
          <w:p w:rsidR="00401B2B" w:rsidRPr="00BE36D3" w:rsidRDefault="00401B2B"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Documentos Distribución</w:t>
            </w:r>
          </w:p>
        </w:tc>
        <w:tc>
          <w:tcPr>
            <w:tcW w:w="0" w:type="auto"/>
            <w:tcBorders>
              <w:top w:val="nil"/>
              <w:left w:val="nil"/>
              <w:bottom w:val="single" w:sz="4" w:space="0" w:color="auto"/>
              <w:right w:val="single" w:sz="4" w:space="0" w:color="auto"/>
            </w:tcBorders>
            <w:shd w:val="clear" w:color="000000" w:fill="666699"/>
            <w:vAlign w:val="center"/>
            <w:hideMark/>
          </w:tcPr>
          <w:p w:rsidR="00401B2B" w:rsidRPr="00BE36D3" w:rsidRDefault="00401B2B"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Presupuesto definitivo</w:t>
            </w:r>
          </w:p>
        </w:tc>
        <w:tc>
          <w:tcPr>
            <w:tcW w:w="0" w:type="auto"/>
            <w:tcBorders>
              <w:top w:val="nil"/>
              <w:left w:val="nil"/>
              <w:bottom w:val="single" w:sz="4" w:space="0" w:color="auto"/>
              <w:right w:val="single" w:sz="4" w:space="0" w:color="auto"/>
            </w:tcBorders>
            <w:shd w:val="clear" w:color="000000" w:fill="666699"/>
            <w:vAlign w:val="center"/>
            <w:hideMark/>
          </w:tcPr>
          <w:p w:rsidR="00401B2B" w:rsidRPr="00BE36D3" w:rsidRDefault="00401B2B"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Documentos Distribución</w:t>
            </w:r>
          </w:p>
        </w:tc>
        <w:tc>
          <w:tcPr>
            <w:tcW w:w="0" w:type="auto"/>
            <w:tcBorders>
              <w:top w:val="nil"/>
              <w:left w:val="nil"/>
              <w:bottom w:val="single" w:sz="4" w:space="0" w:color="auto"/>
              <w:right w:val="single" w:sz="4" w:space="0" w:color="auto"/>
            </w:tcBorders>
            <w:shd w:val="clear" w:color="000000" w:fill="666699"/>
            <w:vAlign w:val="center"/>
            <w:hideMark/>
          </w:tcPr>
          <w:p w:rsidR="00401B2B" w:rsidRPr="00BE36D3" w:rsidRDefault="00401B2B"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Presupuesto definitivo</w:t>
            </w:r>
          </w:p>
        </w:tc>
      </w:tr>
      <w:tr w:rsidR="00401B2B" w:rsidRPr="0009074C" w:rsidTr="009E313F">
        <w:trPr>
          <w:trHeight w:val="513"/>
        </w:trPr>
        <w:tc>
          <w:tcPr>
            <w:tcW w:w="0" w:type="auto"/>
            <w:tcBorders>
              <w:top w:val="nil"/>
              <w:left w:val="single" w:sz="4" w:space="0" w:color="auto"/>
              <w:bottom w:val="single" w:sz="4" w:space="0" w:color="auto"/>
              <w:right w:val="single" w:sz="4" w:space="0" w:color="auto"/>
            </w:tcBorders>
            <w:shd w:val="clear" w:color="000000" w:fill="E5E5FF"/>
            <w:vAlign w:val="center"/>
            <w:hideMark/>
          </w:tcPr>
          <w:p w:rsidR="00401B2B" w:rsidRPr="00BE36D3" w:rsidRDefault="00401B2B" w:rsidP="00CC548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1. Ingresos Corrientes</w:t>
            </w:r>
          </w:p>
        </w:tc>
        <w:tc>
          <w:tcPr>
            <w:tcW w:w="0" w:type="auto"/>
            <w:tcBorders>
              <w:top w:val="nil"/>
              <w:left w:val="nil"/>
              <w:bottom w:val="single" w:sz="4" w:space="0" w:color="auto"/>
              <w:right w:val="single" w:sz="4" w:space="0" w:color="auto"/>
            </w:tcBorders>
            <w:shd w:val="clear" w:color="000000" w:fill="E5E5FF"/>
            <w:vAlign w:val="center"/>
            <w:hideMark/>
          </w:tcPr>
          <w:p w:rsidR="00401B2B" w:rsidRPr="00BE36D3" w:rsidRDefault="00401B2B"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2.628.092.630</w:t>
            </w:r>
          </w:p>
        </w:tc>
        <w:tc>
          <w:tcPr>
            <w:tcW w:w="0" w:type="auto"/>
            <w:tcBorders>
              <w:top w:val="nil"/>
              <w:left w:val="nil"/>
              <w:bottom w:val="single" w:sz="4" w:space="0" w:color="auto"/>
              <w:right w:val="single" w:sz="4" w:space="0" w:color="auto"/>
            </w:tcBorders>
            <w:shd w:val="clear" w:color="000000" w:fill="E5E5FF"/>
            <w:vAlign w:val="center"/>
            <w:hideMark/>
          </w:tcPr>
          <w:p w:rsidR="00401B2B" w:rsidRPr="00BE36D3" w:rsidRDefault="00401B2B"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2.628.092.630</w:t>
            </w:r>
          </w:p>
        </w:tc>
        <w:tc>
          <w:tcPr>
            <w:tcW w:w="0" w:type="auto"/>
            <w:tcBorders>
              <w:top w:val="nil"/>
              <w:left w:val="nil"/>
              <w:bottom w:val="single" w:sz="4" w:space="0" w:color="auto"/>
              <w:right w:val="single" w:sz="4" w:space="0" w:color="auto"/>
            </w:tcBorders>
            <w:shd w:val="clear" w:color="000000" w:fill="E5E5FF"/>
            <w:vAlign w:val="center"/>
            <w:hideMark/>
          </w:tcPr>
          <w:p w:rsidR="00401B2B" w:rsidRPr="00BE36D3" w:rsidRDefault="00401B2B"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2.644.498.612</w:t>
            </w:r>
          </w:p>
        </w:tc>
        <w:tc>
          <w:tcPr>
            <w:tcW w:w="0" w:type="auto"/>
            <w:tcBorders>
              <w:top w:val="nil"/>
              <w:left w:val="nil"/>
              <w:bottom w:val="single" w:sz="4" w:space="0" w:color="auto"/>
              <w:right w:val="single" w:sz="4" w:space="0" w:color="auto"/>
            </w:tcBorders>
            <w:shd w:val="clear" w:color="000000" w:fill="E5E5FF"/>
            <w:vAlign w:val="center"/>
            <w:hideMark/>
          </w:tcPr>
          <w:p w:rsidR="00401B2B" w:rsidRPr="00BE36D3" w:rsidRDefault="00401B2B"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2.644.498.612</w:t>
            </w:r>
          </w:p>
        </w:tc>
        <w:tc>
          <w:tcPr>
            <w:tcW w:w="0" w:type="auto"/>
            <w:tcBorders>
              <w:top w:val="nil"/>
              <w:left w:val="nil"/>
              <w:bottom w:val="single" w:sz="4" w:space="0" w:color="auto"/>
              <w:right w:val="single" w:sz="4" w:space="0" w:color="auto"/>
            </w:tcBorders>
            <w:shd w:val="clear" w:color="000000" w:fill="E5E5FF"/>
            <w:vAlign w:val="center"/>
            <w:hideMark/>
          </w:tcPr>
          <w:p w:rsidR="00401B2B" w:rsidRPr="00BE36D3" w:rsidRDefault="00401B2B"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2.699.709.938</w:t>
            </w:r>
          </w:p>
        </w:tc>
        <w:tc>
          <w:tcPr>
            <w:tcW w:w="0" w:type="auto"/>
            <w:tcBorders>
              <w:top w:val="nil"/>
              <w:left w:val="nil"/>
              <w:bottom w:val="single" w:sz="4" w:space="0" w:color="auto"/>
              <w:right w:val="single" w:sz="4" w:space="0" w:color="auto"/>
            </w:tcBorders>
            <w:shd w:val="clear" w:color="000000" w:fill="E5E5FF"/>
            <w:vAlign w:val="center"/>
            <w:hideMark/>
          </w:tcPr>
          <w:p w:rsidR="00401B2B" w:rsidRPr="00BE36D3" w:rsidRDefault="00401B2B"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2.699.709.938</w:t>
            </w:r>
          </w:p>
        </w:tc>
      </w:tr>
      <w:tr w:rsidR="00401B2B" w:rsidRPr="0009074C" w:rsidTr="009E313F">
        <w:trPr>
          <w:trHeight w:val="3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 xml:space="preserve">1.1. Libre Destinación </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1.103.798.904</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1.103.798.904</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1.133.878.174</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1.133.878.174</w:t>
            </w:r>
          </w:p>
        </w:tc>
      </w:tr>
      <w:tr w:rsidR="00401B2B" w:rsidRPr="0009074C" w:rsidTr="009E313F">
        <w:trPr>
          <w:trHeight w:val="3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1.2. Libre Inversión</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1.310.892.604</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1.310.892.604</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1.319.075.906</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1.319.075.906</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1.346.615.317</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1.346.615.317</w:t>
            </w:r>
          </w:p>
        </w:tc>
      </w:tr>
      <w:tr w:rsidR="00401B2B" w:rsidRPr="0009074C" w:rsidTr="009E313F">
        <w:trPr>
          <w:trHeight w:val="3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1.3. Deporte y Recreación</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121.943.498</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121.943.498</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122.704.736</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122.704.736</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125.266.541</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125.266.541</w:t>
            </w:r>
          </w:p>
        </w:tc>
      </w:tr>
      <w:tr w:rsidR="00401B2B" w:rsidRPr="0009074C" w:rsidTr="009E313F">
        <w:trPr>
          <w:trHeight w:val="3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1.4. Cultura</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91.457.624</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91.457.624</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92.028.552</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92.028.552</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93.949.906</w:t>
            </w:r>
          </w:p>
        </w:tc>
        <w:tc>
          <w:tcPr>
            <w:tcW w:w="0" w:type="auto"/>
            <w:tcBorders>
              <w:top w:val="nil"/>
              <w:left w:val="nil"/>
              <w:bottom w:val="single" w:sz="4" w:space="0" w:color="auto"/>
              <w:right w:val="single" w:sz="4" w:space="0" w:color="auto"/>
            </w:tcBorders>
            <w:shd w:val="clear" w:color="auto" w:fill="auto"/>
            <w:noWrap/>
            <w:vAlign w:val="center"/>
            <w:hideMark/>
          </w:tcPr>
          <w:p w:rsidR="00401B2B" w:rsidRPr="00BE36D3" w:rsidRDefault="00401B2B"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93.949.906</w:t>
            </w:r>
          </w:p>
        </w:tc>
      </w:tr>
    </w:tbl>
    <w:p w:rsidR="00F02C9F" w:rsidRPr="00BE36D3" w:rsidRDefault="00F02C9F" w:rsidP="00CC548E">
      <w:pPr>
        <w:spacing w:line="240" w:lineRule="auto"/>
        <w:contextualSpacing/>
        <w:jc w:val="center"/>
        <w:rPr>
          <w:rFonts w:ascii="Arial" w:hAnsi="Arial" w:cs="Arial"/>
          <w:b/>
          <w:sz w:val="18"/>
          <w:szCs w:val="18"/>
        </w:rPr>
      </w:pPr>
      <w:r w:rsidRPr="00BE36D3">
        <w:rPr>
          <w:rFonts w:ascii="Arial" w:hAnsi="Arial" w:cs="Arial"/>
          <w:b/>
          <w:sz w:val="18"/>
          <w:szCs w:val="18"/>
        </w:rPr>
        <w:t xml:space="preserve">Fuente: </w:t>
      </w:r>
      <w:r w:rsidRPr="00BE36D3">
        <w:rPr>
          <w:rFonts w:ascii="Arial" w:hAnsi="Arial" w:cs="Arial"/>
          <w:sz w:val="18"/>
          <w:szCs w:val="18"/>
        </w:rPr>
        <w:t xml:space="preserve">Elaboración propia con base en la información presupuestal proporcionada por la administración municipal y los Documentos de Distribución SGP-13-2016, SGP-15-2017, </w:t>
      </w:r>
      <w:r w:rsidRPr="00BE36D3">
        <w:rPr>
          <w:rFonts w:ascii="Arial" w:eastAsia="Times New Roman" w:hAnsi="Arial" w:cs="Arial"/>
          <w:color w:val="171717"/>
          <w:sz w:val="18"/>
          <w:szCs w:val="18"/>
          <w:lang w:eastAsia="es-CO"/>
        </w:rPr>
        <w:t>SGP-23-2017, SGP-26-2018, SGP-33-2018 y SGP-36-2019</w:t>
      </w:r>
      <w:r w:rsidRPr="00BE36D3">
        <w:rPr>
          <w:rFonts w:ascii="Arial" w:hAnsi="Arial" w:cs="Arial"/>
          <w:sz w:val="18"/>
          <w:szCs w:val="18"/>
        </w:rPr>
        <w:t>.</w:t>
      </w:r>
    </w:p>
    <w:p w:rsidR="0009074C" w:rsidRPr="00BE36D3" w:rsidRDefault="0009074C" w:rsidP="00CC548E">
      <w:pPr>
        <w:spacing w:line="240" w:lineRule="auto"/>
        <w:contextualSpacing/>
        <w:jc w:val="both"/>
        <w:rPr>
          <w:rFonts w:ascii="Arial" w:hAnsi="Arial" w:cs="Arial"/>
        </w:rPr>
      </w:pPr>
    </w:p>
    <w:p w:rsidR="00324FE3" w:rsidRPr="00BE36D3" w:rsidRDefault="005A23E9" w:rsidP="00CC548E">
      <w:pPr>
        <w:spacing w:line="240" w:lineRule="auto"/>
        <w:contextualSpacing/>
        <w:jc w:val="both"/>
        <w:rPr>
          <w:rFonts w:ascii="Arial" w:hAnsi="Arial" w:cs="Arial"/>
        </w:rPr>
      </w:pPr>
      <w:r w:rsidRPr="00BE36D3">
        <w:rPr>
          <w:rFonts w:ascii="Arial" w:hAnsi="Arial" w:cs="Arial"/>
        </w:rPr>
        <w:t xml:space="preserve">El </w:t>
      </w:r>
      <w:r w:rsidR="000966E6">
        <w:rPr>
          <w:rFonts w:ascii="Arial" w:hAnsi="Arial" w:cs="Arial"/>
        </w:rPr>
        <w:t>C</w:t>
      </w:r>
      <w:r w:rsidRPr="00BE36D3">
        <w:rPr>
          <w:rFonts w:ascii="Arial" w:hAnsi="Arial" w:cs="Arial"/>
        </w:rPr>
        <w:t xml:space="preserve">uadro No. 1 presenta el nivel de incorporación de los recursos asignados a través de los </w:t>
      </w:r>
      <w:r w:rsidR="000966E6">
        <w:rPr>
          <w:rFonts w:ascii="Arial" w:hAnsi="Arial" w:cs="Arial"/>
        </w:rPr>
        <w:t>D</w:t>
      </w:r>
      <w:r w:rsidRPr="00BE36D3">
        <w:rPr>
          <w:rFonts w:ascii="Arial" w:hAnsi="Arial" w:cs="Arial"/>
        </w:rPr>
        <w:t xml:space="preserve">ocumentos de </w:t>
      </w:r>
      <w:r w:rsidR="000966E6">
        <w:rPr>
          <w:rFonts w:ascii="Arial" w:hAnsi="Arial" w:cs="Arial"/>
        </w:rPr>
        <w:t>D</w:t>
      </w:r>
      <w:r w:rsidRPr="00BE36D3">
        <w:rPr>
          <w:rFonts w:ascii="Arial" w:hAnsi="Arial" w:cs="Arial"/>
        </w:rPr>
        <w:t>istribución</w:t>
      </w:r>
      <w:r w:rsidR="00D6428E">
        <w:rPr>
          <w:rFonts w:ascii="Arial" w:hAnsi="Arial" w:cs="Arial"/>
        </w:rPr>
        <w:t xml:space="preserve"> </w:t>
      </w:r>
      <w:r w:rsidR="00D6428E" w:rsidRPr="00D6428E">
        <w:rPr>
          <w:rFonts w:ascii="Arial" w:hAnsi="Arial" w:cs="Arial"/>
        </w:rPr>
        <w:t>SGP-13-2016, SGP-15-2017, SGP-23-2017, SGP-26-2018, SGP-33-2018 y SGP-36-2019</w:t>
      </w:r>
      <w:r w:rsidR="00D6428E">
        <w:rPr>
          <w:rFonts w:ascii="Arial" w:hAnsi="Arial" w:cs="Arial"/>
        </w:rPr>
        <w:t xml:space="preserve"> </w:t>
      </w:r>
      <w:r w:rsidRPr="00BE36D3">
        <w:rPr>
          <w:rFonts w:ascii="Arial" w:hAnsi="Arial" w:cs="Arial"/>
        </w:rPr>
        <w:t xml:space="preserve">al </w:t>
      </w:r>
      <w:r w:rsidR="000966E6">
        <w:rPr>
          <w:rFonts w:ascii="Arial" w:hAnsi="Arial" w:cs="Arial"/>
        </w:rPr>
        <w:t>M</w:t>
      </w:r>
      <w:r w:rsidRPr="00BE36D3">
        <w:rPr>
          <w:rFonts w:ascii="Arial" w:hAnsi="Arial" w:cs="Arial"/>
        </w:rPr>
        <w:t>unicipio de Santiago de Tolú</w:t>
      </w:r>
      <w:r w:rsidR="101AEC2B" w:rsidRPr="00BE36D3">
        <w:rPr>
          <w:rFonts w:ascii="Arial" w:hAnsi="Arial" w:cs="Arial"/>
        </w:rPr>
        <w:t xml:space="preserve"> </w:t>
      </w:r>
      <w:r w:rsidRPr="00BE36D3">
        <w:rPr>
          <w:rFonts w:ascii="Arial" w:hAnsi="Arial" w:cs="Arial"/>
        </w:rPr>
        <w:t>-</w:t>
      </w:r>
      <w:r w:rsidR="460DEE76" w:rsidRPr="00BE36D3">
        <w:rPr>
          <w:rFonts w:ascii="Arial" w:hAnsi="Arial" w:cs="Arial"/>
        </w:rPr>
        <w:t xml:space="preserve"> </w:t>
      </w:r>
      <w:r w:rsidRPr="00BE36D3">
        <w:rPr>
          <w:rFonts w:ascii="Arial" w:hAnsi="Arial" w:cs="Arial"/>
        </w:rPr>
        <w:t>Sucre por cuenta de la</w:t>
      </w:r>
      <w:r w:rsidR="00E83C5A" w:rsidRPr="00BE36D3">
        <w:rPr>
          <w:rFonts w:ascii="Arial" w:hAnsi="Arial" w:cs="Arial"/>
        </w:rPr>
        <w:t xml:space="preserve"> Participación de Propósito General. En general se evidencia que el Municipio ha hecho una correcta incorporación de todos los recursos </w:t>
      </w:r>
      <w:r w:rsidR="00E4413D" w:rsidRPr="00BE36D3">
        <w:rPr>
          <w:rFonts w:ascii="Arial" w:hAnsi="Arial" w:cs="Arial"/>
        </w:rPr>
        <w:t xml:space="preserve">asignados </w:t>
      </w:r>
      <w:r w:rsidR="00305096" w:rsidRPr="00BE36D3">
        <w:rPr>
          <w:rFonts w:ascii="Arial" w:hAnsi="Arial" w:cs="Arial"/>
        </w:rPr>
        <w:t>por SGP-Propósito General</w:t>
      </w:r>
      <w:r w:rsidR="0067169B" w:rsidRPr="00BE36D3">
        <w:rPr>
          <w:rFonts w:ascii="Arial" w:hAnsi="Arial" w:cs="Arial"/>
        </w:rPr>
        <w:t xml:space="preserve"> </w:t>
      </w:r>
      <w:r w:rsidR="00E4413D" w:rsidRPr="00BE36D3">
        <w:rPr>
          <w:rFonts w:ascii="Arial" w:hAnsi="Arial" w:cs="Arial"/>
        </w:rPr>
        <w:t>en las vigencias 2017, 2018 y 2019, esta última</w:t>
      </w:r>
      <w:r w:rsidR="00305096" w:rsidRPr="00BE36D3">
        <w:rPr>
          <w:rFonts w:ascii="Arial" w:hAnsi="Arial" w:cs="Arial"/>
        </w:rPr>
        <w:t>,</w:t>
      </w:r>
      <w:r w:rsidR="00E4413D" w:rsidRPr="00BE36D3">
        <w:rPr>
          <w:rFonts w:ascii="Arial" w:hAnsi="Arial" w:cs="Arial"/>
        </w:rPr>
        <w:t xml:space="preserve"> de acuerdo con el reporte del FUT</w:t>
      </w:r>
      <w:r w:rsidR="00EA66EA" w:rsidRPr="00BE36D3">
        <w:rPr>
          <w:rFonts w:ascii="Arial" w:hAnsi="Arial" w:cs="Arial"/>
        </w:rPr>
        <w:t>-Ingresos.</w:t>
      </w:r>
    </w:p>
    <w:p w:rsidR="0009074C" w:rsidRPr="00BE36D3" w:rsidRDefault="0009074C" w:rsidP="00CC548E">
      <w:pPr>
        <w:spacing w:line="240" w:lineRule="auto"/>
        <w:contextualSpacing/>
        <w:jc w:val="both"/>
        <w:rPr>
          <w:rFonts w:ascii="Arial" w:hAnsi="Arial" w:cs="Arial"/>
        </w:rPr>
      </w:pPr>
    </w:p>
    <w:p w:rsidR="00FD62A1" w:rsidRPr="00BE36D3" w:rsidRDefault="00FD62A1" w:rsidP="00CC548E">
      <w:pPr>
        <w:pStyle w:val="Prrafodelista"/>
        <w:numPr>
          <w:ilvl w:val="0"/>
          <w:numId w:val="1"/>
        </w:numPr>
        <w:spacing w:line="240" w:lineRule="auto"/>
        <w:jc w:val="both"/>
        <w:rPr>
          <w:rFonts w:ascii="Arial" w:hAnsi="Arial" w:cs="Arial"/>
          <w:b/>
          <w:bCs/>
        </w:rPr>
      </w:pPr>
      <w:r w:rsidRPr="00BE36D3">
        <w:rPr>
          <w:rFonts w:ascii="Arial" w:hAnsi="Arial" w:cs="Arial"/>
          <w:b/>
          <w:bCs/>
        </w:rPr>
        <w:t xml:space="preserve">Análisis </w:t>
      </w:r>
      <w:r w:rsidR="008F0426" w:rsidRPr="00BE36D3">
        <w:rPr>
          <w:rFonts w:ascii="Arial" w:hAnsi="Arial" w:cs="Arial"/>
          <w:b/>
          <w:bCs/>
        </w:rPr>
        <w:t>presupuestal</w:t>
      </w:r>
      <w:r w:rsidR="000966E6">
        <w:rPr>
          <w:rFonts w:ascii="Arial" w:hAnsi="Arial" w:cs="Arial"/>
          <w:b/>
          <w:bCs/>
        </w:rPr>
        <w:t>.</w:t>
      </w:r>
    </w:p>
    <w:p w:rsidR="0009074C" w:rsidRPr="00BE36D3" w:rsidRDefault="0009074C" w:rsidP="00CC548E">
      <w:pPr>
        <w:spacing w:line="240" w:lineRule="auto"/>
        <w:contextualSpacing/>
        <w:jc w:val="both"/>
        <w:rPr>
          <w:rFonts w:ascii="Arial" w:hAnsi="Arial" w:cs="Arial"/>
        </w:rPr>
      </w:pPr>
    </w:p>
    <w:p w:rsidR="00671AD6" w:rsidRPr="00BE36D3" w:rsidRDefault="00D25081" w:rsidP="00CC548E">
      <w:pPr>
        <w:spacing w:line="240" w:lineRule="auto"/>
        <w:contextualSpacing/>
        <w:jc w:val="both"/>
        <w:rPr>
          <w:rFonts w:ascii="Arial" w:hAnsi="Arial" w:cs="Arial"/>
        </w:rPr>
      </w:pPr>
      <w:r w:rsidRPr="00BE36D3">
        <w:rPr>
          <w:rFonts w:ascii="Arial" w:hAnsi="Arial" w:cs="Arial"/>
        </w:rPr>
        <w:t>El Departamento Nacional de Planeación en el Informe de Monitoreo en Campo señala que</w:t>
      </w:r>
      <w:r w:rsidR="00E958D3" w:rsidRPr="00BE36D3">
        <w:rPr>
          <w:rFonts w:ascii="Arial" w:hAnsi="Arial" w:cs="Arial"/>
        </w:rPr>
        <w:t>:</w:t>
      </w:r>
    </w:p>
    <w:p w:rsidR="0009074C" w:rsidRPr="00BE36D3" w:rsidRDefault="0009074C" w:rsidP="00CC548E">
      <w:pPr>
        <w:spacing w:line="240" w:lineRule="auto"/>
        <w:contextualSpacing/>
        <w:jc w:val="both"/>
        <w:rPr>
          <w:rFonts w:ascii="Arial" w:hAnsi="Arial" w:cs="Arial"/>
        </w:rPr>
      </w:pPr>
    </w:p>
    <w:p w:rsidR="00D25081" w:rsidRPr="00BE36D3" w:rsidRDefault="00D25081" w:rsidP="00CC548E">
      <w:pPr>
        <w:spacing w:line="240" w:lineRule="auto"/>
        <w:ind w:left="1416"/>
        <w:contextualSpacing/>
        <w:jc w:val="both"/>
        <w:rPr>
          <w:rFonts w:ascii="Arial" w:hAnsi="Arial" w:cs="Arial"/>
          <w:sz w:val="18"/>
          <w:szCs w:val="18"/>
        </w:rPr>
      </w:pPr>
      <w:r w:rsidRPr="00BE36D3">
        <w:rPr>
          <w:rFonts w:ascii="Arial" w:hAnsi="Arial" w:cs="Arial"/>
          <w:sz w:val="18"/>
          <w:szCs w:val="18"/>
        </w:rPr>
        <w:t>“</w:t>
      </w:r>
      <w:r w:rsidRPr="00BE36D3">
        <w:rPr>
          <w:rFonts w:ascii="Arial" w:hAnsi="Arial" w:cs="Arial"/>
          <w:i/>
          <w:iCs/>
          <w:sz w:val="18"/>
          <w:szCs w:val="18"/>
        </w:rPr>
        <w:t>Al revisar la incorporación de ingresos y gastos remitida inicialmente por la entidad para los respectivos análisis, se logró identificar que el presupuesto no sigue su proceso de elaboración con la estructura básica que incluye todos los momentos presupuestales de obligaciones y compromisos. Se aclara que la entidad realizó el respectivo ajuste y remitió la información nuevamente al Departamento Nacional de Planeación para su respectivo análisis de acuerdo con lo solicitado</w:t>
      </w:r>
      <w:r w:rsidRPr="00BE36D3">
        <w:rPr>
          <w:rFonts w:ascii="Arial" w:hAnsi="Arial" w:cs="Arial"/>
          <w:sz w:val="18"/>
          <w:szCs w:val="18"/>
        </w:rPr>
        <w:t>.” (Informe de Monitoreo en Campo, 2019)</w:t>
      </w:r>
    </w:p>
    <w:p w:rsidR="0009074C" w:rsidRPr="00BE36D3" w:rsidRDefault="0009074C" w:rsidP="00CC548E">
      <w:pPr>
        <w:spacing w:line="240" w:lineRule="auto"/>
        <w:contextualSpacing/>
        <w:jc w:val="both"/>
        <w:rPr>
          <w:rFonts w:ascii="Arial" w:hAnsi="Arial" w:cs="Arial"/>
        </w:rPr>
      </w:pPr>
    </w:p>
    <w:p w:rsidR="00306B1F" w:rsidRPr="00BE36D3" w:rsidRDefault="002D4654" w:rsidP="00CC548E">
      <w:pPr>
        <w:spacing w:line="240" w:lineRule="auto"/>
        <w:contextualSpacing/>
        <w:jc w:val="both"/>
        <w:rPr>
          <w:rFonts w:ascii="Arial" w:hAnsi="Arial" w:cs="Arial"/>
        </w:rPr>
      </w:pPr>
      <w:r w:rsidRPr="00BE36D3">
        <w:rPr>
          <w:rFonts w:ascii="Arial" w:hAnsi="Arial" w:cs="Arial"/>
        </w:rPr>
        <w:t>De acuerdo con las ejecuciones</w:t>
      </w:r>
      <w:r w:rsidR="009050C0" w:rsidRPr="00BE36D3">
        <w:rPr>
          <w:rFonts w:ascii="Arial" w:hAnsi="Arial" w:cs="Arial"/>
        </w:rPr>
        <w:t xml:space="preserve"> presupuestales</w:t>
      </w:r>
      <w:r w:rsidR="608D935E" w:rsidRPr="00BE36D3">
        <w:rPr>
          <w:rFonts w:ascii="Arial" w:hAnsi="Arial" w:cs="Arial"/>
        </w:rPr>
        <w:t>,</w:t>
      </w:r>
      <w:r w:rsidRPr="00BE36D3">
        <w:rPr>
          <w:rFonts w:ascii="Arial" w:hAnsi="Arial" w:cs="Arial"/>
        </w:rPr>
        <w:t xml:space="preserve"> el </w:t>
      </w:r>
      <w:r w:rsidR="000966E6">
        <w:rPr>
          <w:rFonts w:ascii="Arial" w:hAnsi="Arial" w:cs="Arial"/>
        </w:rPr>
        <w:t>M</w:t>
      </w:r>
      <w:r w:rsidRPr="00BE36D3">
        <w:rPr>
          <w:rFonts w:ascii="Arial" w:hAnsi="Arial" w:cs="Arial"/>
        </w:rPr>
        <w:t>unicipio de Santiago de Tolú</w:t>
      </w:r>
      <w:r w:rsidR="154E1708" w:rsidRPr="00BE36D3">
        <w:rPr>
          <w:rFonts w:ascii="Arial" w:hAnsi="Arial" w:cs="Arial"/>
        </w:rPr>
        <w:t xml:space="preserve"> </w:t>
      </w:r>
      <w:r w:rsidR="006175D8" w:rsidRPr="00BE36D3">
        <w:rPr>
          <w:rFonts w:ascii="Arial" w:hAnsi="Arial" w:cs="Arial"/>
        </w:rPr>
        <w:t>-</w:t>
      </w:r>
      <w:r w:rsidR="46DAD814" w:rsidRPr="00BE36D3">
        <w:rPr>
          <w:rFonts w:ascii="Arial" w:hAnsi="Arial" w:cs="Arial"/>
        </w:rPr>
        <w:t xml:space="preserve"> </w:t>
      </w:r>
      <w:r w:rsidRPr="00BE36D3">
        <w:rPr>
          <w:rFonts w:ascii="Arial" w:hAnsi="Arial" w:cs="Arial"/>
        </w:rPr>
        <w:t>Sucre rec</w:t>
      </w:r>
      <w:r w:rsidR="00562EFD" w:rsidRPr="00BE36D3">
        <w:rPr>
          <w:rFonts w:ascii="Arial" w:hAnsi="Arial" w:cs="Arial"/>
        </w:rPr>
        <w:t xml:space="preserve">audó un total de ingresos </w:t>
      </w:r>
      <w:r w:rsidR="1E2F02E7" w:rsidRPr="00BE36D3">
        <w:rPr>
          <w:rFonts w:ascii="Arial" w:hAnsi="Arial" w:cs="Arial"/>
        </w:rPr>
        <w:t xml:space="preserve">por concepto de la Participación de Propósito General </w:t>
      </w:r>
      <w:r w:rsidR="009050C0" w:rsidRPr="00BE36D3">
        <w:rPr>
          <w:rFonts w:ascii="Arial" w:hAnsi="Arial" w:cs="Arial"/>
        </w:rPr>
        <w:t>de $2.868.287.720 en 2017, $3.019.664.464 en 2018 y $2.973.299.000 en 2019</w:t>
      </w:r>
      <w:r w:rsidR="00BA215C" w:rsidRPr="00BE36D3">
        <w:rPr>
          <w:rFonts w:ascii="Arial" w:hAnsi="Arial" w:cs="Arial"/>
        </w:rPr>
        <w:t>. Del total de estos recursos, en promedio el 90</w:t>
      </w:r>
      <w:r w:rsidR="000966E6">
        <w:rPr>
          <w:rFonts w:ascii="Arial" w:hAnsi="Arial" w:cs="Arial"/>
        </w:rPr>
        <w:t xml:space="preserve"> </w:t>
      </w:r>
      <w:r w:rsidR="00BA215C" w:rsidRPr="00BE36D3">
        <w:rPr>
          <w:rFonts w:ascii="Arial" w:hAnsi="Arial" w:cs="Arial"/>
        </w:rPr>
        <w:t xml:space="preserve">% corresponde a ingresos corrientes y el restante a recursos de capital. </w:t>
      </w:r>
      <w:r w:rsidR="000E20CE" w:rsidRPr="00BE36D3">
        <w:rPr>
          <w:rFonts w:ascii="Arial" w:hAnsi="Arial" w:cs="Arial"/>
        </w:rPr>
        <w:t xml:space="preserve">Cabe resaltar que los ingresos de SGP-Propósito General </w:t>
      </w:r>
      <w:r w:rsidR="007E2887" w:rsidRPr="00BE36D3">
        <w:rPr>
          <w:rFonts w:ascii="Arial" w:hAnsi="Arial" w:cs="Arial"/>
        </w:rPr>
        <w:t>representaron en las últimas 3 vigencias, en promedio, 5,4</w:t>
      </w:r>
      <w:r w:rsidR="000966E6">
        <w:rPr>
          <w:rFonts w:ascii="Arial" w:hAnsi="Arial" w:cs="Arial"/>
        </w:rPr>
        <w:t xml:space="preserve"> </w:t>
      </w:r>
      <w:r w:rsidR="007E2887" w:rsidRPr="00BE36D3">
        <w:rPr>
          <w:rFonts w:ascii="Arial" w:hAnsi="Arial" w:cs="Arial"/>
        </w:rPr>
        <w:t xml:space="preserve">% del total del presupuesto de inversión del </w:t>
      </w:r>
      <w:r w:rsidR="000966E6">
        <w:rPr>
          <w:rFonts w:ascii="Arial" w:hAnsi="Arial" w:cs="Arial"/>
        </w:rPr>
        <w:t>M</w:t>
      </w:r>
      <w:r w:rsidR="007E2887" w:rsidRPr="00BE36D3">
        <w:rPr>
          <w:rFonts w:ascii="Arial" w:hAnsi="Arial" w:cs="Arial"/>
        </w:rPr>
        <w:t>unicipio.</w:t>
      </w:r>
    </w:p>
    <w:p w:rsidR="006D4C7A" w:rsidRPr="00BE36D3" w:rsidRDefault="006D4C7A" w:rsidP="00CC548E">
      <w:pPr>
        <w:spacing w:line="240" w:lineRule="auto"/>
        <w:contextualSpacing/>
        <w:jc w:val="both"/>
        <w:rPr>
          <w:rFonts w:ascii="Arial" w:hAnsi="Arial" w:cs="Arial"/>
        </w:rPr>
      </w:pPr>
    </w:p>
    <w:p w:rsidR="00306B1F" w:rsidRPr="00BE36D3" w:rsidRDefault="00306B1F" w:rsidP="00CC548E">
      <w:pPr>
        <w:spacing w:after="0" w:line="240" w:lineRule="auto"/>
        <w:ind w:left="360"/>
        <w:contextualSpacing/>
        <w:jc w:val="center"/>
        <w:rPr>
          <w:rFonts w:ascii="Arial" w:eastAsia="Arial Narrow" w:hAnsi="Arial" w:cs="Arial"/>
          <w:b/>
          <w:bCs/>
          <w:sz w:val="20"/>
          <w:szCs w:val="20"/>
        </w:rPr>
      </w:pPr>
      <w:r w:rsidRPr="00BE36D3">
        <w:rPr>
          <w:rFonts w:ascii="Arial" w:eastAsia="Arial Narrow" w:hAnsi="Arial" w:cs="Arial"/>
          <w:b/>
          <w:bCs/>
          <w:sz w:val="20"/>
          <w:szCs w:val="20"/>
        </w:rPr>
        <w:lastRenderedPageBreak/>
        <w:t xml:space="preserve">Cuadro No. </w:t>
      </w:r>
      <w:r w:rsidR="158C12D2" w:rsidRPr="00BE36D3">
        <w:rPr>
          <w:rFonts w:ascii="Arial" w:eastAsia="Arial Narrow" w:hAnsi="Arial" w:cs="Arial"/>
          <w:b/>
          <w:bCs/>
          <w:sz w:val="20"/>
          <w:szCs w:val="20"/>
        </w:rPr>
        <w:t>2</w:t>
      </w:r>
    </w:p>
    <w:p w:rsidR="00306B1F" w:rsidRPr="00BE36D3" w:rsidRDefault="00306B1F" w:rsidP="00CC548E">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Análisis de Ingresos de la Participación de Propósito General </w:t>
      </w:r>
      <w:r w:rsidR="00620366" w:rsidRPr="00BE36D3">
        <w:rPr>
          <w:rFonts w:ascii="Arial" w:hAnsi="Arial" w:cs="Arial"/>
          <w:sz w:val="20"/>
          <w:szCs w:val="20"/>
        </w:rPr>
        <w:t>v</w:t>
      </w:r>
      <w:r w:rsidRPr="00BE36D3">
        <w:rPr>
          <w:rFonts w:ascii="Arial" w:hAnsi="Arial" w:cs="Arial"/>
          <w:sz w:val="20"/>
          <w:szCs w:val="20"/>
        </w:rPr>
        <w:t>igencias 2017-2019</w:t>
      </w:r>
    </w:p>
    <w:p w:rsidR="00306B1F" w:rsidRPr="00BE36D3" w:rsidRDefault="00306B1F" w:rsidP="00CC548E">
      <w:pPr>
        <w:pStyle w:val="Prrafodelista"/>
        <w:spacing w:after="0" w:line="240" w:lineRule="auto"/>
        <w:jc w:val="center"/>
        <w:rPr>
          <w:rFonts w:ascii="Arial" w:hAnsi="Arial" w:cs="Arial"/>
          <w:sz w:val="20"/>
          <w:szCs w:val="20"/>
        </w:rPr>
      </w:pPr>
      <w:r w:rsidRPr="00BE36D3">
        <w:rPr>
          <w:rFonts w:ascii="Arial" w:hAnsi="Arial" w:cs="Arial"/>
          <w:sz w:val="20"/>
          <w:szCs w:val="20"/>
        </w:rPr>
        <w:t>Municipio de Santiago de Tolú</w:t>
      </w:r>
      <w:r w:rsidR="000966E6">
        <w:rPr>
          <w:rFonts w:ascii="Arial" w:hAnsi="Arial" w:cs="Arial"/>
          <w:sz w:val="20"/>
          <w:szCs w:val="20"/>
        </w:rPr>
        <w:t xml:space="preserve"> </w:t>
      </w:r>
      <w:r w:rsidRPr="00BE36D3">
        <w:rPr>
          <w:rFonts w:ascii="Arial" w:hAnsi="Arial" w:cs="Arial"/>
          <w:sz w:val="20"/>
          <w:szCs w:val="20"/>
        </w:rPr>
        <w:t>-</w:t>
      </w:r>
      <w:r w:rsidR="000966E6">
        <w:rPr>
          <w:rFonts w:ascii="Arial" w:hAnsi="Arial" w:cs="Arial"/>
          <w:sz w:val="20"/>
          <w:szCs w:val="20"/>
        </w:rPr>
        <w:t xml:space="preserve"> </w:t>
      </w:r>
      <w:r w:rsidRPr="00BE36D3">
        <w:rPr>
          <w:rFonts w:ascii="Arial" w:hAnsi="Arial" w:cs="Arial"/>
          <w:sz w:val="20"/>
          <w:szCs w:val="20"/>
        </w:rPr>
        <w:t>Sucre</w:t>
      </w:r>
    </w:p>
    <w:p w:rsidR="00306B1F" w:rsidRPr="00BE36D3" w:rsidRDefault="00306B1F" w:rsidP="00CC548E">
      <w:pPr>
        <w:pStyle w:val="Prrafodelista"/>
        <w:spacing w:after="0" w:line="240" w:lineRule="auto"/>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tbl>
      <w:tblPr>
        <w:tblW w:w="5306" w:type="pct"/>
        <w:tblCellMar>
          <w:left w:w="70" w:type="dxa"/>
          <w:right w:w="70" w:type="dxa"/>
        </w:tblCellMar>
        <w:tblLook w:val="04A0" w:firstRow="1" w:lastRow="0" w:firstColumn="1" w:lastColumn="0" w:noHBand="0" w:noVBand="1"/>
      </w:tblPr>
      <w:tblGrid>
        <w:gridCol w:w="2086"/>
        <w:gridCol w:w="1214"/>
        <w:gridCol w:w="1212"/>
        <w:gridCol w:w="1212"/>
        <w:gridCol w:w="1212"/>
        <w:gridCol w:w="1212"/>
        <w:gridCol w:w="1220"/>
      </w:tblGrid>
      <w:tr w:rsidR="008F0426" w:rsidRPr="0009074C" w:rsidTr="004B736A">
        <w:trPr>
          <w:trHeight w:val="288"/>
        </w:trPr>
        <w:tc>
          <w:tcPr>
            <w:tcW w:w="5000" w:type="pct"/>
            <w:gridSpan w:val="7"/>
            <w:tcBorders>
              <w:top w:val="single" w:sz="4" w:space="0" w:color="auto"/>
              <w:left w:val="single" w:sz="4" w:space="0" w:color="auto"/>
              <w:bottom w:val="single" w:sz="4" w:space="0" w:color="auto"/>
              <w:right w:val="single" w:sz="4" w:space="0" w:color="auto"/>
            </w:tcBorders>
            <w:shd w:val="clear" w:color="000000" w:fill="666699"/>
            <w:noWrap/>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Sector Propósito General </w:t>
            </w:r>
            <w:r w:rsidRPr="00BE36D3">
              <w:rPr>
                <w:rFonts w:ascii="Arial" w:eastAsia="Times New Roman" w:hAnsi="Arial" w:cs="Arial"/>
                <w:b/>
                <w:bCs/>
                <w:i/>
                <w:iCs/>
                <w:color w:val="FFFFFF"/>
                <w:sz w:val="16"/>
                <w:szCs w:val="16"/>
                <w:lang w:eastAsia="es-CO"/>
              </w:rPr>
              <w:t>(cifras en pesos)</w:t>
            </w:r>
          </w:p>
        </w:tc>
      </w:tr>
      <w:tr w:rsidR="008F0426" w:rsidRPr="0009074C" w:rsidTr="004B736A">
        <w:trPr>
          <w:trHeight w:val="302"/>
        </w:trPr>
        <w:tc>
          <w:tcPr>
            <w:tcW w:w="1113" w:type="pct"/>
            <w:vMerge w:val="restart"/>
            <w:tcBorders>
              <w:top w:val="nil"/>
              <w:left w:val="single" w:sz="4" w:space="0" w:color="auto"/>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Conceptos</w:t>
            </w:r>
          </w:p>
        </w:tc>
        <w:tc>
          <w:tcPr>
            <w:tcW w:w="1295" w:type="pct"/>
            <w:gridSpan w:val="2"/>
            <w:tcBorders>
              <w:top w:val="single" w:sz="4" w:space="0" w:color="auto"/>
              <w:left w:val="nil"/>
              <w:bottom w:val="single" w:sz="4" w:space="0" w:color="auto"/>
              <w:right w:val="single" w:sz="4" w:space="0" w:color="auto"/>
            </w:tcBorders>
            <w:shd w:val="clear" w:color="000000" w:fill="666699"/>
            <w:noWrap/>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2017</w:t>
            </w:r>
          </w:p>
        </w:tc>
        <w:tc>
          <w:tcPr>
            <w:tcW w:w="1294" w:type="pct"/>
            <w:gridSpan w:val="2"/>
            <w:tcBorders>
              <w:top w:val="single" w:sz="4" w:space="0" w:color="auto"/>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2018</w:t>
            </w:r>
          </w:p>
        </w:tc>
        <w:tc>
          <w:tcPr>
            <w:tcW w:w="1294" w:type="pct"/>
            <w:gridSpan w:val="2"/>
            <w:tcBorders>
              <w:top w:val="single" w:sz="4" w:space="0" w:color="auto"/>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2019</w:t>
            </w:r>
          </w:p>
        </w:tc>
      </w:tr>
      <w:tr w:rsidR="008F0426" w:rsidRPr="0009074C" w:rsidTr="004B736A">
        <w:trPr>
          <w:trHeight w:val="823"/>
        </w:trPr>
        <w:tc>
          <w:tcPr>
            <w:tcW w:w="1113" w:type="pct"/>
            <w:vMerge/>
            <w:tcBorders>
              <w:top w:val="nil"/>
              <w:left w:val="single" w:sz="4" w:space="0" w:color="auto"/>
              <w:bottom w:val="single" w:sz="4" w:space="0" w:color="auto"/>
              <w:right w:val="single" w:sz="4" w:space="0" w:color="auto"/>
            </w:tcBorders>
            <w:vAlign w:val="center"/>
            <w:hideMark/>
          </w:tcPr>
          <w:p w:rsidR="008F0426" w:rsidRPr="00BE36D3" w:rsidRDefault="008F0426" w:rsidP="00CC548E">
            <w:pPr>
              <w:spacing w:after="0" w:line="240" w:lineRule="auto"/>
              <w:contextualSpacing/>
              <w:rPr>
                <w:rFonts w:ascii="Arial" w:eastAsia="Times New Roman" w:hAnsi="Arial" w:cs="Arial"/>
                <w:b/>
                <w:bCs/>
                <w:color w:val="FFFFFF"/>
                <w:sz w:val="16"/>
                <w:szCs w:val="16"/>
                <w:lang w:eastAsia="es-CO"/>
              </w:rPr>
            </w:pPr>
          </w:p>
        </w:tc>
        <w:tc>
          <w:tcPr>
            <w:tcW w:w="648" w:type="pct"/>
            <w:tcBorders>
              <w:top w:val="nil"/>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Presupuesto definitivo</w:t>
            </w:r>
          </w:p>
        </w:tc>
        <w:tc>
          <w:tcPr>
            <w:tcW w:w="647" w:type="pct"/>
            <w:tcBorders>
              <w:top w:val="nil"/>
              <w:left w:val="nil"/>
              <w:bottom w:val="single" w:sz="4" w:space="0" w:color="auto"/>
              <w:right w:val="single" w:sz="4" w:space="0" w:color="auto"/>
            </w:tcBorders>
            <w:shd w:val="clear" w:color="000000" w:fill="666699"/>
            <w:noWrap/>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Recaudo</w:t>
            </w:r>
          </w:p>
        </w:tc>
        <w:tc>
          <w:tcPr>
            <w:tcW w:w="647" w:type="pct"/>
            <w:tcBorders>
              <w:top w:val="nil"/>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Presupuesto definitivo</w:t>
            </w:r>
          </w:p>
        </w:tc>
        <w:tc>
          <w:tcPr>
            <w:tcW w:w="647" w:type="pct"/>
            <w:tcBorders>
              <w:top w:val="nil"/>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Recaudo</w:t>
            </w:r>
          </w:p>
        </w:tc>
        <w:tc>
          <w:tcPr>
            <w:tcW w:w="647" w:type="pct"/>
            <w:tcBorders>
              <w:top w:val="nil"/>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Presupuesto definitivo</w:t>
            </w:r>
          </w:p>
        </w:tc>
        <w:tc>
          <w:tcPr>
            <w:tcW w:w="647" w:type="pct"/>
            <w:tcBorders>
              <w:top w:val="nil"/>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Recaudo</w:t>
            </w:r>
          </w:p>
        </w:tc>
      </w:tr>
      <w:tr w:rsidR="008F0426" w:rsidRPr="0009074C" w:rsidTr="004B736A">
        <w:trPr>
          <w:trHeight w:val="302"/>
        </w:trPr>
        <w:tc>
          <w:tcPr>
            <w:tcW w:w="1113" w:type="pct"/>
            <w:tcBorders>
              <w:top w:val="nil"/>
              <w:left w:val="single" w:sz="4" w:space="0" w:color="auto"/>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bookmarkStart w:id="2" w:name="_Hlk42071618"/>
            <w:r w:rsidRPr="00BE36D3">
              <w:rPr>
                <w:rFonts w:ascii="Arial" w:eastAsia="Times New Roman" w:hAnsi="Arial" w:cs="Arial"/>
                <w:b/>
                <w:bCs/>
                <w:color w:val="FFFFFF"/>
                <w:sz w:val="16"/>
                <w:szCs w:val="16"/>
                <w:lang w:eastAsia="es-CO"/>
              </w:rPr>
              <w:t>Propósito General</w:t>
            </w:r>
          </w:p>
        </w:tc>
        <w:tc>
          <w:tcPr>
            <w:tcW w:w="648" w:type="pct"/>
            <w:tcBorders>
              <w:top w:val="nil"/>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2.868.287.720</w:t>
            </w:r>
          </w:p>
        </w:tc>
        <w:tc>
          <w:tcPr>
            <w:tcW w:w="647" w:type="pct"/>
            <w:tcBorders>
              <w:top w:val="nil"/>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2.868.287.720</w:t>
            </w:r>
          </w:p>
        </w:tc>
        <w:tc>
          <w:tcPr>
            <w:tcW w:w="647" w:type="pct"/>
            <w:tcBorders>
              <w:top w:val="nil"/>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3.019.664.464</w:t>
            </w:r>
          </w:p>
        </w:tc>
        <w:tc>
          <w:tcPr>
            <w:tcW w:w="647" w:type="pct"/>
            <w:tcBorders>
              <w:top w:val="nil"/>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3.019.664.464</w:t>
            </w:r>
          </w:p>
        </w:tc>
        <w:tc>
          <w:tcPr>
            <w:tcW w:w="647" w:type="pct"/>
            <w:tcBorders>
              <w:top w:val="nil"/>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2.974.141.714</w:t>
            </w:r>
          </w:p>
        </w:tc>
        <w:tc>
          <w:tcPr>
            <w:tcW w:w="647" w:type="pct"/>
            <w:tcBorders>
              <w:top w:val="nil"/>
              <w:left w:val="nil"/>
              <w:bottom w:val="single" w:sz="4" w:space="0" w:color="auto"/>
              <w:right w:val="single" w:sz="4" w:space="0" w:color="auto"/>
            </w:tcBorders>
            <w:shd w:val="clear" w:color="000000" w:fill="666699"/>
            <w:vAlign w:val="center"/>
            <w:hideMark/>
          </w:tcPr>
          <w:p w:rsidR="008F0426" w:rsidRPr="00BE36D3" w:rsidRDefault="008F0426"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2.973.299.000</w:t>
            </w:r>
          </w:p>
        </w:tc>
      </w:tr>
      <w:bookmarkEnd w:id="2"/>
      <w:tr w:rsidR="008F0426" w:rsidRPr="0009074C" w:rsidTr="004B736A">
        <w:trPr>
          <w:trHeight w:val="794"/>
        </w:trPr>
        <w:tc>
          <w:tcPr>
            <w:tcW w:w="1113" w:type="pct"/>
            <w:tcBorders>
              <w:top w:val="nil"/>
              <w:left w:val="single" w:sz="4" w:space="0" w:color="auto"/>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1. Ingresos Corrientes</w:t>
            </w:r>
          </w:p>
        </w:tc>
        <w:tc>
          <w:tcPr>
            <w:tcW w:w="648" w:type="pct"/>
            <w:tcBorders>
              <w:top w:val="nil"/>
              <w:left w:val="nil"/>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2.628.092.630</w:t>
            </w:r>
          </w:p>
        </w:tc>
        <w:tc>
          <w:tcPr>
            <w:tcW w:w="647" w:type="pct"/>
            <w:tcBorders>
              <w:top w:val="nil"/>
              <w:left w:val="nil"/>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2.628.092.630</w:t>
            </w:r>
          </w:p>
        </w:tc>
        <w:tc>
          <w:tcPr>
            <w:tcW w:w="647" w:type="pct"/>
            <w:tcBorders>
              <w:top w:val="nil"/>
              <w:left w:val="nil"/>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2.644.498.612</w:t>
            </w:r>
          </w:p>
        </w:tc>
        <w:tc>
          <w:tcPr>
            <w:tcW w:w="647" w:type="pct"/>
            <w:tcBorders>
              <w:top w:val="nil"/>
              <w:left w:val="nil"/>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2.644.498.612</w:t>
            </w:r>
          </w:p>
        </w:tc>
        <w:tc>
          <w:tcPr>
            <w:tcW w:w="647" w:type="pct"/>
            <w:tcBorders>
              <w:top w:val="nil"/>
              <w:left w:val="nil"/>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2.699.709.938</w:t>
            </w:r>
          </w:p>
        </w:tc>
        <w:tc>
          <w:tcPr>
            <w:tcW w:w="647" w:type="pct"/>
            <w:tcBorders>
              <w:top w:val="nil"/>
              <w:left w:val="nil"/>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2.701.606.000</w:t>
            </w:r>
          </w:p>
        </w:tc>
      </w:tr>
      <w:tr w:rsidR="008F0426" w:rsidRPr="0009074C" w:rsidTr="004B736A">
        <w:trPr>
          <w:trHeight w:val="534"/>
        </w:trPr>
        <w:tc>
          <w:tcPr>
            <w:tcW w:w="1113" w:type="pct"/>
            <w:tcBorders>
              <w:top w:val="nil"/>
              <w:left w:val="single" w:sz="4" w:space="0" w:color="auto"/>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 xml:space="preserve">1.1. Libre Destinación </w:t>
            </w:r>
          </w:p>
        </w:tc>
        <w:tc>
          <w:tcPr>
            <w:tcW w:w="648"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1.103.798.904</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1.103.798.904</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1.133.878.174</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1.134.611.000</w:t>
            </w:r>
          </w:p>
        </w:tc>
      </w:tr>
      <w:tr w:rsidR="008F0426" w:rsidRPr="0009074C" w:rsidTr="004B736A">
        <w:trPr>
          <w:trHeight w:val="302"/>
        </w:trPr>
        <w:tc>
          <w:tcPr>
            <w:tcW w:w="1113" w:type="pct"/>
            <w:tcBorders>
              <w:top w:val="nil"/>
              <w:left w:val="single" w:sz="4" w:space="0" w:color="auto"/>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1.2. Libre Inversión</w:t>
            </w:r>
          </w:p>
        </w:tc>
        <w:tc>
          <w:tcPr>
            <w:tcW w:w="648"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1.310.892.604</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1.310.892.604</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1.319.075.906</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1.319.075.906</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1.346.615.317</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1.355.132.000</w:t>
            </w:r>
          </w:p>
        </w:tc>
      </w:tr>
      <w:tr w:rsidR="008F0426" w:rsidRPr="0009074C" w:rsidTr="004B736A">
        <w:trPr>
          <w:trHeight w:val="534"/>
        </w:trPr>
        <w:tc>
          <w:tcPr>
            <w:tcW w:w="1113" w:type="pct"/>
            <w:tcBorders>
              <w:top w:val="nil"/>
              <w:left w:val="single" w:sz="4" w:space="0" w:color="auto"/>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1.3. Deporte y Recreación</w:t>
            </w:r>
          </w:p>
        </w:tc>
        <w:tc>
          <w:tcPr>
            <w:tcW w:w="648"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121.943.498</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121.943.498</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122.704.736</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122.704.736</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125.266.541</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125.360.000</w:t>
            </w:r>
          </w:p>
        </w:tc>
      </w:tr>
      <w:tr w:rsidR="008F0426" w:rsidRPr="0009074C" w:rsidTr="004B736A">
        <w:trPr>
          <w:trHeight w:val="534"/>
        </w:trPr>
        <w:tc>
          <w:tcPr>
            <w:tcW w:w="1113" w:type="pct"/>
            <w:tcBorders>
              <w:top w:val="nil"/>
              <w:left w:val="single" w:sz="4" w:space="0" w:color="auto"/>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1.4. Cultura</w:t>
            </w:r>
          </w:p>
        </w:tc>
        <w:tc>
          <w:tcPr>
            <w:tcW w:w="648"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91.457.624</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91.457.624</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92.028.552</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92.028.552</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93.949.906</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86.503.000</w:t>
            </w:r>
          </w:p>
        </w:tc>
      </w:tr>
      <w:tr w:rsidR="008F0426" w:rsidRPr="0009074C" w:rsidTr="004B736A">
        <w:trPr>
          <w:trHeight w:val="302"/>
        </w:trPr>
        <w:tc>
          <w:tcPr>
            <w:tcW w:w="1113" w:type="pct"/>
            <w:tcBorders>
              <w:top w:val="nil"/>
              <w:left w:val="single" w:sz="4" w:space="0" w:color="auto"/>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 xml:space="preserve">2. Recursos de Capital </w:t>
            </w:r>
          </w:p>
        </w:tc>
        <w:tc>
          <w:tcPr>
            <w:tcW w:w="648" w:type="pct"/>
            <w:tcBorders>
              <w:top w:val="nil"/>
              <w:left w:val="nil"/>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240.195.090</w:t>
            </w:r>
          </w:p>
        </w:tc>
        <w:tc>
          <w:tcPr>
            <w:tcW w:w="647" w:type="pct"/>
            <w:tcBorders>
              <w:top w:val="nil"/>
              <w:left w:val="nil"/>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240.195.090</w:t>
            </w:r>
          </w:p>
        </w:tc>
        <w:tc>
          <w:tcPr>
            <w:tcW w:w="647" w:type="pct"/>
            <w:tcBorders>
              <w:top w:val="nil"/>
              <w:left w:val="nil"/>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375.165.852</w:t>
            </w:r>
          </w:p>
        </w:tc>
        <w:tc>
          <w:tcPr>
            <w:tcW w:w="647" w:type="pct"/>
            <w:tcBorders>
              <w:top w:val="nil"/>
              <w:left w:val="nil"/>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375.165.852</w:t>
            </w:r>
          </w:p>
        </w:tc>
        <w:tc>
          <w:tcPr>
            <w:tcW w:w="647" w:type="pct"/>
            <w:tcBorders>
              <w:top w:val="nil"/>
              <w:left w:val="nil"/>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274.431.776</w:t>
            </w:r>
          </w:p>
        </w:tc>
        <w:tc>
          <w:tcPr>
            <w:tcW w:w="647" w:type="pct"/>
            <w:tcBorders>
              <w:top w:val="nil"/>
              <w:left w:val="nil"/>
              <w:bottom w:val="single" w:sz="4" w:space="0" w:color="auto"/>
              <w:right w:val="single" w:sz="4" w:space="0" w:color="auto"/>
            </w:tcBorders>
            <w:shd w:val="clear" w:color="000000" w:fill="CCCC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271.693.000</w:t>
            </w:r>
          </w:p>
        </w:tc>
      </w:tr>
      <w:tr w:rsidR="008F0426" w:rsidRPr="0009074C" w:rsidTr="004B736A">
        <w:trPr>
          <w:trHeight w:val="534"/>
        </w:trPr>
        <w:tc>
          <w:tcPr>
            <w:tcW w:w="1113" w:type="pct"/>
            <w:tcBorders>
              <w:top w:val="nil"/>
              <w:left w:val="single" w:sz="4" w:space="0" w:color="auto"/>
              <w:bottom w:val="single" w:sz="4" w:space="0" w:color="auto"/>
              <w:right w:val="single" w:sz="4" w:space="0" w:color="auto"/>
            </w:tcBorders>
            <w:shd w:val="clear" w:color="000000" w:fill="E5E5FF"/>
            <w:vAlign w:val="center"/>
            <w:hideMark/>
          </w:tcPr>
          <w:p w:rsidR="008F0426" w:rsidRPr="00BE36D3" w:rsidRDefault="008F0426" w:rsidP="00CC548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2.1 Superávit fiscal</w:t>
            </w:r>
          </w:p>
        </w:tc>
        <w:tc>
          <w:tcPr>
            <w:tcW w:w="648" w:type="pct"/>
            <w:tcBorders>
              <w:top w:val="nil"/>
              <w:left w:val="nil"/>
              <w:bottom w:val="single" w:sz="4" w:space="0" w:color="auto"/>
              <w:right w:val="single" w:sz="4" w:space="0" w:color="auto"/>
            </w:tcBorders>
            <w:shd w:val="clear" w:color="000000" w:fill="E5E5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240.195.090</w:t>
            </w:r>
          </w:p>
        </w:tc>
        <w:tc>
          <w:tcPr>
            <w:tcW w:w="647" w:type="pct"/>
            <w:tcBorders>
              <w:top w:val="nil"/>
              <w:left w:val="nil"/>
              <w:bottom w:val="single" w:sz="4" w:space="0" w:color="auto"/>
              <w:right w:val="single" w:sz="4" w:space="0" w:color="auto"/>
            </w:tcBorders>
            <w:shd w:val="clear" w:color="000000" w:fill="E5E5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240.195.090</w:t>
            </w:r>
          </w:p>
        </w:tc>
        <w:tc>
          <w:tcPr>
            <w:tcW w:w="647" w:type="pct"/>
            <w:tcBorders>
              <w:top w:val="nil"/>
              <w:left w:val="nil"/>
              <w:bottom w:val="single" w:sz="4" w:space="0" w:color="auto"/>
              <w:right w:val="single" w:sz="4" w:space="0" w:color="auto"/>
            </w:tcBorders>
            <w:shd w:val="clear" w:color="000000" w:fill="E5E5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bookmarkStart w:id="3" w:name="_Hlk42072214"/>
            <w:r w:rsidRPr="00BE36D3">
              <w:rPr>
                <w:rFonts w:ascii="Arial" w:eastAsia="Times New Roman" w:hAnsi="Arial" w:cs="Arial"/>
                <w:b/>
                <w:bCs/>
                <w:color w:val="000000"/>
                <w:sz w:val="16"/>
                <w:szCs w:val="16"/>
                <w:lang w:eastAsia="es-CO"/>
              </w:rPr>
              <w:t>375.165.852</w:t>
            </w:r>
            <w:bookmarkEnd w:id="3"/>
          </w:p>
        </w:tc>
        <w:tc>
          <w:tcPr>
            <w:tcW w:w="647" w:type="pct"/>
            <w:tcBorders>
              <w:top w:val="nil"/>
              <w:left w:val="nil"/>
              <w:bottom w:val="single" w:sz="4" w:space="0" w:color="auto"/>
              <w:right w:val="single" w:sz="4" w:space="0" w:color="auto"/>
            </w:tcBorders>
            <w:shd w:val="clear" w:color="000000" w:fill="E5E5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375.165.852</w:t>
            </w:r>
          </w:p>
        </w:tc>
        <w:tc>
          <w:tcPr>
            <w:tcW w:w="647" w:type="pct"/>
            <w:tcBorders>
              <w:top w:val="nil"/>
              <w:left w:val="nil"/>
              <w:bottom w:val="single" w:sz="4" w:space="0" w:color="auto"/>
              <w:right w:val="single" w:sz="4" w:space="0" w:color="auto"/>
            </w:tcBorders>
            <w:shd w:val="clear" w:color="000000" w:fill="E5E5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271.693.000</w:t>
            </w:r>
          </w:p>
        </w:tc>
        <w:tc>
          <w:tcPr>
            <w:tcW w:w="647" w:type="pct"/>
            <w:tcBorders>
              <w:top w:val="nil"/>
              <w:left w:val="nil"/>
              <w:bottom w:val="single" w:sz="4" w:space="0" w:color="auto"/>
              <w:right w:val="single" w:sz="4" w:space="0" w:color="auto"/>
            </w:tcBorders>
            <w:shd w:val="clear" w:color="000000" w:fill="E5E5FF"/>
            <w:vAlign w:val="center"/>
            <w:hideMark/>
          </w:tcPr>
          <w:p w:rsidR="008F0426" w:rsidRPr="00BE36D3" w:rsidRDefault="008F0426"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271.693.000</w:t>
            </w:r>
          </w:p>
        </w:tc>
      </w:tr>
      <w:tr w:rsidR="008F0426" w:rsidRPr="0009074C" w:rsidTr="004B736A">
        <w:trPr>
          <w:trHeight w:val="534"/>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8F0426" w:rsidRPr="00BE36D3" w:rsidRDefault="008F0426"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 xml:space="preserve">2.1.1. Libre Destinación </w:t>
            </w:r>
          </w:p>
        </w:tc>
        <w:tc>
          <w:tcPr>
            <w:tcW w:w="648"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65.135.090</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65.135.090</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 </w:t>
            </w:r>
            <w:r w:rsidR="004B736A"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 </w:t>
            </w:r>
            <w:r w:rsidR="004B736A"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95.341.000</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95.341.000</w:t>
            </w:r>
          </w:p>
        </w:tc>
      </w:tr>
      <w:tr w:rsidR="008F0426" w:rsidRPr="0009074C" w:rsidTr="004B736A">
        <w:trPr>
          <w:trHeight w:val="302"/>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8F0426" w:rsidRPr="00BE36D3" w:rsidRDefault="008F0426"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2.1.2. Libre Inversión</w:t>
            </w:r>
          </w:p>
        </w:tc>
        <w:tc>
          <w:tcPr>
            <w:tcW w:w="648"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138.425.904</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138.425.904</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375.165.852</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375.165.852</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34.388.000</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34.388.000</w:t>
            </w:r>
          </w:p>
        </w:tc>
      </w:tr>
      <w:tr w:rsidR="008F0426" w:rsidRPr="0009074C" w:rsidTr="004B736A">
        <w:trPr>
          <w:trHeight w:val="534"/>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8F0426" w:rsidRPr="00BE36D3" w:rsidRDefault="008F0426"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2.1.3. Deporte y Recreación</w:t>
            </w:r>
          </w:p>
        </w:tc>
        <w:tc>
          <w:tcPr>
            <w:tcW w:w="648"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5.566.887</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5.566.887</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 </w:t>
            </w:r>
            <w:r w:rsidR="004B736A"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 </w:t>
            </w:r>
            <w:r w:rsidR="004B736A"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90.789.000</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90.789.000</w:t>
            </w:r>
          </w:p>
        </w:tc>
      </w:tr>
      <w:tr w:rsidR="008F0426" w:rsidRPr="0009074C" w:rsidTr="004B736A">
        <w:trPr>
          <w:trHeight w:val="302"/>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8F0426" w:rsidRPr="00BE36D3" w:rsidRDefault="008F0426"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2.1.4. Cultura</w:t>
            </w:r>
          </w:p>
        </w:tc>
        <w:tc>
          <w:tcPr>
            <w:tcW w:w="648"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31.067.209</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31.067.209</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 </w:t>
            </w:r>
            <w:r w:rsidR="004B736A"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 </w:t>
            </w:r>
            <w:r w:rsidR="004B736A"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51.175.000</w:t>
            </w:r>
          </w:p>
        </w:tc>
        <w:tc>
          <w:tcPr>
            <w:tcW w:w="647" w:type="pct"/>
            <w:tcBorders>
              <w:top w:val="nil"/>
              <w:left w:val="nil"/>
              <w:bottom w:val="single" w:sz="4" w:space="0" w:color="auto"/>
              <w:right w:val="single" w:sz="4" w:space="0" w:color="auto"/>
            </w:tcBorders>
            <w:shd w:val="clear" w:color="auto" w:fill="auto"/>
            <w:noWrap/>
            <w:vAlign w:val="center"/>
            <w:hideMark/>
          </w:tcPr>
          <w:p w:rsidR="008F0426" w:rsidRPr="00BE36D3" w:rsidRDefault="008F0426"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51.175.000</w:t>
            </w:r>
          </w:p>
        </w:tc>
      </w:tr>
      <w:tr w:rsidR="004B736A" w:rsidRPr="0009074C" w:rsidTr="003477F8">
        <w:trPr>
          <w:trHeight w:val="490"/>
        </w:trPr>
        <w:tc>
          <w:tcPr>
            <w:tcW w:w="1113" w:type="pct"/>
            <w:tcBorders>
              <w:top w:val="nil"/>
              <w:left w:val="single" w:sz="4" w:space="0" w:color="auto"/>
              <w:bottom w:val="single" w:sz="4" w:space="0" w:color="auto"/>
              <w:right w:val="single" w:sz="4" w:space="0" w:color="auto"/>
            </w:tcBorders>
            <w:shd w:val="clear" w:color="000000" w:fill="E5E5FF"/>
            <w:vAlign w:val="center"/>
            <w:hideMark/>
          </w:tcPr>
          <w:p w:rsidR="004B736A" w:rsidRPr="00BE36D3" w:rsidRDefault="004B736A" w:rsidP="00CC548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2.3 Rendimiento Financieros</w:t>
            </w:r>
          </w:p>
        </w:tc>
        <w:tc>
          <w:tcPr>
            <w:tcW w:w="648" w:type="pct"/>
            <w:tcBorders>
              <w:top w:val="nil"/>
              <w:left w:val="nil"/>
              <w:bottom w:val="single" w:sz="4" w:space="0" w:color="auto"/>
              <w:right w:val="single" w:sz="4" w:space="0" w:color="auto"/>
            </w:tcBorders>
            <w:shd w:val="clear" w:color="000000" w:fill="E5E5FF"/>
            <w:vAlign w:val="center"/>
            <w:hideMark/>
          </w:tcPr>
          <w:p w:rsidR="004B736A" w:rsidRPr="00BE36D3" w:rsidRDefault="004B736A"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w:t>
            </w:r>
          </w:p>
        </w:tc>
        <w:tc>
          <w:tcPr>
            <w:tcW w:w="647" w:type="pct"/>
            <w:tcBorders>
              <w:top w:val="nil"/>
              <w:left w:val="nil"/>
              <w:bottom w:val="single" w:sz="4" w:space="0" w:color="auto"/>
              <w:right w:val="single" w:sz="4" w:space="0" w:color="auto"/>
            </w:tcBorders>
            <w:shd w:val="clear" w:color="000000" w:fill="E5E5FF"/>
            <w:hideMark/>
          </w:tcPr>
          <w:p w:rsidR="004B736A" w:rsidRPr="00BE36D3" w:rsidRDefault="004B736A"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000000" w:fill="E5E5FF"/>
            <w:hideMark/>
          </w:tcPr>
          <w:p w:rsidR="004B736A" w:rsidRPr="00BE36D3" w:rsidRDefault="004B736A"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000000" w:fill="E5E5FF"/>
            <w:hideMark/>
          </w:tcPr>
          <w:p w:rsidR="004B736A" w:rsidRPr="00BE36D3" w:rsidRDefault="004B736A"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000000" w:fill="E5E5FF"/>
            <w:vAlign w:val="center"/>
            <w:hideMark/>
          </w:tcPr>
          <w:p w:rsidR="004B736A" w:rsidRPr="00BE36D3" w:rsidRDefault="004B736A"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2.738.776</w:t>
            </w:r>
          </w:p>
        </w:tc>
        <w:tc>
          <w:tcPr>
            <w:tcW w:w="647" w:type="pct"/>
            <w:tcBorders>
              <w:top w:val="nil"/>
              <w:left w:val="nil"/>
              <w:bottom w:val="single" w:sz="4" w:space="0" w:color="auto"/>
              <w:right w:val="single" w:sz="4" w:space="0" w:color="auto"/>
            </w:tcBorders>
            <w:shd w:val="clear" w:color="000000" w:fill="E5E5FF"/>
            <w:hideMark/>
          </w:tcPr>
          <w:p w:rsidR="004B736A" w:rsidRPr="00BE36D3" w:rsidRDefault="004B736A"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sz w:val="16"/>
                <w:szCs w:val="16"/>
                <w:lang w:eastAsia="es-CO"/>
              </w:rPr>
              <w:t>-</w:t>
            </w:r>
          </w:p>
        </w:tc>
      </w:tr>
      <w:tr w:rsidR="004B736A" w:rsidRPr="0009074C" w:rsidTr="003477F8">
        <w:trPr>
          <w:trHeight w:val="288"/>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4B736A" w:rsidRPr="00BE36D3" w:rsidRDefault="004B736A"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 xml:space="preserve">2.3.1. Libre Destinación </w:t>
            </w:r>
          </w:p>
        </w:tc>
        <w:tc>
          <w:tcPr>
            <w:tcW w:w="648" w:type="pct"/>
            <w:tcBorders>
              <w:top w:val="nil"/>
              <w:left w:val="nil"/>
              <w:bottom w:val="single" w:sz="4" w:space="0" w:color="auto"/>
              <w:right w:val="single" w:sz="4" w:space="0" w:color="auto"/>
            </w:tcBorders>
            <w:shd w:val="clear" w:color="auto" w:fill="auto"/>
            <w:noWrap/>
            <w:hideMark/>
          </w:tcPr>
          <w:p w:rsidR="004B736A" w:rsidRPr="00BE36D3" w:rsidRDefault="004B736A"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hideMark/>
          </w:tcPr>
          <w:p w:rsidR="004B736A" w:rsidRPr="00BE36D3" w:rsidRDefault="004B736A"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hideMark/>
          </w:tcPr>
          <w:p w:rsidR="004B736A" w:rsidRPr="00BE36D3" w:rsidRDefault="004B736A"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hideMark/>
          </w:tcPr>
          <w:p w:rsidR="004B736A" w:rsidRPr="00BE36D3" w:rsidRDefault="004B736A"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vAlign w:val="center"/>
            <w:hideMark/>
          </w:tcPr>
          <w:p w:rsidR="004B736A" w:rsidRPr="00BE36D3" w:rsidRDefault="004B736A"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2.735.000</w:t>
            </w:r>
          </w:p>
        </w:tc>
        <w:tc>
          <w:tcPr>
            <w:tcW w:w="647" w:type="pct"/>
            <w:tcBorders>
              <w:top w:val="nil"/>
              <w:left w:val="nil"/>
              <w:bottom w:val="single" w:sz="4" w:space="0" w:color="auto"/>
              <w:right w:val="single" w:sz="4" w:space="0" w:color="auto"/>
            </w:tcBorders>
            <w:shd w:val="clear" w:color="auto" w:fill="auto"/>
            <w:noWrap/>
            <w:hideMark/>
          </w:tcPr>
          <w:p w:rsidR="004B736A" w:rsidRPr="00BE36D3" w:rsidRDefault="004B736A"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w:t>
            </w:r>
          </w:p>
        </w:tc>
      </w:tr>
      <w:tr w:rsidR="004B736A" w:rsidRPr="0009074C" w:rsidTr="003477F8">
        <w:trPr>
          <w:trHeight w:val="288"/>
        </w:trPr>
        <w:tc>
          <w:tcPr>
            <w:tcW w:w="1113" w:type="pct"/>
            <w:tcBorders>
              <w:top w:val="nil"/>
              <w:left w:val="single" w:sz="4" w:space="0" w:color="auto"/>
              <w:bottom w:val="single" w:sz="4" w:space="0" w:color="auto"/>
              <w:right w:val="single" w:sz="4" w:space="0" w:color="auto"/>
            </w:tcBorders>
            <w:shd w:val="clear" w:color="auto" w:fill="auto"/>
            <w:vAlign w:val="center"/>
            <w:hideMark/>
          </w:tcPr>
          <w:p w:rsidR="004B736A" w:rsidRPr="00BE36D3" w:rsidRDefault="004B736A"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2.3.2. Libre Inversión</w:t>
            </w:r>
          </w:p>
        </w:tc>
        <w:tc>
          <w:tcPr>
            <w:tcW w:w="648" w:type="pct"/>
            <w:tcBorders>
              <w:top w:val="nil"/>
              <w:left w:val="nil"/>
              <w:bottom w:val="single" w:sz="4" w:space="0" w:color="auto"/>
              <w:right w:val="single" w:sz="4" w:space="0" w:color="auto"/>
            </w:tcBorders>
            <w:shd w:val="clear" w:color="auto" w:fill="auto"/>
            <w:noWrap/>
            <w:hideMark/>
          </w:tcPr>
          <w:p w:rsidR="004B736A" w:rsidRPr="00BE36D3" w:rsidRDefault="004B736A"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hideMark/>
          </w:tcPr>
          <w:p w:rsidR="004B736A" w:rsidRPr="00BE36D3" w:rsidRDefault="004B736A"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hideMark/>
          </w:tcPr>
          <w:p w:rsidR="004B736A" w:rsidRPr="00BE36D3" w:rsidRDefault="004B736A"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hideMark/>
          </w:tcPr>
          <w:p w:rsidR="004B736A" w:rsidRPr="00BE36D3" w:rsidRDefault="004B736A"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w:t>
            </w:r>
          </w:p>
        </w:tc>
        <w:tc>
          <w:tcPr>
            <w:tcW w:w="647" w:type="pct"/>
            <w:tcBorders>
              <w:top w:val="nil"/>
              <w:left w:val="nil"/>
              <w:bottom w:val="single" w:sz="4" w:space="0" w:color="auto"/>
              <w:right w:val="single" w:sz="4" w:space="0" w:color="auto"/>
            </w:tcBorders>
            <w:shd w:val="clear" w:color="auto" w:fill="auto"/>
            <w:noWrap/>
            <w:vAlign w:val="center"/>
            <w:hideMark/>
          </w:tcPr>
          <w:p w:rsidR="004B736A" w:rsidRPr="00BE36D3" w:rsidRDefault="004B736A"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3.776</w:t>
            </w:r>
          </w:p>
        </w:tc>
        <w:tc>
          <w:tcPr>
            <w:tcW w:w="647" w:type="pct"/>
            <w:tcBorders>
              <w:top w:val="nil"/>
              <w:left w:val="nil"/>
              <w:bottom w:val="single" w:sz="4" w:space="0" w:color="auto"/>
              <w:right w:val="single" w:sz="4" w:space="0" w:color="auto"/>
            </w:tcBorders>
            <w:shd w:val="clear" w:color="auto" w:fill="auto"/>
            <w:noWrap/>
            <w:hideMark/>
          </w:tcPr>
          <w:p w:rsidR="004B736A" w:rsidRPr="00BE36D3" w:rsidRDefault="004B736A"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w:t>
            </w:r>
          </w:p>
        </w:tc>
      </w:tr>
    </w:tbl>
    <w:p w:rsidR="00DC6444" w:rsidRPr="00BE36D3" w:rsidRDefault="00DC6444" w:rsidP="00CC548E">
      <w:pPr>
        <w:spacing w:line="240" w:lineRule="auto"/>
        <w:contextualSpacing/>
        <w:jc w:val="center"/>
        <w:rPr>
          <w:rFonts w:ascii="Arial" w:hAnsi="Arial" w:cs="Arial"/>
          <w:sz w:val="18"/>
          <w:szCs w:val="18"/>
        </w:rPr>
      </w:pPr>
      <w:r w:rsidRPr="00BE36D3">
        <w:rPr>
          <w:rFonts w:ascii="Arial" w:hAnsi="Arial" w:cs="Arial"/>
          <w:b/>
          <w:sz w:val="18"/>
          <w:szCs w:val="18"/>
        </w:rPr>
        <w:t xml:space="preserve">Fuente: </w:t>
      </w:r>
      <w:r w:rsidRPr="00BE36D3">
        <w:rPr>
          <w:rFonts w:ascii="Arial" w:hAnsi="Arial" w:cs="Arial"/>
          <w:sz w:val="18"/>
          <w:szCs w:val="18"/>
        </w:rPr>
        <w:t xml:space="preserve">Elaboración propia con base en las ejecuciones presupuestales proporcionadas por la </w:t>
      </w:r>
      <w:r w:rsidR="000966E6">
        <w:rPr>
          <w:rFonts w:ascii="Arial" w:hAnsi="Arial" w:cs="Arial"/>
          <w:sz w:val="18"/>
          <w:szCs w:val="18"/>
        </w:rPr>
        <w:t>A</w:t>
      </w:r>
      <w:r w:rsidRPr="00BE36D3">
        <w:rPr>
          <w:rFonts w:ascii="Arial" w:hAnsi="Arial" w:cs="Arial"/>
          <w:sz w:val="18"/>
          <w:szCs w:val="18"/>
        </w:rPr>
        <w:t xml:space="preserve">dministración </w:t>
      </w:r>
      <w:r w:rsidR="000966E6">
        <w:rPr>
          <w:rFonts w:ascii="Arial" w:hAnsi="Arial" w:cs="Arial"/>
          <w:sz w:val="18"/>
          <w:szCs w:val="18"/>
        </w:rPr>
        <w:t>M</w:t>
      </w:r>
      <w:r w:rsidRPr="00BE36D3">
        <w:rPr>
          <w:rFonts w:ascii="Arial" w:hAnsi="Arial" w:cs="Arial"/>
          <w:sz w:val="18"/>
          <w:szCs w:val="18"/>
        </w:rPr>
        <w:t>unicipal.</w:t>
      </w:r>
    </w:p>
    <w:p w:rsidR="0009074C" w:rsidRPr="00BE36D3" w:rsidRDefault="0009074C" w:rsidP="00CC548E">
      <w:pPr>
        <w:spacing w:line="240" w:lineRule="auto"/>
        <w:contextualSpacing/>
        <w:jc w:val="both"/>
        <w:rPr>
          <w:rFonts w:ascii="Arial" w:hAnsi="Arial" w:cs="Arial"/>
        </w:rPr>
      </w:pPr>
    </w:p>
    <w:p w:rsidR="00A645E5" w:rsidRPr="00BE36D3" w:rsidRDefault="006904B4" w:rsidP="00CC548E">
      <w:pPr>
        <w:spacing w:line="240" w:lineRule="auto"/>
        <w:contextualSpacing/>
        <w:jc w:val="both"/>
        <w:rPr>
          <w:rFonts w:ascii="Arial" w:hAnsi="Arial" w:cs="Arial"/>
          <w:b/>
          <w:bCs/>
        </w:rPr>
      </w:pPr>
      <w:r w:rsidRPr="00BE36D3">
        <w:rPr>
          <w:rFonts w:ascii="Arial" w:hAnsi="Arial" w:cs="Arial"/>
        </w:rPr>
        <w:t xml:space="preserve">Como se evidencia en el </w:t>
      </w:r>
      <w:r w:rsidR="000966E6">
        <w:rPr>
          <w:rFonts w:ascii="Arial" w:hAnsi="Arial" w:cs="Arial"/>
        </w:rPr>
        <w:t>C</w:t>
      </w:r>
      <w:r w:rsidRPr="00BE36D3">
        <w:rPr>
          <w:rFonts w:ascii="Arial" w:hAnsi="Arial" w:cs="Arial"/>
        </w:rPr>
        <w:t xml:space="preserve">uadro No. </w:t>
      </w:r>
      <w:r w:rsidR="72A55191" w:rsidRPr="00BE36D3">
        <w:rPr>
          <w:rFonts w:ascii="Arial" w:hAnsi="Arial" w:cs="Arial"/>
        </w:rPr>
        <w:t>2</w:t>
      </w:r>
      <w:r w:rsidRPr="00BE36D3">
        <w:rPr>
          <w:rFonts w:ascii="Arial" w:hAnsi="Arial" w:cs="Arial"/>
        </w:rPr>
        <w:t xml:space="preserve">, </w:t>
      </w:r>
      <w:r w:rsidR="00FC21D7" w:rsidRPr="00BE36D3">
        <w:rPr>
          <w:rFonts w:ascii="Arial" w:hAnsi="Arial" w:cs="Arial"/>
        </w:rPr>
        <w:t xml:space="preserve">el </w:t>
      </w:r>
      <w:r w:rsidR="000966E6">
        <w:rPr>
          <w:rFonts w:ascii="Arial" w:hAnsi="Arial" w:cs="Arial"/>
        </w:rPr>
        <w:t>M</w:t>
      </w:r>
      <w:r w:rsidR="00FC21D7" w:rsidRPr="00BE36D3">
        <w:rPr>
          <w:rFonts w:ascii="Arial" w:hAnsi="Arial" w:cs="Arial"/>
        </w:rPr>
        <w:t>unicipio no presenta diferencias significativas entre el presupuesto definitivo y el recaudo efectivo</w:t>
      </w:r>
      <w:r w:rsidR="00C445E9" w:rsidRPr="00BE36D3">
        <w:rPr>
          <w:rFonts w:ascii="Arial" w:hAnsi="Arial" w:cs="Arial"/>
        </w:rPr>
        <w:t>. En cuanto a los recursos de capital se puede observar que estos corresponden a recursos del balance derivados de un superávit fiscal al cierre de las vigencias analizadas y los r</w:t>
      </w:r>
      <w:r w:rsidR="00935FD2" w:rsidRPr="00BE36D3">
        <w:rPr>
          <w:rFonts w:ascii="Arial" w:hAnsi="Arial" w:cs="Arial"/>
        </w:rPr>
        <w:t>endimientos financieros</w:t>
      </w:r>
      <w:r w:rsidR="00C445E9" w:rsidRPr="00BE36D3">
        <w:rPr>
          <w:rFonts w:ascii="Arial" w:hAnsi="Arial" w:cs="Arial"/>
        </w:rPr>
        <w:t xml:space="preserve">. </w:t>
      </w:r>
      <w:r w:rsidR="00E90F77" w:rsidRPr="00BE36D3">
        <w:rPr>
          <w:rFonts w:ascii="Arial" w:hAnsi="Arial" w:cs="Arial"/>
        </w:rPr>
        <w:t>Por un lado, h</w:t>
      </w:r>
      <w:r w:rsidR="002E1F1C" w:rsidRPr="00BE36D3">
        <w:rPr>
          <w:rFonts w:ascii="Arial" w:hAnsi="Arial" w:cs="Arial"/>
        </w:rPr>
        <w:t xml:space="preserve">ubo una variación significativa de los recursos de superávit fiscal entre la vigencia 2017 y 2018, puesto que estos recursos pasaron de $240.195.090 a </w:t>
      </w:r>
      <w:r w:rsidR="00882C94" w:rsidRPr="00BE36D3">
        <w:rPr>
          <w:rFonts w:ascii="Arial" w:hAnsi="Arial" w:cs="Arial"/>
        </w:rPr>
        <w:t>$375.165.852</w:t>
      </w:r>
      <w:r w:rsidR="00551743" w:rsidRPr="00BE36D3">
        <w:rPr>
          <w:rFonts w:ascii="Arial" w:hAnsi="Arial" w:cs="Arial"/>
        </w:rPr>
        <w:t xml:space="preserve">. </w:t>
      </w:r>
    </w:p>
    <w:p w:rsidR="006D4C7A" w:rsidRPr="00BE36D3" w:rsidRDefault="006D4C7A" w:rsidP="00CC548E">
      <w:pPr>
        <w:spacing w:line="240" w:lineRule="auto"/>
        <w:contextualSpacing/>
        <w:jc w:val="both"/>
        <w:rPr>
          <w:rFonts w:ascii="Arial" w:hAnsi="Arial" w:cs="Arial"/>
        </w:rPr>
      </w:pPr>
    </w:p>
    <w:p w:rsidR="00C00DE6" w:rsidRPr="00BE36D3" w:rsidRDefault="001D1E98" w:rsidP="00CC548E">
      <w:pPr>
        <w:spacing w:line="240" w:lineRule="auto"/>
        <w:contextualSpacing/>
        <w:jc w:val="both"/>
        <w:rPr>
          <w:rFonts w:ascii="Arial" w:hAnsi="Arial" w:cs="Arial"/>
          <w:b/>
          <w:bCs/>
        </w:rPr>
      </w:pPr>
      <w:r w:rsidRPr="00BE36D3">
        <w:rPr>
          <w:rFonts w:ascii="Arial" w:hAnsi="Arial" w:cs="Arial"/>
          <w:b/>
          <w:bCs/>
        </w:rPr>
        <w:t>3.2 GASTOS</w:t>
      </w:r>
      <w:r w:rsidR="000966E6" w:rsidRPr="00BE36D3">
        <w:rPr>
          <w:rFonts w:ascii="Arial" w:hAnsi="Arial" w:cs="Arial"/>
          <w:b/>
          <w:bCs/>
        </w:rPr>
        <w:t>.</w:t>
      </w:r>
    </w:p>
    <w:p w:rsidR="00C00DE6" w:rsidRPr="00BE36D3" w:rsidRDefault="00C00DE6" w:rsidP="00CC548E">
      <w:pPr>
        <w:pStyle w:val="Prrafodelista"/>
        <w:numPr>
          <w:ilvl w:val="0"/>
          <w:numId w:val="3"/>
        </w:numPr>
        <w:spacing w:line="240" w:lineRule="auto"/>
        <w:jc w:val="both"/>
        <w:rPr>
          <w:rFonts w:ascii="Arial" w:hAnsi="Arial" w:cs="Arial"/>
          <w:b/>
          <w:bCs/>
        </w:rPr>
      </w:pPr>
      <w:r w:rsidRPr="00BE36D3">
        <w:rPr>
          <w:rFonts w:ascii="Arial" w:hAnsi="Arial" w:cs="Arial"/>
          <w:b/>
          <w:bCs/>
        </w:rPr>
        <w:lastRenderedPageBreak/>
        <w:t>Análisis presupuestal</w:t>
      </w:r>
      <w:r w:rsidR="000966E6">
        <w:rPr>
          <w:rFonts w:ascii="Arial" w:hAnsi="Arial" w:cs="Arial"/>
          <w:b/>
          <w:bCs/>
        </w:rPr>
        <w:t>.</w:t>
      </w:r>
    </w:p>
    <w:p w:rsidR="00C00DE6" w:rsidRDefault="00E90F77" w:rsidP="00CC548E">
      <w:pPr>
        <w:spacing w:line="240" w:lineRule="auto"/>
        <w:contextualSpacing/>
        <w:jc w:val="both"/>
        <w:rPr>
          <w:rFonts w:ascii="Arial" w:hAnsi="Arial" w:cs="Arial"/>
        </w:rPr>
      </w:pPr>
      <w:r w:rsidRPr="00BE36D3">
        <w:rPr>
          <w:rFonts w:ascii="Arial" w:hAnsi="Arial" w:cs="Arial"/>
        </w:rPr>
        <w:t>En cuanto a la ejecución presupuestal de gastos, el Municipio de Santiago de Tolú</w:t>
      </w:r>
      <w:r w:rsidR="2B472FC1" w:rsidRPr="00BE36D3">
        <w:rPr>
          <w:rFonts w:ascii="Arial" w:hAnsi="Arial" w:cs="Arial"/>
        </w:rPr>
        <w:t xml:space="preserve"> </w:t>
      </w:r>
      <w:r w:rsidRPr="00BE36D3">
        <w:rPr>
          <w:rFonts w:ascii="Arial" w:hAnsi="Arial" w:cs="Arial"/>
        </w:rPr>
        <w:t>-</w:t>
      </w:r>
      <w:r w:rsidR="4A0BDA55" w:rsidRPr="00BE36D3">
        <w:rPr>
          <w:rFonts w:ascii="Arial" w:hAnsi="Arial" w:cs="Arial"/>
        </w:rPr>
        <w:t xml:space="preserve"> </w:t>
      </w:r>
      <w:r w:rsidRPr="00BE36D3">
        <w:rPr>
          <w:rFonts w:ascii="Arial" w:hAnsi="Arial" w:cs="Arial"/>
        </w:rPr>
        <w:t xml:space="preserve">Sucre </w:t>
      </w:r>
      <w:r w:rsidR="00A524D6" w:rsidRPr="00BE36D3">
        <w:rPr>
          <w:rFonts w:ascii="Arial" w:hAnsi="Arial" w:cs="Arial"/>
        </w:rPr>
        <w:t>comprometió en 2017 el 96</w:t>
      </w:r>
      <w:r w:rsidR="000966E6">
        <w:rPr>
          <w:rFonts w:ascii="Arial" w:hAnsi="Arial" w:cs="Arial"/>
        </w:rPr>
        <w:t xml:space="preserve"> </w:t>
      </w:r>
      <w:r w:rsidR="00A524D6" w:rsidRPr="00BE36D3">
        <w:rPr>
          <w:rFonts w:ascii="Arial" w:hAnsi="Arial" w:cs="Arial"/>
        </w:rPr>
        <w:t>% de lo presupuestado, en 2018 el porcentaje de ejecución bajó al 8</w:t>
      </w:r>
      <w:r w:rsidR="00AF26EB" w:rsidRPr="00BE36D3">
        <w:rPr>
          <w:rFonts w:ascii="Arial" w:hAnsi="Arial" w:cs="Arial"/>
        </w:rPr>
        <w:t>8</w:t>
      </w:r>
      <w:r w:rsidR="000966E6">
        <w:rPr>
          <w:rFonts w:ascii="Arial" w:hAnsi="Arial" w:cs="Arial"/>
        </w:rPr>
        <w:t xml:space="preserve"> </w:t>
      </w:r>
      <w:r w:rsidR="00A524D6" w:rsidRPr="00BE36D3">
        <w:rPr>
          <w:rFonts w:ascii="Arial" w:hAnsi="Arial" w:cs="Arial"/>
        </w:rPr>
        <w:t>% y en 2019 este porcenta</w:t>
      </w:r>
      <w:r w:rsidR="00D2610A" w:rsidRPr="00BE36D3">
        <w:rPr>
          <w:rFonts w:ascii="Arial" w:hAnsi="Arial" w:cs="Arial"/>
        </w:rPr>
        <w:t xml:space="preserve">je </w:t>
      </w:r>
      <w:r w:rsidR="00A524D6" w:rsidRPr="00BE36D3">
        <w:rPr>
          <w:rFonts w:ascii="Arial" w:hAnsi="Arial" w:cs="Arial"/>
        </w:rPr>
        <w:t>pasó a 8</w:t>
      </w:r>
      <w:r w:rsidR="00AF26EB" w:rsidRPr="00BE36D3">
        <w:rPr>
          <w:rFonts w:ascii="Arial" w:hAnsi="Arial" w:cs="Arial"/>
        </w:rPr>
        <w:t>4</w:t>
      </w:r>
      <w:r w:rsidR="000966E6">
        <w:rPr>
          <w:rFonts w:ascii="Arial" w:hAnsi="Arial" w:cs="Arial"/>
        </w:rPr>
        <w:t xml:space="preserve"> </w:t>
      </w:r>
      <w:r w:rsidR="00A524D6" w:rsidRPr="00BE36D3">
        <w:rPr>
          <w:rFonts w:ascii="Arial" w:hAnsi="Arial" w:cs="Arial"/>
        </w:rPr>
        <w:t>%</w:t>
      </w:r>
      <w:r w:rsidR="00AF26EB" w:rsidRPr="00BE36D3">
        <w:rPr>
          <w:rFonts w:ascii="Arial" w:hAnsi="Arial" w:cs="Arial"/>
        </w:rPr>
        <w:t xml:space="preserve"> del presupuesto definitivo</w:t>
      </w:r>
      <w:r w:rsidR="00A524D6" w:rsidRPr="00BE36D3">
        <w:rPr>
          <w:rFonts w:ascii="Arial" w:hAnsi="Arial" w:cs="Arial"/>
        </w:rPr>
        <w:t xml:space="preserve">. </w:t>
      </w:r>
      <w:r w:rsidR="00D8212E" w:rsidRPr="00BE36D3">
        <w:rPr>
          <w:rFonts w:ascii="Arial" w:hAnsi="Arial" w:cs="Arial"/>
        </w:rPr>
        <w:t>El monto de saldos sin comprometer en 2017 fue de $</w:t>
      </w:r>
      <w:r w:rsidR="00DB3A30" w:rsidRPr="00BE36D3">
        <w:rPr>
          <w:rFonts w:ascii="Arial" w:hAnsi="Arial" w:cs="Arial"/>
        </w:rPr>
        <w:t xml:space="preserve">106.116.065, en la vigencia 2018 este valor ascendió a </w:t>
      </w:r>
      <w:r w:rsidR="008D3974" w:rsidRPr="00BE36D3">
        <w:rPr>
          <w:rFonts w:ascii="Arial" w:hAnsi="Arial" w:cs="Arial"/>
        </w:rPr>
        <w:t>$362.081.887 y en 2019 se dejaron sin comprometer $</w:t>
      </w:r>
      <w:r w:rsidR="00F84D31" w:rsidRPr="00BE36D3">
        <w:rPr>
          <w:rFonts w:ascii="Arial" w:hAnsi="Arial" w:cs="Arial"/>
        </w:rPr>
        <w:t>516.516.253</w:t>
      </w:r>
      <w:r w:rsidR="00982F50" w:rsidRPr="00BE36D3">
        <w:rPr>
          <w:rFonts w:ascii="Arial" w:hAnsi="Arial" w:cs="Arial"/>
        </w:rPr>
        <w:t xml:space="preserve"> (ver cuadro </w:t>
      </w:r>
      <w:r w:rsidR="27B25963" w:rsidRPr="00BE36D3">
        <w:rPr>
          <w:rFonts w:ascii="Arial" w:hAnsi="Arial" w:cs="Arial"/>
        </w:rPr>
        <w:t>3</w:t>
      </w:r>
      <w:r w:rsidR="00982F50" w:rsidRPr="00BE36D3">
        <w:rPr>
          <w:rFonts w:ascii="Arial" w:hAnsi="Arial" w:cs="Arial"/>
        </w:rPr>
        <w:t>)</w:t>
      </w:r>
      <w:r w:rsidR="00F84D31" w:rsidRPr="00BE36D3">
        <w:rPr>
          <w:rFonts w:ascii="Arial" w:hAnsi="Arial" w:cs="Arial"/>
        </w:rPr>
        <w:t xml:space="preserve">. </w:t>
      </w:r>
      <w:r w:rsidR="005334A2" w:rsidRPr="00BE36D3">
        <w:rPr>
          <w:rFonts w:ascii="Arial" w:hAnsi="Arial" w:cs="Arial"/>
        </w:rPr>
        <w:t>Lo anterior</w:t>
      </w:r>
      <w:r w:rsidR="00DA4367" w:rsidRPr="00BE36D3">
        <w:rPr>
          <w:rFonts w:ascii="Arial" w:hAnsi="Arial" w:cs="Arial"/>
        </w:rPr>
        <w:t>,</w:t>
      </w:r>
      <w:r w:rsidR="005334A2" w:rsidRPr="00BE36D3">
        <w:rPr>
          <w:rFonts w:ascii="Arial" w:hAnsi="Arial" w:cs="Arial"/>
        </w:rPr>
        <w:t xml:space="preserve"> refleja una tendencia</w:t>
      </w:r>
      <w:r w:rsidR="00E6102D" w:rsidRPr="00BE36D3">
        <w:rPr>
          <w:rFonts w:ascii="Arial" w:hAnsi="Arial" w:cs="Arial"/>
        </w:rPr>
        <w:t xml:space="preserve"> decreciente en el nivel de ejecución de los recursos de Propósito General</w:t>
      </w:r>
      <w:r w:rsidR="00DA4367" w:rsidRPr="00BE36D3">
        <w:rPr>
          <w:rFonts w:ascii="Arial" w:hAnsi="Arial" w:cs="Arial"/>
        </w:rPr>
        <w:t>.</w:t>
      </w:r>
    </w:p>
    <w:p w:rsidR="00F4471B" w:rsidRDefault="00F4471B" w:rsidP="00CC548E">
      <w:pPr>
        <w:spacing w:line="240" w:lineRule="auto"/>
        <w:contextualSpacing/>
        <w:jc w:val="both"/>
        <w:rPr>
          <w:rFonts w:ascii="Arial" w:hAnsi="Arial" w:cs="Arial"/>
        </w:rPr>
      </w:pPr>
    </w:p>
    <w:p w:rsidR="00E003D2" w:rsidRPr="00BE36D3" w:rsidRDefault="00E003D2" w:rsidP="00CC548E">
      <w:pPr>
        <w:spacing w:after="0" w:line="240" w:lineRule="auto"/>
        <w:ind w:left="360"/>
        <w:contextualSpacing/>
        <w:jc w:val="center"/>
        <w:rPr>
          <w:rFonts w:ascii="Arial" w:eastAsia="Arial Narrow" w:hAnsi="Arial" w:cs="Arial"/>
          <w:b/>
          <w:bCs/>
          <w:sz w:val="20"/>
          <w:szCs w:val="20"/>
        </w:rPr>
      </w:pPr>
      <w:r w:rsidRPr="00BE36D3">
        <w:rPr>
          <w:rFonts w:ascii="Arial" w:eastAsia="Arial Narrow" w:hAnsi="Arial" w:cs="Arial"/>
          <w:b/>
          <w:bCs/>
          <w:sz w:val="20"/>
          <w:szCs w:val="20"/>
        </w:rPr>
        <w:t xml:space="preserve">Cuadro No. </w:t>
      </w:r>
      <w:r w:rsidR="13B13F85" w:rsidRPr="00BE36D3">
        <w:rPr>
          <w:rFonts w:ascii="Arial" w:eastAsia="Arial Narrow" w:hAnsi="Arial" w:cs="Arial"/>
          <w:b/>
          <w:bCs/>
          <w:sz w:val="20"/>
          <w:szCs w:val="20"/>
        </w:rPr>
        <w:t>3</w:t>
      </w:r>
    </w:p>
    <w:p w:rsidR="00E003D2" w:rsidRPr="00BE36D3" w:rsidRDefault="00E003D2" w:rsidP="00CC548E">
      <w:pPr>
        <w:pStyle w:val="Prrafodelista"/>
        <w:spacing w:after="0" w:line="240" w:lineRule="auto"/>
        <w:jc w:val="center"/>
        <w:rPr>
          <w:rFonts w:ascii="Arial" w:hAnsi="Arial" w:cs="Arial"/>
          <w:sz w:val="20"/>
          <w:szCs w:val="20"/>
        </w:rPr>
      </w:pPr>
      <w:r w:rsidRPr="00BE36D3">
        <w:rPr>
          <w:rFonts w:ascii="Arial" w:hAnsi="Arial" w:cs="Arial"/>
          <w:sz w:val="20"/>
          <w:szCs w:val="20"/>
        </w:rPr>
        <w:t>Análisis de Gastos de la Participación de Propósito General vigencias 2017-2019</w:t>
      </w:r>
    </w:p>
    <w:p w:rsidR="00E003D2" w:rsidRPr="00BE36D3" w:rsidRDefault="00E003D2" w:rsidP="00CC548E">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E003D2" w:rsidRPr="00BE36D3" w:rsidRDefault="00E003D2" w:rsidP="00CC548E">
      <w:pPr>
        <w:pStyle w:val="Prrafodelista"/>
        <w:spacing w:after="0" w:line="240" w:lineRule="auto"/>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tbl>
      <w:tblPr>
        <w:tblW w:w="5712" w:type="pct"/>
        <w:jc w:val="center"/>
        <w:tblCellMar>
          <w:left w:w="70" w:type="dxa"/>
          <w:right w:w="70" w:type="dxa"/>
        </w:tblCellMar>
        <w:tblLook w:val="04A0" w:firstRow="1" w:lastRow="0" w:firstColumn="1" w:lastColumn="0" w:noHBand="0" w:noVBand="1"/>
      </w:tblPr>
      <w:tblGrid>
        <w:gridCol w:w="799"/>
        <w:gridCol w:w="1999"/>
        <w:gridCol w:w="1164"/>
        <w:gridCol w:w="1216"/>
        <w:gridCol w:w="1164"/>
        <w:gridCol w:w="1164"/>
        <w:gridCol w:w="1030"/>
        <w:gridCol w:w="1549"/>
      </w:tblGrid>
      <w:tr w:rsidR="001D1E98" w:rsidRPr="0009074C" w:rsidTr="00E003D2">
        <w:trPr>
          <w:trHeight w:val="300"/>
          <w:jc w:val="center"/>
        </w:trPr>
        <w:tc>
          <w:tcPr>
            <w:tcW w:w="5000" w:type="pct"/>
            <w:gridSpan w:val="8"/>
            <w:tcBorders>
              <w:top w:val="single" w:sz="4" w:space="0" w:color="auto"/>
              <w:left w:val="single" w:sz="4" w:space="0" w:color="auto"/>
              <w:bottom w:val="single" w:sz="4" w:space="0" w:color="auto"/>
              <w:right w:val="single" w:sz="4" w:space="0" w:color="auto"/>
            </w:tcBorders>
            <w:shd w:val="clear" w:color="000000" w:fill="666699"/>
            <w:noWrap/>
            <w:vAlign w:val="center"/>
            <w:hideMark/>
          </w:tcPr>
          <w:p w:rsidR="001D1E98" w:rsidRPr="00BE36D3" w:rsidRDefault="001D1E98"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Sector Propósito General </w:t>
            </w:r>
            <w:r w:rsidRPr="00BE36D3">
              <w:rPr>
                <w:rFonts w:ascii="Arial" w:eastAsia="Times New Roman" w:hAnsi="Arial" w:cs="Arial"/>
                <w:b/>
                <w:bCs/>
                <w:i/>
                <w:iCs/>
                <w:color w:val="FFFFFF"/>
                <w:sz w:val="16"/>
                <w:szCs w:val="16"/>
                <w:lang w:eastAsia="es-CO"/>
              </w:rPr>
              <w:t>(cifras en pesos)</w:t>
            </w:r>
          </w:p>
        </w:tc>
      </w:tr>
      <w:tr w:rsidR="001D1E98" w:rsidRPr="0009074C" w:rsidTr="00A46454">
        <w:trPr>
          <w:trHeight w:val="722"/>
          <w:jc w:val="center"/>
        </w:trPr>
        <w:tc>
          <w:tcPr>
            <w:tcW w:w="404" w:type="pct"/>
            <w:tcBorders>
              <w:top w:val="nil"/>
              <w:left w:val="single" w:sz="4" w:space="0" w:color="auto"/>
              <w:bottom w:val="single" w:sz="4" w:space="0" w:color="auto"/>
              <w:right w:val="single" w:sz="4" w:space="0" w:color="auto"/>
            </w:tcBorders>
            <w:shd w:val="clear" w:color="000000" w:fill="666699"/>
            <w:vAlign w:val="center"/>
            <w:hideMark/>
          </w:tcPr>
          <w:p w:rsidR="001D1E98" w:rsidRPr="00BE36D3" w:rsidRDefault="001D1E98"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Vigencia</w:t>
            </w:r>
          </w:p>
        </w:tc>
        <w:tc>
          <w:tcPr>
            <w:tcW w:w="1014" w:type="pct"/>
            <w:tcBorders>
              <w:top w:val="nil"/>
              <w:left w:val="nil"/>
              <w:bottom w:val="single" w:sz="4" w:space="0" w:color="auto"/>
              <w:right w:val="single" w:sz="4" w:space="0" w:color="auto"/>
            </w:tcBorders>
            <w:shd w:val="clear" w:color="000000" w:fill="666699"/>
            <w:vAlign w:val="center"/>
            <w:hideMark/>
          </w:tcPr>
          <w:p w:rsidR="001D1E98" w:rsidRPr="00BE36D3" w:rsidRDefault="001D1E98"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Concepto</w:t>
            </w:r>
          </w:p>
        </w:tc>
        <w:tc>
          <w:tcPr>
            <w:tcW w:w="589" w:type="pct"/>
            <w:tcBorders>
              <w:top w:val="nil"/>
              <w:left w:val="nil"/>
              <w:bottom w:val="single" w:sz="4" w:space="0" w:color="auto"/>
              <w:right w:val="single" w:sz="4" w:space="0" w:color="auto"/>
            </w:tcBorders>
            <w:shd w:val="clear" w:color="000000" w:fill="666699"/>
            <w:vAlign w:val="center"/>
            <w:hideMark/>
          </w:tcPr>
          <w:p w:rsidR="001D1E98" w:rsidRPr="00BE36D3" w:rsidRDefault="001D1E98"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Presupuesto Definitivo</w:t>
            </w:r>
          </w:p>
        </w:tc>
        <w:tc>
          <w:tcPr>
            <w:tcW w:w="616" w:type="pct"/>
            <w:tcBorders>
              <w:top w:val="nil"/>
              <w:left w:val="nil"/>
              <w:bottom w:val="single" w:sz="4" w:space="0" w:color="auto"/>
              <w:right w:val="single" w:sz="4" w:space="0" w:color="auto"/>
            </w:tcBorders>
            <w:shd w:val="clear" w:color="000000" w:fill="666699"/>
            <w:vAlign w:val="center"/>
            <w:hideMark/>
          </w:tcPr>
          <w:p w:rsidR="001D1E98" w:rsidRPr="00BE36D3" w:rsidRDefault="001D1E98"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Compromisos</w:t>
            </w:r>
          </w:p>
        </w:tc>
        <w:tc>
          <w:tcPr>
            <w:tcW w:w="589" w:type="pct"/>
            <w:tcBorders>
              <w:top w:val="nil"/>
              <w:left w:val="nil"/>
              <w:bottom w:val="single" w:sz="4" w:space="0" w:color="auto"/>
              <w:right w:val="single" w:sz="4" w:space="0" w:color="auto"/>
            </w:tcBorders>
            <w:shd w:val="clear" w:color="000000" w:fill="666699"/>
            <w:vAlign w:val="center"/>
            <w:hideMark/>
          </w:tcPr>
          <w:p w:rsidR="001D1E98" w:rsidRPr="00BE36D3" w:rsidRDefault="001D1E98"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Obligaciones</w:t>
            </w:r>
          </w:p>
        </w:tc>
        <w:tc>
          <w:tcPr>
            <w:tcW w:w="589" w:type="pct"/>
            <w:tcBorders>
              <w:top w:val="nil"/>
              <w:left w:val="nil"/>
              <w:bottom w:val="single" w:sz="4" w:space="0" w:color="auto"/>
              <w:right w:val="single" w:sz="4" w:space="0" w:color="auto"/>
            </w:tcBorders>
            <w:shd w:val="clear" w:color="000000" w:fill="666699"/>
            <w:vAlign w:val="center"/>
            <w:hideMark/>
          </w:tcPr>
          <w:p w:rsidR="001D1E98" w:rsidRPr="00BE36D3" w:rsidRDefault="001D1E98"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Pagos</w:t>
            </w:r>
          </w:p>
        </w:tc>
        <w:tc>
          <w:tcPr>
            <w:tcW w:w="79" w:type="pct"/>
            <w:tcBorders>
              <w:top w:val="nil"/>
              <w:left w:val="nil"/>
              <w:bottom w:val="single" w:sz="4" w:space="0" w:color="auto"/>
              <w:right w:val="single" w:sz="4" w:space="0" w:color="auto"/>
            </w:tcBorders>
            <w:shd w:val="clear" w:color="000000" w:fill="666699"/>
            <w:vAlign w:val="center"/>
            <w:hideMark/>
          </w:tcPr>
          <w:p w:rsidR="001D1E98" w:rsidRPr="00BE36D3" w:rsidRDefault="001D1E98"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Cuentas por pagar</w:t>
            </w:r>
          </w:p>
        </w:tc>
        <w:tc>
          <w:tcPr>
            <w:tcW w:w="1118" w:type="pct"/>
            <w:tcBorders>
              <w:top w:val="nil"/>
              <w:left w:val="nil"/>
              <w:bottom w:val="single" w:sz="4" w:space="0" w:color="auto"/>
              <w:right w:val="single" w:sz="4" w:space="0" w:color="auto"/>
            </w:tcBorders>
            <w:shd w:val="clear" w:color="000000" w:fill="666699"/>
            <w:vAlign w:val="center"/>
            <w:hideMark/>
          </w:tcPr>
          <w:p w:rsidR="001D1E98" w:rsidRPr="00BE36D3" w:rsidRDefault="001D1E98"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Reservas</w:t>
            </w:r>
            <w:r w:rsidRPr="00BE36D3">
              <w:rPr>
                <w:rFonts w:ascii="Arial" w:eastAsia="Times New Roman" w:hAnsi="Arial" w:cs="Arial"/>
                <w:b/>
                <w:bCs/>
                <w:color w:val="FFFFFF"/>
                <w:sz w:val="16"/>
                <w:szCs w:val="16"/>
                <w:lang w:eastAsia="es-CO"/>
              </w:rPr>
              <w:br/>
              <w:t>(Comprometido - Obligado)</w:t>
            </w:r>
          </w:p>
        </w:tc>
      </w:tr>
      <w:tr w:rsidR="001D1E98" w:rsidRPr="0009074C" w:rsidTr="00A46454">
        <w:trPr>
          <w:trHeight w:val="511"/>
          <w:jc w:val="center"/>
        </w:trPr>
        <w:tc>
          <w:tcPr>
            <w:tcW w:w="404" w:type="pct"/>
            <w:vMerge w:val="restart"/>
            <w:tcBorders>
              <w:top w:val="nil"/>
              <w:left w:val="single" w:sz="4" w:space="0" w:color="auto"/>
              <w:bottom w:val="single" w:sz="4" w:space="0" w:color="auto"/>
              <w:right w:val="single" w:sz="4" w:space="0" w:color="auto"/>
            </w:tcBorders>
            <w:shd w:val="clear" w:color="000000" w:fill="666699"/>
            <w:vAlign w:val="center"/>
            <w:hideMark/>
          </w:tcPr>
          <w:p w:rsidR="001D1E98" w:rsidRPr="00BE36D3" w:rsidRDefault="001D1E98"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Año 2017</w:t>
            </w:r>
          </w:p>
        </w:tc>
        <w:tc>
          <w:tcPr>
            <w:tcW w:w="1014"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1. Propósito General*</w:t>
            </w:r>
          </w:p>
        </w:tc>
        <w:tc>
          <w:tcPr>
            <w:tcW w:w="589"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2.868.287.720</w:t>
            </w:r>
          </w:p>
        </w:tc>
        <w:tc>
          <w:tcPr>
            <w:tcW w:w="616"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2.762.171.655</w:t>
            </w:r>
          </w:p>
        </w:tc>
        <w:tc>
          <w:tcPr>
            <w:tcW w:w="589"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2.762.171.655</w:t>
            </w:r>
          </w:p>
        </w:tc>
        <w:tc>
          <w:tcPr>
            <w:tcW w:w="589"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2.570.126.649</w:t>
            </w:r>
          </w:p>
        </w:tc>
        <w:tc>
          <w:tcPr>
            <w:tcW w:w="79"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192.045.006</w:t>
            </w:r>
          </w:p>
        </w:tc>
        <w:tc>
          <w:tcPr>
            <w:tcW w:w="1118"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r>
      <w:tr w:rsidR="001D1E98" w:rsidRPr="0009074C" w:rsidTr="00A46454">
        <w:trPr>
          <w:trHeight w:val="496"/>
          <w:jc w:val="center"/>
        </w:trPr>
        <w:tc>
          <w:tcPr>
            <w:tcW w:w="404" w:type="pct"/>
            <w:vMerge/>
            <w:tcBorders>
              <w:top w:val="nil"/>
              <w:left w:val="single" w:sz="4" w:space="0" w:color="auto"/>
              <w:bottom w:val="single" w:sz="4" w:space="0" w:color="auto"/>
              <w:right w:val="single" w:sz="4" w:space="0" w:color="auto"/>
            </w:tcBorders>
            <w:vAlign w:val="center"/>
            <w:hideMark/>
          </w:tcPr>
          <w:p w:rsidR="001D1E98" w:rsidRPr="00BE36D3" w:rsidRDefault="001D1E98" w:rsidP="00CC548E">
            <w:pPr>
              <w:spacing w:after="0" w:line="240" w:lineRule="auto"/>
              <w:contextualSpacing/>
              <w:rPr>
                <w:rFonts w:ascii="Arial" w:eastAsia="Times New Roman" w:hAnsi="Arial" w:cs="Arial"/>
                <w:b/>
                <w:bCs/>
                <w:color w:val="FFFFFF"/>
                <w:sz w:val="16"/>
                <w:szCs w:val="16"/>
                <w:lang w:eastAsia="es-CO"/>
              </w:rPr>
            </w:pPr>
          </w:p>
        </w:tc>
        <w:tc>
          <w:tcPr>
            <w:tcW w:w="1014"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1.1. Libre Destinación</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1.168.933.994</w:t>
            </w:r>
          </w:p>
        </w:tc>
        <w:tc>
          <w:tcPr>
            <w:tcW w:w="616"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1.167.538.943</w:t>
            </w:r>
          </w:p>
        </w:tc>
        <w:tc>
          <w:tcPr>
            <w:tcW w:w="58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1.167.538.943</w:t>
            </w:r>
          </w:p>
        </w:tc>
        <w:tc>
          <w:tcPr>
            <w:tcW w:w="58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1.134.535.047</w:t>
            </w:r>
          </w:p>
        </w:tc>
        <w:tc>
          <w:tcPr>
            <w:tcW w:w="7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33.003.896</w:t>
            </w:r>
          </w:p>
        </w:tc>
        <w:tc>
          <w:tcPr>
            <w:tcW w:w="1118"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1D1E98" w:rsidRPr="0009074C" w:rsidTr="00A46454">
        <w:trPr>
          <w:trHeight w:val="300"/>
          <w:jc w:val="center"/>
        </w:trPr>
        <w:tc>
          <w:tcPr>
            <w:tcW w:w="404" w:type="pct"/>
            <w:vMerge/>
            <w:tcBorders>
              <w:top w:val="nil"/>
              <w:left w:val="single" w:sz="4" w:space="0" w:color="auto"/>
              <w:bottom w:val="single" w:sz="4" w:space="0" w:color="auto"/>
              <w:right w:val="single" w:sz="4" w:space="0" w:color="auto"/>
            </w:tcBorders>
            <w:vAlign w:val="center"/>
            <w:hideMark/>
          </w:tcPr>
          <w:p w:rsidR="001D1E98" w:rsidRPr="00BE36D3" w:rsidRDefault="001D1E98" w:rsidP="00CC548E">
            <w:pPr>
              <w:spacing w:after="0" w:line="240" w:lineRule="auto"/>
              <w:contextualSpacing/>
              <w:rPr>
                <w:rFonts w:ascii="Arial" w:eastAsia="Times New Roman" w:hAnsi="Arial" w:cs="Arial"/>
                <w:b/>
                <w:bCs/>
                <w:color w:val="FFFFFF"/>
                <w:sz w:val="16"/>
                <w:szCs w:val="16"/>
                <w:lang w:eastAsia="es-CO"/>
              </w:rPr>
            </w:pPr>
          </w:p>
        </w:tc>
        <w:tc>
          <w:tcPr>
            <w:tcW w:w="1014"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1.2. Libre Inversión</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1.449.318.508</w:t>
            </w:r>
          </w:p>
        </w:tc>
        <w:tc>
          <w:tcPr>
            <w:tcW w:w="616"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1.449.317.014</w:t>
            </w:r>
          </w:p>
        </w:tc>
        <w:tc>
          <w:tcPr>
            <w:tcW w:w="58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1.449.317.014</w:t>
            </w:r>
          </w:p>
        </w:tc>
        <w:tc>
          <w:tcPr>
            <w:tcW w:w="58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1.305.110.934</w:t>
            </w:r>
          </w:p>
        </w:tc>
        <w:tc>
          <w:tcPr>
            <w:tcW w:w="7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144.206.080</w:t>
            </w:r>
          </w:p>
        </w:tc>
        <w:tc>
          <w:tcPr>
            <w:tcW w:w="1118"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1D1E98" w:rsidRPr="0009074C" w:rsidTr="00A46454">
        <w:trPr>
          <w:trHeight w:val="300"/>
          <w:jc w:val="center"/>
        </w:trPr>
        <w:tc>
          <w:tcPr>
            <w:tcW w:w="404" w:type="pct"/>
            <w:vMerge/>
            <w:tcBorders>
              <w:top w:val="nil"/>
              <w:left w:val="single" w:sz="4" w:space="0" w:color="auto"/>
              <w:bottom w:val="single" w:sz="4" w:space="0" w:color="auto"/>
              <w:right w:val="single" w:sz="4" w:space="0" w:color="auto"/>
            </w:tcBorders>
            <w:vAlign w:val="center"/>
            <w:hideMark/>
          </w:tcPr>
          <w:p w:rsidR="001D1E98" w:rsidRPr="00BE36D3" w:rsidRDefault="001D1E98" w:rsidP="00CC548E">
            <w:pPr>
              <w:spacing w:after="0" w:line="240" w:lineRule="auto"/>
              <w:contextualSpacing/>
              <w:rPr>
                <w:rFonts w:ascii="Arial" w:eastAsia="Times New Roman" w:hAnsi="Arial" w:cs="Arial"/>
                <w:b/>
                <w:bCs/>
                <w:color w:val="FFFFFF"/>
                <w:sz w:val="16"/>
                <w:szCs w:val="16"/>
                <w:lang w:eastAsia="es-CO"/>
              </w:rPr>
            </w:pPr>
          </w:p>
        </w:tc>
        <w:tc>
          <w:tcPr>
            <w:tcW w:w="1014"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1.3. Deporte y Recreación</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127.510.385</w:t>
            </w:r>
          </w:p>
        </w:tc>
        <w:tc>
          <w:tcPr>
            <w:tcW w:w="616"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88.065.698</w:t>
            </w:r>
          </w:p>
        </w:tc>
        <w:tc>
          <w:tcPr>
            <w:tcW w:w="58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88.065.698</w:t>
            </w:r>
          </w:p>
        </w:tc>
        <w:tc>
          <w:tcPr>
            <w:tcW w:w="58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73.230.668</w:t>
            </w:r>
          </w:p>
        </w:tc>
        <w:tc>
          <w:tcPr>
            <w:tcW w:w="7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14.835.030</w:t>
            </w:r>
          </w:p>
        </w:tc>
        <w:tc>
          <w:tcPr>
            <w:tcW w:w="1118"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1D1E98" w:rsidRPr="0009074C" w:rsidTr="00A46454">
        <w:trPr>
          <w:trHeight w:val="421"/>
          <w:jc w:val="center"/>
        </w:trPr>
        <w:tc>
          <w:tcPr>
            <w:tcW w:w="404" w:type="pct"/>
            <w:vMerge/>
            <w:tcBorders>
              <w:top w:val="nil"/>
              <w:left w:val="single" w:sz="4" w:space="0" w:color="auto"/>
              <w:bottom w:val="single" w:sz="4" w:space="0" w:color="auto"/>
              <w:right w:val="single" w:sz="4" w:space="0" w:color="auto"/>
            </w:tcBorders>
            <w:vAlign w:val="center"/>
            <w:hideMark/>
          </w:tcPr>
          <w:p w:rsidR="001D1E98" w:rsidRPr="00BE36D3" w:rsidRDefault="001D1E98" w:rsidP="00CC548E">
            <w:pPr>
              <w:spacing w:after="0" w:line="240" w:lineRule="auto"/>
              <w:contextualSpacing/>
              <w:rPr>
                <w:rFonts w:ascii="Arial" w:eastAsia="Times New Roman" w:hAnsi="Arial" w:cs="Arial"/>
                <w:b/>
                <w:bCs/>
                <w:color w:val="FFFFFF"/>
                <w:sz w:val="16"/>
                <w:szCs w:val="16"/>
                <w:lang w:eastAsia="es-CO"/>
              </w:rPr>
            </w:pPr>
          </w:p>
        </w:tc>
        <w:tc>
          <w:tcPr>
            <w:tcW w:w="1014"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1.4. Cultura</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122.524.833</w:t>
            </w:r>
          </w:p>
        </w:tc>
        <w:tc>
          <w:tcPr>
            <w:tcW w:w="616"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57.250.000</w:t>
            </w:r>
          </w:p>
        </w:tc>
        <w:tc>
          <w:tcPr>
            <w:tcW w:w="58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57.250.000</w:t>
            </w:r>
          </w:p>
        </w:tc>
        <w:tc>
          <w:tcPr>
            <w:tcW w:w="58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57.250.000</w:t>
            </w:r>
          </w:p>
        </w:tc>
        <w:tc>
          <w:tcPr>
            <w:tcW w:w="7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1118"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1D1E98" w:rsidRPr="0009074C" w:rsidTr="00A46454">
        <w:trPr>
          <w:trHeight w:val="511"/>
          <w:jc w:val="center"/>
        </w:trPr>
        <w:tc>
          <w:tcPr>
            <w:tcW w:w="404" w:type="pct"/>
            <w:vMerge w:val="restart"/>
            <w:tcBorders>
              <w:top w:val="nil"/>
              <w:left w:val="single" w:sz="4" w:space="0" w:color="auto"/>
              <w:bottom w:val="single" w:sz="4" w:space="0" w:color="auto"/>
              <w:right w:val="single" w:sz="4" w:space="0" w:color="auto"/>
            </w:tcBorders>
            <w:shd w:val="clear" w:color="000000" w:fill="666699"/>
            <w:vAlign w:val="center"/>
            <w:hideMark/>
          </w:tcPr>
          <w:p w:rsidR="001D1E98" w:rsidRPr="00BE36D3" w:rsidRDefault="001D1E98"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Año 2018</w:t>
            </w:r>
          </w:p>
        </w:tc>
        <w:tc>
          <w:tcPr>
            <w:tcW w:w="1014"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1. Propósito General*</w:t>
            </w:r>
          </w:p>
        </w:tc>
        <w:tc>
          <w:tcPr>
            <w:tcW w:w="589"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2.999.664.464</w:t>
            </w:r>
          </w:p>
        </w:tc>
        <w:tc>
          <w:tcPr>
            <w:tcW w:w="616"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2.637.582.577</w:t>
            </w:r>
          </w:p>
        </w:tc>
        <w:tc>
          <w:tcPr>
            <w:tcW w:w="589"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2.559.582.577</w:t>
            </w:r>
          </w:p>
        </w:tc>
        <w:tc>
          <w:tcPr>
            <w:tcW w:w="589"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2.199.374.357</w:t>
            </w:r>
          </w:p>
        </w:tc>
        <w:tc>
          <w:tcPr>
            <w:tcW w:w="79"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360.208.220</w:t>
            </w:r>
          </w:p>
        </w:tc>
        <w:tc>
          <w:tcPr>
            <w:tcW w:w="1118"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78.000.000</w:t>
            </w:r>
          </w:p>
        </w:tc>
      </w:tr>
      <w:tr w:rsidR="001D1E98" w:rsidRPr="0009074C" w:rsidTr="00A46454">
        <w:trPr>
          <w:trHeight w:val="300"/>
          <w:jc w:val="center"/>
        </w:trPr>
        <w:tc>
          <w:tcPr>
            <w:tcW w:w="404" w:type="pct"/>
            <w:vMerge/>
            <w:tcBorders>
              <w:top w:val="nil"/>
              <w:left w:val="single" w:sz="4" w:space="0" w:color="auto"/>
              <w:bottom w:val="single" w:sz="4" w:space="0" w:color="auto"/>
              <w:right w:val="single" w:sz="4" w:space="0" w:color="auto"/>
            </w:tcBorders>
            <w:vAlign w:val="center"/>
            <w:hideMark/>
          </w:tcPr>
          <w:p w:rsidR="001D1E98" w:rsidRPr="00BE36D3" w:rsidRDefault="001D1E98" w:rsidP="00CC548E">
            <w:pPr>
              <w:spacing w:after="0" w:line="240" w:lineRule="auto"/>
              <w:contextualSpacing/>
              <w:rPr>
                <w:rFonts w:ascii="Arial" w:eastAsia="Times New Roman" w:hAnsi="Arial" w:cs="Arial"/>
                <w:b/>
                <w:bCs/>
                <w:color w:val="FFFFFF"/>
                <w:sz w:val="16"/>
                <w:szCs w:val="16"/>
                <w:lang w:eastAsia="es-CO"/>
              </w:rPr>
            </w:pPr>
          </w:p>
        </w:tc>
        <w:tc>
          <w:tcPr>
            <w:tcW w:w="1014"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1.1. Libre Destinación</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616"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975.746.346</w:t>
            </w:r>
          </w:p>
        </w:tc>
        <w:tc>
          <w:tcPr>
            <w:tcW w:w="7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134.943.072</w:t>
            </w:r>
          </w:p>
        </w:tc>
        <w:tc>
          <w:tcPr>
            <w:tcW w:w="1118"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1D1E98" w:rsidRPr="0009074C" w:rsidTr="00A46454">
        <w:trPr>
          <w:trHeight w:val="496"/>
          <w:jc w:val="center"/>
        </w:trPr>
        <w:tc>
          <w:tcPr>
            <w:tcW w:w="404" w:type="pct"/>
            <w:vMerge/>
            <w:tcBorders>
              <w:top w:val="nil"/>
              <w:left w:val="single" w:sz="4" w:space="0" w:color="auto"/>
              <w:bottom w:val="single" w:sz="4" w:space="0" w:color="auto"/>
              <w:right w:val="single" w:sz="4" w:space="0" w:color="auto"/>
            </w:tcBorders>
            <w:vAlign w:val="center"/>
            <w:hideMark/>
          </w:tcPr>
          <w:p w:rsidR="001D1E98" w:rsidRPr="00BE36D3" w:rsidRDefault="001D1E98" w:rsidP="00CC548E">
            <w:pPr>
              <w:spacing w:after="0" w:line="240" w:lineRule="auto"/>
              <w:contextualSpacing/>
              <w:rPr>
                <w:rFonts w:ascii="Arial" w:eastAsia="Times New Roman" w:hAnsi="Arial" w:cs="Arial"/>
                <w:b/>
                <w:bCs/>
                <w:color w:val="FFFFFF"/>
                <w:sz w:val="16"/>
                <w:szCs w:val="16"/>
                <w:lang w:eastAsia="es-CO"/>
              </w:rPr>
            </w:pPr>
          </w:p>
        </w:tc>
        <w:tc>
          <w:tcPr>
            <w:tcW w:w="1014"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1.2. Libre Inversión</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1.674.241.758</w:t>
            </w:r>
          </w:p>
        </w:tc>
        <w:tc>
          <w:tcPr>
            <w:tcW w:w="616"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1.378.935.727</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1.300.935.727</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1.082.001.879</w:t>
            </w:r>
          </w:p>
        </w:tc>
        <w:tc>
          <w:tcPr>
            <w:tcW w:w="7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218.933.848</w:t>
            </w:r>
          </w:p>
        </w:tc>
        <w:tc>
          <w:tcPr>
            <w:tcW w:w="1118"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78.000.000</w:t>
            </w:r>
          </w:p>
        </w:tc>
      </w:tr>
      <w:tr w:rsidR="001D1E98" w:rsidRPr="0009074C" w:rsidTr="00A46454">
        <w:trPr>
          <w:trHeight w:val="300"/>
          <w:jc w:val="center"/>
        </w:trPr>
        <w:tc>
          <w:tcPr>
            <w:tcW w:w="404" w:type="pct"/>
            <w:vMerge/>
            <w:tcBorders>
              <w:top w:val="nil"/>
              <w:left w:val="single" w:sz="4" w:space="0" w:color="auto"/>
              <w:bottom w:val="single" w:sz="4" w:space="0" w:color="auto"/>
              <w:right w:val="single" w:sz="4" w:space="0" w:color="auto"/>
            </w:tcBorders>
            <w:vAlign w:val="center"/>
            <w:hideMark/>
          </w:tcPr>
          <w:p w:rsidR="001D1E98" w:rsidRPr="00BE36D3" w:rsidRDefault="001D1E98" w:rsidP="00CC548E">
            <w:pPr>
              <w:spacing w:after="0" w:line="240" w:lineRule="auto"/>
              <w:contextualSpacing/>
              <w:rPr>
                <w:rFonts w:ascii="Arial" w:eastAsia="Times New Roman" w:hAnsi="Arial" w:cs="Arial"/>
                <w:b/>
                <w:bCs/>
                <w:color w:val="FFFFFF"/>
                <w:sz w:val="16"/>
                <w:szCs w:val="16"/>
                <w:lang w:eastAsia="es-CO"/>
              </w:rPr>
            </w:pPr>
          </w:p>
        </w:tc>
        <w:tc>
          <w:tcPr>
            <w:tcW w:w="1014"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1.3. Deporte y Recreación</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122.704.736</w:t>
            </w:r>
          </w:p>
        </w:tc>
        <w:tc>
          <w:tcPr>
            <w:tcW w:w="616"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67.747.532</w:t>
            </w:r>
          </w:p>
        </w:tc>
        <w:tc>
          <w:tcPr>
            <w:tcW w:w="58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67.747.532</w:t>
            </w:r>
          </w:p>
        </w:tc>
        <w:tc>
          <w:tcPr>
            <w:tcW w:w="58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65.288.332</w:t>
            </w:r>
          </w:p>
        </w:tc>
        <w:tc>
          <w:tcPr>
            <w:tcW w:w="7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2.459.200</w:t>
            </w:r>
          </w:p>
        </w:tc>
        <w:tc>
          <w:tcPr>
            <w:tcW w:w="1118"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1D1E98" w:rsidRPr="0009074C" w:rsidTr="00A46454">
        <w:trPr>
          <w:trHeight w:val="300"/>
          <w:jc w:val="center"/>
        </w:trPr>
        <w:tc>
          <w:tcPr>
            <w:tcW w:w="404" w:type="pct"/>
            <w:vMerge/>
            <w:tcBorders>
              <w:top w:val="nil"/>
              <w:left w:val="single" w:sz="4" w:space="0" w:color="auto"/>
              <w:bottom w:val="single" w:sz="4" w:space="0" w:color="auto"/>
              <w:right w:val="single" w:sz="4" w:space="0" w:color="auto"/>
            </w:tcBorders>
            <w:vAlign w:val="center"/>
            <w:hideMark/>
          </w:tcPr>
          <w:p w:rsidR="001D1E98" w:rsidRPr="00BE36D3" w:rsidRDefault="001D1E98" w:rsidP="00CC548E">
            <w:pPr>
              <w:spacing w:after="0" w:line="240" w:lineRule="auto"/>
              <w:contextualSpacing/>
              <w:rPr>
                <w:rFonts w:ascii="Arial" w:eastAsia="Times New Roman" w:hAnsi="Arial" w:cs="Arial"/>
                <w:b/>
                <w:bCs/>
                <w:color w:val="FFFFFF"/>
                <w:sz w:val="16"/>
                <w:szCs w:val="16"/>
                <w:lang w:eastAsia="es-CO"/>
              </w:rPr>
            </w:pPr>
          </w:p>
        </w:tc>
        <w:tc>
          <w:tcPr>
            <w:tcW w:w="1014"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1.4. Cultura</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92.028.552</w:t>
            </w:r>
          </w:p>
        </w:tc>
        <w:tc>
          <w:tcPr>
            <w:tcW w:w="616"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80.209.900</w:t>
            </w:r>
          </w:p>
        </w:tc>
        <w:tc>
          <w:tcPr>
            <w:tcW w:w="58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80.209.900</w:t>
            </w:r>
          </w:p>
        </w:tc>
        <w:tc>
          <w:tcPr>
            <w:tcW w:w="58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76.337.800</w:t>
            </w:r>
          </w:p>
        </w:tc>
        <w:tc>
          <w:tcPr>
            <w:tcW w:w="7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3.872.100</w:t>
            </w:r>
          </w:p>
        </w:tc>
        <w:tc>
          <w:tcPr>
            <w:tcW w:w="1118"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1D1E98" w:rsidRPr="0009074C" w:rsidTr="00A46454">
        <w:trPr>
          <w:trHeight w:val="586"/>
          <w:jc w:val="center"/>
        </w:trPr>
        <w:tc>
          <w:tcPr>
            <w:tcW w:w="404" w:type="pct"/>
            <w:vMerge w:val="restart"/>
            <w:tcBorders>
              <w:top w:val="nil"/>
              <w:left w:val="single" w:sz="4" w:space="0" w:color="auto"/>
              <w:bottom w:val="single" w:sz="4" w:space="0" w:color="auto"/>
              <w:right w:val="single" w:sz="4" w:space="0" w:color="auto"/>
            </w:tcBorders>
            <w:shd w:val="clear" w:color="000000" w:fill="666699"/>
            <w:vAlign w:val="center"/>
            <w:hideMark/>
          </w:tcPr>
          <w:p w:rsidR="001D1E98" w:rsidRPr="00BE36D3" w:rsidRDefault="001D1E98"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Año 2019</w:t>
            </w:r>
          </w:p>
        </w:tc>
        <w:tc>
          <w:tcPr>
            <w:tcW w:w="1014"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1. Propósito General*</w:t>
            </w:r>
          </w:p>
        </w:tc>
        <w:tc>
          <w:tcPr>
            <w:tcW w:w="589"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3.146.962.103</w:t>
            </w:r>
          </w:p>
        </w:tc>
        <w:tc>
          <w:tcPr>
            <w:tcW w:w="616"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2.630.445.850</w:t>
            </w:r>
          </w:p>
        </w:tc>
        <w:tc>
          <w:tcPr>
            <w:tcW w:w="589"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2.630.445.850</w:t>
            </w:r>
          </w:p>
        </w:tc>
        <w:tc>
          <w:tcPr>
            <w:tcW w:w="589"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2.210.105.292</w:t>
            </w:r>
          </w:p>
        </w:tc>
        <w:tc>
          <w:tcPr>
            <w:tcW w:w="79"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420.340.558</w:t>
            </w:r>
          </w:p>
        </w:tc>
        <w:tc>
          <w:tcPr>
            <w:tcW w:w="1118" w:type="pct"/>
            <w:tcBorders>
              <w:top w:val="nil"/>
              <w:left w:val="nil"/>
              <w:bottom w:val="single" w:sz="4" w:space="0" w:color="auto"/>
              <w:right w:val="single" w:sz="4" w:space="0" w:color="auto"/>
            </w:tcBorders>
            <w:shd w:val="clear" w:color="000000" w:fill="CCCCFF"/>
            <w:vAlign w:val="center"/>
            <w:hideMark/>
          </w:tcPr>
          <w:p w:rsidR="001D1E98" w:rsidRPr="00BE36D3" w:rsidRDefault="001D1E98"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r>
      <w:tr w:rsidR="001D1E98" w:rsidRPr="0009074C" w:rsidTr="00A46454">
        <w:trPr>
          <w:trHeight w:val="331"/>
          <w:jc w:val="center"/>
        </w:trPr>
        <w:tc>
          <w:tcPr>
            <w:tcW w:w="404" w:type="pct"/>
            <w:vMerge/>
            <w:tcBorders>
              <w:top w:val="nil"/>
              <w:left w:val="single" w:sz="4" w:space="0" w:color="auto"/>
              <w:bottom w:val="single" w:sz="4" w:space="0" w:color="auto"/>
              <w:right w:val="single" w:sz="4" w:space="0" w:color="auto"/>
            </w:tcBorders>
            <w:vAlign w:val="center"/>
            <w:hideMark/>
          </w:tcPr>
          <w:p w:rsidR="001D1E98" w:rsidRPr="00BE36D3" w:rsidRDefault="001D1E98" w:rsidP="00CC548E">
            <w:pPr>
              <w:spacing w:after="0" w:line="240" w:lineRule="auto"/>
              <w:contextualSpacing/>
              <w:rPr>
                <w:rFonts w:ascii="Arial" w:eastAsia="Times New Roman" w:hAnsi="Arial" w:cs="Arial"/>
                <w:b/>
                <w:bCs/>
                <w:color w:val="FFFFFF"/>
                <w:sz w:val="16"/>
                <w:szCs w:val="16"/>
                <w:lang w:eastAsia="es-CO"/>
              </w:rPr>
            </w:pPr>
          </w:p>
        </w:tc>
        <w:tc>
          <w:tcPr>
            <w:tcW w:w="1014"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1.1. Libre Destinación</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1.273.218.732</w:t>
            </w:r>
          </w:p>
        </w:tc>
        <w:tc>
          <w:tcPr>
            <w:tcW w:w="616"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1.195.903.226</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1.195.903.226</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1.062.062.668</w:t>
            </w:r>
          </w:p>
        </w:tc>
        <w:tc>
          <w:tcPr>
            <w:tcW w:w="7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bookmarkStart w:id="4" w:name="_Hlk43393476"/>
            <w:r w:rsidRPr="00BE36D3">
              <w:rPr>
                <w:rFonts w:ascii="Arial" w:eastAsia="Times New Roman" w:hAnsi="Arial" w:cs="Arial"/>
                <w:sz w:val="16"/>
                <w:szCs w:val="16"/>
                <w:lang w:eastAsia="es-CO"/>
              </w:rPr>
              <w:t>133.840.558</w:t>
            </w:r>
            <w:bookmarkEnd w:id="4"/>
          </w:p>
        </w:tc>
        <w:tc>
          <w:tcPr>
            <w:tcW w:w="1118"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1D1E98" w:rsidRPr="0009074C" w:rsidTr="00A46454">
        <w:trPr>
          <w:trHeight w:val="300"/>
          <w:jc w:val="center"/>
        </w:trPr>
        <w:tc>
          <w:tcPr>
            <w:tcW w:w="404" w:type="pct"/>
            <w:vMerge/>
            <w:tcBorders>
              <w:top w:val="nil"/>
              <w:left w:val="single" w:sz="4" w:space="0" w:color="auto"/>
              <w:bottom w:val="single" w:sz="4" w:space="0" w:color="auto"/>
              <w:right w:val="single" w:sz="4" w:space="0" w:color="auto"/>
            </w:tcBorders>
            <w:vAlign w:val="center"/>
            <w:hideMark/>
          </w:tcPr>
          <w:p w:rsidR="001D1E98" w:rsidRPr="00BE36D3" w:rsidRDefault="001D1E98" w:rsidP="00CC548E">
            <w:pPr>
              <w:spacing w:after="0" w:line="240" w:lineRule="auto"/>
              <w:contextualSpacing/>
              <w:rPr>
                <w:rFonts w:ascii="Arial" w:eastAsia="Times New Roman" w:hAnsi="Arial" w:cs="Arial"/>
                <w:b/>
                <w:bCs/>
                <w:color w:val="FFFFFF"/>
                <w:sz w:val="16"/>
                <w:szCs w:val="16"/>
                <w:lang w:eastAsia="es-CO"/>
              </w:rPr>
            </w:pPr>
          </w:p>
        </w:tc>
        <w:tc>
          <w:tcPr>
            <w:tcW w:w="1014"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1.2. Libre Inversión</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1.512.298.486</w:t>
            </w:r>
          </w:p>
        </w:tc>
        <w:tc>
          <w:tcPr>
            <w:tcW w:w="616"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1.318.144.647</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1.318.144.647</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1.031.644.647</w:t>
            </w:r>
          </w:p>
        </w:tc>
        <w:tc>
          <w:tcPr>
            <w:tcW w:w="7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286.500.000</w:t>
            </w:r>
          </w:p>
        </w:tc>
        <w:tc>
          <w:tcPr>
            <w:tcW w:w="1118"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1D1E98" w:rsidRPr="0009074C" w:rsidTr="00A46454">
        <w:trPr>
          <w:trHeight w:val="300"/>
          <w:jc w:val="center"/>
        </w:trPr>
        <w:tc>
          <w:tcPr>
            <w:tcW w:w="404" w:type="pct"/>
            <w:vMerge/>
            <w:tcBorders>
              <w:top w:val="nil"/>
              <w:left w:val="single" w:sz="4" w:space="0" w:color="auto"/>
              <w:bottom w:val="single" w:sz="4" w:space="0" w:color="auto"/>
              <w:right w:val="single" w:sz="4" w:space="0" w:color="auto"/>
            </w:tcBorders>
            <w:vAlign w:val="center"/>
            <w:hideMark/>
          </w:tcPr>
          <w:p w:rsidR="001D1E98" w:rsidRPr="00BE36D3" w:rsidRDefault="001D1E98" w:rsidP="00CC548E">
            <w:pPr>
              <w:spacing w:after="0" w:line="240" w:lineRule="auto"/>
              <w:contextualSpacing/>
              <w:rPr>
                <w:rFonts w:ascii="Arial" w:eastAsia="Times New Roman" w:hAnsi="Arial" w:cs="Arial"/>
                <w:b/>
                <w:bCs/>
                <w:color w:val="FFFFFF"/>
                <w:sz w:val="16"/>
                <w:szCs w:val="16"/>
                <w:lang w:eastAsia="es-CO"/>
              </w:rPr>
            </w:pPr>
          </w:p>
        </w:tc>
        <w:tc>
          <w:tcPr>
            <w:tcW w:w="1014"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1.3. Deporte y Recreación</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125.417.604</w:t>
            </w:r>
          </w:p>
        </w:tc>
        <w:tc>
          <w:tcPr>
            <w:tcW w:w="616"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20.723.000</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20.723.000</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20.723.000</w:t>
            </w:r>
          </w:p>
        </w:tc>
        <w:tc>
          <w:tcPr>
            <w:tcW w:w="7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1118"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1D1E98" w:rsidRPr="0009074C" w:rsidTr="00A46454">
        <w:trPr>
          <w:trHeight w:val="300"/>
          <w:jc w:val="center"/>
        </w:trPr>
        <w:tc>
          <w:tcPr>
            <w:tcW w:w="404" w:type="pct"/>
            <w:vMerge/>
            <w:tcBorders>
              <w:top w:val="nil"/>
              <w:left w:val="single" w:sz="4" w:space="0" w:color="auto"/>
              <w:bottom w:val="single" w:sz="4" w:space="0" w:color="auto"/>
              <w:right w:val="single" w:sz="4" w:space="0" w:color="auto"/>
            </w:tcBorders>
            <w:vAlign w:val="center"/>
            <w:hideMark/>
          </w:tcPr>
          <w:p w:rsidR="001D1E98" w:rsidRPr="00BE36D3" w:rsidRDefault="001D1E98" w:rsidP="00CC548E">
            <w:pPr>
              <w:spacing w:after="0" w:line="240" w:lineRule="auto"/>
              <w:contextualSpacing/>
              <w:rPr>
                <w:rFonts w:ascii="Arial" w:eastAsia="Times New Roman" w:hAnsi="Arial" w:cs="Arial"/>
                <w:b/>
                <w:bCs/>
                <w:color w:val="FFFFFF"/>
                <w:sz w:val="16"/>
                <w:szCs w:val="16"/>
                <w:lang w:eastAsia="es-CO"/>
              </w:rPr>
            </w:pPr>
          </w:p>
        </w:tc>
        <w:tc>
          <w:tcPr>
            <w:tcW w:w="1014"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1.4. Cultura</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236.027.281</w:t>
            </w:r>
          </w:p>
        </w:tc>
        <w:tc>
          <w:tcPr>
            <w:tcW w:w="616"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95.674.977</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95.674.977</w:t>
            </w:r>
          </w:p>
        </w:tc>
        <w:tc>
          <w:tcPr>
            <w:tcW w:w="589" w:type="pct"/>
            <w:tcBorders>
              <w:top w:val="nil"/>
              <w:left w:val="nil"/>
              <w:bottom w:val="single" w:sz="4" w:space="0" w:color="auto"/>
              <w:right w:val="single" w:sz="4" w:space="0" w:color="auto"/>
            </w:tcBorders>
            <w:shd w:val="clear" w:color="auto" w:fill="auto"/>
            <w:noWrap/>
            <w:vAlign w:val="center"/>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95.674.977</w:t>
            </w:r>
          </w:p>
        </w:tc>
        <w:tc>
          <w:tcPr>
            <w:tcW w:w="79"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1118" w:type="pct"/>
            <w:tcBorders>
              <w:top w:val="nil"/>
              <w:left w:val="nil"/>
              <w:bottom w:val="single" w:sz="4" w:space="0" w:color="auto"/>
              <w:right w:val="single" w:sz="4" w:space="0" w:color="auto"/>
            </w:tcBorders>
            <w:shd w:val="clear" w:color="auto" w:fill="auto"/>
            <w:noWrap/>
            <w:vAlign w:val="bottom"/>
            <w:hideMark/>
          </w:tcPr>
          <w:p w:rsidR="001D1E98" w:rsidRPr="00BE36D3" w:rsidRDefault="001D1E98" w:rsidP="00CC548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bl>
    <w:p w:rsidR="00E003D2" w:rsidRPr="00BE36D3" w:rsidRDefault="00E003D2" w:rsidP="00CC548E">
      <w:pPr>
        <w:spacing w:line="240" w:lineRule="auto"/>
        <w:contextualSpacing/>
        <w:jc w:val="center"/>
        <w:rPr>
          <w:rFonts w:ascii="Arial" w:hAnsi="Arial" w:cs="Arial"/>
          <w:sz w:val="20"/>
          <w:szCs w:val="20"/>
        </w:rPr>
      </w:pPr>
      <w:r w:rsidRPr="00BE36D3">
        <w:rPr>
          <w:rFonts w:ascii="Arial" w:hAnsi="Arial" w:cs="Arial"/>
          <w:b/>
          <w:sz w:val="20"/>
          <w:szCs w:val="20"/>
        </w:rPr>
        <w:t xml:space="preserve">Fuente: </w:t>
      </w:r>
      <w:r w:rsidRPr="00BE36D3">
        <w:rPr>
          <w:rFonts w:ascii="Arial" w:hAnsi="Arial" w:cs="Arial"/>
          <w:sz w:val="20"/>
          <w:szCs w:val="20"/>
        </w:rPr>
        <w:t xml:space="preserve">Elaboración propia con base en las ejecuciones presupuestales proporcionadas por la </w:t>
      </w:r>
      <w:r w:rsidR="000966E6">
        <w:rPr>
          <w:rFonts w:ascii="Arial" w:hAnsi="Arial" w:cs="Arial"/>
          <w:sz w:val="20"/>
          <w:szCs w:val="20"/>
        </w:rPr>
        <w:t>A</w:t>
      </w:r>
      <w:r w:rsidRPr="00BE36D3">
        <w:rPr>
          <w:rFonts w:ascii="Arial" w:hAnsi="Arial" w:cs="Arial"/>
          <w:sz w:val="20"/>
          <w:szCs w:val="20"/>
        </w:rPr>
        <w:t xml:space="preserve">dministración </w:t>
      </w:r>
      <w:r w:rsidR="000966E6">
        <w:rPr>
          <w:rFonts w:ascii="Arial" w:hAnsi="Arial" w:cs="Arial"/>
          <w:sz w:val="20"/>
          <w:szCs w:val="20"/>
        </w:rPr>
        <w:t>M</w:t>
      </w:r>
      <w:r w:rsidRPr="00BE36D3">
        <w:rPr>
          <w:rFonts w:ascii="Arial" w:hAnsi="Arial" w:cs="Arial"/>
          <w:sz w:val="20"/>
          <w:szCs w:val="20"/>
        </w:rPr>
        <w:t>unicipal.</w:t>
      </w:r>
    </w:p>
    <w:p w:rsidR="0009074C" w:rsidRPr="00BE36D3" w:rsidRDefault="0009074C" w:rsidP="00CC548E">
      <w:pPr>
        <w:spacing w:line="240" w:lineRule="auto"/>
        <w:contextualSpacing/>
        <w:jc w:val="both"/>
        <w:rPr>
          <w:rFonts w:ascii="Arial" w:hAnsi="Arial" w:cs="Arial"/>
        </w:rPr>
      </w:pPr>
    </w:p>
    <w:p w:rsidR="001D1E98" w:rsidRPr="00BE36D3" w:rsidRDefault="0051753C" w:rsidP="00CC548E">
      <w:pPr>
        <w:spacing w:line="240" w:lineRule="auto"/>
        <w:contextualSpacing/>
        <w:jc w:val="both"/>
        <w:rPr>
          <w:rFonts w:ascii="Arial" w:hAnsi="Arial" w:cs="Arial"/>
        </w:rPr>
      </w:pPr>
      <w:r w:rsidRPr="00BE36D3">
        <w:rPr>
          <w:rFonts w:ascii="Arial" w:hAnsi="Arial" w:cs="Arial"/>
        </w:rPr>
        <w:t xml:space="preserve">El </w:t>
      </w:r>
      <w:r w:rsidR="000966E6">
        <w:rPr>
          <w:rFonts w:ascii="Arial" w:hAnsi="Arial" w:cs="Arial"/>
        </w:rPr>
        <w:t>C</w:t>
      </w:r>
      <w:r w:rsidRPr="00BE36D3">
        <w:rPr>
          <w:rFonts w:ascii="Arial" w:hAnsi="Arial" w:cs="Arial"/>
        </w:rPr>
        <w:t xml:space="preserve">uadro No. </w:t>
      </w:r>
      <w:r w:rsidR="334FA158" w:rsidRPr="00BE36D3">
        <w:rPr>
          <w:rFonts w:ascii="Arial" w:hAnsi="Arial" w:cs="Arial"/>
        </w:rPr>
        <w:t>3</w:t>
      </w:r>
      <w:r w:rsidRPr="00BE36D3">
        <w:rPr>
          <w:rFonts w:ascii="Arial" w:hAnsi="Arial" w:cs="Arial"/>
        </w:rPr>
        <w:t xml:space="preserve"> muestra que en general e</w:t>
      </w:r>
      <w:r w:rsidR="008B3A63" w:rsidRPr="00BE36D3">
        <w:rPr>
          <w:rFonts w:ascii="Arial" w:hAnsi="Arial" w:cs="Arial"/>
        </w:rPr>
        <w:t xml:space="preserve">l presupuesto de gastos ha tenido una tendencia creciente durante las vigencias analizadas. No obstante, el monto de recursos que efectivamente se ha ejecutado es menor a lo largo de las vigencias. </w:t>
      </w:r>
      <w:r w:rsidR="00D764D4" w:rsidRPr="00BE36D3">
        <w:rPr>
          <w:rFonts w:ascii="Arial" w:hAnsi="Arial" w:cs="Arial"/>
        </w:rPr>
        <w:t xml:space="preserve">Además, se puede </w:t>
      </w:r>
      <w:r w:rsidR="00D764D4" w:rsidRPr="00BE36D3">
        <w:rPr>
          <w:rFonts w:ascii="Arial" w:hAnsi="Arial" w:cs="Arial"/>
        </w:rPr>
        <w:lastRenderedPageBreak/>
        <w:t xml:space="preserve">observar que </w:t>
      </w:r>
      <w:r w:rsidR="00857B3E" w:rsidRPr="00BE36D3">
        <w:rPr>
          <w:rFonts w:ascii="Arial" w:hAnsi="Arial" w:cs="Arial"/>
        </w:rPr>
        <w:t xml:space="preserve">en 2017 fue el único año en donde </w:t>
      </w:r>
      <w:r w:rsidR="00704706" w:rsidRPr="00BE36D3">
        <w:rPr>
          <w:rFonts w:ascii="Arial" w:hAnsi="Arial" w:cs="Arial"/>
        </w:rPr>
        <w:t xml:space="preserve">el ejercicio arrojó unas </w:t>
      </w:r>
      <w:r w:rsidR="00857B3E" w:rsidRPr="00BE36D3">
        <w:rPr>
          <w:rFonts w:ascii="Arial" w:hAnsi="Arial" w:cs="Arial"/>
        </w:rPr>
        <w:t xml:space="preserve">reservas presupuestales en el componente de Libre Inversión por un valor de </w:t>
      </w:r>
      <w:r w:rsidR="000A6D16" w:rsidRPr="00BE36D3">
        <w:rPr>
          <w:rFonts w:ascii="Arial" w:hAnsi="Arial" w:cs="Arial"/>
        </w:rPr>
        <w:t>$78.000.000. En cuanto a las cuentas por pagar, estas han tenido también una tendencia creciente, mientras que en 2017 fueron de $192.045.006, en 2018 aumentaron a $360.208.220 y, finalmente, en 2019 estas</w:t>
      </w:r>
      <w:r w:rsidR="00C23CB2" w:rsidRPr="00BE36D3">
        <w:rPr>
          <w:rFonts w:ascii="Arial" w:hAnsi="Arial" w:cs="Arial"/>
        </w:rPr>
        <w:t xml:space="preserve"> registraron un valor de $420.340.558.</w:t>
      </w:r>
    </w:p>
    <w:p w:rsidR="0009074C" w:rsidRPr="00BE36D3" w:rsidRDefault="0009074C" w:rsidP="00CC548E">
      <w:pPr>
        <w:spacing w:line="240" w:lineRule="auto"/>
        <w:contextualSpacing/>
        <w:jc w:val="both"/>
        <w:rPr>
          <w:rFonts w:ascii="Arial" w:hAnsi="Arial" w:cs="Arial"/>
        </w:rPr>
      </w:pPr>
    </w:p>
    <w:p w:rsidR="00306640" w:rsidRPr="00BE36D3" w:rsidRDefault="00DE2739" w:rsidP="00CC548E">
      <w:pPr>
        <w:spacing w:line="240" w:lineRule="auto"/>
        <w:contextualSpacing/>
        <w:jc w:val="both"/>
        <w:rPr>
          <w:rFonts w:ascii="Arial" w:hAnsi="Arial" w:cs="Arial"/>
        </w:rPr>
      </w:pPr>
      <w:r w:rsidRPr="00BE36D3">
        <w:rPr>
          <w:rFonts w:ascii="Arial" w:hAnsi="Arial" w:cs="Arial"/>
        </w:rPr>
        <w:t xml:space="preserve">Adicionalmente, </w:t>
      </w:r>
      <w:r w:rsidR="00BE0278" w:rsidRPr="00BE36D3">
        <w:rPr>
          <w:rFonts w:ascii="Arial" w:hAnsi="Arial" w:cs="Arial"/>
        </w:rPr>
        <w:t>al realizar un análisis por destinaciones se evidencia la baja ejecución de los recursos en el componente de Deporte y Recreación, la cual pasó de 55</w:t>
      </w:r>
      <w:r w:rsidR="000966E6">
        <w:rPr>
          <w:rFonts w:ascii="Arial" w:hAnsi="Arial" w:cs="Arial"/>
        </w:rPr>
        <w:t xml:space="preserve"> </w:t>
      </w:r>
      <w:r w:rsidR="00BE0278" w:rsidRPr="00BE36D3">
        <w:rPr>
          <w:rFonts w:ascii="Arial" w:hAnsi="Arial" w:cs="Arial"/>
        </w:rPr>
        <w:t>% en 2018 a 17</w:t>
      </w:r>
      <w:r w:rsidR="000966E6">
        <w:rPr>
          <w:rFonts w:ascii="Arial" w:hAnsi="Arial" w:cs="Arial"/>
        </w:rPr>
        <w:t xml:space="preserve"> </w:t>
      </w:r>
      <w:r w:rsidR="00BE0278" w:rsidRPr="00BE36D3">
        <w:rPr>
          <w:rFonts w:ascii="Arial" w:hAnsi="Arial" w:cs="Arial"/>
        </w:rPr>
        <w:t xml:space="preserve">% en 2019. </w:t>
      </w:r>
      <w:r w:rsidR="00B47649" w:rsidRPr="00BE36D3">
        <w:rPr>
          <w:rFonts w:ascii="Arial" w:hAnsi="Arial" w:cs="Arial"/>
        </w:rPr>
        <w:t xml:space="preserve">En cuanto a cultura, el porcentaje de </w:t>
      </w:r>
      <w:r w:rsidR="00754EAF" w:rsidRPr="00BE36D3">
        <w:rPr>
          <w:rFonts w:ascii="Arial" w:hAnsi="Arial" w:cs="Arial"/>
        </w:rPr>
        <w:t>lo comprometido frente al presupuesto definitivo</w:t>
      </w:r>
      <w:r w:rsidR="00B47649" w:rsidRPr="00BE36D3">
        <w:rPr>
          <w:rFonts w:ascii="Arial" w:hAnsi="Arial" w:cs="Arial"/>
        </w:rPr>
        <w:t xml:space="preserve"> descendió a 47</w:t>
      </w:r>
      <w:r w:rsidR="000966E6">
        <w:rPr>
          <w:rFonts w:ascii="Arial" w:hAnsi="Arial" w:cs="Arial"/>
        </w:rPr>
        <w:t xml:space="preserve"> </w:t>
      </w:r>
      <w:r w:rsidR="00B47649" w:rsidRPr="00BE36D3">
        <w:rPr>
          <w:rFonts w:ascii="Arial" w:hAnsi="Arial" w:cs="Arial"/>
        </w:rPr>
        <w:t>% en la última vigencia analizada</w:t>
      </w:r>
      <w:r w:rsidR="005F2696" w:rsidRPr="00BE36D3">
        <w:rPr>
          <w:rFonts w:ascii="Arial" w:hAnsi="Arial" w:cs="Arial"/>
        </w:rPr>
        <w:t>. S</w:t>
      </w:r>
      <w:r w:rsidR="00754EAF" w:rsidRPr="00BE36D3">
        <w:rPr>
          <w:rFonts w:ascii="Arial" w:hAnsi="Arial" w:cs="Arial"/>
        </w:rPr>
        <w:t xml:space="preserve">in embargo, esto se debe a que en el reporte FUT-Gastos de Inversión el </w:t>
      </w:r>
      <w:r w:rsidR="000966E6">
        <w:rPr>
          <w:rFonts w:ascii="Arial" w:hAnsi="Arial" w:cs="Arial"/>
        </w:rPr>
        <w:t>M</w:t>
      </w:r>
      <w:r w:rsidR="00754EAF" w:rsidRPr="00BE36D3">
        <w:rPr>
          <w:rFonts w:ascii="Arial" w:hAnsi="Arial" w:cs="Arial"/>
        </w:rPr>
        <w:t>unicipio registró un rubro de “</w:t>
      </w:r>
      <w:r w:rsidR="00B15FBF" w:rsidRPr="00BE36D3">
        <w:rPr>
          <w:rFonts w:ascii="Arial" w:hAnsi="Arial" w:cs="Arial"/>
          <w:i/>
          <w:iCs/>
        </w:rPr>
        <w:t>Fomento, desarrollo y práctica del deporte</w:t>
      </w:r>
      <w:r w:rsidR="00A522E7" w:rsidRPr="00BE36D3">
        <w:rPr>
          <w:rFonts w:ascii="Arial" w:hAnsi="Arial" w:cs="Arial"/>
          <w:i/>
          <w:iCs/>
        </w:rPr>
        <w:t>, la recreación y el aprovechamiento del tiempo libre</w:t>
      </w:r>
      <w:r w:rsidR="00754EAF" w:rsidRPr="00BE36D3">
        <w:rPr>
          <w:rFonts w:ascii="Arial" w:hAnsi="Arial" w:cs="Arial"/>
        </w:rPr>
        <w:t>” por valor de $90.000.000 en el</w:t>
      </w:r>
      <w:r w:rsidR="00EE6D5B" w:rsidRPr="00BE36D3">
        <w:rPr>
          <w:rFonts w:ascii="Arial" w:hAnsi="Arial" w:cs="Arial"/>
        </w:rPr>
        <w:t xml:space="preserve"> presupuesto definitivo del componente de cultura, lo cual explica </w:t>
      </w:r>
      <w:r w:rsidR="00A522E7" w:rsidRPr="00BE36D3">
        <w:rPr>
          <w:rFonts w:ascii="Arial" w:hAnsi="Arial" w:cs="Arial"/>
        </w:rPr>
        <w:t>la</w:t>
      </w:r>
      <w:r w:rsidR="00EE6D5B" w:rsidRPr="00BE36D3">
        <w:rPr>
          <w:rFonts w:ascii="Arial" w:hAnsi="Arial" w:cs="Arial"/>
        </w:rPr>
        <w:t xml:space="preserve"> variación</w:t>
      </w:r>
      <w:r w:rsidR="00A522E7" w:rsidRPr="00BE36D3">
        <w:rPr>
          <w:rFonts w:ascii="Arial" w:hAnsi="Arial" w:cs="Arial"/>
        </w:rPr>
        <w:t xml:space="preserve"> de</w:t>
      </w:r>
      <w:r w:rsidR="0049377E" w:rsidRPr="00BE36D3">
        <w:rPr>
          <w:rFonts w:ascii="Arial" w:hAnsi="Arial" w:cs="Arial"/>
        </w:rPr>
        <w:t xml:space="preserve"> los compromisos de la destinación para Deporte mencionada anteriormente</w:t>
      </w:r>
      <w:r w:rsidR="00B47649" w:rsidRPr="00BE36D3">
        <w:rPr>
          <w:rFonts w:ascii="Arial" w:hAnsi="Arial" w:cs="Arial"/>
        </w:rPr>
        <w:t xml:space="preserve"> </w:t>
      </w:r>
      <w:r w:rsidR="00BB31E7" w:rsidRPr="00BE36D3">
        <w:rPr>
          <w:rFonts w:ascii="Arial" w:hAnsi="Arial" w:cs="Arial"/>
        </w:rPr>
        <w:t xml:space="preserve">y a su vez explica el crecimiento del presupuesto definitivo para el componente de </w:t>
      </w:r>
      <w:r w:rsidR="000966E6">
        <w:rPr>
          <w:rFonts w:ascii="Arial" w:hAnsi="Arial" w:cs="Arial"/>
        </w:rPr>
        <w:t>C</w:t>
      </w:r>
      <w:r w:rsidR="00BB31E7" w:rsidRPr="00BE36D3">
        <w:rPr>
          <w:rFonts w:ascii="Arial" w:hAnsi="Arial" w:cs="Arial"/>
        </w:rPr>
        <w:t>ultura en la última vigencia</w:t>
      </w:r>
      <w:r w:rsidR="00756E4A" w:rsidRPr="00BE36D3">
        <w:rPr>
          <w:rFonts w:ascii="Arial" w:hAnsi="Arial" w:cs="Arial"/>
        </w:rPr>
        <w:t xml:space="preserve"> (ver </w:t>
      </w:r>
      <w:r w:rsidR="000966E6">
        <w:rPr>
          <w:rFonts w:ascii="Arial" w:hAnsi="Arial" w:cs="Arial"/>
        </w:rPr>
        <w:t>G</w:t>
      </w:r>
      <w:r w:rsidR="00756E4A" w:rsidRPr="00BE36D3">
        <w:rPr>
          <w:rFonts w:ascii="Arial" w:hAnsi="Arial" w:cs="Arial"/>
        </w:rPr>
        <w:t xml:space="preserve">ráfico No. </w:t>
      </w:r>
      <w:r w:rsidR="00E34545">
        <w:rPr>
          <w:rFonts w:ascii="Arial" w:hAnsi="Arial" w:cs="Arial"/>
        </w:rPr>
        <w:t>3</w:t>
      </w:r>
      <w:r w:rsidR="00756E4A" w:rsidRPr="00BE36D3">
        <w:rPr>
          <w:rFonts w:ascii="Arial" w:hAnsi="Arial" w:cs="Arial"/>
        </w:rPr>
        <w:t>)</w:t>
      </w:r>
      <w:r w:rsidR="00306640" w:rsidRPr="00BE36D3">
        <w:rPr>
          <w:rFonts w:ascii="Arial" w:hAnsi="Arial" w:cs="Arial"/>
        </w:rPr>
        <w:t>.</w:t>
      </w:r>
    </w:p>
    <w:p w:rsidR="0009074C" w:rsidRDefault="0009074C" w:rsidP="00CC548E">
      <w:pPr>
        <w:spacing w:line="240" w:lineRule="auto"/>
        <w:contextualSpacing/>
        <w:jc w:val="both"/>
        <w:rPr>
          <w:rFonts w:ascii="Arial" w:hAnsi="Arial" w:cs="Arial"/>
        </w:rPr>
      </w:pPr>
    </w:p>
    <w:p w:rsidR="00306640" w:rsidRPr="00BE36D3" w:rsidRDefault="00306640" w:rsidP="00CC548E">
      <w:pPr>
        <w:spacing w:after="0" w:line="240" w:lineRule="auto"/>
        <w:contextualSpacing/>
        <w:jc w:val="center"/>
        <w:rPr>
          <w:rFonts w:ascii="Arial" w:eastAsia="Arial Narrow" w:hAnsi="Arial" w:cs="Arial"/>
          <w:b/>
          <w:bCs/>
          <w:sz w:val="20"/>
          <w:szCs w:val="20"/>
        </w:rPr>
      </w:pPr>
      <w:r w:rsidRPr="00BE36D3">
        <w:rPr>
          <w:rFonts w:ascii="Arial" w:eastAsia="Arial Narrow" w:hAnsi="Arial" w:cs="Arial"/>
          <w:b/>
          <w:bCs/>
          <w:sz w:val="20"/>
          <w:szCs w:val="20"/>
        </w:rPr>
        <w:t xml:space="preserve">Gráfica No. </w:t>
      </w:r>
      <w:r w:rsidR="00A7338D" w:rsidRPr="00BE36D3">
        <w:rPr>
          <w:rFonts w:ascii="Arial" w:eastAsia="Arial Narrow" w:hAnsi="Arial" w:cs="Arial"/>
          <w:b/>
          <w:bCs/>
          <w:sz w:val="20"/>
          <w:szCs w:val="20"/>
        </w:rPr>
        <w:t>3</w:t>
      </w:r>
    </w:p>
    <w:p w:rsidR="00306640" w:rsidRPr="00BE36D3" w:rsidRDefault="00306640" w:rsidP="00CC548E">
      <w:pPr>
        <w:spacing w:after="0" w:line="240" w:lineRule="auto"/>
        <w:contextualSpacing/>
        <w:jc w:val="center"/>
        <w:rPr>
          <w:rFonts w:ascii="Arial" w:hAnsi="Arial" w:cs="Arial"/>
          <w:sz w:val="20"/>
          <w:szCs w:val="20"/>
        </w:rPr>
      </w:pPr>
      <w:r w:rsidRPr="00BE36D3">
        <w:rPr>
          <w:rFonts w:ascii="Arial" w:hAnsi="Arial" w:cs="Arial"/>
          <w:sz w:val="20"/>
          <w:szCs w:val="20"/>
        </w:rPr>
        <w:t>Crecimiento de la Participación de Propósito General vigencias 2017-2019</w:t>
      </w:r>
    </w:p>
    <w:p w:rsidR="00306640" w:rsidRPr="00BE36D3" w:rsidRDefault="00306640" w:rsidP="00CC548E">
      <w:pPr>
        <w:spacing w:after="0" w:line="240" w:lineRule="auto"/>
        <w:contextualSpacing/>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306640" w:rsidRPr="00BE36D3" w:rsidRDefault="00306640" w:rsidP="00CC548E">
      <w:pPr>
        <w:spacing w:after="0" w:line="240" w:lineRule="auto"/>
        <w:contextualSpacing/>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p w:rsidR="00B70335" w:rsidRPr="00BE36D3" w:rsidRDefault="006D0128" w:rsidP="00CC548E">
      <w:pPr>
        <w:spacing w:line="240" w:lineRule="auto"/>
        <w:contextualSpacing/>
        <w:jc w:val="center"/>
        <w:rPr>
          <w:rFonts w:ascii="Arial" w:hAnsi="Arial" w:cs="Arial"/>
          <w:sz w:val="18"/>
          <w:szCs w:val="18"/>
        </w:rPr>
      </w:pPr>
      <w:r w:rsidRPr="00BE36D3">
        <w:rPr>
          <w:rFonts w:ascii="Arial" w:hAnsi="Arial" w:cs="Arial"/>
          <w:noProof/>
          <w:lang w:eastAsia="es-CO"/>
        </w:rPr>
        <w:drawing>
          <wp:inline distT="0" distB="0" distL="0" distR="0">
            <wp:extent cx="6099175" cy="2406650"/>
            <wp:effectExtent l="0" t="0" r="0" b="0"/>
            <wp:docPr id="8784377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7">
                      <a:extLst>
                        <a:ext uri="{28A0092B-C50C-407E-A947-70E740481C1C}">
                          <a14:useLocalDpi xmlns:a14="http://schemas.microsoft.com/office/drawing/2010/main" val="0"/>
                        </a:ext>
                      </a:extLst>
                    </a:blip>
                    <a:stretch>
                      <a:fillRect/>
                    </a:stretch>
                  </pic:blipFill>
                  <pic:spPr>
                    <a:xfrm>
                      <a:off x="0" y="0"/>
                      <a:ext cx="6099604" cy="2406819"/>
                    </a:xfrm>
                    <a:prstGeom prst="rect">
                      <a:avLst/>
                    </a:prstGeom>
                  </pic:spPr>
                </pic:pic>
              </a:graphicData>
            </a:graphic>
          </wp:inline>
        </w:drawing>
      </w:r>
      <w:r w:rsidR="005A483D" w:rsidRPr="00BE36D3">
        <w:rPr>
          <w:rFonts w:ascii="Arial" w:hAnsi="Arial" w:cs="Arial"/>
          <w:b/>
          <w:bCs/>
          <w:sz w:val="18"/>
          <w:szCs w:val="18"/>
        </w:rPr>
        <w:t xml:space="preserve">Fuente: </w:t>
      </w:r>
      <w:r w:rsidR="005A483D" w:rsidRPr="00BE36D3">
        <w:rPr>
          <w:rFonts w:ascii="Arial" w:hAnsi="Arial" w:cs="Arial"/>
          <w:sz w:val="18"/>
          <w:szCs w:val="18"/>
        </w:rPr>
        <w:t xml:space="preserve">Elaboración propia con base en las ejecuciones presupuestales proporcionadas por la </w:t>
      </w:r>
      <w:r w:rsidR="000966E6">
        <w:rPr>
          <w:rFonts w:ascii="Arial" w:hAnsi="Arial" w:cs="Arial"/>
          <w:sz w:val="18"/>
          <w:szCs w:val="18"/>
        </w:rPr>
        <w:t>A</w:t>
      </w:r>
      <w:r w:rsidR="005A483D" w:rsidRPr="00BE36D3">
        <w:rPr>
          <w:rFonts w:ascii="Arial" w:hAnsi="Arial" w:cs="Arial"/>
          <w:sz w:val="18"/>
          <w:szCs w:val="18"/>
        </w:rPr>
        <w:t xml:space="preserve">dministración </w:t>
      </w:r>
      <w:r w:rsidR="000966E6">
        <w:rPr>
          <w:rFonts w:ascii="Arial" w:hAnsi="Arial" w:cs="Arial"/>
          <w:sz w:val="18"/>
          <w:szCs w:val="18"/>
        </w:rPr>
        <w:t>M</w:t>
      </w:r>
      <w:r w:rsidR="005A483D" w:rsidRPr="00BE36D3">
        <w:rPr>
          <w:rFonts w:ascii="Arial" w:hAnsi="Arial" w:cs="Arial"/>
          <w:sz w:val="18"/>
          <w:szCs w:val="18"/>
        </w:rPr>
        <w:t>unicipal.</w:t>
      </w:r>
    </w:p>
    <w:p w:rsidR="00F4471B" w:rsidRDefault="00F4471B">
      <w:pPr>
        <w:rPr>
          <w:rFonts w:ascii="Arial" w:hAnsi="Arial" w:cs="Arial"/>
        </w:rPr>
      </w:pPr>
      <w:r>
        <w:rPr>
          <w:rFonts w:ascii="Arial" w:hAnsi="Arial" w:cs="Arial"/>
        </w:rPr>
        <w:br w:type="page"/>
      </w:r>
    </w:p>
    <w:p w:rsidR="00965AB7" w:rsidRDefault="00965AB7" w:rsidP="00CC548E">
      <w:pPr>
        <w:spacing w:line="240" w:lineRule="auto"/>
        <w:contextualSpacing/>
        <w:rPr>
          <w:rFonts w:ascii="Arial" w:hAnsi="Arial" w:cs="Arial"/>
        </w:rPr>
      </w:pPr>
    </w:p>
    <w:p w:rsidR="006D0128" w:rsidRPr="00BE36D3" w:rsidRDefault="005A483D" w:rsidP="00CC548E">
      <w:pPr>
        <w:pStyle w:val="Prrafodelista"/>
        <w:numPr>
          <w:ilvl w:val="0"/>
          <w:numId w:val="3"/>
        </w:numPr>
        <w:spacing w:line="240" w:lineRule="auto"/>
        <w:jc w:val="both"/>
        <w:rPr>
          <w:rFonts w:ascii="Arial" w:hAnsi="Arial" w:cs="Arial"/>
          <w:b/>
          <w:bCs/>
        </w:rPr>
      </w:pPr>
      <w:r w:rsidRPr="00BE36D3">
        <w:rPr>
          <w:rFonts w:ascii="Arial" w:hAnsi="Arial" w:cs="Arial"/>
          <w:b/>
          <w:bCs/>
        </w:rPr>
        <w:t>Patrones de inversión</w:t>
      </w:r>
      <w:r w:rsidR="00DC21B1">
        <w:rPr>
          <w:rFonts w:ascii="Arial" w:hAnsi="Arial" w:cs="Arial"/>
          <w:b/>
          <w:bCs/>
        </w:rPr>
        <w:t>.</w:t>
      </w:r>
    </w:p>
    <w:p w:rsidR="0008482C" w:rsidRPr="00BE36D3" w:rsidRDefault="0008482C" w:rsidP="00CC548E">
      <w:pPr>
        <w:spacing w:after="0" w:line="240" w:lineRule="auto"/>
        <w:ind w:left="360"/>
        <w:contextualSpacing/>
        <w:jc w:val="center"/>
        <w:rPr>
          <w:rFonts w:ascii="Arial" w:eastAsia="Arial Narrow" w:hAnsi="Arial" w:cs="Arial"/>
          <w:b/>
          <w:bCs/>
          <w:sz w:val="20"/>
          <w:szCs w:val="20"/>
        </w:rPr>
      </w:pPr>
      <w:r w:rsidRPr="00BE36D3">
        <w:rPr>
          <w:rFonts w:ascii="Arial" w:eastAsia="Arial Narrow" w:hAnsi="Arial" w:cs="Arial"/>
          <w:b/>
          <w:bCs/>
          <w:sz w:val="20"/>
          <w:szCs w:val="20"/>
        </w:rPr>
        <w:t xml:space="preserve">Cuadro No. </w:t>
      </w:r>
      <w:r w:rsidR="00A7338D" w:rsidRPr="00BE36D3">
        <w:rPr>
          <w:rFonts w:ascii="Arial" w:eastAsia="Arial Narrow" w:hAnsi="Arial" w:cs="Arial"/>
          <w:b/>
          <w:bCs/>
          <w:sz w:val="20"/>
          <w:szCs w:val="20"/>
        </w:rPr>
        <w:t>4</w:t>
      </w:r>
    </w:p>
    <w:p w:rsidR="0008482C" w:rsidRPr="00BE36D3" w:rsidRDefault="0008482C" w:rsidP="00CC548E">
      <w:pPr>
        <w:pStyle w:val="Prrafodelista"/>
        <w:spacing w:after="0" w:line="240" w:lineRule="auto"/>
        <w:jc w:val="center"/>
        <w:rPr>
          <w:rFonts w:ascii="Arial" w:hAnsi="Arial" w:cs="Arial"/>
          <w:sz w:val="20"/>
          <w:szCs w:val="20"/>
        </w:rPr>
      </w:pPr>
      <w:r w:rsidRPr="00BE36D3">
        <w:rPr>
          <w:rFonts w:ascii="Arial" w:hAnsi="Arial" w:cs="Arial"/>
          <w:sz w:val="20"/>
          <w:szCs w:val="20"/>
        </w:rPr>
        <w:t>Patrones de inversión de la Participación de Propósito General vigencias 2017-2019</w:t>
      </w:r>
    </w:p>
    <w:p w:rsidR="0008482C" w:rsidRPr="00BE36D3" w:rsidRDefault="0008482C" w:rsidP="00CC548E">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08482C" w:rsidRPr="00BE36D3" w:rsidRDefault="0008482C" w:rsidP="00CC548E">
      <w:pPr>
        <w:pStyle w:val="Prrafodelista"/>
        <w:spacing w:after="0" w:line="240" w:lineRule="auto"/>
        <w:jc w:val="center"/>
        <w:rPr>
          <w:rFonts w:ascii="Arial" w:hAnsi="Arial" w:cs="Arial"/>
          <w:sz w:val="16"/>
          <w:szCs w:val="16"/>
        </w:rPr>
      </w:pPr>
      <w:r w:rsidRPr="00BE36D3">
        <w:rPr>
          <w:rFonts w:ascii="Arial" w:hAnsi="Arial" w:cs="Arial"/>
          <w:sz w:val="16"/>
          <w:szCs w:val="16"/>
        </w:rPr>
        <w:t>-</w:t>
      </w:r>
      <w:r w:rsidRPr="00BE36D3">
        <w:rPr>
          <w:rFonts w:ascii="Arial" w:hAnsi="Arial" w:cs="Arial"/>
          <w:i/>
          <w:sz w:val="16"/>
          <w:szCs w:val="16"/>
        </w:rPr>
        <w:t>Cifras en pesos</w:t>
      </w:r>
      <w:r w:rsidRPr="00BE36D3">
        <w:rPr>
          <w:rFonts w:ascii="Arial" w:hAnsi="Arial" w:cs="Arial"/>
          <w:sz w:val="16"/>
          <w:szCs w:val="16"/>
        </w:rPr>
        <w:t>-</w:t>
      </w:r>
    </w:p>
    <w:tbl>
      <w:tblPr>
        <w:tblW w:w="9660" w:type="dxa"/>
        <w:jc w:val="center"/>
        <w:tblCellMar>
          <w:left w:w="70" w:type="dxa"/>
          <w:right w:w="70" w:type="dxa"/>
        </w:tblCellMar>
        <w:tblLook w:val="04A0" w:firstRow="1" w:lastRow="0" w:firstColumn="1" w:lastColumn="0" w:noHBand="0" w:noVBand="1"/>
      </w:tblPr>
      <w:tblGrid>
        <w:gridCol w:w="2460"/>
        <w:gridCol w:w="1440"/>
        <w:gridCol w:w="1440"/>
        <w:gridCol w:w="1680"/>
        <w:gridCol w:w="1440"/>
        <w:gridCol w:w="1200"/>
      </w:tblGrid>
      <w:tr w:rsidR="00795C2C" w:rsidRPr="0009074C" w:rsidTr="509DFA26">
        <w:trPr>
          <w:trHeight w:val="330"/>
          <w:jc w:val="center"/>
        </w:trPr>
        <w:tc>
          <w:tcPr>
            <w:tcW w:w="9660" w:type="dxa"/>
            <w:gridSpan w:val="6"/>
            <w:tcBorders>
              <w:top w:val="single" w:sz="8" w:space="0" w:color="auto"/>
              <w:left w:val="single" w:sz="8" w:space="0" w:color="auto"/>
              <w:bottom w:val="single" w:sz="8" w:space="0" w:color="auto"/>
              <w:right w:val="single" w:sz="8" w:space="0" w:color="000000" w:themeColor="text1"/>
            </w:tcBorders>
            <w:shd w:val="clear" w:color="auto" w:fill="666699"/>
            <w:vAlign w:val="center"/>
            <w:hideMark/>
          </w:tcPr>
          <w:p w:rsidR="00795C2C" w:rsidRPr="00BE36D3" w:rsidRDefault="00795C2C"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Uso de los Recursos de Inversión (cifra en pesos)</w:t>
            </w:r>
          </w:p>
        </w:tc>
      </w:tr>
      <w:tr w:rsidR="00795C2C" w:rsidRPr="0009074C" w:rsidTr="509DFA26">
        <w:trPr>
          <w:trHeight w:val="525"/>
          <w:jc w:val="center"/>
        </w:trPr>
        <w:tc>
          <w:tcPr>
            <w:tcW w:w="2460" w:type="dxa"/>
            <w:tcBorders>
              <w:top w:val="nil"/>
              <w:left w:val="single" w:sz="8" w:space="0" w:color="auto"/>
              <w:bottom w:val="single" w:sz="8" w:space="0" w:color="auto"/>
              <w:right w:val="single" w:sz="8" w:space="0" w:color="auto"/>
            </w:tcBorders>
            <w:shd w:val="clear" w:color="auto" w:fill="CCCCFF"/>
            <w:vAlign w:val="center"/>
            <w:hideMark/>
          </w:tcPr>
          <w:p w:rsidR="00795C2C" w:rsidRPr="00BE36D3" w:rsidRDefault="00795C2C"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Gastos Totales por Sector</w:t>
            </w:r>
          </w:p>
        </w:tc>
        <w:tc>
          <w:tcPr>
            <w:tcW w:w="1440" w:type="dxa"/>
            <w:tcBorders>
              <w:top w:val="nil"/>
              <w:left w:val="nil"/>
              <w:bottom w:val="single" w:sz="8" w:space="0" w:color="auto"/>
              <w:right w:val="single" w:sz="8" w:space="0" w:color="auto"/>
            </w:tcBorders>
            <w:shd w:val="clear" w:color="auto" w:fill="CCCCFF"/>
            <w:vAlign w:val="center"/>
            <w:hideMark/>
          </w:tcPr>
          <w:p w:rsidR="00795C2C" w:rsidRPr="00BE36D3" w:rsidRDefault="00795C2C"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Compromisos</w:t>
            </w:r>
            <w:r w:rsidR="00DC21B1">
              <w:rPr>
                <w:rFonts w:ascii="Arial" w:eastAsia="Times New Roman" w:hAnsi="Arial" w:cs="Arial"/>
                <w:b/>
                <w:bCs/>
                <w:color w:val="000000"/>
                <w:sz w:val="16"/>
                <w:szCs w:val="16"/>
                <w:lang w:eastAsia="es-CO"/>
              </w:rPr>
              <w:t xml:space="preserve"> </w:t>
            </w:r>
            <w:r w:rsidRPr="00BE36D3">
              <w:rPr>
                <w:rFonts w:ascii="Arial" w:eastAsia="Times New Roman" w:hAnsi="Arial" w:cs="Arial"/>
                <w:b/>
                <w:bCs/>
                <w:color w:val="000000"/>
                <w:sz w:val="16"/>
                <w:szCs w:val="16"/>
                <w:lang w:eastAsia="es-CO"/>
              </w:rPr>
              <w:t>2017</w:t>
            </w:r>
          </w:p>
        </w:tc>
        <w:tc>
          <w:tcPr>
            <w:tcW w:w="1440" w:type="dxa"/>
            <w:tcBorders>
              <w:top w:val="nil"/>
              <w:left w:val="nil"/>
              <w:bottom w:val="single" w:sz="8" w:space="0" w:color="auto"/>
              <w:right w:val="single" w:sz="8" w:space="0" w:color="auto"/>
            </w:tcBorders>
            <w:shd w:val="clear" w:color="auto" w:fill="CCCCFF"/>
            <w:vAlign w:val="center"/>
            <w:hideMark/>
          </w:tcPr>
          <w:p w:rsidR="00795C2C" w:rsidRPr="00BE36D3" w:rsidRDefault="00795C2C"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Compromisos</w:t>
            </w:r>
            <w:r w:rsidR="00DC21B1">
              <w:rPr>
                <w:rFonts w:ascii="Arial" w:eastAsia="Times New Roman" w:hAnsi="Arial" w:cs="Arial"/>
                <w:b/>
                <w:bCs/>
                <w:color w:val="000000"/>
                <w:sz w:val="16"/>
                <w:szCs w:val="16"/>
                <w:lang w:eastAsia="es-CO"/>
              </w:rPr>
              <w:t xml:space="preserve"> </w:t>
            </w:r>
            <w:r w:rsidRPr="00BE36D3">
              <w:rPr>
                <w:rFonts w:ascii="Arial" w:eastAsia="Times New Roman" w:hAnsi="Arial" w:cs="Arial"/>
                <w:b/>
                <w:bCs/>
                <w:color w:val="000000"/>
                <w:sz w:val="16"/>
                <w:szCs w:val="16"/>
                <w:lang w:eastAsia="es-CO"/>
              </w:rPr>
              <w:t>2018</w:t>
            </w:r>
          </w:p>
        </w:tc>
        <w:tc>
          <w:tcPr>
            <w:tcW w:w="1680" w:type="dxa"/>
            <w:tcBorders>
              <w:top w:val="nil"/>
              <w:left w:val="nil"/>
              <w:bottom w:val="single" w:sz="8" w:space="0" w:color="auto"/>
              <w:right w:val="single" w:sz="8" w:space="0" w:color="auto"/>
            </w:tcBorders>
            <w:shd w:val="clear" w:color="auto" w:fill="CCCCFF"/>
            <w:vAlign w:val="center"/>
            <w:hideMark/>
          </w:tcPr>
          <w:p w:rsidR="00795C2C" w:rsidRPr="00BE36D3" w:rsidRDefault="00795C2C"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Compromisos</w:t>
            </w:r>
            <w:r w:rsidR="00DC21B1">
              <w:rPr>
                <w:rFonts w:ascii="Arial" w:eastAsia="Times New Roman" w:hAnsi="Arial" w:cs="Arial"/>
                <w:b/>
                <w:bCs/>
                <w:color w:val="000000"/>
                <w:sz w:val="16"/>
                <w:szCs w:val="16"/>
                <w:lang w:eastAsia="es-CO"/>
              </w:rPr>
              <w:t xml:space="preserve"> </w:t>
            </w:r>
            <w:r w:rsidRPr="00BE36D3">
              <w:rPr>
                <w:rFonts w:ascii="Arial" w:eastAsia="Times New Roman" w:hAnsi="Arial" w:cs="Arial"/>
                <w:b/>
                <w:bCs/>
                <w:color w:val="000000"/>
                <w:sz w:val="16"/>
                <w:szCs w:val="16"/>
                <w:lang w:eastAsia="es-CO"/>
              </w:rPr>
              <w:t xml:space="preserve">2019 </w:t>
            </w:r>
          </w:p>
        </w:tc>
        <w:tc>
          <w:tcPr>
            <w:tcW w:w="1440" w:type="dxa"/>
            <w:tcBorders>
              <w:top w:val="nil"/>
              <w:left w:val="nil"/>
              <w:bottom w:val="single" w:sz="8" w:space="0" w:color="auto"/>
              <w:right w:val="single" w:sz="8" w:space="0" w:color="auto"/>
            </w:tcBorders>
            <w:shd w:val="clear" w:color="auto" w:fill="CCCCFF"/>
            <w:vAlign w:val="center"/>
            <w:hideMark/>
          </w:tcPr>
          <w:p w:rsidR="00795C2C" w:rsidRPr="00BE36D3" w:rsidRDefault="00795C2C"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TOTAL</w:t>
            </w:r>
          </w:p>
        </w:tc>
        <w:tc>
          <w:tcPr>
            <w:tcW w:w="1200" w:type="dxa"/>
            <w:tcBorders>
              <w:top w:val="nil"/>
              <w:left w:val="nil"/>
              <w:bottom w:val="single" w:sz="8" w:space="0" w:color="auto"/>
              <w:right w:val="single" w:sz="8" w:space="0" w:color="auto"/>
            </w:tcBorders>
            <w:shd w:val="clear" w:color="auto" w:fill="CCCCFF"/>
            <w:vAlign w:val="center"/>
            <w:hideMark/>
          </w:tcPr>
          <w:p w:rsidR="00795C2C" w:rsidRPr="00BE36D3" w:rsidRDefault="45F1386D" w:rsidP="00CC548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themeColor="text1"/>
                <w:sz w:val="16"/>
                <w:szCs w:val="16"/>
                <w:lang w:eastAsia="es-CO"/>
              </w:rPr>
              <w:t>Porcentaje de participación</w:t>
            </w:r>
            <w:r w:rsidR="001777DE" w:rsidRPr="00BE36D3">
              <w:rPr>
                <w:rFonts w:ascii="Arial" w:eastAsia="Times New Roman" w:hAnsi="Arial" w:cs="Arial"/>
                <w:b/>
                <w:bCs/>
                <w:color w:val="000000" w:themeColor="text1"/>
                <w:sz w:val="16"/>
                <w:szCs w:val="16"/>
                <w:lang w:eastAsia="es-CO"/>
              </w:rPr>
              <w:t xml:space="preserve"> </w:t>
            </w:r>
            <w:r w:rsidR="79ADED5A" w:rsidRPr="00BE36D3">
              <w:rPr>
                <w:rFonts w:ascii="Arial" w:eastAsia="Times New Roman" w:hAnsi="Arial" w:cs="Arial"/>
                <w:b/>
                <w:bCs/>
                <w:color w:val="000000" w:themeColor="text1"/>
                <w:sz w:val="16"/>
                <w:szCs w:val="16"/>
                <w:lang w:eastAsia="es-CO"/>
              </w:rPr>
              <w:t>promedio</w:t>
            </w:r>
            <w:r w:rsidRPr="00BE36D3">
              <w:rPr>
                <w:rFonts w:ascii="Arial" w:eastAsia="Times New Roman" w:hAnsi="Arial" w:cs="Arial"/>
                <w:b/>
                <w:bCs/>
                <w:color w:val="000000" w:themeColor="text1"/>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Atención a grupos vulnerables</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$726.881.300</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$242.673.184</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$180.120.362</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$1.149.674.846</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21,1</w:t>
            </w:r>
            <w:r w:rsidR="00DC21B1">
              <w:rPr>
                <w:rFonts w:ascii="Arial" w:eastAsia="Times New Roman" w:hAnsi="Arial" w:cs="Arial"/>
                <w:color w:val="000000"/>
                <w:sz w:val="16"/>
                <w:szCs w:val="16"/>
                <w:lang w:eastAsia="es-CO"/>
              </w:rPr>
              <w:t xml:space="preserve"> %</w:t>
            </w:r>
          </w:p>
        </w:tc>
      </w:tr>
      <w:tr w:rsidR="00795C2C" w:rsidRPr="0009074C" w:rsidTr="509DFA26">
        <w:trPr>
          <w:trHeight w:val="52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Agua Potable y Saneamiento básico</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$131.708.586</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$335.810.619</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$398.758.345</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$866.277.550</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15,9</w:t>
            </w:r>
            <w:r w:rsidR="00DC21B1">
              <w:rPr>
                <w:rFonts w:ascii="Arial" w:eastAsia="Times New Roman" w:hAnsi="Arial" w:cs="Arial"/>
                <w:color w:val="000000"/>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Justicia</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$250.336.697</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$260.258.232</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$285.767.849</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$796.362.778</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14,6</w:t>
            </w:r>
            <w:r w:rsidR="00DC21B1">
              <w:rPr>
                <w:rFonts w:ascii="Arial" w:eastAsia="Times New Roman" w:hAnsi="Arial" w:cs="Arial"/>
                <w:color w:val="000000"/>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Fortalecimiento Institucional</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$112.999.999</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$290.300.700</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$81.184.000</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$484.484.699</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8,9</w:t>
            </w:r>
            <w:r w:rsidR="00DC21B1">
              <w:rPr>
                <w:rFonts w:ascii="Arial" w:eastAsia="Times New Roman" w:hAnsi="Arial" w:cs="Arial"/>
                <w:color w:val="000000"/>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Salud</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$420.340.558</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$420.340.558</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7,7</w:t>
            </w:r>
            <w:r w:rsidR="00DC21B1">
              <w:rPr>
                <w:rFonts w:ascii="Arial" w:eastAsia="Times New Roman" w:hAnsi="Arial" w:cs="Arial"/>
                <w:color w:val="000000"/>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Transporte</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$19.976.868</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$90.096.320</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$162.707.303</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$272.780.491</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5,0</w:t>
            </w:r>
            <w:r w:rsidR="00DC21B1">
              <w:rPr>
                <w:rFonts w:ascii="Arial" w:eastAsia="Times New Roman" w:hAnsi="Arial" w:cs="Arial"/>
                <w:color w:val="000000"/>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Promoción del desarrollo</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$76.191.123</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$117.339.379</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$37.772.600</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$231.303.102</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4,2</w:t>
            </w:r>
            <w:r w:rsidR="00DC21B1">
              <w:rPr>
                <w:rFonts w:ascii="Arial" w:eastAsia="Times New Roman" w:hAnsi="Arial" w:cs="Arial"/>
                <w:color w:val="000000"/>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Agropecuario</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$44.687.017</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$90.096.320</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$89.624.232</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$224.407.569</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4,1</w:t>
            </w:r>
            <w:r w:rsidR="00DC21B1">
              <w:rPr>
                <w:rFonts w:ascii="Arial" w:eastAsia="Times New Roman" w:hAnsi="Arial" w:cs="Arial"/>
                <w:color w:val="000000"/>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Cultura</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$57.250.000</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$80.209.900</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$76.897.377</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$214.357.277</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3,9</w:t>
            </w:r>
            <w:r w:rsidR="00DC21B1">
              <w:rPr>
                <w:rFonts w:ascii="Arial" w:eastAsia="Times New Roman" w:hAnsi="Arial" w:cs="Arial"/>
                <w:color w:val="000000"/>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Deporte</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$88.065.698</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$67.747.532</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$35.500.600</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$191.313.830</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3,5</w:t>
            </w:r>
            <w:r w:rsidR="00DC21B1">
              <w:rPr>
                <w:rFonts w:ascii="Arial" w:eastAsia="Times New Roman" w:hAnsi="Arial" w:cs="Arial"/>
                <w:color w:val="000000"/>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Equipamiento Municipal</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$70.000.000</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$97.307.768</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$167.307.768</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3,1</w:t>
            </w:r>
            <w:r w:rsidR="00DC21B1">
              <w:rPr>
                <w:rFonts w:ascii="Arial" w:eastAsia="Times New Roman" w:hAnsi="Arial" w:cs="Arial"/>
                <w:color w:val="000000"/>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Medio Ambiente</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$60.000.000</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$49.876.003</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$26.046.373</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$135.922.376</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2,5</w:t>
            </w:r>
            <w:r w:rsidR="00DC21B1">
              <w:rPr>
                <w:rFonts w:ascii="Arial" w:eastAsia="Times New Roman" w:hAnsi="Arial" w:cs="Arial"/>
                <w:color w:val="000000"/>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 xml:space="preserve">Educación </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$99.348.712</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$99.348.712</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1,8</w:t>
            </w:r>
            <w:r w:rsidR="00DC21B1">
              <w:rPr>
                <w:rFonts w:ascii="Arial" w:eastAsia="Times New Roman" w:hAnsi="Arial" w:cs="Arial"/>
                <w:color w:val="000000"/>
                <w:sz w:val="16"/>
                <w:szCs w:val="16"/>
                <w:lang w:eastAsia="es-CO"/>
              </w:rPr>
              <w:t xml:space="preserve"> %</w:t>
            </w:r>
          </w:p>
        </w:tc>
      </w:tr>
      <w:tr w:rsidR="00795C2C"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hideMark/>
          </w:tcPr>
          <w:p w:rsidR="00795C2C" w:rsidRPr="00BE36D3" w:rsidRDefault="00795C2C"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Servicios públicos</w:t>
            </w:r>
            <w:r w:rsidR="0020750D" w:rsidRPr="00BE36D3">
              <w:rPr>
                <w:rFonts w:ascii="Arial" w:eastAsia="Times New Roman" w:hAnsi="Arial" w:cs="Arial"/>
                <w:color w:val="000000"/>
                <w:sz w:val="16"/>
                <w:szCs w:val="16"/>
                <w:lang w:eastAsia="es-CO"/>
              </w:rPr>
              <w:t xml:space="preserve"> </w:t>
            </w:r>
            <w:r w:rsidRPr="00BE36D3">
              <w:rPr>
                <w:rFonts w:ascii="Arial" w:eastAsia="Times New Roman" w:hAnsi="Arial" w:cs="Arial"/>
                <w:color w:val="000000"/>
                <w:sz w:val="16"/>
                <w:szCs w:val="16"/>
                <w:lang w:eastAsia="es-CO"/>
              </w:rPr>
              <w:t xml:space="preserve">no domiciliarios </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168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$86.000.000</w:t>
            </w:r>
          </w:p>
        </w:tc>
        <w:tc>
          <w:tcPr>
            <w:tcW w:w="144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$86.000.000</w:t>
            </w:r>
          </w:p>
        </w:tc>
        <w:tc>
          <w:tcPr>
            <w:tcW w:w="1200" w:type="dxa"/>
            <w:tcBorders>
              <w:top w:val="nil"/>
              <w:left w:val="nil"/>
              <w:bottom w:val="single" w:sz="8" w:space="0" w:color="auto"/>
              <w:right w:val="single" w:sz="8" w:space="0" w:color="auto"/>
            </w:tcBorders>
            <w:shd w:val="clear" w:color="auto" w:fill="auto"/>
            <w:noWrap/>
            <w:vAlign w:val="center"/>
            <w:hideMark/>
          </w:tcPr>
          <w:p w:rsidR="00795C2C" w:rsidRPr="00BE36D3" w:rsidRDefault="00795C2C"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1,6</w:t>
            </w:r>
            <w:r w:rsidR="00DC21B1">
              <w:rPr>
                <w:rFonts w:ascii="Arial" w:eastAsia="Times New Roman" w:hAnsi="Arial" w:cs="Arial"/>
                <w:color w:val="000000"/>
                <w:sz w:val="16"/>
                <w:szCs w:val="16"/>
                <w:lang w:eastAsia="es-CO"/>
              </w:rPr>
              <w:t xml:space="preserve"> %</w:t>
            </w:r>
          </w:p>
        </w:tc>
      </w:tr>
      <w:tr w:rsidR="00C273BA"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tcPr>
          <w:p w:rsidR="00C273BA" w:rsidRPr="00BE36D3" w:rsidRDefault="00C273BA"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 xml:space="preserve">Prevención y atención de desastres </w:t>
            </w:r>
          </w:p>
        </w:tc>
        <w:tc>
          <w:tcPr>
            <w:tcW w:w="1440" w:type="dxa"/>
            <w:tcBorders>
              <w:top w:val="nil"/>
              <w:left w:val="nil"/>
              <w:bottom w:val="single" w:sz="8" w:space="0" w:color="auto"/>
              <w:right w:val="single" w:sz="8" w:space="0" w:color="auto"/>
            </w:tcBorders>
            <w:shd w:val="clear" w:color="auto" w:fill="auto"/>
            <w:noWrap/>
            <w:vAlign w:val="center"/>
          </w:tcPr>
          <w:p w:rsidR="00C273BA" w:rsidRPr="00BE36D3" w:rsidRDefault="00C273BA"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$20.000.000</w:t>
            </w:r>
          </w:p>
        </w:tc>
        <w:tc>
          <w:tcPr>
            <w:tcW w:w="1440" w:type="dxa"/>
            <w:tcBorders>
              <w:top w:val="nil"/>
              <w:left w:val="nil"/>
              <w:bottom w:val="single" w:sz="8" w:space="0" w:color="auto"/>
              <w:right w:val="single" w:sz="8" w:space="0" w:color="auto"/>
            </w:tcBorders>
            <w:shd w:val="clear" w:color="auto" w:fill="auto"/>
            <w:noWrap/>
            <w:vAlign w:val="center"/>
          </w:tcPr>
          <w:p w:rsidR="00C273BA" w:rsidRPr="00BE36D3" w:rsidRDefault="00C273BA"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$24.474.563</w:t>
            </w:r>
          </w:p>
        </w:tc>
        <w:tc>
          <w:tcPr>
            <w:tcW w:w="1680" w:type="dxa"/>
            <w:tcBorders>
              <w:top w:val="nil"/>
              <w:left w:val="nil"/>
              <w:bottom w:val="single" w:sz="8" w:space="0" w:color="auto"/>
              <w:right w:val="single" w:sz="8" w:space="0" w:color="auto"/>
            </w:tcBorders>
            <w:shd w:val="clear" w:color="auto" w:fill="auto"/>
            <w:noWrap/>
            <w:vAlign w:val="center"/>
          </w:tcPr>
          <w:p w:rsidR="00C273BA" w:rsidRPr="00BE36D3" w:rsidRDefault="00C273BA"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$25.000.000</w:t>
            </w:r>
          </w:p>
        </w:tc>
        <w:tc>
          <w:tcPr>
            <w:tcW w:w="1440" w:type="dxa"/>
            <w:tcBorders>
              <w:top w:val="nil"/>
              <w:left w:val="nil"/>
              <w:bottom w:val="single" w:sz="8" w:space="0" w:color="auto"/>
              <w:right w:val="single" w:sz="8" w:space="0" w:color="auto"/>
            </w:tcBorders>
            <w:shd w:val="clear" w:color="auto" w:fill="auto"/>
            <w:noWrap/>
            <w:vAlign w:val="center"/>
          </w:tcPr>
          <w:p w:rsidR="00C273BA" w:rsidRPr="00BE36D3" w:rsidRDefault="00C273BA"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$69.474.563</w:t>
            </w:r>
          </w:p>
        </w:tc>
        <w:tc>
          <w:tcPr>
            <w:tcW w:w="1200" w:type="dxa"/>
            <w:tcBorders>
              <w:top w:val="nil"/>
              <w:left w:val="nil"/>
              <w:bottom w:val="single" w:sz="8" w:space="0" w:color="auto"/>
              <w:right w:val="single" w:sz="8" w:space="0" w:color="auto"/>
            </w:tcBorders>
            <w:shd w:val="clear" w:color="auto" w:fill="auto"/>
            <w:noWrap/>
            <w:vAlign w:val="center"/>
          </w:tcPr>
          <w:p w:rsidR="00C273BA" w:rsidRPr="00BE36D3" w:rsidRDefault="00C273BA"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w:t>
            </w:r>
            <w:r w:rsidR="00DC21B1">
              <w:rPr>
                <w:rFonts w:ascii="Arial" w:eastAsia="Times New Roman" w:hAnsi="Arial" w:cs="Arial"/>
                <w:color w:val="000000"/>
                <w:sz w:val="16"/>
                <w:szCs w:val="16"/>
                <w:lang w:eastAsia="es-CO"/>
              </w:rPr>
              <w:t xml:space="preserve"> %</w:t>
            </w:r>
          </w:p>
        </w:tc>
      </w:tr>
      <w:tr w:rsidR="00C273BA" w:rsidRPr="0009074C" w:rsidTr="509DFA26">
        <w:trPr>
          <w:trHeight w:val="315"/>
          <w:jc w:val="center"/>
        </w:trPr>
        <w:tc>
          <w:tcPr>
            <w:tcW w:w="2460" w:type="dxa"/>
            <w:tcBorders>
              <w:top w:val="nil"/>
              <w:left w:val="single" w:sz="8" w:space="0" w:color="auto"/>
              <w:bottom w:val="single" w:sz="8" w:space="0" w:color="auto"/>
              <w:right w:val="single" w:sz="8" w:space="0" w:color="auto"/>
            </w:tcBorders>
            <w:shd w:val="clear" w:color="auto" w:fill="auto"/>
            <w:vAlign w:val="center"/>
          </w:tcPr>
          <w:p w:rsidR="00C273BA" w:rsidRPr="00BE36D3" w:rsidRDefault="00C273BA" w:rsidP="00CC548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Desarrollo Comunitario</w:t>
            </w:r>
          </w:p>
        </w:tc>
        <w:tc>
          <w:tcPr>
            <w:tcW w:w="1440" w:type="dxa"/>
            <w:tcBorders>
              <w:top w:val="nil"/>
              <w:left w:val="nil"/>
              <w:bottom w:val="single" w:sz="8" w:space="0" w:color="auto"/>
              <w:right w:val="single" w:sz="8" w:space="0" w:color="auto"/>
            </w:tcBorders>
            <w:shd w:val="clear" w:color="auto" w:fill="auto"/>
            <w:noWrap/>
            <w:vAlign w:val="center"/>
          </w:tcPr>
          <w:p w:rsidR="00C273BA" w:rsidRPr="00BE36D3" w:rsidRDefault="00C273BA"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$14.787.000</w:t>
            </w:r>
          </w:p>
        </w:tc>
        <w:tc>
          <w:tcPr>
            <w:tcW w:w="1440" w:type="dxa"/>
            <w:tcBorders>
              <w:top w:val="nil"/>
              <w:left w:val="nil"/>
              <w:bottom w:val="single" w:sz="8" w:space="0" w:color="auto"/>
              <w:right w:val="single" w:sz="8" w:space="0" w:color="auto"/>
            </w:tcBorders>
            <w:shd w:val="clear" w:color="auto" w:fill="auto"/>
            <w:noWrap/>
            <w:vAlign w:val="center"/>
          </w:tcPr>
          <w:p w:rsidR="00C273BA" w:rsidRPr="00BE36D3" w:rsidRDefault="00C273BA"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1680" w:type="dxa"/>
            <w:tcBorders>
              <w:top w:val="nil"/>
              <w:left w:val="nil"/>
              <w:bottom w:val="single" w:sz="8" w:space="0" w:color="auto"/>
              <w:right w:val="single" w:sz="8" w:space="0" w:color="auto"/>
            </w:tcBorders>
            <w:shd w:val="clear" w:color="auto" w:fill="auto"/>
            <w:noWrap/>
            <w:vAlign w:val="center"/>
          </w:tcPr>
          <w:p w:rsidR="00C273BA" w:rsidRPr="00BE36D3" w:rsidRDefault="00C273BA"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$23.164.160</w:t>
            </w:r>
          </w:p>
        </w:tc>
        <w:tc>
          <w:tcPr>
            <w:tcW w:w="1440" w:type="dxa"/>
            <w:tcBorders>
              <w:top w:val="nil"/>
              <w:left w:val="nil"/>
              <w:bottom w:val="single" w:sz="8" w:space="0" w:color="auto"/>
              <w:right w:val="single" w:sz="8" w:space="0" w:color="auto"/>
            </w:tcBorders>
            <w:shd w:val="clear" w:color="auto" w:fill="auto"/>
            <w:noWrap/>
            <w:vAlign w:val="center"/>
          </w:tcPr>
          <w:p w:rsidR="00C273BA" w:rsidRPr="00BE36D3" w:rsidRDefault="00C273BA"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$37.951.160</w:t>
            </w:r>
          </w:p>
        </w:tc>
        <w:tc>
          <w:tcPr>
            <w:tcW w:w="1200" w:type="dxa"/>
            <w:tcBorders>
              <w:top w:val="nil"/>
              <w:left w:val="nil"/>
              <w:bottom w:val="single" w:sz="8" w:space="0" w:color="auto"/>
              <w:right w:val="single" w:sz="8" w:space="0" w:color="auto"/>
            </w:tcBorders>
            <w:shd w:val="clear" w:color="auto" w:fill="auto"/>
            <w:noWrap/>
            <w:vAlign w:val="center"/>
          </w:tcPr>
          <w:p w:rsidR="00C273BA" w:rsidRPr="00BE36D3" w:rsidRDefault="00C273BA" w:rsidP="00CC548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0,7</w:t>
            </w:r>
            <w:r w:rsidR="00DC21B1">
              <w:rPr>
                <w:rFonts w:ascii="Arial" w:eastAsia="Times New Roman" w:hAnsi="Arial" w:cs="Arial"/>
                <w:color w:val="000000"/>
                <w:sz w:val="16"/>
                <w:szCs w:val="16"/>
                <w:lang w:eastAsia="es-CO"/>
              </w:rPr>
              <w:t xml:space="preserve"> %</w:t>
            </w:r>
          </w:p>
        </w:tc>
      </w:tr>
      <w:tr w:rsidR="00C273BA" w:rsidRPr="0009074C" w:rsidTr="509DFA26">
        <w:trPr>
          <w:trHeight w:val="345"/>
          <w:jc w:val="center"/>
        </w:trPr>
        <w:tc>
          <w:tcPr>
            <w:tcW w:w="2460" w:type="dxa"/>
            <w:tcBorders>
              <w:top w:val="nil"/>
              <w:left w:val="single" w:sz="8" w:space="0" w:color="auto"/>
              <w:bottom w:val="single" w:sz="8" w:space="0" w:color="auto"/>
              <w:right w:val="single" w:sz="8" w:space="0" w:color="auto"/>
            </w:tcBorders>
            <w:shd w:val="clear" w:color="auto" w:fill="666699"/>
            <w:vAlign w:val="center"/>
            <w:hideMark/>
          </w:tcPr>
          <w:p w:rsidR="00C273BA" w:rsidRPr="00BE36D3" w:rsidRDefault="00C273BA"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Total</w:t>
            </w:r>
          </w:p>
        </w:tc>
        <w:tc>
          <w:tcPr>
            <w:tcW w:w="1440" w:type="dxa"/>
            <w:tcBorders>
              <w:top w:val="nil"/>
              <w:left w:val="nil"/>
              <w:bottom w:val="single" w:sz="8" w:space="0" w:color="auto"/>
              <w:right w:val="single" w:sz="8" w:space="0" w:color="auto"/>
            </w:tcBorders>
            <w:shd w:val="clear" w:color="auto" w:fill="666699"/>
            <w:vAlign w:val="center"/>
            <w:hideMark/>
          </w:tcPr>
          <w:p w:rsidR="00C273BA" w:rsidRPr="00BE36D3" w:rsidRDefault="00C273BA"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$1.672.884.288</w:t>
            </w:r>
          </w:p>
        </w:tc>
        <w:tc>
          <w:tcPr>
            <w:tcW w:w="1440" w:type="dxa"/>
            <w:tcBorders>
              <w:top w:val="nil"/>
              <w:left w:val="nil"/>
              <w:bottom w:val="single" w:sz="8" w:space="0" w:color="auto"/>
              <w:right w:val="single" w:sz="8" w:space="0" w:color="auto"/>
            </w:tcBorders>
            <w:shd w:val="clear" w:color="auto" w:fill="666699"/>
            <w:vAlign w:val="center"/>
            <w:hideMark/>
          </w:tcPr>
          <w:p w:rsidR="00C273BA" w:rsidRPr="00BE36D3" w:rsidRDefault="00C273BA"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$1.648.882.752</w:t>
            </w:r>
          </w:p>
        </w:tc>
        <w:tc>
          <w:tcPr>
            <w:tcW w:w="1680" w:type="dxa"/>
            <w:tcBorders>
              <w:top w:val="nil"/>
              <w:left w:val="nil"/>
              <w:bottom w:val="single" w:sz="8" w:space="0" w:color="auto"/>
              <w:right w:val="single" w:sz="8" w:space="0" w:color="auto"/>
            </w:tcBorders>
            <w:shd w:val="clear" w:color="auto" w:fill="666699"/>
            <w:vAlign w:val="center"/>
            <w:hideMark/>
          </w:tcPr>
          <w:p w:rsidR="00C273BA" w:rsidRPr="00BE36D3" w:rsidRDefault="00C273BA"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$2.125.540.239</w:t>
            </w:r>
          </w:p>
        </w:tc>
        <w:tc>
          <w:tcPr>
            <w:tcW w:w="1440" w:type="dxa"/>
            <w:tcBorders>
              <w:top w:val="nil"/>
              <w:left w:val="nil"/>
              <w:bottom w:val="single" w:sz="8" w:space="0" w:color="auto"/>
              <w:right w:val="single" w:sz="8" w:space="0" w:color="auto"/>
            </w:tcBorders>
            <w:shd w:val="clear" w:color="auto" w:fill="666699"/>
            <w:vAlign w:val="center"/>
            <w:hideMark/>
          </w:tcPr>
          <w:p w:rsidR="00C273BA" w:rsidRPr="00BE36D3" w:rsidRDefault="00C273BA"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$5.447.307.279</w:t>
            </w:r>
          </w:p>
        </w:tc>
        <w:tc>
          <w:tcPr>
            <w:tcW w:w="1200" w:type="dxa"/>
            <w:tcBorders>
              <w:top w:val="nil"/>
              <w:left w:val="nil"/>
              <w:bottom w:val="single" w:sz="8" w:space="0" w:color="auto"/>
              <w:right w:val="single" w:sz="8" w:space="0" w:color="auto"/>
            </w:tcBorders>
            <w:shd w:val="clear" w:color="auto" w:fill="666699"/>
            <w:vAlign w:val="center"/>
            <w:hideMark/>
          </w:tcPr>
          <w:p w:rsidR="00C273BA" w:rsidRPr="00BE36D3" w:rsidRDefault="00C273BA" w:rsidP="00CC548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100</w:t>
            </w:r>
            <w:r w:rsidR="00DC21B1">
              <w:rPr>
                <w:rFonts w:ascii="Arial" w:eastAsia="Times New Roman" w:hAnsi="Arial" w:cs="Arial"/>
                <w:b/>
                <w:bCs/>
                <w:color w:val="FFFFFF"/>
                <w:sz w:val="16"/>
                <w:szCs w:val="16"/>
                <w:lang w:eastAsia="es-CO"/>
              </w:rPr>
              <w:t xml:space="preserve"> %</w:t>
            </w:r>
          </w:p>
        </w:tc>
      </w:tr>
    </w:tbl>
    <w:p w:rsidR="0008482C" w:rsidRPr="00BE36D3" w:rsidRDefault="0008482C" w:rsidP="00CC548E">
      <w:pPr>
        <w:spacing w:line="240" w:lineRule="auto"/>
        <w:contextualSpacing/>
        <w:jc w:val="center"/>
        <w:rPr>
          <w:rFonts w:ascii="Arial" w:hAnsi="Arial" w:cs="Arial"/>
          <w:sz w:val="20"/>
          <w:szCs w:val="20"/>
        </w:rPr>
      </w:pPr>
      <w:r w:rsidRPr="00BE36D3">
        <w:rPr>
          <w:rFonts w:ascii="Arial" w:hAnsi="Arial" w:cs="Arial"/>
          <w:b/>
          <w:sz w:val="20"/>
          <w:szCs w:val="20"/>
        </w:rPr>
        <w:t xml:space="preserve">Fuente: </w:t>
      </w:r>
      <w:r w:rsidRPr="00BE36D3">
        <w:rPr>
          <w:rFonts w:ascii="Arial" w:hAnsi="Arial" w:cs="Arial"/>
          <w:sz w:val="20"/>
          <w:szCs w:val="20"/>
        </w:rPr>
        <w:t xml:space="preserve">Elaboración propia con base en las ejecuciones presupuestales proporcionadas por la </w:t>
      </w:r>
      <w:r w:rsidR="00DC21B1">
        <w:rPr>
          <w:rFonts w:ascii="Arial" w:hAnsi="Arial" w:cs="Arial"/>
          <w:sz w:val="20"/>
          <w:szCs w:val="20"/>
        </w:rPr>
        <w:t>A</w:t>
      </w:r>
      <w:r w:rsidRPr="00BE36D3">
        <w:rPr>
          <w:rFonts w:ascii="Arial" w:hAnsi="Arial" w:cs="Arial"/>
          <w:sz w:val="20"/>
          <w:szCs w:val="20"/>
        </w:rPr>
        <w:t xml:space="preserve">dministración </w:t>
      </w:r>
      <w:r w:rsidR="00DC21B1">
        <w:rPr>
          <w:rFonts w:ascii="Arial" w:hAnsi="Arial" w:cs="Arial"/>
          <w:sz w:val="20"/>
          <w:szCs w:val="20"/>
        </w:rPr>
        <w:t>M</w:t>
      </w:r>
      <w:r w:rsidRPr="00BE36D3">
        <w:rPr>
          <w:rFonts w:ascii="Arial" w:hAnsi="Arial" w:cs="Arial"/>
          <w:sz w:val="20"/>
          <w:szCs w:val="20"/>
        </w:rPr>
        <w:t>unicipal y el reporte FUT-Gastos de Inversión (2019).</w:t>
      </w:r>
    </w:p>
    <w:p w:rsidR="0009074C" w:rsidRPr="00BE36D3" w:rsidRDefault="0009074C" w:rsidP="00CC548E">
      <w:pPr>
        <w:spacing w:line="240" w:lineRule="auto"/>
        <w:contextualSpacing/>
        <w:jc w:val="both"/>
        <w:rPr>
          <w:rFonts w:ascii="Arial" w:hAnsi="Arial" w:cs="Arial"/>
        </w:rPr>
      </w:pPr>
    </w:p>
    <w:p w:rsidR="0008482C" w:rsidRPr="00BE36D3" w:rsidRDefault="002C6043" w:rsidP="00CC548E">
      <w:pPr>
        <w:spacing w:line="240" w:lineRule="auto"/>
        <w:contextualSpacing/>
        <w:jc w:val="both"/>
        <w:rPr>
          <w:rFonts w:ascii="Arial" w:hAnsi="Arial" w:cs="Arial"/>
        </w:rPr>
      </w:pPr>
      <w:r w:rsidRPr="00BE36D3">
        <w:rPr>
          <w:rFonts w:ascii="Arial" w:hAnsi="Arial" w:cs="Arial"/>
        </w:rPr>
        <w:t>En los patrones de inversión de los recursos de Propósito General se evidencia que el Municipio de Santiago de Tolú</w:t>
      </w:r>
      <w:r w:rsidR="469662B0" w:rsidRPr="00BE36D3">
        <w:rPr>
          <w:rFonts w:ascii="Arial" w:hAnsi="Arial" w:cs="Arial"/>
        </w:rPr>
        <w:t xml:space="preserve"> </w:t>
      </w:r>
      <w:r w:rsidRPr="00BE36D3">
        <w:rPr>
          <w:rFonts w:ascii="Arial" w:hAnsi="Arial" w:cs="Arial"/>
        </w:rPr>
        <w:t>-</w:t>
      </w:r>
      <w:r w:rsidR="635DF7E1" w:rsidRPr="00BE36D3">
        <w:rPr>
          <w:rFonts w:ascii="Arial" w:hAnsi="Arial" w:cs="Arial"/>
        </w:rPr>
        <w:t xml:space="preserve"> </w:t>
      </w:r>
      <w:r w:rsidRPr="00BE36D3">
        <w:rPr>
          <w:rFonts w:ascii="Arial" w:hAnsi="Arial" w:cs="Arial"/>
        </w:rPr>
        <w:t xml:space="preserve">Sucre </w:t>
      </w:r>
      <w:r w:rsidR="006D0A28" w:rsidRPr="00BE36D3">
        <w:rPr>
          <w:rFonts w:ascii="Arial" w:hAnsi="Arial" w:cs="Arial"/>
        </w:rPr>
        <w:t>dirig</w:t>
      </w:r>
      <w:r w:rsidR="00782E43" w:rsidRPr="00BE36D3">
        <w:rPr>
          <w:rFonts w:ascii="Arial" w:hAnsi="Arial" w:cs="Arial"/>
        </w:rPr>
        <w:t>ió en las últimas tres vigencias</w:t>
      </w:r>
      <w:r w:rsidR="006D0A28" w:rsidRPr="00BE36D3">
        <w:rPr>
          <w:rFonts w:ascii="Arial" w:hAnsi="Arial" w:cs="Arial"/>
        </w:rPr>
        <w:t xml:space="preserve"> los recursos hacia tres sectores principalmente: Atención a Grupos </w:t>
      </w:r>
      <w:r w:rsidR="06CF5178" w:rsidRPr="00BE36D3">
        <w:rPr>
          <w:rFonts w:ascii="Arial" w:hAnsi="Arial" w:cs="Arial"/>
        </w:rPr>
        <w:t>V</w:t>
      </w:r>
      <w:r w:rsidR="006D0A28" w:rsidRPr="00BE36D3">
        <w:rPr>
          <w:rFonts w:ascii="Arial" w:hAnsi="Arial" w:cs="Arial"/>
        </w:rPr>
        <w:t xml:space="preserve">ulnerables, con una participación </w:t>
      </w:r>
      <w:r w:rsidR="48806032" w:rsidRPr="00BE36D3">
        <w:rPr>
          <w:rFonts w:ascii="Arial" w:hAnsi="Arial" w:cs="Arial"/>
        </w:rPr>
        <w:t xml:space="preserve">promedio en el período analizado </w:t>
      </w:r>
      <w:r w:rsidR="006D0A28" w:rsidRPr="00BE36D3">
        <w:rPr>
          <w:rFonts w:ascii="Arial" w:hAnsi="Arial" w:cs="Arial"/>
        </w:rPr>
        <w:t>del 21</w:t>
      </w:r>
      <w:r w:rsidR="00186DD4" w:rsidRPr="00BE36D3">
        <w:rPr>
          <w:rFonts w:ascii="Arial" w:hAnsi="Arial" w:cs="Arial"/>
        </w:rPr>
        <w:t>,</w:t>
      </w:r>
      <w:r w:rsidR="006D0A28" w:rsidRPr="00BE36D3">
        <w:rPr>
          <w:rFonts w:ascii="Arial" w:hAnsi="Arial" w:cs="Arial"/>
        </w:rPr>
        <w:t>1</w:t>
      </w:r>
      <w:r w:rsidR="00DC21B1">
        <w:rPr>
          <w:rFonts w:ascii="Arial" w:hAnsi="Arial" w:cs="Arial"/>
        </w:rPr>
        <w:t xml:space="preserve"> </w:t>
      </w:r>
      <w:r w:rsidR="006D0A28" w:rsidRPr="00BE36D3">
        <w:rPr>
          <w:rFonts w:ascii="Arial" w:hAnsi="Arial" w:cs="Arial"/>
        </w:rPr>
        <w:t>%</w:t>
      </w:r>
      <w:r w:rsidR="00A10C28" w:rsidRPr="00BE36D3">
        <w:rPr>
          <w:rFonts w:ascii="Arial" w:hAnsi="Arial" w:cs="Arial"/>
        </w:rPr>
        <w:t>; Agua Potable y Saneamiento Básico, el cual representa el 15,9</w:t>
      </w:r>
      <w:r w:rsidR="00DC21B1">
        <w:rPr>
          <w:rFonts w:ascii="Arial" w:hAnsi="Arial" w:cs="Arial"/>
        </w:rPr>
        <w:t xml:space="preserve"> </w:t>
      </w:r>
      <w:r w:rsidR="00A10C28" w:rsidRPr="00BE36D3">
        <w:rPr>
          <w:rFonts w:ascii="Arial" w:hAnsi="Arial" w:cs="Arial"/>
        </w:rPr>
        <w:t>% de la inversión</w:t>
      </w:r>
      <w:r w:rsidR="00743183" w:rsidRPr="00BE36D3">
        <w:rPr>
          <w:rFonts w:ascii="Arial" w:hAnsi="Arial" w:cs="Arial"/>
        </w:rPr>
        <w:t xml:space="preserve">; </w:t>
      </w:r>
      <w:r w:rsidR="00A10C28" w:rsidRPr="00BE36D3">
        <w:rPr>
          <w:rFonts w:ascii="Arial" w:hAnsi="Arial" w:cs="Arial"/>
        </w:rPr>
        <w:t>y</w:t>
      </w:r>
      <w:r w:rsidR="00743183" w:rsidRPr="00BE36D3">
        <w:rPr>
          <w:rFonts w:ascii="Arial" w:hAnsi="Arial" w:cs="Arial"/>
        </w:rPr>
        <w:t xml:space="preserve"> el </w:t>
      </w:r>
      <w:r w:rsidR="00DC21B1">
        <w:rPr>
          <w:rFonts w:ascii="Arial" w:hAnsi="Arial" w:cs="Arial"/>
        </w:rPr>
        <w:t>S</w:t>
      </w:r>
      <w:r w:rsidR="00743183" w:rsidRPr="00BE36D3">
        <w:rPr>
          <w:rFonts w:ascii="Arial" w:hAnsi="Arial" w:cs="Arial"/>
        </w:rPr>
        <w:t xml:space="preserve">ector de </w:t>
      </w:r>
      <w:r w:rsidR="009434F2" w:rsidRPr="00BE36D3">
        <w:rPr>
          <w:rFonts w:ascii="Arial" w:hAnsi="Arial" w:cs="Arial"/>
        </w:rPr>
        <w:t>J</w:t>
      </w:r>
      <w:r w:rsidR="00743183" w:rsidRPr="00BE36D3">
        <w:rPr>
          <w:rFonts w:ascii="Arial" w:hAnsi="Arial" w:cs="Arial"/>
        </w:rPr>
        <w:t>usticia, hacia donde se dirigió</w:t>
      </w:r>
      <w:r w:rsidR="00A10C28" w:rsidRPr="00BE36D3">
        <w:rPr>
          <w:rFonts w:ascii="Arial" w:hAnsi="Arial" w:cs="Arial"/>
        </w:rPr>
        <w:t xml:space="preserve"> </w:t>
      </w:r>
      <w:r w:rsidR="00743183" w:rsidRPr="00BE36D3">
        <w:rPr>
          <w:rFonts w:ascii="Arial" w:hAnsi="Arial" w:cs="Arial"/>
        </w:rPr>
        <w:t>el 14,6</w:t>
      </w:r>
      <w:r w:rsidR="00DC21B1">
        <w:rPr>
          <w:rFonts w:ascii="Arial" w:hAnsi="Arial" w:cs="Arial"/>
        </w:rPr>
        <w:t xml:space="preserve"> </w:t>
      </w:r>
      <w:r w:rsidR="00743183" w:rsidRPr="00BE36D3">
        <w:rPr>
          <w:rFonts w:ascii="Arial" w:hAnsi="Arial" w:cs="Arial"/>
        </w:rPr>
        <w:t xml:space="preserve">% </w:t>
      </w:r>
      <w:r w:rsidR="0004329C" w:rsidRPr="00BE36D3">
        <w:rPr>
          <w:rFonts w:ascii="Arial" w:hAnsi="Arial" w:cs="Arial"/>
        </w:rPr>
        <w:t xml:space="preserve">de la inversión. </w:t>
      </w:r>
      <w:r w:rsidR="00F7191D" w:rsidRPr="00BE36D3">
        <w:rPr>
          <w:rFonts w:ascii="Arial" w:hAnsi="Arial" w:cs="Arial"/>
        </w:rPr>
        <w:t>Sin embargo, en cuanto a la evolución de la inversión en estos sectores se puede observar</w:t>
      </w:r>
      <w:r w:rsidR="000A6FCC" w:rsidRPr="00BE36D3">
        <w:rPr>
          <w:rFonts w:ascii="Arial" w:hAnsi="Arial" w:cs="Arial"/>
        </w:rPr>
        <w:t xml:space="preserve"> en el </w:t>
      </w:r>
      <w:r w:rsidR="00DC21B1">
        <w:rPr>
          <w:rFonts w:ascii="Arial" w:hAnsi="Arial" w:cs="Arial"/>
        </w:rPr>
        <w:t>G</w:t>
      </w:r>
      <w:r w:rsidR="000A6FCC" w:rsidRPr="00BE36D3">
        <w:rPr>
          <w:rFonts w:ascii="Arial" w:hAnsi="Arial" w:cs="Arial"/>
        </w:rPr>
        <w:t>ráfico No.</w:t>
      </w:r>
      <w:r w:rsidR="00DC21B1">
        <w:rPr>
          <w:rFonts w:ascii="Arial" w:hAnsi="Arial" w:cs="Arial"/>
        </w:rPr>
        <w:t xml:space="preserve"> </w:t>
      </w:r>
      <w:r w:rsidR="666BE424" w:rsidRPr="00BE36D3">
        <w:rPr>
          <w:rFonts w:ascii="Arial" w:hAnsi="Arial" w:cs="Arial"/>
        </w:rPr>
        <w:t>5</w:t>
      </w:r>
      <w:r w:rsidR="000A6FCC" w:rsidRPr="00BE36D3">
        <w:rPr>
          <w:rFonts w:ascii="Arial" w:hAnsi="Arial" w:cs="Arial"/>
        </w:rPr>
        <w:t xml:space="preserve"> qu</w:t>
      </w:r>
      <w:r w:rsidR="00F61A93" w:rsidRPr="00BE36D3">
        <w:rPr>
          <w:rFonts w:ascii="Arial" w:hAnsi="Arial" w:cs="Arial"/>
        </w:rPr>
        <w:t xml:space="preserve">e, </w:t>
      </w:r>
      <w:r w:rsidR="0020750D" w:rsidRPr="00BE36D3">
        <w:rPr>
          <w:rFonts w:ascii="Arial" w:hAnsi="Arial" w:cs="Arial"/>
        </w:rPr>
        <w:t xml:space="preserve">mientras la inversión dirigida a la Atención a </w:t>
      </w:r>
      <w:r w:rsidR="00294DB0" w:rsidRPr="00BE36D3">
        <w:rPr>
          <w:rFonts w:ascii="Arial" w:hAnsi="Arial" w:cs="Arial"/>
        </w:rPr>
        <w:t>G</w:t>
      </w:r>
      <w:r w:rsidR="0020750D" w:rsidRPr="00BE36D3">
        <w:rPr>
          <w:rFonts w:ascii="Arial" w:hAnsi="Arial" w:cs="Arial"/>
        </w:rPr>
        <w:t xml:space="preserve">rupos </w:t>
      </w:r>
      <w:r w:rsidR="00294DB0" w:rsidRPr="00BE36D3">
        <w:rPr>
          <w:rFonts w:ascii="Arial" w:hAnsi="Arial" w:cs="Arial"/>
        </w:rPr>
        <w:t>V</w:t>
      </w:r>
      <w:r w:rsidR="0020750D" w:rsidRPr="00BE36D3">
        <w:rPr>
          <w:rFonts w:ascii="Arial" w:hAnsi="Arial" w:cs="Arial"/>
        </w:rPr>
        <w:t xml:space="preserve">ulnerables tuvo una reducción </w:t>
      </w:r>
      <w:r w:rsidR="008E700A" w:rsidRPr="00BE36D3">
        <w:rPr>
          <w:rFonts w:ascii="Arial" w:hAnsi="Arial" w:cs="Arial"/>
        </w:rPr>
        <w:t>del 66</w:t>
      </w:r>
      <w:r w:rsidR="00DC21B1">
        <w:rPr>
          <w:rFonts w:ascii="Arial" w:hAnsi="Arial" w:cs="Arial"/>
        </w:rPr>
        <w:t xml:space="preserve"> </w:t>
      </w:r>
      <w:r w:rsidR="008E700A" w:rsidRPr="00BE36D3">
        <w:rPr>
          <w:rFonts w:ascii="Arial" w:hAnsi="Arial" w:cs="Arial"/>
        </w:rPr>
        <w:t>% entre 2017 y 2018 y de</w:t>
      </w:r>
      <w:r w:rsidR="00FC78D1" w:rsidRPr="00BE36D3">
        <w:rPr>
          <w:rFonts w:ascii="Arial" w:hAnsi="Arial" w:cs="Arial"/>
        </w:rPr>
        <w:t>l 25</w:t>
      </w:r>
      <w:r w:rsidR="00DC21B1">
        <w:rPr>
          <w:rFonts w:ascii="Arial" w:hAnsi="Arial" w:cs="Arial"/>
        </w:rPr>
        <w:t xml:space="preserve"> </w:t>
      </w:r>
      <w:r w:rsidR="00FC78D1" w:rsidRPr="00BE36D3">
        <w:rPr>
          <w:rFonts w:ascii="Arial" w:hAnsi="Arial" w:cs="Arial"/>
        </w:rPr>
        <w:t>% en</w:t>
      </w:r>
      <w:r w:rsidR="00F61A93" w:rsidRPr="00BE36D3">
        <w:rPr>
          <w:rFonts w:ascii="Arial" w:hAnsi="Arial" w:cs="Arial"/>
        </w:rPr>
        <w:t xml:space="preserve">tre 2018 y 2019, los recursos dirigidos al </w:t>
      </w:r>
      <w:r w:rsidR="00DC21B1">
        <w:rPr>
          <w:rFonts w:ascii="Arial" w:hAnsi="Arial" w:cs="Arial"/>
        </w:rPr>
        <w:t>S</w:t>
      </w:r>
      <w:r w:rsidR="00F61A93" w:rsidRPr="00BE36D3">
        <w:rPr>
          <w:rFonts w:ascii="Arial" w:hAnsi="Arial" w:cs="Arial"/>
        </w:rPr>
        <w:t xml:space="preserve">ector de Agua Potable y Saneamiento Básico tuvieron un incremento de </w:t>
      </w:r>
      <w:r w:rsidR="004C2D7F" w:rsidRPr="00BE36D3">
        <w:rPr>
          <w:rFonts w:ascii="Arial" w:hAnsi="Arial" w:cs="Arial"/>
        </w:rPr>
        <w:t>154</w:t>
      </w:r>
      <w:r w:rsidR="00DC21B1">
        <w:rPr>
          <w:rFonts w:ascii="Arial" w:hAnsi="Arial" w:cs="Arial"/>
        </w:rPr>
        <w:t xml:space="preserve"> </w:t>
      </w:r>
      <w:r w:rsidR="004C2D7F" w:rsidRPr="00BE36D3">
        <w:rPr>
          <w:rFonts w:ascii="Arial" w:hAnsi="Arial" w:cs="Arial"/>
        </w:rPr>
        <w:t xml:space="preserve">% entre 2017 y 2018 y de </w:t>
      </w:r>
      <w:r w:rsidR="00186DD4" w:rsidRPr="00BE36D3">
        <w:rPr>
          <w:rFonts w:ascii="Arial" w:hAnsi="Arial" w:cs="Arial"/>
        </w:rPr>
        <w:t>18</w:t>
      </w:r>
      <w:r w:rsidR="00DC21B1">
        <w:rPr>
          <w:rFonts w:ascii="Arial" w:hAnsi="Arial" w:cs="Arial"/>
        </w:rPr>
        <w:t xml:space="preserve"> </w:t>
      </w:r>
      <w:r w:rsidR="00186DD4" w:rsidRPr="00BE36D3">
        <w:rPr>
          <w:rFonts w:ascii="Arial" w:hAnsi="Arial" w:cs="Arial"/>
        </w:rPr>
        <w:t>% entre 2018 y 2019.</w:t>
      </w:r>
    </w:p>
    <w:p w:rsidR="0009074C" w:rsidRPr="00BE36D3" w:rsidRDefault="0009074C" w:rsidP="00CC548E">
      <w:pPr>
        <w:spacing w:line="240" w:lineRule="auto"/>
        <w:contextualSpacing/>
        <w:jc w:val="both"/>
        <w:rPr>
          <w:rFonts w:ascii="Arial" w:hAnsi="Arial" w:cs="Arial"/>
        </w:rPr>
      </w:pPr>
    </w:p>
    <w:p w:rsidR="008A3FCE" w:rsidRDefault="00F83C37" w:rsidP="00CC548E">
      <w:pPr>
        <w:spacing w:line="240" w:lineRule="auto"/>
        <w:contextualSpacing/>
        <w:jc w:val="both"/>
        <w:rPr>
          <w:rFonts w:ascii="Arial" w:hAnsi="Arial" w:cs="Arial"/>
        </w:rPr>
      </w:pPr>
      <w:r w:rsidRPr="00BE36D3">
        <w:rPr>
          <w:rFonts w:ascii="Arial" w:hAnsi="Arial" w:cs="Arial"/>
        </w:rPr>
        <w:t xml:space="preserve">En Atención a Grupos Vulnerables, la mayor proporción del gasto </w:t>
      </w:r>
      <w:r w:rsidR="00C9630A" w:rsidRPr="00BE36D3">
        <w:rPr>
          <w:rFonts w:ascii="Arial" w:hAnsi="Arial" w:cs="Arial"/>
        </w:rPr>
        <w:t>se</w:t>
      </w:r>
      <w:r w:rsidR="00877B0D" w:rsidRPr="00BE36D3">
        <w:rPr>
          <w:rFonts w:ascii="Arial" w:hAnsi="Arial" w:cs="Arial"/>
        </w:rPr>
        <w:t xml:space="preserve"> dirigió hacia</w:t>
      </w:r>
      <w:r w:rsidR="00FF7935" w:rsidRPr="00BE36D3">
        <w:rPr>
          <w:rFonts w:ascii="Arial" w:hAnsi="Arial" w:cs="Arial"/>
        </w:rPr>
        <w:t xml:space="preserve"> la construcción de infraestructura para la Atención Integral al Adulto Mayor, así como su puesta en funcionamiento en la vigencia 2017, </w:t>
      </w:r>
      <w:r w:rsidR="00896B78" w:rsidRPr="00BE36D3">
        <w:rPr>
          <w:rFonts w:ascii="Arial" w:hAnsi="Arial" w:cs="Arial"/>
        </w:rPr>
        <w:t>en las vigencias posteriores se puede</w:t>
      </w:r>
      <w:r w:rsidR="00FE50A1" w:rsidRPr="00BE36D3">
        <w:rPr>
          <w:rFonts w:ascii="Arial" w:hAnsi="Arial" w:cs="Arial"/>
        </w:rPr>
        <w:t xml:space="preserve"> evidenciar que estos recursos se destinaron principalmente a la atención integral </w:t>
      </w:r>
      <w:r w:rsidR="008035AF" w:rsidRPr="00BE36D3">
        <w:rPr>
          <w:rFonts w:ascii="Arial" w:hAnsi="Arial" w:cs="Arial"/>
        </w:rPr>
        <w:t>a víctimas de desplazamiento forzado</w:t>
      </w:r>
      <w:r w:rsidR="00877B0D" w:rsidRPr="00BE36D3">
        <w:rPr>
          <w:rFonts w:ascii="Arial" w:hAnsi="Arial" w:cs="Arial"/>
        </w:rPr>
        <w:t xml:space="preserve">. </w:t>
      </w:r>
      <w:r w:rsidR="00894705" w:rsidRPr="00BE36D3">
        <w:rPr>
          <w:rFonts w:ascii="Arial" w:hAnsi="Arial" w:cs="Arial"/>
        </w:rPr>
        <w:t xml:space="preserve">En cuanto a los gastos en </w:t>
      </w:r>
      <w:r w:rsidR="00DC21B1">
        <w:rPr>
          <w:rFonts w:ascii="Arial" w:hAnsi="Arial" w:cs="Arial"/>
        </w:rPr>
        <w:t>J</w:t>
      </w:r>
      <w:r w:rsidR="00894705" w:rsidRPr="00BE36D3">
        <w:rPr>
          <w:rFonts w:ascii="Arial" w:hAnsi="Arial" w:cs="Arial"/>
        </w:rPr>
        <w:t xml:space="preserve">usticia, se evidencia que la mayor parte de la inversión realizada en este </w:t>
      </w:r>
      <w:r w:rsidR="00DC21B1">
        <w:rPr>
          <w:rFonts w:ascii="Arial" w:hAnsi="Arial" w:cs="Arial"/>
        </w:rPr>
        <w:t>S</w:t>
      </w:r>
      <w:r w:rsidR="00894705" w:rsidRPr="00BE36D3">
        <w:rPr>
          <w:rFonts w:ascii="Arial" w:hAnsi="Arial" w:cs="Arial"/>
        </w:rPr>
        <w:t xml:space="preserve">ector se dirige al funcionamiento integral de las Comisarías de Familia. </w:t>
      </w:r>
      <w:r w:rsidR="00877B0D" w:rsidRPr="00BE36D3">
        <w:rPr>
          <w:rFonts w:ascii="Arial" w:hAnsi="Arial" w:cs="Arial"/>
        </w:rPr>
        <w:t xml:space="preserve">En </w:t>
      </w:r>
      <w:r w:rsidR="00CD402F" w:rsidRPr="00BE36D3">
        <w:rPr>
          <w:rFonts w:ascii="Arial" w:hAnsi="Arial" w:cs="Arial"/>
        </w:rPr>
        <w:t>Agua Potable y Saneamiento Básico</w:t>
      </w:r>
      <w:r w:rsidR="7B131ED5" w:rsidRPr="00BE36D3">
        <w:rPr>
          <w:rFonts w:ascii="Arial" w:hAnsi="Arial" w:cs="Arial"/>
        </w:rPr>
        <w:t>,</w:t>
      </w:r>
      <w:r w:rsidR="00CD402F" w:rsidRPr="00BE36D3">
        <w:rPr>
          <w:rFonts w:ascii="Arial" w:hAnsi="Arial" w:cs="Arial"/>
        </w:rPr>
        <w:t xml:space="preserve"> el rubro con mayor gasto es el de </w:t>
      </w:r>
      <w:r w:rsidR="00DC21B1">
        <w:rPr>
          <w:rFonts w:ascii="Arial" w:hAnsi="Arial" w:cs="Arial"/>
        </w:rPr>
        <w:t>p</w:t>
      </w:r>
      <w:r w:rsidR="00CD402F" w:rsidRPr="00BE36D3">
        <w:rPr>
          <w:rFonts w:ascii="Arial" w:hAnsi="Arial" w:cs="Arial"/>
        </w:rPr>
        <w:t xml:space="preserve">ago de déficit </w:t>
      </w:r>
      <w:r w:rsidR="00530563">
        <w:rPr>
          <w:rFonts w:ascii="Arial" w:hAnsi="Arial" w:cs="Arial"/>
        </w:rPr>
        <w:t xml:space="preserve">presupuestal </w:t>
      </w:r>
      <w:r w:rsidR="00D224C5" w:rsidRPr="00BE36D3">
        <w:rPr>
          <w:rFonts w:ascii="Arial" w:hAnsi="Arial" w:cs="Arial"/>
        </w:rPr>
        <w:t xml:space="preserve">en el </w:t>
      </w:r>
      <w:r w:rsidR="00DC21B1">
        <w:rPr>
          <w:rFonts w:ascii="Arial" w:hAnsi="Arial" w:cs="Arial"/>
        </w:rPr>
        <w:t>S</w:t>
      </w:r>
      <w:r w:rsidR="00D224C5" w:rsidRPr="00BE36D3">
        <w:rPr>
          <w:rFonts w:ascii="Arial" w:hAnsi="Arial" w:cs="Arial"/>
        </w:rPr>
        <w:t>ector</w:t>
      </w:r>
      <w:r w:rsidR="00530563">
        <w:rPr>
          <w:rStyle w:val="Refdenotaalpie"/>
          <w:rFonts w:ascii="Arial" w:hAnsi="Arial" w:cs="Arial"/>
        </w:rPr>
        <w:footnoteReference w:id="2"/>
      </w:r>
      <w:r w:rsidR="006D6584" w:rsidRPr="00BE36D3">
        <w:rPr>
          <w:rFonts w:ascii="Arial" w:hAnsi="Arial" w:cs="Arial"/>
        </w:rPr>
        <w:t xml:space="preserve"> en la vigencia 2017</w:t>
      </w:r>
      <w:r w:rsidR="00DC60AD" w:rsidRPr="00BE36D3">
        <w:rPr>
          <w:rFonts w:ascii="Arial" w:hAnsi="Arial" w:cs="Arial"/>
        </w:rPr>
        <w:t>, el cual</w:t>
      </w:r>
      <w:r w:rsidR="00D20AC3" w:rsidRPr="00BE36D3">
        <w:rPr>
          <w:rFonts w:ascii="Arial" w:hAnsi="Arial" w:cs="Arial"/>
        </w:rPr>
        <w:t>,</w:t>
      </w:r>
      <w:r w:rsidR="00DC60AD" w:rsidRPr="00BE36D3">
        <w:rPr>
          <w:rFonts w:ascii="Arial" w:hAnsi="Arial" w:cs="Arial"/>
        </w:rPr>
        <w:t xml:space="preserve"> si bien se financió en su mayoría con recursos del componente de Libre Destinación, la ejecución presupuestal </w:t>
      </w:r>
      <w:r w:rsidR="00A041FF" w:rsidRPr="00BE36D3">
        <w:rPr>
          <w:rFonts w:ascii="Arial" w:hAnsi="Arial" w:cs="Arial"/>
        </w:rPr>
        <w:t>indica que se financiaron $14.733.039 con cargo a recursos de Libre Inversión</w:t>
      </w:r>
      <w:r w:rsidR="00FE04EF" w:rsidRPr="00BE36D3">
        <w:rPr>
          <w:rFonts w:ascii="Arial" w:hAnsi="Arial" w:cs="Arial"/>
        </w:rPr>
        <w:t xml:space="preserve">. </w:t>
      </w:r>
      <w:r w:rsidR="00D20AC3" w:rsidRPr="00BE36D3">
        <w:rPr>
          <w:rFonts w:ascii="Arial" w:hAnsi="Arial" w:cs="Arial"/>
        </w:rPr>
        <w:t>Para 2017 y 2018</w:t>
      </w:r>
      <w:r w:rsidR="00D224C5" w:rsidRPr="00BE36D3">
        <w:rPr>
          <w:rFonts w:ascii="Arial" w:hAnsi="Arial" w:cs="Arial"/>
        </w:rPr>
        <w:t xml:space="preserve"> </w:t>
      </w:r>
      <w:r w:rsidR="009A775A" w:rsidRPr="00BE36D3">
        <w:rPr>
          <w:rFonts w:ascii="Arial" w:hAnsi="Arial" w:cs="Arial"/>
        </w:rPr>
        <w:t xml:space="preserve">la inversión en este </w:t>
      </w:r>
      <w:r w:rsidR="00DC21B1">
        <w:rPr>
          <w:rFonts w:ascii="Arial" w:hAnsi="Arial" w:cs="Arial"/>
        </w:rPr>
        <w:t>S</w:t>
      </w:r>
      <w:r w:rsidR="009A775A" w:rsidRPr="00BE36D3">
        <w:rPr>
          <w:rFonts w:ascii="Arial" w:hAnsi="Arial" w:cs="Arial"/>
        </w:rPr>
        <w:t>ector se dirigió principalmente al pago de subsidios en acueducto, alcantarillado y aseo.</w:t>
      </w:r>
    </w:p>
    <w:p w:rsidR="0009074C" w:rsidRPr="00BE36D3" w:rsidRDefault="0009074C" w:rsidP="00CC548E">
      <w:pPr>
        <w:spacing w:line="240" w:lineRule="auto"/>
        <w:contextualSpacing/>
        <w:jc w:val="both"/>
        <w:rPr>
          <w:rFonts w:ascii="Arial" w:hAnsi="Arial" w:cs="Arial"/>
        </w:rPr>
      </w:pPr>
    </w:p>
    <w:p w:rsidR="00413751" w:rsidRDefault="00F43BE9" w:rsidP="00CC548E">
      <w:pPr>
        <w:spacing w:line="240" w:lineRule="auto"/>
        <w:contextualSpacing/>
        <w:jc w:val="both"/>
        <w:rPr>
          <w:rFonts w:ascii="Arial" w:hAnsi="Arial" w:cs="Arial"/>
        </w:rPr>
      </w:pPr>
      <w:r w:rsidRPr="00BE36D3">
        <w:rPr>
          <w:rFonts w:ascii="Arial" w:hAnsi="Arial" w:cs="Arial"/>
        </w:rPr>
        <w:t>E</w:t>
      </w:r>
      <w:r w:rsidR="00C73894" w:rsidRPr="00BE36D3">
        <w:rPr>
          <w:rFonts w:ascii="Arial" w:hAnsi="Arial" w:cs="Arial"/>
        </w:rPr>
        <w:t xml:space="preserve">s importante recalcar que </w:t>
      </w:r>
      <w:r w:rsidR="00F02849" w:rsidRPr="00BE36D3">
        <w:rPr>
          <w:rFonts w:ascii="Arial" w:hAnsi="Arial" w:cs="Arial"/>
        </w:rPr>
        <w:t xml:space="preserve">los recursos de Libre Inversión no pueden ser dirigidos a financiar el déficit </w:t>
      </w:r>
      <w:r w:rsidR="008D6277">
        <w:rPr>
          <w:rFonts w:ascii="Arial" w:hAnsi="Arial" w:cs="Arial"/>
        </w:rPr>
        <w:t xml:space="preserve">presupuestal </w:t>
      </w:r>
      <w:r w:rsidR="00F02849" w:rsidRPr="00BE36D3">
        <w:rPr>
          <w:rFonts w:ascii="Arial" w:hAnsi="Arial" w:cs="Arial"/>
        </w:rPr>
        <w:t>en otros sectores,</w:t>
      </w:r>
      <w:r w:rsidR="00585E7B" w:rsidRPr="00BE36D3">
        <w:rPr>
          <w:rFonts w:ascii="Arial" w:hAnsi="Arial" w:cs="Arial"/>
        </w:rPr>
        <w:t xml:space="preserve"> </w:t>
      </w:r>
      <w:r w:rsidR="00727FB5" w:rsidRPr="00BE36D3">
        <w:rPr>
          <w:rFonts w:ascii="Arial" w:hAnsi="Arial" w:cs="Arial"/>
        </w:rPr>
        <w:t xml:space="preserve">al respecto, el documento </w:t>
      </w:r>
      <w:r w:rsidR="00DC21B1">
        <w:rPr>
          <w:rFonts w:ascii="Arial" w:hAnsi="Arial" w:cs="Arial"/>
        </w:rPr>
        <w:t>“</w:t>
      </w:r>
      <w:r w:rsidR="00727FB5" w:rsidRPr="00BE36D3">
        <w:rPr>
          <w:rFonts w:ascii="Arial" w:hAnsi="Arial" w:cs="Arial"/>
          <w:i/>
          <w:iCs/>
        </w:rPr>
        <w:t>Orientaciones para la programación y ejecución de los recursos del Sistema General de Participaciones</w:t>
      </w:r>
      <w:r w:rsidR="00DC21B1">
        <w:rPr>
          <w:rFonts w:ascii="Arial" w:hAnsi="Arial" w:cs="Arial"/>
        </w:rPr>
        <w:t>”</w:t>
      </w:r>
      <w:r w:rsidR="00727FB5" w:rsidRPr="00BE36D3">
        <w:rPr>
          <w:rFonts w:ascii="Arial" w:hAnsi="Arial" w:cs="Arial"/>
          <w:i/>
          <w:iCs/>
        </w:rPr>
        <w:t xml:space="preserve"> </w:t>
      </w:r>
      <w:r w:rsidR="00727FB5" w:rsidRPr="00BE36D3">
        <w:rPr>
          <w:rFonts w:ascii="Arial" w:hAnsi="Arial" w:cs="Arial"/>
        </w:rPr>
        <w:t>del DNP indica que:</w:t>
      </w:r>
    </w:p>
    <w:p w:rsidR="00F4471B" w:rsidRDefault="00F4471B" w:rsidP="00CC548E">
      <w:pPr>
        <w:spacing w:line="240" w:lineRule="auto"/>
        <w:contextualSpacing/>
        <w:jc w:val="both"/>
        <w:rPr>
          <w:rFonts w:ascii="Arial" w:hAnsi="Arial" w:cs="Arial"/>
        </w:rPr>
      </w:pPr>
    </w:p>
    <w:p w:rsidR="00727FB5" w:rsidRPr="00BE36D3" w:rsidRDefault="005040D2" w:rsidP="00F4471B">
      <w:pPr>
        <w:spacing w:line="240" w:lineRule="auto"/>
        <w:ind w:left="1416"/>
        <w:contextualSpacing/>
        <w:jc w:val="both"/>
        <w:rPr>
          <w:rFonts w:ascii="Arial" w:hAnsi="Arial" w:cs="Arial"/>
          <w:i/>
          <w:iCs/>
          <w:sz w:val="18"/>
          <w:szCs w:val="18"/>
        </w:rPr>
      </w:pPr>
      <w:r w:rsidRPr="00BE36D3">
        <w:rPr>
          <w:rFonts w:ascii="Arial" w:hAnsi="Arial" w:cs="Arial"/>
          <w:i/>
          <w:iCs/>
          <w:sz w:val="18"/>
          <w:szCs w:val="18"/>
        </w:rPr>
        <w:t>“</w:t>
      </w:r>
      <w:r w:rsidR="00727FB5" w:rsidRPr="00BE36D3">
        <w:rPr>
          <w:rFonts w:ascii="Arial" w:hAnsi="Arial" w:cs="Arial"/>
          <w:i/>
          <w:iCs/>
          <w:sz w:val="18"/>
          <w:szCs w:val="18"/>
        </w:rPr>
        <w:t>Los recursos de la PPG deben ser</w:t>
      </w:r>
      <w:r w:rsidR="0039323E" w:rsidRPr="00BE36D3">
        <w:rPr>
          <w:rFonts w:ascii="Arial" w:hAnsi="Arial" w:cs="Arial"/>
          <w:i/>
          <w:iCs/>
          <w:sz w:val="18"/>
          <w:szCs w:val="18"/>
        </w:rPr>
        <w:t xml:space="preserve"> </w:t>
      </w:r>
      <w:r w:rsidR="00727FB5" w:rsidRPr="00BE36D3">
        <w:rPr>
          <w:rFonts w:ascii="Arial" w:hAnsi="Arial" w:cs="Arial"/>
          <w:i/>
          <w:iCs/>
          <w:sz w:val="18"/>
          <w:szCs w:val="18"/>
        </w:rPr>
        <w:t>destinados a la provisión de bienes</w:t>
      </w:r>
      <w:r w:rsidR="0039323E" w:rsidRPr="00BE36D3">
        <w:rPr>
          <w:rFonts w:ascii="Arial" w:hAnsi="Arial" w:cs="Arial"/>
          <w:i/>
          <w:iCs/>
          <w:sz w:val="18"/>
          <w:szCs w:val="18"/>
        </w:rPr>
        <w:t xml:space="preserve"> </w:t>
      </w:r>
      <w:r w:rsidR="00727FB5" w:rsidRPr="00BE36D3">
        <w:rPr>
          <w:rFonts w:ascii="Arial" w:hAnsi="Arial" w:cs="Arial"/>
          <w:i/>
          <w:iCs/>
          <w:sz w:val="18"/>
          <w:szCs w:val="18"/>
        </w:rPr>
        <w:t>y servicios públicos de acuerdo con</w:t>
      </w:r>
      <w:r w:rsidR="0039323E" w:rsidRPr="00BE36D3">
        <w:rPr>
          <w:rFonts w:ascii="Arial" w:hAnsi="Arial" w:cs="Arial"/>
          <w:i/>
          <w:iCs/>
          <w:sz w:val="18"/>
          <w:szCs w:val="18"/>
        </w:rPr>
        <w:t xml:space="preserve"> </w:t>
      </w:r>
      <w:r w:rsidR="00727FB5" w:rsidRPr="00BE36D3">
        <w:rPr>
          <w:rFonts w:ascii="Arial" w:hAnsi="Arial" w:cs="Arial"/>
          <w:i/>
          <w:iCs/>
          <w:sz w:val="18"/>
          <w:szCs w:val="18"/>
        </w:rPr>
        <w:t>las competencias asignadas a las</w:t>
      </w:r>
      <w:r w:rsidR="0039323E" w:rsidRPr="00BE36D3">
        <w:rPr>
          <w:rFonts w:ascii="Arial" w:hAnsi="Arial" w:cs="Arial"/>
          <w:i/>
          <w:iCs/>
          <w:sz w:val="18"/>
          <w:szCs w:val="18"/>
        </w:rPr>
        <w:t xml:space="preserve"> </w:t>
      </w:r>
      <w:r w:rsidR="00727FB5" w:rsidRPr="00BE36D3">
        <w:rPr>
          <w:rFonts w:ascii="Arial" w:hAnsi="Arial" w:cs="Arial"/>
          <w:i/>
          <w:iCs/>
          <w:sz w:val="18"/>
          <w:szCs w:val="18"/>
        </w:rPr>
        <w:t>entidades territoriales por la ley en</w:t>
      </w:r>
      <w:r w:rsidR="0039323E" w:rsidRPr="00BE36D3">
        <w:rPr>
          <w:rFonts w:ascii="Arial" w:hAnsi="Arial" w:cs="Arial"/>
          <w:i/>
          <w:iCs/>
          <w:sz w:val="18"/>
          <w:szCs w:val="18"/>
        </w:rPr>
        <w:t xml:space="preserve"> </w:t>
      </w:r>
      <w:r w:rsidR="00727FB5" w:rsidRPr="00BE36D3">
        <w:rPr>
          <w:rFonts w:ascii="Arial" w:hAnsi="Arial" w:cs="Arial"/>
          <w:i/>
          <w:iCs/>
          <w:sz w:val="18"/>
          <w:szCs w:val="18"/>
        </w:rPr>
        <w:t>otros sectores, diferentes a educación, salud y agua potable y saneamiento básico, sin perjuicio de que</w:t>
      </w:r>
      <w:r w:rsidR="0039323E" w:rsidRPr="00BE36D3">
        <w:rPr>
          <w:rFonts w:ascii="Arial" w:hAnsi="Arial" w:cs="Arial"/>
          <w:i/>
          <w:iCs/>
          <w:sz w:val="18"/>
          <w:szCs w:val="18"/>
        </w:rPr>
        <w:t xml:space="preserve"> </w:t>
      </w:r>
      <w:r w:rsidR="00727FB5" w:rsidRPr="00BE36D3">
        <w:rPr>
          <w:rFonts w:ascii="Arial" w:hAnsi="Arial" w:cs="Arial"/>
          <w:i/>
          <w:iCs/>
          <w:sz w:val="18"/>
          <w:szCs w:val="18"/>
        </w:rPr>
        <w:t xml:space="preserve">dichos recursos puedan ser destinados </w:t>
      </w:r>
      <w:r w:rsidR="00727FB5" w:rsidRPr="00BE36D3">
        <w:rPr>
          <w:rFonts w:ascii="Arial" w:hAnsi="Arial" w:cs="Arial"/>
          <w:b/>
          <w:bCs/>
          <w:i/>
          <w:iCs/>
          <w:sz w:val="18"/>
          <w:szCs w:val="18"/>
        </w:rPr>
        <w:t>a la financiación de estos servicios</w:t>
      </w:r>
      <w:r w:rsidR="00727FB5" w:rsidRPr="00BE36D3">
        <w:rPr>
          <w:rFonts w:ascii="Arial" w:hAnsi="Arial" w:cs="Arial"/>
          <w:i/>
          <w:iCs/>
          <w:sz w:val="18"/>
          <w:szCs w:val="18"/>
        </w:rPr>
        <w:t>.</w:t>
      </w:r>
      <w:r w:rsidRPr="00BE36D3">
        <w:rPr>
          <w:rFonts w:ascii="Arial" w:hAnsi="Arial" w:cs="Arial"/>
          <w:i/>
          <w:iCs/>
          <w:sz w:val="18"/>
          <w:szCs w:val="18"/>
        </w:rPr>
        <w:t>” (énfasis fuera del texto)</w:t>
      </w:r>
    </w:p>
    <w:p w:rsidR="0009074C" w:rsidRPr="00BE36D3" w:rsidRDefault="0009074C" w:rsidP="00CC548E">
      <w:pPr>
        <w:spacing w:line="240" w:lineRule="auto"/>
        <w:contextualSpacing/>
        <w:jc w:val="both"/>
        <w:rPr>
          <w:rFonts w:ascii="Arial" w:hAnsi="Arial" w:cs="Arial"/>
        </w:rPr>
      </w:pPr>
    </w:p>
    <w:p w:rsidR="00F26117" w:rsidRDefault="005040D2" w:rsidP="00CC548E">
      <w:pPr>
        <w:spacing w:line="240" w:lineRule="auto"/>
        <w:contextualSpacing/>
        <w:jc w:val="both"/>
        <w:rPr>
          <w:rFonts w:ascii="Arial" w:hAnsi="Arial" w:cs="Arial"/>
        </w:rPr>
      </w:pPr>
      <w:r w:rsidRPr="00BE36D3">
        <w:rPr>
          <w:rFonts w:ascii="Arial" w:hAnsi="Arial" w:cs="Arial"/>
        </w:rPr>
        <w:t xml:space="preserve">Como </w:t>
      </w:r>
      <w:r w:rsidR="0021475C" w:rsidRPr="00BE36D3">
        <w:rPr>
          <w:rFonts w:ascii="Arial" w:hAnsi="Arial" w:cs="Arial"/>
        </w:rPr>
        <w:t>lo indica el apartado anterior, si bien se pueden d</w:t>
      </w:r>
      <w:r w:rsidR="005751C6" w:rsidRPr="00BE36D3">
        <w:rPr>
          <w:rFonts w:ascii="Arial" w:hAnsi="Arial" w:cs="Arial"/>
        </w:rPr>
        <w:t>estinar</w:t>
      </w:r>
      <w:r w:rsidR="0021475C" w:rsidRPr="00BE36D3">
        <w:rPr>
          <w:rFonts w:ascii="Arial" w:hAnsi="Arial" w:cs="Arial"/>
        </w:rPr>
        <w:t xml:space="preserve"> recursos de Propósito General </w:t>
      </w:r>
      <w:r w:rsidR="005751C6" w:rsidRPr="00BE36D3">
        <w:rPr>
          <w:rFonts w:ascii="Arial" w:hAnsi="Arial" w:cs="Arial"/>
        </w:rPr>
        <w:t>a</w:t>
      </w:r>
      <w:r w:rsidR="0021475C" w:rsidRPr="00BE36D3">
        <w:rPr>
          <w:rFonts w:ascii="Arial" w:hAnsi="Arial" w:cs="Arial"/>
        </w:rPr>
        <w:t xml:space="preserve">l </w:t>
      </w:r>
      <w:r w:rsidR="00DC21B1">
        <w:rPr>
          <w:rFonts w:ascii="Arial" w:hAnsi="Arial" w:cs="Arial"/>
        </w:rPr>
        <w:t>S</w:t>
      </w:r>
      <w:r w:rsidR="0021475C" w:rsidRPr="00BE36D3">
        <w:rPr>
          <w:rFonts w:ascii="Arial" w:hAnsi="Arial" w:cs="Arial"/>
        </w:rPr>
        <w:t xml:space="preserve">ector de Agua Potable y Saneamiento Básico, estos deben complementar los gastos dirigidos a </w:t>
      </w:r>
      <w:r w:rsidR="00134B64" w:rsidRPr="00BE36D3">
        <w:rPr>
          <w:rFonts w:ascii="Arial" w:hAnsi="Arial" w:cs="Arial"/>
        </w:rPr>
        <w:t>inversión que mejore</w:t>
      </w:r>
      <w:r w:rsidR="005751C6" w:rsidRPr="00BE36D3">
        <w:rPr>
          <w:rFonts w:ascii="Arial" w:hAnsi="Arial" w:cs="Arial"/>
        </w:rPr>
        <w:t>n</w:t>
      </w:r>
      <w:r w:rsidR="00134B64" w:rsidRPr="00BE36D3">
        <w:rPr>
          <w:rFonts w:ascii="Arial" w:hAnsi="Arial" w:cs="Arial"/>
        </w:rPr>
        <w:t xml:space="preserve"> </w:t>
      </w:r>
      <w:r w:rsidR="0021475C" w:rsidRPr="00BE36D3">
        <w:rPr>
          <w:rFonts w:ascii="Arial" w:hAnsi="Arial" w:cs="Arial"/>
        </w:rPr>
        <w:t>la prestación de los servicios y no a cubrir desequilibrios presupuestales</w:t>
      </w:r>
      <w:r w:rsidR="00A74F34" w:rsidRPr="00BE36D3">
        <w:rPr>
          <w:rFonts w:ascii="Arial" w:hAnsi="Arial" w:cs="Arial"/>
        </w:rPr>
        <w:t xml:space="preserve"> generados en el </w:t>
      </w:r>
      <w:r w:rsidR="00DC21B1">
        <w:rPr>
          <w:rFonts w:ascii="Arial" w:hAnsi="Arial" w:cs="Arial"/>
        </w:rPr>
        <w:t>S</w:t>
      </w:r>
      <w:r w:rsidR="00A74F34" w:rsidRPr="00BE36D3">
        <w:rPr>
          <w:rFonts w:ascii="Arial" w:hAnsi="Arial" w:cs="Arial"/>
        </w:rPr>
        <w:t xml:space="preserve">ector. </w:t>
      </w:r>
    </w:p>
    <w:p w:rsidR="0009074C" w:rsidRPr="00BE36D3" w:rsidRDefault="0009074C">
      <w:pPr>
        <w:spacing w:line="240" w:lineRule="auto"/>
        <w:contextualSpacing/>
        <w:jc w:val="both"/>
        <w:rPr>
          <w:rFonts w:ascii="Arial" w:hAnsi="Arial" w:cs="Arial"/>
        </w:rPr>
      </w:pPr>
    </w:p>
    <w:p w:rsidR="0008482C" w:rsidRDefault="00AA576E">
      <w:pPr>
        <w:spacing w:line="240" w:lineRule="auto"/>
        <w:contextualSpacing/>
        <w:jc w:val="both"/>
        <w:rPr>
          <w:rFonts w:ascii="Arial" w:hAnsi="Arial" w:cs="Arial"/>
        </w:rPr>
      </w:pPr>
      <w:r w:rsidRPr="00BE36D3">
        <w:rPr>
          <w:rFonts w:ascii="Arial" w:hAnsi="Arial" w:cs="Arial"/>
        </w:rPr>
        <w:t xml:space="preserve">Por otra parte, se evidencia que los sectores de inversión con una menor participación son </w:t>
      </w:r>
      <w:r w:rsidR="00C23171" w:rsidRPr="00BE36D3">
        <w:rPr>
          <w:rFonts w:ascii="Arial" w:hAnsi="Arial" w:cs="Arial"/>
        </w:rPr>
        <w:t xml:space="preserve">los Servicios </w:t>
      </w:r>
      <w:r w:rsidR="009678F5" w:rsidRPr="00BE36D3">
        <w:rPr>
          <w:rFonts w:ascii="Arial" w:hAnsi="Arial" w:cs="Arial"/>
        </w:rPr>
        <w:t>P</w:t>
      </w:r>
      <w:r w:rsidR="00C23171" w:rsidRPr="00BE36D3">
        <w:rPr>
          <w:rFonts w:ascii="Arial" w:hAnsi="Arial" w:cs="Arial"/>
        </w:rPr>
        <w:t xml:space="preserve">úblicos no </w:t>
      </w:r>
      <w:r w:rsidR="009678F5" w:rsidRPr="00BE36D3">
        <w:rPr>
          <w:rFonts w:ascii="Arial" w:hAnsi="Arial" w:cs="Arial"/>
        </w:rPr>
        <w:t>D</w:t>
      </w:r>
      <w:r w:rsidR="00C23171" w:rsidRPr="00BE36D3">
        <w:rPr>
          <w:rFonts w:ascii="Arial" w:hAnsi="Arial" w:cs="Arial"/>
        </w:rPr>
        <w:t>omiciliarios</w:t>
      </w:r>
      <w:r w:rsidR="00DC39BE" w:rsidRPr="00BE36D3">
        <w:rPr>
          <w:rFonts w:ascii="Arial" w:hAnsi="Arial" w:cs="Arial"/>
        </w:rPr>
        <w:t xml:space="preserve"> (1</w:t>
      </w:r>
      <w:r w:rsidR="00DC21B1">
        <w:rPr>
          <w:rFonts w:ascii="Arial" w:hAnsi="Arial" w:cs="Arial"/>
        </w:rPr>
        <w:t>,</w:t>
      </w:r>
      <w:r w:rsidR="00DC39BE" w:rsidRPr="00BE36D3">
        <w:rPr>
          <w:rFonts w:ascii="Arial" w:hAnsi="Arial" w:cs="Arial"/>
        </w:rPr>
        <w:t>6</w:t>
      </w:r>
      <w:r w:rsidR="00DC21B1">
        <w:rPr>
          <w:rFonts w:ascii="Arial" w:hAnsi="Arial" w:cs="Arial"/>
        </w:rPr>
        <w:t xml:space="preserve"> </w:t>
      </w:r>
      <w:r w:rsidR="00DC39BE" w:rsidRPr="00BE36D3">
        <w:rPr>
          <w:rFonts w:ascii="Arial" w:hAnsi="Arial" w:cs="Arial"/>
        </w:rPr>
        <w:t>%)</w:t>
      </w:r>
      <w:r w:rsidR="00C23171" w:rsidRPr="00BE36D3">
        <w:rPr>
          <w:rFonts w:ascii="Arial" w:hAnsi="Arial" w:cs="Arial"/>
        </w:rPr>
        <w:t>,</w:t>
      </w:r>
      <w:r w:rsidR="009678F5" w:rsidRPr="00BE36D3">
        <w:rPr>
          <w:rFonts w:ascii="Arial" w:hAnsi="Arial" w:cs="Arial"/>
        </w:rPr>
        <w:t xml:space="preserve"> cuya inversión solo se dio en la vigencia 2019,</w:t>
      </w:r>
      <w:r w:rsidR="00C23171" w:rsidRPr="00BE36D3">
        <w:rPr>
          <w:rFonts w:ascii="Arial" w:hAnsi="Arial" w:cs="Arial"/>
        </w:rPr>
        <w:t xml:space="preserve"> la </w:t>
      </w:r>
      <w:r w:rsidR="00622BC1" w:rsidRPr="00BE36D3">
        <w:rPr>
          <w:rFonts w:ascii="Arial" w:hAnsi="Arial" w:cs="Arial"/>
        </w:rPr>
        <w:t>P</w:t>
      </w:r>
      <w:r w:rsidR="00C23171" w:rsidRPr="00BE36D3">
        <w:rPr>
          <w:rFonts w:ascii="Arial" w:hAnsi="Arial" w:cs="Arial"/>
        </w:rPr>
        <w:t xml:space="preserve">revención y </w:t>
      </w:r>
      <w:r w:rsidR="00622BC1" w:rsidRPr="00BE36D3">
        <w:rPr>
          <w:rFonts w:ascii="Arial" w:hAnsi="Arial" w:cs="Arial"/>
        </w:rPr>
        <w:t>A</w:t>
      </w:r>
      <w:r w:rsidR="00C23171" w:rsidRPr="00BE36D3">
        <w:rPr>
          <w:rFonts w:ascii="Arial" w:hAnsi="Arial" w:cs="Arial"/>
        </w:rPr>
        <w:t xml:space="preserve">tención de </w:t>
      </w:r>
      <w:r w:rsidR="00622BC1" w:rsidRPr="00BE36D3">
        <w:rPr>
          <w:rFonts w:ascii="Arial" w:hAnsi="Arial" w:cs="Arial"/>
        </w:rPr>
        <w:t>D</w:t>
      </w:r>
      <w:r w:rsidR="00C23171" w:rsidRPr="00BE36D3">
        <w:rPr>
          <w:rFonts w:ascii="Arial" w:hAnsi="Arial" w:cs="Arial"/>
        </w:rPr>
        <w:t>esastres</w:t>
      </w:r>
      <w:r w:rsidR="00DC39BE" w:rsidRPr="00BE36D3">
        <w:rPr>
          <w:rFonts w:ascii="Arial" w:hAnsi="Arial" w:cs="Arial"/>
        </w:rPr>
        <w:t xml:space="preserve"> (1</w:t>
      </w:r>
      <w:r w:rsidR="00DC21B1">
        <w:rPr>
          <w:rFonts w:ascii="Arial" w:hAnsi="Arial" w:cs="Arial"/>
        </w:rPr>
        <w:t>,</w:t>
      </w:r>
      <w:r w:rsidR="00DC39BE" w:rsidRPr="00BE36D3">
        <w:rPr>
          <w:rFonts w:ascii="Arial" w:hAnsi="Arial" w:cs="Arial"/>
        </w:rPr>
        <w:t>3</w:t>
      </w:r>
      <w:r w:rsidR="00DC21B1">
        <w:rPr>
          <w:rFonts w:ascii="Arial" w:hAnsi="Arial" w:cs="Arial"/>
        </w:rPr>
        <w:t xml:space="preserve"> </w:t>
      </w:r>
      <w:r w:rsidR="00DC39BE" w:rsidRPr="00BE36D3">
        <w:rPr>
          <w:rFonts w:ascii="Arial" w:hAnsi="Arial" w:cs="Arial"/>
        </w:rPr>
        <w:t>%)</w:t>
      </w:r>
      <w:r w:rsidR="00C23171" w:rsidRPr="00BE36D3">
        <w:rPr>
          <w:rFonts w:ascii="Arial" w:hAnsi="Arial" w:cs="Arial"/>
        </w:rPr>
        <w:t xml:space="preserve"> y </w:t>
      </w:r>
      <w:r w:rsidR="009678F5" w:rsidRPr="00BE36D3">
        <w:rPr>
          <w:rFonts w:ascii="Arial" w:hAnsi="Arial" w:cs="Arial"/>
        </w:rPr>
        <w:t>el Desarrollo Comunitario</w:t>
      </w:r>
      <w:r w:rsidR="00DC39BE" w:rsidRPr="00BE36D3">
        <w:rPr>
          <w:rFonts w:ascii="Arial" w:hAnsi="Arial" w:cs="Arial"/>
        </w:rPr>
        <w:t xml:space="preserve"> (0,7</w:t>
      </w:r>
      <w:r w:rsidR="00DC21B1">
        <w:rPr>
          <w:rFonts w:ascii="Arial" w:hAnsi="Arial" w:cs="Arial"/>
        </w:rPr>
        <w:t xml:space="preserve"> </w:t>
      </w:r>
      <w:r w:rsidR="00DC39BE" w:rsidRPr="00BE36D3">
        <w:rPr>
          <w:rFonts w:ascii="Arial" w:hAnsi="Arial" w:cs="Arial"/>
        </w:rPr>
        <w:t xml:space="preserve">%). </w:t>
      </w:r>
      <w:r w:rsidR="001F1C57" w:rsidRPr="00BE36D3">
        <w:rPr>
          <w:rFonts w:ascii="Arial" w:hAnsi="Arial" w:cs="Arial"/>
        </w:rPr>
        <w:t xml:space="preserve">En </w:t>
      </w:r>
      <w:r w:rsidR="008F146B" w:rsidRPr="00BE36D3">
        <w:rPr>
          <w:rFonts w:ascii="Arial" w:hAnsi="Arial" w:cs="Arial"/>
        </w:rPr>
        <w:t xml:space="preserve">el año 2019 se evidenció un crecimiento </w:t>
      </w:r>
      <w:r w:rsidR="00640936" w:rsidRPr="00BE36D3">
        <w:rPr>
          <w:rFonts w:ascii="Arial" w:hAnsi="Arial" w:cs="Arial"/>
        </w:rPr>
        <w:t>significativo en la inversión (</w:t>
      </w:r>
      <w:r w:rsidR="001D0620" w:rsidRPr="00BE36D3">
        <w:rPr>
          <w:rFonts w:ascii="Arial" w:hAnsi="Arial" w:cs="Arial"/>
        </w:rPr>
        <w:t>28,9</w:t>
      </w:r>
      <w:r w:rsidR="00DC21B1">
        <w:rPr>
          <w:rFonts w:ascii="Arial" w:hAnsi="Arial" w:cs="Arial"/>
        </w:rPr>
        <w:t xml:space="preserve"> </w:t>
      </w:r>
      <w:r w:rsidR="001D0620" w:rsidRPr="00BE36D3">
        <w:rPr>
          <w:rFonts w:ascii="Arial" w:hAnsi="Arial" w:cs="Arial"/>
        </w:rPr>
        <w:t>%)</w:t>
      </w:r>
      <w:r w:rsidR="001879FC" w:rsidRPr="00BE36D3">
        <w:rPr>
          <w:rFonts w:ascii="Arial" w:hAnsi="Arial" w:cs="Arial"/>
        </w:rPr>
        <w:t>,</w:t>
      </w:r>
      <w:r w:rsidR="001D0620" w:rsidRPr="00BE36D3">
        <w:rPr>
          <w:rFonts w:ascii="Arial" w:hAnsi="Arial" w:cs="Arial"/>
        </w:rPr>
        <w:t xml:space="preserve"> que se explica por la inversión realizada en los </w:t>
      </w:r>
      <w:r w:rsidR="00DC21B1">
        <w:rPr>
          <w:rFonts w:ascii="Arial" w:hAnsi="Arial" w:cs="Arial"/>
        </w:rPr>
        <w:t>S</w:t>
      </w:r>
      <w:r w:rsidR="001D0620" w:rsidRPr="00BE36D3">
        <w:rPr>
          <w:rFonts w:ascii="Arial" w:hAnsi="Arial" w:cs="Arial"/>
        </w:rPr>
        <w:t>ectores de Salud ($420.340.558)</w:t>
      </w:r>
      <w:r w:rsidR="00B23337" w:rsidRPr="00BE36D3">
        <w:rPr>
          <w:rFonts w:ascii="Arial" w:hAnsi="Arial" w:cs="Arial"/>
        </w:rPr>
        <w:t xml:space="preserve"> p</w:t>
      </w:r>
      <w:r w:rsidR="00905632" w:rsidRPr="00BE36D3">
        <w:rPr>
          <w:rFonts w:ascii="Arial" w:hAnsi="Arial" w:cs="Arial"/>
        </w:rPr>
        <w:t>or cuenta de una inversión directa en equipos y dotación</w:t>
      </w:r>
      <w:r w:rsidR="001879FC" w:rsidRPr="00BE36D3">
        <w:rPr>
          <w:rFonts w:ascii="Arial" w:hAnsi="Arial" w:cs="Arial"/>
        </w:rPr>
        <w:t>;</w:t>
      </w:r>
      <w:r w:rsidR="001D0620" w:rsidRPr="00BE36D3">
        <w:rPr>
          <w:rFonts w:ascii="Arial" w:hAnsi="Arial" w:cs="Arial"/>
        </w:rPr>
        <w:t xml:space="preserve"> Educación ($99.348.712)</w:t>
      </w:r>
      <w:r w:rsidR="001879FC" w:rsidRPr="00BE36D3">
        <w:rPr>
          <w:rFonts w:ascii="Arial" w:hAnsi="Arial" w:cs="Arial"/>
        </w:rPr>
        <w:t>,</w:t>
      </w:r>
      <w:r w:rsidR="00243A1B" w:rsidRPr="00BE36D3">
        <w:rPr>
          <w:rFonts w:ascii="Arial" w:hAnsi="Arial" w:cs="Arial"/>
        </w:rPr>
        <w:t xml:space="preserve"> derivada de una inversión en mantenimiento de la infraestructura educativa</w:t>
      </w:r>
      <w:r w:rsidR="479FBC49" w:rsidRPr="00BE36D3">
        <w:rPr>
          <w:rFonts w:ascii="Arial" w:hAnsi="Arial" w:cs="Arial"/>
        </w:rPr>
        <w:t xml:space="preserve"> y su</w:t>
      </w:r>
      <w:r w:rsidR="00243A1B" w:rsidRPr="00BE36D3">
        <w:rPr>
          <w:rFonts w:ascii="Arial" w:hAnsi="Arial" w:cs="Arial"/>
        </w:rPr>
        <w:t xml:space="preserve"> dotación</w:t>
      </w:r>
      <w:r w:rsidR="001879FC" w:rsidRPr="00BE36D3">
        <w:rPr>
          <w:rFonts w:ascii="Arial" w:hAnsi="Arial" w:cs="Arial"/>
        </w:rPr>
        <w:t>;</w:t>
      </w:r>
      <w:r w:rsidR="00243A1B" w:rsidRPr="00BE36D3">
        <w:rPr>
          <w:rFonts w:ascii="Arial" w:hAnsi="Arial" w:cs="Arial"/>
        </w:rPr>
        <w:t xml:space="preserve"> </w:t>
      </w:r>
      <w:r w:rsidR="00B15231" w:rsidRPr="00BE36D3">
        <w:rPr>
          <w:rFonts w:ascii="Arial" w:hAnsi="Arial" w:cs="Arial"/>
        </w:rPr>
        <w:t xml:space="preserve">y los </w:t>
      </w:r>
      <w:r w:rsidR="00DC21B1">
        <w:rPr>
          <w:rFonts w:ascii="Arial" w:hAnsi="Arial" w:cs="Arial"/>
        </w:rPr>
        <w:t>S</w:t>
      </w:r>
      <w:r w:rsidR="00B15231" w:rsidRPr="00BE36D3">
        <w:rPr>
          <w:rFonts w:ascii="Arial" w:hAnsi="Arial" w:cs="Arial"/>
        </w:rPr>
        <w:t xml:space="preserve">ervicios </w:t>
      </w:r>
      <w:r w:rsidR="00DC21B1">
        <w:rPr>
          <w:rFonts w:ascii="Arial" w:hAnsi="Arial" w:cs="Arial"/>
        </w:rPr>
        <w:t>P</w:t>
      </w:r>
      <w:r w:rsidR="00B15231" w:rsidRPr="00BE36D3">
        <w:rPr>
          <w:rFonts w:ascii="Arial" w:hAnsi="Arial" w:cs="Arial"/>
        </w:rPr>
        <w:t xml:space="preserve">úblicos de </w:t>
      </w:r>
      <w:r w:rsidR="00DC21B1">
        <w:rPr>
          <w:rFonts w:ascii="Arial" w:hAnsi="Arial" w:cs="Arial"/>
        </w:rPr>
        <w:t>A</w:t>
      </w:r>
      <w:r w:rsidR="00B15231" w:rsidRPr="00BE36D3">
        <w:rPr>
          <w:rFonts w:ascii="Arial" w:hAnsi="Arial" w:cs="Arial"/>
        </w:rPr>
        <w:t xml:space="preserve">gua </w:t>
      </w:r>
      <w:r w:rsidR="00DC21B1">
        <w:rPr>
          <w:rFonts w:ascii="Arial" w:hAnsi="Arial" w:cs="Arial"/>
        </w:rPr>
        <w:t>P</w:t>
      </w:r>
      <w:r w:rsidR="00B15231" w:rsidRPr="00BE36D3">
        <w:rPr>
          <w:rFonts w:ascii="Arial" w:hAnsi="Arial" w:cs="Arial"/>
        </w:rPr>
        <w:t xml:space="preserve">otable en las instalaciones; </w:t>
      </w:r>
      <w:r w:rsidR="008129AB" w:rsidRPr="00BE36D3">
        <w:rPr>
          <w:rFonts w:ascii="Arial" w:hAnsi="Arial" w:cs="Arial"/>
        </w:rPr>
        <w:t>y</w:t>
      </w:r>
      <w:r w:rsidR="001879FC" w:rsidRPr="00BE36D3">
        <w:rPr>
          <w:rFonts w:ascii="Arial" w:hAnsi="Arial" w:cs="Arial"/>
        </w:rPr>
        <w:t xml:space="preserve"> </w:t>
      </w:r>
      <w:r w:rsidR="00B15231" w:rsidRPr="00BE36D3">
        <w:rPr>
          <w:rFonts w:ascii="Arial" w:hAnsi="Arial" w:cs="Arial"/>
        </w:rPr>
        <w:t>por último, los</w:t>
      </w:r>
      <w:r w:rsidR="008129AB" w:rsidRPr="00BE36D3">
        <w:rPr>
          <w:rFonts w:ascii="Arial" w:hAnsi="Arial" w:cs="Arial"/>
        </w:rPr>
        <w:t xml:space="preserve"> Servicios Públicos no </w:t>
      </w:r>
      <w:r w:rsidR="00DC21B1">
        <w:rPr>
          <w:rFonts w:ascii="Arial" w:hAnsi="Arial" w:cs="Arial"/>
        </w:rPr>
        <w:t>D</w:t>
      </w:r>
      <w:r w:rsidR="008129AB" w:rsidRPr="00BE36D3">
        <w:rPr>
          <w:rFonts w:ascii="Arial" w:hAnsi="Arial" w:cs="Arial"/>
        </w:rPr>
        <w:t>omiciliarios (</w:t>
      </w:r>
      <w:r w:rsidR="00DC21B1">
        <w:rPr>
          <w:rFonts w:ascii="Arial" w:hAnsi="Arial" w:cs="Arial"/>
        </w:rPr>
        <w:t>$</w:t>
      </w:r>
      <w:r w:rsidR="008129AB" w:rsidRPr="00BE36D3">
        <w:rPr>
          <w:rFonts w:ascii="Arial" w:hAnsi="Arial" w:cs="Arial"/>
        </w:rPr>
        <w:t>86.000.0000)</w:t>
      </w:r>
      <w:r w:rsidR="001879FC" w:rsidRPr="00BE36D3">
        <w:rPr>
          <w:rFonts w:ascii="Arial" w:hAnsi="Arial" w:cs="Arial"/>
        </w:rPr>
        <w:t>,</w:t>
      </w:r>
      <w:r w:rsidR="00604AC9" w:rsidRPr="00BE36D3">
        <w:rPr>
          <w:rFonts w:ascii="Arial" w:hAnsi="Arial" w:cs="Arial"/>
        </w:rPr>
        <w:t xml:space="preserve"> que se explica por unas obras de </w:t>
      </w:r>
      <w:r w:rsidR="00134524" w:rsidRPr="00BE36D3">
        <w:rPr>
          <w:rFonts w:ascii="Arial" w:hAnsi="Arial" w:cs="Arial"/>
        </w:rPr>
        <w:t>electrificación rural</w:t>
      </w:r>
      <w:r w:rsidR="001879FC" w:rsidRPr="00BE36D3">
        <w:rPr>
          <w:rFonts w:ascii="Arial" w:hAnsi="Arial" w:cs="Arial"/>
        </w:rPr>
        <w:t xml:space="preserve"> realizadas en esta vigencia</w:t>
      </w:r>
      <w:r w:rsidR="008129AB" w:rsidRPr="00BE36D3">
        <w:rPr>
          <w:rFonts w:ascii="Arial" w:hAnsi="Arial" w:cs="Arial"/>
        </w:rPr>
        <w:t>.</w:t>
      </w:r>
    </w:p>
    <w:p w:rsidR="006D4C7A" w:rsidRPr="00BE36D3" w:rsidRDefault="006D4C7A" w:rsidP="00F4471B">
      <w:pPr>
        <w:spacing w:line="240" w:lineRule="auto"/>
        <w:contextualSpacing/>
        <w:rPr>
          <w:rFonts w:ascii="Arial" w:hAnsi="Arial" w:cs="Arial"/>
        </w:rPr>
      </w:pPr>
      <w:r>
        <w:rPr>
          <w:rFonts w:ascii="Arial" w:hAnsi="Arial" w:cs="Arial"/>
        </w:rPr>
        <w:br w:type="page"/>
      </w:r>
    </w:p>
    <w:p w:rsidR="0008482C" w:rsidRPr="00BE36D3" w:rsidRDefault="0008482C">
      <w:pPr>
        <w:spacing w:after="0" w:line="240" w:lineRule="auto"/>
        <w:contextualSpacing/>
        <w:jc w:val="center"/>
        <w:rPr>
          <w:rFonts w:ascii="Arial" w:eastAsia="Arial Narrow" w:hAnsi="Arial" w:cs="Arial"/>
          <w:b/>
          <w:bCs/>
          <w:sz w:val="20"/>
          <w:szCs w:val="20"/>
        </w:rPr>
      </w:pPr>
      <w:r w:rsidRPr="00BE36D3">
        <w:rPr>
          <w:rFonts w:ascii="Arial" w:eastAsia="Arial Narrow" w:hAnsi="Arial" w:cs="Arial"/>
          <w:b/>
          <w:bCs/>
          <w:sz w:val="20"/>
          <w:szCs w:val="20"/>
        </w:rPr>
        <w:lastRenderedPageBreak/>
        <w:t xml:space="preserve">Gráfica No. </w:t>
      </w:r>
      <w:r w:rsidR="00A7338D" w:rsidRPr="00BE36D3">
        <w:rPr>
          <w:rFonts w:ascii="Arial" w:eastAsia="Arial Narrow" w:hAnsi="Arial" w:cs="Arial"/>
          <w:b/>
          <w:bCs/>
          <w:sz w:val="20"/>
          <w:szCs w:val="20"/>
        </w:rPr>
        <w:t>4</w:t>
      </w:r>
    </w:p>
    <w:p w:rsidR="0008482C" w:rsidRPr="00BE36D3" w:rsidRDefault="0008482C">
      <w:pPr>
        <w:spacing w:after="0" w:line="240" w:lineRule="auto"/>
        <w:contextualSpacing/>
        <w:jc w:val="center"/>
        <w:rPr>
          <w:rFonts w:ascii="Arial" w:hAnsi="Arial" w:cs="Arial"/>
          <w:sz w:val="20"/>
          <w:szCs w:val="20"/>
        </w:rPr>
      </w:pPr>
      <w:r w:rsidRPr="00BE36D3">
        <w:rPr>
          <w:rFonts w:ascii="Arial" w:hAnsi="Arial" w:cs="Arial"/>
          <w:sz w:val="20"/>
          <w:szCs w:val="20"/>
        </w:rPr>
        <w:t>Patrones de Inversión de la Participación de Propósito General vigencias 2017-2019</w:t>
      </w:r>
    </w:p>
    <w:p w:rsidR="0008482C" w:rsidRPr="00BE36D3" w:rsidRDefault="0008482C">
      <w:pPr>
        <w:spacing w:after="0" w:line="240" w:lineRule="auto"/>
        <w:contextualSpacing/>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08482C" w:rsidRPr="00BE36D3" w:rsidRDefault="0008482C">
      <w:pPr>
        <w:spacing w:after="0" w:line="240" w:lineRule="auto"/>
        <w:contextualSpacing/>
        <w:jc w:val="center"/>
        <w:rPr>
          <w:rFonts w:ascii="Arial" w:hAnsi="Arial" w:cs="Arial"/>
          <w:sz w:val="18"/>
          <w:szCs w:val="18"/>
        </w:rPr>
      </w:pPr>
      <w:r w:rsidRPr="00BE36D3">
        <w:rPr>
          <w:rFonts w:ascii="Arial" w:hAnsi="Arial" w:cs="Arial"/>
          <w:sz w:val="20"/>
          <w:szCs w:val="20"/>
        </w:rPr>
        <w:t>-</w:t>
      </w:r>
      <w:r w:rsidRPr="00BE36D3">
        <w:rPr>
          <w:rFonts w:ascii="Arial" w:hAnsi="Arial" w:cs="Arial"/>
          <w:i/>
          <w:iCs/>
          <w:sz w:val="20"/>
          <w:szCs w:val="20"/>
        </w:rPr>
        <w:t>Cifras en pesos</w:t>
      </w:r>
      <w:r w:rsidRPr="00BE36D3">
        <w:rPr>
          <w:rFonts w:ascii="Arial" w:hAnsi="Arial" w:cs="Arial"/>
          <w:sz w:val="18"/>
          <w:szCs w:val="18"/>
        </w:rPr>
        <w:t>-</w:t>
      </w:r>
    </w:p>
    <w:p w:rsidR="0008482C" w:rsidRDefault="006D4C7A">
      <w:pPr>
        <w:spacing w:line="240" w:lineRule="auto"/>
        <w:contextualSpacing/>
        <w:jc w:val="center"/>
        <w:rPr>
          <w:rFonts w:ascii="Arial" w:hAnsi="Arial" w:cs="Arial"/>
          <w:sz w:val="20"/>
          <w:szCs w:val="20"/>
        </w:rPr>
      </w:pPr>
      <w:r w:rsidRPr="00BE36D3">
        <w:rPr>
          <w:rFonts w:ascii="Arial" w:hAnsi="Arial" w:cs="Arial"/>
          <w:b/>
          <w:bCs/>
          <w:noProof/>
          <w:sz w:val="24"/>
          <w:szCs w:val="24"/>
          <w:lang w:eastAsia="es-CO"/>
        </w:rPr>
        <w:drawing>
          <wp:anchor distT="0" distB="0" distL="114300" distR="114300" simplePos="0" relativeHeight="251658242" behindDoc="0" locked="0" layoutInCell="1" allowOverlap="1">
            <wp:simplePos x="0" y="0"/>
            <wp:positionH relativeFrom="margin">
              <wp:posOffset>-251460</wp:posOffset>
            </wp:positionH>
            <wp:positionV relativeFrom="paragraph">
              <wp:posOffset>0</wp:posOffset>
            </wp:positionV>
            <wp:extent cx="6153150" cy="3248660"/>
            <wp:effectExtent l="0" t="0" r="0" b="8890"/>
            <wp:wrapThrough wrapText="bothSides">
              <wp:wrapPolygon edited="0">
                <wp:start x="0" y="0"/>
                <wp:lineTo x="0" y="21532"/>
                <wp:lineTo x="21533" y="21532"/>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3248660"/>
                    </a:xfrm>
                    <a:prstGeom prst="rect">
                      <a:avLst/>
                    </a:prstGeom>
                    <a:noFill/>
                  </pic:spPr>
                </pic:pic>
              </a:graphicData>
            </a:graphic>
          </wp:anchor>
        </w:drawing>
      </w:r>
      <w:r w:rsidR="0008482C" w:rsidRPr="00BE36D3">
        <w:rPr>
          <w:rFonts w:ascii="Arial" w:hAnsi="Arial" w:cs="Arial"/>
          <w:b/>
          <w:bCs/>
          <w:sz w:val="20"/>
          <w:szCs w:val="20"/>
        </w:rPr>
        <w:t xml:space="preserve">Fuente: </w:t>
      </w:r>
      <w:r w:rsidR="0008482C" w:rsidRPr="00BE36D3">
        <w:rPr>
          <w:rFonts w:ascii="Arial" w:hAnsi="Arial" w:cs="Arial"/>
          <w:sz w:val="20"/>
          <w:szCs w:val="20"/>
        </w:rPr>
        <w:t xml:space="preserve">Elaboración propia con base en las ejecuciones presupuestales proporcionadas por la </w:t>
      </w:r>
      <w:r w:rsidR="00350370">
        <w:rPr>
          <w:rFonts w:ascii="Arial" w:hAnsi="Arial" w:cs="Arial"/>
          <w:sz w:val="20"/>
          <w:szCs w:val="20"/>
        </w:rPr>
        <w:t>A</w:t>
      </w:r>
      <w:r w:rsidR="0008482C" w:rsidRPr="00BE36D3">
        <w:rPr>
          <w:rFonts w:ascii="Arial" w:hAnsi="Arial" w:cs="Arial"/>
          <w:sz w:val="20"/>
          <w:szCs w:val="20"/>
        </w:rPr>
        <w:t xml:space="preserve">dministración </w:t>
      </w:r>
      <w:r w:rsidR="00350370">
        <w:rPr>
          <w:rFonts w:ascii="Arial" w:hAnsi="Arial" w:cs="Arial"/>
          <w:sz w:val="20"/>
          <w:szCs w:val="20"/>
        </w:rPr>
        <w:t>M</w:t>
      </w:r>
      <w:r w:rsidR="0008482C" w:rsidRPr="00BE36D3">
        <w:rPr>
          <w:rFonts w:ascii="Arial" w:hAnsi="Arial" w:cs="Arial"/>
          <w:sz w:val="20"/>
          <w:szCs w:val="20"/>
        </w:rPr>
        <w:t>unicipal y el reporte FUT-Gastos de Inversión (2019).</w:t>
      </w:r>
    </w:p>
    <w:p w:rsidR="0009074C" w:rsidRPr="00BE36D3" w:rsidRDefault="0009074C">
      <w:pPr>
        <w:spacing w:line="240" w:lineRule="auto"/>
        <w:contextualSpacing/>
        <w:rPr>
          <w:rFonts w:ascii="Arial" w:hAnsi="Arial" w:cs="Arial"/>
          <w:b/>
          <w:bCs/>
        </w:rPr>
      </w:pPr>
    </w:p>
    <w:p w:rsidR="00251D50" w:rsidRPr="00BE36D3" w:rsidRDefault="00574237">
      <w:pPr>
        <w:pStyle w:val="Prrafodelista"/>
        <w:numPr>
          <w:ilvl w:val="1"/>
          <w:numId w:val="4"/>
        </w:numPr>
        <w:spacing w:line="240" w:lineRule="auto"/>
        <w:jc w:val="both"/>
        <w:rPr>
          <w:rFonts w:ascii="Arial" w:hAnsi="Arial" w:cs="Arial"/>
          <w:b/>
          <w:bCs/>
        </w:rPr>
      </w:pPr>
      <w:r w:rsidRPr="00BE36D3">
        <w:rPr>
          <w:rFonts w:ascii="Arial" w:hAnsi="Arial" w:cs="Arial"/>
          <w:b/>
          <w:bCs/>
        </w:rPr>
        <w:t>CIERRE FISCAL</w:t>
      </w:r>
      <w:r w:rsidR="00350370" w:rsidRPr="00BE36D3">
        <w:rPr>
          <w:rFonts w:ascii="Arial" w:hAnsi="Arial" w:cs="Arial"/>
          <w:b/>
          <w:bCs/>
        </w:rPr>
        <w:t>.</w:t>
      </w:r>
    </w:p>
    <w:p w:rsidR="00F4471B" w:rsidRDefault="00F4471B">
      <w:pPr>
        <w:spacing w:line="240" w:lineRule="auto"/>
        <w:contextualSpacing/>
        <w:jc w:val="both"/>
        <w:rPr>
          <w:rFonts w:ascii="Arial" w:hAnsi="Arial" w:cs="Arial"/>
        </w:rPr>
      </w:pPr>
    </w:p>
    <w:p w:rsidR="00251D50" w:rsidRDefault="00251D50">
      <w:pPr>
        <w:spacing w:line="240" w:lineRule="auto"/>
        <w:contextualSpacing/>
        <w:jc w:val="both"/>
        <w:rPr>
          <w:rFonts w:ascii="Arial" w:hAnsi="Arial" w:cs="Arial"/>
        </w:rPr>
      </w:pPr>
      <w:r w:rsidRPr="00BE36D3">
        <w:rPr>
          <w:rFonts w:ascii="Arial" w:hAnsi="Arial" w:cs="Arial"/>
        </w:rPr>
        <w:t>Al analizar el cierre fiscal del Municipio</w:t>
      </w:r>
      <w:r w:rsidR="00642DDC" w:rsidRPr="00BE36D3">
        <w:rPr>
          <w:rFonts w:ascii="Arial" w:hAnsi="Arial" w:cs="Arial"/>
        </w:rPr>
        <w:t xml:space="preserve"> de Santiago de Tolú</w:t>
      </w:r>
      <w:r w:rsidR="37F78D6B" w:rsidRPr="00BE36D3">
        <w:rPr>
          <w:rFonts w:ascii="Arial" w:hAnsi="Arial" w:cs="Arial"/>
        </w:rPr>
        <w:t xml:space="preserve"> </w:t>
      </w:r>
      <w:r w:rsidR="00642DDC" w:rsidRPr="00BE36D3">
        <w:rPr>
          <w:rFonts w:ascii="Arial" w:hAnsi="Arial" w:cs="Arial"/>
        </w:rPr>
        <w:t>-</w:t>
      </w:r>
      <w:r w:rsidR="7E2BDB16" w:rsidRPr="00BE36D3">
        <w:rPr>
          <w:rFonts w:ascii="Arial" w:hAnsi="Arial" w:cs="Arial"/>
        </w:rPr>
        <w:t xml:space="preserve"> </w:t>
      </w:r>
      <w:r w:rsidR="00642DDC" w:rsidRPr="00BE36D3">
        <w:rPr>
          <w:rFonts w:ascii="Arial" w:hAnsi="Arial" w:cs="Arial"/>
        </w:rPr>
        <w:t xml:space="preserve">Sucre se pudo evidenciar que </w:t>
      </w:r>
      <w:r w:rsidR="00AE41E5" w:rsidRPr="00BE36D3">
        <w:rPr>
          <w:rFonts w:ascii="Arial" w:hAnsi="Arial" w:cs="Arial"/>
        </w:rPr>
        <w:t>el resultado presupuestal del ejercicio tuvo un incremento significativo entre la vigencia 2017 y 2018</w:t>
      </w:r>
      <w:r w:rsidR="008D093A" w:rsidRPr="00BE36D3">
        <w:rPr>
          <w:rFonts w:ascii="Arial" w:hAnsi="Arial" w:cs="Arial"/>
        </w:rPr>
        <w:t xml:space="preserve">, el cual pasó de </w:t>
      </w:r>
      <w:r w:rsidR="00091611" w:rsidRPr="00BE36D3">
        <w:rPr>
          <w:rFonts w:ascii="Arial" w:hAnsi="Arial" w:cs="Arial"/>
        </w:rPr>
        <w:t xml:space="preserve">representar el </w:t>
      </w:r>
      <w:r w:rsidR="00CE2E60" w:rsidRPr="00BE36D3">
        <w:rPr>
          <w:rFonts w:ascii="Arial" w:hAnsi="Arial" w:cs="Arial"/>
        </w:rPr>
        <w:t>4</w:t>
      </w:r>
      <w:r w:rsidR="000F591D">
        <w:rPr>
          <w:rFonts w:ascii="Arial" w:hAnsi="Arial" w:cs="Arial"/>
        </w:rPr>
        <w:t xml:space="preserve"> </w:t>
      </w:r>
      <w:r w:rsidR="00091611" w:rsidRPr="00BE36D3">
        <w:rPr>
          <w:rFonts w:ascii="Arial" w:hAnsi="Arial" w:cs="Arial"/>
        </w:rPr>
        <w:t xml:space="preserve">% al </w:t>
      </w:r>
      <w:r w:rsidR="00CE2E60" w:rsidRPr="00BE36D3">
        <w:rPr>
          <w:rFonts w:ascii="Arial" w:hAnsi="Arial" w:cs="Arial"/>
        </w:rPr>
        <w:t>13</w:t>
      </w:r>
      <w:r w:rsidR="000F591D">
        <w:rPr>
          <w:rFonts w:ascii="Arial" w:hAnsi="Arial" w:cs="Arial"/>
        </w:rPr>
        <w:t xml:space="preserve"> </w:t>
      </w:r>
      <w:r w:rsidR="00091611" w:rsidRPr="00BE36D3">
        <w:rPr>
          <w:rFonts w:ascii="Arial" w:hAnsi="Arial" w:cs="Arial"/>
        </w:rPr>
        <w:t>%</w:t>
      </w:r>
      <w:r w:rsidR="00CE2E60" w:rsidRPr="00BE36D3">
        <w:rPr>
          <w:rFonts w:ascii="Arial" w:hAnsi="Arial" w:cs="Arial"/>
        </w:rPr>
        <w:t xml:space="preserve"> del total de los ingresos recaudados</w:t>
      </w:r>
      <w:r w:rsidR="00091611" w:rsidRPr="00BE36D3">
        <w:rPr>
          <w:rFonts w:ascii="Arial" w:hAnsi="Arial" w:cs="Arial"/>
        </w:rPr>
        <w:t xml:space="preserve">. Si bien en la vigencia 2019 tuvo una leve disminución, este </w:t>
      </w:r>
      <w:r w:rsidR="00061FE1" w:rsidRPr="00BE36D3">
        <w:rPr>
          <w:rFonts w:ascii="Arial" w:hAnsi="Arial" w:cs="Arial"/>
        </w:rPr>
        <w:t>representa</w:t>
      </w:r>
      <w:r w:rsidR="00A07A7E" w:rsidRPr="00BE36D3">
        <w:rPr>
          <w:rFonts w:ascii="Arial" w:hAnsi="Arial" w:cs="Arial"/>
        </w:rPr>
        <w:t xml:space="preserve"> </w:t>
      </w:r>
      <w:r w:rsidR="008569D7" w:rsidRPr="00BE36D3">
        <w:rPr>
          <w:rFonts w:ascii="Arial" w:hAnsi="Arial" w:cs="Arial"/>
        </w:rPr>
        <w:t>un 11</w:t>
      </w:r>
      <w:r w:rsidR="000F591D">
        <w:rPr>
          <w:rFonts w:ascii="Arial" w:hAnsi="Arial" w:cs="Arial"/>
        </w:rPr>
        <w:t xml:space="preserve"> </w:t>
      </w:r>
      <w:r w:rsidR="008569D7" w:rsidRPr="00BE36D3">
        <w:rPr>
          <w:rFonts w:ascii="Arial" w:hAnsi="Arial" w:cs="Arial"/>
        </w:rPr>
        <w:t>%</w:t>
      </w:r>
      <w:r w:rsidR="00A07A7E" w:rsidRPr="00BE36D3">
        <w:rPr>
          <w:rFonts w:ascii="Arial" w:hAnsi="Arial" w:cs="Arial"/>
        </w:rPr>
        <w:t xml:space="preserve"> </w:t>
      </w:r>
      <w:r w:rsidR="002F59C7" w:rsidRPr="00BE36D3">
        <w:rPr>
          <w:rFonts w:ascii="Arial" w:hAnsi="Arial" w:cs="Arial"/>
        </w:rPr>
        <w:t>de recursos sin ejecutar</w:t>
      </w:r>
      <w:r w:rsidR="00FB4A6F" w:rsidRPr="00BE36D3">
        <w:rPr>
          <w:rFonts w:ascii="Arial" w:hAnsi="Arial" w:cs="Arial"/>
        </w:rPr>
        <w:t xml:space="preserve"> de la Participación de Propósito General</w:t>
      </w:r>
      <w:r w:rsidR="002F59C7" w:rsidRPr="00BE36D3">
        <w:rPr>
          <w:rFonts w:ascii="Arial" w:hAnsi="Arial" w:cs="Arial"/>
        </w:rPr>
        <w:t xml:space="preserve">. </w:t>
      </w:r>
    </w:p>
    <w:p w:rsidR="0009074C" w:rsidRPr="00BE36D3" w:rsidRDefault="0009074C">
      <w:pPr>
        <w:spacing w:line="240" w:lineRule="auto"/>
        <w:contextualSpacing/>
        <w:jc w:val="both"/>
        <w:rPr>
          <w:rFonts w:ascii="Arial" w:hAnsi="Arial" w:cs="Arial"/>
        </w:rPr>
      </w:pPr>
    </w:p>
    <w:p w:rsidR="00FC4978" w:rsidRPr="00BE36D3" w:rsidRDefault="00FC4978">
      <w:pPr>
        <w:spacing w:after="0" w:line="240" w:lineRule="auto"/>
        <w:ind w:left="360"/>
        <w:contextualSpacing/>
        <w:jc w:val="center"/>
        <w:rPr>
          <w:rFonts w:ascii="Arial" w:eastAsia="Arial Narrow" w:hAnsi="Arial" w:cs="Arial"/>
          <w:b/>
          <w:bCs/>
          <w:sz w:val="20"/>
          <w:szCs w:val="20"/>
        </w:rPr>
      </w:pPr>
      <w:r w:rsidRPr="00BE36D3">
        <w:rPr>
          <w:rFonts w:ascii="Arial" w:eastAsia="Arial Narrow" w:hAnsi="Arial" w:cs="Arial"/>
          <w:b/>
          <w:bCs/>
          <w:sz w:val="20"/>
          <w:szCs w:val="20"/>
        </w:rPr>
        <w:t xml:space="preserve">Cuadro No. </w:t>
      </w:r>
      <w:r w:rsidR="00A7338D" w:rsidRPr="00BE36D3">
        <w:rPr>
          <w:rFonts w:ascii="Arial" w:eastAsia="Arial Narrow" w:hAnsi="Arial" w:cs="Arial"/>
          <w:b/>
          <w:bCs/>
          <w:sz w:val="20"/>
          <w:szCs w:val="20"/>
        </w:rPr>
        <w:t>5</w:t>
      </w:r>
    </w:p>
    <w:p w:rsidR="00FC4978" w:rsidRPr="00BE36D3" w:rsidRDefault="00FC4978">
      <w:pPr>
        <w:pStyle w:val="Prrafodelista"/>
        <w:spacing w:after="0" w:line="240" w:lineRule="auto"/>
        <w:jc w:val="center"/>
        <w:rPr>
          <w:rFonts w:ascii="Arial" w:hAnsi="Arial" w:cs="Arial"/>
          <w:sz w:val="20"/>
          <w:szCs w:val="20"/>
        </w:rPr>
      </w:pPr>
      <w:r w:rsidRPr="00BE36D3">
        <w:rPr>
          <w:rFonts w:ascii="Arial" w:hAnsi="Arial" w:cs="Arial"/>
          <w:sz w:val="20"/>
          <w:szCs w:val="20"/>
        </w:rPr>
        <w:t>Cierre Fiscal de la Participación de Propósito General vigencias 2017-2019</w:t>
      </w:r>
    </w:p>
    <w:p w:rsidR="00FC4978" w:rsidRPr="00BE36D3" w:rsidRDefault="00FC4978">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FC4978" w:rsidRPr="00BE36D3" w:rsidRDefault="00FC4978">
      <w:pPr>
        <w:pStyle w:val="Prrafodelista"/>
        <w:spacing w:after="0" w:line="240" w:lineRule="auto"/>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tbl>
      <w:tblPr>
        <w:tblW w:w="6600" w:type="dxa"/>
        <w:jc w:val="center"/>
        <w:tblCellMar>
          <w:left w:w="70" w:type="dxa"/>
          <w:right w:w="70" w:type="dxa"/>
        </w:tblCellMar>
        <w:tblLook w:val="04A0" w:firstRow="1" w:lastRow="0" w:firstColumn="1" w:lastColumn="0" w:noHBand="0" w:noVBand="1"/>
      </w:tblPr>
      <w:tblGrid>
        <w:gridCol w:w="2260"/>
        <w:gridCol w:w="1500"/>
        <w:gridCol w:w="1400"/>
        <w:gridCol w:w="1440"/>
      </w:tblGrid>
      <w:tr w:rsidR="00FC4978" w:rsidRPr="0009074C" w:rsidTr="00FC4978">
        <w:trPr>
          <w:trHeight w:val="450"/>
          <w:jc w:val="center"/>
        </w:trPr>
        <w:tc>
          <w:tcPr>
            <w:tcW w:w="2260"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CONCEPTO </w:t>
            </w:r>
          </w:p>
        </w:tc>
        <w:tc>
          <w:tcPr>
            <w:tcW w:w="1500" w:type="dxa"/>
            <w:tcBorders>
              <w:top w:val="single" w:sz="4" w:space="0" w:color="auto"/>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2017</w:t>
            </w:r>
          </w:p>
        </w:tc>
        <w:tc>
          <w:tcPr>
            <w:tcW w:w="1400" w:type="dxa"/>
            <w:tcBorders>
              <w:top w:val="single" w:sz="4" w:space="0" w:color="auto"/>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2018</w:t>
            </w:r>
          </w:p>
        </w:tc>
        <w:tc>
          <w:tcPr>
            <w:tcW w:w="1440" w:type="dxa"/>
            <w:tcBorders>
              <w:top w:val="single" w:sz="4" w:space="0" w:color="auto"/>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2019</w:t>
            </w:r>
          </w:p>
        </w:tc>
      </w:tr>
      <w:tr w:rsidR="00FC4978" w:rsidRPr="0009074C" w:rsidTr="00FC4978">
        <w:trPr>
          <w:trHeight w:val="300"/>
          <w:jc w:val="center"/>
        </w:trPr>
        <w:tc>
          <w:tcPr>
            <w:tcW w:w="2260" w:type="dxa"/>
            <w:tcBorders>
              <w:top w:val="nil"/>
              <w:left w:val="single" w:sz="4" w:space="0" w:color="auto"/>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TotaI Ingresos</w:t>
            </w:r>
          </w:p>
        </w:tc>
        <w:tc>
          <w:tcPr>
            <w:tcW w:w="15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2.868.287.720</w:t>
            </w:r>
          </w:p>
        </w:tc>
        <w:tc>
          <w:tcPr>
            <w:tcW w:w="14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3.019.664.464</w:t>
            </w:r>
          </w:p>
        </w:tc>
        <w:tc>
          <w:tcPr>
            <w:tcW w:w="144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3.074.875.790</w:t>
            </w:r>
          </w:p>
        </w:tc>
      </w:tr>
      <w:tr w:rsidR="00FC4978" w:rsidRPr="0009074C" w:rsidTr="00FC4978">
        <w:trPr>
          <w:trHeight w:val="300"/>
          <w:jc w:val="center"/>
        </w:trPr>
        <w:tc>
          <w:tcPr>
            <w:tcW w:w="2260" w:type="dxa"/>
            <w:tcBorders>
              <w:top w:val="nil"/>
              <w:left w:val="single" w:sz="4" w:space="0" w:color="auto"/>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Total Recaudado</w:t>
            </w:r>
          </w:p>
        </w:tc>
        <w:tc>
          <w:tcPr>
            <w:tcW w:w="15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2.868.287.720</w:t>
            </w:r>
          </w:p>
        </w:tc>
        <w:tc>
          <w:tcPr>
            <w:tcW w:w="14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3.019.664.464</w:t>
            </w:r>
          </w:p>
        </w:tc>
        <w:tc>
          <w:tcPr>
            <w:tcW w:w="144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2.973.299.000</w:t>
            </w:r>
          </w:p>
        </w:tc>
      </w:tr>
      <w:tr w:rsidR="00FC4978" w:rsidRPr="0009074C" w:rsidTr="00FC4978">
        <w:trPr>
          <w:trHeight w:val="480"/>
          <w:jc w:val="center"/>
        </w:trPr>
        <w:tc>
          <w:tcPr>
            <w:tcW w:w="2260" w:type="dxa"/>
            <w:tcBorders>
              <w:top w:val="nil"/>
              <w:left w:val="single" w:sz="4" w:space="0" w:color="auto"/>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Documento</w:t>
            </w:r>
            <w:r w:rsidRPr="00BE36D3">
              <w:rPr>
                <w:rFonts w:ascii="Arial" w:eastAsia="Times New Roman" w:hAnsi="Arial" w:cs="Arial"/>
                <w:b/>
                <w:bCs/>
                <w:color w:val="FFFFFF"/>
                <w:sz w:val="16"/>
                <w:szCs w:val="16"/>
                <w:lang w:eastAsia="es-CO"/>
              </w:rPr>
              <w:br/>
              <w:t xml:space="preserve"> Distribución (A)</w:t>
            </w:r>
          </w:p>
        </w:tc>
        <w:tc>
          <w:tcPr>
            <w:tcW w:w="15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2.628.092.630</w:t>
            </w:r>
          </w:p>
        </w:tc>
        <w:tc>
          <w:tcPr>
            <w:tcW w:w="14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2.644.498.612</w:t>
            </w:r>
          </w:p>
        </w:tc>
        <w:tc>
          <w:tcPr>
            <w:tcW w:w="144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2.699.709.938</w:t>
            </w:r>
          </w:p>
        </w:tc>
      </w:tr>
      <w:tr w:rsidR="00FC4978" w:rsidRPr="0009074C" w:rsidTr="00FC4978">
        <w:trPr>
          <w:trHeight w:val="480"/>
          <w:jc w:val="center"/>
        </w:trPr>
        <w:tc>
          <w:tcPr>
            <w:tcW w:w="2260" w:type="dxa"/>
            <w:tcBorders>
              <w:top w:val="nil"/>
              <w:left w:val="single" w:sz="4" w:space="0" w:color="auto"/>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lastRenderedPageBreak/>
              <w:t xml:space="preserve">Ingresos Corrientes </w:t>
            </w:r>
            <w:r w:rsidRPr="00BE36D3">
              <w:rPr>
                <w:rFonts w:ascii="Arial" w:eastAsia="Times New Roman" w:hAnsi="Arial" w:cs="Arial"/>
                <w:b/>
                <w:bCs/>
                <w:color w:val="FFFFFF"/>
                <w:sz w:val="16"/>
                <w:szCs w:val="16"/>
                <w:lang w:eastAsia="es-CO"/>
              </w:rPr>
              <w:br/>
              <w:t>(B)</w:t>
            </w:r>
          </w:p>
        </w:tc>
        <w:tc>
          <w:tcPr>
            <w:tcW w:w="15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2.628.092.630</w:t>
            </w:r>
          </w:p>
        </w:tc>
        <w:tc>
          <w:tcPr>
            <w:tcW w:w="14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2.644.498.612</w:t>
            </w:r>
          </w:p>
        </w:tc>
        <w:tc>
          <w:tcPr>
            <w:tcW w:w="144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2.699.709.938</w:t>
            </w:r>
          </w:p>
        </w:tc>
      </w:tr>
      <w:tr w:rsidR="00FC4978" w:rsidRPr="0009074C" w:rsidTr="00FC4978">
        <w:trPr>
          <w:trHeight w:val="480"/>
          <w:jc w:val="center"/>
        </w:trPr>
        <w:tc>
          <w:tcPr>
            <w:tcW w:w="2260" w:type="dxa"/>
            <w:tcBorders>
              <w:top w:val="nil"/>
              <w:left w:val="single" w:sz="4" w:space="0" w:color="auto"/>
              <w:bottom w:val="single" w:sz="4" w:space="0" w:color="auto"/>
              <w:right w:val="single" w:sz="4" w:space="0" w:color="auto"/>
            </w:tcBorders>
            <w:shd w:val="clear" w:color="000000" w:fill="CCCCFF"/>
            <w:vAlign w:val="center"/>
            <w:hideMark/>
          </w:tcPr>
          <w:p w:rsidR="00FC4978" w:rsidRPr="00BE36D3" w:rsidRDefault="00FC4978">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Recaudo Efectivo</w:t>
            </w:r>
            <w:r w:rsidRPr="00BE36D3">
              <w:rPr>
                <w:rFonts w:ascii="Arial" w:eastAsia="Times New Roman" w:hAnsi="Arial" w:cs="Arial"/>
                <w:b/>
                <w:bCs/>
                <w:color w:val="000000"/>
                <w:sz w:val="16"/>
                <w:szCs w:val="16"/>
                <w:lang w:eastAsia="es-CO"/>
              </w:rPr>
              <w:br/>
              <w:t>de Ingresos Corrientes</w:t>
            </w:r>
          </w:p>
        </w:tc>
        <w:tc>
          <w:tcPr>
            <w:tcW w:w="15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2.628.092.630</w:t>
            </w:r>
          </w:p>
        </w:tc>
        <w:tc>
          <w:tcPr>
            <w:tcW w:w="14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2.644.498.612</w:t>
            </w:r>
          </w:p>
        </w:tc>
        <w:tc>
          <w:tcPr>
            <w:tcW w:w="144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2.701.606.000</w:t>
            </w:r>
          </w:p>
        </w:tc>
      </w:tr>
      <w:tr w:rsidR="00FC4978" w:rsidRPr="0009074C" w:rsidTr="00FC4978">
        <w:trPr>
          <w:trHeight w:val="480"/>
          <w:jc w:val="center"/>
        </w:trPr>
        <w:tc>
          <w:tcPr>
            <w:tcW w:w="2260" w:type="dxa"/>
            <w:tcBorders>
              <w:top w:val="nil"/>
              <w:left w:val="single" w:sz="4" w:space="0" w:color="auto"/>
              <w:bottom w:val="single" w:sz="4" w:space="0" w:color="auto"/>
              <w:right w:val="single" w:sz="4" w:space="0" w:color="auto"/>
            </w:tcBorders>
            <w:shd w:val="clear" w:color="000000" w:fill="E5E5FF"/>
            <w:vAlign w:val="center"/>
            <w:hideMark/>
          </w:tcPr>
          <w:p w:rsidR="00FC4978" w:rsidRPr="00BE36D3" w:rsidRDefault="00FC4978">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Diferencia</w:t>
            </w:r>
            <w:r w:rsidRPr="00BE36D3">
              <w:rPr>
                <w:rFonts w:ascii="Arial" w:eastAsia="Times New Roman" w:hAnsi="Arial" w:cs="Arial"/>
                <w:b/>
                <w:bCs/>
                <w:color w:val="000000"/>
                <w:sz w:val="16"/>
                <w:szCs w:val="16"/>
                <w:lang w:eastAsia="es-CO"/>
              </w:rPr>
              <w:br/>
              <w:t>(C = B-A)</w:t>
            </w:r>
          </w:p>
        </w:tc>
        <w:tc>
          <w:tcPr>
            <w:tcW w:w="15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14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144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r>
      <w:tr w:rsidR="00FC4978" w:rsidRPr="0009074C" w:rsidTr="00FC4978">
        <w:trPr>
          <w:trHeight w:val="300"/>
          <w:jc w:val="center"/>
        </w:trPr>
        <w:tc>
          <w:tcPr>
            <w:tcW w:w="2260" w:type="dxa"/>
            <w:tcBorders>
              <w:top w:val="nil"/>
              <w:left w:val="single" w:sz="4" w:space="0" w:color="auto"/>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Recursos del Capital</w:t>
            </w:r>
          </w:p>
        </w:tc>
        <w:tc>
          <w:tcPr>
            <w:tcW w:w="15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240.195.090</w:t>
            </w:r>
          </w:p>
        </w:tc>
        <w:tc>
          <w:tcPr>
            <w:tcW w:w="14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375.165.852</w:t>
            </w:r>
          </w:p>
        </w:tc>
        <w:tc>
          <w:tcPr>
            <w:tcW w:w="144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375.165.852</w:t>
            </w:r>
          </w:p>
        </w:tc>
      </w:tr>
      <w:tr w:rsidR="00FC4978" w:rsidRPr="0009074C" w:rsidTr="00FC4978">
        <w:trPr>
          <w:trHeight w:val="480"/>
          <w:jc w:val="center"/>
        </w:trPr>
        <w:tc>
          <w:tcPr>
            <w:tcW w:w="2260" w:type="dxa"/>
            <w:tcBorders>
              <w:top w:val="nil"/>
              <w:left w:val="single" w:sz="4" w:space="0" w:color="auto"/>
              <w:bottom w:val="single" w:sz="4" w:space="0" w:color="auto"/>
              <w:right w:val="single" w:sz="4" w:space="0" w:color="auto"/>
            </w:tcBorders>
            <w:shd w:val="clear" w:color="000000" w:fill="CCCCFF"/>
            <w:vAlign w:val="center"/>
            <w:hideMark/>
          </w:tcPr>
          <w:p w:rsidR="00FC4978" w:rsidRPr="00BE36D3" w:rsidRDefault="00FC4978">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Recaudo Efectivo</w:t>
            </w:r>
            <w:r w:rsidRPr="00BE36D3">
              <w:rPr>
                <w:rFonts w:ascii="Arial" w:eastAsia="Times New Roman" w:hAnsi="Arial" w:cs="Arial"/>
                <w:b/>
                <w:bCs/>
                <w:color w:val="000000"/>
                <w:sz w:val="16"/>
                <w:szCs w:val="16"/>
                <w:lang w:eastAsia="es-CO"/>
              </w:rPr>
              <w:br/>
              <w:t>de Ingresos de Capital.</w:t>
            </w:r>
          </w:p>
        </w:tc>
        <w:tc>
          <w:tcPr>
            <w:tcW w:w="15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240.195.090</w:t>
            </w:r>
          </w:p>
        </w:tc>
        <w:tc>
          <w:tcPr>
            <w:tcW w:w="14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375.165.852</w:t>
            </w:r>
          </w:p>
        </w:tc>
        <w:tc>
          <w:tcPr>
            <w:tcW w:w="144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271.693.000</w:t>
            </w:r>
          </w:p>
        </w:tc>
      </w:tr>
      <w:tr w:rsidR="00FC4978" w:rsidRPr="0009074C" w:rsidTr="00FC4978">
        <w:trPr>
          <w:trHeight w:val="585"/>
          <w:jc w:val="center"/>
        </w:trPr>
        <w:tc>
          <w:tcPr>
            <w:tcW w:w="2260" w:type="dxa"/>
            <w:tcBorders>
              <w:top w:val="nil"/>
              <w:left w:val="single" w:sz="4" w:space="0" w:color="auto"/>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Total Gastos Apropiados</w:t>
            </w:r>
          </w:p>
        </w:tc>
        <w:tc>
          <w:tcPr>
            <w:tcW w:w="15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2.868.287.720</w:t>
            </w:r>
          </w:p>
        </w:tc>
        <w:tc>
          <w:tcPr>
            <w:tcW w:w="14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2.999.664.464</w:t>
            </w:r>
          </w:p>
        </w:tc>
        <w:tc>
          <w:tcPr>
            <w:tcW w:w="144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3.146.962.103</w:t>
            </w:r>
          </w:p>
        </w:tc>
      </w:tr>
      <w:tr w:rsidR="00FC4978" w:rsidRPr="0009074C" w:rsidTr="00FC4978">
        <w:trPr>
          <w:trHeight w:val="300"/>
          <w:jc w:val="center"/>
        </w:trPr>
        <w:tc>
          <w:tcPr>
            <w:tcW w:w="2260" w:type="dxa"/>
            <w:tcBorders>
              <w:top w:val="nil"/>
              <w:left w:val="single" w:sz="4" w:space="0" w:color="auto"/>
              <w:bottom w:val="single" w:sz="4" w:space="0" w:color="auto"/>
              <w:right w:val="single" w:sz="4" w:space="0" w:color="auto"/>
            </w:tcBorders>
            <w:shd w:val="clear" w:color="000000" w:fill="CCCCFF"/>
            <w:vAlign w:val="center"/>
            <w:hideMark/>
          </w:tcPr>
          <w:p w:rsidR="00FC4978" w:rsidRPr="00BE36D3" w:rsidRDefault="00FC4978">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Comprometido</w:t>
            </w:r>
          </w:p>
        </w:tc>
        <w:tc>
          <w:tcPr>
            <w:tcW w:w="15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2.762.171.655</w:t>
            </w:r>
          </w:p>
        </w:tc>
        <w:tc>
          <w:tcPr>
            <w:tcW w:w="14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2.637.582.577</w:t>
            </w:r>
          </w:p>
        </w:tc>
        <w:tc>
          <w:tcPr>
            <w:tcW w:w="144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2.630.445.850</w:t>
            </w:r>
          </w:p>
        </w:tc>
      </w:tr>
      <w:tr w:rsidR="00FC4978" w:rsidRPr="0009074C" w:rsidTr="00FC4978">
        <w:trPr>
          <w:trHeight w:val="540"/>
          <w:jc w:val="center"/>
        </w:trPr>
        <w:tc>
          <w:tcPr>
            <w:tcW w:w="2260" w:type="dxa"/>
            <w:tcBorders>
              <w:top w:val="nil"/>
              <w:left w:val="single" w:sz="4" w:space="0" w:color="auto"/>
              <w:bottom w:val="single" w:sz="4" w:space="0" w:color="auto"/>
              <w:right w:val="single" w:sz="4" w:space="0" w:color="auto"/>
            </w:tcBorders>
            <w:shd w:val="clear" w:color="000000" w:fill="CCCCFF"/>
            <w:vAlign w:val="center"/>
            <w:hideMark/>
          </w:tcPr>
          <w:p w:rsidR="00FC4978" w:rsidRPr="00BE36D3" w:rsidRDefault="00FC4978">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 xml:space="preserve">Obligado </w:t>
            </w:r>
          </w:p>
        </w:tc>
        <w:tc>
          <w:tcPr>
            <w:tcW w:w="15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2.762.171.655</w:t>
            </w:r>
          </w:p>
        </w:tc>
        <w:tc>
          <w:tcPr>
            <w:tcW w:w="14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2.559.582.577</w:t>
            </w:r>
          </w:p>
        </w:tc>
        <w:tc>
          <w:tcPr>
            <w:tcW w:w="144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2.630.445.850</w:t>
            </w:r>
          </w:p>
        </w:tc>
      </w:tr>
      <w:tr w:rsidR="00FC4978" w:rsidRPr="0009074C" w:rsidTr="00FC4978">
        <w:trPr>
          <w:trHeight w:val="300"/>
          <w:jc w:val="center"/>
        </w:trPr>
        <w:tc>
          <w:tcPr>
            <w:tcW w:w="2260" w:type="dxa"/>
            <w:tcBorders>
              <w:top w:val="nil"/>
              <w:left w:val="single" w:sz="4" w:space="0" w:color="auto"/>
              <w:bottom w:val="single" w:sz="4" w:space="0" w:color="auto"/>
              <w:right w:val="single" w:sz="4" w:space="0" w:color="auto"/>
            </w:tcBorders>
            <w:shd w:val="clear" w:color="000000" w:fill="CCCCFF"/>
            <w:vAlign w:val="center"/>
            <w:hideMark/>
          </w:tcPr>
          <w:p w:rsidR="00FC4978" w:rsidRPr="00BE36D3" w:rsidRDefault="00FC4978">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Pagado</w:t>
            </w:r>
          </w:p>
        </w:tc>
        <w:tc>
          <w:tcPr>
            <w:tcW w:w="15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2.570.126.649</w:t>
            </w:r>
          </w:p>
        </w:tc>
        <w:tc>
          <w:tcPr>
            <w:tcW w:w="14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2.199.374.357</w:t>
            </w:r>
          </w:p>
        </w:tc>
        <w:tc>
          <w:tcPr>
            <w:tcW w:w="144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2.210.105.292</w:t>
            </w:r>
          </w:p>
        </w:tc>
      </w:tr>
      <w:tr w:rsidR="00FC4978" w:rsidRPr="0009074C" w:rsidTr="00FC4978">
        <w:trPr>
          <w:trHeight w:val="300"/>
          <w:jc w:val="center"/>
        </w:trPr>
        <w:tc>
          <w:tcPr>
            <w:tcW w:w="2260" w:type="dxa"/>
            <w:tcBorders>
              <w:top w:val="nil"/>
              <w:left w:val="single" w:sz="4" w:space="0" w:color="auto"/>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Resultado Presupuestal </w:t>
            </w:r>
          </w:p>
        </w:tc>
        <w:tc>
          <w:tcPr>
            <w:tcW w:w="15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106.116.065</w:t>
            </w:r>
          </w:p>
        </w:tc>
        <w:tc>
          <w:tcPr>
            <w:tcW w:w="140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bookmarkStart w:id="5" w:name="_Hlk42764932"/>
            <w:r w:rsidRPr="00BE36D3">
              <w:rPr>
                <w:rFonts w:ascii="Arial" w:eastAsia="Times New Roman" w:hAnsi="Arial" w:cs="Arial"/>
                <w:b/>
                <w:bCs/>
                <w:color w:val="FFFFFF"/>
                <w:sz w:val="16"/>
                <w:szCs w:val="16"/>
                <w:lang w:eastAsia="es-CO"/>
              </w:rPr>
              <w:t>382.081.887</w:t>
            </w:r>
            <w:bookmarkEnd w:id="5"/>
          </w:p>
        </w:tc>
        <w:tc>
          <w:tcPr>
            <w:tcW w:w="1440" w:type="dxa"/>
            <w:tcBorders>
              <w:top w:val="nil"/>
              <w:left w:val="nil"/>
              <w:bottom w:val="single" w:sz="4" w:space="0" w:color="auto"/>
              <w:right w:val="single" w:sz="4" w:space="0" w:color="auto"/>
            </w:tcBorders>
            <w:shd w:val="clear" w:color="000000" w:fill="666699"/>
            <w:vAlign w:val="center"/>
            <w:hideMark/>
          </w:tcPr>
          <w:p w:rsidR="00FC4978" w:rsidRPr="00BE36D3" w:rsidRDefault="00FC4978">
            <w:pPr>
              <w:spacing w:after="0" w:line="240" w:lineRule="auto"/>
              <w:contextualSpacing/>
              <w:jc w:val="center"/>
              <w:rPr>
                <w:rFonts w:ascii="Arial" w:eastAsia="Times New Roman" w:hAnsi="Arial" w:cs="Arial"/>
                <w:b/>
                <w:bCs/>
                <w:color w:val="FFFFFF"/>
                <w:sz w:val="16"/>
                <w:szCs w:val="16"/>
                <w:lang w:eastAsia="es-CO"/>
              </w:rPr>
            </w:pPr>
            <w:bookmarkStart w:id="6" w:name="_Hlk43393073"/>
            <w:r w:rsidRPr="00BE36D3">
              <w:rPr>
                <w:rFonts w:ascii="Arial" w:eastAsia="Times New Roman" w:hAnsi="Arial" w:cs="Arial"/>
                <w:b/>
                <w:bCs/>
                <w:color w:val="FFFFFF"/>
                <w:sz w:val="16"/>
                <w:szCs w:val="16"/>
                <w:lang w:eastAsia="es-CO"/>
              </w:rPr>
              <w:t>342.853.150</w:t>
            </w:r>
            <w:bookmarkEnd w:id="6"/>
          </w:p>
        </w:tc>
      </w:tr>
      <w:tr w:rsidR="00FC4978" w:rsidRPr="0009074C" w:rsidTr="00FC4978">
        <w:trPr>
          <w:trHeight w:val="480"/>
          <w:jc w:val="center"/>
        </w:trPr>
        <w:tc>
          <w:tcPr>
            <w:tcW w:w="2260" w:type="dxa"/>
            <w:tcBorders>
              <w:top w:val="nil"/>
              <w:left w:val="single" w:sz="4" w:space="0" w:color="auto"/>
              <w:bottom w:val="single" w:sz="4" w:space="0" w:color="auto"/>
              <w:right w:val="single" w:sz="4" w:space="0" w:color="auto"/>
            </w:tcBorders>
            <w:shd w:val="clear" w:color="000000" w:fill="CCCCFF"/>
            <w:vAlign w:val="center"/>
            <w:hideMark/>
          </w:tcPr>
          <w:p w:rsidR="00FC4978" w:rsidRPr="00BE36D3" w:rsidRDefault="00FC4978">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Reservas Presupuestales</w:t>
            </w:r>
          </w:p>
        </w:tc>
        <w:tc>
          <w:tcPr>
            <w:tcW w:w="15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14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78.000.000</w:t>
            </w:r>
          </w:p>
        </w:tc>
        <w:tc>
          <w:tcPr>
            <w:tcW w:w="144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FC4978" w:rsidRPr="0009074C" w:rsidTr="00FC4978">
        <w:trPr>
          <w:trHeight w:val="300"/>
          <w:jc w:val="center"/>
        </w:trPr>
        <w:tc>
          <w:tcPr>
            <w:tcW w:w="2260" w:type="dxa"/>
            <w:tcBorders>
              <w:top w:val="nil"/>
              <w:left w:val="single" w:sz="4" w:space="0" w:color="auto"/>
              <w:bottom w:val="single" w:sz="4" w:space="0" w:color="auto"/>
              <w:right w:val="single" w:sz="4" w:space="0" w:color="auto"/>
            </w:tcBorders>
            <w:shd w:val="clear" w:color="000000" w:fill="CCCCFF"/>
            <w:vAlign w:val="center"/>
            <w:hideMark/>
          </w:tcPr>
          <w:p w:rsidR="00FC4978" w:rsidRPr="00BE36D3" w:rsidRDefault="00FC4978">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Cuentas por Pagar</w:t>
            </w:r>
          </w:p>
        </w:tc>
        <w:tc>
          <w:tcPr>
            <w:tcW w:w="15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192.045.006</w:t>
            </w:r>
          </w:p>
        </w:tc>
        <w:tc>
          <w:tcPr>
            <w:tcW w:w="14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360.208.220</w:t>
            </w:r>
          </w:p>
        </w:tc>
        <w:tc>
          <w:tcPr>
            <w:tcW w:w="144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420.340.558</w:t>
            </w:r>
          </w:p>
        </w:tc>
      </w:tr>
      <w:tr w:rsidR="00FC4978" w:rsidRPr="0009074C" w:rsidTr="00FC4978">
        <w:trPr>
          <w:trHeight w:val="480"/>
          <w:jc w:val="center"/>
        </w:trPr>
        <w:tc>
          <w:tcPr>
            <w:tcW w:w="2260" w:type="dxa"/>
            <w:tcBorders>
              <w:top w:val="nil"/>
              <w:left w:val="single" w:sz="4" w:space="0" w:color="auto"/>
              <w:bottom w:val="single" w:sz="4" w:space="0" w:color="auto"/>
              <w:right w:val="single" w:sz="4" w:space="0" w:color="auto"/>
            </w:tcBorders>
            <w:shd w:val="clear" w:color="000000" w:fill="CCCCFF"/>
            <w:vAlign w:val="center"/>
            <w:hideMark/>
          </w:tcPr>
          <w:p w:rsidR="00FC4978" w:rsidRPr="00BE36D3" w:rsidRDefault="00FC4978">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Saldo Mínimo Disponible en Caja</w:t>
            </w:r>
          </w:p>
        </w:tc>
        <w:tc>
          <w:tcPr>
            <w:tcW w:w="15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298.161.071</w:t>
            </w:r>
          </w:p>
        </w:tc>
        <w:tc>
          <w:tcPr>
            <w:tcW w:w="140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820.290.107</w:t>
            </w:r>
          </w:p>
        </w:tc>
        <w:tc>
          <w:tcPr>
            <w:tcW w:w="144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763.193.708</w:t>
            </w:r>
          </w:p>
        </w:tc>
      </w:tr>
      <w:tr w:rsidR="00FC4978" w:rsidRPr="0009074C" w:rsidTr="00FC4978">
        <w:trPr>
          <w:trHeight w:val="525"/>
          <w:jc w:val="center"/>
        </w:trPr>
        <w:tc>
          <w:tcPr>
            <w:tcW w:w="2260" w:type="dxa"/>
            <w:tcBorders>
              <w:top w:val="nil"/>
              <w:left w:val="single" w:sz="4" w:space="0" w:color="auto"/>
              <w:bottom w:val="single" w:sz="4" w:space="0" w:color="auto"/>
              <w:right w:val="single" w:sz="4" w:space="0" w:color="auto"/>
            </w:tcBorders>
            <w:shd w:val="clear" w:color="000000" w:fill="CCCCFF"/>
            <w:vAlign w:val="center"/>
            <w:hideMark/>
          </w:tcPr>
          <w:p w:rsidR="00FC4978" w:rsidRPr="00BE36D3" w:rsidRDefault="00FC4978">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Saldo en Bancos</w:t>
            </w:r>
          </w:p>
        </w:tc>
        <w:tc>
          <w:tcPr>
            <w:tcW w:w="1500" w:type="dxa"/>
            <w:tcBorders>
              <w:top w:val="nil"/>
              <w:left w:val="nil"/>
              <w:bottom w:val="single" w:sz="4" w:space="0" w:color="auto"/>
              <w:right w:val="single" w:sz="4" w:space="0" w:color="auto"/>
            </w:tcBorders>
            <w:shd w:val="clear" w:color="auto" w:fill="auto"/>
            <w:noWrap/>
            <w:vAlign w:val="center"/>
            <w:hideMark/>
          </w:tcPr>
          <w:p w:rsidR="00FC4978" w:rsidRPr="00BE36D3" w:rsidRDefault="00AC3F1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568.710.859</w:t>
            </w:r>
            <w:r w:rsidR="00FC4978" w:rsidRPr="00BE36D3">
              <w:rPr>
                <w:rFonts w:ascii="Arial" w:eastAsia="Times New Roman" w:hAnsi="Arial" w:cs="Arial"/>
                <w:sz w:val="16"/>
                <w:szCs w:val="16"/>
                <w:lang w:eastAsia="es-CO"/>
              </w:rPr>
              <w:t> </w:t>
            </w:r>
          </w:p>
        </w:tc>
        <w:tc>
          <w:tcPr>
            <w:tcW w:w="1400" w:type="dxa"/>
            <w:tcBorders>
              <w:top w:val="nil"/>
              <w:left w:val="nil"/>
              <w:bottom w:val="single" w:sz="4" w:space="0" w:color="auto"/>
              <w:right w:val="single" w:sz="4" w:space="0" w:color="auto"/>
            </w:tcBorders>
            <w:shd w:val="clear" w:color="auto" w:fill="auto"/>
            <w:noWrap/>
            <w:vAlign w:val="center"/>
            <w:hideMark/>
          </w:tcPr>
          <w:p w:rsidR="00FC4978" w:rsidRPr="00BE36D3" w:rsidRDefault="00AC3F1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701.566.529</w:t>
            </w:r>
            <w:r w:rsidR="00FC4978" w:rsidRPr="00BE36D3">
              <w:rPr>
                <w:rFonts w:ascii="Arial" w:eastAsia="Times New Roman" w:hAnsi="Arial" w:cs="Arial"/>
                <w:sz w:val="16"/>
                <w:szCs w:val="16"/>
                <w:lang w:eastAsia="es-CO"/>
              </w:rPr>
              <w:t> </w:t>
            </w:r>
          </w:p>
        </w:tc>
        <w:tc>
          <w:tcPr>
            <w:tcW w:w="1440" w:type="dxa"/>
            <w:tcBorders>
              <w:top w:val="nil"/>
              <w:left w:val="nil"/>
              <w:bottom w:val="single" w:sz="4" w:space="0" w:color="auto"/>
              <w:right w:val="single" w:sz="4" w:space="0" w:color="auto"/>
            </w:tcBorders>
            <w:shd w:val="clear" w:color="auto" w:fill="auto"/>
            <w:noWrap/>
            <w:vAlign w:val="center"/>
            <w:hideMark/>
          </w:tcPr>
          <w:p w:rsidR="00FC4978" w:rsidRPr="00BE36D3" w:rsidRDefault="00FC4978">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 </w:t>
            </w:r>
          </w:p>
        </w:tc>
      </w:tr>
    </w:tbl>
    <w:p w:rsidR="00FC4978" w:rsidRPr="00BE36D3" w:rsidRDefault="00FC4978">
      <w:pPr>
        <w:spacing w:line="240" w:lineRule="auto"/>
        <w:contextualSpacing/>
        <w:jc w:val="center"/>
        <w:rPr>
          <w:rFonts w:ascii="Arial" w:hAnsi="Arial" w:cs="Arial"/>
          <w:sz w:val="20"/>
          <w:szCs w:val="20"/>
        </w:rPr>
      </w:pPr>
      <w:r w:rsidRPr="00BE36D3">
        <w:rPr>
          <w:rFonts w:ascii="Arial" w:hAnsi="Arial" w:cs="Arial"/>
          <w:b/>
          <w:sz w:val="20"/>
          <w:szCs w:val="20"/>
        </w:rPr>
        <w:t xml:space="preserve">Fuente: </w:t>
      </w:r>
      <w:r w:rsidRPr="00BE36D3">
        <w:rPr>
          <w:rFonts w:ascii="Arial" w:hAnsi="Arial" w:cs="Arial"/>
          <w:sz w:val="20"/>
          <w:szCs w:val="20"/>
        </w:rPr>
        <w:t xml:space="preserve">Elaboración propia con base en las ejecuciones presupuestales proporcionadas por la </w:t>
      </w:r>
      <w:r w:rsidR="00DF4C09">
        <w:rPr>
          <w:rFonts w:ascii="Arial" w:hAnsi="Arial" w:cs="Arial"/>
          <w:sz w:val="20"/>
          <w:szCs w:val="20"/>
        </w:rPr>
        <w:t>A</w:t>
      </w:r>
      <w:r w:rsidRPr="00BE36D3">
        <w:rPr>
          <w:rFonts w:ascii="Arial" w:hAnsi="Arial" w:cs="Arial"/>
          <w:sz w:val="20"/>
          <w:szCs w:val="20"/>
        </w:rPr>
        <w:t xml:space="preserve">dministración </w:t>
      </w:r>
      <w:r w:rsidR="00DF4C09">
        <w:rPr>
          <w:rFonts w:ascii="Arial" w:hAnsi="Arial" w:cs="Arial"/>
          <w:sz w:val="20"/>
          <w:szCs w:val="20"/>
        </w:rPr>
        <w:t>M</w:t>
      </w:r>
      <w:r w:rsidRPr="00BE36D3">
        <w:rPr>
          <w:rFonts w:ascii="Arial" w:hAnsi="Arial" w:cs="Arial"/>
          <w:sz w:val="20"/>
          <w:szCs w:val="20"/>
        </w:rPr>
        <w:t>unicipal.</w:t>
      </w:r>
    </w:p>
    <w:p w:rsidR="0009074C" w:rsidRPr="00BE36D3" w:rsidRDefault="0009074C">
      <w:pPr>
        <w:spacing w:line="240" w:lineRule="auto"/>
        <w:contextualSpacing/>
        <w:jc w:val="both"/>
        <w:rPr>
          <w:rFonts w:ascii="Arial" w:hAnsi="Arial" w:cs="Arial"/>
        </w:rPr>
      </w:pPr>
    </w:p>
    <w:p w:rsidR="00B86766" w:rsidRPr="00BE36D3" w:rsidRDefault="00CB4E0C">
      <w:pPr>
        <w:pStyle w:val="Prrafodelista"/>
        <w:numPr>
          <w:ilvl w:val="1"/>
          <w:numId w:val="4"/>
        </w:numPr>
        <w:spacing w:line="240" w:lineRule="auto"/>
        <w:jc w:val="both"/>
        <w:rPr>
          <w:rFonts w:ascii="Arial" w:hAnsi="Arial" w:cs="Arial"/>
          <w:b/>
          <w:bCs/>
        </w:rPr>
      </w:pPr>
      <w:r w:rsidRPr="00BE36D3">
        <w:rPr>
          <w:rFonts w:ascii="Arial" w:hAnsi="Arial" w:cs="Arial"/>
          <w:b/>
          <w:bCs/>
        </w:rPr>
        <w:t>Manejo de tesorería – Cuenta Maestra</w:t>
      </w:r>
      <w:r w:rsidR="00DF4C09">
        <w:rPr>
          <w:rFonts w:ascii="Arial" w:hAnsi="Arial" w:cs="Arial"/>
          <w:b/>
          <w:bCs/>
        </w:rPr>
        <w:t>.</w:t>
      </w:r>
    </w:p>
    <w:p w:rsidR="0009074C" w:rsidRDefault="0009074C">
      <w:pPr>
        <w:spacing w:line="240" w:lineRule="auto"/>
        <w:contextualSpacing/>
        <w:jc w:val="both"/>
        <w:rPr>
          <w:rFonts w:ascii="Arial" w:hAnsi="Arial" w:cs="Arial"/>
          <w:bCs/>
          <w:iCs/>
        </w:rPr>
      </w:pPr>
    </w:p>
    <w:p w:rsidR="00A74773" w:rsidRPr="00BE36D3" w:rsidRDefault="00817F3B">
      <w:pPr>
        <w:spacing w:line="240" w:lineRule="auto"/>
        <w:contextualSpacing/>
        <w:jc w:val="both"/>
        <w:rPr>
          <w:rFonts w:ascii="Arial" w:hAnsi="Arial" w:cs="Arial"/>
          <w:bCs/>
          <w:iCs/>
        </w:rPr>
      </w:pPr>
      <w:r w:rsidRPr="00BE36D3">
        <w:rPr>
          <w:rFonts w:ascii="Arial" w:hAnsi="Arial" w:cs="Arial"/>
          <w:bCs/>
          <w:iCs/>
        </w:rPr>
        <w:t>El Municipio de Santiago de Tolú</w:t>
      </w:r>
      <w:r w:rsidR="0063378A" w:rsidRPr="00BE36D3">
        <w:rPr>
          <w:rFonts w:ascii="Arial" w:hAnsi="Arial" w:cs="Arial"/>
          <w:bCs/>
          <w:iCs/>
        </w:rPr>
        <w:t xml:space="preserve"> </w:t>
      </w:r>
      <w:r w:rsidRPr="00BE36D3">
        <w:rPr>
          <w:rFonts w:ascii="Arial" w:hAnsi="Arial" w:cs="Arial"/>
          <w:bCs/>
          <w:iCs/>
        </w:rPr>
        <w:t>-</w:t>
      </w:r>
      <w:r w:rsidR="0063378A" w:rsidRPr="00BE36D3">
        <w:rPr>
          <w:rFonts w:ascii="Arial" w:hAnsi="Arial" w:cs="Arial"/>
          <w:bCs/>
          <w:iCs/>
        </w:rPr>
        <w:t xml:space="preserve"> </w:t>
      </w:r>
      <w:r w:rsidRPr="00BE36D3">
        <w:rPr>
          <w:rFonts w:ascii="Arial" w:hAnsi="Arial" w:cs="Arial"/>
          <w:bCs/>
          <w:iCs/>
        </w:rPr>
        <w:t xml:space="preserve">Sucre </w:t>
      </w:r>
      <w:r w:rsidR="0083473D" w:rsidRPr="00BE36D3">
        <w:rPr>
          <w:rFonts w:ascii="Arial" w:hAnsi="Arial" w:cs="Arial"/>
          <w:bCs/>
          <w:iCs/>
        </w:rPr>
        <w:t xml:space="preserve">registra una Cuenta Maestra para el manejo de los recursos de la Participación de Propósito General en el Banco Bancolombia, con número 50756628094. </w:t>
      </w:r>
      <w:r w:rsidR="001B025F" w:rsidRPr="00BE36D3">
        <w:rPr>
          <w:rFonts w:ascii="Arial" w:hAnsi="Arial" w:cs="Arial"/>
          <w:bCs/>
          <w:iCs/>
        </w:rPr>
        <w:t>Esta Dirección analizó el reporte de información que realizan las entidades bancarias en el sistema PISIS en el periodo de diciembre de 2019 a enero de 2021, a través del cual se identificó la siguiente situación:</w:t>
      </w:r>
    </w:p>
    <w:p w:rsidR="00965AB7" w:rsidRPr="00BE36D3" w:rsidRDefault="00965AB7">
      <w:pPr>
        <w:spacing w:line="240" w:lineRule="auto"/>
        <w:contextualSpacing/>
        <w:jc w:val="both"/>
        <w:rPr>
          <w:rFonts w:ascii="Arial" w:hAnsi="Arial" w:cs="Arial"/>
          <w:bCs/>
          <w:iCs/>
        </w:rPr>
      </w:pPr>
    </w:p>
    <w:p w:rsidR="006B593D" w:rsidRPr="00BE36D3" w:rsidRDefault="006B593D">
      <w:pPr>
        <w:spacing w:after="0" w:line="240" w:lineRule="auto"/>
        <w:contextualSpacing/>
        <w:jc w:val="center"/>
        <w:rPr>
          <w:rFonts w:ascii="Arial" w:hAnsi="Arial" w:cs="Arial"/>
          <w:b/>
          <w:bCs/>
          <w:iCs/>
          <w:sz w:val="20"/>
          <w:szCs w:val="24"/>
        </w:rPr>
      </w:pPr>
      <w:r w:rsidRPr="00BE36D3">
        <w:rPr>
          <w:rFonts w:ascii="Arial" w:hAnsi="Arial" w:cs="Arial"/>
          <w:b/>
          <w:bCs/>
          <w:iCs/>
          <w:sz w:val="20"/>
          <w:szCs w:val="24"/>
        </w:rPr>
        <w:t>Cuadro No. 6</w:t>
      </w:r>
    </w:p>
    <w:p w:rsidR="006B593D" w:rsidRPr="00BE36D3" w:rsidRDefault="006B593D">
      <w:pPr>
        <w:spacing w:after="0" w:line="240" w:lineRule="auto"/>
        <w:contextualSpacing/>
        <w:jc w:val="center"/>
        <w:rPr>
          <w:rFonts w:ascii="Arial" w:hAnsi="Arial" w:cs="Arial"/>
          <w:bCs/>
          <w:iCs/>
          <w:sz w:val="20"/>
          <w:szCs w:val="24"/>
        </w:rPr>
      </w:pPr>
      <w:r w:rsidRPr="00BE36D3">
        <w:rPr>
          <w:rFonts w:ascii="Arial" w:hAnsi="Arial" w:cs="Arial"/>
          <w:bCs/>
          <w:iCs/>
          <w:sz w:val="20"/>
          <w:szCs w:val="24"/>
        </w:rPr>
        <w:t>Municipio de Santiago de Tolú - Sucre</w:t>
      </w:r>
    </w:p>
    <w:p w:rsidR="006B593D" w:rsidRPr="00BE36D3" w:rsidRDefault="006B593D">
      <w:pPr>
        <w:spacing w:line="240" w:lineRule="auto"/>
        <w:contextualSpacing/>
        <w:jc w:val="center"/>
        <w:rPr>
          <w:rFonts w:ascii="Arial" w:hAnsi="Arial" w:cs="Arial"/>
          <w:bCs/>
          <w:iCs/>
          <w:sz w:val="20"/>
          <w:szCs w:val="24"/>
        </w:rPr>
      </w:pPr>
      <w:r w:rsidRPr="00BE36D3">
        <w:rPr>
          <w:rFonts w:ascii="Arial" w:hAnsi="Arial" w:cs="Arial"/>
          <w:bCs/>
          <w:iCs/>
          <w:sz w:val="20"/>
          <w:szCs w:val="24"/>
        </w:rPr>
        <w:t>Reporte Cuenta Maestra Propósito General – diciembre 2019 a enero de 2021</w:t>
      </w:r>
    </w:p>
    <w:tbl>
      <w:tblPr>
        <w:tblW w:w="5000" w:type="pct"/>
        <w:jc w:val="center"/>
        <w:tblCellMar>
          <w:left w:w="70" w:type="dxa"/>
          <w:right w:w="70" w:type="dxa"/>
        </w:tblCellMar>
        <w:tblLook w:val="04A0" w:firstRow="1" w:lastRow="0" w:firstColumn="1" w:lastColumn="0" w:noHBand="0" w:noVBand="1"/>
      </w:tblPr>
      <w:tblGrid>
        <w:gridCol w:w="5626"/>
        <w:gridCol w:w="1601"/>
        <w:gridCol w:w="1601"/>
      </w:tblGrid>
      <w:tr w:rsidR="00804B6C" w:rsidRPr="0009074C" w:rsidTr="00F4471B">
        <w:trPr>
          <w:trHeight w:val="679"/>
          <w:tblHeader/>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666699"/>
            <w:vAlign w:val="center"/>
            <w:hideMark/>
          </w:tcPr>
          <w:p w:rsidR="00804B6C" w:rsidRPr="00BE36D3" w:rsidRDefault="00804B6C">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INFORMACIÓN CONSOLIDADA PRODUCTO CUENTA MAESTRA</w:t>
            </w:r>
          </w:p>
        </w:tc>
      </w:tr>
      <w:tr w:rsidR="00804B6C" w:rsidRPr="0009074C" w:rsidTr="00F4471B">
        <w:trPr>
          <w:trHeight w:val="300"/>
          <w:tblHeader/>
          <w:jc w:val="center"/>
        </w:trPr>
        <w:tc>
          <w:tcPr>
            <w:tcW w:w="3186" w:type="pct"/>
            <w:tcBorders>
              <w:top w:val="single" w:sz="4" w:space="0" w:color="auto"/>
              <w:left w:val="single" w:sz="4" w:space="0" w:color="auto"/>
              <w:bottom w:val="single" w:sz="4" w:space="0" w:color="auto"/>
              <w:right w:val="single" w:sz="4" w:space="0" w:color="auto"/>
            </w:tcBorders>
            <w:shd w:val="clear" w:color="000000" w:fill="E5E5FF"/>
            <w:vAlign w:val="center"/>
            <w:hideMark/>
          </w:tcPr>
          <w:p w:rsidR="00804B6C" w:rsidRPr="00BE36D3" w:rsidRDefault="00804B6C">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 xml:space="preserve">Concepto </w:t>
            </w:r>
          </w:p>
        </w:tc>
        <w:tc>
          <w:tcPr>
            <w:tcW w:w="907" w:type="pct"/>
            <w:tcBorders>
              <w:top w:val="nil"/>
              <w:left w:val="nil"/>
              <w:bottom w:val="single" w:sz="4" w:space="0" w:color="auto"/>
              <w:right w:val="single" w:sz="4" w:space="0" w:color="auto"/>
            </w:tcBorders>
            <w:shd w:val="clear" w:color="000000" w:fill="E5E5FF"/>
            <w:vAlign w:val="center"/>
            <w:hideMark/>
          </w:tcPr>
          <w:p w:rsidR="00804B6C" w:rsidRPr="00BE36D3" w:rsidRDefault="00804B6C">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No. de Operaciones</w:t>
            </w:r>
          </w:p>
        </w:tc>
        <w:tc>
          <w:tcPr>
            <w:tcW w:w="907" w:type="pct"/>
            <w:tcBorders>
              <w:top w:val="nil"/>
              <w:left w:val="nil"/>
              <w:bottom w:val="single" w:sz="4" w:space="0" w:color="auto"/>
              <w:right w:val="single" w:sz="4" w:space="0" w:color="auto"/>
            </w:tcBorders>
            <w:shd w:val="clear" w:color="000000" w:fill="E5E5FF"/>
            <w:vAlign w:val="center"/>
            <w:hideMark/>
          </w:tcPr>
          <w:p w:rsidR="00804B6C" w:rsidRPr="00BE36D3" w:rsidRDefault="00804B6C">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 xml:space="preserve">Valor Operaciones </w:t>
            </w:r>
          </w:p>
        </w:tc>
      </w:tr>
      <w:tr w:rsidR="00804B6C" w:rsidRPr="0009074C" w:rsidTr="005C29B0">
        <w:trPr>
          <w:trHeight w:val="300"/>
          <w:jc w:val="center"/>
        </w:trPr>
        <w:tc>
          <w:tcPr>
            <w:tcW w:w="318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Saldo Inicial (500) a 01/12/2019</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$1.803.805.572,53</w:t>
            </w:r>
          </w:p>
        </w:tc>
      </w:tr>
      <w:tr w:rsidR="00804B6C" w:rsidRPr="0009074C" w:rsidTr="005C29B0">
        <w:trPr>
          <w:trHeight w:val="300"/>
          <w:jc w:val="center"/>
        </w:trPr>
        <w:tc>
          <w:tcPr>
            <w:tcW w:w="318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Ingresos (100)</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15</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$3.159.361.577,00</w:t>
            </w:r>
          </w:p>
        </w:tc>
      </w:tr>
      <w:tr w:rsidR="00804B6C" w:rsidRPr="0009074C" w:rsidTr="005C29B0">
        <w:trPr>
          <w:trHeight w:val="300"/>
          <w:jc w:val="center"/>
        </w:trPr>
        <w:tc>
          <w:tcPr>
            <w:tcW w:w="318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Ingresos por Rendimientos Financieros (110)</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167</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$14.288.484,77</w:t>
            </w:r>
          </w:p>
        </w:tc>
      </w:tr>
      <w:tr w:rsidR="00804B6C" w:rsidRPr="0009074C" w:rsidTr="005C29B0">
        <w:trPr>
          <w:trHeight w:val="300"/>
          <w:jc w:val="center"/>
        </w:trPr>
        <w:tc>
          <w:tcPr>
            <w:tcW w:w="318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lastRenderedPageBreak/>
              <w:t>Reintegros Bancarios (120)</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 </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p>
        </w:tc>
      </w:tr>
      <w:tr w:rsidR="00804B6C" w:rsidRPr="0009074C" w:rsidTr="005C29B0">
        <w:trPr>
          <w:trHeight w:val="300"/>
          <w:jc w:val="center"/>
        </w:trPr>
        <w:tc>
          <w:tcPr>
            <w:tcW w:w="3186" w:type="pct"/>
            <w:tcBorders>
              <w:top w:val="single" w:sz="4" w:space="0" w:color="auto"/>
              <w:left w:val="single" w:sz="4" w:space="0" w:color="auto"/>
              <w:bottom w:val="single" w:sz="4" w:space="0" w:color="auto"/>
              <w:right w:val="single" w:sz="4" w:space="0" w:color="auto"/>
            </w:tcBorders>
            <w:shd w:val="clear" w:color="000000" w:fill="666699"/>
            <w:vAlign w:val="center"/>
            <w:hideMark/>
          </w:tcPr>
          <w:p w:rsidR="00804B6C" w:rsidRPr="00BE36D3" w:rsidRDefault="00804B6C">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Total Saldo en Caja + Ingresos</w:t>
            </w:r>
          </w:p>
        </w:tc>
        <w:tc>
          <w:tcPr>
            <w:tcW w:w="907" w:type="pct"/>
            <w:tcBorders>
              <w:top w:val="nil"/>
              <w:left w:val="nil"/>
              <w:bottom w:val="single" w:sz="4" w:space="0" w:color="auto"/>
              <w:right w:val="single" w:sz="4" w:space="0" w:color="auto"/>
            </w:tcBorders>
            <w:shd w:val="clear" w:color="800080" w:fill="666699"/>
            <w:vAlign w:val="center"/>
            <w:hideMark/>
          </w:tcPr>
          <w:p w:rsidR="00804B6C" w:rsidRPr="00BE36D3" w:rsidRDefault="00804B6C">
            <w:pPr>
              <w:spacing w:after="0" w:line="240" w:lineRule="auto"/>
              <w:contextualSpacing/>
              <w:jc w:val="right"/>
              <w:rPr>
                <w:rFonts w:ascii="Arial" w:eastAsia="Times New Roman" w:hAnsi="Arial" w:cs="Arial"/>
                <w:b/>
                <w:bCs/>
                <w:i/>
                <w:iCs/>
                <w:color w:val="FFFFFF"/>
                <w:sz w:val="16"/>
                <w:szCs w:val="16"/>
                <w:lang w:eastAsia="es-CO"/>
              </w:rPr>
            </w:pPr>
            <w:r w:rsidRPr="00BE36D3">
              <w:rPr>
                <w:rFonts w:ascii="Arial" w:eastAsia="Times New Roman" w:hAnsi="Arial" w:cs="Arial"/>
                <w:b/>
                <w:bCs/>
                <w:i/>
                <w:iCs/>
                <w:color w:val="FFFFFF"/>
                <w:sz w:val="16"/>
                <w:szCs w:val="16"/>
                <w:lang w:eastAsia="es-CO"/>
              </w:rPr>
              <w:t> </w:t>
            </w:r>
          </w:p>
        </w:tc>
        <w:tc>
          <w:tcPr>
            <w:tcW w:w="907" w:type="pct"/>
            <w:tcBorders>
              <w:top w:val="nil"/>
              <w:left w:val="nil"/>
              <w:bottom w:val="single" w:sz="4" w:space="0" w:color="auto"/>
              <w:right w:val="single" w:sz="4" w:space="0" w:color="auto"/>
            </w:tcBorders>
            <w:shd w:val="clear" w:color="800080" w:fill="666699"/>
            <w:vAlign w:val="center"/>
            <w:hideMark/>
          </w:tcPr>
          <w:p w:rsidR="00804B6C" w:rsidRPr="00BE36D3" w:rsidRDefault="00804B6C">
            <w:pPr>
              <w:spacing w:after="0" w:line="240" w:lineRule="auto"/>
              <w:contextualSpacing/>
              <w:jc w:val="right"/>
              <w:rPr>
                <w:rFonts w:ascii="Arial" w:eastAsia="Times New Roman" w:hAnsi="Arial" w:cs="Arial"/>
                <w:b/>
                <w:bCs/>
                <w:i/>
                <w:iCs/>
                <w:color w:val="FFFFFF"/>
                <w:sz w:val="16"/>
                <w:szCs w:val="16"/>
                <w:lang w:eastAsia="es-CO"/>
              </w:rPr>
            </w:pPr>
            <w:r w:rsidRPr="00BE36D3">
              <w:rPr>
                <w:rFonts w:ascii="Arial" w:eastAsia="Times New Roman" w:hAnsi="Arial" w:cs="Arial"/>
                <w:b/>
                <w:bCs/>
                <w:i/>
                <w:iCs/>
                <w:color w:val="FFFFFF"/>
                <w:sz w:val="16"/>
                <w:szCs w:val="16"/>
                <w:lang w:eastAsia="es-CO"/>
              </w:rPr>
              <w:t>$4.977.455.634,30</w:t>
            </w:r>
          </w:p>
        </w:tc>
      </w:tr>
      <w:tr w:rsidR="00804B6C" w:rsidRPr="0009074C" w:rsidTr="005C29B0">
        <w:trPr>
          <w:trHeight w:val="300"/>
          <w:jc w:val="center"/>
        </w:trPr>
        <w:tc>
          <w:tcPr>
            <w:tcW w:w="318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Egresos Libre Inversión (310)</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668</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$2.555.977.013,62</w:t>
            </w:r>
          </w:p>
        </w:tc>
      </w:tr>
      <w:tr w:rsidR="00804B6C" w:rsidRPr="0009074C" w:rsidTr="005C29B0">
        <w:trPr>
          <w:trHeight w:val="300"/>
          <w:jc w:val="center"/>
        </w:trPr>
        <w:tc>
          <w:tcPr>
            <w:tcW w:w="318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Egresos Recreación y Deporte (311)</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$3.708.350,00</w:t>
            </w:r>
          </w:p>
        </w:tc>
      </w:tr>
      <w:tr w:rsidR="00804B6C" w:rsidRPr="0009074C" w:rsidTr="005C29B0">
        <w:trPr>
          <w:trHeight w:val="300"/>
          <w:jc w:val="center"/>
        </w:trPr>
        <w:tc>
          <w:tcPr>
            <w:tcW w:w="318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Egresos Cultura (312)</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 </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p>
        </w:tc>
      </w:tr>
      <w:tr w:rsidR="00804B6C" w:rsidRPr="0009074C" w:rsidTr="005C29B0">
        <w:trPr>
          <w:trHeight w:val="300"/>
          <w:jc w:val="center"/>
        </w:trPr>
        <w:tc>
          <w:tcPr>
            <w:tcW w:w="318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Egresos Libre Destinación (313)</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76</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$1.239.975.215,05</w:t>
            </w:r>
          </w:p>
        </w:tc>
      </w:tr>
      <w:tr w:rsidR="00804B6C" w:rsidRPr="0009074C" w:rsidTr="005C29B0">
        <w:trPr>
          <w:trHeight w:val="300"/>
          <w:jc w:val="center"/>
        </w:trPr>
        <w:tc>
          <w:tcPr>
            <w:tcW w:w="3186" w:type="pct"/>
            <w:tcBorders>
              <w:top w:val="single" w:sz="4" w:space="0" w:color="auto"/>
              <w:left w:val="single" w:sz="4" w:space="0" w:color="auto"/>
              <w:bottom w:val="single" w:sz="4" w:space="0" w:color="auto"/>
              <w:right w:val="single" w:sz="4" w:space="0" w:color="auto"/>
            </w:tcBorders>
            <w:shd w:val="clear" w:color="000000" w:fill="666699"/>
            <w:vAlign w:val="center"/>
            <w:hideMark/>
          </w:tcPr>
          <w:p w:rsidR="00804B6C" w:rsidRPr="00BE36D3" w:rsidRDefault="00804B6C">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Total Egresos</w:t>
            </w:r>
          </w:p>
        </w:tc>
        <w:tc>
          <w:tcPr>
            <w:tcW w:w="907" w:type="pct"/>
            <w:tcBorders>
              <w:top w:val="nil"/>
              <w:left w:val="nil"/>
              <w:bottom w:val="single" w:sz="4" w:space="0" w:color="auto"/>
              <w:right w:val="single" w:sz="4" w:space="0" w:color="auto"/>
            </w:tcBorders>
            <w:shd w:val="clear" w:color="800080" w:fill="666699"/>
            <w:vAlign w:val="center"/>
            <w:hideMark/>
          </w:tcPr>
          <w:p w:rsidR="00804B6C" w:rsidRPr="00BE36D3" w:rsidRDefault="00804B6C">
            <w:pPr>
              <w:spacing w:after="0" w:line="240" w:lineRule="auto"/>
              <w:contextualSpacing/>
              <w:jc w:val="right"/>
              <w:rPr>
                <w:rFonts w:ascii="Arial" w:eastAsia="Times New Roman" w:hAnsi="Arial" w:cs="Arial"/>
                <w:b/>
                <w:bCs/>
                <w:i/>
                <w:iCs/>
                <w:color w:val="FFFFFF"/>
                <w:sz w:val="16"/>
                <w:szCs w:val="16"/>
                <w:lang w:eastAsia="es-CO"/>
              </w:rPr>
            </w:pPr>
            <w:r w:rsidRPr="00BE36D3">
              <w:rPr>
                <w:rFonts w:ascii="Arial" w:eastAsia="Times New Roman" w:hAnsi="Arial" w:cs="Arial"/>
                <w:b/>
                <w:bCs/>
                <w:i/>
                <w:iCs/>
                <w:color w:val="FFFFFF"/>
                <w:sz w:val="16"/>
                <w:szCs w:val="16"/>
                <w:lang w:eastAsia="es-CO"/>
              </w:rPr>
              <w:t> </w:t>
            </w:r>
          </w:p>
        </w:tc>
        <w:tc>
          <w:tcPr>
            <w:tcW w:w="907" w:type="pct"/>
            <w:tcBorders>
              <w:top w:val="nil"/>
              <w:left w:val="nil"/>
              <w:bottom w:val="single" w:sz="4" w:space="0" w:color="auto"/>
              <w:right w:val="single" w:sz="4" w:space="0" w:color="auto"/>
            </w:tcBorders>
            <w:shd w:val="clear" w:color="800080" w:fill="666699"/>
            <w:vAlign w:val="center"/>
            <w:hideMark/>
          </w:tcPr>
          <w:p w:rsidR="00804B6C" w:rsidRPr="00BE36D3" w:rsidRDefault="00804B6C">
            <w:pPr>
              <w:spacing w:after="0" w:line="240" w:lineRule="auto"/>
              <w:contextualSpacing/>
              <w:jc w:val="right"/>
              <w:rPr>
                <w:rFonts w:ascii="Arial" w:eastAsia="Times New Roman" w:hAnsi="Arial" w:cs="Arial"/>
                <w:b/>
                <w:bCs/>
                <w:i/>
                <w:iCs/>
                <w:color w:val="FFFFFF"/>
                <w:sz w:val="16"/>
                <w:szCs w:val="16"/>
                <w:lang w:eastAsia="es-CO"/>
              </w:rPr>
            </w:pPr>
            <w:r w:rsidRPr="00BE36D3">
              <w:rPr>
                <w:rFonts w:ascii="Arial" w:eastAsia="Times New Roman" w:hAnsi="Arial" w:cs="Arial"/>
                <w:b/>
                <w:bCs/>
                <w:i/>
                <w:iCs/>
                <w:color w:val="FFFFFF"/>
                <w:sz w:val="16"/>
                <w:szCs w:val="16"/>
                <w:lang w:eastAsia="es-CO"/>
              </w:rPr>
              <w:t>$3.799.660.578,67</w:t>
            </w:r>
          </w:p>
        </w:tc>
      </w:tr>
      <w:tr w:rsidR="00804B6C" w:rsidRPr="0009074C" w:rsidTr="005C29B0">
        <w:trPr>
          <w:trHeight w:val="300"/>
          <w:jc w:val="center"/>
        </w:trPr>
        <w:tc>
          <w:tcPr>
            <w:tcW w:w="3186"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Saldo Final (600) a 31/01/2021</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w:t>
            </w:r>
          </w:p>
        </w:tc>
        <w:tc>
          <w:tcPr>
            <w:tcW w:w="907" w:type="pct"/>
            <w:tcBorders>
              <w:top w:val="nil"/>
              <w:left w:val="nil"/>
              <w:bottom w:val="single" w:sz="4" w:space="0" w:color="auto"/>
              <w:right w:val="single" w:sz="4" w:space="0" w:color="auto"/>
            </w:tcBorders>
            <w:shd w:val="clear" w:color="FFFFFF" w:fill="FFFFFF"/>
            <w:vAlign w:val="center"/>
            <w:hideMark/>
          </w:tcPr>
          <w:p w:rsidR="00804B6C" w:rsidRPr="00BE36D3" w:rsidRDefault="00804B6C">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$1.177.795.055,63</w:t>
            </w:r>
          </w:p>
        </w:tc>
      </w:tr>
      <w:tr w:rsidR="00804B6C" w:rsidRPr="0009074C" w:rsidTr="005C29B0">
        <w:trPr>
          <w:trHeight w:val="300"/>
          <w:jc w:val="center"/>
        </w:trPr>
        <w:tc>
          <w:tcPr>
            <w:tcW w:w="3186" w:type="pct"/>
            <w:tcBorders>
              <w:top w:val="single" w:sz="4" w:space="0" w:color="auto"/>
              <w:left w:val="single" w:sz="4" w:space="0" w:color="auto"/>
              <w:bottom w:val="single" w:sz="4" w:space="0" w:color="auto"/>
              <w:right w:val="single" w:sz="4" w:space="0" w:color="auto"/>
            </w:tcBorders>
            <w:shd w:val="clear" w:color="000000" w:fill="666699"/>
            <w:vAlign w:val="center"/>
            <w:hideMark/>
          </w:tcPr>
          <w:p w:rsidR="00804B6C" w:rsidRPr="00BE36D3" w:rsidRDefault="00804B6C">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Ingresos - Egresos</w:t>
            </w:r>
          </w:p>
        </w:tc>
        <w:tc>
          <w:tcPr>
            <w:tcW w:w="907" w:type="pct"/>
            <w:tcBorders>
              <w:top w:val="nil"/>
              <w:left w:val="nil"/>
              <w:bottom w:val="single" w:sz="4" w:space="0" w:color="auto"/>
              <w:right w:val="single" w:sz="4" w:space="0" w:color="auto"/>
            </w:tcBorders>
            <w:shd w:val="clear" w:color="800080" w:fill="666699"/>
            <w:vAlign w:val="center"/>
            <w:hideMark/>
          </w:tcPr>
          <w:p w:rsidR="00804B6C" w:rsidRPr="00BE36D3" w:rsidRDefault="00804B6C">
            <w:pPr>
              <w:spacing w:after="0" w:line="240" w:lineRule="auto"/>
              <w:contextualSpacing/>
              <w:jc w:val="right"/>
              <w:rPr>
                <w:rFonts w:ascii="Arial" w:eastAsia="Times New Roman" w:hAnsi="Arial" w:cs="Arial"/>
                <w:b/>
                <w:bCs/>
                <w:i/>
                <w:iCs/>
                <w:color w:val="FFFFFF"/>
                <w:sz w:val="16"/>
                <w:szCs w:val="16"/>
                <w:lang w:eastAsia="es-CO"/>
              </w:rPr>
            </w:pPr>
            <w:r w:rsidRPr="00BE36D3">
              <w:rPr>
                <w:rFonts w:ascii="Arial" w:eastAsia="Times New Roman" w:hAnsi="Arial" w:cs="Arial"/>
                <w:b/>
                <w:bCs/>
                <w:i/>
                <w:iCs/>
                <w:color w:val="FFFFFF"/>
                <w:sz w:val="16"/>
                <w:szCs w:val="16"/>
                <w:lang w:eastAsia="es-CO"/>
              </w:rPr>
              <w:t> </w:t>
            </w:r>
          </w:p>
        </w:tc>
        <w:tc>
          <w:tcPr>
            <w:tcW w:w="907" w:type="pct"/>
            <w:tcBorders>
              <w:top w:val="nil"/>
              <w:left w:val="nil"/>
              <w:bottom w:val="single" w:sz="4" w:space="0" w:color="auto"/>
              <w:right w:val="single" w:sz="4" w:space="0" w:color="auto"/>
            </w:tcBorders>
            <w:shd w:val="clear" w:color="800080" w:fill="666699"/>
            <w:vAlign w:val="center"/>
            <w:hideMark/>
          </w:tcPr>
          <w:p w:rsidR="00804B6C" w:rsidRPr="00BE36D3" w:rsidRDefault="00804B6C">
            <w:pPr>
              <w:spacing w:after="0" w:line="240" w:lineRule="auto"/>
              <w:contextualSpacing/>
              <w:jc w:val="right"/>
              <w:rPr>
                <w:rFonts w:ascii="Arial" w:eastAsia="Times New Roman" w:hAnsi="Arial" w:cs="Arial"/>
                <w:b/>
                <w:bCs/>
                <w:i/>
                <w:iCs/>
                <w:color w:val="FFFFFF"/>
                <w:sz w:val="16"/>
                <w:szCs w:val="16"/>
                <w:lang w:eastAsia="es-CO"/>
              </w:rPr>
            </w:pPr>
            <w:r w:rsidRPr="00BE36D3">
              <w:rPr>
                <w:rFonts w:ascii="Arial" w:eastAsia="Times New Roman" w:hAnsi="Arial" w:cs="Arial"/>
                <w:b/>
                <w:bCs/>
                <w:i/>
                <w:iCs/>
                <w:color w:val="FFFFFF"/>
                <w:sz w:val="16"/>
                <w:szCs w:val="16"/>
                <w:lang w:eastAsia="es-CO"/>
              </w:rPr>
              <w:t>$1.177.795.055,63</w:t>
            </w:r>
          </w:p>
        </w:tc>
      </w:tr>
    </w:tbl>
    <w:p w:rsidR="00C70E89" w:rsidRPr="00BE36D3" w:rsidRDefault="00C70E89">
      <w:pPr>
        <w:spacing w:line="240" w:lineRule="auto"/>
        <w:contextualSpacing/>
        <w:jc w:val="center"/>
        <w:rPr>
          <w:rFonts w:ascii="Arial" w:hAnsi="Arial" w:cs="Arial"/>
          <w:sz w:val="20"/>
          <w:szCs w:val="20"/>
          <w:lang w:val="es-ES_tradnl"/>
        </w:rPr>
      </w:pPr>
      <w:r w:rsidRPr="00BE36D3">
        <w:rPr>
          <w:rFonts w:ascii="Arial" w:hAnsi="Arial" w:cs="Arial"/>
          <w:b/>
          <w:sz w:val="20"/>
          <w:szCs w:val="20"/>
          <w:lang w:val="es-ES_tradnl"/>
        </w:rPr>
        <w:t xml:space="preserve">Fuente: </w:t>
      </w:r>
      <w:r w:rsidRPr="00BE36D3">
        <w:rPr>
          <w:rFonts w:ascii="Arial" w:hAnsi="Arial" w:cs="Arial"/>
          <w:sz w:val="20"/>
          <w:szCs w:val="20"/>
          <w:lang w:val="es-ES_tradnl"/>
        </w:rPr>
        <w:t>Elaboración DAF con información reportada en el Sistema PISIS.</w:t>
      </w:r>
    </w:p>
    <w:p w:rsidR="0009074C" w:rsidRPr="00BE36D3" w:rsidRDefault="0009074C">
      <w:pPr>
        <w:spacing w:line="240" w:lineRule="auto"/>
        <w:contextualSpacing/>
        <w:jc w:val="both"/>
        <w:rPr>
          <w:rFonts w:ascii="Arial" w:hAnsi="Arial" w:cs="Arial"/>
          <w:bCs/>
          <w:iCs/>
        </w:rPr>
      </w:pPr>
    </w:p>
    <w:p w:rsidR="003F276D" w:rsidRPr="00BE36D3" w:rsidRDefault="00C70E89">
      <w:pPr>
        <w:spacing w:line="240" w:lineRule="auto"/>
        <w:contextualSpacing/>
        <w:jc w:val="both"/>
        <w:rPr>
          <w:rFonts w:ascii="Arial" w:hAnsi="Arial" w:cs="Arial"/>
          <w:bCs/>
          <w:iCs/>
        </w:rPr>
      </w:pPr>
      <w:r w:rsidRPr="00BE36D3">
        <w:rPr>
          <w:rFonts w:ascii="Arial" w:hAnsi="Arial" w:cs="Arial"/>
          <w:bCs/>
          <w:iCs/>
        </w:rPr>
        <w:t xml:space="preserve">Frente a la información obtenida, </w:t>
      </w:r>
      <w:r w:rsidR="00FB7645">
        <w:rPr>
          <w:rFonts w:ascii="Arial" w:hAnsi="Arial" w:cs="Arial"/>
          <w:bCs/>
          <w:iCs/>
        </w:rPr>
        <w:t>cabe</w:t>
      </w:r>
      <w:r w:rsidRPr="00BE36D3">
        <w:rPr>
          <w:rFonts w:ascii="Arial" w:hAnsi="Arial" w:cs="Arial"/>
          <w:bCs/>
          <w:iCs/>
        </w:rPr>
        <w:t xml:space="preserve"> señalar que el saldo final corresponde con la diferencia entre el total de los movimientos de ingresos y egresos</w:t>
      </w:r>
      <w:r w:rsidR="00535CFD">
        <w:rPr>
          <w:rFonts w:ascii="Arial" w:hAnsi="Arial" w:cs="Arial"/>
          <w:bCs/>
          <w:iCs/>
        </w:rPr>
        <w:t xml:space="preserve">. </w:t>
      </w:r>
      <w:r w:rsidR="003F276D" w:rsidRPr="00BE36D3">
        <w:rPr>
          <w:rFonts w:ascii="Arial" w:hAnsi="Arial" w:cs="Arial"/>
          <w:bCs/>
          <w:iCs/>
        </w:rPr>
        <w:t>En la información discriminada de los ingresos se evidencia que la Cuenta Maestra está generando rendimientos financieros, cumpliendo así con uno de los elementos fundamentales que definen a las Cuentas Maestras. Llama la atención que en los ingresos se identifican movimientos correspondientes a una cuenta del Municipio de Santiago de Tolú por un valor de $2.982.000, situación anómala debido a que</w:t>
      </w:r>
      <w:r w:rsidR="00811763" w:rsidRPr="00BE36D3">
        <w:rPr>
          <w:rFonts w:ascii="Arial" w:hAnsi="Arial" w:cs="Arial"/>
          <w:bCs/>
          <w:iCs/>
        </w:rPr>
        <w:t>, dependiendo de la naturaleza del recurso,</w:t>
      </w:r>
      <w:r w:rsidR="00D6687C" w:rsidRPr="00BE36D3">
        <w:rPr>
          <w:rFonts w:ascii="Arial" w:hAnsi="Arial" w:cs="Arial"/>
          <w:bCs/>
          <w:iCs/>
        </w:rPr>
        <w:t xml:space="preserve"> </w:t>
      </w:r>
      <w:r w:rsidR="003F276D" w:rsidRPr="00BE36D3">
        <w:rPr>
          <w:rFonts w:ascii="Arial" w:hAnsi="Arial" w:cs="Arial"/>
          <w:bCs/>
          <w:iCs/>
        </w:rPr>
        <w:t>configurar</w:t>
      </w:r>
      <w:r w:rsidR="00811763" w:rsidRPr="00BE36D3">
        <w:rPr>
          <w:rFonts w:ascii="Arial" w:hAnsi="Arial" w:cs="Arial"/>
          <w:bCs/>
          <w:iCs/>
        </w:rPr>
        <w:t>ía</w:t>
      </w:r>
      <w:r w:rsidR="003F276D" w:rsidRPr="00BE36D3">
        <w:rPr>
          <w:rFonts w:ascii="Arial" w:hAnsi="Arial" w:cs="Arial"/>
          <w:bCs/>
          <w:iCs/>
        </w:rPr>
        <w:t xml:space="preserve"> una unidad caja no permitida por la ley</w:t>
      </w:r>
      <w:r w:rsidR="00FB7645">
        <w:rPr>
          <w:rFonts w:ascii="Arial" w:hAnsi="Arial" w:cs="Arial"/>
          <w:bCs/>
          <w:iCs/>
        </w:rPr>
        <w:t xml:space="preserve"> -artículo 91 Ley 715 de 2001-</w:t>
      </w:r>
      <w:r w:rsidR="003F276D" w:rsidRPr="00BE36D3">
        <w:rPr>
          <w:rFonts w:ascii="Arial" w:hAnsi="Arial" w:cs="Arial"/>
          <w:bCs/>
          <w:iCs/>
        </w:rPr>
        <w:t xml:space="preserve">. </w:t>
      </w:r>
      <w:r w:rsidR="00B03A0A" w:rsidRPr="00BE36D3">
        <w:rPr>
          <w:rFonts w:ascii="Arial" w:hAnsi="Arial" w:cs="Arial"/>
          <w:bCs/>
          <w:iCs/>
        </w:rPr>
        <w:t xml:space="preserve">El Municipio deberá </w:t>
      </w:r>
      <w:r w:rsidR="00811763" w:rsidRPr="00BE36D3">
        <w:rPr>
          <w:rFonts w:ascii="Arial" w:hAnsi="Arial" w:cs="Arial"/>
          <w:bCs/>
          <w:iCs/>
        </w:rPr>
        <w:t>determinar</w:t>
      </w:r>
      <w:r w:rsidR="00B03A0A" w:rsidRPr="00BE36D3">
        <w:rPr>
          <w:rFonts w:ascii="Arial" w:hAnsi="Arial" w:cs="Arial"/>
          <w:bCs/>
          <w:iCs/>
        </w:rPr>
        <w:t xml:space="preserve"> la naturaleza de este ingreso y verificar si se ajusta a la normatividad vigente en materia de </w:t>
      </w:r>
      <w:r w:rsidR="00FB7645">
        <w:rPr>
          <w:rFonts w:ascii="Arial" w:hAnsi="Arial" w:cs="Arial"/>
          <w:bCs/>
          <w:iCs/>
        </w:rPr>
        <w:t>C</w:t>
      </w:r>
      <w:r w:rsidR="00B03A0A" w:rsidRPr="00BE36D3">
        <w:rPr>
          <w:rFonts w:ascii="Arial" w:hAnsi="Arial" w:cs="Arial"/>
          <w:bCs/>
          <w:iCs/>
        </w:rPr>
        <w:t xml:space="preserve">uentas </w:t>
      </w:r>
      <w:r w:rsidR="00FB7645">
        <w:rPr>
          <w:rFonts w:ascii="Arial" w:hAnsi="Arial" w:cs="Arial"/>
          <w:bCs/>
          <w:iCs/>
        </w:rPr>
        <w:t>M</w:t>
      </w:r>
      <w:r w:rsidR="00B03A0A" w:rsidRPr="00BE36D3">
        <w:rPr>
          <w:rFonts w:ascii="Arial" w:hAnsi="Arial" w:cs="Arial"/>
          <w:bCs/>
          <w:iCs/>
        </w:rPr>
        <w:t>aestras</w:t>
      </w:r>
      <w:r w:rsidR="00811763" w:rsidRPr="00BE36D3">
        <w:rPr>
          <w:rFonts w:ascii="Arial" w:hAnsi="Arial" w:cs="Arial"/>
          <w:bCs/>
          <w:iCs/>
        </w:rPr>
        <w:t>.</w:t>
      </w:r>
    </w:p>
    <w:p w:rsidR="00965AB7" w:rsidRPr="00BE36D3" w:rsidRDefault="00965AB7">
      <w:pPr>
        <w:spacing w:line="240" w:lineRule="auto"/>
        <w:contextualSpacing/>
        <w:jc w:val="both"/>
        <w:rPr>
          <w:rFonts w:ascii="Arial" w:hAnsi="Arial" w:cs="Arial"/>
          <w:bCs/>
          <w:iCs/>
        </w:rPr>
      </w:pPr>
    </w:p>
    <w:p w:rsidR="003F276D" w:rsidRPr="00BE36D3" w:rsidRDefault="003F276D">
      <w:pPr>
        <w:spacing w:after="0" w:line="240" w:lineRule="auto"/>
        <w:contextualSpacing/>
        <w:jc w:val="center"/>
        <w:rPr>
          <w:rFonts w:ascii="Arial" w:hAnsi="Arial" w:cs="Arial"/>
          <w:b/>
          <w:bCs/>
          <w:iCs/>
          <w:sz w:val="20"/>
          <w:szCs w:val="24"/>
        </w:rPr>
      </w:pPr>
      <w:r w:rsidRPr="00BE36D3">
        <w:rPr>
          <w:rFonts w:ascii="Arial" w:hAnsi="Arial" w:cs="Arial"/>
          <w:b/>
          <w:bCs/>
          <w:iCs/>
          <w:sz w:val="20"/>
          <w:szCs w:val="24"/>
        </w:rPr>
        <w:t>Cuadro No. 7</w:t>
      </w:r>
    </w:p>
    <w:p w:rsidR="003F276D" w:rsidRPr="00BE36D3" w:rsidRDefault="003F276D">
      <w:pPr>
        <w:spacing w:after="0" w:line="240" w:lineRule="auto"/>
        <w:contextualSpacing/>
        <w:jc w:val="center"/>
        <w:rPr>
          <w:rFonts w:ascii="Arial" w:hAnsi="Arial" w:cs="Arial"/>
          <w:bCs/>
          <w:iCs/>
          <w:sz w:val="20"/>
          <w:szCs w:val="24"/>
        </w:rPr>
      </w:pPr>
      <w:r w:rsidRPr="00BE36D3">
        <w:rPr>
          <w:rFonts w:ascii="Arial" w:hAnsi="Arial" w:cs="Arial"/>
          <w:bCs/>
          <w:iCs/>
          <w:sz w:val="20"/>
          <w:szCs w:val="24"/>
        </w:rPr>
        <w:t>Municipio de Santiago de Tolú - Sucre</w:t>
      </w:r>
    </w:p>
    <w:p w:rsidR="003F276D" w:rsidRPr="00BE36D3" w:rsidRDefault="003F276D">
      <w:pPr>
        <w:spacing w:line="240" w:lineRule="auto"/>
        <w:contextualSpacing/>
        <w:jc w:val="center"/>
        <w:rPr>
          <w:rFonts w:ascii="Arial" w:hAnsi="Arial" w:cs="Arial"/>
          <w:bCs/>
          <w:iCs/>
          <w:sz w:val="20"/>
          <w:szCs w:val="24"/>
        </w:rPr>
      </w:pPr>
      <w:r w:rsidRPr="00BE36D3">
        <w:rPr>
          <w:rFonts w:ascii="Arial" w:hAnsi="Arial" w:cs="Arial"/>
          <w:bCs/>
          <w:iCs/>
          <w:sz w:val="20"/>
          <w:szCs w:val="24"/>
        </w:rPr>
        <w:t>Ingresos Cuenta Maestra Propósito General – diciembre 2019 a enero de 2021</w:t>
      </w:r>
    </w:p>
    <w:tbl>
      <w:tblPr>
        <w:tblW w:w="5361" w:type="pct"/>
        <w:jc w:val="center"/>
        <w:tblCellMar>
          <w:left w:w="70" w:type="dxa"/>
          <w:right w:w="70" w:type="dxa"/>
        </w:tblCellMar>
        <w:tblLook w:val="04A0" w:firstRow="1" w:lastRow="0" w:firstColumn="1" w:lastColumn="0" w:noHBand="0" w:noVBand="1"/>
      </w:tblPr>
      <w:tblGrid>
        <w:gridCol w:w="3738"/>
        <w:gridCol w:w="1017"/>
        <w:gridCol w:w="1143"/>
        <w:gridCol w:w="1399"/>
        <w:gridCol w:w="1418"/>
        <w:gridCol w:w="750"/>
      </w:tblGrid>
      <w:tr w:rsidR="003F276D" w:rsidRPr="0009074C" w:rsidTr="005C29B0">
        <w:trPr>
          <w:trHeight w:val="6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666699"/>
            <w:vAlign w:val="center"/>
            <w:hideMark/>
          </w:tcPr>
          <w:p w:rsidR="003F276D" w:rsidRPr="00BE36D3" w:rsidRDefault="003F276D">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INFORMACIÓN DISCRIMINADA DE INGRESOS</w:t>
            </w:r>
          </w:p>
        </w:tc>
      </w:tr>
      <w:tr w:rsidR="003F276D" w:rsidRPr="0009074C" w:rsidTr="005C29B0">
        <w:trPr>
          <w:trHeight w:val="295"/>
          <w:jc w:val="center"/>
        </w:trPr>
        <w:tc>
          <w:tcPr>
            <w:tcW w:w="1975" w:type="pct"/>
            <w:tcBorders>
              <w:top w:val="nil"/>
              <w:left w:val="single" w:sz="4" w:space="0" w:color="auto"/>
              <w:bottom w:val="single" w:sz="4" w:space="0" w:color="auto"/>
              <w:right w:val="single" w:sz="4" w:space="0" w:color="auto"/>
            </w:tcBorders>
            <w:shd w:val="clear" w:color="000000" w:fill="E5E5FF"/>
            <w:vAlign w:val="center"/>
            <w:hideMark/>
          </w:tcPr>
          <w:p w:rsidR="003F276D" w:rsidRPr="00BE36D3" w:rsidRDefault="003F276D">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 xml:space="preserve"> Nombre o Razón Social </w:t>
            </w:r>
          </w:p>
        </w:tc>
        <w:tc>
          <w:tcPr>
            <w:tcW w:w="537" w:type="pct"/>
            <w:tcBorders>
              <w:top w:val="nil"/>
              <w:left w:val="nil"/>
              <w:bottom w:val="single" w:sz="4" w:space="0" w:color="auto"/>
              <w:right w:val="single" w:sz="4" w:space="0" w:color="auto"/>
            </w:tcBorders>
            <w:shd w:val="clear" w:color="000000" w:fill="E5E5FF"/>
            <w:vAlign w:val="center"/>
            <w:hideMark/>
          </w:tcPr>
          <w:p w:rsidR="003F276D" w:rsidRPr="00BE36D3" w:rsidRDefault="003F276D">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 xml:space="preserve">NIT </w:t>
            </w:r>
          </w:p>
        </w:tc>
        <w:tc>
          <w:tcPr>
            <w:tcW w:w="604" w:type="pct"/>
            <w:tcBorders>
              <w:top w:val="nil"/>
              <w:left w:val="nil"/>
              <w:bottom w:val="single" w:sz="4" w:space="0" w:color="auto"/>
              <w:right w:val="single" w:sz="4" w:space="0" w:color="auto"/>
            </w:tcBorders>
            <w:shd w:val="clear" w:color="000000" w:fill="E5E5FF"/>
            <w:vAlign w:val="center"/>
            <w:hideMark/>
          </w:tcPr>
          <w:p w:rsidR="003F276D" w:rsidRPr="00BE36D3" w:rsidRDefault="003F276D">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 xml:space="preserve">No. de Cuenta </w:t>
            </w:r>
          </w:p>
        </w:tc>
        <w:tc>
          <w:tcPr>
            <w:tcW w:w="739" w:type="pct"/>
            <w:tcBorders>
              <w:top w:val="nil"/>
              <w:left w:val="nil"/>
              <w:bottom w:val="single" w:sz="4" w:space="0" w:color="auto"/>
              <w:right w:val="single" w:sz="4" w:space="0" w:color="auto"/>
            </w:tcBorders>
            <w:shd w:val="clear" w:color="000000" w:fill="E5E5FF"/>
            <w:vAlign w:val="center"/>
            <w:hideMark/>
          </w:tcPr>
          <w:p w:rsidR="003F276D" w:rsidRPr="00BE36D3" w:rsidRDefault="003F276D">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 xml:space="preserve"> Establecimiento Bancario </w:t>
            </w:r>
          </w:p>
        </w:tc>
        <w:tc>
          <w:tcPr>
            <w:tcW w:w="749" w:type="pct"/>
            <w:tcBorders>
              <w:top w:val="nil"/>
              <w:left w:val="nil"/>
              <w:bottom w:val="single" w:sz="4" w:space="0" w:color="auto"/>
              <w:right w:val="single" w:sz="4" w:space="0" w:color="auto"/>
            </w:tcBorders>
            <w:shd w:val="clear" w:color="000000" w:fill="E5E5FF"/>
            <w:vAlign w:val="center"/>
            <w:hideMark/>
          </w:tcPr>
          <w:p w:rsidR="003F276D" w:rsidRPr="00BE36D3" w:rsidRDefault="003F276D">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 xml:space="preserve">Valor Abonado </w:t>
            </w:r>
          </w:p>
        </w:tc>
        <w:tc>
          <w:tcPr>
            <w:tcW w:w="397" w:type="pct"/>
            <w:tcBorders>
              <w:top w:val="nil"/>
              <w:left w:val="nil"/>
              <w:bottom w:val="single" w:sz="4" w:space="0" w:color="auto"/>
              <w:right w:val="single" w:sz="4" w:space="0" w:color="auto"/>
            </w:tcBorders>
            <w:shd w:val="clear" w:color="000000" w:fill="E5E5FF"/>
            <w:vAlign w:val="center"/>
            <w:hideMark/>
          </w:tcPr>
          <w:p w:rsidR="003F276D" w:rsidRPr="00BE36D3" w:rsidRDefault="003F276D">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 xml:space="preserve">No. de Abonos </w:t>
            </w:r>
          </w:p>
        </w:tc>
      </w:tr>
      <w:tr w:rsidR="003F276D" w:rsidRPr="0009074C" w:rsidTr="005C29B0">
        <w:trPr>
          <w:trHeight w:val="295"/>
          <w:jc w:val="center"/>
        </w:trPr>
        <w:tc>
          <w:tcPr>
            <w:tcW w:w="1975" w:type="pct"/>
            <w:tcBorders>
              <w:top w:val="nil"/>
              <w:left w:val="single" w:sz="4" w:space="0" w:color="auto"/>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MINISTERIO DE HACIENDA Y CREDITO PUBLICO</w:t>
            </w:r>
          </w:p>
        </w:tc>
        <w:tc>
          <w:tcPr>
            <w:tcW w:w="537"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899999090-2</w:t>
            </w:r>
          </w:p>
        </w:tc>
        <w:tc>
          <w:tcPr>
            <w:tcW w:w="604"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39"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BANCO DE LA REPÚBLICA</w:t>
            </w:r>
          </w:p>
        </w:tc>
        <w:tc>
          <w:tcPr>
            <w:tcW w:w="749"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$2.934.540.869</w:t>
            </w:r>
          </w:p>
        </w:tc>
        <w:tc>
          <w:tcPr>
            <w:tcW w:w="397"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w:t>
            </w:r>
          </w:p>
        </w:tc>
      </w:tr>
      <w:tr w:rsidR="003F276D" w:rsidRPr="0009074C" w:rsidTr="005C29B0">
        <w:trPr>
          <w:trHeight w:val="295"/>
          <w:jc w:val="center"/>
        </w:trPr>
        <w:tc>
          <w:tcPr>
            <w:tcW w:w="1975" w:type="pct"/>
            <w:tcBorders>
              <w:top w:val="nil"/>
              <w:left w:val="single" w:sz="4" w:space="0" w:color="auto"/>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MINISTERIODEHACIENDAYCREDITOPUBLICO</w:t>
            </w:r>
          </w:p>
        </w:tc>
        <w:tc>
          <w:tcPr>
            <w:tcW w:w="537"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899999090-2</w:t>
            </w:r>
          </w:p>
        </w:tc>
        <w:tc>
          <w:tcPr>
            <w:tcW w:w="604"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39"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BANCO DE LA REPÚBLICA</w:t>
            </w:r>
          </w:p>
        </w:tc>
        <w:tc>
          <w:tcPr>
            <w:tcW w:w="749"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$221.838.708</w:t>
            </w:r>
          </w:p>
        </w:tc>
        <w:tc>
          <w:tcPr>
            <w:tcW w:w="397"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w:t>
            </w:r>
          </w:p>
        </w:tc>
      </w:tr>
      <w:tr w:rsidR="003F276D" w:rsidRPr="0009074C" w:rsidTr="005C29B0">
        <w:trPr>
          <w:trHeight w:val="295"/>
          <w:jc w:val="center"/>
        </w:trPr>
        <w:tc>
          <w:tcPr>
            <w:tcW w:w="1975" w:type="pct"/>
            <w:tcBorders>
              <w:top w:val="nil"/>
              <w:left w:val="single" w:sz="4" w:space="0" w:color="auto"/>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BANCOLOMBIA S A</w:t>
            </w:r>
          </w:p>
        </w:tc>
        <w:tc>
          <w:tcPr>
            <w:tcW w:w="537"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890903938-8</w:t>
            </w:r>
          </w:p>
        </w:tc>
        <w:tc>
          <w:tcPr>
            <w:tcW w:w="604"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 </w:t>
            </w:r>
          </w:p>
        </w:tc>
        <w:tc>
          <w:tcPr>
            <w:tcW w:w="739"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BANCOLOMBIA</w:t>
            </w:r>
          </w:p>
        </w:tc>
        <w:tc>
          <w:tcPr>
            <w:tcW w:w="749"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$11.136.230,54</w:t>
            </w:r>
          </w:p>
        </w:tc>
        <w:tc>
          <w:tcPr>
            <w:tcW w:w="397"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118</w:t>
            </w:r>
          </w:p>
        </w:tc>
      </w:tr>
      <w:tr w:rsidR="003F276D" w:rsidRPr="0009074C" w:rsidTr="005C29B0">
        <w:trPr>
          <w:trHeight w:val="295"/>
          <w:jc w:val="center"/>
        </w:trPr>
        <w:tc>
          <w:tcPr>
            <w:tcW w:w="1975" w:type="pct"/>
            <w:tcBorders>
              <w:top w:val="nil"/>
              <w:left w:val="single" w:sz="4" w:space="0" w:color="auto"/>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BANCOLOMBIA SA</w:t>
            </w:r>
          </w:p>
        </w:tc>
        <w:tc>
          <w:tcPr>
            <w:tcW w:w="537"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890903938-8</w:t>
            </w:r>
          </w:p>
        </w:tc>
        <w:tc>
          <w:tcPr>
            <w:tcW w:w="604"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 </w:t>
            </w:r>
          </w:p>
        </w:tc>
        <w:tc>
          <w:tcPr>
            <w:tcW w:w="739"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BANCOLOMBIA</w:t>
            </w:r>
          </w:p>
        </w:tc>
        <w:tc>
          <w:tcPr>
            <w:tcW w:w="749"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$2.523.787,44</w:t>
            </w:r>
          </w:p>
        </w:tc>
        <w:tc>
          <w:tcPr>
            <w:tcW w:w="397"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35</w:t>
            </w:r>
          </w:p>
        </w:tc>
      </w:tr>
      <w:tr w:rsidR="003F276D" w:rsidRPr="0009074C" w:rsidTr="005C29B0">
        <w:trPr>
          <w:trHeight w:val="295"/>
          <w:jc w:val="center"/>
        </w:trPr>
        <w:tc>
          <w:tcPr>
            <w:tcW w:w="1975" w:type="pct"/>
            <w:tcBorders>
              <w:top w:val="nil"/>
              <w:left w:val="single" w:sz="4" w:space="0" w:color="auto"/>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BANCOLOMBIASA</w:t>
            </w:r>
          </w:p>
        </w:tc>
        <w:tc>
          <w:tcPr>
            <w:tcW w:w="537"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890903938-8</w:t>
            </w:r>
          </w:p>
        </w:tc>
        <w:tc>
          <w:tcPr>
            <w:tcW w:w="604"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 </w:t>
            </w:r>
          </w:p>
        </w:tc>
        <w:tc>
          <w:tcPr>
            <w:tcW w:w="739"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BANCOLOMBIA</w:t>
            </w:r>
          </w:p>
        </w:tc>
        <w:tc>
          <w:tcPr>
            <w:tcW w:w="749"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$628.466,79</w:t>
            </w:r>
          </w:p>
        </w:tc>
        <w:tc>
          <w:tcPr>
            <w:tcW w:w="397"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w:t>
            </w:r>
          </w:p>
        </w:tc>
      </w:tr>
      <w:tr w:rsidR="003F276D" w:rsidRPr="0009074C" w:rsidTr="005C29B0">
        <w:trPr>
          <w:trHeight w:val="295"/>
          <w:jc w:val="center"/>
        </w:trPr>
        <w:tc>
          <w:tcPr>
            <w:tcW w:w="1975" w:type="pct"/>
            <w:tcBorders>
              <w:top w:val="nil"/>
              <w:left w:val="single" w:sz="4" w:space="0" w:color="auto"/>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MUNICIPIO SANTIAGO DE TOLU</w:t>
            </w:r>
          </w:p>
        </w:tc>
        <w:tc>
          <w:tcPr>
            <w:tcW w:w="537"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892200839-7</w:t>
            </w:r>
          </w:p>
        </w:tc>
        <w:tc>
          <w:tcPr>
            <w:tcW w:w="604"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50700013771</w:t>
            </w:r>
          </w:p>
        </w:tc>
        <w:tc>
          <w:tcPr>
            <w:tcW w:w="739"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BANCOLOMBIA</w:t>
            </w:r>
          </w:p>
        </w:tc>
        <w:tc>
          <w:tcPr>
            <w:tcW w:w="749"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$2.982.000</w:t>
            </w:r>
          </w:p>
        </w:tc>
        <w:tc>
          <w:tcPr>
            <w:tcW w:w="397" w:type="pct"/>
            <w:tcBorders>
              <w:top w:val="nil"/>
              <w:left w:val="nil"/>
              <w:bottom w:val="single" w:sz="4" w:space="0" w:color="auto"/>
              <w:right w:val="single" w:sz="4" w:space="0" w:color="auto"/>
            </w:tcBorders>
            <w:shd w:val="clear" w:color="auto" w:fill="auto"/>
            <w:vAlign w:val="center"/>
            <w:hideMark/>
          </w:tcPr>
          <w:p w:rsidR="003F276D" w:rsidRPr="00BE36D3" w:rsidRDefault="003F276D">
            <w:pPr>
              <w:spacing w:after="0" w:line="240" w:lineRule="auto"/>
              <w:contextualSpacing/>
              <w:jc w:val="right"/>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w:t>
            </w:r>
          </w:p>
        </w:tc>
      </w:tr>
    </w:tbl>
    <w:p w:rsidR="003F276D" w:rsidRPr="00BE36D3" w:rsidRDefault="003F276D">
      <w:pPr>
        <w:spacing w:line="240" w:lineRule="auto"/>
        <w:contextualSpacing/>
        <w:jc w:val="center"/>
        <w:rPr>
          <w:rFonts w:ascii="Arial" w:hAnsi="Arial" w:cs="Arial"/>
          <w:sz w:val="20"/>
          <w:szCs w:val="20"/>
          <w:lang w:val="es-ES_tradnl"/>
        </w:rPr>
      </w:pPr>
      <w:r w:rsidRPr="00BE36D3">
        <w:rPr>
          <w:rFonts w:ascii="Arial" w:hAnsi="Arial" w:cs="Arial"/>
          <w:b/>
          <w:sz w:val="20"/>
          <w:szCs w:val="20"/>
          <w:lang w:val="es-ES_tradnl"/>
        </w:rPr>
        <w:t xml:space="preserve">Fuente: </w:t>
      </w:r>
      <w:r w:rsidRPr="00BE36D3">
        <w:rPr>
          <w:rFonts w:ascii="Arial" w:hAnsi="Arial" w:cs="Arial"/>
          <w:sz w:val="20"/>
          <w:szCs w:val="20"/>
          <w:lang w:val="es-ES_tradnl"/>
        </w:rPr>
        <w:t>Elaboración DAF con información reportada en el Sistema PISIS.</w:t>
      </w:r>
    </w:p>
    <w:p w:rsidR="0009074C" w:rsidRPr="00BE36D3" w:rsidRDefault="0009074C">
      <w:pPr>
        <w:spacing w:line="240" w:lineRule="auto"/>
        <w:contextualSpacing/>
        <w:jc w:val="both"/>
        <w:rPr>
          <w:rFonts w:ascii="Arial" w:hAnsi="Arial" w:cs="Arial"/>
          <w:bCs/>
          <w:iCs/>
        </w:rPr>
      </w:pPr>
    </w:p>
    <w:p w:rsidR="003F276D" w:rsidRDefault="00C1699A">
      <w:pPr>
        <w:spacing w:line="240" w:lineRule="auto"/>
        <w:contextualSpacing/>
        <w:jc w:val="both"/>
        <w:rPr>
          <w:rFonts w:ascii="Arial" w:hAnsi="Arial" w:cs="Arial"/>
          <w:bCs/>
          <w:iCs/>
        </w:rPr>
      </w:pPr>
      <w:r w:rsidRPr="00BE36D3">
        <w:rPr>
          <w:rFonts w:ascii="Arial" w:hAnsi="Arial" w:cs="Arial"/>
          <w:bCs/>
          <w:iCs/>
        </w:rPr>
        <w:lastRenderedPageBreak/>
        <w:t>Así mismo se evidencian traslados a “</w:t>
      </w:r>
      <w:r w:rsidRPr="00BE36D3">
        <w:rPr>
          <w:rFonts w:ascii="Arial" w:hAnsi="Arial" w:cs="Arial"/>
          <w:bCs/>
          <w:i/>
        </w:rPr>
        <w:t>FIC ABIERTO ARCO IRIS CONSERVA</w:t>
      </w:r>
      <w:r w:rsidRPr="00BE36D3">
        <w:rPr>
          <w:rFonts w:ascii="Arial" w:hAnsi="Arial" w:cs="Arial"/>
          <w:bCs/>
          <w:iCs/>
        </w:rPr>
        <w:t>” lo que significa que se le está pagando a un fondo de inversión colectiva con recursos del Sistema General de Participaciones, por lo cual se debe hacer la verificación respectiva del cumplimiento de la norma.</w:t>
      </w:r>
      <w:r w:rsidR="005F088A" w:rsidRPr="00BE36D3">
        <w:rPr>
          <w:rFonts w:ascii="Arial" w:hAnsi="Arial" w:cs="Arial"/>
          <w:bCs/>
          <w:iCs/>
        </w:rPr>
        <w:t xml:space="preserve"> </w:t>
      </w:r>
      <w:r w:rsidRPr="00BE36D3">
        <w:rPr>
          <w:rFonts w:ascii="Arial" w:hAnsi="Arial" w:cs="Arial"/>
          <w:bCs/>
          <w:iCs/>
        </w:rPr>
        <w:t xml:space="preserve">Del mismo modo se </w:t>
      </w:r>
      <w:r w:rsidR="00FD507F" w:rsidRPr="00BE36D3">
        <w:rPr>
          <w:rFonts w:ascii="Arial" w:hAnsi="Arial" w:cs="Arial"/>
          <w:bCs/>
          <w:iCs/>
        </w:rPr>
        <w:t>evidencian</w:t>
      </w:r>
      <w:r w:rsidRPr="00BE36D3">
        <w:rPr>
          <w:rFonts w:ascii="Arial" w:hAnsi="Arial" w:cs="Arial"/>
          <w:bCs/>
          <w:iCs/>
        </w:rPr>
        <w:t xml:space="preserve"> egresos a “</w:t>
      </w:r>
      <w:r w:rsidR="009F458E" w:rsidRPr="009F458E">
        <w:rPr>
          <w:rFonts w:ascii="Arial" w:hAnsi="Arial" w:cs="Arial"/>
          <w:bCs/>
          <w:i/>
        </w:rPr>
        <w:t xml:space="preserve">Fiduciaria </w:t>
      </w:r>
      <w:r w:rsidRPr="00BE36D3">
        <w:rPr>
          <w:rFonts w:ascii="Arial" w:hAnsi="Arial" w:cs="Arial"/>
          <w:bCs/>
          <w:i/>
        </w:rPr>
        <w:t>DAVIVIENDA S A</w:t>
      </w:r>
      <w:r w:rsidRPr="00BE36D3">
        <w:rPr>
          <w:rFonts w:ascii="Arial" w:hAnsi="Arial" w:cs="Arial"/>
          <w:bCs/>
          <w:iCs/>
        </w:rPr>
        <w:t>”, “</w:t>
      </w:r>
      <w:r w:rsidR="009F458E" w:rsidRPr="009F458E">
        <w:rPr>
          <w:rFonts w:ascii="Arial" w:hAnsi="Arial" w:cs="Arial"/>
          <w:bCs/>
          <w:i/>
        </w:rPr>
        <w:t xml:space="preserve">Fideicomiso </w:t>
      </w:r>
      <w:r w:rsidRPr="00BE36D3">
        <w:rPr>
          <w:rFonts w:ascii="Arial" w:hAnsi="Arial" w:cs="Arial"/>
          <w:bCs/>
          <w:i/>
        </w:rPr>
        <w:t>FID 3 1 197</w:t>
      </w:r>
      <w:r w:rsidRPr="00BE36D3">
        <w:rPr>
          <w:rFonts w:ascii="Arial" w:hAnsi="Arial" w:cs="Arial"/>
          <w:bCs/>
          <w:iCs/>
        </w:rPr>
        <w:t>” y “</w:t>
      </w:r>
      <w:r w:rsidRPr="00BE36D3">
        <w:rPr>
          <w:rFonts w:ascii="Arial" w:hAnsi="Arial" w:cs="Arial"/>
          <w:bCs/>
          <w:i/>
        </w:rPr>
        <w:t>GLOBALALAMSAS</w:t>
      </w:r>
      <w:r w:rsidRPr="00BE36D3">
        <w:rPr>
          <w:rFonts w:ascii="Arial" w:hAnsi="Arial" w:cs="Arial"/>
          <w:bCs/>
          <w:iCs/>
        </w:rPr>
        <w:t xml:space="preserve">” de los cuales no </w:t>
      </w:r>
      <w:r w:rsidR="00FD507F" w:rsidRPr="00BE36D3">
        <w:rPr>
          <w:rFonts w:ascii="Arial" w:hAnsi="Arial" w:cs="Arial"/>
          <w:bCs/>
          <w:iCs/>
        </w:rPr>
        <w:t>es claro el objeto</w:t>
      </w:r>
      <w:r w:rsidRPr="00BE36D3">
        <w:rPr>
          <w:rFonts w:ascii="Arial" w:hAnsi="Arial" w:cs="Arial"/>
          <w:bCs/>
          <w:iCs/>
        </w:rPr>
        <w:t xml:space="preserve"> de </w:t>
      </w:r>
      <w:r w:rsidR="00FD507F" w:rsidRPr="00BE36D3">
        <w:rPr>
          <w:rFonts w:ascii="Arial" w:hAnsi="Arial" w:cs="Arial"/>
          <w:bCs/>
          <w:iCs/>
        </w:rPr>
        <w:t>estas operaciones</w:t>
      </w:r>
      <w:r w:rsidRPr="00BE36D3">
        <w:rPr>
          <w:rFonts w:ascii="Arial" w:hAnsi="Arial" w:cs="Arial"/>
          <w:bCs/>
          <w:iCs/>
        </w:rPr>
        <w:t xml:space="preserve">. En el caso del </w:t>
      </w:r>
      <w:r w:rsidR="009F458E">
        <w:rPr>
          <w:rFonts w:ascii="Arial" w:hAnsi="Arial" w:cs="Arial"/>
          <w:bCs/>
          <w:iCs/>
        </w:rPr>
        <w:t>Fideicomiso</w:t>
      </w:r>
      <w:r w:rsidRPr="00BE36D3">
        <w:rPr>
          <w:rFonts w:ascii="Arial" w:hAnsi="Arial" w:cs="Arial"/>
          <w:bCs/>
          <w:iCs/>
        </w:rPr>
        <w:t xml:space="preserve">, este podría tratarse de anticipos permitidos, sin embargo, </w:t>
      </w:r>
      <w:r w:rsidR="00FD507F" w:rsidRPr="00BE36D3">
        <w:rPr>
          <w:rFonts w:ascii="Arial" w:hAnsi="Arial" w:cs="Arial"/>
          <w:bCs/>
          <w:iCs/>
        </w:rPr>
        <w:t>no puede determinarse desde el reporte de información</w:t>
      </w:r>
      <w:r w:rsidRPr="00BE36D3">
        <w:rPr>
          <w:rFonts w:ascii="Arial" w:hAnsi="Arial" w:cs="Arial"/>
          <w:bCs/>
          <w:iCs/>
        </w:rPr>
        <w:t>. Igualmente, llama la atención que se evidencian egresos a universidades como “</w:t>
      </w:r>
      <w:r w:rsidR="009F458E" w:rsidRPr="009F458E">
        <w:rPr>
          <w:rFonts w:ascii="Arial" w:hAnsi="Arial" w:cs="Arial"/>
          <w:bCs/>
          <w:i/>
        </w:rPr>
        <w:t>Universidad Nacional Abierta y a</w:t>
      </w:r>
      <w:r w:rsidRPr="00BE36D3">
        <w:rPr>
          <w:rFonts w:ascii="Arial" w:hAnsi="Arial" w:cs="Arial"/>
          <w:bCs/>
          <w:i/>
        </w:rPr>
        <w:t xml:space="preserve"> </w:t>
      </w:r>
      <w:r w:rsidR="009F458E" w:rsidRPr="009F458E">
        <w:rPr>
          <w:rFonts w:ascii="Arial" w:hAnsi="Arial" w:cs="Arial"/>
          <w:bCs/>
          <w:i/>
        </w:rPr>
        <w:t>Distancia</w:t>
      </w:r>
      <w:r w:rsidRPr="00BE36D3">
        <w:rPr>
          <w:rFonts w:ascii="Arial" w:hAnsi="Arial" w:cs="Arial"/>
          <w:bCs/>
          <w:iCs/>
        </w:rPr>
        <w:t>” y “</w:t>
      </w:r>
      <w:r w:rsidR="009F458E" w:rsidRPr="009F458E">
        <w:rPr>
          <w:rFonts w:ascii="Arial" w:hAnsi="Arial" w:cs="Arial"/>
          <w:bCs/>
          <w:i/>
        </w:rPr>
        <w:t>Universidad de Cartagena</w:t>
      </w:r>
      <w:r w:rsidRPr="00BE36D3">
        <w:rPr>
          <w:rFonts w:ascii="Arial" w:hAnsi="Arial" w:cs="Arial"/>
          <w:bCs/>
          <w:iCs/>
        </w:rPr>
        <w:t>”</w:t>
      </w:r>
      <w:r w:rsidR="006E0859" w:rsidRPr="00BE36D3">
        <w:rPr>
          <w:rFonts w:ascii="Arial" w:hAnsi="Arial" w:cs="Arial"/>
          <w:bCs/>
          <w:iCs/>
        </w:rPr>
        <w:t>, sin poder determinarse su objeto desde el reporte</w:t>
      </w:r>
      <w:r w:rsidRPr="00BE36D3">
        <w:rPr>
          <w:rFonts w:ascii="Arial" w:hAnsi="Arial" w:cs="Arial"/>
          <w:bCs/>
          <w:iCs/>
        </w:rPr>
        <w:t xml:space="preserve">. Además, se evidencian pagos a </w:t>
      </w:r>
      <w:r w:rsidR="009F458E">
        <w:rPr>
          <w:rFonts w:ascii="Arial" w:hAnsi="Arial" w:cs="Arial"/>
          <w:bCs/>
          <w:iCs/>
        </w:rPr>
        <w:t>s</w:t>
      </w:r>
      <w:r w:rsidRPr="00BE36D3">
        <w:rPr>
          <w:rFonts w:ascii="Arial" w:hAnsi="Arial" w:cs="Arial"/>
          <w:bCs/>
          <w:iCs/>
        </w:rPr>
        <w:t xml:space="preserve">indicatos de empleados públicos. De los movimientos citados anteriormente, </w:t>
      </w:r>
      <w:r w:rsidR="006F58AC">
        <w:rPr>
          <w:rFonts w:ascii="Arial" w:hAnsi="Arial" w:cs="Arial"/>
          <w:bCs/>
          <w:iCs/>
        </w:rPr>
        <w:t xml:space="preserve">el municipio </w:t>
      </w:r>
      <w:r w:rsidR="009E313F">
        <w:rPr>
          <w:rFonts w:ascii="Arial" w:hAnsi="Arial" w:cs="Arial"/>
          <w:bCs/>
          <w:iCs/>
        </w:rPr>
        <w:t xml:space="preserve">deberá </w:t>
      </w:r>
      <w:r w:rsidR="009E313F" w:rsidRPr="00BE36D3">
        <w:rPr>
          <w:rFonts w:ascii="Arial" w:hAnsi="Arial" w:cs="Arial"/>
          <w:bCs/>
          <w:iCs/>
        </w:rPr>
        <w:t>revisar</w:t>
      </w:r>
      <w:r w:rsidRPr="00BE36D3">
        <w:rPr>
          <w:rFonts w:ascii="Arial" w:hAnsi="Arial" w:cs="Arial"/>
          <w:bCs/>
          <w:iCs/>
        </w:rPr>
        <w:t xml:space="preserve"> detalladamente y determinar la naturaleza de estos</w:t>
      </w:r>
      <w:r w:rsidR="006F58AC">
        <w:rPr>
          <w:rFonts w:ascii="Arial" w:hAnsi="Arial" w:cs="Arial"/>
          <w:bCs/>
          <w:iCs/>
        </w:rPr>
        <w:t xml:space="preserve"> movimientos para garantizar su adecuación al marco legal sobre </w:t>
      </w:r>
      <w:r w:rsidR="00F4471B">
        <w:rPr>
          <w:rFonts w:ascii="Arial" w:hAnsi="Arial" w:cs="Arial"/>
          <w:bCs/>
          <w:iCs/>
        </w:rPr>
        <w:t>C</w:t>
      </w:r>
      <w:r w:rsidR="006F58AC">
        <w:rPr>
          <w:rFonts w:ascii="Arial" w:hAnsi="Arial" w:cs="Arial"/>
          <w:bCs/>
          <w:iCs/>
        </w:rPr>
        <w:t xml:space="preserve">uentas </w:t>
      </w:r>
      <w:r w:rsidR="00F4471B">
        <w:rPr>
          <w:rFonts w:ascii="Arial" w:hAnsi="Arial" w:cs="Arial"/>
          <w:bCs/>
          <w:iCs/>
        </w:rPr>
        <w:t>M</w:t>
      </w:r>
      <w:r w:rsidR="006F58AC">
        <w:rPr>
          <w:rFonts w:ascii="Arial" w:hAnsi="Arial" w:cs="Arial"/>
          <w:bCs/>
          <w:iCs/>
        </w:rPr>
        <w:t>aestras</w:t>
      </w:r>
      <w:r w:rsidRPr="00BE36D3">
        <w:rPr>
          <w:rFonts w:ascii="Arial" w:hAnsi="Arial" w:cs="Arial"/>
          <w:bCs/>
          <w:iCs/>
        </w:rPr>
        <w:t>.</w:t>
      </w:r>
    </w:p>
    <w:p w:rsidR="0009074C" w:rsidRPr="00BE36D3" w:rsidRDefault="0009074C">
      <w:pPr>
        <w:spacing w:line="240" w:lineRule="auto"/>
        <w:contextualSpacing/>
        <w:jc w:val="both"/>
        <w:rPr>
          <w:rFonts w:ascii="Arial" w:hAnsi="Arial" w:cs="Arial"/>
          <w:bCs/>
          <w:iCs/>
        </w:rPr>
      </w:pPr>
    </w:p>
    <w:p w:rsidR="00682643" w:rsidRDefault="002234D3">
      <w:pPr>
        <w:spacing w:line="240" w:lineRule="auto"/>
        <w:contextualSpacing/>
        <w:jc w:val="both"/>
        <w:rPr>
          <w:rFonts w:ascii="Arial" w:hAnsi="Arial" w:cs="Arial"/>
          <w:b/>
          <w:iCs/>
        </w:rPr>
      </w:pPr>
      <w:r>
        <w:rPr>
          <w:rFonts w:ascii="Arial" w:hAnsi="Arial" w:cs="Arial"/>
          <w:b/>
          <w:iCs/>
        </w:rPr>
        <w:t>Problemáticas</w:t>
      </w:r>
      <w:r w:rsidR="00682643">
        <w:rPr>
          <w:rFonts w:ascii="Arial" w:hAnsi="Arial" w:cs="Arial"/>
          <w:b/>
          <w:iCs/>
        </w:rPr>
        <w:t xml:space="preserve"> identificadas</w:t>
      </w:r>
      <w:r w:rsidR="00F4471B">
        <w:rPr>
          <w:rFonts w:ascii="Arial" w:hAnsi="Arial" w:cs="Arial"/>
          <w:b/>
          <w:iCs/>
        </w:rPr>
        <w:t>.</w:t>
      </w:r>
    </w:p>
    <w:p w:rsidR="00682643" w:rsidRDefault="00682643">
      <w:pPr>
        <w:spacing w:line="240" w:lineRule="auto"/>
        <w:contextualSpacing/>
        <w:jc w:val="both"/>
        <w:rPr>
          <w:rFonts w:ascii="Arial" w:hAnsi="Arial" w:cs="Arial"/>
          <w:b/>
          <w:iCs/>
        </w:rPr>
      </w:pPr>
    </w:p>
    <w:p w:rsidR="00682643" w:rsidRDefault="00682643">
      <w:pPr>
        <w:spacing w:line="240" w:lineRule="auto"/>
        <w:contextualSpacing/>
        <w:jc w:val="both"/>
        <w:rPr>
          <w:rFonts w:ascii="Arial" w:hAnsi="Arial" w:cs="Arial"/>
          <w:bCs/>
          <w:iCs/>
        </w:rPr>
      </w:pPr>
      <w:r>
        <w:rPr>
          <w:rFonts w:ascii="Arial" w:hAnsi="Arial" w:cs="Arial"/>
          <w:bCs/>
          <w:iCs/>
        </w:rPr>
        <w:t>En el ámbito presupuestal:</w:t>
      </w:r>
    </w:p>
    <w:p w:rsidR="00682643" w:rsidRDefault="00682643">
      <w:pPr>
        <w:spacing w:line="240" w:lineRule="auto"/>
        <w:contextualSpacing/>
        <w:jc w:val="both"/>
        <w:rPr>
          <w:rFonts w:ascii="Arial" w:hAnsi="Arial" w:cs="Arial"/>
          <w:bCs/>
          <w:iCs/>
        </w:rPr>
      </w:pPr>
    </w:p>
    <w:p w:rsidR="00682643" w:rsidRPr="00682643" w:rsidRDefault="00AD45EC">
      <w:pPr>
        <w:spacing w:line="240" w:lineRule="auto"/>
        <w:contextualSpacing/>
        <w:jc w:val="both"/>
        <w:rPr>
          <w:rFonts w:ascii="Arial" w:hAnsi="Arial" w:cs="Arial"/>
        </w:rPr>
      </w:pPr>
      <w:r>
        <w:rPr>
          <w:rFonts w:ascii="Arial" w:hAnsi="Arial" w:cs="Arial"/>
        </w:rPr>
        <w:t>En ingresos, l</w:t>
      </w:r>
      <w:r w:rsidR="00682643" w:rsidRPr="009E313F">
        <w:rPr>
          <w:rFonts w:ascii="Arial" w:hAnsi="Arial" w:cs="Arial"/>
        </w:rPr>
        <w:t>os recursos del balance provenientes del superávit fiscal se registraron como recursos provenientes únicamente del componente de Libre Inversión, lo que llama la atención por el comportamiento en las vigencias 2017 y 2019 donde se registran recursos no ejecutados en todos los componentes, por lo cual queda la inquietud de una inadecuada clasificación del superávit, que esté consolidando todas las fuentes en un solo concepto, lo que podría conllevar a un cambio en la destinación de los recursos de SGP-PG, ya que estos mantienen su naturaleza de gasto a pesar de tratarse de recursos del balance. En la vigencia 2019 se evidenció una reducción de los recursos del balance a $271.963.000.</w:t>
      </w:r>
    </w:p>
    <w:p w:rsidR="00682643" w:rsidRPr="007D73E9" w:rsidRDefault="00682643">
      <w:pPr>
        <w:spacing w:line="240" w:lineRule="auto"/>
        <w:contextualSpacing/>
        <w:jc w:val="both"/>
        <w:rPr>
          <w:rFonts w:ascii="Arial" w:hAnsi="Arial" w:cs="Arial"/>
        </w:rPr>
      </w:pPr>
    </w:p>
    <w:p w:rsidR="00B92C3C" w:rsidRDefault="00682643">
      <w:pPr>
        <w:spacing w:line="240" w:lineRule="auto"/>
        <w:contextualSpacing/>
        <w:jc w:val="both"/>
        <w:rPr>
          <w:rFonts w:ascii="Arial" w:hAnsi="Arial" w:cs="Arial"/>
        </w:rPr>
      </w:pPr>
      <w:r w:rsidRPr="009E313F">
        <w:rPr>
          <w:rFonts w:ascii="Arial" w:hAnsi="Arial" w:cs="Arial"/>
        </w:rPr>
        <w:t>Por otro lado, en cuanto a los rendimientos financieros es importante resaltar que la Entidad no los registró durante las vigencias 2017 y 2018, y en 2019 solamente registraron rendimientos financieros en el presupuesto definitivo para el componente de Libre Destinación por $2.735.000 y Libre Inversión por $3.776, sin reportar recaudo. Esto llama la atención debido a que la normativa vigente relacionada con el manejo de las Cuentas Maestras (Resolución 4835 de 2015) estipula que deben reconocerse rendimientos financieros a las cuentas en donde se manejan los recursos del SGP por parte de las entidades financieras. Por lo tanto, hay un manejo presupuestal inadecuado de dichos recursos ya que no se están registrando y no se separan de acuerdo con su naturaleza. Según los extractos bancarios, a diciembre de 2017 se abonaron $572.423 por concepto de intereses en la Cuenta Maestra, y a diciembre de 2018, se abonaron $577.765, saldos que no se registran en el presupuesto del Municipio.</w:t>
      </w:r>
    </w:p>
    <w:p w:rsidR="00B92C3C" w:rsidRDefault="00B92C3C">
      <w:pPr>
        <w:spacing w:line="240" w:lineRule="auto"/>
        <w:contextualSpacing/>
        <w:jc w:val="both"/>
        <w:rPr>
          <w:rFonts w:ascii="Arial" w:hAnsi="Arial" w:cs="Arial"/>
        </w:rPr>
      </w:pPr>
    </w:p>
    <w:p w:rsidR="00B92C3C" w:rsidRPr="00BE36D3" w:rsidRDefault="00B92C3C">
      <w:pPr>
        <w:spacing w:line="240" w:lineRule="auto"/>
        <w:contextualSpacing/>
        <w:jc w:val="both"/>
        <w:rPr>
          <w:rFonts w:ascii="Arial" w:hAnsi="Arial" w:cs="Arial"/>
          <w:b/>
          <w:bCs/>
        </w:rPr>
      </w:pPr>
      <w:r w:rsidRPr="00B92C3C">
        <w:rPr>
          <w:rFonts w:ascii="Arial" w:hAnsi="Arial" w:cs="Arial"/>
        </w:rPr>
        <w:t>Se le recomienda a la Entidad hacer un adecuado manejo de los recursos del balance y los rendimientos financieros de manera separada tanto en su programación como en su incorporación al presupuesto de la vigencia siguiente, manteniendo la destinación específica determinada por la fuente que les dio origen.</w:t>
      </w:r>
    </w:p>
    <w:p w:rsidR="00682643" w:rsidRDefault="00682643">
      <w:pPr>
        <w:spacing w:line="240" w:lineRule="auto"/>
        <w:contextualSpacing/>
        <w:jc w:val="both"/>
        <w:rPr>
          <w:rFonts w:ascii="Arial" w:hAnsi="Arial" w:cs="Arial"/>
          <w:bCs/>
          <w:iCs/>
        </w:rPr>
      </w:pPr>
    </w:p>
    <w:p w:rsidR="00682643" w:rsidRDefault="00682643">
      <w:pPr>
        <w:spacing w:line="240" w:lineRule="auto"/>
        <w:contextualSpacing/>
        <w:jc w:val="both"/>
        <w:rPr>
          <w:rFonts w:ascii="Arial" w:hAnsi="Arial" w:cs="Arial"/>
        </w:rPr>
      </w:pPr>
      <w:r w:rsidRPr="00682643">
        <w:rPr>
          <w:rFonts w:ascii="Arial" w:hAnsi="Arial" w:cs="Arial"/>
        </w:rPr>
        <w:t xml:space="preserve">De igual manera, </w:t>
      </w:r>
      <w:r w:rsidR="00AD45EC">
        <w:rPr>
          <w:rFonts w:ascii="Arial" w:hAnsi="Arial" w:cs="Arial"/>
        </w:rPr>
        <w:t xml:space="preserve">en el cierre fiscal </w:t>
      </w:r>
      <w:r w:rsidRPr="00682643">
        <w:rPr>
          <w:rFonts w:ascii="Arial" w:hAnsi="Arial" w:cs="Arial"/>
        </w:rPr>
        <w:t xml:space="preserve">es importante resaltar que existen diferencias entre el monto derivado del ejercicio realizado por esta Dirección y la incorporación de los recursos </w:t>
      </w:r>
      <w:r w:rsidRPr="00682643">
        <w:rPr>
          <w:rFonts w:ascii="Arial" w:hAnsi="Arial" w:cs="Arial"/>
        </w:rPr>
        <w:lastRenderedPageBreak/>
        <w:t>del balance por concepto de superávit fiscal que realizó la entidad territorial en las ejecuciones presupuestales; ya que, por ejemplo, en 2018 registró un superávit fiscal por valor de $375.165.852, mientras que el resultado presupuestal de la vigencia anterior fue de $106.116.065 según los cálculos de esta Dirección. Así mismo, en 2019 se registró un superávit fiscal de $271.693.000 y el ejercicio presupuestal de la vigencia 2018 arrojó un resultado de $382.081.887.</w:t>
      </w:r>
    </w:p>
    <w:p w:rsidR="00682643" w:rsidRDefault="00682643">
      <w:pPr>
        <w:spacing w:line="240" w:lineRule="auto"/>
        <w:contextualSpacing/>
        <w:jc w:val="both"/>
        <w:rPr>
          <w:rFonts w:ascii="Arial" w:hAnsi="Arial" w:cs="Arial"/>
        </w:rPr>
      </w:pPr>
    </w:p>
    <w:p w:rsidR="00B92C3C" w:rsidRDefault="00682643">
      <w:pPr>
        <w:spacing w:line="240" w:lineRule="auto"/>
        <w:contextualSpacing/>
        <w:jc w:val="both"/>
        <w:rPr>
          <w:rFonts w:ascii="Arial" w:hAnsi="Arial" w:cs="Arial"/>
        </w:rPr>
      </w:pPr>
      <w:r w:rsidRPr="00682643">
        <w:rPr>
          <w:rFonts w:ascii="Arial" w:hAnsi="Arial" w:cs="Arial"/>
        </w:rPr>
        <w:t>Al contrastar el saldo mínimo disponible en la caja derivado de los cálculos con los extractos bancarios a diciembre de cada vigencia, se evidenció una diferencia significativa. En el caso de la vigencia 2017 el ejercicio arrojó un saldo mínimo de $298.161.071 y en el extracto bancario remitido el saldo final es de $568.710.859; para 2018, este saldo ascendió a $820.290.107 según el ejercicio presupuestal, mientras que el extracto bancario reportó $701.566.529. Con respecto a esta última vigencia, llama la atención la diferencia de $118.723.578 entre el saldo del ejercicio presupuestal y el saldo de la cuenta bancaria, ya que todas las operaciones débito de la Cuenta Maestra deben estar soportadas por unos pagos con respaldo presupuestal, por lo cual no se explica la diferencia evidenciada. En el caso del saldo disponible en bancos de la vigencia 2019, se consultó la Categoría de Cierre Fiscal en el FUT, evidenciándose un reporte de disponibilidad en bancos cercana a los $1.200 millones, en donde más del 50 % del saldo reportado corresponde a los recursos de Deporte, lo cual es una cifra muy alta que pone en duda el adecuado reporte de este componente, por lo que no se ha tenido en cuenta para el análisis.</w:t>
      </w:r>
    </w:p>
    <w:p w:rsidR="008B307E" w:rsidRDefault="008B307E">
      <w:pPr>
        <w:spacing w:line="240" w:lineRule="auto"/>
        <w:contextualSpacing/>
        <w:jc w:val="both"/>
        <w:rPr>
          <w:rFonts w:ascii="Arial" w:hAnsi="Arial" w:cs="Arial"/>
        </w:rPr>
      </w:pPr>
    </w:p>
    <w:p w:rsidR="00B92C3C" w:rsidRDefault="00B92C3C">
      <w:pPr>
        <w:spacing w:line="240" w:lineRule="auto"/>
        <w:contextualSpacing/>
        <w:jc w:val="both"/>
        <w:rPr>
          <w:rFonts w:ascii="Arial" w:hAnsi="Arial" w:cs="Arial"/>
        </w:rPr>
      </w:pPr>
      <w:r>
        <w:rPr>
          <w:rFonts w:ascii="Arial" w:hAnsi="Arial" w:cs="Arial"/>
        </w:rPr>
        <w:t>La Entidad Territorial deberá e</w:t>
      </w:r>
      <w:r w:rsidRPr="00B92C3C">
        <w:rPr>
          <w:rFonts w:ascii="Arial" w:hAnsi="Arial" w:cs="Arial"/>
        </w:rPr>
        <w:t>valuar si la situación de déficit presentada en el reporte FUT 2019 se debe a un error de reporte o si efectivamente se trata de un faltante de recursos en caja, caso en el cual deberán adelantarse las acciones pertinentes de identificación, incorporación en el presupues</w:t>
      </w:r>
      <w:r w:rsidR="008B307E">
        <w:rPr>
          <w:rFonts w:ascii="Arial" w:hAnsi="Arial" w:cs="Arial"/>
        </w:rPr>
        <w:t>to y financiamiento de déficit.</w:t>
      </w:r>
    </w:p>
    <w:p w:rsidR="008B307E" w:rsidRPr="00B92C3C" w:rsidRDefault="008B307E">
      <w:pPr>
        <w:spacing w:line="240" w:lineRule="auto"/>
        <w:contextualSpacing/>
        <w:jc w:val="both"/>
        <w:rPr>
          <w:rFonts w:ascii="Arial" w:hAnsi="Arial" w:cs="Arial"/>
        </w:rPr>
      </w:pPr>
    </w:p>
    <w:p w:rsidR="00682643" w:rsidRDefault="00682643">
      <w:pPr>
        <w:spacing w:line="240" w:lineRule="auto"/>
        <w:contextualSpacing/>
        <w:jc w:val="both"/>
        <w:rPr>
          <w:rFonts w:ascii="Arial" w:hAnsi="Arial" w:cs="Arial"/>
        </w:rPr>
      </w:pPr>
      <w:r w:rsidRPr="00682643">
        <w:rPr>
          <w:rFonts w:ascii="Arial" w:hAnsi="Arial" w:cs="Arial"/>
        </w:rPr>
        <w:t xml:space="preserve">En </w:t>
      </w:r>
      <w:r w:rsidR="0017521F">
        <w:rPr>
          <w:rFonts w:ascii="Arial" w:hAnsi="Arial" w:cs="Arial"/>
        </w:rPr>
        <w:t>el ámbito</w:t>
      </w:r>
      <w:r w:rsidR="008B307E">
        <w:rPr>
          <w:rFonts w:ascii="Arial" w:hAnsi="Arial" w:cs="Arial"/>
        </w:rPr>
        <w:t xml:space="preserve"> de reporte FUT:</w:t>
      </w:r>
    </w:p>
    <w:p w:rsidR="00B92C3C" w:rsidRPr="00682643" w:rsidRDefault="00B92C3C">
      <w:pPr>
        <w:spacing w:line="240" w:lineRule="auto"/>
        <w:contextualSpacing/>
        <w:jc w:val="both"/>
        <w:rPr>
          <w:rFonts w:ascii="Arial" w:hAnsi="Arial" w:cs="Arial"/>
        </w:rPr>
      </w:pPr>
    </w:p>
    <w:p w:rsidR="0017521F" w:rsidRDefault="00682643">
      <w:pPr>
        <w:spacing w:line="240" w:lineRule="auto"/>
        <w:contextualSpacing/>
        <w:jc w:val="both"/>
        <w:rPr>
          <w:rFonts w:ascii="Arial" w:hAnsi="Arial" w:cs="Arial"/>
        </w:rPr>
      </w:pPr>
      <w:r w:rsidRPr="00682643">
        <w:rPr>
          <w:rFonts w:ascii="Arial" w:hAnsi="Arial" w:cs="Arial"/>
        </w:rPr>
        <w:t>Al realizar un análisis comparativo entre las ejecuciones presupuestales enviadas por el Municipio de Santiago de Tolú - Sucre al Departamento Nacional de Planeación para la visita de monitoreo en campo y el reporte realizado por la Entidad Territorial en el Form</w:t>
      </w:r>
      <w:r w:rsidR="007704D3">
        <w:rPr>
          <w:rFonts w:ascii="Arial" w:hAnsi="Arial" w:cs="Arial"/>
        </w:rPr>
        <w:t>ulario</w:t>
      </w:r>
      <w:r w:rsidRPr="00682643">
        <w:rPr>
          <w:rFonts w:ascii="Arial" w:hAnsi="Arial" w:cs="Arial"/>
        </w:rPr>
        <w:t xml:space="preserve"> Único Territorial - FUT, solamente se pudo corroborar el reporte para las vigencias 2017 y 2018 debido a que para 2019 ya se tomó la información de reporte FUT ante la no disposición para el análisis de ejecución presupuestal. Frente a este último año, el Municipio de Santiago de Tolú - Sucre realizó el reporte de ingresos 2019 en miles, lo cual es un error debido a que esta información debe estar en pesos. </w:t>
      </w:r>
    </w:p>
    <w:p w:rsidR="0017521F" w:rsidRDefault="0017521F">
      <w:pPr>
        <w:spacing w:line="240" w:lineRule="auto"/>
        <w:contextualSpacing/>
        <w:jc w:val="both"/>
        <w:rPr>
          <w:rFonts w:ascii="Arial" w:hAnsi="Arial" w:cs="Arial"/>
        </w:rPr>
      </w:pPr>
    </w:p>
    <w:p w:rsidR="00682643" w:rsidRPr="00682643" w:rsidRDefault="00682643">
      <w:pPr>
        <w:spacing w:line="240" w:lineRule="auto"/>
        <w:contextualSpacing/>
        <w:jc w:val="both"/>
        <w:rPr>
          <w:rFonts w:ascii="Arial" w:eastAsia="Times New Roman" w:hAnsi="Arial" w:cs="Arial"/>
          <w:lang w:eastAsia="es-CO"/>
        </w:rPr>
      </w:pPr>
      <w:r w:rsidRPr="00682643">
        <w:rPr>
          <w:rFonts w:ascii="Arial" w:hAnsi="Arial" w:cs="Arial"/>
        </w:rPr>
        <w:t xml:space="preserve">En el componente de ingresos no se identificaron diferencias en el reporte FUT frente a lo contenido en las ejecuciones presupuestales. En este caso se mantiene la ausencia de reporte de los rendimientos financieros, los cuales tampoco se registraron en el FUT, ni en el presupuesto definitivo ni en el recaudo para las vigencias 2017 y 2018. En el componente de gastos sí se evidencian varias diferencias, las cuales se resaltan en detalle en el Anexo 1, principalmente en los pagos que se reportan en el FUT, los cuales son mayores a los contenidos en las ejecuciones presupuestales. </w:t>
      </w:r>
      <w:r w:rsidRPr="00682643">
        <w:rPr>
          <w:rFonts w:ascii="Arial" w:eastAsia="Times New Roman" w:hAnsi="Arial" w:cs="Arial"/>
          <w:lang w:eastAsia="es-CO"/>
        </w:rPr>
        <w:t>Lo anterior indica que el Municipio de Santiago de Tolú - Sucre presenta debilidades en el reporte de los gastos de funcionamiento e inversión en el Form</w:t>
      </w:r>
      <w:r w:rsidR="007704D3">
        <w:rPr>
          <w:rFonts w:ascii="Arial" w:eastAsia="Times New Roman" w:hAnsi="Arial" w:cs="Arial"/>
          <w:lang w:eastAsia="es-CO"/>
        </w:rPr>
        <w:t>ulario</w:t>
      </w:r>
      <w:r w:rsidRPr="00682643">
        <w:rPr>
          <w:rFonts w:ascii="Arial" w:eastAsia="Times New Roman" w:hAnsi="Arial" w:cs="Arial"/>
          <w:lang w:eastAsia="es-CO"/>
        </w:rPr>
        <w:t xml:space="preserve"> Único Territorial - FUT.</w:t>
      </w:r>
    </w:p>
    <w:p w:rsidR="00682643" w:rsidRPr="00682643" w:rsidRDefault="00682643">
      <w:pPr>
        <w:spacing w:line="240" w:lineRule="auto"/>
        <w:contextualSpacing/>
        <w:jc w:val="both"/>
        <w:rPr>
          <w:rFonts w:ascii="Arial" w:eastAsia="Times New Roman" w:hAnsi="Arial" w:cs="Arial"/>
          <w:lang w:eastAsia="es-CO"/>
        </w:rPr>
      </w:pPr>
    </w:p>
    <w:p w:rsidR="00682643" w:rsidRPr="00682643" w:rsidRDefault="00682643">
      <w:pPr>
        <w:spacing w:line="240" w:lineRule="auto"/>
        <w:contextualSpacing/>
        <w:jc w:val="both"/>
        <w:rPr>
          <w:rFonts w:ascii="Arial" w:hAnsi="Arial" w:cs="Arial"/>
        </w:rPr>
      </w:pPr>
      <w:r w:rsidRPr="00682643">
        <w:rPr>
          <w:rFonts w:ascii="Arial" w:eastAsia="Times New Roman" w:hAnsi="Arial" w:cs="Arial"/>
          <w:lang w:eastAsia="es-CO"/>
        </w:rPr>
        <w:t xml:space="preserve">En cuanto al cierre fiscal se evidencia que en las vigencias 2017 y 2018, la Entidad Territorial reportó toda la información en Libre Inversión. Además, existen inconvenientes para determinar el verdadero valor de las cuentas por pagar debido a que el Municipio registra información diferente en el FUT, en las ejecuciones presupuestales y en los decretos de constitución de las cuentas por pagar. El DNP resalta que la Entidad Territorial realiza la inclusión de un pago por cesantías que no se han causado como cuentas por pagar, lo cual es un error puesto que no se tratan de obligaciones adquiridas por el Municipio. </w:t>
      </w:r>
      <w:r w:rsidRPr="00682643">
        <w:rPr>
          <w:rFonts w:ascii="Arial" w:eastAsia="Arial Narrow" w:hAnsi="Arial" w:cs="Arial"/>
        </w:rPr>
        <w:t xml:space="preserve">En cuanto a la diferencia presentada en Libre Inversión, el Informe dice que se presentó por la no incorporación de un pago por parte de la Entidad Territorial, lo que demuestra la débil articulación que existe entre los procesos de presupuesto y de tesorería en el Municipio. Además, </w:t>
      </w:r>
      <w:r w:rsidRPr="00682643">
        <w:rPr>
          <w:rFonts w:ascii="Arial" w:hAnsi="Arial" w:cs="Arial"/>
        </w:rPr>
        <w:t>en Deporte se presenta una diferencia de $431.820 que tiene igual justificación.</w:t>
      </w:r>
    </w:p>
    <w:p w:rsidR="00682643" w:rsidRPr="00682643" w:rsidRDefault="00682643">
      <w:pPr>
        <w:spacing w:after="0" w:line="240" w:lineRule="auto"/>
        <w:contextualSpacing/>
        <w:jc w:val="both"/>
        <w:rPr>
          <w:rFonts w:ascii="Arial" w:eastAsia="Arial Narrow" w:hAnsi="Arial" w:cs="Arial"/>
        </w:rPr>
      </w:pPr>
    </w:p>
    <w:p w:rsidR="008B307E" w:rsidRDefault="00682643">
      <w:pPr>
        <w:spacing w:line="240" w:lineRule="auto"/>
        <w:contextualSpacing/>
        <w:jc w:val="both"/>
        <w:rPr>
          <w:rFonts w:ascii="Arial" w:hAnsi="Arial" w:cs="Arial"/>
        </w:rPr>
      </w:pPr>
      <w:r w:rsidRPr="00682643">
        <w:rPr>
          <w:rFonts w:ascii="Arial" w:hAnsi="Arial" w:cs="Arial"/>
        </w:rPr>
        <w:t>Por último, a pesar de que no es posible contrastar el saldo final, ya que no se cuenta con información de extractos bancarios a cierre de 2019, llama la atención que el saldo en caja del componente de Libre Destinación sea cero ($0) cuando se manifiesta que hay todavía cuentas por pagar con cargo a esta destinación. Lo anterior daría un indicio de un manejo inadecuado de los saldos, ya que como se evidencia, hay un déficit reportado en el componente que no tiene un respaldo de ninguna operación presupuestal.</w:t>
      </w:r>
      <w:r w:rsidR="00C05B1A">
        <w:rPr>
          <w:rFonts w:ascii="Arial" w:hAnsi="Arial" w:cs="Arial"/>
        </w:rPr>
        <w:t xml:space="preserve"> Por lo tanto, el Municipio tendrá que r</w:t>
      </w:r>
      <w:r w:rsidR="00C05B1A" w:rsidRPr="00BE36D3">
        <w:rPr>
          <w:rFonts w:ascii="Arial" w:hAnsi="Arial" w:cs="Arial"/>
        </w:rPr>
        <w:t>evisar el procedimiento de reporte en los sistemas de información presupuestal para garantizar que se realice un reporte adecuado y en las unidades que corresponde.</w:t>
      </w:r>
    </w:p>
    <w:p w:rsidR="008B307E" w:rsidRDefault="008B307E">
      <w:pPr>
        <w:spacing w:line="240" w:lineRule="auto"/>
        <w:contextualSpacing/>
        <w:jc w:val="both"/>
        <w:rPr>
          <w:rFonts w:ascii="Arial" w:hAnsi="Arial" w:cs="Arial"/>
        </w:rPr>
      </w:pPr>
    </w:p>
    <w:p w:rsidR="00C05B1A" w:rsidRDefault="00C05B1A">
      <w:pPr>
        <w:spacing w:line="240" w:lineRule="auto"/>
        <w:contextualSpacing/>
        <w:jc w:val="both"/>
        <w:rPr>
          <w:rFonts w:ascii="Arial" w:hAnsi="Arial" w:cs="Arial"/>
        </w:rPr>
      </w:pPr>
      <w:r w:rsidRPr="00BE36D3">
        <w:rPr>
          <w:rFonts w:ascii="Arial" w:hAnsi="Arial" w:cs="Arial"/>
        </w:rPr>
        <w:t>Para garantizar este proceso, se propone a la Entidad Territorial que valide las fuentes de información que debe tener en cuenta para incorporar los datos presupuestales en las ejecuciones</w:t>
      </w:r>
      <w:r w:rsidR="008B307E">
        <w:rPr>
          <w:rFonts w:ascii="Arial" w:hAnsi="Arial" w:cs="Arial"/>
        </w:rPr>
        <w:t>.</w:t>
      </w:r>
    </w:p>
    <w:p w:rsidR="00C05B1A" w:rsidRDefault="00C05B1A">
      <w:pPr>
        <w:spacing w:line="240" w:lineRule="auto"/>
        <w:contextualSpacing/>
        <w:jc w:val="both"/>
        <w:rPr>
          <w:rFonts w:ascii="Arial" w:hAnsi="Arial" w:cs="Arial"/>
        </w:rPr>
      </w:pPr>
    </w:p>
    <w:p w:rsidR="00682643" w:rsidRDefault="008B307E">
      <w:pPr>
        <w:spacing w:line="240" w:lineRule="auto"/>
        <w:contextualSpacing/>
        <w:jc w:val="both"/>
        <w:rPr>
          <w:rFonts w:ascii="Arial" w:hAnsi="Arial" w:cs="Arial"/>
          <w:bCs/>
          <w:iCs/>
        </w:rPr>
      </w:pPr>
      <w:r>
        <w:rPr>
          <w:rFonts w:ascii="Arial" w:hAnsi="Arial" w:cs="Arial"/>
          <w:bCs/>
          <w:iCs/>
        </w:rPr>
        <w:t>En el ámbito de C</w:t>
      </w:r>
      <w:r w:rsidR="00485D0A">
        <w:rPr>
          <w:rFonts w:ascii="Arial" w:hAnsi="Arial" w:cs="Arial"/>
          <w:bCs/>
          <w:iCs/>
        </w:rPr>
        <w:t xml:space="preserve">uentas </w:t>
      </w:r>
      <w:r>
        <w:rPr>
          <w:rFonts w:ascii="Arial" w:hAnsi="Arial" w:cs="Arial"/>
          <w:bCs/>
          <w:iCs/>
        </w:rPr>
        <w:t>M</w:t>
      </w:r>
      <w:r w:rsidR="00485D0A">
        <w:rPr>
          <w:rFonts w:ascii="Arial" w:hAnsi="Arial" w:cs="Arial"/>
          <w:bCs/>
          <w:iCs/>
        </w:rPr>
        <w:t xml:space="preserve">aestras: </w:t>
      </w:r>
    </w:p>
    <w:p w:rsidR="00535CFD" w:rsidRDefault="00535CFD">
      <w:pPr>
        <w:spacing w:line="240" w:lineRule="auto"/>
        <w:contextualSpacing/>
        <w:jc w:val="both"/>
        <w:rPr>
          <w:rFonts w:ascii="Arial" w:hAnsi="Arial" w:cs="Arial"/>
          <w:bCs/>
          <w:iCs/>
        </w:rPr>
      </w:pPr>
    </w:p>
    <w:p w:rsidR="00485D0A" w:rsidRDefault="00535CFD">
      <w:pPr>
        <w:spacing w:line="240" w:lineRule="auto"/>
        <w:contextualSpacing/>
        <w:jc w:val="both"/>
        <w:rPr>
          <w:rFonts w:ascii="Arial" w:hAnsi="Arial" w:cs="Arial"/>
          <w:bCs/>
          <w:iCs/>
        </w:rPr>
      </w:pPr>
      <w:r w:rsidRPr="00535CFD">
        <w:rPr>
          <w:rFonts w:ascii="Arial" w:hAnsi="Arial" w:cs="Arial"/>
          <w:bCs/>
          <w:iCs/>
        </w:rPr>
        <w:t>Se evidencia que los egresos se están administrando a través de los conceptos 310 “</w:t>
      </w:r>
      <w:r w:rsidRPr="00535CFD">
        <w:rPr>
          <w:rFonts w:ascii="Arial" w:hAnsi="Arial" w:cs="Arial"/>
          <w:bCs/>
          <w:i/>
          <w:iCs/>
        </w:rPr>
        <w:t>Egresos Libre Inversión”</w:t>
      </w:r>
      <w:r w:rsidRPr="00535CFD">
        <w:rPr>
          <w:rFonts w:ascii="Arial" w:hAnsi="Arial" w:cs="Arial"/>
          <w:bCs/>
        </w:rPr>
        <w:t xml:space="preserve">, 311 </w:t>
      </w:r>
      <w:r w:rsidRPr="00535CFD">
        <w:rPr>
          <w:rFonts w:ascii="Arial" w:hAnsi="Arial" w:cs="Arial"/>
          <w:bCs/>
          <w:i/>
          <w:iCs/>
        </w:rPr>
        <w:t>“Egresos Recreación y Deporte”</w:t>
      </w:r>
      <w:r w:rsidRPr="00535CFD">
        <w:rPr>
          <w:rFonts w:ascii="Arial" w:hAnsi="Arial" w:cs="Arial"/>
          <w:bCs/>
        </w:rPr>
        <w:t xml:space="preserve"> y 313</w:t>
      </w:r>
      <w:r w:rsidRPr="00535CFD">
        <w:rPr>
          <w:rFonts w:ascii="Arial" w:hAnsi="Arial" w:cs="Arial"/>
          <w:bCs/>
          <w:i/>
          <w:iCs/>
        </w:rPr>
        <w:t xml:space="preserve"> “Libre Inversión”</w:t>
      </w:r>
      <w:r w:rsidRPr="00535CFD">
        <w:rPr>
          <w:rFonts w:ascii="Arial" w:hAnsi="Arial" w:cs="Arial"/>
          <w:bCs/>
        </w:rPr>
        <w:t>,</w:t>
      </w:r>
      <w:r w:rsidRPr="00535CFD">
        <w:rPr>
          <w:rFonts w:ascii="Arial" w:hAnsi="Arial" w:cs="Arial"/>
          <w:bCs/>
          <w:i/>
          <w:iCs/>
        </w:rPr>
        <w:t xml:space="preserve"> </w:t>
      </w:r>
      <w:r w:rsidRPr="00535CFD">
        <w:rPr>
          <w:rFonts w:ascii="Arial" w:hAnsi="Arial" w:cs="Arial"/>
          <w:bCs/>
          <w:iCs/>
        </w:rPr>
        <w:t xml:space="preserve">pero no se evidencian egresos por el concepto </w:t>
      </w:r>
      <w:r w:rsidRPr="00535CFD">
        <w:rPr>
          <w:rFonts w:ascii="Arial" w:hAnsi="Arial" w:cs="Arial"/>
          <w:bCs/>
        </w:rPr>
        <w:t>312</w:t>
      </w:r>
      <w:r w:rsidRPr="00535CFD">
        <w:rPr>
          <w:rFonts w:ascii="Arial" w:hAnsi="Arial" w:cs="Arial"/>
          <w:bCs/>
          <w:i/>
          <w:iCs/>
        </w:rPr>
        <w:t xml:space="preserve"> “Egresos Cultura”, </w:t>
      </w:r>
      <w:r w:rsidRPr="00535CFD">
        <w:rPr>
          <w:rFonts w:ascii="Arial" w:hAnsi="Arial" w:cs="Arial"/>
          <w:bCs/>
          <w:iCs/>
        </w:rPr>
        <w:t>lo cual representa un uso inadecuado del producto Cuenta Maestra dado que no se tipifican todos los conceptos autorizados por la Ley 715 de 2001 incluidos dentro del anexo técnico de la Resolución No. 4835 de 2015. Lo anterior, a pesar de que el Municipio reporta gastos financiados con los recursos de Cultura.</w:t>
      </w:r>
    </w:p>
    <w:p w:rsidR="009E313F" w:rsidRDefault="009E313F">
      <w:pPr>
        <w:spacing w:line="240" w:lineRule="auto"/>
        <w:contextualSpacing/>
        <w:jc w:val="both"/>
        <w:rPr>
          <w:rFonts w:ascii="Arial" w:hAnsi="Arial" w:cs="Arial"/>
          <w:bCs/>
          <w:iCs/>
        </w:rPr>
      </w:pPr>
    </w:p>
    <w:p w:rsidR="00AD45EC" w:rsidRPr="00485D0A" w:rsidRDefault="00AD45EC">
      <w:pPr>
        <w:spacing w:after="0" w:line="240" w:lineRule="auto"/>
        <w:contextualSpacing/>
        <w:jc w:val="center"/>
        <w:rPr>
          <w:rFonts w:ascii="Arial" w:hAnsi="Arial" w:cs="Arial"/>
          <w:b/>
          <w:bCs/>
          <w:iCs/>
          <w:sz w:val="20"/>
          <w:szCs w:val="24"/>
        </w:rPr>
      </w:pPr>
      <w:r w:rsidRPr="00485D0A">
        <w:rPr>
          <w:rFonts w:ascii="Arial" w:hAnsi="Arial" w:cs="Arial"/>
          <w:b/>
          <w:bCs/>
          <w:iCs/>
          <w:sz w:val="20"/>
          <w:szCs w:val="24"/>
        </w:rPr>
        <w:t>Cuadro No. 8</w:t>
      </w:r>
    </w:p>
    <w:p w:rsidR="00AD45EC" w:rsidRPr="00485D0A" w:rsidRDefault="00AD45EC">
      <w:pPr>
        <w:spacing w:after="0" w:line="240" w:lineRule="auto"/>
        <w:contextualSpacing/>
        <w:jc w:val="center"/>
        <w:rPr>
          <w:rFonts w:ascii="Arial" w:hAnsi="Arial" w:cs="Arial"/>
          <w:bCs/>
          <w:iCs/>
          <w:sz w:val="20"/>
          <w:szCs w:val="24"/>
        </w:rPr>
      </w:pPr>
      <w:r w:rsidRPr="00485D0A">
        <w:rPr>
          <w:rFonts w:ascii="Arial" w:hAnsi="Arial" w:cs="Arial"/>
          <w:bCs/>
          <w:iCs/>
          <w:sz w:val="20"/>
          <w:szCs w:val="24"/>
        </w:rPr>
        <w:t>Municipio de Santiago de Tolú - Sucre</w:t>
      </w:r>
    </w:p>
    <w:p w:rsidR="00AD45EC" w:rsidRPr="00485D0A" w:rsidRDefault="00AD45EC">
      <w:pPr>
        <w:spacing w:line="240" w:lineRule="auto"/>
        <w:contextualSpacing/>
        <w:jc w:val="center"/>
        <w:rPr>
          <w:rFonts w:ascii="Arial" w:hAnsi="Arial" w:cs="Arial"/>
          <w:bCs/>
          <w:iCs/>
          <w:sz w:val="20"/>
          <w:szCs w:val="24"/>
        </w:rPr>
      </w:pPr>
      <w:r w:rsidRPr="00485D0A">
        <w:rPr>
          <w:rFonts w:ascii="Arial" w:hAnsi="Arial" w:cs="Arial"/>
          <w:bCs/>
          <w:iCs/>
          <w:sz w:val="20"/>
          <w:szCs w:val="24"/>
        </w:rPr>
        <w:t>Egresos Cuenta Maestra Propósito General a cuentas del mismo Municipio – diciembre 2019 a enero de 2021</w:t>
      </w:r>
    </w:p>
    <w:tbl>
      <w:tblPr>
        <w:tblW w:w="5592" w:type="pct"/>
        <w:jc w:val="center"/>
        <w:tblCellMar>
          <w:left w:w="70" w:type="dxa"/>
          <w:right w:w="70" w:type="dxa"/>
        </w:tblCellMar>
        <w:tblLook w:val="04A0" w:firstRow="1" w:lastRow="0" w:firstColumn="1" w:lastColumn="0" w:noHBand="0" w:noVBand="1"/>
      </w:tblPr>
      <w:tblGrid>
        <w:gridCol w:w="2973"/>
        <w:gridCol w:w="1380"/>
        <w:gridCol w:w="2976"/>
        <w:gridCol w:w="1432"/>
        <w:gridCol w:w="1112"/>
      </w:tblGrid>
      <w:tr w:rsidR="00AD45EC" w:rsidRPr="00485D0A" w:rsidTr="00F4471B">
        <w:trPr>
          <w:trHeight w:val="652"/>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666699"/>
            <w:vAlign w:val="center"/>
            <w:hideMark/>
          </w:tcPr>
          <w:p w:rsidR="00AD45EC" w:rsidRPr="00485D0A" w:rsidRDefault="00AD45EC">
            <w:pPr>
              <w:spacing w:after="0" w:line="240" w:lineRule="auto"/>
              <w:contextualSpacing/>
              <w:jc w:val="center"/>
              <w:rPr>
                <w:rFonts w:ascii="Arial" w:eastAsia="Times New Roman" w:hAnsi="Arial" w:cs="Arial"/>
                <w:b/>
                <w:bCs/>
                <w:color w:val="FFFFFF"/>
                <w:sz w:val="16"/>
                <w:szCs w:val="16"/>
                <w:lang w:eastAsia="es-CO"/>
              </w:rPr>
            </w:pPr>
            <w:r w:rsidRPr="00485D0A">
              <w:rPr>
                <w:rFonts w:ascii="Arial" w:eastAsia="Times New Roman" w:hAnsi="Arial" w:cs="Arial"/>
                <w:b/>
                <w:bCs/>
                <w:color w:val="FFFFFF"/>
                <w:sz w:val="16"/>
                <w:szCs w:val="16"/>
                <w:lang w:eastAsia="es-CO"/>
              </w:rPr>
              <w:t>INFORMACIÓN DISCRIMINADA DE EGRESOS</w:t>
            </w:r>
          </w:p>
        </w:tc>
      </w:tr>
      <w:tr w:rsidR="00AD45EC" w:rsidRPr="00485D0A" w:rsidTr="00F4471B">
        <w:trPr>
          <w:trHeight w:val="288"/>
          <w:tblHeader/>
          <w:jc w:val="center"/>
        </w:trPr>
        <w:tc>
          <w:tcPr>
            <w:tcW w:w="1506" w:type="pct"/>
            <w:tcBorders>
              <w:top w:val="nil"/>
              <w:left w:val="single" w:sz="4" w:space="0" w:color="auto"/>
              <w:bottom w:val="single" w:sz="4" w:space="0" w:color="auto"/>
              <w:right w:val="single" w:sz="4" w:space="0" w:color="auto"/>
            </w:tcBorders>
            <w:shd w:val="clear" w:color="000000" w:fill="E5E5FF"/>
            <w:vAlign w:val="center"/>
            <w:hideMark/>
          </w:tcPr>
          <w:p w:rsidR="00AD45EC" w:rsidRPr="00485D0A" w:rsidRDefault="00AD45EC">
            <w:pPr>
              <w:spacing w:after="0" w:line="240" w:lineRule="auto"/>
              <w:contextualSpacing/>
              <w:jc w:val="center"/>
              <w:rPr>
                <w:rFonts w:ascii="Arial" w:eastAsia="Times New Roman" w:hAnsi="Arial" w:cs="Arial"/>
                <w:b/>
                <w:bCs/>
                <w:color w:val="000000"/>
                <w:sz w:val="16"/>
                <w:szCs w:val="16"/>
                <w:lang w:eastAsia="es-CO"/>
              </w:rPr>
            </w:pPr>
            <w:r w:rsidRPr="00485D0A">
              <w:rPr>
                <w:rFonts w:ascii="Arial" w:eastAsia="Times New Roman" w:hAnsi="Arial" w:cs="Arial"/>
                <w:b/>
                <w:bCs/>
                <w:color w:val="000000"/>
                <w:sz w:val="16"/>
                <w:szCs w:val="16"/>
                <w:lang w:eastAsia="es-CO"/>
              </w:rPr>
              <w:t xml:space="preserve">Nombre o Razón Social </w:t>
            </w:r>
          </w:p>
        </w:tc>
        <w:tc>
          <w:tcPr>
            <w:tcW w:w="699" w:type="pct"/>
            <w:tcBorders>
              <w:top w:val="nil"/>
              <w:left w:val="nil"/>
              <w:bottom w:val="single" w:sz="4" w:space="0" w:color="auto"/>
              <w:right w:val="single" w:sz="4" w:space="0" w:color="auto"/>
            </w:tcBorders>
            <w:shd w:val="clear" w:color="000000" w:fill="E5E5FF"/>
            <w:vAlign w:val="center"/>
            <w:hideMark/>
          </w:tcPr>
          <w:p w:rsidR="00AD45EC" w:rsidRPr="00485D0A" w:rsidRDefault="00AD45EC">
            <w:pPr>
              <w:spacing w:after="0" w:line="240" w:lineRule="auto"/>
              <w:contextualSpacing/>
              <w:jc w:val="center"/>
              <w:rPr>
                <w:rFonts w:ascii="Arial" w:eastAsia="Times New Roman" w:hAnsi="Arial" w:cs="Arial"/>
                <w:b/>
                <w:bCs/>
                <w:color w:val="000000"/>
                <w:sz w:val="16"/>
                <w:szCs w:val="16"/>
                <w:lang w:eastAsia="es-CO"/>
              </w:rPr>
            </w:pPr>
            <w:r w:rsidRPr="00485D0A">
              <w:rPr>
                <w:rFonts w:ascii="Arial" w:eastAsia="Times New Roman" w:hAnsi="Arial" w:cs="Arial"/>
                <w:b/>
                <w:bCs/>
                <w:color w:val="000000"/>
                <w:sz w:val="16"/>
                <w:szCs w:val="16"/>
                <w:lang w:eastAsia="es-CO"/>
              </w:rPr>
              <w:t xml:space="preserve">No. de Cuenta </w:t>
            </w:r>
          </w:p>
        </w:tc>
        <w:tc>
          <w:tcPr>
            <w:tcW w:w="1507" w:type="pct"/>
            <w:tcBorders>
              <w:top w:val="nil"/>
              <w:left w:val="nil"/>
              <w:bottom w:val="single" w:sz="4" w:space="0" w:color="auto"/>
              <w:right w:val="single" w:sz="4" w:space="0" w:color="auto"/>
            </w:tcBorders>
            <w:shd w:val="clear" w:color="000000" w:fill="E5E5FF"/>
            <w:vAlign w:val="center"/>
            <w:hideMark/>
          </w:tcPr>
          <w:p w:rsidR="00AD45EC" w:rsidRPr="00485D0A" w:rsidRDefault="00AD45EC">
            <w:pPr>
              <w:spacing w:after="0" w:line="240" w:lineRule="auto"/>
              <w:contextualSpacing/>
              <w:jc w:val="center"/>
              <w:rPr>
                <w:rFonts w:ascii="Arial" w:eastAsia="Times New Roman" w:hAnsi="Arial" w:cs="Arial"/>
                <w:b/>
                <w:bCs/>
                <w:color w:val="000000"/>
                <w:sz w:val="16"/>
                <w:szCs w:val="16"/>
                <w:lang w:eastAsia="es-CO"/>
              </w:rPr>
            </w:pPr>
            <w:r w:rsidRPr="00485D0A">
              <w:rPr>
                <w:rFonts w:ascii="Arial" w:eastAsia="Times New Roman" w:hAnsi="Arial" w:cs="Arial"/>
                <w:b/>
                <w:bCs/>
                <w:color w:val="000000"/>
                <w:sz w:val="16"/>
                <w:szCs w:val="16"/>
                <w:lang w:eastAsia="es-CO"/>
              </w:rPr>
              <w:t xml:space="preserve">Establecimiento Bancario </w:t>
            </w:r>
          </w:p>
        </w:tc>
        <w:tc>
          <w:tcPr>
            <w:tcW w:w="725" w:type="pct"/>
            <w:tcBorders>
              <w:top w:val="nil"/>
              <w:left w:val="nil"/>
              <w:bottom w:val="single" w:sz="4" w:space="0" w:color="auto"/>
              <w:right w:val="single" w:sz="4" w:space="0" w:color="auto"/>
            </w:tcBorders>
            <w:shd w:val="clear" w:color="000000" w:fill="E5E5FF"/>
            <w:vAlign w:val="center"/>
            <w:hideMark/>
          </w:tcPr>
          <w:p w:rsidR="00AD45EC" w:rsidRPr="00485D0A" w:rsidRDefault="00AD45EC">
            <w:pPr>
              <w:spacing w:after="0" w:line="240" w:lineRule="auto"/>
              <w:contextualSpacing/>
              <w:jc w:val="center"/>
              <w:rPr>
                <w:rFonts w:ascii="Arial" w:eastAsia="Times New Roman" w:hAnsi="Arial" w:cs="Arial"/>
                <w:b/>
                <w:bCs/>
                <w:color w:val="000000"/>
                <w:sz w:val="16"/>
                <w:szCs w:val="16"/>
                <w:lang w:eastAsia="es-CO"/>
              </w:rPr>
            </w:pPr>
            <w:r w:rsidRPr="00485D0A">
              <w:rPr>
                <w:rFonts w:ascii="Arial" w:eastAsia="Times New Roman" w:hAnsi="Arial" w:cs="Arial"/>
                <w:b/>
                <w:bCs/>
                <w:color w:val="000000"/>
                <w:sz w:val="16"/>
                <w:szCs w:val="16"/>
                <w:lang w:eastAsia="es-CO"/>
              </w:rPr>
              <w:t xml:space="preserve">Valor Abonado </w:t>
            </w:r>
          </w:p>
        </w:tc>
        <w:tc>
          <w:tcPr>
            <w:tcW w:w="563" w:type="pct"/>
            <w:tcBorders>
              <w:top w:val="nil"/>
              <w:left w:val="nil"/>
              <w:bottom w:val="single" w:sz="4" w:space="0" w:color="auto"/>
              <w:right w:val="single" w:sz="4" w:space="0" w:color="auto"/>
            </w:tcBorders>
            <w:shd w:val="clear" w:color="000000" w:fill="E5E5FF"/>
            <w:vAlign w:val="center"/>
            <w:hideMark/>
          </w:tcPr>
          <w:p w:rsidR="00AD45EC" w:rsidRPr="00485D0A" w:rsidRDefault="00AD45EC">
            <w:pPr>
              <w:spacing w:after="0" w:line="240" w:lineRule="auto"/>
              <w:contextualSpacing/>
              <w:jc w:val="center"/>
              <w:rPr>
                <w:rFonts w:ascii="Arial" w:eastAsia="Times New Roman" w:hAnsi="Arial" w:cs="Arial"/>
                <w:b/>
                <w:bCs/>
                <w:color w:val="000000"/>
                <w:sz w:val="16"/>
                <w:szCs w:val="16"/>
                <w:lang w:eastAsia="es-CO"/>
              </w:rPr>
            </w:pPr>
            <w:r w:rsidRPr="00485D0A">
              <w:rPr>
                <w:rFonts w:ascii="Arial" w:eastAsia="Times New Roman" w:hAnsi="Arial" w:cs="Arial"/>
                <w:b/>
                <w:bCs/>
                <w:color w:val="000000"/>
                <w:sz w:val="16"/>
                <w:szCs w:val="16"/>
                <w:lang w:eastAsia="es-CO"/>
              </w:rPr>
              <w:t xml:space="preserve">No. de Abonos </w:t>
            </w:r>
          </w:p>
        </w:tc>
      </w:tr>
      <w:tr w:rsidR="00AD45EC" w:rsidRPr="00485D0A" w:rsidTr="00C71175">
        <w:trPr>
          <w:trHeight w:val="288"/>
          <w:jc w:val="center"/>
        </w:trPr>
        <w:tc>
          <w:tcPr>
            <w:tcW w:w="1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463803003165</w:t>
            </w:r>
          </w:p>
        </w:tc>
        <w:tc>
          <w:tcPr>
            <w:tcW w:w="1507" w:type="pct"/>
            <w:tcBorders>
              <w:top w:val="single" w:sz="4" w:space="0" w:color="auto"/>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 xml:space="preserve">BANCO AGRARIO DE COLOMBIA S.A. </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$14.184.010</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3</w:t>
            </w:r>
          </w:p>
        </w:tc>
      </w:tr>
      <w:tr w:rsidR="00AD45EC" w:rsidRPr="00485D0A" w:rsidTr="00C71175">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AD45EC" w:rsidRPr="00535CFD"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lastRenderedPageBreak/>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AD45EC" w:rsidRPr="00AD45EC" w:rsidRDefault="00AD45EC">
            <w:pPr>
              <w:spacing w:after="0" w:line="240" w:lineRule="auto"/>
              <w:contextualSpacing/>
              <w:rPr>
                <w:rFonts w:ascii="Arial" w:eastAsia="Times New Roman" w:hAnsi="Arial" w:cs="Arial"/>
                <w:color w:val="000000"/>
                <w:sz w:val="16"/>
                <w:szCs w:val="16"/>
                <w:lang w:eastAsia="es-CO"/>
              </w:rPr>
            </w:pPr>
            <w:r w:rsidRPr="00AD45EC">
              <w:rPr>
                <w:rFonts w:ascii="Arial" w:eastAsia="Times New Roman" w:hAnsi="Arial" w:cs="Arial"/>
                <w:color w:val="000000"/>
                <w:sz w:val="16"/>
                <w:szCs w:val="16"/>
                <w:lang w:eastAsia="es-CO"/>
              </w:rPr>
              <w:t>463803003191</w:t>
            </w:r>
          </w:p>
        </w:tc>
        <w:tc>
          <w:tcPr>
            <w:tcW w:w="1507"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6F2DC0">
              <w:rPr>
                <w:rFonts w:ascii="Arial" w:eastAsia="Times New Roman" w:hAnsi="Arial" w:cs="Arial"/>
                <w:color w:val="000000"/>
                <w:sz w:val="16"/>
                <w:szCs w:val="16"/>
                <w:lang w:eastAsia="es-CO"/>
              </w:rPr>
              <w:t xml:space="preserve">BANCO AGRARIO DE COLOMBIA S.A. </w:t>
            </w:r>
          </w:p>
        </w:tc>
        <w:tc>
          <w:tcPr>
            <w:tcW w:w="725"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$129.914.618</w:t>
            </w:r>
          </w:p>
        </w:tc>
        <w:tc>
          <w:tcPr>
            <w:tcW w:w="563"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14</w:t>
            </w:r>
          </w:p>
        </w:tc>
      </w:tr>
      <w:tr w:rsidR="00AD45EC" w:rsidRPr="00485D0A" w:rsidTr="00C71175">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463803003203</w:t>
            </w:r>
          </w:p>
        </w:tc>
        <w:tc>
          <w:tcPr>
            <w:tcW w:w="1507"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 xml:space="preserve">BANCO AGRARIO DE COLOMBIA S.A. </w:t>
            </w:r>
          </w:p>
        </w:tc>
        <w:tc>
          <w:tcPr>
            <w:tcW w:w="725"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$189.000</w:t>
            </w:r>
          </w:p>
        </w:tc>
        <w:tc>
          <w:tcPr>
            <w:tcW w:w="563"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3</w:t>
            </w:r>
          </w:p>
        </w:tc>
      </w:tr>
      <w:tr w:rsidR="00AD45EC" w:rsidRPr="00485D0A" w:rsidTr="00C71175">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463803003572</w:t>
            </w:r>
          </w:p>
        </w:tc>
        <w:tc>
          <w:tcPr>
            <w:tcW w:w="1507"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 xml:space="preserve">BANCO AGRARIO DE COLOMBIA S.A. </w:t>
            </w:r>
          </w:p>
        </w:tc>
        <w:tc>
          <w:tcPr>
            <w:tcW w:w="725"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$9.692.571</w:t>
            </w:r>
          </w:p>
        </w:tc>
        <w:tc>
          <w:tcPr>
            <w:tcW w:w="563"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10</w:t>
            </w:r>
          </w:p>
        </w:tc>
      </w:tr>
      <w:tr w:rsidR="00AD45EC" w:rsidRPr="00485D0A" w:rsidTr="00C71175">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50700000239</w:t>
            </w:r>
          </w:p>
        </w:tc>
        <w:tc>
          <w:tcPr>
            <w:tcW w:w="1507"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BANCOLOMBIA</w:t>
            </w:r>
          </w:p>
        </w:tc>
        <w:tc>
          <w:tcPr>
            <w:tcW w:w="725"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$21.243.164</w:t>
            </w:r>
          </w:p>
        </w:tc>
        <w:tc>
          <w:tcPr>
            <w:tcW w:w="563"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8</w:t>
            </w:r>
          </w:p>
        </w:tc>
      </w:tr>
      <w:tr w:rsidR="00AD45EC" w:rsidRPr="00485D0A" w:rsidTr="00C71175">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50700013771</w:t>
            </w:r>
          </w:p>
        </w:tc>
        <w:tc>
          <w:tcPr>
            <w:tcW w:w="1507"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BANCOLOMBIA</w:t>
            </w:r>
          </w:p>
        </w:tc>
        <w:tc>
          <w:tcPr>
            <w:tcW w:w="725"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$202.114.384</w:t>
            </w:r>
          </w:p>
        </w:tc>
        <w:tc>
          <w:tcPr>
            <w:tcW w:w="563"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w:t>
            </w:r>
          </w:p>
        </w:tc>
      </w:tr>
      <w:tr w:rsidR="00AD45EC" w:rsidRPr="00485D0A" w:rsidTr="00C71175">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50700017891</w:t>
            </w:r>
          </w:p>
        </w:tc>
        <w:tc>
          <w:tcPr>
            <w:tcW w:w="1507"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BANCOLOMBIA</w:t>
            </w:r>
          </w:p>
        </w:tc>
        <w:tc>
          <w:tcPr>
            <w:tcW w:w="725"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$2.864.406</w:t>
            </w:r>
          </w:p>
        </w:tc>
        <w:tc>
          <w:tcPr>
            <w:tcW w:w="563"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2</w:t>
            </w:r>
          </w:p>
        </w:tc>
      </w:tr>
      <w:tr w:rsidR="00AD45EC" w:rsidRPr="00485D0A" w:rsidTr="00C71175">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50781220288</w:t>
            </w:r>
          </w:p>
        </w:tc>
        <w:tc>
          <w:tcPr>
            <w:tcW w:w="1507"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BANCOLOMBIA</w:t>
            </w:r>
          </w:p>
        </w:tc>
        <w:tc>
          <w:tcPr>
            <w:tcW w:w="725"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$2.045.935</w:t>
            </w:r>
          </w:p>
        </w:tc>
        <w:tc>
          <w:tcPr>
            <w:tcW w:w="563"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w:t>
            </w:r>
          </w:p>
        </w:tc>
      </w:tr>
      <w:tr w:rsidR="00AD45EC" w:rsidRPr="00485D0A" w:rsidTr="00C71175">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50781221110</w:t>
            </w:r>
          </w:p>
        </w:tc>
        <w:tc>
          <w:tcPr>
            <w:tcW w:w="1507"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BANCOLOMBIA</w:t>
            </w:r>
          </w:p>
        </w:tc>
        <w:tc>
          <w:tcPr>
            <w:tcW w:w="725"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$182.000</w:t>
            </w:r>
          </w:p>
        </w:tc>
        <w:tc>
          <w:tcPr>
            <w:tcW w:w="563"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7</w:t>
            </w:r>
          </w:p>
        </w:tc>
      </w:tr>
      <w:tr w:rsidR="00AD45EC" w:rsidRPr="00485D0A" w:rsidTr="00C71175">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50794451246</w:t>
            </w:r>
          </w:p>
        </w:tc>
        <w:tc>
          <w:tcPr>
            <w:tcW w:w="1507"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BANCOLOMBIA</w:t>
            </w:r>
          </w:p>
        </w:tc>
        <w:tc>
          <w:tcPr>
            <w:tcW w:w="725"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$691.218.497</w:t>
            </w:r>
          </w:p>
        </w:tc>
        <w:tc>
          <w:tcPr>
            <w:tcW w:w="563"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70</w:t>
            </w:r>
          </w:p>
        </w:tc>
      </w:tr>
      <w:tr w:rsidR="00AD45EC" w:rsidRPr="00485D0A" w:rsidTr="00C71175">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592607071</w:t>
            </w:r>
          </w:p>
        </w:tc>
        <w:tc>
          <w:tcPr>
            <w:tcW w:w="1507"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 DE BOGOTÁ</w:t>
            </w:r>
          </w:p>
        </w:tc>
        <w:tc>
          <w:tcPr>
            <w:tcW w:w="725"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$19.642.985</w:t>
            </w:r>
          </w:p>
        </w:tc>
        <w:tc>
          <w:tcPr>
            <w:tcW w:w="563"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2</w:t>
            </w:r>
          </w:p>
        </w:tc>
      </w:tr>
      <w:tr w:rsidR="00AD45EC" w:rsidRPr="00485D0A" w:rsidTr="00C71175">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63800015107</w:t>
            </w:r>
          </w:p>
        </w:tc>
        <w:tc>
          <w:tcPr>
            <w:tcW w:w="1507"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 xml:space="preserve">BANCO AGRARIO DE COLOMBIA S.A. </w:t>
            </w:r>
          </w:p>
        </w:tc>
        <w:tc>
          <w:tcPr>
            <w:tcW w:w="725"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$43.176.750</w:t>
            </w:r>
          </w:p>
        </w:tc>
        <w:tc>
          <w:tcPr>
            <w:tcW w:w="563" w:type="pct"/>
            <w:tcBorders>
              <w:top w:val="nil"/>
              <w:left w:val="nil"/>
              <w:bottom w:val="single" w:sz="4" w:space="0" w:color="auto"/>
              <w:right w:val="single" w:sz="4" w:space="0" w:color="auto"/>
            </w:tcBorders>
            <w:shd w:val="clear" w:color="auto" w:fill="auto"/>
            <w:vAlign w:val="center"/>
            <w:hideMark/>
          </w:tcPr>
          <w:p w:rsidR="00AD45EC" w:rsidRPr="00485D0A" w:rsidRDefault="00AD45EC">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19</w:t>
            </w:r>
          </w:p>
        </w:tc>
      </w:tr>
    </w:tbl>
    <w:p w:rsidR="00AD45EC" w:rsidRPr="00BE36D3" w:rsidRDefault="00AD45EC">
      <w:pPr>
        <w:spacing w:line="240" w:lineRule="auto"/>
        <w:contextualSpacing/>
        <w:jc w:val="center"/>
        <w:rPr>
          <w:rFonts w:ascii="Arial" w:hAnsi="Arial" w:cs="Arial"/>
          <w:bCs/>
          <w:i/>
          <w:iCs/>
          <w:sz w:val="24"/>
          <w:szCs w:val="24"/>
        </w:rPr>
      </w:pPr>
      <w:r w:rsidRPr="00485D0A">
        <w:rPr>
          <w:rFonts w:ascii="Arial" w:hAnsi="Arial" w:cs="Arial"/>
          <w:b/>
          <w:sz w:val="20"/>
          <w:szCs w:val="20"/>
          <w:lang w:val="es-ES_tradnl"/>
        </w:rPr>
        <w:t xml:space="preserve">Fuente: </w:t>
      </w:r>
      <w:r w:rsidRPr="00485D0A">
        <w:rPr>
          <w:rFonts w:ascii="Arial" w:hAnsi="Arial" w:cs="Arial"/>
          <w:sz w:val="20"/>
          <w:szCs w:val="20"/>
          <w:lang w:val="es-ES_tradnl"/>
        </w:rPr>
        <w:t>Elaboración DAF con información reportada en el Sistema PISIS.</w:t>
      </w:r>
    </w:p>
    <w:p w:rsidR="00AD45EC" w:rsidRDefault="00AD45EC">
      <w:pPr>
        <w:spacing w:line="240" w:lineRule="auto"/>
        <w:contextualSpacing/>
        <w:jc w:val="both"/>
        <w:rPr>
          <w:rFonts w:ascii="Arial" w:hAnsi="Arial" w:cs="Arial"/>
          <w:bCs/>
          <w:iCs/>
        </w:rPr>
      </w:pPr>
    </w:p>
    <w:p w:rsidR="00AD45EC" w:rsidRDefault="00485D0A">
      <w:pPr>
        <w:spacing w:line="240" w:lineRule="auto"/>
        <w:contextualSpacing/>
        <w:jc w:val="both"/>
        <w:rPr>
          <w:rFonts w:ascii="Arial" w:hAnsi="Arial" w:cs="Arial"/>
          <w:bCs/>
          <w:iCs/>
        </w:rPr>
      </w:pPr>
      <w:r w:rsidRPr="00485D0A">
        <w:rPr>
          <w:rFonts w:ascii="Arial" w:hAnsi="Arial" w:cs="Arial"/>
          <w:bCs/>
          <w:iCs/>
        </w:rPr>
        <w:t>Respecto a los egresos, se evidencian traslados a doce (12) cuentas diferentes a nombre del Municipio de Santiago de Tolú por un valor de $1.275.806.637</w:t>
      </w:r>
      <w:r w:rsidR="00AD45EC">
        <w:rPr>
          <w:rFonts w:ascii="Arial" w:hAnsi="Arial" w:cs="Arial"/>
          <w:bCs/>
          <w:iCs/>
        </w:rPr>
        <w:t xml:space="preserve"> como se evidencia en el cuadro No. 8</w:t>
      </w:r>
      <w:r w:rsidRPr="00485D0A">
        <w:rPr>
          <w:rFonts w:ascii="Arial" w:hAnsi="Arial" w:cs="Arial"/>
          <w:bCs/>
          <w:iCs/>
        </w:rPr>
        <w:t xml:space="preserve">, de las cuales, una corresponde a la Cuenta Maestra Pagadora de Propósito General del Municipio No. 50794451246. Vale la pena revisar si los movimientos de las cuentas restantes </w:t>
      </w:r>
      <w:r w:rsidR="00A07F94">
        <w:rPr>
          <w:rFonts w:ascii="Arial" w:hAnsi="Arial" w:cs="Arial"/>
          <w:bCs/>
          <w:iCs/>
        </w:rPr>
        <w:t xml:space="preserve">se ajustan a las operaciones débito autorizadas desde las cuentas maestras y si </w:t>
      </w:r>
      <w:r w:rsidRPr="00485D0A">
        <w:rPr>
          <w:rFonts w:ascii="Arial" w:hAnsi="Arial" w:cs="Arial"/>
          <w:bCs/>
          <w:iCs/>
        </w:rPr>
        <w:t xml:space="preserve">se trata de traslados por conceptos de impuestos municipales y/o traslados para pago de impuestos </w:t>
      </w:r>
      <w:r w:rsidR="00140476">
        <w:rPr>
          <w:rFonts w:ascii="Arial" w:hAnsi="Arial" w:cs="Arial"/>
          <w:bCs/>
          <w:iCs/>
        </w:rPr>
        <w:t>n</w:t>
      </w:r>
      <w:r w:rsidRPr="00485D0A">
        <w:rPr>
          <w:rFonts w:ascii="Arial" w:hAnsi="Arial" w:cs="Arial"/>
          <w:bCs/>
          <w:iCs/>
        </w:rPr>
        <w:t xml:space="preserve">acionales, estos deberían realizarse a través de la Cuenta Maestra Pagadora conforme lo dispuesto en el literal del artículo 7 de la Resolución 0660 de 2018. </w:t>
      </w:r>
    </w:p>
    <w:p w:rsidR="00AD45EC" w:rsidRDefault="00AD45EC">
      <w:pPr>
        <w:spacing w:line="240" w:lineRule="auto"/>
        <w:contextualSpacing/>
        <w:jc w:val="both"/>
        <w:rPr>
          <w:rFonts w:ascii="Arial" w:hAnsi="Arial" w:cs="Arial"/>
          <w:bCs/>
          <w:iCs/>
        </w:rPr>
      </w:pPr>
    </w:p>
    <w:p w:rsidR="00485D0A" w:rsidRPr="00485D0A" w:rsidRDefault="00485D0A">
      <w:pPr>
        <w:spacing w:line="240" w:lineRule="auto"/>
        <w:contextualSpacing/>
        <w:jc w:val="both"/>
        <w:rPr>
          <w:rFonts w:ascii="Arial" w:hAnsi="Arial" w:cs="Arial"/>
          <w:bCs/>
          <w:iCs/>
        </w:rPr>
      </w:pPr>
      <w:r w:rsidRPr="00485D0A">
        <w:rPr>
          <w:rFonts w:ascii="Arial" w:hAnsi="Arial" w:cs="Arial"/>
          <w:bCs/>
          <w:iCs/>
        </w:rPr>
        <w:t>Esta situación refleja</w:t>
      </w:r>
      <w:r w:rsidR="00DA5EBC">
        <w:rPr>
          <w:rFonts w:ascii="Arial" w:hAnsi="Arial" w:cs="Arial"/>
          <w:bCs/>
          <w:iCs/>
        </w:rPr>
        <w:t xml:space="preserve"> que</w:t>
      </w:r>
      <w:r w:rsidR="00DA5EBC" w:rsidRPr="00DA5EBC">
        <w:rPr>
          <w:rFonts w:ascii="Arial" w:hAnsi="Arial" w:cs="Arial"/>
          <w:bCs/>
          <w:iCs/>
        </w:rPr>
        <w:t xml:space="preserve"> las cuentas inscritas como beneficiaras no permiten identificar de manera clara la función de cada una de ellas y a su vez, tampoco</w:t>
      </w:r>
      <w:r w:rsidR="00DA5EBC">
        <w:rPr>
          <w:rFonts w:ascii="Arial" w:hAnsi="Arial" w:cs="Arial"/>
          <w:bCs/>
          <w:iCs/>
        </w:rPr>
        <w:t xml:space="preserve"> </w:t>
      </w:r>
      <w:r w:rsidR="00DA5EBC" w:rsidRPr="00DA5EBC">
        <w:rPr>
          <w:rFonts w:ascii="Arial" w:hAnsi="Arial" w:cs="Arial"/>
          <w:bCs/>
          <w:iCs/>
        </w:rPr>
        <w:t>permiten realizar un adecuado seguimiento de la trazabilidad de los recursos de Propósito General.</w:t>
      </w:r>
      <w:r w:rsidR="00DA5EBC">
        <w:rPr>
          <w:rFonts w:ascii="Arial" w:hAnsi="Arial" w:cs="Arial"/>
          <w:bCs/>
          <w:iCs/>
        </w:rPr>
        <w:t xml:space="preserve"> </w:t>
      </w:r>
      <w:r w:rsidR="00DA5EBC" w:rsidRPr="00DA5EBC">
        <w:rPr>
          <w:rFonts w:ascii="Arial" w:hAnsi="Arial" w:cs="Arial"/>
          <w:bCs/>
          <w:iCs/>
        </w:rPr>
        <w:t>La situación descrita también refleja un inadecuado manejo de los recursos de Propósito General, ya que no es posible realizar el adecuado control de estos</w:t>
      </w:r>
      <w:r w:rsidR="008B7540">
        <w:rPr>
          <w:rFonts w:ascii="Arial" w:hAnsi="Arial" w:cs="Arial"/>
          <w:bCs/>
          <w:iCs/>
        </w:rPr>
        <w:t xml:space="preserve"> e</w:t>
      </w:r>
      <w:r w:rsidR="00140476">
        <w:rPr>
          <w:rFonts w:ascii="Arial" w:hAnsi="Arial" w:cs="Arial"/>
          <w:bCs/>
          <w:iCs/>
        </w:rPr>
        <w:t xml:space="preserve"> </w:t>
      </w:r>
      <w:r w:rsidR="00DA5EBC" w:rsidRPr="00DA5EBC">
        <w:rPr>
          <w:rFonts w:ascii="Arial" w:hAnsi="Arial" w:cs="Arial"/>
          <w:bCs/>
          <w:iCs/>
        </w:rPr>
        <w:t>identificar los beneficiarios finales de los pagos</w:t>
      </w:r>
      <w:r w:rsidR="00DA5EBC">
        <w:rPr>
          <w:rFonts w:ascii="Arial" w:hAnsi="Arial" w:cs="Arial"/>
          <w:bCs/>
          <w:iCs/>
        </w:rPr>
        <w:t>.</w:t>
      </w:r>
    </w:p>
    <w:p w:rsidR="00485D0A" w:rsidRDefault="00485D0A">
      <w:pPr>
        <w:spacing w:line="240" w:lineRule="auto"/>
        <w:contextualSpacing/>
        <w:jc w:val="both"/>
        <w:rPr>
          <w:rFonts w:ascii="Arial" w:hAnsi="Arial" w:cs="Arial"/>
          <w:bCs/>
          <w:iCs/>
        </w:rPr>
      </w:pPr>
    </w:p>
    <w:p w:rsidR="00C07F8B" w:rsidRDefault="00C07F8B">
      <w:pPr>
        <w:spacing w:line="240" w:lineRule="auto"/>
        <w:contextualSpacing/>
        <w:jc w:val="both"/>
        <w:rPr>
          <w:rFonts w:ascii="Arial" w:hAnsi="Arial" w:cs="Arial"/>
          <w:bCs/>
          <w:iCs/>
        </w:rPr>
      </w:pPr>
      <w:r w:rsidRPr="00C07F8B">
        <w:rPr>
          <w:rFonts w:ascii="Arial" w:hAnsi="Arial" w:cs="Arial"/>
          <w:bCs/>
          <w:iCs/>
        </w:rPr>
        <w:t xml:space="preserve">En el marco legal de la administración de los recursos del Sistema General de Participaciones y como lo define el artículo 8 en su parágrafo 1 en la Resolución 4835 de 2015, los beneficiarios </w:t>
      </w:r>
      <w:r w:rsidR="00326EB8" w:rsidRPr="00C07F8B">
        <w:rPr>
          <w:rFonts w:ascii="Arial" w:hAnsi="Arial" w:cs="Arial"/>
          <w:bCs/>
          <w:iCs/>
        </w:rPr>
        <w:t>de las</w:t>
      </w:r>
      <w:r w:rsidRPr="00C07F8B">
        <w:rPr>
          <w:rFonts w:ascii="Arial" w:hAnsi="Arial" w:cs="Arial"/>
          <w:bCs/>
          <w:iCs/>
        </w:rPr>
        <w:t xml:space="preserve"> Cuentas Maestras “</w:t>
      </w:r>
      <w:r w:rsidRPr="009E313F">
        <w:rPr>
          <w:rFonts w:ascii="Arial" w:hAnsi="Arial" w:cs="Arial"/>
          <w:bCs/>
          <w:i/>
        </w:rPr>
        <w:t xml:space="preserve">Serán </w:t>
      </w:r>
      <w:r w:rsidR="00326EB8">
        <w:rPr>
          <w:rFonts w:ascii="Arial" w:hAnsi="Arial" w:cs="Arial"/>
          <w:bCs/>
          <w:i/>
        </w:rPr>
        <w:t>[…]</w:t>
      </w:r>
      <w:r w:rsidRPr="009E313F">
        <w:rPr>
          <w:rFonts w:ascii="Arial" w:hAnsi="Arial" w:cs="Arial"/>
          <w:bCs/>
          <w:i/>
        </w:rPr>
        <w:t xml:space="preserve"> </w:t>
      </w:r>
      <w:r w:rsidRPr="009E313F">
        <w:rPr>
          <w:rFonts w:ascii="Arial" w:hAnsi="Arial" w:cs="Arial"/>
          <w:b/>
          <w:i/>
        </w:rPr>
        <w:t>los titulares de tributos nacionales, departamentales y municipales asociados a la ejecución de los recursos del Sistema</w:t>
      </w:r>
      <w:r w:rsidR="00326EB8">
        <w:rPr>
          <w:rFonts w:ascii="Arial" w:hAnsi="Arial" w:cs="Arial"/>
          <w:b/>
          <w:i/>
        </w:rPr>
        <w:t xml:space="preserve"> </w:t>
      </w:r>
      <w:r w:rsidRPr="009E313F">
        <w:rPr>
          <w:rFonts w:ascii="Arial" w:hAnsi="Arial" w:cs="Arial"/>
          <w:b/>
          <w:i/>
        </w:rPr>
        <w:t>General de Participaciones de Propósito General</w:t>
      </w:r>
      <w:r w:rsidR="000F591D">
        <w:rPr>
          <w:rFonts w:ascii="Arial" w:hAnsi="Arial" w:cs="Arial"/>
          <w:b/>
          <w:i/>
        </w:rPr>
        <w:t xml:space="preserve"> </w:t>
      </w:r>
      <w:r w:rsidRPr="009E313F">
        <w:rPr>
          <w:rFonts w:ascii="Arial" w:hAnsi="Arial" w:cs="Arial"/>
          <w:bCs/>
          <w:i/>
        </w:rPr>
        <w:t>[...]”</w:t>
      </w:r>
      <w:r w:rsidRPr="00C07F8B">
        <w:rPr>
          <w:rFonts w:ascii="Arial" w:hAnsi="Arial" w:cs="Arial"/>
          <w:bCs/>
          <w:iCs/>
        </w:rPr>
        <w:t xml:space="preserve"> (</w:t>
      </w:r>
      <w:r w:rsidR="00326EB8">
        <w:rPr>
          <w:rFonts w:ascii="Arial" w:hAnsi="Arial" w:cs="Arial"/>
          <w:bCs/>
          <w:iCs/>
        </w:rPr>
        <w:t>énfasis</w:t>
      </w:r>
      <w:r w:rsidRPr="00C07F8B">
        <w:rPr>
          <w:rFonts w:ascii="Arial" w:hAnsi="Arial" w:cs="Arial"/>
          <w:bCs/>
          <w:iCs/>
        </w:rPr>
        <w:t xml:space="preserve"> fuera de texto).</w:t>
      </w:r>
    </w:p>
    <w:p w:rsidR="00C07F8B" w:rsidRDefault="00C07F8B">
      <w:pPr>
        <w:spacing w:line="240" w:lineRule="auto"/>
        <w:contextualSpacing/>
        <w:jc w:val="both"/>
        <w:rPr>
          <w:rFonts w:ascii="Arial" w:hAnsi="Arial" w:cs="Arial"/>
          <w:bCs/>
          <w:iCs/>
        </w:rPr>
      </w:pPr>
    </w:p>
    <w:p w:rsidR="00C07F8B" w:rsidRDefault="00C07F8B">
      <w:pPr>
        <w:spacing w:line="240" w:lineRule="auto"/>
        <w:contextualSpacing/>
        <w:jc w:val="both"/>
        <w:rPr>
          <w:rFonts w:ascii="Arial" w:hAnsi="Arial" w:cs="Arial"/>
          <w:bCs/>
          <w:iCs/>
        </w:rPr>
      </w:pPr>
      <w:r w:rsidRPr="00C07F8B">
        <w:rPr>
          <w:rFonts w:ascii="Arial" w:hAnsi="Arial" w:cs="Arial"/>
          <w:bCs/>
          <w:iCs/>
        </w:rPr>
        <w:t xml:space="preserve">En ese orden de ideas, todo pago por concepto de tributo que deban realizar las entidades territoriales con cargo a los recursos del Sistema General de Participaciones de Propósito General, a terceros o a cuentas de la misma entidad son permitidas. Sin embargo, como lo </w:t>
      </w:r>
      <w:r w:rsidRPr="00C07F8B">
        <w:rPr>
          <w:rFonts w:ascii="Arial" w:hAnsi="Arial" w:cs="Arial"/>
          <w:bCs/>
          <w:iCs/>
        </w:rPr>
        <w:lastRenderedPageBreak/>
        <w:t xml:space="preserve">aclara el parágrafo del artículo 9 de </w:t>
      </w:r>
      <w:r>
        <w:rPr>
          <w:rFonts w:ascii="Arial" w:hAnsi="Arial" w:cs="Arial"/>
          <w:bCs/>
          <w:iCs/>
        </w:rPr>
        <w:t>l</w:t>
      </w:r>
      <w:r w:rsidRPr="00C07F8B">
        <w:rPr>
          <w:rFonts w:ascii="Arial" w:hAnsi="Arial" w:cs="Arial"/>
          <w:bCs/>
          <w:iCs/>
        </w:rPr>
        <w:t xml:space="preserve">a misma Resolución </w:t>
      </w:r>
      <w:r w:rsidRPr="009E313F">
        <w:rPr>
          <w:rFonts w:ascii="Arial" w:hAnsi="Arial" w:cs="Arial"/>
          <w:bCs/>
          <w:i/>
        </w:rPr>
        <w:t>“</w:t>
      </w:r>
      <w:r w:rsidRPr="009E313F">
        <w:rPr>
          <w:rFonts w:ascii="Arial" w:hAnsi="Arial" w:cs="Arial"/>
          <w:b/>
          <w:i/>
        </w:rPr>
        <w:t>Las entidades territoriales tendrán la obligación de realizar la inscripción de estos beneficiarios</w:t>
      </w:r>
      <w:r w:rsidRPr="009E313F">
        <w:rPr>
          <w:rFonts w:ascii="Arial" w:hAnsi="Arial" w:cs="Arial"/>
          <w:bCs/>
          <w:i/>
        </w:rPr>
        <w:t xml:space="preserve"> a través del portal bancario de la entidad bancaria en donde se encuentra aperturada la Cuenta Maestra y </w:t>
      </w:r>
      <w:r w:rsidRPr="009E313F">
        <w:rPr>
          <w:rFonts w:ascii="Arial" w:hAnsi="Arial" w:cs="Arial"/>
          <w:b/>
          <w:i/>
        </w:rPr>
        <w:t>serán responsables de la calidad y veracidad de la información documental aportada en dicho proceso</w:t>
      </w:r>
      <w:r w:rsidRPr="009E313F">
        <w:rPr>
          <w:rFonts w:ascii="Arial" w:hAnsi="Arial" w:cs="Arial"/>
          <w:bCs/>
          <w:i/>
        </w:rPr>
        <w:t>[...]”</w:t>
      </w:r>
      <w:r w:rsidRPr="00C07F8B">
        <w:rPr>
          <w:rFonts w:ascii="Arial" w:hAnsi="Arial" w:cs="Arial"/>
          <w:bCs/>
          <w:iCs/>
        </w:rPr>
        <w:t xml:space="preserve"> (</w:t>
      </w:r>
      <w:r>
        <w:rPr>
          <w:rFonts w:ascii="Arial" w:hAnsi="Arial" w:cs="Arial"/>
          <w:bCs/>
          <w:iCs/>
        </w:rPr>
        <w:t>énfasis</w:t>
      </w:r>
      <w:r w:rsidRPr="00C07F8B">
        <w:rPr>
          <w:rFonts w:ascii="Arial" w:hAnsi="Arial" w:cs="Arial"/>
          <w:bCs/>
          <w:iCs/>
        </w:rPr>
        <w:t xml:space="preserve"> fuera de texto).</w:t>
      </w:r>
      <w:r>
        <w:rPr>
          <w:rFonts w:ascii="Arial" w:hAnsi="Arial" w:cs="Arial"/>
          <w:bCs/>
          <w:iCs/>
        </w:rPr>
        <w:t xml:space="preserve"> </w:t>
      </w:r>
      <w:r w:rsidR="008B7540">
        <w:rPr>
          <w:rFonts w:ascii="Arial" w:hAnsi="Arial" w:cs="Arial"/>
          <w:bCs/>
          <w:iCs/>
        </w:rPr>
        <w:t>El Municipio deberá aplicar a estas cuentas una nomenclatura que permita identificar claramente el objeto de gasto que soporta la transferencia a dichas cuentas.</w:t>
      </w:r>
    </w:p>
    <w:p w:rsidR="00C07F8B" w:rsidRPr="00485D0A" w:rsidRDefault="00C07F8B">
      <w:pPr>
        <w:spacing w:line="240" w:lineRule="auto"/>
        <w:contextualSpacing/>
        <w:jc w:val="both"/>
        <w:rPr>
          <w:rFonts w:ascii="Arial" w:hAnsi="Arial" w:cs="Arial"/>
          <w:bCs/>
          <w:iCs/>
        </w:rPr>
      </w:pPr>
    </w:p>
    <w:p w:rsidR="00485D0A" w:rsidRPr="00485D0A" w:rsidRDefault="00485D0A">
      <w:pPr>
        <w:spacing w:line="240" w:lineRule="auto"/>
        <w:contextualSpacing/>
        <w:jc w:val="both"/>
        <w:rPr>
          <w:rFonts w:ascii="Arial" w:hAnsi="Arial" w:cs="Arial"/>
          <w:bCs/>
          <w:iCs/>
        </w:rPr>
      </w:pPr>
      <w:r w:rsidRPr="00485D0A">
        <w:rPr>
          <w:rFonts w:ascii="Arial" w:hAnsi="Arial" w:cs="Arial"/>
          <w:bCs/>
          <w:iCs/>
        </w:rPr>
        <w:t>De igual forma se puede evidenciar que no se identifican correctamente los Número de Identificación Tributaria - NIT de los beneficiarios, puesto que existen varias razones sociales para un mismo NIT como es el caso de: NIT No. 800219940 con razón social “</w:t>
      </w:r>
      <w:r w:rsidRPr="00485D0A">
        <w:rPr>
          <w:rFonts w:ascii="Arial" w:hAnsi="Arial" w:cs="Arial"/>
          <w:bCs/>
          <w:i/>
        </w:rPr>
        <w:t>CORPECAT</w:t>
      </w:r>
      <w:r w:rsidRPr="00485D0A">
        <w:rPr>
          <w:rFonts w:ascii="Arial" w:hAnsi="Arial" w:cs="Arial"/>
          <w:bCs/>
          <w:iCs/>
        </w:rPr>
        <w:t>” y “</w:t>
      </w:r>
      <w:r w:rsidRPr="00485D0A">
        <w:rPr>
          <w:rFonts w:ascii="Arial" w:hAnsi="Arial" w:cs="Arial"/>
          <w:bCs/>
          <w:i/>
        </w:rPr>
        <w:t>Corporación Proyectos Estudios Consultoría y Asistencia Técnica CORPECAT</w:t>
      </w:r>
      <w:r w:rsidRPr="00485D0A">
        <w:rPr>
          <w:rFonts w:ascii="Arial" w:hAnsi="Arial" w:cs="Arial"/>
          <w:bCs/>
          <w:iCs/>
        </w:rPr>
        <w:t>,” NIT No. 892200839 con razón social “Municipio de Tolú” y “</w:t>
      </w:r>
      <w:r w:rsidRPr="00485D0A">
        <w:rPr>
          <w:rFonts w:ascii="Arial" w:hAnsi="Arial" w:cs="Arial"/>
          <w:bCs/>
          <w:i/>
        </w:rPr>
        <w:t>Municipio Santiago de Tolú</w:t>
      </w:r>
      <w:r w:rsidRPr="00485D0A">
        <w:rPr>
          <w:rFonts w:ascii="Arial" w:hAnsi="Arial" w:cs="Arial"/>
          <w:bCs/>
          <w:iCs/>
        </w:rPr>
        <w:t>”, NIT No 900162522 con razón social “</w:t>
      </w:r>
      <w:r w:rsidRPr="00485D0A">
        <w:rPr>
          <w:rFonts w:ascii="Arial" w:hAnsi="Arial" w:cs="Arial"/>
          <w:bCs/>
          <w:i/>
        </w:rPr>
        <w:t>Sindicato de Trabajadores Oficiales y Empleados Públicos al Servicio del Municipio de Santiago de To</w:t>
      </w:r>
      <w:r w:rsidRPr="00485D0A">
        <w:rPr>
          <w:rFonts w:ascii="Arial" w:hAnsi="Arial" w:cs="Arial"/>
          <w:bCs/>
          <w:iCs/>
        </w:rPr>
        <w:t>”, “</w:t>
      </w:r>
      <w:r w:rsidRPr="00485D0A">
        <w:rPr>
          <w:rFonts w:ascii="Arial" w:hAnsi="Arial" w:cs="Arial"/>
          <w:bCs/>
          <w:i/>
        </w:rPr>
        <w:t>Sindicato Empleados Públicos</w:t>
      </w:r>
      <w:r w:rsidRPr="00485D0A">
        <w:rPr>
          <w:rFonts w:ascii="Arial" w:hAnsi="Arial" w:cs="Arial"/>
          <w:bCs/>
          <w:iCs/>
        </w:rPr>
        <w:t>”, “</w:t>
      </w:r>
      <w:r w:rsidRPr="00485D0A">
        <w:rPr>
          <w:rFonts w:ascii="Arial" w:hAnsi="Arial" w:cs="Arial"/>
          <w:bCs/>
          <w:i/>
        </w:rPr>
        <w:t>Aguas del Morrosquillo S A E S P</w:t>
      </w:r>
      <w:r w:rsidRPr="00485D0A">
        <w:rPr>
          <w:rFonts w:ascii="Arial" w:hAnsi="Arial" w:cs="Arial"/>
          <w:bCs/>
          <w:iCs/>
        </w:rPr>
        <w:t>” y “</w:t>
      </w:r>
      <w:r w:rsidRPr="00485D0A">
        <w:rPr>
          <w:rFonts w:ascii="Arial" w:hAnsi="Arial" w:cs="Arial"/>
          <w:bCs/>
          <w:i/>
        </w:rPr>
        <w:t>Aguas del Morrosquillo SA</w:t>
      </w:r>
      <w:r w:rsidRPr="00485D0A">
        <w:rPr>
          <w:rFonts w:ascii="Arial" w:hAnsi="Arial" w:cs="Arial"/>
          <w:bCs/>
          <w:iCs/>
        </w:rPr>
        <w:t>”, NIT No. 900688066 con razón social “Financiera JURISCOOP SA” y “</w:t>
      </w:r>
      <w:r w:rsidRPr="00485D0A">
        <w:rPr>
          <w:rFonts w:ascii="Arial" w:hAnsi="Arial" w:cs="Arial"/>
          <w:bCs/>
          <w:i/>
        </w:rPr>
        <w:t>Financiera JURISCOOP SA Compañía de Financiamiento</w:t>
      </w:r>
      <w:r w:rsidRPr="00485D0A">
        <w:rPr>
          <w:rFonts w:ascii="Arial" w:hAnsi="Arial" w:cs="Arial"/>
          <w:bCs/>
          <w:iCs/>
        </w:rPr>
        <w:t>” y el NIT No. 900815285 con razón social “</w:t>
      </w:r>
      <w:r w:rsidRPr="00485D0A">
        <w:rPr>
          <w:rFonts w:ascii="Arial" w:hAnsi="Arial" w:cs="Arial"/>
          <w:bCs/>
          <w:i/>
        </w:rPr>
        <w:t>Inversiones del Caribe COOCAR</w:t>
      </w:r>
      <w:r w:rsidRPr="00485D0A">
        <w:rPr>
          <w:rFonts w:ascii="Arial" w:hAnsi="Arial" w:cs="Arial"/>
          <w:bCs/>
          <w:iCs/>
        </w:rPr>
        <w:t>” y “</w:t>
      </w:r>
      <w:r w:rsidRPr="00485D0A">
        <w:rPr>
          <w:rFonts w:ascii="Arial" w:hAnsi="Arial" w:cs="Arial"/>
          <w:bCs/>
          <w:i/>
        </w:rPr>
        <w:t>Inversiones del Caribe COOCARIBE S A S</w:t>
      </w:r>
      <w:r w:rsidRPr="00485D0A">
        <w:rPr>
          <w:rFonts w:ascii="Arial" w:hAnsi="Arial" w:cs="Arial"/>
          <w:bCs/>
          <w:iCs/>
        </w:rPr>
        <w:t>”. Esto representa un riesgo grave y deriva en el incumplimiento del artículo 9 de la Resolución No. 4835 de 2015 sobre la inscripción adecuada de los beneficiarios para los pagos desde las Cuentas Maestras.</w:t>
      </w:r>
    </w:p>
    <w:p w:rsidR="00485D0A" w:rsidRPr="00485D0A" w:rsidRDefault="00485D0A">
      <w:pPr>
        <w:spacing w:line="240" w:lineRule="auto"/>
        <w:contextualSpacing/>
        <w:jc w:val="both"/>
        <w:rPr>
          <w:rFonts w:ascii="Arial" w:hAnsi="Arial" w:cs="Arial"/>
          <w:bCs/>
          <w:iCs/>
        </w:rPr>
      </w:pPr>
    </w:p>
    <w:p w:rsidR="00B92C3C" w:rsidRDefault="00485D0A">
      <w:pPr>
        <w:spacing w:line="240" w:lineRule="auto"/>
        <w:contextualSpacing/>
        <w:jc w:val="both"/>
        <w:rPr>
          <w:rFonts w:ascii="Arial" w:hAnsi="Arial" w:cs="Arial"/>
          <w:bCs/>
          <w:iCs/>
        </w:rPr>
      </w:pPr>
      <w:r w:rsidRPr="00485D0A">
        <w:rPr>
          <w:rFonts w:ascii="Arial" w:hAnsi="Arial" w:cs="Arial"/>
          <w:bCs/>
          <w:iCs/>
        </w:rPr>
        <w:t>En cuanto a los movimientos de la Cuenta Maestra Pagadora, se evidencian pagos a través del portal bancario a favor de “</w:t>
      </w:r>
      <w:r w:rsidRPr="00485D0A">
        <w:rPr>
          <w:rFonts w:ascii="Arial" w:hAnsi="Arial" w:cs="Arial"/>
          <w:bCs/>
          <w:i/>
        </w:rPr>
        <w:t>ASOPAGOS</w:t>
      </w:r>
      <w:r w:rsidRPr="00485D0A">
        <w:rPr>
          <w:rFonts w:ascii="Arial" w:hAnsi="Arial" w:cs="Arial"/>
          <w:bCs/>
          <w:iCs/>
        </w:rPr>
        <w:t xml:space="preserve">”, lo cual incumple el artículo 2 de la Resolución No. 0660 de 2018 que indica que los pagos desde las Cuentas Maestra Pagadoras solo pueden efectuarse por medio del Botón de Pago Electrónico Seguro en Línea – PSE; </w:t>
      </w:r>
      <w:r w:rsidR="009E313F">
        <w:rPr>
          <w:rFonts w:ascii="Arial" w:hAnsi="Arial" w:cs="Arial"/>
          <w:bCs/>
          <w:iCs/>
        </w:rPr>
        <w:t xml:space="preserve">al respecto, </w:t>
      </w:r>
      <w:r w:rsidRPr="00485D0A">
        <w:rPr>
          <w:rFonts w:ascii="Arial" w:hAnsi="Arial" w:cs="Arial"/>
          <w:bCs/>
          <w:iCs/>
        </w:rPr>
        <w:t xml:space="preserve">Bancolombia informó a este Ministerio en el alcance a la comunicación del 26 de febrero de 2021 que los pagos realizados a través del portal “ASOPAGOS” no eran pagos realizados por el portal PSE. Por último, se evidencia que la Cuenta Maestra Pagadora traslada más de lo que corresponde a los pagos en los conceptos autorizados, arrastrando un saldo promedio de $1.465.342, situación anómala dado que estas cuentas tienden a saldos $0, </w:t>
      </w:r>
      <w:r w:rsidR="00A269EE">
        <w:rPr>
          <w:rFonts w:ascii="Arial" w:hAnsi="Arial" w:cs="Arial"/>
          <w:bCs/>
          <w:iCs/>
        </w:rPr>
        <w:t>puesto</w:t>
      </w:r>
      <w:r w:rsidRPr="00485D0A">
        <w:rPr>
          <w:rFonts w:ascii="Arial" w:hAnsi="Arial" w:cs="Arial"/>
          <w:bCs/>
          <w:iCs/>
        </w:rPr>
        <w:t xml:space="preserve"> que solo se trasladan los montos de los pagos que se van a realizar a través del botón de pago PSE autorizados por la normatividad vigente.</w:t>
      </w:r>
    </w:p>
    <w:p w:rsidR="00B92C3C" w:rsidRDefault="00B92C3C">
      <w:pPr>
        <w:spacing w:line="240" w:lineRule="auto"/>
        <w:contextualSpacing/>
        <w:jc w:val="both"/>
        <w:rPr>
          <w:rFonts w:ascii="Arial" w:hAnsi="Arial" w:cs="Arial"/>
          <w:bCs/>
          <w:iCs/>
        </w:rPr>
      </w:pPr>
    </w:p>
    <w:p w:rsidR="00B92C3C" w:rsidRDefault="00B92C3C">
      <w:pPr>
        <w:spacing w:line="240" w:lineRule="auto"/>
        <w:contextualSpacing/>
        <w:jc w:val="both"/>
        <w:rPr>
          <w:rFonts w:ascii="Arial" w:hAnsi="Arial" w:cs="Arial"/>
        </w:rPr>
      </w:pPr>
      <w:r w:rsidRPr="00B92C3C">
        <w:rPr>
          <w:rFonts w:ascii="Arial" w:hAnsi="Arial" w:cs="Arial"/>
        </w:rPr>
        <w:t>El Municipio deberá trabajar un procedimiento que defina el manejo de las Cuentas Maestras donde se administran los recursos del Sistema General de Participaciones según la normatividad vigente. En este marco, se debe determinar la naturaleza de los movimientos realizados a cuentas a nombre del Municipio desde la Cuenta Maestra de Propósito General. En caso de que se traten de movimientos autorizados como traslados de estampillas o retenciones, se deberá garantizar la adecuada nomenclatura de las cuentas receptoras que permita identificar la naturaleza de estos traslados.</w:t>
      </w:r>
    </w:p>
    <w:p w:rsidR="00E34545" w:rsidRPr="00B92C3C" w:rsidRDefault="00E34545">
      <w:pPr>
        <w:spacing w:line="240" w:lineRule="auto"/>
        <w:contextualSpacing/>
        <w:jc w:val="both"/>
        <w:rPr>
          <w:rFonts w:ascii="Arial" w:hAnsi="Arial" w:cs="Arial"/>
          <w:bCs/>
          <w:iCs/>
        </w:rPr>
      </w:pPr>
    </w:p>
    <w:p w:rsidR="00A74773" w:rsidRPr="00BE36D3" w:rsidRDefault="00034084">
      <w:pPr>
        <w:pStyle w:val="Prrafodelista"/>
        <w:numPr>
          <w:ilvl w:val="0"/>
          <w:numId w:val="2"/>
        </w:numPr>
        <w:spacing w:line="240" w:lineRule="auto"/>
        <w:jc w:val="both"/>
        <w:rPr>
          <w:rFonts w:ascii="Arial" w:hAnsi="Arial" w:cs="Arial"/>
          <w:b/>
          <w:bCs/>
        </w:rPr>
      </w:pPr>
      <w:r w:rsidRPr="00BE36D3">
        <w:rPr>
          <w:rFonts w:ascii="Arial" w:hAnsi="Arial" w:cs="Arial"/>
          <w:b/>
          <w:bCs/>
        </w:rPr>
        <w:t>ANÁLISIS CONTRACTUAL</w:t>
      </w:r>
      <w:r w:rsidR="00570DAC">
        <w:rPr>
          <w:rFonts w:ascii="Arial" w:hAnsi="Arial" w:cs="Arial"/>
          <w:b/>
          <w:bCs/>
        </w:rPr>
        <w:t>.</w:t>
      </w:r>
    </w:p>
    <w:p w:rsidR="0009074C" w:rsidRDefault="0009074C">
      <w:pPr>
        <w:spacing w:line="240" w:lineRule="auto"/>
        <w:contextualSpacing/>
        <w:jc w:val="both"/>
        <w:rPr>
          <w:rFonts w:ascii="Arial" w:hAnsi="Arial" w:cs="Arial"/>
        </w:rPr>
      </w:pPr>
    </w:p>
    <w:p w:rsidR="005952C1" w:rsidRDefault="00700C6F">
      <w:pPr>
        <w:spacing w:line="240" w:lineRule="auto"/>
        <w:contextualSpacing/>
        <w:jc w:val="both"/>
        <w:rPr>
          <w:rFonts w:ascii="Arial" w:hAnsi="Arial" w:cs="Arial"/>
        </w:rPr>
      </w:pPr>
      <w:r w:rsidRPr="00BE36D3">
        <w:rPr>
          <w:rFonts w:ascii="Arial" w:hAnsi="Arial" w:cs="Arial"/>
        </w:rPr>
        <w:t>El Departamento Nacional de Planeación recibió por parte del Municipio de Santiago de Tolú</w:t>
      </w:r>
      <w:r w:rsidR="00704BF8" w:rsidRPr="00BE36D3">
        <w:rPr>
          <w:rFonts w:ascii="Arial" w:hAnsi="Arial" w:cs="Arial"/>
        </w:rPr>
        <w:t xml:space="preserve"> </w:t>
      </w:r>
      <w:r w:rsidRPr="00BE36D3">
        <w:rPr>
          <w:rFonts w:ascii="Arial" w:hAnsi="Arial" w:cs="Arial"/>
        </w:rPr>
        <w:t>-</w:t>
      </w:r>
      <w:r w:rsidR="00704BF8" w:rsidRPr="00BE36D3">
        <w:rPr>
          <w:rFonts w:ascii="Arial" w:hAnsi="Arial" w:cs="Arial"/>
        </w:rPr>
        <w:t xml:space="preserve"> </w:t>
      </w:r>
      <w:r w:rsidRPr="00BE36D3">
        <w:rPr>
          <w:rFonts w:ascii="Arial" w:hAnsi="Arial" w:cs="Arial"/>
        </w:rPr>
        <w:t xml:space="preserve">Sucre, un total de 62 contratos financiados con recursos de la Participación de </w:t>
      </w:r>
      <w:r w:rsidRPr="00BE36D3">
        <w:rPr>
          <w:rFonts w:ascii="Arial" w:hAnsi="Arial" w:cs="Arial"/>
        </w:rPr>
        <w:lastRenderedPageBreak/>
        <w:t xml:space="preserve">Propósito General. </w:t>
      </w:r>
      <w:r w:rsidR="00F3668C" w:rsidRPr="00BE36D3">
        <w:rPr>
          <w:rFonts w:ascii="Arial" w:hAnsi="Arial" w:cs="Arial"/>
        </w:rPr>
        <w:t>De estos contratos</w:t>
      </w:r>
      <w:r w:rsidR="00655307" w:rsidRPr="00BE36D3">
        <w:rPr>
          <w:rFonts w:ascii="Arial" w:hAnsi="Arial" w:cs="Arial"/>
        </w:rPr>
        <w:t>,</w:t>
      </w:r>
      <w:r w:rsidR="00F3668C" w:rsidRPr="00BE36D3">
        <w:rPr>
          <w:rFonts w:ascii="Arial" w:hAnsi="Arial" w:cs="Arial"/>
        </w:rPr>
        <w:t xml:space="preserve"> 25 corresponden a la vigencia 201</w:t>
      </w:r>
      <w:r w:rsidR="00704BF8" w:rsidRPr="00BE36D3">
        <w:rPr>
          <w:rFonts w:ascii="Arial" w:hAnsi="Arial" w:cs="Arial"/>
        </w:rPr>
        <w:t xml:space="preserve">7 por valor de $1.808.072.864 </w:t>
      </w:r>
      <w:r w:rsidR="00F3668C" w:rsidRPr="00BE36D3">
        <w:rPr>
          <w:rFonts w:ascii="Arial" w:hAnsi="Arial" w:cs="Arial"/>
        </w:rPr>
        <w:t xml:space="preserve">y </w:t>
      </w:r>
      <w:r w:rsidR="008C1013" w:rsidRPr="00BE36D3">
        <w:rPr>
          <w:rFonts w:ascii="Arial" w:hAnsi="Arial" w:cs="Arial"/>
        </w:rPr>
        <w:t>37 a la vigencia de 201</w:t>
      </w:r>
      <w:r w:rsidR="00704BF8" w:rsidRPr="00BE36D3">
        <w:rPr>
          <w:rFonts w:ascii="Arial" w:hAnsi="Arial" w:cs="Arial"/>
        </w:rPr>
        <w:t>8 por un monto total de $3.726.047.335</w:t>
      </w:r>
      <w:r w:rsidR="00E32226" w:rsidRPr="00BE36D3">
        <w:rPr>
          <w:rFonts w:ascii="Arial" w:hAnsi="Arial" w:cs="Arial"/>
        </w:rPr>
        <w:t xml:space="preserve">. </w:t>
      </w:r>
      <w:r w:rsidR="00B35F1F" w:rsidRPr="00BE36D3">
        <w:rPr>
          <w:rFonts w:ascii="Arial" w:hAnsi="Arial" w:cs="Arial"/>
        </w:rPr>
        <w:t>Según</w:t>
      </w:r>
      <w:r w:rsidR="008D4FA3" w:rsidRPr="00BE36D3">
        <w:rPr>
          <w:rFonts w:ascii="Arial" w:hAnsi="Arial" w:cs="Arial"/>
        </w:rPr>
        <w:t xml:space="preserve"> lo indicado por el DNP en el </w:t>
      </w:r>
      <w:r w:rsidR="00570DAC">
        <w:rPr>
          <w:rFonts w:ascii="Arial" w:hAnsi="Arial" w:cs="Arial"/>
        </w:rPr>
        <w:t>“</w:t>
      </w:r>
      <w:r w:rsidR="008D4FA3" w:rsidRPr="00BE36D3">
        <w:rPr>
          <w:rFonts w:ascii="Arial" w:hAnsi="Arial" w:cs="Arial"/>
          <w:i/>
          <w:iCs/>
        </w:rPr>
        <w:t xml:space="preserve">Informe de Monitoreo </w:t>
      </w:r>
      <w:r w:rsidR="00B01340" w:rsidRPr="00BE36D3">
        <w:rPr>
          <w:rFonts w:ascii="Arial" w:hAnsi="Arial" w:cs="Arial"/>
          <w:i/>
          <w:iCs/>
        </w:rPr>
        <w:t xml:space="preserve">de </w:t>
      </w:r>
      <w:r w:rsidR="005952C1" w:rsidRPr="00BE36D3">
        <w:rPr>
          <w:rFonts w:ascii="Arial" w:hAnsi="Arial" w:cs="Arial"/>
          <w:i/>
          <w:iCs/>
        </w:rPr>
        <w:t>campo</w:t>
      </w:r>
      <w:r w:rsidR="00570DAC">
        <w:rPr>
          <w:rFonts w:ascii="Arial" w:hAnsi="Arial" w:cs="Arial"/>
        </w:rPr>
        <w:t>”</w:t>
      </w:r>
      <w:r w:rsidR="005952C1" w:rsidRPr="00BE36D3">
        <w:rPr>
          <w:rFonts w:ascii="Arial" w:hAnsi="Arial" w:cs="Arial"/>
          <w:i/>
          <w:iCs/>
        </w:rPr>
        <w:t xml:space="preserve">, </w:t>
      </w:r>
      <w:r w:rsidR="005952C1" w:rsidRPr="00BE36D3">
        <w:rPr>
          <w:rFonts w:ascii="Arial" w:hAnsi="Arial" w:cs="Arial"/>
        </w:rPr>
        <w:t xml:space="preserve">el Municipio no le entregó toda la información requerida para realizar la revisión y </w:t>
      </w:r>
      <w:r w:rsidR="004835B9" w:rsidRPr="00BE36D3">
        <w:rPr>
          <w:rFonts w:ascii="Arial" w:hAnsi="Arial" w:cs="Arial"/>
        </w:rPr>
        <w:t>mencion</w:t>
      </w:r>
      <w:r w:rsidR="00B35F1F" w:rsidRPr="00BE36D3">
        <w:rPr>
          <w:rFonts w:ascii="Arial" w:hAnsi="Arial" w:cs="Arial"/>
        </w:rPr>
        <w:t>a</w:t>
      </w:r>
      <w:r w:rsidR="004835B9" w:rsidRPr="00BE36D3">
        <w:rPr>
          <w:rFonts w:ascii="Arial" w:hAnsi="Arial" w:cs="Arial"/>
        </w:rPr>
        <w:t xml:space="preserve"> que </w:t>
      </w:r>
      <w:r w:rsidR="004835B9" w:rsidRPr="00BE36D3">
        <w:rPr>
          <w:rFonts w:ascii="Arial" w:hAnsi="Arial" w:cs="Arial"/>
          <w:i/>
          <w:iCs/>
        </w:rPr>
        <w:t>“[…] durante la visita, un funcionario de la Contraloría Departamental se presentó para justificar la no entrega de la información solicitada por el DNP e impidió la verificación de la misma haciéndose responsable de su tenencia y desvirtuando la legitimidad del ejercicio de Monitoreo a cargo del DNP, en el marco del decreto 028 de 2008, ante la entidad territorial</w:t>
      </w:r>
      <w:r w:rsidR="004835B9" w:rsidRPr="00BE36D3">
        <w:rPr>
          <w:rFonts w:ascii="Arial" w:hAnsi="Arial" w:cs="Arial"/>
        </w:rPr>
        <w:t>” (Informe de Monitoreo</w:t>
      </w:r>
      <w:r w:rsidR="00C571C1" w:rsidRPr="00BE36D3">
        <w:rPr>
          <w:rFonts w:ascii="Arial" w:hAnsi="Arial" w:cs="Arial"/>
        </w:rPr>
        <w:t xml:space="preserve"> en campo</w:t>
      </w:r>
      <w:r w:rsidR="004835B9" w:rsidRPr="00BE36D3">
        <w:rPr>
          <w:rFonts w:ascii="Arial" w:hAnsi="Arial" w:cs="Arial"/>
        </w:rPr>
        <w:t>, 2019).</w:t>
      </w:r>
    </w:p>
    <w:p w:rsidR="0009074C" w:rsidRPr="00BE36D3" w:rsidRDefault="0009074C">
      <w:pPr>
        <w:spacing w:line="240" w:lineRule="auto"/>
        <w:contextualSpacing/>
        <w:jc w:val="both"/>
        <w:rPr>
          <w:rFonts w:ascii="Arial" w:hAnsi="Arial" w:cs="Arial"/>
        </w:rPr>
      </w:pPr>
    </w:p>
    <w:p w:rsidR="008831F5" w:rsidRDefault="00C3685C">
      <w:pPr>
        <w:spacing w:line="240" w:lineRule="auto"/>
        <w:contextualSpacing/>
        <w:jc w:val="both"/>
        <w:rPr>
          <w:rFonts w:ascii="Arial" w:hAnsi="Arial" w:cs="Arial"/>
        </w:rPr>
      </w:pPr>
      <w:r w:rsidRPr="00BE36D3">
        <w:rPr>
          <w:rFonts w:ascii="Arial" w:hAnsi="Arial" w:cs="Arial"/>
        </w:rPr>
        <w:t xml:space="preserve">En consecuencia, el Municipio </w:t>
      </w:r>
      <w:r w:rsidR="006104F1" w:rsidRPr="00BE36D3">
        <w:rPr>
          <w:rFonts w:ascii="Arial" w:hAnsi="Arial" w:cs="Arial"/>
        </w:rPr>
        <w:t>no entreg</w:t>
      </w:r>
      <w:r w:rsidRPr="00BE36D3">
        <w:rPr>
          <w:rFonts w:ascii="Arial" w:hAnsi="Arial" w:cs="Arial"/>
        </w:rPr>
        <w:t>ó</w:t>
      </w:r>
      <w:r w:rsidR="00C364F1" w:rsidRPr="00BE36D3">
        <w:rPr>
          <w:rFonts w:ascii="Arial" w:hAnsi="Arial" w:cs="Arial"/>
        </w:rPr>
        <w:t xml:space="preserve"> toda</w:t>
      </w:r>
      <w:r w:rsidR="006104F1" w:rsidRPr="00BE36D3">
        <w:rPr>
          <w:rFonts w:ascii="Arial" w:hAnsi="Arial" w:cs="Arial"/>
        </w:rPr>
        <w:t xml:space="preserve"> </w:t>
      </w:r>
      <w:r w:rsidR="002B47E9" w:rsidRPr="00BE36D3">
        <w:rPr>
          <w:rFonts w:ascii="Arial" w:hAnsi="Arial" w:cs="Arial"/>
        </w:rPr>
        <w:t>la información requerida al DNP para el adecuado desarrollo de la visita de monitoreo.</w:t>
      </w:r>
      <w:r w:rsidR="004851B3" w:rsidRPr="00BE36D3">
        <w:rPr>
          <w:rFonts w:ascii="Arial" w:hAnsi="Arial" w:cs="Arial"/>
        </w:rPr>
        <w:t xml:space="preserve"> </w:t>
      </w:r>
      <w:r w:rsidR="00C364F1" w:rsidRPr="00BE36D3">
        <w:rPr>
          <w:rFonts w:ascii="Arial" w:hAnsi="Arial" w:cs="Arial"/>
        </w:rPr>
        <w:t>S</w:t>
      </w:r>
      <w:r w:rsidR="004851B3" w:rsidRPr="00BE36D3">
        <w:rPr>
          <w:rFonts w:ascii="Arial" w:hAnsi="Arial" w:cs="Arial"/>
        </w:rPr>
        <w:t>egún el informe</w:t>
      </w:r>
      <w:r w:rsidR="00811763" w:rsidRPr="00BE36D3">
        <w:rPr>
          <w:rFonts w:ascii="Arial" w:hAnsi="Arial" w:cs="Arial"/>
        </w:rPr>
        <w:t>,</w:t>
      </w:r>
      <w:r w:rsidR="004851B3" w:rsidRPr="00BE36D3">
        <w:rPr>
          <w:rFonts w:ascii="Arial" w:hAnsi="Arial" w:cs="Arial"/>
        </w:rPr>
        <w:t xml:space="preserve"> la relación de contratos fue llenada parcialmente </w:t>
      </w:r>
      <w:r w:rsidR="008C077C" w:rsidRPr="00BE36D3">
        <w:rPr>
          <w:rFonts w:ascii="Arial" w:hAnsi="Arial" w:cs="Arial"/>
        </w:rPr>
        <w:t>y no cuenta con información de</w:t>
      </w:r>
      <w:r w:rsidR="00477AD0" w:rsidRPr="00BE36D3">
        <w:rPr>
          <w:rFonts w:ascii="Arial" w:hAnsi="Arial" w:cs="Arial"/>
        </w:rPr>
        <w:t xml:space="preserve"> ejecución financiera ni de los proyectos asociados (códigos BPIM). </w:t>
      </w:r>
      <w:r w:rsidR="00C364F1" w:rsidRPr="00BE36D3">
        <w:rPr>
          <w:rFonts w:ascii="Arial" w:hAnsi="Arial" w:cs="Arial"/>
        </w:rPr>
        <w:t>Esto limitó el análisis de dichos componentes en el informe remitido a esta Dirección.</w:t>
      </w:r>
    </w:p>
    <w:p w:rsidR="0009074C" w:rsidRPr="00BE36D3" w:rsidRDefault="0009074C">
      <w:pPr>
        <w:spacing w:line="240" w:lineRule="auto"/>
        <w:contextualSpacing/>
        <w:jc w:val="both"/>
        <w:rPr>
          <w:rFonts w:ascii="Arial" w:hAnsi="Arial" w:cs="Arial"/>
        </w:rPr>
      </w:pPr>
    </w:p>
    <w:p w:rsidR="00477AD0" w:rsidRDefault="00477AD0">
      <w:pPr>
        <w:spacing w:line="240" w:lineRule="auto"/>
        <w:contextualSpacing/>
        <w:jc w:val="both"/>
        <w:rPr>
          <w:rFonts w:ascii="Arial" w:hAnsi="Arial" w:cs="Arial"/>
        </w:rPr>
      </w:pPr>
      <w:r w:rsidRPr="00BE36D3">
        <w:rPr>
          <w:rFonts w:ascii="Arial" w:hAnsi="Arial" w:cs="Arial"/>
        </w:rPr>
        <w:t>A continuación, se relacionan algunas observaciones generales realizadas por el DNP a los contratos de la Entidad Territorial:</w:t>
      </w:r>
    </w:p>
    <w:p w:rsidR="0009074C" w:rsidRPr="00BE36D3" w:rsidRDefault="0009074C">
      <w:pPr>
        <w:spacing w:line="240" w:lineRule="auto"/>
        <w:contextualSpacing/>
        <w:jc w:val="both"/>
        <w:rPr>
          <w:rFonts w:ascii="Arial" w:hAnsi="Arial" w:cs="Arial"/>
        </w:rPr>
      </w:pPr>
    </w:p>
    <w:p w:rsidR="00642E11" w:rsidRPr="00BE36D3" w:rsidRDefault="00642E11">
      <w:pPr>
        <w:spacing w:line="240" w:lineRule="auto"/>
        <w:ind w:left="1416"/>
        <w:contextualSpacing/>
        <w:jc w:val="both"/>
        <w:rPr>
          <w:rFonts w:ascii="Arial" w:hAnsi="Arial" w:cs="Arial"/>
          <w:i/>
          <w:iCs/>
          <w:sz w:val="18"/>
          <w:szCs w:val="18"/>
        </w:rPr>
      </w:pPr>
      <w:r w:rsidRPr="00BE36D3">
        <w:rPr>
          <w:rFonts w:ascii="Arial" w:hAnsi="Arial" w:cs="Arial"/>
          <w:sz w:val="18"/>
          <w:szCs w:val="18"/>
        </w:rPr>
        <w:t>“</w:t>
      </w:r>
      <w:r w:rsidRPr="00BE36D3">
        <w:rPr>
          <w:rFonts w:ascii="Arial" w:hAnsi="Arial" w:cs="Arial"/>
          <w:i/>
          <w:iCs/>
          <w:sz w:val="18"/>
          <w:szCs w:val="18"/>
        </w:rPr>
        <w:t>- El 62,6</w:t>
      </w:r>
      <w:r w:rsidR="00865C13">
        <w:rPr>
          <w:rFonts w:ascii="Arial" w:hAnsi="Arial" w:cs="Arial"/>
          <w:i/>
          <w:iCs/>
          <w:sz w:val="18"/>
          <w:szCs w:val="18"/>
        </w:rPr>
        <w:t xml:space="preserve"> </w:t>
      </w:r>
      <w:r w:rsidRPr="00BE36D3">
        <w:rPr>
          <w:rFonts w:ascii="Arial" w:hAnsi="Arial" w:cs="Arial"/>
          <w:i/>
          <w:iCs/>
          <w:sz w:val="18"/>
          <w:szCs w:val="18"/>
        </w:rPr>
        <w:t>% de los contratos aportados en el formato (42 contratos por valor de $671.799.155) corresponden a mínimas cuantías. El 59,4</w:t>
      </w:r>
      <w:r w:rsidR="00865C13">
        <w:rPr>
          <w:rFonts w:ascii="Arial" w:hAnsi="Arial" w:cs="Arial"/>
          <w:i/>
          <w:iCs/>
          <w:sz w:val="18"/>
          <w:szCs w:val="18"/>
        </w:rPr>
        <w:t xml:space="preserve"> </w:t>
      </w:r>
      <w:r w:rsidRPr="00BE36D3">
        <w:rPr>
          <w:rFonts w:ascii="Arial" w:hAnsi="Arial" w:cs="Arial"/>
          <w:i/>
          <w:iCs/>
          <w:sz w:val="18"/>
          <w:szCs w:val="18"/>
        </w:rPr>
        <w:t>% de estos contratos fueron financiados con la fuente de PG – Libre Inversión.</w:t>
      </w:r>
    </w:p>
    <w:p w:rsidR="00642E11" w:rsidRPr="00BE36D3" w:rsidRDefault="00642E11">
      <w:pPr>
        <w:spacing w:line="240" w:lineRule="auto"/>
        <w:ind w:left="1416"/>
        <w:contextualSpacing/>
        <w:jc w:val="both"/>
        <w:rPr>
          <w:rFonts w:ascii="Arial" w:hAnsi="Arial" w:cs="Arial"/>
          <w:i/>
          <w:iCs/>
          <w:sz w:val="18"/>
          <w:szCs w:val="18"/>
        </w:rPr>
      </w:pPr>
      <w:r w:rsidRPr="00BE36D3">
        <w:rPr>
          <w:rFonts w:ascii="Arial" w:hAnsi="Arial" w:cs="Arial"/>
          <w:i/>
          <w:iCs/>
          <w:sz w:val="18"/>
          <w:szCs w:val="18"/>
        </w:rPr>
        <w:t>- Alrededor del 22</w:t>
      </w:r>
      <w:r w:rsidR="00865C13">
        <w:rPr>
          <w:rFonts w:ascii="Arial" w:hAnsi="Arial" w:cs="Arial"/>
          <w:i/>
          <w:iCs/>
          <w:sz w:val="18"/>
          <w:szCs w:val="18"/>
        </w:rPr>
        <w:t xml:space="preserve"> </w:t>
      </w:r>
      <w:r w:rsidRPr="00BE36D3">
        <w:rPr>
          <w:rFonts w:ascii="Arial" w:hAnsi="Arial" w:cs="Arial"/>
          <w:i/>
          <w:iCs/>
          <w:sz w:val="18"/>
          <w:szCs w:val="18"/>
        </w:rPr>
        <w:t>% de la contratación aportada se concentra en 7 contratos por valor de $812.552.558, ejecutados a través de contrataciones directas.</w:t>
      </w:r>
    </w:p>
    <w:p w:rsidR="00477AD0" w:rsidRPr="00BE36D3" w:rsidRDefault="00642E11">
      <w:pPr>
        <w:spacing w:line="240" w:lineRule="auto"/>
        <w:ind w:left="1416"/>
        <w:contextualSpacing/>
        <w:jc w:val="both"/>
        <w:rPr>
          <w:rFonts w:ascii="Arial" w:hAnsi="Arial" w:cs="Arial"/>
        </w:rPr>
      </w:pPr>
      <w:r w:rsidRPr="00BE36D3">
        <w:rPr>
          <w:rFonts w:ascii="Arial" w:hAnsi="Arial" w:cs="Arial"/>
          <w:i/>
          <w:iCs/>
          <w:sz w:val="18"/>
          <w:szCs w:val="18"/>
        </w:rPr>
        <w:t>- Se identifica un importante número de contratos de apoyo logístico de eventos (17 contratos, 3 en 2017 y 14 en 2018) por valor de $382.436.864, el 82</w:t>
      </w:r>
      <w:r w:rsidR="00865C13">
        <w:rPr>
          <w:rFonts w:ascii="Arial" w:hAnsi="Arial" w:cs="Arial"/>
          <w:i/>
          <w:iCs/>
          <w:sz w:val="18"/>
          <w:szCs w:val="18"/>
        </w:rPr>
        <w:t xml:space="preserve"> </w:t>
      </w:r>
      <w:r w:rsidRPr="00BE36D3">
        <w:rPr>
          <w:rFonts w:ascii="Arial" w:hAnsi="Arial" w:cs="Arial"/>
          <w:i/>
          <w:iCs/>
          <w:sz w:val="18"/>
          <w:szCs w:val="18"/>
        </w:rPr>
        <w:t>% financiado con recursos de forzosa inversión</w:t>
      </w:r>
      <w:r w:rsidRPr="00BE36D3">
        <w:rPr>
          <w:rFonts w:ascii="Arial" w:hAnsi="Arial" w:cs="Arial"/>
          <w:sz w:val="18"/>
          <w:szCs w:val="18"/>
        </w:rPr>
        <w:t>” (Informe de Monitoreo en Campo,</w:t>
      </w:r>
      <w:r w:rsidR="00CE365B" w:rsidRPr="00BE36D3">
        <w:rPr>
          <w:rFonts w:ascii="Arial" w:hAnsi="Arial" w:cs="Arial"/>
          <w:sz w:val="18"/>
          <w:szCs w:val="18"/>
        </w:rPr>
        <w:t xml:space="preserve"> DNP,</w:t>
      </w:r>
      <w:r w:rsidRPr="00BE36D3">
        <w:rPr>
          <w:rFonts w:ascii="Arial" w:hAnsi="Arial" w:cs="Arial"/>
          <w:sz w:val="18"/>
          <w:szCs w:val="18"/>
        </w:rPr>
        <w:t xml:space="preserve"> 2019</w:t>
      </w:r>
      <w:r w:rsidR="0011536E" w:rsidRPr="00BE36D3">
        <w:rPr>
          <w:rFonts w:ascii="Arial" w:hAnsi="Arial" w:cs="Arial"/>
          <w:sz w:val="18"/>
          <w:szCs w:val="18"/>
        </w:rPr>
        <w:t>)</w:t>
      </w:r>
    </w:p>
    <w:p w:rsidR="00C5770E" w:rsidRDefault="00C5770E">
      <w:pPr>
        <w:spacing w:line="240" w:lineRule="auto"/>
        <w:contextualSpacing/>
        <w:jc w:val="both"/>
        <w:rPr>
          <w:rFonts w:ascii="Arial" w:hAnsi="Arial" w:cs="Arial"/>
          <w:b/>
          <w:bCs/>
        </w:rPr>
      </w:pPr>
    </w:p>
    <w:p w:rsidR="00CF1A63" w:rsidRPr="00BE36D3" w:rsidRDefault="00CF1A63">
      <w:pPr>
        <w:spacing w:line="240" w:lineRule="auto"/>
        <w:contextualSpacing/>
        <w:jc w:val="both"/>
        <w:rPr>
          <w:rFonts w:ascii="Arial" w:hAnsi="Arial" w:cs="Arial"/>
          <w:b/>
          <w:bCs/>
        </w:rPr>
      </w:pPr>
      <w:r w:rsidRPr="00BE36D3">
        <w:rPr>
          <w:rFonts w:ascii="Arial" w:hAnsi="Arial" w:cs="Arial"/>
          <w:b/>
          <w:bCs/>
        </w:rPr>
        <w:t>Vigencia 2017</w:t>
      </w:r>
      <w:r w:rsidR="00865C13">
        <w:rPr>
          <w:rFonts w:ascii="Arial" w:hAnsi="Arial" w:cs="Arial"/>
          <w:b/>
          <w:bCs/>
        </w:rPr>
        <w:t>.</w:t>
      </w:r>
    </w:p>
    <w:p w:rsidR="00C5770E" w:rsidRDefault="00C5770E">
      <w:pPr>
        <w:spacing w:after="0" w:line="240" w:lineRule="auto"/>
        <w:contextualSpacing/>
        <w:jc w:val="both"/>
        <w:rPr>
          <w:rFonts w:ascii="Arial" w:hAnsi="Arial" w:cs="Arial"/>
        </w:rPr>
      </w:pPr>
    </w:p>
    <w:p w:rsidR="00CF1A63" w:rsidRPr="00BE36D3" w:rsidRDefault="00CF1A63">
      <w:pPr>
        <w:spacing w:after="0" w:line="240" w:lineRule="auto"/>
        <w:contextualSpacing/>
        <w:jc w:val="both"/>
        <w:rPr>
          <w:rFonts w:ascii="Arial" w:hAnsi="Arial" w:cs="Arial"/>
        </w:rPr>
      </w:pPr>
      <w:r w:rsidRPr="00BE36D3">
        <w:rPr>
          <w:rFonts w:ascii="Arial" w:hAnsi="Arial" w:cs="Arial"/>
        </w:rPr>
        <w:t>En la vigencia 2017, el Municipio de Santiago de Tolú</w:t>
      </w:r>
      <w:r w:rsidR="007C01B3" w:rsidRPr="00BE36D3">
        <w:rPr>
          <w:rFonts w:ascii="Arial" w:hAnsi="Arial" w:cs="Arial"/>
        </w:rPr>
        <w:t xml:space="preserve"> </w:t>
      </w:r>
      <w:r w:rsidRPr="00BE36D3">
        <w:rPr>
          <w:rFonts w:ascii="Arial" w:hAnsi="Arial" w:cs="Arial"/>
        </w:rPr>
        <w:t>-</w:t>
      </w:r>
      <w:r w:rsidR="007C01B3" w:rsidRPr="00BE36D3">
        <w:rPr>
          <w:rFonts w:ascii="Arial" w:hAnsi="Arial" w:cs="Arial"/>
        </w:rPr>
        <w:t xml:space="preserve"> </w:t>
      </w:r>
      <w:r w:rsidRPr="00BE36D3">
        <w:rPr>
          <w:rFonts w:ascii="Arial" w:hAnsi="Arial" w:cs="Arial"/>
        </w:rPr>
        <w:t>Sucre suscribió</w:t>
      </w:r>
      <w:r w:rsidR="004A1245" w:rsidRPr="00BE36D3">
        <w:rPr>
          <w:rFonts w:ascii="Arial" w:hAnsi="Arial" w:cs="Arial"/>
        </w:rPr>
        <w:t>, según la relación aportada por el DNP,</w:t>
      </w:r>
      <w:r w:rsidRPr="00BE36D3">
        <w:rPr>
          <w:rFonts w:ascii="Arial" w:hAnsi="Arial" w:cs="Arial"/>
        </w:rPr>
        <w:t xml:space="preserve"> </w:t>
      </w:r>
      <w:r w:rsidR="00B74DEE" w:rsidRPr="00BE36D3">
        <w:rPr>
          <w:rFonts w:ascii="Arial" w:hAnsi="Arial" w:cs="Arial"/>
        </w:rPr>
        <w:t>contratos</w:t>
      </w:r>
      <w:r w:rsidR="00612684" w:rsidRPr="00BE36D3">
        <w:rPr>
          <w:rFonts w:ascii="Arial" w:hAnsi="Arial" w:cs="Arial"/>
        </w:rPr>
        <w:t xml:space="preserve"> con las siguientes características</w:t>
      </w:r>
      <w:r w:rsidR="00B74DEE" w:rsidRPr="00BE36D3">
        <w:rPr>
          <w:rFonts w:ascii="Arial" w:hAnsi="Arial" w:cs="Arial"/>
        </w:rPr>
        <w:t>:</w:t>
      </w:r>
    </w:p>
    <w:p w:rsidR="007C01B3" w:rsidRPr="00BE36D3" w:rsidRDefault="007C01B3">
      <w:pPr>
        <w:spacing w:after="0" w:line="240" w:lineRule="auto"/>
        <w:contextualSpacing/>
        <w:jc w:val="both"/>
        <w:rPr>
          <w:rFonts w:ascii="Arial" w:hAnsi="Arial" w:cs="Arial"/>
        </w:rPr>
      </w:pPr>
    </w:p>
    <w:p w:rsidR="00541CDA" w:rsidRPr="00BE36D3" w:rsidRDefault="00541CDA">
      <w:pPr>
        <w:spacing w:after="0" w:line="240" w:lineRule="auto"/>
        <w:contextualSpacing/>
        <w:jc w:val="center"/>
        <w:rPr>
          <w:rFonts w:ascii="Arial" w:hAnsi="Arial" w:cs="Arial"/>
          <w:b/>
          <w:bCs/>
          <w:sz w:val="20"/>
          <w:szCs w:val="20"/>
        </w:rPr>
      </w:pPr>
      <w:r w:rsidRPr="00BE36D3">
        <w:rPr>
          <w:rFonts w:ascii="Arial" w:hAnsi="Arial" w:cs="Arial"/>
          <w:b/>
          <w:bCs/>
          <w:sz w:val="20"/>
          <w:szCs w:val="20"/>
        </w:rPr>
        <w:t xml:space="preserve">Cuadro No. </w:t>
      </w:r>
      <w:r w:rsidR="00C9485B" w:rsidRPr="00BE36D3">
        <w:rPr>
          <w:rFonts w:ascii="Arial" w:hAnsi="Arial" w:cs="Arial"/>
          <w:b/>
          <w:bCs/>
          <w:sz w:val="20"/>
          <w:szCs w:val="20"/>
        </w:rPr>
        <w:t>9</w:t>
      </w:r>
    </w:p>
    <w:p w:rsidR="00541CDA" w:rsidRPr="00BE36D3" w:rsidRDefault="00541CDA">
      <w:pPr>
        <w:spacing w:after="0" w:line="240" w:lineRule="auto"/>
        <w:contextualSpacing/>
        <w:jc w:val="center"/>
        <w:rPr>
          <w:rFonts w:ascii="Arial" w:hAnsi="Arial" w:cs="Arial"/>
          <w:sz w:val="20"/>
          <w:szCs w:val="20"/>
        </w:rPr>
      </w:pPr>
      <w:r w:rsidRPr="00BE36D3">
        <w:rPr>
          <w:rFonts w:ascii="Arial" w:hAnsi="Arial" w:cs="Arial"/>
          <w:sz w:val="20"/>
          <w:szCs w:val="20"/>
        </w:rPr>
        <w:t>Relación de contratos</w:t>
      </w:r>
      <w:r w:rsidR="00865C13">
        <w:rPr>
          <w:rFonts w:ascii="Arial" w:hAnsi="Arial" w:cs="Arial"/>
          <w:sz w:val="20"/>
          <w:szCs w:val="20"/>
        </w:rPr>
        <w:t xml:space="preserve"> </w:t>
      </w:r>
      <w:r w:rsidRPr="00BE36D3">
        <w:rPr>
          <w:rFonts w:ascii="Arial" w:hAnsi="Arial" w:cs="Arial"/>
          <w:sz w:val="20"/>
          <w:szCs w:val="20"/>
        </w:rPr>
        <w:t>- Propósito General</w:t>
      </w:r>
    </w:p>
    <w:p w:rsidR="00541CDA" w:rsidRPr="00BE36D3" w:rsidRDefault="00541CDA">
      <w:pPr>
        <w:spacing w:after="0" w:line="240" w:lineRule="auto"/>
        <w:contextualSpacing/>
        <w:jc w:val="center"/>
        <w:rPr>
          <w:rFonts w:ascii="Arial" w:hAnsi="Arial" w:cs="Arial"/>
          <w:sz w:val="20"/>
          <w:szCs w:val="20"/>
        </w:rPr>
      </w:pPr>
      <w:r w:rsidRPr="00BE36D3">
        <w:rPr>
          <w:rFonts w:ascii="Arial" w:hAnsi="Arial" w:cs="Arial"/>
          <w:sz w:val="20"/>
          <w:szCs w:val="20"/>
        </w:rPr>
        <w:t>Municipio de Santiago de Tolú</w:t>
      </w:r>
      <w:r w:rsidR="007C01B3" w:rsidRPr="00BE36D3">
        <w:rPr>
          <w:rFonts w:ascii="Arial" w:hAnsi="Arial" w:cs="Arial"/>
          <w:sz w:val="20"/>
          <w:szCs w:val="20"/>
        </w:rPr>
        <w:t xml:space="preserve"> </w:t>
      </w:r>
      <w:r w:rsidRPr="00BE36D3">
        <w:rPr>
          <w:rFonts w:ascii="Arial" w:hAnsi="Arial" w:cs="Arial"/>
          <w:sz w:val="20"/>
          <w:szCs w:val="20"/>
        </w:rPr>
        <w:t>-</w:t>
      </w:r>
      <w:r w:rsidR="007C01B3" w:rsidRPr="00BE36D3">
        <w:rPr>
          <w:rFonts w:ascii="Arial" w:hAnsi="Arial" w:cs="Arial"/>
          <w:sz w:val="20"/>
          <w:szCs w:val="20"/>
        </w:rPr>
        <w:t xml:space="preserve"> </w:t>
      </w:r>
      <w:r w:rsidRPr="00BE36D3">
        <w:rPr>
          <w:rFonts w:ascii="Arial" w:hAnsi="Arial" w:cs="Arial"/>
          <w:sz w:val="20"/>
          <w:szCs w:val="20"/>
        </w:rPr>
        <w:t>Sucre</w:t>
      </w:r>
    </w:p>
    <w:tbl>
      <w:tblPr>
        <w:tblW w:w="7177" w:type="dxa"/>
        <w:jc w:val="center"/>
        <w:tblCellMar>
          <w:left w:w="70" w:type="dxa"/>
          <w:right w:w="70" w:type="dxa"/>
        </w:tblCellMar>
        <w:tblLook w:val="04A0" w:firstRow="1" w:lastRow="0" w:firstColumn="1" w:lastColumn="0" w:noHBand="0" w:noVBand="1"/>
      </w:tblPr>
      <w:tblGrid>
        <w:gridCol w:w="2096"/>
        <w:gridCol w:w="1370"/>
        <w:gridCol w:w="1341"/>
        <w:gridCol w:w="964"/>
        <w:gridCol w:w="1406"/>
      </w:tblGrid>
      <w:tr w:rsidR="00FC7C67" w:rsidRPr="00C5770E" w:rsidTr="00306AAA">
        <w:trPr>
          <w:trHeight w:val="313"/>
          <w:jc w:val="center"/>
        </w:trPr>
        <w:tc>
          <w:tcPr>
            <w:tcW w:w="7177" w:type="dxa"/>
            <w:gridSpan w:val="5"/>
            <w:tcBorders>
              <w:top w:val="single" w:sz="8" w:space="0" w:color="auto"/>
              <w:left w:val="single" w:sz="8" w:space="0" w:color="auto"/>
              <w:bottom w:val="single" w:sz="8" w:space="0" w:color="auto"/>
              <w:right w:val="single" w:sz="8" w:space="0" w:color="000000"/>
            </w:tcBorders>
            <w:shd w:val="clear" w:color="000000" w:fill="666699"/>
            <w:noWrap/>
            <w:vAlign w:val="center"/>
            <w:hideMark/>
          </w:tcPr>
          <w:p w:rsidR="00FC7C67" w:rsidRPr="00BE36D3" w:rsidRDefault="00FC7C6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Sector Propósito General - Contractual. Vigencia 2017</w:t>
            </w:r>
          </w:p>
        </w:tc>
      </w:tr>
      <w:tr w:rsidR="00FC7C67" w:rsidRPr="00C5770E" w:rsidTr="00306AAA">
        <w:trPr>
          <w:trHeight w:val="522"/>
          <w:jc w:val="center"/>
        </w:trPr>
        <w:tc>
          <w:tcPr>
            <w:tcW w:w="2096" w:type="dxa"/>
            <w:vMerge w:val="restart"/>
            <w:tcBorders>
              <w:top w:val="nil"/>
              <w:left w:val="single" w:sz="8" w:space="0" w:color="auto"/>
              <w:bottom w:val="single" w:sz="8" w:space="0" w:color="000000"/>
              <w:right w:val="single" w:sz="8" w:space="0" w:color="auto"/>
            </w:tcBorders>
            <w:shd w:val="clear" w:color="000000" w:fill="666699"/>
            <w:vAlign w:val="center"/>
            <w:hideMark/>
          </w:tcPr>
          <w:p w:rsidR="00FC7C67" w:rsidRPr="00BE36D3" w:rsidRDefault="00FC7C6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Destinaciones</w:t>
            </w:r>
          </w:p>
        </w:tc>
        <w:tc>
          <w:tcPr>
            <w:tcW w:w="1370" w:type="dxa"/>
            <w:tcBorders>
              <w:top w:val="nil"/>
              <w:left w:val="nil"/>
              <w:bottom w:val="single" w:sz="8" w:space="0" w:color="auto"/>
              <w:right w:val="single" w:sz="8" w:space="0" w:color="auto"/>
            </w:tcBorders>
            <w:shd w:val="clear" w:color="000000" w:fill="666699"/>
            <w:vAlign w:val="center"/>
            <w:hideMark/>
          </w:tcPr>
          <w:p w:rsidR="00FC7C67" w:rsidRPr="00BE36D3" w:rsidRDefault="00FC7C6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Comprometido</w:t>
            </w:r>
          </w:p>
        </w:tc>
        <w:tc>
          <w:tcPr>
            <w:tcW w:w="1341" w:type="dxa"/>
            <w:tcBorders>
              <w:top w:val="nil"/>
              <w:left w:val="nil"/>
              <w:bottom w:val="single" w:sz="8" w:space="0" w:color="auto"/>
              <w:right w:val="single" w:sz="8" w:space="0" w:color="auto"/>
            </w:tcBorders>
            <w:shd w:val="clear" w:color="000000" w:fill="666699"/>
            <w:vAlign w:val="center"/>
            <w:hideMark/>
          </w:tcPr>
          <w:p w:rsidR="00FC7C67" w:rsidRPr="00BE36D3" w:rsidRDefault="00FC7C6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Valor Relación de Contratos</w:t>
            </w:r>
          </w:p>
        </w:tc>
        <w:tc>
          <w:tcPr>
            <w:tcW w:w="964" w:type="dxa"/>
            <w:tcBorders>
              <w:top w:val="nil"/>
              <w:left w:val="nil"/>
              <w:bottom w:val="single" w:sz="8" w:space="0" w:color="auto"/>
              <w:right w:val="single" w:sz="8" w:space="0" w:color="auto"/>
            </w:tcBorders>
            <w:shd w:val="clear" w:color="000000" w:fill="666699"/>
            <w:vAlign w:val="center"/>
            <w:hideMark/>
          </w:tcPr>
          <w:p w:rsidR="00FC7C67" w:rsidRPr="00BE36D3" w:rsidRDefault="00FC7C6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N</w:t>
            </w:r>
            <w:r w:rsidR="00082D62" w:rsidRPr="00BE36D3">
              <w:rPr>
                <w:rFonts w:ascii="Arial" w:eastAsia="Times New Roman" w:hAnsi="Arial" w:cs="Arial"/>
                <w:b/>
                <w:bCs/>
                <w:color w:val="FFFFFF"/>
                <w:sz w:val="16"/>
                <w:szCs w:val="16"/>
                <w:lang w:eastAsia="es-CO"/>
              </w:rPr>
              <w:t>° de</w:t>
            </w:r>
            <w:r w:rsidRPr="00BE36D3">
              <w:rPr>
                <w:rFonts w:ascii="Arial" w:eastAsia="Times New Roman" w:hAnsi="Arial" w:cs="Arial"/>
                <w:b/>
                <w:bCs/>
                <w:color w:val="FFFFFF"/>
                <w:sz w:val="16"/>
                <w:szCs w:val="16"/>
                <w:lang w:eastAsia="es-CO"/>
              </w:rPr>
              <w:t xml:space="preserve"> contratos</w:t>
            </w:r>
          </w:p>
        </w:tc>
        <w:tc>
          <w:tcPr>
            <w:tcW w:w="1404" w:type="dxa"/>
            <w:tcBorders>
              <w:top w:val="nil"/>
              <w:left w:val="nil"/>
              <w:bottom w:val="single" w:sz="8" w:space="0" w:color="auto"/>
              <w:right w:val="single" w:sz="8" w:space="0" w:color="auto"/>
            </w:tcBorders>
            <w:shd w:val="clear" w:color="000000" w:fill="666699"/>
            <w:vAlign w:val="center"/>
            <w:hideMark/>
          </w:tcPr>
          <w:p w:rsidR="00FC7C67" w:rsidRPr="00BE36D3" w:rsidRDefault="00FC7C6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Diferencia</w:t>
            </w:r>
          </w:p>
        </w:tc>
      </w:tr>
      <w:tr w:rsidR="00FC7C67" w:rsidRPr="00C5770E" w:rsidTr="00306AAA">
        <w:trPr>
          <w:trHeight w:val="313"/>
          <w:jc w:val="center"/>
        </w:trPr>
        <w:tc>
          <w:tcPr>
            <w:tcW w:w="2096" w:type="dxa"/>
            <w:vMerge/>
            <w:tcBorders>
              <w:top w:val="nil"/>
              <w:left w:val="single" w:sz="8" w:space="0" w:color="auto"/>
              <w:bottom w:val="single" w:sz="8" w:space="0" w:color="000000"/>
              <w:right w:val="single" w:sz="8" w:space="0" w:color="auto"/>
            </w:tcBorders>
            <w:vAlign w:val="center"/>
            <w:hideMark/>
          </w:tcPr>
          <w:p w:rsidR="00FC7C67" w:rsidRPr="00BE36D3" w:rsidRDefault="00FC7C67">
            <w:pPr>
              <w:spacing w:after="0" w:line="240" w:lineRule="auto"/>
              <w:contextualSpacing/>
              <w:rPr>
                <w:rFonts w:ascii="Arial" w:eastAsia="Times New Roman" w:hAnsi="Arial" w:cs="Arial"/>
                <w:b/>
                <w:bCs/>
                <w:color w:val="FFFFFF"/>
                <w:sz w:val="16"/>
                <w:szCs w:val="16"/>
                <w:lang w:eastAsia="es-CO"/>
              </w:rPr>
            </w:pPr>
          </w:p>
        </w:tc>
        <w:tc>
          <w:tcPr>
            <w:tcW w:w="1370" w:type="dxa"/>
            <w:tcBorders>
              <w:top w:val="nil"/>
              <w:left w:val="nil"/>
              <w:bottom w:val="single" w:sz="8" w:space="0" w:color="auto"/>
              <w:right w:val="single" w:sz="8" w:space="0" w:color="auto"/>
            </w:tcBorders>
            <w:shd w:val="clear" w:color="000000" w:fill="CCCCFF"/>
            <w:vAlign w:val="center"/>
            <w:hideMark/>
          </w:tcPr>
          <w:p w:rsidR="00FC7C67" w:rsidRPr="00BE36D3" w:rsidRDefault="00FC7C67">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$2.762.171.655</w:t>
            </w:r>
          </w:p>
        </w:tc>
        <w:tc>
          <w:tcPr>
            <w:tcW w:w="1341" w:type="dxa"/>
            <w:tcBorders>
              <w:top w:val="nil"/>
              <w:left w:val="nil"/>
              <w:bottom w:val="single" w:sz="8" w:space="0" w:color="auto"/>
              <w:right w:val="single" w:sz="8" w:space="0" w:color="auto"/>
            </w:tcBorders>
            <w:shd w:val="clear" w:color="000000" w:fill="CCCCFF"/>
            <w:vAlign w:val="center"/>
            <w:hideMark/>
          </w:tcPr>
          <w:p w:rsidR="00FC7C67" w:rsidRPr="00BE36D3" w:rsidRDefault="00FC7C67">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$1.808.072.864</w:t>
            </w:r>
          </w:p>
        </w:tc>
        <w:tc>
          <w:tcPr>
            <w:tcW w:w="964" w:type="dxa"/>
            <w:tcBorders>
              <w:top w:val="nil"/>
              <w:left w:val="nil"/>
              <w:bottom w:val="single" w:sz="8" w:space="0" w:color="auto"/>
              <w:right w:val="single" w:sz="8" w:space="0" w:color="auto"/>
            </w:tcBorders>
            <w:shd w:val="clear" w:color="000000" w:fill="CCCCFF"/>
            <w:vAlign w:val="center"/>
            <w:hideMark/>
          </w:tcPr>
          <w:p w:rsidR="00FC7C67" w:rsidRPr="00BE36D3" w:rsidRDefault="00FC7C67">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25</w:t>
            </w:r>
          </w:p>
        </w:tc>
        <w:tc>
          <w:tcPr>
            <w:tcW w:w="1404" w:type="dxa"/>
            <w:tcBorders>
              <w:top w:val="nil"/>
              <w:left w:val="nil"/>
              <w:bottom w:val="single" w:sz="8" w:space="0" w:color="auto"/>
              <w:right w:val="single" w:sz="8" w:space="0" w:color="auto"/>
            </w:tcBorders>
            <w:shd w:val="clear" w:color="000000" w:fill="CCCCFF"/>
            <w:vAlign w:val="center"/>
            <w:hideMark/>
          </w:tcPr>
          <w:p w:rsidR="00FC7C67" w:rsidRPr="00BE36D3" w:rsidRDefault="00FC7C67">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$954.098.791</w:t>
            </w:r>
          </w:p>
        </w:tc>
      </w:tr>
      <w:tr w:rsidR="00FC7C67" w:rsidRPr="00C5770E" w:rsidTr="00306AAA">
        <w:trPr>
          <w:trHeight w:val="313"/>
          <w:jc w:val="center"/>
        </w:trPr>
        <w:tc>
          <w:tcPr>
            <w:tcW w:w="2096" w:type="dxa"/>
            <w:tcBorders>
              <w:top w:val="nil"/>
              <w:left w:val="single" w:sz="8" w:space="0" w:color="auto"/>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 Libre Destinación</w:t>
            </w:r>
          </w:p>
        </w:tc>
        <w:tc>
          <w:tcPr>
            <w:tcW w:w="1370"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$1.167.538.943</w:t>
            </w:r>
          </w:p>
        </w:tc>
        <w:tc>
          <w:tcPr>
            <w:tcW w:w="1341"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$798.421.115</w:t>
            </w:r>
          </w:p>
        </w:tc>
        <w:tc>
          <w:tcPr>
            <w:tcW w:w="964"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w:t>
            </w:r>
          </w:p>
        </w:tc>
        <w:tc>
          <w:tcPr>
            <w:tcW w:w="1404"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$369.117.828</w:t>
            </w:r>
          </w:p>
        </w:tc>
      </w:tr>
      <w:tr w:rsidR="00FC7C67" w:rsidRPr="00C5770E" w:rsidTr="00306AAA">
        <w:trPr>
          <w:trHeight w:val="313"/>
          <w:jc w:val="center"/>
        </w:trPr>
        <w:tc>
          <w:tcPr>
            <w:tcW w:w="2096" w:type="dxa"/>
            <w:tcBorders>
              <w:top w:val="nil"/>
              <w:left w:val="single" w:sz="8" w:space="0" w:color="auto"/>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 Libre Inversión</w:t>
            </w:r>
          </w:p>
        </w:tc>
        <w:tc>
          <w:tcPr>
            <w:tcW w:w="1370"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$1.449.317.014</w:t>
            </w:r>
          </w:p>
        </w:tc>
        <w:tc>
          <w:tcPr>
            <w:tcW w:w="1341" w:type="dxa"/>
            <w:tcBorders>
              <w:top w:val="nil"/>
              <w:left w:val="nil"/>
              <w:bottom w:val="single" w:sz="8" w:space="0" w:color="auto"/>
              <w:right w:val="single" w:sz="8" w:space="0" w:color="auto"/>
            </w:tcBorders>
            <w:shd w:val="clear" w:color="auto" w:fill="auto"/>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$845.237.418</w:t>
            </w:r>
          </w:p>
        </w:tc>
        <w:tc>
          <w:tcPr>
            <w:tcW w:w="964"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w:t>
            </w:r>
          </w:p>
        </w:tc>
        <w:tc>
          <w:tcPr>
            <w:tcW w:w="1404"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$604.079.596</w:t>
            </w:r>
          </w:p>
        </w:tc>
      </w:tr>
      <w:tr w:rsidR="00FC7C67" w:rsidRPr="00C5770E" w:rsidTr="00306AAA">
        <w:trPr>
          <w:trHeight w:val="313"/>
          <w:jc w:val="center"/>
        </w:trPr>
        <w:tc>
          <w:tcPr>
            <w:tcW w:w="2096" w:type="dxa"/>
            <w:tcBorders>
              <w:top w:val="nil"/>
              <w:left w:val="single" w:sz="8" w:space="0" w:color="auto"/>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 Deporte y Recreación</w:t>
            </w:r>
          </w:p>
        </w:tc>
        <w:tc>
          <w:tcPr>
            <w:tcW w:w="1370"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$88.065.698</w:t>
            </w:r>
          </w:p>
        </w:tc>
        <w:tc>
          <w:tcPr>
            <w:tcW w:w="1341"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$19.058.000</w:t>
            </w:r>
          </w:p>
        </w:tc>
        <w:tc>
          <w:tcPr>
            <w:tcW w:w="964"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w:t>
            </w:r>
          </w:p>
        </w:tc>
        <w:tc>
          <w:tcPr>
            <w:tcW w:w="1404"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$69.007.698</w:t>
            </w:r>
          </w:p>
        </w:tc>
      </w:tr>
      <w:tr w:rsidR="00FC7C67" w:rsidRPr="00C5770E" w:rsidTr="00306AAA">
        <w:trPr>
          <w:trHeight w:val="313"/>
          <w:jc w:val="center"/>
        </w:trPr>
        <w:tc>
          <w:tcPr>
            <w:tcW w:w="2096" w:type="dxa"/>
            <w:tcBorders>
              <w:top w:val="nil"/>
              <w:left w:val="single" w:sz="8" w:space="0" w:color="auto"/>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 Cultura</w:t>
            </w:r>
          </w:p>
        </w:tc>
        <w:tc>
          <w:tcPr>
            <w:tcW w:w="1370"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$57.250.000</w:t>
            </w:r>
          </w:p>
        </w:tc>
        <w:tc>
          <w:tcPr>
            <w:tcW w:w="1341"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$145.356.331</w:t>
            </w:r>
          </w:p>
        </w:tc>
        <w:tc>
          <w:tcPr>
            <w:tcW w:w="964"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4</w:t>
            </w:r>
          </w:p>
        </w:tc>
        <w:tc>
          <w:tcPr>
            <w:tcW w:w="1404" w:type="dxa"/>
            <w:tcBorders>
              <w:top w:val="nil"/>
              <w:left w:val="nil"/>
              <w:bottom w:val="single" w:sz="8" w:space="0" w:color="auto"/>
              <w:right w:val="single" w:sz="8" w:space="0" w:color="auto"/>
            </w:tcBorders>
            <w:shd w:val="clear" w:color="auto" w:fill="auto"/>
            <w:noWrap/>
            <w:vAlign w:val="center"/>
            <w:hideMark/>
          </w:tcPr>
          <w:p w:rsidR="00FC7C67" w:rsidRPr="00BE36D3" w:rsidRDefault="00FC7C6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FF0000"/>
                <w:sz w:val="16"/>
                <w:szCs w:val="16"/>
                <w:lang w:eastAsia="es-CO"/>
              </w:rPr>
              <w:t>-$88.106.331</w:t>
            </w:r>
          </w:p>
        </w:tc>
      </w:tr>
    </w:tbl>
    <w:p w:rsidR="001906C2" w:rsidRPr="00BE36D3" w:rsidRDefault="00541CDA">
      <w:pPr>
        <w:spacing w:line="240" w:lineRule="auto"/>
        <w:contextualSpacing/>
        <w:jc w:val="center"/>
        <w:rPr>
          <w:rFonts w:ascii="Arial" w:hAnsi="Arial" w:cs="Arial"/>
          <w:sz w:val="20"/>
          <w:szCs w:val="20"/>
        </w:rPr>
      </w:pPr>
      <w:r w:rsidRPr="00BE36D3">
        <w:rPr>
          <w:rFonts w:ascii="Arial" w:hAnsi="Arial" w:cs="Arial"/>
          <w:b/>
          <w:bCs/>
          <w:sz w:val="20"/>
          <w:szCs w:val="20"/>
        </w:rPr>
        <w:t xml:space="preserve">Fuente: </w:t>
      </w:r>
      <w:r w:rsidRPr="00BE36D3">
        <w:rPr>
          <w:rFonts w:ascii="Arial" w:hAnsi="Arial" w:cs="Arial"/>
          <w:sz w:val="20"/>
          <w:szCs w:val="20"/>
        </w:rPr>
        <w:t>Elaboración propia con base en la información contractual del Informe de Monitoreo en Campo</w:t>
      </w:r>
      <w:r w:rsidR="00A40824" w:rsidRPr="00BE36D3">
        <w:rPr>
          <w:rFonts w:ascii="Arial" w:hAnsi="Arial" w:cs="Arial"/>
          <w:sz w:val="20"/>
          <w:szCs w:val="20"/>
        </w:rPr>
        <w:t xml:space="preserve"> DNP</w:t>
      </w:r>
      <w:r w:rsidRPr="00BE36D3">
        <w:rPr>
          <w:rFonts w:ascii="Arial" w:hAnsi="Arial" w:cs="Arial"/>
          <w:sz w:val="20"/>
          <w:szCs w:val="20"/>
        </w:rPr>
        <w:t>.</w:t>
      </w:r>
    </w:p>
    <w:p w:rsidR="00C5770E" w:rsidRPr="00BE36D3" w:rsidRDefault="00C5770E">
      <w:pPr>
        <w:spacing w:line="240" w:lineRule="auto"/>
        <w:contextualSpacing/>
        <w:jc w:val="both"/>
        <w:rPr>
          <w:rFonts w:ascii="Arial" w:hAnsi="Arial" w:cs="Arial"/>
        </w:rPr>
      </w:pPr>
    </w:p>
    <w:p w:rsidR="00F4471B" w:rsidRDefault="00306AAA" w:rsidP="00F4471B">
      <w:pPr>
        <w:spacing w:line="240" w:lineRule="auto"/>
        <w:contextualSpacing/>
        <w:jc w:val="both"/>
        <w:rPr>
          <w:rFonts w:ascii="Arial" w:hAnsi="Arial" w:cs="Arial"/>
        </w:rPr>
      </w:pPr>
      <w:r w:rsidRPr="00BE36D3">
        <w:rPr>
          <w:rFonts w:ascii="Arial" w:hAnsi="Arial" w:cs="Arial"/>
        </w:rPr>
        <w:lastRenderedPageBreak/>
        <w:t xml:space="preserve">Como se puede observar en el cuadro anterior, el Municipio remitió </w:t>
      </w:r>
      <w:r w:rsidR="0037504D" w:rsidRPr="00BE36D3">
        <w:rPr>
          <w:rFonts w:ascii="Arial" w:hAnsi="Arial" w:cs="Arial"/>
        </w:rPr>
        <w:t xml:space="preserve">25 contratos con cargo a la Participación de Propósito General correspondientes a la vigencia 2017. Estos contratos solamente corresponden al </w:t>
      </w:r>
      <w:r w:rsidR="00E14E6D" w:rsidRPr="00BE36D3">
        <w:rPr>
          <w:rFonts w:ascii="Arial" w:hAnsi="Arial" w:cs="Arial"/>
        </w:rPr>
        <w:t>6</w:t>
      </w:r>
      <w:r w:rsidR="00644CB8" w:rsidRPr="00BE36D3">
        <w:rPr>
          <w:rFonts w:ascii="Arial" w:hAnsi="Arial" w:cs="Arial"/>
        </w:rPr>
        <w:t>5</w:t>
      </w:r>
      <w:r w:rsidR="00865C13">
        <w:rPr>
          <w:rFonts w:ascii="Arial" w:hAnsi="Arial" w:cs="Arial"/>
        </w:rPr>
        <w:t xml:space="preserve"> </w:t>
      </w:r>
      <w:r w:rsidR="00644CB8" w:rsidRPr="00BE36D3">
        <w:rPr>
          <w:rFonts w:ascii="Arial" w:hAnsi="Arial" w:cs="Arial"/>
        </w:rPr>
        <w:t>% del valor de los compromisos</w:t>
      </w:r>
      <w:r w:rsidR="00A40824" w:rsidRPr="00BE36D3">
        <w:rPr>
          <w:rFonts w:ascii="Arial" w:hAnsi="Arial" w:cs="Arial"/>
        </w:rPr>
        <w:t>. S</w:t>
      </w:r>
      <w:r w:rsidR="00644CB8" w:rsidRPr="00BE36D3">
        <w:rPr>
          <w:rFonts w:ascii="Arial" w:hAnsi="Arial" w:cs="Arial"/>
        </w:rPr>
        <w:t xml:space="preserve">e evidencia que en el componente destinado para Cultura </w:t>
      </w:r>
      <w:r w:rsidR="003F2600" w:rsidRPr="00BE36D3">
        <w:rPr>
          <w:rFonts w:ascii="Arial" w:hAnsi="Arial" w:cs="Arial"/>
        </w:rPr>
        <w:t>la relación de contratos sobrepasa en $88.106.331</w:t>
      </w:r>
      <w:r w:rsidR="007C01B3" w:rsidRPr="00BE36D3">
        <w:rPr>
          <w:rFonts w:ascii="Arial" w:hAnsi="Arial" w:cs="Arial"/>
        </w:rPr>
        <w:t xml:space="preserve"> al monto comprometido presupuestalmente</w:t>
      </w:r>
      <w:r w:rsidR="0039183F" w:rsidRPr="00BE36D3">
        <w:rPr>
          <w:rFonts w:ascii="Arial" w:hAnsi="Arial" w:cs="Arial"/>
        </w:rPr>
        <w:t>, lo cual llama la atención porque todos los gastos realizados con cargo al presupuesto deben estar</w:t>
      </w:r>
      <w:r w:rsidR="00D668FA" w:rsidRPr="00BE36D3">
        <w:rPr>
          <w:rFonts w:ascii="Arial" w:hAnsi="Arial" w:cs="Arial"/>
        </w:rPr>
        <w:t xml:space="preserve"> soportados en la programación presupuestal.</w:t>
      </w:r>
    </w:p>
    <w:p w:rsidR="00F4471B" w:rsidRDefault="00F4471B" w:rsidP="00F4471B">
      <w:pPr>
        <w:spacing w:line="240" w:lineRule="auto"/>
        <w:contextualSpacing/>
        <w:jc w:val="both"/>
        <w:rPr>
          <w:rFonts w:ascii="Arial" w:hAnsi="Arial" w:cs="Arial"/>
        </w:rPr>
      </w:pPr>
    </w:p>
    <w:p w:rsidR="00965AB7" w:rsidRPr="00BE36D3" w:rsidRDefault="00F867F7" w:rsidP="00F4471B">
      <w:pPr>
        <w:spacing w:line="240" w:lineRule="auto"/>
        <w:contextualSpacing/>
        <w:jc w:val="both"/>
        <w:rPr>
          <w:rFonts w:ascii="Arial" w:hAnsi="Arial" w:cs="Arial"/>
          <w:b/>
          <w:bCs/>
          <w:i/>
          <w:iCs/>
        </w:rPr>
      </w:pPr>
      <w:r w:rsidRPr="00BE36D3">
        <w:rPr>
          <w:rFonts w:ascii="Arial" w:hAnsi="Arial" w:cs="Arial"/>
        </w:rPr>
        <w:t xml:space="preserve">El DNP incluyó en el Informe de Monitoreo en Campo el análisis </w:t>
      </w:r>
      <w:r w:rsidR="00D828EC" w:rsidRPr="00BE36D3">
        <w:rPr>
          <w:rFonts w:ascii="Arial" w:hAnsi="Arial" w:cs="Arial"/>
        </w:rPr>
        <w:t xml:space="preserve">de </w:t>
      </w:r>
      <w:r w:rsidR="00166BC2" w:rsidRPr="00BE36D3">
        <w:rPr>
          <w:rFonts w:ascii="Arial" w:hAnsi="Arial" w:cs="Arial"/>
        </w:rPr>
        <w:t xml:space="preserve">4 </w:t>
      </w:r>
      <w:r w:rsidR="00D828EC" w:rsidRPr="00BE36D3">
        <w:rPr>
          <w:rFonts w:ascii="Arial" w:hAnsi="Arial" w:cs="Arial"/>
        </w:rPr>
        <w:t xml:space="preserve">contratos </w:t>
      </w:r>
      <w:r w:rsidR="008854ED" w:rsidRPr="00BE36D3">
        <w:rPr>
          <w:rFonts w:ascii="Arial" w:hAnsi="Arial" w:cs="Arial"/>
        </w:rPr>
        <w:t>de 2017</w:t>
      </w:r>
      <w:r w:rsidR="003E3C40" w:rsidRPr="00BE36D3">
        <w:rPr>
          <w:rFonts w:ascii="Arial" w:hAnsi="Arial" w:cs="Arial"/>
        </w:rPr>
        <w:t>, los cuales se referencian a continuación</w:t>
      </w:r>
      <w:r w:rsidR="00D828EC" w:rsidRPr="00BE36D3">
        <w:rPr>
          <w:rFonts w:ascii="Arial" w:hAnsi="Arial" w:cs="Arial"/>
        </w:rPr>
        <w:t>:</w:t>
      </w:r>
    </w:p>
    <w:p w:rsidR="00E34545" w:rsidRPr="00BE36D3" w:rsidRDefault="00E34545">
      <w:pPr>
        <w:pStyle w:val="Prrafodelista"/>
        <w:spacing w:after="0" w:line="240" w:lineRule="auto"/>
        <w:rPr>
          <w:rFonts w:ascii="Arial" w:hAnsi="Arial" w:cs="Arial"/>
          <w:b/>
          <w:bCs/>
          <w:i/>
          <w:iCs/>
        </w:rPr>
      </w:pPr>
    </w:p>
    <w:p w:rsidR="000C15B3" w:rsidRPr="00BE36D3" w:rsidRDefault="000C15B3">
      <w:pPr>
        <w:pStyle w:val="Prrafodelista"/>
        <w:spacing w:after="0" w:line="240" w:lineRule="auto"/>
        <w:jc w:val="center"/>
        <w:rPr>
          <w:rFonts w:ascii="Arial" w:hAnsi="Arial" w:cs="Arial"/>
          <w:b/>
          <w:bCs/>
          <w:sz w:val="20"/>
          <w:szCs w:val="20"/>
        </w:rPr>
      </w:pPr>
      <w:r w:rsidRPr="00BE36D3">
        <w:rPr>
          <w:rFonts w:ascii="Arial" w:hAnsi="Arial" w:cs="Arial"/>
          <w:b/>
          <w:bCs/>
          <w:sz w:val="20"/>
          <w:szCs w:val="20"/>
        </w:rPr>
        <w:t>Cuadro No. 1</w:t>
      </w:r>
      <w:r w:rsidR="00C9485B" w:rsidRPr="00BE36D3">
        <w:rPr>
          <w:rFonts w:ascii="Arial" w:hAnsi="Arial" w:cs="Arial"/>
          <w:b/>
          <w:bCs/>
          <w:sz w:val="20"/>
          <w:szCs w:val="20"/>
        </w:rPr>
        <w:t>0</w:t>
      </w:r>
    </w:p>
    <w:p w:rsidR="000C15B3" w:rsidRPr="00BE36D3" w:rsidRDefault="000C15B3">
      <w:pPr>
        <w:pStyle w:val="Prrafodelista"/>
        <w:spacing w:after="0" w:line="240" w:lineRule="auto"/>
        <w:jc w:val="center"/>
        <w:rPr>
          <w:rFonts w:ascii="Arial" w:hAnsi="Arial" w:cs="Arial"/>
          <w:sz w:val="20"/>
          <w:szCs w:val="20"/>
        </w:rPr>
      </w:pPr>
      <w:r w:rsidRPr="00BE36D3">
        <w:rPr>
          <w:rFonts w:ascii="Arial" w:hAnsi="Arial" w:cs="Arial"/>
          <w:sz w:val="20"/>
          <w:szCs w:val="20"/>
        </w:rPr>
        <w:t>Contrato</w:t>
      </w:r>
      <w:r w:rsidR="004D7B86" w:rsidRPr="00BE36D3">
        <w:rPr>
          <w:rFonts w:ascii="Arial" w:hAnsi="Arial" w:cs="Arial"/>
          <w:sz w:val="20"/>
          <w:szCs w:val="20"/>
        </w:rPr>
        <w:t>s</w:t>
      </w:r>
      <w:r w:rsidR="00865C13">
        <w:rPr>
          <w:rFonts w:ascii="Arial" w:hAnsi="Arial" w:cs="Arial"/>
          <w:sz w:val="20"/>
          <w:szCs w:val="20"/>
        </w:rPr>
        <w:t xml:space="preserve"> </w:t>
      </w:r>
      <w:r w:rsidRPr="00BE36D3">
        <w:rPr>
          <w:rFonts w:ascii="Arial" w:hAnsi="Arial" w:cs="Arial"/>
          <w:sz w:val="20"/>
          <w:szCs w:val="20"/>
        </w:rPr>
        <w:t>- Propósito General</w:t>
      </w:r>
    </w:p>
    <w:p w:rsidR="000C15B3" w:rsidRPr="00BE36D3" w:rsidRDefault="000C15B3">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997AAE" w:rsidRPr="00BE36D3" w:rsidRDefault="00997AAE">
      <w:pPr>
        <w:pStyle w:val="Prrafodelista"/>
        <w:spacing w:after="0" w:line="240" w:lineRule="auto"/>
        <w:jc w:val="center"/>
        <w:rPr>
          <w:rFonts w:ascii="Arial" w:hAnsi="Arial" w:cs="Arial"/>
          <w:sz w:val="18"/>
          <w:szCs w:val="18"/>
        </w:rPr>
      </w:pPr>
      <w:r w:rsidRPr="00BE36D3">
        <w:rPr>
          <w:rFonts w:ascii="Arial" w:hAnsi="Arial" w:cs="Arial"/>
          <w:sz w:val="18"/>
          <w:szCs w:val="18"/>
        </w:rPr>
        <w:t>Vigencia 2017</w:t>
      </w:r>
    </w:p>
    <w:tbl>
      <w:tblPr>
        <w:tblW w:w="5000" w:type="pct"/>
        <w:tblLayout w:type="fixed"/>
        <w:tblCellMar>
          <w:left w:w="70" w:type="dxa"/>
          <w:right w:w="70" w:type="dxa"/>
        </w:tblCellMar>
        <w:tblLook w:val="04A0" w:firstRow="1" w:lastRow="0" w:firstColumn="1" w:lastColumn="0" w:noHBand="0" w:noVBand="1"/>
      </w:tblPr>
      <w:tblGrid>
        <w:gridCol w:w="747"/>
        <w:gridCol w:w="814"/>
        <w:gridCol w:w="4322"/>
        <w:gridCol w:w="2945"/>
      </w:tblGrid>
      <w:tr w:rsidR="00F261B7" w:rsidRPr="00C5770E" w:rsidTr="00F4471B">
        <w:trPr>
          <w:trHeight w:val="542"/>
          <w:tblHeader/>
        </w:trPr>
        <w:tc>
          <w:tcPr>
            <w:tcW w:w="423" w:type="pct"/>
            <w:tcBorders>
              <w:top w:val="single" w:sz="4" w:space="0" w:color="auto"/>
              <w:left w:val="single" w:sz="4" w:space="0" w:color="auto"/>
              <w:bottom w:val="single" w:sz="4" w:space="0" w:color="auto"/>
              <w:right w:val="single" w:sz="4" w:space="0" w:color="auto"/>
            </w:tcBorders>
            <w:shd w:val="clear" w:color="auto" w:fill="666699"/>
            <w:vAlign w:val="center"/>
            <w:hideMark/>
          </w:tcPr>
          <w:p w:rsidR="00F261B7" w:rsidRPr="00BE36D3" w:rsidRDefault="00F261B7">
            <w:pPr>
              <w:spacing w:line="240" w:lineRule="auto"/>
              <w:contextualSpacing/>
              <w:jc w:val="center"/>
              <w:rPr>
                <w:rFonts w:ascii="Arial" w:eastAsia="Times New Roman" w:hAnsi="Arial" w:cs="Arial"/>
                <w:b/>
                <w:bCs/>
                <w:color w:val="FFFFFF"/>
                <w:sz w:val="16"/>
                <w:szCs w:val="16"/>
                <w:lang w:eastAsia="es-ES_tradnl"/>
              </w:rPr>
            </w:pPr>
            <w:r w:rsidRPr="00BE36D3">
              <w:rPr>
                <w:rFonts w:ascii="Arial" w:eastAsia="Times New Roman" w:hAnsi="Arial" w:cs="Arial"/>
                <w:b/>
                <w:bCs/>
                <w:color w:val="FFFFFF"/>
                <w:sz w:val="16"/>
                <w:szCs w:val="16"/>
                <w:lang w:eastAsia="es-ES_tradnl"/>
              </w:rPr>
              <w:t>Número del proceso</w:t>
            </w:r>
          </w:p>
        </w:tc>
        <w:tc>
          <w:tcPr>
            <w:tcW w:w="4577" w:type="pct"/>
            <w:gridSpan w:val="3"/>
            <w:tcBorders>
              <w:top w:val="single" w:sz="4" w:space="0" w:color="auto"/>
              <w:left w:val="single" w:sz="4" w:space="0" w:color="auto"/>
              <w:bottom w:val="single" w:sz="4" w:space="0" w:color="auto"/>
              <w:right w:val="single" w:sz="4" w:space="0" w:color="auto"/>
            </w:tcBorders>
            <w:shd w:val="clear" w:color="auto" w:fill="666699"/>
            <w:vAlign w:val="center"/>
            <w:hideMark/>
          </w:tcPr>
          <w:p w:rsidR="00F261B7" w:rsidRPr="00BE36D3" w:rsidRDefault="00F261B7">
            <w:pPr>
              <w:spacing w:line="240" w:lineRule="auto"/>
              <w:contextualSpacing/>
              <w:jc w:val="center"/>
              <w:rPr>
                <w:rFonts w:ascii="Arial" w:eastAsia="Times New Roman" w:hAnsi="Arial" w:cs="Arial"/>
                <w:b/>
                <w:bCs/>
                <w:color w:val="FFFFFF"/>
                <w:sz w:val="16"/>
                <w:szCs w:val="16"/>
                <w:lang w:eastAsia="es-ES_tradnl"/>
              </w:rPr>
            </w:pPr>
            <w:r w:rsidRPr="00BE36D3">
              <w:rPr>
                <w:rFonts w:ascii="Arial" w:eastAsia="Times New Roman" w:hAnsi="Arial" w:cs="Arial"/>
                <w:b/>
                <w:bCs/>
                <w:color w:val="FFFFFF"/>
                <w:sz w:val="16"/>
                <w:szCs w:val="16"/>
                <w:lang w:eastAsia="es-ES_tradnl"/>
              </w:rPr>
              <w:t xml:space="preserve">Información general </w:t>
            </w:r>
          </w:p>
        </w:tc>
      </w:tr>
      <w:tr w:rsidR="00965AB7" w:rsidRPr="00C5770E" w:rsidTr="00BE36D3">
        <w:trPr>
          <w:trHeight w:val="1003"/>
        </w:trPr>
        <w:tc>
          <w:tcPr>
            <w:tcW w:w="423" w:type="pct"/>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F261B7" w:rsidRPr="00BE36D3" w:rsidRDefault="00F261B7">
            <w:pPr>
              <w:spacing w:line="240" w:lineRule="auto"/>
              <w:contextualSpacing/>
              <w:jc w:val="center"/>
              <w:rPr>
                <w:rFonts w:ascii="Arial" w:eastAsia="Times New Roman" w:hAnsi="Arial" w:cs="Arial"/>
                <w:b/>
                <w:bCs/>
                <w:color w:val="FFFFFF"/>
                <w:sz w:val="16"/>
                <w:szCs w:val="16"/>
                <w:lang w:eastAsia="es-ES_tradnl"/>
              </w:rPr>
            </w:pPr>
            <w:r w:rsidRPr="00BE36D3">
              <w:rPr>
                <w:rFonts w:ascii="Arial" w:eastAsia="Times New Roman" w:hAnsi="Arial" w:cs="Arial"/>
                <w:b/>
                <w:bCs/>
                <w:color w:val="FFFFFF"/>
                <w:sz w:val="16"/>
                <w:szCs w:val="16"/>
                <w:lang w:eastAsia="es-ES_tradnl"/>
              </w:rPr>
              <w:t>MT-CD-CI-001-2017</w:t>
            </w: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Objeto</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rPr>
                <w:rFonts w:ascii="Arial" w:eastAsia="Times New Roman" w:hAnsi="Arial" w:cs="Arial"/>
                <w:i/>
                <w:iCs/>
                <w:color w:val="000000"/>
                <w:sz w:val="16"/>
                <w:szCs w:val="16"/>
                <w:lang w:eastAsia="es-ES_tradnl"/>
              </w:rPr>
            </w:pPr>
            <w:r w:rsidRPr="00BE36D3">
              <w:rPr>
                <w:rFonts w:ascii="Arial" w:eastAsia="Times New Roman" w:hAnsi="Arial" w:cs="Arial"/>
                <w:i/>
                <w:iCs/>
                <w:color w:val="000000"/>
                <w:sz w:val="16"/>
                <w:szCs w:val="16"/>
                <w:lang w:eastAsia="es-ES_tradnl"/>
              </w:rPr>
              <w:t>PRESTACIÓN DE SERVICIOS DE SALUD PARA EL DESARROLLO DE LAS ACTIVIDADES COLECTIVAS EN SALUD PUBLICA ESTABLECIDAS EN EL PLAN DE ACCION EN SALUD DEL MUNICIPIO DE SANTIAGO DE TOLÚ- DEPARTAMENTO DE SUCRE.</w:t>
            </w:r>
          </w:p>
        </w:tc>
        <w:tc>
          <w:tcPr>
            <w:tcW w:w="1668"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Actividades (1)</w:t>
            </w:r>
          </w:p>
        </w:tc>
      </w:tr>
      <w:tr w:rsidR="00965AB7" w:rsidRPr="00C5770E" w:rsidTr="00E34545">
        <w:trPr>
          <w:trHeight w:val="280"/>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Valor</w:t>
            </w:r>
          </w:p>
        </w:tc>
        <w:tc>
          <w:tcPr>
            <w:tcW w:w="2448" w:type="pct"/>
            <w:tcBorders>
              <w:top w:val="single" w:sz="4" w:space="0" w:color="auto"/>
              <w:left w:val="single" w:sz="4" w:space="0" w:color="auto"/>
              <w:bottom w:val="single" w:sz="4" w:space="0" w:color="auto"/>
              <w:right w:val="single" w:sz="4" w:space="0" w:color="auto"/>
            </w:tcBorders>
            <w:noWrap/>
            <w:vAlign w:val="center"/>
            <w:hideMark/>
          </w:tcPr>
          <w:p w:rsidR="00F261B7" w:rsidRPr="00BE36D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$168.000.000</w:t>
            </w:r>
          </w:p>
        </w:tc>
        <w:tc>
          <w:tcPr>
            <w:tcW w:w="1668" w:type="pct"/>
            <w:vMerge w:val="restar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Se identifican 5 tipos de actividades: capacitaciones, asistencia técnica en planes, programas y estrategias desarrolladas y evaluadas en el Marco del Plan Territorial de Salud con adecuación sociocultural.</w:t>
            </w:r>
          </w:p>
        </w:tc>
      </w:tr>
      <w:tr w:rsidR="00824299" w:rsidRPr="00C5770E" w:rsidTr="00E34545">
        <w:trPr>
          <w:trHeight w:val="286"/>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Plazo</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 xml:space="preserve">9 meses y 9 días </w:t>
            </w:r>
          </w:p>
        </w:tc>
        <w:tc>
          <w:tcPr>
            <w:tcW w:w="1668"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color w:val="000000"/>
                <w:sz w:val="16"/>
                <w:szCs w:val="16"/>
                <w:lang w:eastAsia="es-ES_tradnl"/>
              </w:rPr>
            </w:pPr>
          </w:p>
        </w:tc>
      </w:tr>
      <w:tr w:rsidR="00824299" w:rsidRPr="00570DAC" w:rsidTr="00E34545">
        <w:trPr>
          <w:trHeight w:val="265"/>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Contratista</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color w:val="000000"/>
                <w:sz w:val="16"/>
                <w:szCs w:val="16"/>
                <w:lang w:val="pt-BR" w:eastAsia="es-ES_tradnl"/>
              </w:rPr>
            </w:pPr>
            <w:r w:rsidRPr="00BE36D3">
              <w:rPr>
                <w:rFonts w:ascii="Arial" w:eastAsia="Times New Roman" w:hAnsi="Arial" w:cs="Arial"/>
                <w:color w:val="000000"/>
                <w:sz w:val="16"/>
                <w:szCs w:val="16"/>
                <w:lang w:val="pt-BR" w:eastAsia="es-ES_tradnl"/>
              </w:rPr>
              <w:t>Hospital Local Santiago de Tolú E.S.E.</w:t>
            </w:r>
          </w:p>
        </w:tc>
        <w:tc>
          <w:tcPr>
            <w:tcW w:w="1668"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color w:val="000000"/>
                <w:sz w:val="16"/>
                <w:szCs w:val="16"/>
                <w:lang w:val="pt-BR" w:eastAsia="es-ES_tradnl"/>
              </w:rPr>
            </w:pPr>
          </w:p>
        </w:tc>
      </w:tr>
      <w:tr w:rsidR="00824299" w:rsidRPr="00C5770E" w:rsidTr="00BE36D3">
        <w:trPr>
          <w:trHeight w:val="264"/>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val="pt-BR"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Enlace SECOP</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color w:val="0563C1"/>
                <w:sz w:val="16"/>
                <w:szCs w:val="16"/>
                <w:u w:val="single"/>
                <w:lang w:eastAsia="es-ES_tradnl"/>
              </w:rPr>
            </w:pPr>
            <w:r w:rsidRPr="00BE36D3">
              <w:rPr>
                <w:rFonts w:ascii="Arial" w:eastAsia="Times New Roman" w:hAnsi="Arial" w:cs="Arial"/>
                <w:color w:val="0563C1"/>
                <w:sz w:val="16"/>
                <w:szCs w:val="16"/>
                <w:u w:val="single"/>
                <w:lang w:eastAsia="es-ES_tradnl"/>
              </w:rPr>
              <w:t>NO REGISTRA</w:t>
            </w:r>
          </w:p>
        </w:tc>
        <w:tc>
          <w:tcPr>
            <w:tcW w:w="1668"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color w:val="000000"/>
                <w:sz w:val="16"/>
                <w:szCs w:val="16"/>
                <w:lang w:eastAsia="es-ES_tradnl"/>
              </w:rPr>
            </w:pPr>
          </w:p>
        </w:tc>
      </w:tr>
      <w:tr w:rsidR="00965AB7" w:rsidRPr="00C5770E" w:rsidTr="00E34545">
        <w:trPr>
          <w:trHeight w:val="936"/>
        </w:trPr>
        <w:tc>
          <w:tcPr>
            <w:tcW w:w="423" w:type="pct"/>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F261B7" w:rsidRPr="00BE36D3" w:rsidRDefault="00F261B7">
            <w:pPr>
              <w:spacing w:line="240" w:lineRule="auto"/>
              <w:contextualSpacing/>
              <w:jc w:val="center"/>
              <w:rPr>
                <w:rFonts w:ascii="Arial" w:eastAsia="Times New Roman" w:hAnsi="Arial" w:cs="Arial"/>
                <w:b/>
                <w:bCs/>
                <w:color w:val="FFFFFF"/>
                <w:sz w:val="16"/>
                <w:szCs w:val="16"/>
                <w:lang w:eastAsia="es-ES_tradnl"/>
              </w:rPr>
            </w:pPr>
            <w:r w:rsidRPr="00BE36D3">
              <w:rPr>
                <w:rFonts w:ascii="Arial" w:eastAsia="Times New Roman" w:hAnsi="Arial" w:cs="Arial"/>
                <w:b/>
                <w:bCs/>
                <w:color w:val="FFFFFF"/>
                <w:sz w:val="16"/>
                <w:szCs w:val="16"/>
                <w:lang w:eastAsia="es-ES_tradnl"/>
              </w:rPr>
              <w:t>MST-MIN-043-2017</w:t>
            </w: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Objeto</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i/>
                <w:iCs/>
                <w:color w:val="000000"/>
                <w:sz w:val="16"/>
                <w:szCs w:val="16"/>
                <w:lang w:eastAsia="es-ES_tradnl"/>
              </w:rPr>
            </w:pPr>
            <w:r w:rsidRPr="00BE36D3">
              <w:rPr>
                <w:rFonts w:ascii="Arial" w:eastAsia="Times New Roman" w:hAnsi="Arial" w:cs="Arial"/>
                <w:i/>
                <w:iCs/>
                <w:color w:val="000000"/>
                <w:sz w:val="16"/>
                <w:szCs w:val="16"/>
                <w:lang w:eastAsia="es-ES_tradnl"/>
              </w:rPr>
              <w:t>CARATERIZACION DE LA OFERTA DE SERVICIOS TURÍSTICOS, COMPLEMENTARIOS Y DE APOYO; QUE SE OFRECEN EN EL CASCO URBANO DEL MUNICIPIO DE SANTIAGO DE TOLÚ, SUCRE</w:t>
            </w:r>
          </w:p>
        </w:tc>
        <w:tc>
          <w:tcPr>
            <w:tcW w:w="1668"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Actividades (1)</w:t>
            </w:r>
          </w:p>
        </w:tc>
      </w:tr>
      <w:tr w:rsidR="00965AB7" w:rsidRPr="00C5770E" w:rsidTr="00E34545">
        <w:trPr>
          <w:trHeight w:val="234"/>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Valor</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$19.948.823</w:t>
            </w:r>
          </w:p>
        </w:tc>
        <w:tc>
          <w:tcPr>
            <w:tcW w:w="1668" w:type="pct"/>
            <w:vMerge w:val="restar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1. RECURSO HUMANO</w:t>
            </w:r>
            <w:r w:rsidR="00865C13">
              <w:rPr>
                <w:rFonts w:ascii="Arial" w:eastAsia="Times New Roman" w:hAnsi="Arial" w:cs="Arial"/>
                <w:color w:val="000000"/>
                <w:sz w:val="16"/>
                <w:szCs w:val="16"/>
                <w:lang w:eastAsia="es-ES_tradnl"/>
              </w:rPr>
              <w:t xml:space="preserve"> </w:t>
            </w:r>
            <w:r w:rsidRPr="00BE36D3">
              <w:rPr>
                <w:rFonts w:ascii="Arial" w:eastAsia="Times New Roman" w:hAnsi="Arial" w:cs="Arial"/>
                <w:color w:val="000000"/>
                <w:sz w:val="16"/>
                <w:szCs w:val="16"/>
                <w:lang w:eastAsia="es-ES_tradnl"/>
              </w:rPr>
              <w:t>(PERSONAL PROFESIONAL- PERSONAL ADMINISTRATIVO y 2. OTROS COSTOS DIRECTOS (Dotación de personal de campo, Papelería, Elementos de Oficina, Refrigerios e Hidratación)</w:t>
            </w:r>
          </w:p>
        </w:tc>
      </w:tr>
      <w:tr w:rsidR="00824299" w:rsidRPr="00C5770E" w:rsidTr="00E34545">
        <w:trPr>
          <w:trHeight w:val="316"/>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Plazo</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26 días</w:t>
            </w:r>
          </w:p>
        </w:tc>
        <w:tc>
          <w:tcPr>
            <w:tcW w:w="1668"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color w:val="000000"/>
                <w:sz w:val="16"/>
                <w:szCs w:val="16"/>
                <w:lang w:eastAsia="es-ES_tradnl"/>
              </w:rPr>
            </w:pPr>
          </w:p>
        </w:tc>
      </w:tr>
      <w:tr w:rsidR="00824299" w:rsidRPr="00C5770E" w:rsidTr="00BE36D3">
        <w:trPr>
          <w:trHeight w:val="264"/>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Contratista</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TURISMO DEL SIGLO XXI S.A.S.</w:t>
            </w:r>
          </w:p>
        </w:tc>
        <w:tc>
          <w:tcPr>
            <w:tcW w:w="1668"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color w:val="000000"/>
                <w:sz w:val="16"/>
                <w:szCs w:val="16"/>
                <w:lang w:eastAsia="es-ES_tradnl"/>
              </w:rPr>
            </w:pPr>
          </w:p>
        </w:tc>
      </w:tr>
      <w:tr w:rsidR="00824299" w:rsidRPr="00C5770E" w:rsidTr="00E34545">
        <w:trPr>
          <w:trHeight w:val="737"/>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Enlace SECOP</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4A4F20">
            <w:pPr>
              <w:spacing w:line="240" w:lineRule="auto"/>
              <w:contextualSpacing/>
              <w:jc w:val="center"/>
              <w:rPr>
                <w:rFonts w:ascii="Arial" w:eastAsia="Times New Roman" w:hAnsi="Arial" w:cs="Arial"/>
                <w:color w:val="0563C1"/>
                <w:sz w:val="16"/>
                <w:szCs w:val="16"/>
                <w:u w:val="single"/>
                <w:lang w:eastAsia="es-ES_tradnl"/>
              </w:rPr>
            </w:pPr>
            <w:hyperlink r:id="rId19" w:history="1">
              <w:r w:rsidR="00F261B7" w:rsidRPr="00BE36D3">
                <w:rPr>
                  <w:rStyle w:val="Hipervnculo"/>
                  <w:rFonts w:ascii="Arial" w:eastAsia="Times New Roman" w:hAnsi="Arial" w:cs="Arial"/>
                  <w:color w:val="0563C1"/>
                  <w:sz w:val="16"/>
                  <w:szCs w:val="16"/>
                  <w:lang w:eastAsia="es-ES_tradnl"/>
                </w:rPr>
                <w:t>https://www.contratos.gov.co/consultas/detalleProceso.do?numConstancia=17-13-7338789 (2)</w:t>
              </w:r>
            </w:hyperlink>
          </w:p>
        </w:tc>
        <w:tc>
          <w:tcPr>
            <w:tcW w:w="1668"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color w:val="000000"/>
                <w:sz w:val="16"/>
                <w:szCs w:val="16"/>
                <w:lang w:eastAsia="es-ES_tradnl"/>
              </w:rPr>
            </w:pPr>
          </w:p>
        </w:tc>
      </w:tr>
      <w:tr w:rsidR="00965AB7" w:rsidRPr="00C5770E" w:rsidTr="00BE36D3">
        <w:trPr>
          <w:trHeight w:val="974"/>
        </w:trPr>
        <w:tc>
          <w:tcPr>
            <w:tcW w:w="423" w:type="pct"/>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F261B7" w:rsidRPr="00BE36D3" w:rsidRDefault="00F261B7">
            <w:pPr>
              <w:spacing w:line="240" w:lineRule="auto"/>
              <w:contextualSpacing/>
              <w:jc w:val="center"/>
              <w:rPr>
                <w:rFonts w:ascii="Arial" w:eastAsia="Times New Roman" w:hAnsi="Arial" w:cs="Arial"/>
                <w:b/>
                <w:bCs/>
                <w:color w:val="FFFFFF"/>
                <w:sz w:val="16"/>
                <w:szCs w:val="16"/>
                <w:lang w:eastAsia="es-ES_tradnl"/>
              </w:rPr>
            </w:pPr>
            <w:r w:rsidRPr="00BE36D3">
              <w:rPr>
                <w:rFonts w:ascii="Arial" w:eastAsia="Times New Roman" w:hAnsi="Arial" w:cs="Arial"/>
                <w:b/>
                <w:bCs/>
                <w:color w:val="FFFFFF"/>
                <w:sz w:val="16"/>
                <w:szCs w:val="16"/>
                <w:lang w:eastAsia="es-ES_tradnl"/>
              </w:rPr>
              <w:t>MST-CD-CA-005-2017</w:t>
            </w: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Objeto</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i/>
                <w:iCs/>
                <w:color w:val="000000"/>
                <w:sz w:val="16"/>
                <w:szCs w:val="16"/>
                <w:lang w:eastAsia="es-ES_tradnl"/>
              </w:rPr>
            </w:pPr>
            <w:r w:rsidRPr="00BE36D3">
              <w:rPr>
                <w:rFonts w:ascii="Arial" w:eastAsia="Times New Roman" w:hAnsi="Arial" w:cs="Arial"/>
                <w:i/>
                <w:iCs/>
                <w:color w:val="000000"/>
                <w:sz w:val="16"/>
                <w:szCs w:val="16"/>
                <w:lang w:eastAsia="es-ES_tradnl"/>
              </w:rPr>
              <w:t>AUNAR ESFUERZOS HUMANOS, ECONOMICOS Y OPERATIVOS PARA APOYO A LA SELECCION DE PARA-ATLETISMO MUNICIPAL EN EL PRIMER ABIERTO NACIONAL PARAOLIMPICO CATEGORIA JUVENIL Y MAYORES EN CALI, EN REPRESENTACION DEL MUNICIPIO SANTIAGO DE TOLÚ, VIGENCIA 2017</w:t>
            </w:r>
          </w:p>
        </w:tc>
        <w:tc>
          <w:tcPr>
            <w:tcW w:w="1668"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Actividades (1)</w:t>
            </w:r>
          </w:p>
        </w:tc>
      </w:tr>
      <w:tr w:rsidR="00965AB7" w:rsidRPr="00C5770E" w:rsidTr="00BE36D3">
        <w:trPr>
          <w:trHeight w:val="372"/>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Valor</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$11.654.100 (el 1</w:t>
            </w:r>
            <w:r w:rsidR="00865C13">
              <w:rPr>
                <w:rFonts w:ascii="Arial" w:eastAsia="Times New Roman" w:hAnsi="Arial" w:cs="Arial"/>
                <w:color w:val="000000"/>
                <w:sz w:val="16"/>
                <w:szCs w:val="16"/>
                <w:lang w:eastAsia="es-ES_tradnl"/>
              </w:rPr>
              <w:t xml:space="preserve"> </w:t>
            </w:r>
            <w:r w:rsidRPr="00BE36D3">
              <w:rPr>
                <w:rFonts w:ascii="Arial" w:eastAsia="Times New Roman" w:hAnsi="Arial" w:cs="Arial"/>
                <w:color w:val="000000"/>
                <w:sz w:val="16"/>
                <w:szCs w:val="16"/>
                <w:lang w:eastAsia="es-ES_tradnl"/>
              </w:rPr>
              <w:t>% del valor total como aporte de la entidad escogida)</w:t>
            </w:r>
          </w:p>
        </w:tc>
        <w:tc>
          <w:tcPr>
            <w:tcW w:w="1668" w:type="pct"/>
            <w:vMerge w:val="restart"/>
            <w:tcBorders>
              <w:top w:val="single" w:sz="4" w:space="0" w:color="auto"/>
              <w:left w:val="single" w:sz="4" w:space="0" w:color="auto"/>
              <w:bottom w:val="single" w:sz="4" w:space="0" w:color="auto"/>
              <w:right w:val="single" w:sz="4" w:space="0" w:color="auto"/>
            </w:tcBorders>
            <w:vAlign w:val="center"/>
            <w:hideMark/>
          </w:tcPr>
          <w:p w:rsidR="00865C1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1. Inscripciones: a deportistas (8), a entrenadores (2) 2. Viáticos: hospedaje + alimentación+ transporte interno (10)</w:t>
            </w:r>
          </w:p>
          <w:p w:rsidR="00865C1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3. Transporte terrestre: Tolú - Montería - Tolú (10)</w:t>
            </w:r>
          </w:p>
          <w:p w:rsidR="00865C1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lastRenderedPageBreak/>
              <w:t>4. Transporte aéreo: Montería – Cali – Montería (10)</w:t>
            </w:r>
          </w:p>
          <w:p w:rsidR="00865C1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5. Uniformes (8)</w:t>
            </w:r>
          </w:p>
          <w:p w:rsidR="00865C1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6. Kits de primeros auxilios (1)</w:t>
            </w:r>
          </w:p>
          <w:p w:rsidR="00F261B7" w:rsidRPr="00BE36D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7. Suministros= Hidratación.</w:t>
            </w:r>
          </w:p>
        </w:tc>
      </w:tr>
      <w:tr w:rsidR="00824299" w:rsidRPr="00C5770E" w:rsidTr="00E34545">
        <w:trPr>
          <w:trHeight w:val="344"/>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Plazo</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 xml:space="preserve">6 días </w:t>
            </w:r>
          </w:p>
        </w:tc>
        <w:tc>
          <w:tcPr>
            <w:tcW w:w="1668"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color w:val="000000"/>
                <w:sz w:val="16"/>
                <w:szCs w:val="16"/>
                <w:lang w:eastAsia="es-ES_tradnl"/>
              </w:rPr>
            </w:pPr>
          </w:p>
        </w:tc>
      </w:tr>
      <w:tr w:rsidR="00824299" w:rsidRPr="00C5770E" w:rsidTr="00E34545">
        <w:trPr>
          <w:trHeight w:val="264"/>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Contratista</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FUNDACIÓN MAMA ROQUE</w:t>
            </w:r>
          </w:p>
        </w:tc>
        <w:tc>
          <w:tcPr>
            <w:tcW w:w="1668"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color w:val="000000"/>
                <w:sz w:val="16"/>
                <w:szCs w:val="16"/>
                <w:lang w:eastAsia="es-ES_tradnl"/>
              </w:rPr>
            </w:pPr>
          </w:p>
        </w:tc>
      </w:tr>
      <w:tr w:rsidR="00824299" w:rsidRPr="00C5770E" w:rsidTr="00BE36D3">
        <w:trPr>
          <w:trHeight w:val="2355"/>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Enlace SECOP</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4A4F20">
            <w:pPr>
              <w:spacing w:line="240" w:lineRule="auto"/>
              <w:contextualSpacing/>
              <w:jc w:val="center"/>
              <w:rPr>
                <w:rFonts w:ascii="Arial" w:eastAsia="Times New Roman" w:hAnsi="Arial" w:cs="Arial"/>
                <w:color w:val="0563C1"/>
                <w:sz w:val="16"/>
                <w:szCs w:val="16"/>
                <w:u w:val="single"/>
                <w:lang w:eastAsia="es-ES_tradnl"/>
              </w:rPr>
            </w:pPr>
            <w:hyperlink r:id="rId20" w:history="1">
              <w:r w:rsidR="00F261B7" w:rsidRPr="00BE36D3">
                <w:rPr>
                  <w:rStyle w:val="Hipervnculo"/>
                  <w:rFonts w:ascii="Arial" w:eastAsia="Times New Roman" w:hAnsi="Arial" w:cs="Arial"/>
                  <w:color w:val="0563C1"/>
                  <w:sz w:val="16"/>
                  <w:szCs w:val="16"/>
                  <w:lang w:eastAsia="es-ES_tradnl"/>
                </w:rPr>
                <w:t xml:space="preserve">https://www.contratos.gov.co/consultas/detalleProceso.do?numConstancia=17-4-6524750 </w:t>
              </w:r>
            </w:hyperlink>
          </w:p>
        </w:tc>
        <w:tc>
          <w:tcPr>
            <w:tcW w:w="1668"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color w:val="000000"/>
                <w:sz w:val="16"/>
                <w:szCs w:val="16"/>
                <w:lang w:eastAsia="es-ES_tradnl"/>
              </w:rPr>
            </w:pPr>
          </w:p>
        </w:tc>
      </w:tr>
      <w:tr w:rsidR="00965AB7" w:rsidRPr="00C5770E" w:rsidTr="00BE36D3">
        <w:trPr>
          <w:trHeight w:val="1403"/>
        </w:trPr>
        <w:tc>
          <w:tcPr>
            <w:tcW w:w="423" w:type="pct"/>
            <w:vMerge w:val="restart"/>
            <w:tcBorders>
              <w:top w:val="single" w:sz="4" w:space="0" w:color="auto"/>
              <w:left w:val="single" w:sz="4" w:space="0" w:color="auto"/>
              <w:bottom w:val="single" w:sz="4" w:space="0" w:color="auto"/>
              <w:right w:val="single" w:sz="4" w:space="0" w:color="auto"/>
            </w:tcBorders>
            <w:shd w:val="clear" w:color="auto" w:fill="666699"/>
            <w:vAlign w:val="bottom"/>
          </w:tcPr>
          <w:p w:rsidR="00F261B7" w:rsidRPr="00BE36D3" w:rsidRDefault="00F261B7">
            <w:pPr>
              <w:spacing w:line="240" w:lineRule="auto"/>
              <w:contextualSpacing/>
              <w:jc w:val="center"/>
              <w:rPr>
                <w:rFonts w:ascii="Arial" w:eastAsia="Times New Roman" w:hAnsi="Arial" w:cs="Arial"/>
                <w:b/>
                <w:bCs/>
                <w:color w:val="FFFFFF"/>
                <w:sz w:val="16"/>
                <w:szCs w:val="16"/>
                <w:lang w:eastAsia="es-ES_tradnl"/>
              </w:rPr>
            </w:pPr>
            <w:r w:rsidRPr="00BE36D3">
              <w:rPr>
                <w:rFonts w:ascii="Arial" w:eastAsia="Times New Roman" w:hAnsi="Arial" w:cs="Arial"/>
                <w:b/>
                <w:bCs/>
                <w:color w:val="FFFFFF"/>
                <w:sz w:val="16"/>
                <w:szCs w:val="16"/>
                <w:lang w:eastAsia="es-ES_tradnl"/>
              </w:rPr>
              <w:t>MST-CD-CA-003-2017</w:t>
            </w: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Objeto</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eastAsia="Times New Roman" w:hAnsi="Arial" w:cs="Arial"/>
                <w:color w:val="0563C1"/>
                <w:sz w:val="16"/>
                <w:szCs w:val="16"/>
                <w:u w:val="single"/>
                <w:lang w:eastAsia="es-ES_tradnl"/>
              </w:rPr>
            </w:pPr>
            <w:r w:rsidRPr="00BE36D3">
              <w:rPr>
                <w:rFonts w:ascii="Arial" w:eastAsia="Times New Roman" w:hAnsi="Arial" w:cs="Arial"/>
                <w:sz w:val="16"/>
                <w:szCs w:val="16"/>
                <w:lang w:eastAsia="es-ES_tradnl"/>
              </w:rPr>
              <w:t>UNI</w:t>
            </w:r>
            <w:r w:rsidR="006C2FD8" w:rsidRPr="00BE36D3">
              <w:rPr>
                <w:rFonts w:ascii="Arial" w:eastAsia="Times New Roman" w:hAnsi="Arial" w:cs="Arial"/>
                <w:sz w:val="16"/>
                <w:szCs w:val="16"/>
                <w:lang w:eastAsia="es-ES_tradnl"/>
              </w:rPr>
              <w:t>Ó</w:t>
            </w:r>
            <w:r w:rsidRPr="00BE36D3">
              <w:rPr>
                <w:rFonts w:ascii="Arial" w:eastAsia="Times New Roman" w:hAnsi="Arial" w:cs="Arial"/>
                <w:sz w:val="16"/>
                <w:szCs w:val="16"/>
                <w:lang w:eastAsia="es-ES_tradnl"/>
              </w:rPr>
              <w:t xml:space="preserve">N DE ESFUERZOS ADMINISTRATIVOS Y ECONOMICOS PARA LA EJECUCION DEL PROYECTO SOCIAL DENOMINADO ATENCION INTEGRAL DE LOS GRUPOS VULNERABLES (NIÑOS, NIÑAS Y JOVENES, MUJER Y GENERO, DISCAPACITADOS, ADULTO MAYOR) DEL MUNICIPIO SANTIAGO DE TOLÚ, VIGENCIA 2017 </w:t>
            </w:r>
          </w:p>
        </w:tc>
        <w:tc>
          <w:tcPr>
            <w:tcW w:w="1668" w:type="pct"/>
            <w:tcBorders>
              <w:top w:val="single" w:sz="4" w:space="0" w:color="auto"/>
              <w:left w:val="single" w:sz="4" w:space="0" w:color="auto"/>
              <w:bottom w:val="single" w:sz="4" w:space="0" w:color="auto"/>
              <w:right w:val="single" w:sz="4" w:space="0" w:color="auto"/>
            </w:tcBorders>
            <w:shd w:val="clear" w:color="auto" w:fill="CCCCFC"/>
            <w:vAlign w:val="center"/>
            <w:hideMark/>
          </w:tcPr>
          <w:p w:rsidR="00F261B7" w:rsidRPr="00BE36D3" w:rsidRDefault="00F261B7">
            <w:pPr>
              <w:spacing w:line="240" w:lineRule="auto"/>
              <w:contextualSpacing/>
              <w:jc w:val="center"/>
              <w:rPr>
                <w:rFonts w:ascii="Arial" w:eastAsia="Times New Roman" w:hAnsi="Arial" w:cs="Arial"/>
                <w:color w:val="000000"/>
                <w:sz w:val="16"/>
                <w:szCs w:val="16"/>
                <w:lang w:eastAsia="es-ES_tradnl"/>
              </w:rPr>
            </w:pPr>
            <w:r w:rsidRPr="00BE36D3">
              <w:rPr>
                <w:rFonts w:ascii="Arial" w:eastAsia="Times New Roman" w:hAnsi="Arial" w:cs="Arial"/>
                <w:b/>
                <w:bCs/>
                <w:color w:val="000000"/>
                <w:sz w:val="16"/>
                <w:szCs w:val="16"/>
                <w:lang w:eastAsia="es-ES_tradnl"/>
              </w:rPr>
              <w:t>Actividades</w:t>
            </w:r>
            <w:r w:rsidRPr="00BE36D3">
              <w:rPr>
                <w:rFonts w:ascii="Arial" w:eastAsia="Times New Roman" w:hAnsi="Arial" w:cs="Arial"/>
                <w:color w:val="000000"/>
                <w:sz w:val="16"/>
                <w:szCs w:val="16"/>
                <w:lang w:eastAsia="es-ES_tradnl"/>
              </w:rPr>
              <w:t xml:space="preserve"> </w:t>
            </w:r>
          </w:p>
        </w:tc>
      </w:tr>
      <w:tr w:rsidR="00965AB7" w:rsidRPr="00C5770E" w:rsidTr="00E34545">
        <w:trPr>
          <w:trHeight w:val="390"/>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Valor</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hAnsi="Arial" w:cs="Arial"/>
                <w:color w:val="000000"/>
                <w:sz w:val="16"/>
                <w:szCs w:val="16"/>
              </w:rPr>
            </w:pPr>
            <w:r w:rsidRPr="00BE36D3">
              <w:rPr>
                <w:rFonts w:ascii="Arial" w:hAnsi="Arial" w:cs="Arial"/>
                <w:color w:val="000000"/>
                <w:sz w:val="16"/>
                <w:szCs w:val="16"/>
              </w:rPr>
              <w:t>$659.275.980</w:t>
            </w:r>
            <w:r w:rsidRPr="00BE36D3">
              <w:rPr>
                <w:rStyle w:val="Refdenotaalpie"/>
                <w:rFonts w:ascii="Arial" w:hAnsi="Arial" w:cs="Arial"/>
                <w:color w:val="000000"/>
                <w:sz w:val="16"/>
                <w:szCs w:val="16"/>
              </w:rPr>
              <w:footnoteReference w:id="3"/>
            </w:r>
          </w:p>
        </w:tc>
        <w:tc>
          <w:tcPr>
            <w:tcW w:w="1668" w:type="pct"/>
            <w:vMerge w:val="restar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El grueso del convenio se sintetiza en la contratación de un buen número de contratistas, entrega de kits y eventos para cada uno de los componentes:</w:t>
            </w:r>
          </w:p>
          <w:p w:rsidR="00F261B7" w:rsidRPr="00BE36D3" w:rsidRDefault="00F261B7">
            <w:pPr>
              <w:spacing w:line="240" w:lineRule="auto"/>
              <w:contextualSpacing/>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-Adulto Mayor: 6 profesionales con honorarios mensuales, insumos dentales, alimentos y refrigerios, campañas de salud, kits y elementos de aseo, alquileres de espacios.</w:t>
            </w:r>
          </w:p>
          <w:p w:rsidR="00F261B7" w:rsidRPr="00BE36D3" w:rsidRDefault="00F261B7">
            <w:pPr>
              <w:spacing w:line="240" w:lineRule="auto"/>
              <w:contextualSpacing/>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 xml:space="preserve"> - Discapacitados: 6 profesionales con honorarios mensuales, “ayudas técnicas”, refrigerios, material didáctico, elementos de aseo, alquileres de espacios y vehículos.</w:t>
            </w:r>
          </w:p>
          <w:p w:rsidR="00F261B7" w:rsidRPr="00BE36D3" w:rsidRDefault="00F261B7">
            <w:pPr>
              <w:spacing w:line="240" w:lineRule="auto"/>
              <w:contextualSpacing/>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 xml:space="preserve"> - Niños, niñas y jóvenes: 8 profesionales con honorarios mensuales, refrigerios, kit de materiales escolares, alquiler y dotación de oficina, evento.</w:t>
            </w:r>
          </w:p>
          <w:p w:rsidR="00F261B7" w:rsidRPr="00BE36D3" w:rsidRDefault="00F261B7">
            <w:pPr>
              <w:spacing w:line="240" w:lineRule="auto"/>
              <w:contextualSpacing/>
              <w:rPr>
                <w:rFonts w:ascii="Arial" w:eastAsia="Times New Roman" w:hAnsi="Arial" w:cs="Arial"/>
                <w:color w:val="000000"/>
                <w:sz w:val="16"/>
                <w:szCs w:val="16"/>
                <w:lang w:eastAsia="es-ES_tradnl"/>
              </w:rPr>
            </w:pPr>
            <w:r w:rsidRPr="00BE36D3">
              <w:rPr>
                <w:rFonts w:ascii="Arial" w:eastAsia="Times New Roman" w:hAnsi="Arial" w:cs="Arial"/>
                <w:color w:val="000000"/>
                <w:sz w:val="16"/>
                <w:szCs w:val="16"/>
                <w:lang w:eastAsia="es-ES_tradnl"/>
              </w:rPr>
              <w:t xml:space="preserve"> - Primera infancia: 5 profesionales con honorarios mensuales, eventos, kits de materiales.</w:t>
            </w:r>
          </w:p>
        </w:tc>
      </w:tr>
      <w:tr w:rsidR="00824299" w:rsidRPr="00C5770E" w:rsidTr="00BE36D3">
        <w:trPr>
          <w:trHeight w:val="423"/>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Plazo</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hAnsi="Arial" w:cs="Arial"/>
                <w:color w:val="000000"/>
                <w:sz w:val="16"/>
                <w:szCs w:val="16"/>
              </w:rPr>
            </w:pPr>
            <w:r w:rsidRPr="00BE36D3">
              <w:rPr>
                <w:rFonts w:ascii="Arial" w:hAnsi="Arial" w:cs="Arial"/>
                <w:color w:val="000000"/>
                <w:sz w:val="16"/>
                <w:szCs w:val="16"/>
              </w:rPr>
              <w:t>7 meses</w:t>
            </w:r>
          </w:p>
        </w:tc>
        <w:tc>
          <w:tcPr>
            <w:tcW w:w="1668"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color w:val="000000"/>
                <w:sz w:val="16"/>
                <w:szCs w:val="16"/>
                <w:lang w:eastAsia="es-ES_tradnl"/>
              </w:rPr>
            </w:pPr>
          </w:p>
        </w:tc>
      </w:tr>
      <w:tr w:rsidR="00824299" w:rsidRPr="00C5770E" w:rsidTr="00E34545">
        <w:trPr>
          <w:trHeight w:val="415"/>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Contratista</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line="240" w:lineRule="auto"/>
              <w:contextualSpacing/>
              <w:jc w:val="center"/>
              <w:rPr>
                <w:rFonts w:ascii="Arial" w:hAnsi="Arial" w:cs="Arial"/>
                <w:color w:val="000000"/>
                <w:sz w:val="16"/>
                <w:szCs w:val="16"/>
              </w:rPr>
            </w:pPr>
            <w:r w:rsidRPr="00BE36D3">
              <w:rPr>
                <w:rFonts w:ascii="Arial" w:hAnsi="Arial" w:cs="Arial"/>
                <w:color w:val="000000"/>
                <w:sz w:val="16"/>
                <w:szCs w:val="16"/>
              </w:rPr>
              <w:t>FUNDACIÓN SURGIR</w:t>
            </w:r>
          </w:p>
        </w:tc>
        <w:tc>
          <w:tcPr>
            <w:tcW w:w="1668"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color w:val="000000"/>
                <w:sz w:val="16"/>
                <w:szCs w:val="16"/>
                <w:lang w:eastAsia="es-ES_tradnl"/>
              </w:rPr>
            </w:pPr>
          </w:p>
        </w:tc>
      </w:tr>
      <w:tr w:rsidR="00824299" w:rsidRPr="00C5770E" w:rsidTr="00E34545">
        <w:trPr>
          <w:trHeight w:val="2548"/>
        </w:trPr>
        <w:tc>
          <w:tcPr>
            <w:tcW w:w="423"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b/>
                <w:bCs/>
                <w:color w:val="FFFFFF"/>
                <w:sz w:val="16"/>
                <w:szCs w:val="16"/>
                <w:lang w:eastAsia="es-ES_tradnl"/>
              </w:rPr>
            </w:pPr>
          </w:p>
        </w:tc>
        <w:tc>
          <w:tcPr>
            <w:tcW w:w="461"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F261B7" w:rsidRPr="00BE36D3" w:rsidRDefault="00F261B7">
            <w:pPr>
              <w:spacing w:line="240" w:lineRule="auto"/>
              <w:contextualSpacing/>
              <w:jc w:val="center"/>
              <w:rPr>
                <w:rFonts w:ascii="Arial" w:eastAsia="Times New Roman" w:hAnsi="Arial" w:cs="Arial"/>
                <w:b/>
                <w:bCs/>
                <w:color w:val="000000"/>
                <w:sz w:val="16"/>
                <w:szCs w:val="16"/>
                <w:lang w:eastAsia="es-ES_tradnl"/>
              </w:rPr>
            </w:pPr>
            <w:r w:rsidRPr="00BE36D3">
              <w:rPr>
                <w:rFonts w:ascii="Arial" w:eastAsia="Times New Roman" w:hAnsi="Arial" w:cs="Arial"/>
                <w:b/>
                <w:bCs/>
                <w:color w:val="000000"/>
                <w:sz w:val="16"/>
                <w:szCs w:val="16"/>
                <w:lang w:eastAsia="es-ES_tradnl"/>
              </w:rPr>
              <w:t>Enlace SECOP</w:t>
            </w:r>
          </w:p>
        </w:tc>
        <w:tc>
          <w:tcPr>
            <w:tcW w:w="2448" w:type="pct"/>
            <w:tcBorders>
              <w:top w:val="single" w:sz="4" w:space="0" w:color="auto"/>
              <w:left w:val="single" w:sz="4" w:space="0" w:color="auto"/>
              <w:bottom w:val="single" w:sz="4" w:space="0" w:color="auto"/>
              <w:right w:val="single" w:sz="4" w:space="0" w:color="auto"/>
            </w:tcBorders>
            <w:vAlign w:val="center"/>
            <w:hideMark/>
          </w:tcPr>
          <w:p w:rsidR="00F261B7" w:rsidRPr="00BE36D3" w:rsidRDefault="004A4F20">
            <w:pPr>
              <w:spacing w:line="240" w:lineRule="auto"/>
              <w:contextualSpacing/>
              <w:jc w:val="center"/>
              <w:rPr>
                <w:rFonts w:ascii="Arial" w:hAnsi="Arial" w:cs="Arial"/>
                <w:color w:val="000000"/>
                <w:sz w:val="16"/>
                <w:szCs w:val="16"/>
              </w:rPr>
            </w:pPr>
            <w:hyperlink r:id="rId21" w:history="1">
              <w:r w:rsidR="00865C13" w:rsidRPr="00BE36D3">
                <w:rPr>
                  <w:rStyle w:val="Hipervnculo"/>
                  <w:rFonts w:ascii="Arial" w:hAnsi="Arial" w:cs="Arial"/>
                  <w:sz w:val="16"/>
                  <w:szCs w:val="16"/>
                </w:rPr>
                <w:t>https://www.contratos.gov.co/consultas/detalleProceso.do?numConstancia=17-4-6462285</w:t>
              </w:r>
            </w:hyperlink>
          </w:p>
        </w:tc>
        <w:tc>
          <w:tcPr>
            <w:tcW w:w="1668" w:type="pct"/>
            <w:vMerge/>
            <w:tcBorders>
              <w:top w:val="single" w:sz="4" w:space="0" w:color="auto"/>
              <w:left w:val="single" w:sz="4" w:space="0" w:color="auto"/>
              <w:bottom w:val="single" w:sz="4" w:space="0" w:color="auto"/>
              <w:right w:val="single" w:sz="4" w:space="0" w:color="auto"/>
            </w:tcBorders>
            <w:vAlign w:val="center"/>
            <w:hideMark/>
          </w:tcPr>
          <w:p w:rsidR="00F261B7" w:rsidRPr="00BE36D3" w:rsidRDefault="00F261B7">
            <w:pPr>
              <w:spacing w:after="0" w:line="240" w:lineRule="auto"/>
              <w:contextualSpacing/>
              <w:rPr>
                <w:rFonts w:ascii="Arial" w:eastAsia="Times New Roman" w:hAnsi="Arial" w:cs="Arial"/>
                <w:color w:val="000000"/>
                <w:sz w:val="16"/>
                <w:szCs w:val="16"/>
                <w:lang w:eastAsia="es-ES_tradnl"/>
              </w:rPr>
            </w:pPr>
          </w:p>
        </w:tc>
      </w:tr>
    </w:tbl>
    <w:p w:rsidR="00A031CF" w:rsidRPr="00BE36D3" w:rsidRDefault="00E1753B">
      <w:pPr>
        <w:spacing w:after="0" w:line="240" w:lineRule="auto"/>
        <w:contextualSpacing/>
        <w:jc w:val="center"/>
        <w:rPr>
          <w:rFonts w:ascii="Arial" w:hAnsi="Arial" w:cs="Arial"/>
          <w:i/>
          <w:sz w:val="24"/>
          <w:szCs w:val="24"/>
        </w:rPr>
      </w:pPr>
      <w:r w:rsidRPr="00BE36D3">
        <w:rPr>
          <w:rFonts w:ascii="Arial" w:hAnsi="Arial" w:cs="Arial"/>
          <w:b/>
          <w:bCs/>
          <w:sz w:val="20"/>
          <w:szCs w:val="20"/>
        </w:rPr>
        <w:t xml:space="preserve">Fuente: </w:t>
      </w:r>
      <w:r w:rsidRPr="00BE36D3">
        <w:rPr>
          <w:rFonts w:ascii="Arial" w:hAnsi="Arial" w:cs="Arial"/>
          <w:sz w:val="20"/>
          <w:szCs w:val="20"/>
        </w:rPr>
        <w:t>Elaboración propia con base en la información contractual del Informe de Monitoreo en Campo.</w:t>
      </w:r>
    </w:p>
    <w:p w:rsidR="006E24B5" w:rsidRPr="00BE36D3" w:rsidRDefault="006E24B5">
      <w:pPr>
        <w:spacing w:after="0" w:line="240" w:lineRule="auto"/>
        <w:contextualSpacing/>
        <w:jc w:val="both"/>
        <w:rPr>
          <w:rFonts w:ascii="Arial" w:hAnsi="Arial" w:cs="Arial"/>
        </w:rPr>
      </w:pPr>
    </w:p>
    <w:p w:rsidR="00FC7C67" w:rsidRDefault="00FC7C67">
      <w:pPr>
        <w:spacing w:line="240" w:lineRule="auto"/>
        <w:contextualSpacing/>
        <w:jc w:val="both"/>
        <w:rPr>
          <w:rFonts w:ascii="Arial" w:hAnsi="Arial" w:cs="Arial"/>
          <w:b/>
          <w:bCs/>
        </w:rPr>
      </w:pPr>
      <w:r w:rsidRPr="00BE36D3">
        <w:rPr>
          <w:rFonts w:ascii="Arial" w:hAnsi="Arial" w:cs="Arial"/>
          <w:b/>
          <w:bCs/>
        </w:rPr>
        <w:t>Vigencia 2018</w:t>
      </w:r>
      <w:r w:rsidR="00865C13">
        <w:rPr>
          <w:rFonts w:ascii="Arial" w:hAnsi="Arial" w:cs="Arial"/>
          <w:b/>
          <w:bCs/>
        </w:rPr>
        <w:t>.</w:t>
      </w:r>
    </w:p>
    <w:p w:rsidR="00865C13" w:rsidRPr="00BE36D3" w:rsidRDefault="00865C13">
      <w:pPr>
        <w:spacing w:line="240" w:lineRule="auto"/>
        <w:contextualSpacing/>
        <w:jc w:val="both"/>
        <w:rPr>
          <w:rFonts w:ascii="Arial" w:hAnsi="Arial" w:cs="Arial"/>
          <w:b/>
          <w:bCs/>
        </w:rPr>
      </w:pPr>
    </w:p>
    <w:p w:rsidR="00FC7C67" w:rsidRDefault="00FC7C67">
      <w:pPr>
        <w:spacing w:line="240" w:lineRule="auto"/>
        <w:contextualSpacing/>
        <w:jc w:val="both"/>
        <w:rPr>
          <w:rFonts w:ascii="Arial" w:hAnsi="Arial" w:cs="Arial"/>
        </w:rPr>
      </w:pPr>
      <w:r w:rsidRPr="00BE36D3">
        <w:rPr>
          <w:rFonts w:ascii="Arial" w:hAnsi="Arial" w:cs="Arial"/>
        </w:rPr>
        <w:t>En la vigencia 201</w:t>
      </w:r>
      <w:r w:rsidR="00A967E8" w:rsidRPr="00BE36D3">
        <w:rPr>
          <w:rFonts w:ascii="Arial" w:hAnsi="Arial" w:cs="Arial"/>
        </w:rPr>
        <w:t>8</w:t>
      </w:r>
      <w:r w:rsidRPr="00BE36D3">
        <w:rPr>
          <w:rFonts w:ascii="Arial" w:hAnsi="Arial" w:cs="Arial"/>
        </w:rPr>
        <w:t xml:space="preserve"> la entidad territorial </w:t>
      </w:r>
      <w:r w:rsidR="004A1245" w:rsidRPr="00BE36D3">
        <w:rPr>
          <w:rFonts w:ascii="Arial" w:hAnsi="Arial" w:cs="Arial"/>
        </w:rPr>
        <w:t>remitió al Departamento Nacional de Planeación</w:t>
      </w:r>
      <w:r w:rsidR="00A967E8" w:rsidRPr="00BE36D3">
        <w:rPr>
          <w:rFonts w:ascii="Arial" w:hAnsi="Arial" w:cs="Arial"/>
        </w:rPr>
        <w:t xml:space="preserve"> contratos</w:t>
      </w:r>
      <w:r w:rsidR="00A53AAD" w:rsidRPr="00BE36D3">
        <w:rPr>
          <w:rFonts w:ascii="Arial" w:hAnsi="Arial" w:cs="Arial"/>
        </w:rPr>
        <w:t xml:space="preserve"> que se clasificaron de la siguiente manera</w:t>
      </w:r>
      <w:r w:rsidR="00A967E8" w:rsidRPr="00BE36D3">
        <w:rPr>
          <w:rFonts w:ascii="Arial" w:hAnsi="Arial" w:cs="Arial"/>
        </w:rPr>
        <w:t>:</w:t>
      </w:r>
    </w:p>
    <w:p w:rsidR="00F4471B" w:rsidRDefault="00F4471B">
      <w:pPr>
        <w:rPr>
          <w:rFonts w:ascii="Arial" w:hAnsi="Arial" w:cs="Arial"/>
        </w:rPr>
      </w:pPr>
      <w:r>
        <w:rPr>
          <w:rFonts w:ascii="Arial" w:hAnsi="Arial" w:cs="Arial"/>
        </w:rPr>
        <w:br w:type="page"/>
      </w:r>
    </w:p>
    <w:p w:rsidR="00C5770E" w:rsidRPr="00BE36D3" w:rsidRDefault="00C5770E">
      <w:pPr>
        <w:spacing w:line="240" w:lineRule="auto"/>
        <w:contextualSpacing/>
        <w:jc w:val="both"/>
        <w:rPr>
          <w:rFonts w:ascii="Arial" w:hAnsi="Arial" w:cs="Arial"/>
        </w:rPr>
      </w:pPr>
    </w:p>
    <w:p w:rsidR="00541CDA" w:rsidRPr="00BE36D3" w:rsidRDefault="00541CDA">
      <w:pPr>
        <w:spacing w:after="0" w:line="240" w:lineRule="auto"/>
        <w:contextualSpacing/>
        <w:jc w:val="center"/>
        <w:rPr>
          <w:rFonts w:ascii="Arial" w:hAnsi="Arial" w:cs="Arial"/>
          <w:b/>
          <w:bCs/>
          <w:sz w:val="20"/>
          <w:szCs w:val="20"/>
        </w:rPr>
      </w:pPr>
      <w:r w:rsidRPr="00BE36D3">
        <w:rPr>
          <w:rFonts w:ascii="Arial" w:hAnsi="Arial" w:cs="Arial"/>
          <w:b/>
          <w:bCs/>
          <w:sz w:val="20"/>
          <w:szCs w:val="20"/>
        </w:rPr>
        <w:t xml:space="preserve">Cuadro No. </w:t>
      </w:r>
      <w:r w:rsidR="00681E7D" w:rsidRPr="00BE36D3">
        <w:rPr>
          <w:rFonts w:ascii="Arial" w:hAnsi="Arial" w:cs="Arial"/>
          <w:b/>
          <w:bCs/>
          <w:sz w:val="20"/>
          <w:szCs w:val="20"/>
        </w:rPr>
        <w:t>1</w:t>
      </w:r>
      <w:r w:rsidR="002E737F" w:rsidRPr="00BE36D3">
        <w:rPr>
          <w:rFonts w:ascii="Arial" w:hAnsi="Arial" w:cs="Arial"/>
          <w:b/>
          <w:bCs/>
          <w:sz w:val="20"/>
          <w:szCs w:val="20"/>
        </w:rPr>
        <w:t>1</w:t>
      </w:r>
    </w:p>
    <w:p w:rsidR="00541CDA" w:rsidRPr="00BE36D3" w:rsidRDefault="00541CDA">
      <w:pPr>
        <w:spacing w:after="0" w:line="240" w:lineRule="auto"/>
        <w:contextualSpacing/>
        <w:jc w:val="center"/>
        <w:rPr>
          <w:rFonts w:ascii="Arial" w:hAnsi="Arial" w:cs="Arial"/>
          <w:sz w:val="20"/>
          <w:szCs w:val="20"/>
        </w:rPr>
      </w:pPr>
      <w:r w:rsidRPr="00BE36D3">
        <w:rPr>
          <w:rFonts w:ascii="Arial" w:hAnsi="Arial" w:cs="Arial"/>
          <w:sz w:val="20"/>
          <w:szCs w:val="20"/>
        </w:rPr>
        <w:t>Relación de contratos</w:t>
      </w:r>
      <w:r w:rsidR="00865C13">
        <w:rPr>
          <w:rFonts w:ascii="Arial" w:hAnsi="Arial" w:cs="Arial"/>
          <w:sz w:val="20"/>
          <w:szCs w:val="20"/>
        </w:rPr>
        <w:t xml:space="preserve"> </w:t>
      </w:r>
      <w:r w:rsidRPr="00BE36D3">
        <w:rPr>
          <w:rFonts w:ascii="Arial" w:hAnsi="Arial" w:cs="Arial"/>
          <w:sz w:val="20"/>
          <w:szCs w:val="20"/>
        </w:rPr>
        <w:t>- Propósito General</w:t>
      </w:r>
    </w:p>
    <w:p w:rsidR="00541CDA" w:rsidRPr="00BE36D3" w:rsidRDefault="00541CDA">
      <w:pPr>
        <w:spacing w:after="0" w:line="240" w:lineRule="auto"/>
        <w:contextualSpacing/>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tbl>
      <w:tblPr>
        <w:tblW w:w="7075" w:type="dxa"/>
        <w:jc w:val="center"/>
        <w:tblCellMar>
          <w:left w:w="70" w:type="dxa"/>
          <w:right w:w="70" w:type="dxa"/>
        </w:tblCellMar>
        <w:tblLook w:val="04A0" w:firstRow="1" w:lastRow="0" w:firstColumn="1" w:lastColumn="0" w:noHBand="0" w:noVBand="1"/>
      </w:tblPr>
      <w:tblGrid>
        <w:gridCol w:w="1691"/>
        <w:gridCol w:w="1616"/>
        <w:gridCol w:w="1361"/>
        <w:gridCol w:w="888"/>
        <w:gridCol w:w="1519"/>
      </w:tblGrid>
      <w:tr w:rsidR="00381569" w:rsidRPr="00865C13" w:rsidTr="00541CDA">
        <w:trPr>
          <w:trHeight w:val="315"/>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000000" w:fill="666699"/>
            <w:noWrap/>
            <w:vAlign w:val="center"/>
            <w:hideMark/>
          </w:tcPr>
          <w:p w:rsidR="00381569" w:rsidRPr="00BE36D3" w:rsidRDefault="00381569">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Sector Propósito General - Contractual. Vigencia 2018</w:t>
            </w:r>
          </w:p>
        </w:tc>
      </w:tr>
      <w:tr w:rsidR="00381569" w:rsidRPr="00865C13" w:rsidTr="00824299">
        <w:trPr>
          <w:trHeight w:val="383"/>
          <w:jc w:val="center"/>
        </w:trPr>
        <w:tc>
          <w:tcPr>
            <w:tcW w:w="1691" w:type="dxa"/>
            <w:vMerge w:val="restart"/>
            <w:tcBorders>
              <w:top w:val="nil"/>
              <w:left w:val="single" w:sz="8" w:space="0" w:color="auto"/>
              <w:bottom w:val="single" w:sz="8" w:space="0" w:color="000000"/>
              <w:right w:val="single" w:sz="8" w:space="0" w:color="auto"/>
            </w:tcBorders>
            <w:shd w:val="clear" w:color="000000" w:fill="666699"/>
            <w:vAlign w:val="center"/>
            <w:hideMark/>
          </w:tcPr>
          <w:p w:rsidR="00381569" w:rsidRPr="00BE36D3" w:rsidRDefault="00381569">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Destinaciones</w:t>
            </w:r>
          </w:p>
        </w:tc>
        <w:tc>
          <w:tcPr>
            <w:tcW w:w="1616" w:type="dxa"/>
            <w:tcBorders>
              <w:top w:val="nil"/>
              <w:left w:val="nil"/>
              <w:bottom w:val="single" w:sz="8" w:space="0" w:color="auto"/>
              <w:right w:val="single" w:sz="8" w:space="0" w:color="auto"/>
            </w:tcBorders>
            <w:shd w:val="clear" w:color="000000" w:fill="666699"/>
            <w:vAlign w:val="center"/>
            <w:hideMark/>
          </w:tcPr>
          <w:p w:rsidR="00381569" w:rsidRPr="00BE36D3" w:rsidRDefault="00381569">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Comprometido</w:t>
            </w:r>
          </w:p>
        </w:tc>
        <w:tc>
          <w:tcPr>
            <w:tcW w:w="1361" w:type="dxa"/>
            <w:tcBorders>
              <w:top w:val="nil"/>
              <w:left w:val="nil"/>
              <w:bottom w:val="single" w:sz="8" w:space="0" w:color="auto"/>
              <w:right w:val="single" w:sz="8" w:space="0" w:color="auto"/>
            </w:tcBorders>
            <w:shd w:val="clear" w:color="000000" w:fill="666699"/>
            <w:vAlign w:val="center"/>
            <w:hideMark/>
          </w:tcPr>
          <w:p w:rsidR="00381569" w:rsidRPr="00BE36D3" w:rsidRDefault="00381569">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Valor Relación de Contratos</w:t>
            </w:r>
          </w:p>
        </w:tc>
        <w:tc>
          <w:tcPr>
            <w:tcW w:w="888" w:type="dxa"/>
            <w:tcBorders>
              <w:top w:val="nil"/>
              <w:left w:val="nil"/>
              <w:bottom w:val="single" w:sz="8" w:space="0" w:color="auto"/>
              <w:right w:val="single" w:sz="8" w:space="0" w:color="auto"/>
            </w:tcBorders>
            <w:shd w:val="clear" w:color="000000" w:fill="666699"/>
            <w:vAlign w:val="center"/>
            <w:hideMark/>
          </w:tcPr>
          <w:p w:rsidR="00381569" w:rsidRPr="00BE36D3" w:rsidRDefault="00381569">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N</w:t>
            </w:r>
            <w:r w:rsidR="00EA5464" w:rsidRPr="00BE36D3">
              <w:rPr>
                <w:rFonts w:ascii="Arial" w:eastAsia="Times New Roman" w:hAnsi="Arial" w:cs="Arial"/>
                <w:b/>
                <w:bCs/>
                <w:color w:val="FFFFFF"/>
                <w:sz w:val="16"/>
                <w:szCs w:val="16"/>
                <w:lang w:eastAsia="es-CO"/>
              </w:rPr>
              <w:t>° de</w:t>
            </w:r>
            <w:r w:rsidRPr="00BE36D3">
              <w:rPr>
                <w:rFonts w:ascii="Arial" w:eastAsia="Times New Roman" w:hAnsi="Arial" w:cs="Arial"/>
                <w:b/>
                <w:bCs/>
                <w:color w:val="FFFFFF"/>
                <w:sz w:val="16"/>
                <w:szCs w:val="16"/>
                <w:lang w:eastAsia="es-CO"/>
              </w:rPr>
              <w:t xml:space="preserve"> contratos</w:t>
            </w:r>
          </w:p>
        </w:tc>
        <w:tc>
          <w:tcPr>
            <w:tcW w:w="1519" w:type="dxa"/>
            <w:tcBorders>
              <w:top w:val="nil"/>
              <w:left w:val="nil"/>
              <w:bottom w:val="single" w:sz="8" w:space="0" w:color="auto"/>
              <w:right w:val="single" w:sz="8" w:space="0" w:color="auto"/>
            </w:tcBorders>
            <w:shd w:val="clear" w:color="000000" w:fill="666699"/>
            <w:vAlign w:val="center"/>
            <w:hideMark/>
          </w:tcPr>
          <w:p w:rsidR="00381569" w:rsidRPr="00BE36D3" w:rsidRDefault="00381569">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Diferencia</w:t>
            </w:r>
          </w:p>
        </w:tc>
      </w:tr>
      <w:tr w:rsidR="00381569" w:rsidRPr="00865C13" w:rsidTr="00541CDA">
        <w:trPr>
          <w:trHeight w:val="315"/>
          <w:jc w:val="center"/>
        </w:trPr>
        <w:tc>
          <w:tcPr>
            <w:tcW w:w="1691" w:type="dxa"/>
            <w:vMerge/>
            <w:tcBorders>
              <w:top w:val="nil"/>
              <w:left w:val="single" w:sz="8" w:space="0" w:color="auto"/>
              <w:bottom w:val="single" w:sz="8" w:space="0" w:color="000000"/>
              <w:right w:val="single" w:sz="8" w:space="0" w:color="auto"/>
            </w:tcBorders>
            <w:vAlign w:val="center"/>
            <w:hideMark/>
          </w:tcPr>
          <w:p w:rsidR="00381569" w:rsidRPr="00BE36D3" w:rsidRDefault="00381569">
            <w:pPr>
              <w:spacing w:after="0" w:line="240" w:lineRule="auto"/>
              <w:contextualSpacing/>
              <w:rPr>
                <w:rFonts w:ascii="Arial" w:eastAsia="Times New Roman" w:hAnsi="Arial" w:cs="Arial"/>
                <w:b/>
                <w:bCs/>
                <w:color w:val="FFFFFF"/>
                <w:sz w:val="16"/>
                <w:szCs w:val="16"/>
                <w:lang w:eastAsia="es-CO"/>
              </w:rPr>
            </w:pPr>
          </w:p>
        </w:tc>
        <w:tc>
          <w:tcPr>
            <w:tcW w:w="1616" w:type="dxa"/>
            <w:tcBorders>
              <w:top w:val="nil"/>
              <w:left w:val="nil"/>
              <w:bottom w:val="single" w:sz="8" w:space="0" w:color="auto"/>
              <w:right w:val="single" w:sz="8" w:space="0" w:color="auto"/>
            </w:tcBorders>
            <w:shd w:val="clear" w:color="000000" w:fill="CCCCFF"/>
            <w:vAlign w:val="center"/>
            <w:hideMark/>
          </w:tcPr>
          <w:p w:rsidR="00381569" w:rsidRPr="00BE36D3" w:rsidRDefault="00381569">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$2.637.582.577</w:t>
            </w:r>
          </w:p>
        </w:tc>
        <w:tc>
          <w:tcPr>
            <w:tcW w:w="1361" w:type="dxa"/>
            <w:tcBorders>
              <w:top w:val="nil"/>
              <w:left w:val="nil"/>
              <w:bottom w:val="single" w:sz="8" w:space="0" w:color="auto"/>
              <w:right w:val="single" w:sz="8" w:space="0" w:color="auto"/>
            </w:tcBorders>
            <w:shd w:val="clear" w:color="000000" w:fill="CCCCFF"/>
            <w:vAlign w:val="center"/>
            <w:hideMark/>
          </w:tcPr>
          <w:p w:rsidR="00381569" w:rsidRPr="00BE36D3" w:rsidRDefault="00381569">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$3.726.047.335</w:t>
            </w:r>
          </w:p>
        </w:tc>
        <w:tc>
          <w:tcPr>
            <w:tcW w:w="888" w:type="dxa"/>
            <w:tcBorders>
              <w:top w:val="nil"/>
              <w:left w:val="nil"/>
              <w:bottom w:val="single" w:sz="8" w:space="0" w:color="auto"/>
              <w:right w:val="single" w:sz="8" w:space="0" w:color="auto"/>
            </w:tcBorders>
            <w:shd w:val="clear" w:color="000000" w:fill="CCCCFF"/>
            <w:vAlign w:val="center"/>
            <w:hideMark/>
          </w:tcPr>
          <w:p w:rsidR="00381569" w:rsidRPr="00BE36D3" w:rsidRDefault="00381569">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w:t>
            </w:r>
          </w:p>
        </w:tc>
        <w:tc>
          <w:tcPr>
            <w:tcW w:w="1519" w:type="dxa"/>
            <w:tcBorders>
              <w:top w:val="nil"/>
              <w:left w:val="nil"/>
              <w:bottom w:val="single" w:sz="8" w:space="0" w:color="auto"/>
              <w:right w:val="single" w:sz="8" w:space="0" w:color="auto"/>
            </w:tcBorders>
            <w:shd w:val="clear" w:color="000000" w:fill="CCCCFF"/>
            <w:vAlign w:val="center"/>
            <w:hideMark/>
          </w:tcPr>
          <w:p w:rsidR="00381569" w:rsidRPr="00BE36D3" w:rsidRDefault="00381569">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FF0000"/>
                <w:sz w:val="16"/>
                <w:szCs w:val="16"/>
                <w:lang w:eastAsia="es-CO"/>
              </w:rPr>
              <w:t>-$1.088.464.758</w:t>
            </w:r>
          </w:p>
        </w:tc>
      </w:tr>
      <w:tr w:rsidR="00381569" w:rsidRPr="00865C13" w:rsidTr="00541CDA">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 Libre Destinación</w:t>
            </w:r>
          </w:p>
        </w:tc>
        <w:tc>
          <w:tcPr>
            <w:tcW w:w="1616"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$1.110.689.418</w:t>
            </w:r>
          </w:p>
        </w:tc>
        <w:tc>
          <w:tcPr>
            <w:tcW w:w="1361"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$2.602.764.700</w:t>
            </w:r>
          </w:p>
        </w:tc>
        <w:tc>
          <w:tcPr>
            <w:tcW w:w="888"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w:t>
            </w:r>
          </w:p>
        </w:tc>
        <w:tc>
          <w:tcPr>
            <w:tcW w:w="1519"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FF0000"/>
                <w:sz w:val="16"/>
                <w:szCs w:val="16"/>
                <w:lang w:eastAsia="es-CO"/>
              </w:rPr>
              <w:t>-$1.492.075.282</w:t>
            </w:r>
          </w:p>
        </w:tc>
      </w:tr>
      <w:tr w:rsidR="00381569" w:rsidRPr="00865C13" w:rsidTr="00541CDA">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 Libre Inversión</w:t>
            </w:r>
          </w:p>
        </w:tc>
        <w:tc>
          <w:tcPr>
            <w:tcW w:w="1616"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$1.378.935.727</w:t>
            </w:r>
          </w:p>
        </w:tc>
        <w:tc>
          <w:tcPr>
            <w:tcW w:w="1361" w:type="dxa"/>
            <w:tcBorders>
              <w:top w:val="nil"/>
              <w:left w:val="nil"/>
              <w:bottom w:val="single" w:sz="8" w:space="0" w:color="auto"/>
              <w:right w:val="single" w:sz="8" w:space="0" w:color="auto"/>
            </w:tcBorders>
            <w:shd w:val="clear" w:color="auto" w:fill="auto"/>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$1.038.434.613</w:t>
            </w:r>
          </w:p>
        </w:tc>
        <w:tc>
          <w:tcPr>
            <w:tcW w:w="888"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26</w:t>
            </w:r>
          </w:p>
        </w:tc>
        <w:tc>
          <w:tcPr>
            <w:tcW w:w="1519"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$340.501.114</w:t>
            </w:r>
          </w:p>
        </w:tc>
      </w:tr>
      <w:tr w:rsidR="00381569" w:rsidRPr="00865C13" w:rsidTr="00541CDA">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 Deporte y Recreación</w:t>
            </w:r>
          </w:p>
        </w:tc>
        <w:tc>
          <w:tcPr>
            <w:tcW w:w="1616"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$67.747.532</w:t>
            </w:r>
          </w:p>
        </w:tc>
        <w:tc>
          <w:tcPr>
            <w:tcW w:w="1361"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$55.682.012</w:t>
            </w:r>
          </w:p>
        </w:tc>
        <w:tc>
          <w:tcPr>
            <w:tcW w:w="888"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4</w:t>
            </w:r>
          </w:p>
        </w:tc>
        <w:tc>
          <w:tcPr>
            <w:tcW w:w="1519"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$12.065.520</w:t>
            </w:r>
          </w:p>
        </w:tc>
      </w:tr>
      <w:tr w:rsidR="00381569" w:rsidRPr="00865C13" w:rsidTr="00541CDA">
        <w:trPr>
          <w:trHeight w:val="315"/>
          <w:jc w:val="center"/>
        </w:trPr>
        <w:tc>
          <w:tcPr>
            <w:tcW w:w="1691" w:type="dxa"/>
            <w:tcBorders>
              <w:top w:val="nil"/>
              <w:left w:val="single" w:sz="8" w:space="0" w:color="auto"/>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 Cultura</w:t>
            </w:r>
          </w:p>
        </w:tc>
        <w:tc>
          <w:tcPr>
            <w:tcW w:w="1616"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$80.209.900</w:t>
            </w:r>
          </w:p>
        </w:tc>
        <w:tc>
          <w:tcPr>
            <w:tcW w:w="1361"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$29.166.010</w:t>
            </w:r>
          </w:p>
        </w:tc>
        <w:tc>
          <w:tcPr>
            <w:tcW w:w="888"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w:t>
            </w:r>
          </w:p>
        </w:tc>
        <w:tc>
          <w:tcPr>
            <w:tcW w:w="1519" w:type="dxa"/>
            <w:tcBorders>
              <w:top w:val="nil"/>
              <w:left w:val="nil"/>
              <w:bottom w:val="single" w:sz="8" w:space="0" w:color="auto"/>
              <w:right w:val="single" w:sz="8" w:space="0" w:color="auto"/>
            </w:tcBorders>
            <w:shd w:val="clear" w:color="auto" w:fill="auto"/>
            <w:noWrap/>
            <w:vAlign w:val="center"/>
            <w:hideMark/>
          </w:tcPr>
          <w:p w:rsidR="00381569" w:rsidRPr="00BE36D3" w:rsidRDefault="00381569">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$51.043.890</w:t>
            </w:r>
          </w:p>
        </w:tc>
      </w:tr>
    </w:tbl>
    <w:p w:rsidR="00541CDA" w:rsidRPr="00BE36D3" w:rsidRDefault="00541CDA">
      <w:pPr>
        <w:spacing w:line="240" w:lineRule="auto"/>
        <w:contextualSpacing/>
        <w:jc w:val="center"/>
        <w:rPr>
          <w:rFonts w:ascii="Arial" w:hAnsi="Arial" w:cs="Arial"/>
          <w:sz w:val="20"/>
          <w:szCs w:val="20"/>
        </w:rPr>
      </w:pPr>
      <w:r w:rsidRPr="00BE36D3">
        <w:rPr>
          <w:rFonts w:ascii="Arial" w:hAnsi="Arial" w:cs="Arial"/>
          <w:b/>
          <w:bCs/>
          <w:sz w:val="20"/>
          <w:szCs w:val="20"/>
        </w:rPr>
        <w:t xml:space="preserve">Fuente: </w:t>
      </w:r>
      <w:r w:rsidRPr="00BE36D3">
        <w:rPr>
          <w:rFonts w:ascii="Arial" w:hAnsi="Arial" w:cs="Arial"/>
          <w:sz w:val="20"/>
          <w:szCs w:val="20"/>
        </w:rPr>
        <w:t>Elaboración propia con base en la información contractual del Informe de Monitoreo en Campo.</w:t>
      </w:r>
    </w:p>
    <w:p w:rsidR="00C5770E" w:rsidRPr="00BE36D3" w:rsidRDefault="00C5770E">
      <w:pPr>
        <w:spacing w:line="240" w:lineRule="auto"/>
        <w:contextualSpacing/>
        <w:jc w:val="both"/>
        <w:rPr>
          <w:rFonts w:ascii="Arial" w:hAnsi="Arial" w:cs="Arial"/>
        </w:rPr>
      </w:pPr>
    </w:p>
    <w:p w:rsidR="00060A28" w:rsidRPr="00BE36D3" w:rsidRDefault="00F01E4F">
      <w:pPr>
        <w:spacing w:line="240" w:lineRule="auto"/>
        <w:contextualSpacing/>
        <w:jc w:val="both"/>
        <w:rPr>
          <w:rFonts w:ascii="Arial" w:hAnsi="Arial" w:cs="Arial"/>
        </w:rPr>
      </w:pPr>
      <w:r w:rsidRPr="00BE36D3">
        <w:rPr>
          <w:rFonts w:ascii="Arial" w:hAnsi="Arial" w:cs="Arial"/>
        </w:rPr>
        <w:t xml:space="preserve">En esta vigencia el porcentaje de contratos relacionados </w:t>
      </w:r>
      <w:r w:rsidR="00424967" w:rsidRPr="00BE36D3">
        <w:rPr>
          <w:rFonts w:ascii="Arial" w:hAnsi="Arial" w:cs="Arial"/>
        </w:rPr>
        <w:t>superó en un 41</w:t>
      </w:r>
      <w:r w:rsidR="00865C13">
        <w:rPr>
          <w:rFonts w:ascii="Arial" w:hAnsi="Arial" w:cs="Arial"/>
        </w:rPr>
        <w:t xml:space="preserve"> </w:t>
      </w:r>
      <w:r w:rsidR="00424967" w:rsidRPr="00BE36D3">
        <w:rPr>
          <w:rFonts w:ascii="Arial" w:hAnsi="Arial" w:cs="Arial"/>
        </w:rPr>
        <w:t xml:space="preserve">% el valor de los compromisos reportados por la </w:t>
      </w:r>
      <w:r w:rsidR="00865C13">
        <w:rPr>
          <w:rFonts w:ascii="Arial" w:hAnsi="Arial" w:cs="Arial"/>
        </w:rPr>
        <w:t>E</w:t>
      </w:r>
      <w:r w:rsidR="00424967" w:rsidRPr="00BE36D3">
        <w:rPr>
          <w:rFonts w:ascii="Arial" w:hAnsi="Arial" w:cs="Arial"/>
        </w:rPr>
        <w:t xml:space="preserve">ntidad </w:t>
      </w:r>
      <w:r w:rsidR="00865C13">
        <w:rPr>
          <w:rFonts w:ascii="Arial" w:hAnsi="Arial" w:cs="Arial"/>
        </w:rPr>
        <w:t>T</w:t>
      </w:r>
      <w:r w:rsidR="00424967" w:rsidRPr="00BE36D3">
        <w:rPr>
          <w:rFonts w:ascii="Arial" w:hAnsi="Arial" w:cs="Arial"/>
        </w:rPr>
        <w:t xml:space="preserve">erritorial. </w:t>
      </w:r>
      <w:r w:rsidR="004638E9" w:rsidRPr="00BE36D3">
        <w:rPr>
          <w:rFonts w:ascii="Arial" w:hAnsi="Arial" w:cs="Arial"/>
        </w:rPr>
        <w:t xml:space="preserve">La diferencia más llamativa se presentó en el componente de Libre Destinación en donde la </w:t>
      </w:r>
      <w:r w:rsidR="00865C13">
        <w:rPr>
          <w:rFonts w:ascii="Arial" w:hAnsi="Arial" w:cs="Arial"/>
        </w:rPr>
        <w:t>E</w:t>
      </w:r>
      <w:r w:rsidR="004638E9" w:rsidRPr="00BE36D3">
        <w:rPr>
          <w:rFonts w:ascii="Arial" w:hAnsi="Arial" w:cs="Arial"/>
        </w:rPr>
        <w:t xml:space="preserve">ntidad reportó compromisos por $1.110.689.418 mientras que la relación de contratos </w:t>
      </w:r>
      <w:r w:rsidR="00BE4B34" w:rsidRPr="00BE36D3">
        <w:rPr>
          <w:rFonts w:ascii="Arial" w:hAnsi="Arial" w:cs="Arial"/>
        </w:rPr>
        <w:t>remitida muestra que el valor de los contratos fue de $2.602.764.700.</w:t>
      </w:r>
    </w:p>
    <w:p w:rsidR="00C5770E" w:rsidRPr="00BE36D3" w:rsidRDefault="00C5770E">
      <w:pPr>
        <w:spacing w:line="240" w:lineRule="auto"/>
        <w:contextualSpacing/>
        <w:jc w:val="both"/>
        <w:rPr>
          <w:rFonts w:ascii="Arial" w:hAnsi="Arial" w:cs="Arial"/>
        </w:rPr>
      </w:pPr>
    </w:p>
    <w:p w:rsidR="00A967E8" w:rsidRDefault="005173D4">
      <w:pPr>
        <w:spacing w:line="240" w:lineRule="auto"/>
        <w:contextualSpacing/>
        <w:jc w:val="both"/>
        <w:rPr>
          <w:rFonts w:ascii="Arial" w:hAnsi="Arial" w:cs="Arial"/>
        </w:rPr>
      </w:pPr>
      <w:r w:rsidRPr="00BE36D3">
        <w:rPr>
          <w:rFonts w:ascii="Arial" w:hAnsi="Arial" w:cs="Arial"/>
        </w:rPr>
        <w:t xml:space="preserve">Los contratos que se tomaron como muestra para el análisis </w:t>
      </w:r>
      <w:r w:rsidR="00663C4D" w:rsidRPr="00BE36D3">
        <w:rPr>
          <w:rFonts w:ascii="Arial" w:hAnsi="Arial" w:cs="Arial"/>
        </w:rPr>
        <w:t xml:space="preserve">en el Informe DNP </w:t>
      </w:r>
      <w:r w:rsidRPr="00BE36D3">
        <w:rPr>
          <w:rFonts w:ascii="Arial" w:hAnsi="Arial" w:cs="Arial"/>
        </w:rPr>
        <w:t>fueron los siguientes:</w:t>
      </w:r>
    </w:p>
    <w:p w:rsidR="00F4471B" w:rsidRPr="00BE36D3" w:rsidRDefault="00F4471B">
      <w:pPr>
        <w:spacing w:line="240" w:lineRule="auto"/>
        <w:contextualSpacing/>
        <w:jc w:val="both"/>
        <w:rPr>
          <w:rFonts w:ascii="Arial" w:hAnsi="Arial" w:cs="Arial"/>
        </w:rPr>
      </w:pPr>
    </w:p>
    <w:p w:rsidR="00681E7D" w:rsidRPr="00BE36D3" w:rsidRDefault="00681E7D">
      <w:pPr>
        <w:pStyle w:val="Prrafodelista"/>
        <w:spacing w:after="0" w:line="240" w:lineRule="auto"/>
        <w:jc w:val="center"/>
        <w:rPr>
          <w:rFonts w:ascii="Arial" w:hAnsi="Arial" w:cs="Arial"/>
          <w:b/>
          <w:bCs/>
          <w:sz w:val="20"/>
          <w:szCs w:val="20"/>
        </w:rPr>
      </w:pPr>
      <w:r w:rsidRPr="00BE36D3">
        <w:rPr>
          <w:rFonts w:ascii="Arial" w:hAnsi="Arial" w:cs="Arial"/>
          <w:b/>
          <w:bCs/>
          <w:sz w:val="20"/>
          <w:szCs w:val="20"/>
        </w:rPr>
        <w:t xml:space="preserve">Cuadro No. </w:t>
      </w:r>
      <w:r w:rsidR="00C9485B" w:rsidRPr="00BE36D3">
        <w:rPr>
          <w:rFonts w:ascii="Arial" w:hAnsi="Arial" w:cs="Arial"/>
          <w:b/>
          <w:bCs/>
          <w:sz w:val="20"/>
          <w:szCs w:val="20"/>
        </w:rPr>
        <w:t>1</w:t>
      </w:r>
      <w:r w:rsidR="002E737F" w:rsidRPr="00BE36D3">
        <w:rPr>
          <w:rFonts w:ascii="Arial" w:hAnsi="Arial" w:cs="Arial"/>
          <w:b/>
          <w:bCs/>
          <w:sz w:val="20"/>
          <w:szCs w:val="20"/>
        </w:rPr>
        <w:t>2</w:t>
      </w:r>
    </w:p>
    <w:p w:rsidR="00681E7D" w:rsidRPr="00BE36D3" w:rsidRDefault="00681E7D">
      <w:pPr>
        <w:pStyle w:val="Prrafodelista"/>
        <w:spacing w:after="0" w:line="240" w:lineRule="auto"/>
        <w:jc w:val="center"/>
        <w:rPr>
          <w:rFonts w:ascii="Arial" w:hAnsi="Arial" w:cs="Arial"/>
          <w:sz w:val="20"/>
          <w:szCs w:val="20"/>
        </w:rPr>
      </w:pPr>
      <w:r w:rsidRPr="00BE36D3">
        <w:rPr>
          <w:rFonts w:ascii="Arial" w:hAnsi="Arial" w:cs="Arial"/>
          <w:sz w:val="20"/>
          <w:szCs w:val="20"/>
        </w:rPr>
        <w:t>Contrato</w:t>
      </w:r>
      <w:r w:rsidR="000B2A75" w:rsidRPr="00BE36D3">
        <w:rPr>
          <w:rFonts w:ascii="Arial" w:hAnsi="Arial" w:cs="Arial"/>
          <w:sz w:val="20"/>
          <w:szCs w:val="20"/>
        </w:rPr>
        <w:t>s</w:t>
      </w:r>
      <w:r w:rsidR="00865C13">
        <w:rPr>
          <w:rFonts w:ascii="Arial" w:hAnsi="Arial" w:cs="Arial"/>
          <w:sz w:val="20"/>
          <w:szCs w:val="20"/>
        </w:rPr>
        <w:t xml:space="preserve"> </w:t>
      </w:r>
      <w:r w:rsidRPr="00BE36D3">
        <w:rPr>
          <w:rFonts w:ascii="Arial" w:hAnsi="Arial" w:cs="Arial"/>
          <w:sz w:val="20"/>
          <w:szCs w:val="20"/>
        </w:rPr>
        <w:t>- Propósito General</w:t>
      </w:r>
    </w:p>
    <w:p w:rsidR="00681E7D" w:rsidRPr="00BE36D3" w:rsidRDefault="00681E7D">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tbl>
      <w:tblPr>
        <w:tblStyle w:val="Tablaconcuadrcula"/>
        <w:tblW w:w="9511" w:type="dxa"/>
        <w:tblLayout w:type="fixed"/>
        <w:tblLook w:val="06A0" w:firstRow="1" w:lastRow="0" w:firstColumn="1" w:lastColumn="0" w:noHBand="1" w:noVBand="1"/>
      </w:tblPr>
      <w:tblGrid>
        <w:gridCol w:w="1325"/>
        <w:gridCol w:w="1884"/>
        <w:gridCol w:w="3190"/>
        <w:gridCol w:w="3112"/>
      </w:tblGrid>
      <w:tr w:rsidR="1C3E45D9" w:rsidRPr="00C5770E" w:rsidTr="00F4471B">
        <w:trPr>
          <w:trHeight w:val="512"/>
          <w:tblHeader/>
        </w:trPr>
        <w:tc>
          <w:tcPr>
            <w:tcW w:w="1325" w:type="dxa"/>
            <w:tcBorders>
              <w:top w:val="single" w:sz="8" w:space="0" w:color="auto"/>
              <w:left w:val="single" w:sz="8" w:space="0" w:color="auto"/>
              <w:bottom w:val="single" w:sz="8" w:space="0" w:color="auto"/>
              <w:right w:val="single" w:sz="8" w:space="0" w:color="auto"/>
            </w:tcBorders>
            <w:shd w:val="clear" w:color="auto" w:fill="666699"/>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FFFFFF" w:themeColor="background1"/>
                <w:sz w:val="16"/>
                <w:szCs w:val="16"/>
              </w:rPr>
              <w:t>Número del proceso</w:t>
            </w:r>
          </w:p>
        </w:tc>
        <w:tc>
          <w:tcPr>
            <w:tcW w:w="8186" w:type="dxa"/>
            <w:gridSpan w:val="3"/>
            <w:tcBorders>
              <w:top w:val="single" w:sz="8" w:space="0" w:color="auto"/>
              <w:left w:val="single" w:sz="8" w:space="0" w:color="auto"/>
              <w:bottom w:val="single" w:sz="8" w:space="0" w:color="auto"/>
              <w:right w:val="single" w:sz="8" w:space="0" w:color="000000" w:themeColor="text1"/>
            </w:tcBorders>
            <w:shd w:val="clear" w:color="auto" w:fill="666699"/>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FFFFFF" w:themeColor="background1"/>
                <w:sz w:val="16"/>
                <w:szCs w:val="16"/>
              </w:rPr>
              <w:t xml:space="preserve">Información general </w:t>
            </w:r>
          </w:p>
        </w:tc>
      </w:tr>
      <w:tr w:rsidR="1C3E45D9" w:rsidRPr="00C5770E" w:rsidTr="00E34545">
        <w:trPr>
          <w:trHeight w:val="1102"/>
        </w:trPr>
        <w:tc>
          <w:tcPr>
            <w:tcW w:w="1325" w:type="dxa"/>
            <w:vMerge w:val="restart"/>
            <w:tcBorders>
              <w:top w:val="single" w:sz="8" w:space="0" w:color="auto"/>
              <w:left w:val="single" w:sz="8" w:space="0" w:color="auto"/>
              <w:bottom w:val="single" w:sz="8" w:space="0" w:color="000000" w:themeColor="text1"/>
              <w:right w:val="single" w:sz="4" w:space="0" w:color="auto"/>
            </w:tcBorders>
            <w:shd w:val="clear" w:color="auto" w:fill="666699"/>
            <w:vAlign w:val="center"/>
          </w:tcPr>
          <w:p w:rsidR="1C3E45D9" w:rsidRPr="00BE36D3" w:rsidRDefault="1C3E45D9">
            <w:pPr>
              <w:contextualSpacing/>
              <w:jc w:val="center"/>
              <w:rPr>
                <w:rFonts w:ascii="Arial" w:hAnsi="Arial" w:cs="Arial"/>
                <w:sz w:val="16"/>
                <w:szCs w:val="16"/>
              </w:rPr>
            </w:pPr>
            <w:r w:rsidRPr="00BE36D3">
              <w:rPr>
                <w:rFonts w:ascii="Arial" w:eastAsia="Arial Narrow" w:hAnsi="Arial" w:cs="Arial"/>
                <w:b/>
                <w:bCs/>
                <w:color w:val="FFFFFF" w:themeColor="background1"/>
                <w:sz w:val="16"/>
                <w:szCs w:val="16"/>
              </w:rPr>
              <w:t>MST-MIN-</w:t>
            </w:r>
            <w:r w:rsidR="167CDBC2" w:rsidRPr="00BE36D3">
              <w:rPr>
                <w:rFonts w:ascii="Arial" w:eastAsia="Arial Narrow" w:hAnsi="Arial" w:cs="Arial"/>
                <w:b/>
                <w:bCs/>
                <w:color w:val="FFFFFF" w:themeColor="background1"/>
                <w:sz w:val="16"/>
                <w:szCs w:val="16"/>
              </w:rPr>
              <w:t>01</w:t>
            </w:r>
            <w:r w:rsidR="12F682CC" w:rsidRPr="00BE36D3">
              <w:rPr>
                <w:rFonts w:ascii="Arial" w:eastAsia="Arial Narrow" w:hAnsi="Arial" w:cs="Arial"/>
                <w:b/>
                <w:bCs/>
                <w:color w:val="FFFFFF" w:themeColor="background1"/>
                <w:sz w:val="16"/>
                <w:szCs w:val="16"/>
              </w:rPr>
              <w:t>9</w:t>
            </w:r>
            <w:r w:rsidRPr="00BE36D3">
              <w:rPr>
                <w:rFonts w:ascii="Arial" w:eastAsia="Arial Narrow" w:hAnsi="Arial" w:cs="Arial"/>
                <w:b/>
                <w:bCs/>
                <w:color w:val="FFFFFF" w:themeColor="background1"/>
                <w:sz w:val="16"/>
                <w:szCs w:val="16"/>
              </w:rPr>
              <w:t>-2018</w:t>
            </w:r>
          </w:p>
        </w:tc>
        <w:tc>
          <w:tcPr>
            <w:tcW w:w="1884" w:type="dxa"/>
            <w:tcBorders>
              <w:top w:val="single" w:sz="8" w:space="0" w:color="auto"/>
              <w:left w:val="single" w:sz="4" w:space="0" w:color="auto"/>
              <w:bottom w:val="single" w:sz="4" w:space="0" w:color="auto"/>
              <w:right w:val="single" w:sz="4" w:space="0" w:color="000000" w:themeColor="text1"/>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Objeto</w:t>
            </w:r>
          </w:p>
        </w:tc>
        <w:tc>
          <w:tcPr>
            <w:tcW w:w="3190" w:type="dxa"/>
            <w:tcBorders>
              <w:top w:val="nil"/>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i/>
                <w:iCs/>
                <w:color w:val="000000" w:themeColor="text1"/>
                <w:sz w:val="16"/>
                <w:szCs w:val="16"/>
              </w:rPr>
              <w:t>PRESTACION DE SERVICIOS DE APOYO LOGISTICO PARA EL DESARROLLO DE ACTIVIDADES DEP</w:t>
            </w:r>
            <w:r w:rsidR="00B77C59" w:rsidRPr="00BE36D3">
              <w:rPr>
                <w:rFonts w:ascii="Arial" w:eastAsia="Arial" w:hAnsi="Arial" w:cs="Arial"/>
                <w:i/>
                <w:iCs/>
                <w:color w:val="000000" w:themeColor="text1"/>
                <w:sz w:val="16"/>
                <w:szCs w:val="16"/>
              </w:rPr>
              <w:t>OR</w:t>
            </w:r>
            <w:r w:rsidRPr="00BE36D3">
              <w:rPr>
                <w:rFonts w:ascii="Arial" w:eastAsia="Arial" w:hAnsi="Arial" w:cs="Arial"/>
                <w:i/>
                <w:iCs/>
                <w:color w:val="000000" w:themeColor="text1"/>
                <w:sz w:val="16"/>
                <w:szCs w:val="16"/>
              </w:rPr>
              <w:t>TIVAS DIRIGIDA A LAS MUJERES DEL MUNICIPIO DE SANTIAGO DE TOLÚ, VIGENCIA 2018</w:t>
            </w:r>
          </w:p>
        </w:tc>
        <w:tc>
          <w:tcPr>
            <w:tcW w:w="3111" w:type="dxa"/>
            <w:tcBorders>
              <w:top w:val="nil"/>
              <w:left w:val="single" w:sz="4" w:space="0" w:color="auto"/>
              <w:bottom w:val="single" w:sz="4" w:space="0" w:color="auto"/>
              <w:right w:val="single" w:sz="8" w:space="0" w:color="000000" w:themeColor="text1"/>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Actividades</w:t>
            </w:r>
            <w:r w:rsidR="5C7F9C23" w:rsidRPr="00BE36D3">
              <w:rPr>
                <w:rFonts w:ascii="Arial" w:eastAsia="Arial" w:hAnsi="Arial" w:cs="Arial"/>
                <w:b/>
                <w:bCs/>
                <w:color w:val="000000" w:themeColor="text1"/>
                <w:sz w:val="16"/>
                <w:szCs w:val="16"/>
              </w:rPr>
              <w:t xml:space="preserve"> (1)</w:t>
            </w:r>
          </w:p>
        </w:tc>
      </w:tr>
      <w:tr w:rsidR="1C3E45D9" w:rsidRPr="00C5770E" w:rsidTr="00E34545">
        <w:trPr>
          <w:trHeight w:val="254"/>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Valor</w:t>
            </w:r>
          </w:p>
        </w:tc>
        <w:tc>
          <w:tcPr>
            <w:tcW w:w="3190" w:type="dxa"/>
            <w:tcBorders>
              <w:top w:val="single" w:sz="4"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$21.825.400</w:t>
            </w:r>
          </w:p>
        </w:tc>
        <w:tc>
          <w:tcPr>
            <w:tcW w:w="3111" w:type="dxa"/>
            <w:vMerge w:val="restart"/>
            <w:tcBorders>
              <w:top w:val="single" w:sz="4" w:space="0" w:color="auto"/>
              <w:left w:val="single" w:sz="4" w:space="0" w:color="auto"/>
              <w:bottom w:val="single" w:sz="8" w:space="0" w:color="000000" w:themeColor="text1"/>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Kits, instructor, animador, bebidas, personal de apoyo logístico</w:t>
            </w:r>
          </w:p>
        </w:tc>
      </w:tr>
      <w:tr w:rsidR="1C3E45D9" w:rsidRPr="00C5770E" w:rsidTr="53368DE7">
        <w:trPr>
          <w:trHeight w:val="292"/>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Plazo</w:t>
            </w:r>
          </w:p>
        </w:tc>
        <w:tc>
          <w:tcPr>
            <w:tcW w:w="3190" w:type="dxa"/>
            <w:tcBorders>
              <w:top w:val="single" w:sz="4"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 xml:space="preserve">2 días </w:t>
            </w:r>
          </w:p>
        </w:tc>
        <w:tc>
          <w:tcPr>
            <w:tcW w:w="3111" w:type="dxa"/>
            <w:vMerge/>
            <w:vAlign w:val="center"/>
          </w:tcPr>
          <w:p w:rsidR="002F25EF" w:rsidRPr="00BE36D3" w:rsidRDefault="002F25EF">
            <w:pPr>
              <w:contextualSpacing/>
              <w:rPr>
                <w:rFonts w:ascii="Arial" w:hAnsi="Arial" w:cs="Arial"/>
                <w:sz w:val="16"/>
                <w:szCs w:val="16"/>
              </w:rPr>
            </w:pPr>
          </w:p>
        </w:tc>
      </w:tr>
      <w:tr w:rsidR="1C3E45D9" w:rsidRPr="00C5770E" w:rsidTr="53368DE7">
        <w:trPr>
          <w:trHeight w:val="292"/>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Contratista</w:t>
            </w:r>
          </w:p>
        </w:tc>
        <w:tc>
          <w:tcPr>
            <w:tcW w:w="3190" w:type="dxa"/>
            <w:tcBorders>
              <w:top w:val="single" w:sz="4"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 xml:space="preserve">FUNDACIÓN MAMA ROQUE </w:t>
            </w:r>
          </w:p>
        </w:tc>
        <w:tc>
          <w:tcPr>
            <w:tcW w:w="3111" w:type="dxa"/>
            <w:vMerge/>
            <w:vAlign w:val="center"/>
          </w:tcPr>
          <w:p w:rsidR="002F25EF" w:rsidRPr="00BE36D3" w:rsidRDefault="002F25EF">
            <w:pPr>
              <w:contextualSpacing/>
              <w:rPr>
                <w:rFonts w:ascii="Arial" w:hAnsi="Arial" w:cs="Arial"/>
                <w:sz w:val="16"/>
                <w:szCs w:val="16"/>
              </w:rPr>
            </w:pPr>
          </w:p>
        </w:tc>
      </w:tr>
      <w:tr w:rsidR="1C3E45D9" w:rsidRPr="00C5770E" w:rsidTr="53368DE7">
        <w:trPr>
          <w:trHeight w:val="717"/>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8" w:space="0" w:color="auto"/>
              <w:right w:val="single" w:sz="4" w:space="0" w:color="auto"/>
            </w:tcBorders>
            <w:shd w:val="clear" w:color="auto" w:fill="CCCCFF"/>
            <w:vAlign w:val="center"/>
          </w:tcPr>
          <w:p w:rsidR="1C3E45D9" w:rsidRPr="00BE36D3" w:rsidRDefault="00EA5464">
            <w:pPr>
              <w:contextualSpacing/>
              <w:jc w:val="center"/>
              <w:rPr>
                <w:rFonts w:ascii="Arial" w:hAnsi="Arial" w:cs="Arial"/>
                <w:sz w:val="16"/>
                <w:szCs w:val="16"/>
              </w:rPr>
            </w:pPr>
            <w:r w:rsidRPr="00BE36D3">
              <w:rPr>
                <w:rFonts w:ascii="Arial" w:eastAsia="Arial" w:hAnsi="Arial" w:cs="Arial"/>
                <w:b/>
                <w:bCs/>
                <w:color w:val="000000" w:themeColor="text1"/>
                <w:sz w:val="16"/>
                <w:szCs w:val="16"/>
              </w:rPr>
              <w:t>Enlace</w:t>
            </w:r>
            <w:r w:rsidR="1C3E45D9" w:rsidRPr="00BE36D3">
              <w:rPr>
                <w:rFonts w:ascii="Arial" w:eastAsia="Arial" w:hAnsi="Arial" w:cs="Arial"/>
                <w:b/>
                <w:bCs/>
                <w:color w:val="000000" w:themeColor="text1"/>
                <w:sz w:val="16"/>
                <w:szCs w:val="16"/>
              </w:rPr>
              <w:t xml:space="preserve"> SECOP</w:t>
            </w:r>
          </w:p>
        </w:tc>
        <w:tc>
          <w:tcPr>
            <w:tcW w:w="3190" w:type="dxa"/>
            <w:tcBorders>
              <w:top w:val="single" w:sz="4" w:space="0" w:color="auto"/>
              <w:left w:val="single" w:sz="4" w:space="0" w:color="auto"/>
              <w:bottom w:val="single" w:sz="8" w:space="0" w:color="auto"/>
              <w:right w:val="single" w:sz="4" w:space="0" w:color="auto"/>
            </w:tcBorders>
            <w:vAlign w:val="center"/>
          </w:tcPr>
          <w:p w:rsidR="1C3E45D9" w:rsidRPr="00BE36D3" w:rsidRDefault="004A4F20">
            <w:pPr>
              <w:contextualSpacing/>
              <w:jc w:val="center"/>
              <w:rPr>
                <w:rFonts w:ascii="Arial" w:hAnsi="Arial" w:cs="Arial"/>
                <w:sz w:val="16"/>
                <w:szCs w:val="16"/>
              </w:rPr>
            </w:pPr>
            <w:hyperlink r:id="rId22">
              <w:r w:rsidR="1C3E45D9" w:rsidRPr="00BE36D3">
                <w:rPr>
                  <w:rStyle w:val="Hipervnculo"/>
                  <w:rFonts w:ascii="Arial" w:eastAsia="Calibri" w:hAnsi="Arial" w:cs="Arial"/>
                  <w:color w:val="0563C1"/>
                  <w:sz w:val="16"/>
                  <w:szCs w:val="16"/>
                </w:rPr>
                <w:t>https://www.contratos.gov.co/consultas/detalleProceso.do?numConstancia=18-13-7963040</w:t>
              </w:r>
            </w:hyperlink>
          </w:p>
        </w:tc>
        <w:tc>
          <w:tcPr>
            <w:tcW w:w="3111" w:type="dxa"/>
            <w:vMerge/>
            <w:vAlign w:val="center"/>
          </w:tcPr>
          <w:p w:rsidR="002F25EF" w:rsidRPr="00BE36D3" w:rsidRDefault="002F25EF">
            <w:pPr>
              <w:contextualSpacing/>
              <w:rPr>
                <w:rFonts w:ascii="Arial" w:hAnsi="Arial" w:cs="Arial"/>
                <w:sz w:val="16"/>
                <w:szCs w:val="16"/>
              </w:rPr>
            </w:pPr>
          </w:p>
        </w:tc>
      </w:tr>
      <w:tr w:rsidR="1C3E45D9" w:rsidRPr="00C5770E" w:rsidTr="00E34545">
        <w:trPr>
          <w:trHeight w:val="1198"/>
        </w:trPr>
        <w:tc>
          <w:tcPr>
            <w:tcW w:w="1325" w:type="dxa"/>
            <w:vMerge w:val="restart"/>
            <w:tcBorders>
              <w:top w:val="nil"/>
              <w:left w:val="single" w:sz="8" w:space="0" w:color="auto"/>
              <w:bottom w:val="single" w:sz="8" w:space="0" w:color="000000" w:themeColor="text1"/>
              <w:right w:val="single" w:sz="4" w:space="0" w:color="auto"/>
            </w:tcBorders>
            <w:shd w:val="clear" w:color="auto" w:fill="666699"/>
            <w:vAlign w:val="center"/>
          </w:tcPr>
          <w:p w:rsidR="1C3E45D9" w:rsidRPr="00BE36D3" w:rsidRDefault="1C3E45D9">
            <w:pPr>
              <w:contextualSpacing/>
              <w:jc w:val="center"/>
              <w:rPr>
                <w:rFonts w:ascii="Arial" w:hAnsi="Arial" w:cs="Arial"/>
                <w:sz w:val="16"/>
                <w:szCs w:val="16"/>
              </w:rPr>
            </w:pPr>
            <w:r w:rsidRPr="00BE36D3">
              <w:rPr>
                <w:rFonts w:ascii="Arial" w:eastAsia="Arial Narrow" w:hAnsi="Arial" w:cs="Arial"/>
                <w:b/>
                <w:bCs/>
                <w:color w:val="FFFFFF" w:themeColor="background1"/>
                <w:sz w:val="16"/>
                <w:szCs w:val="16"/>
              </w:rPr>
              <w:t>MST-MIN-065-2018</w:t>
            </w:r>
          </w:p>
        </w:tc>
        <w:tc>
          <w:tcPr>
            <w:tcW w:w="1884" w:type="dxa"/>
            <w:tcBorders>
              <w:top w:val="single" w:sz="8" w:space="0" w:color="auto"/>
              <w:left w:val="single" w:sz="4" w:space="0" w:color="auto"/>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Objeto</w:t>
            </w:r>
          </w:p>
        </w:tc>
        <w:tc>
          <w:tcPr>
            <w:tcW w:w="3190" w:type="dxa"/>
            <w:tcBorders>
              <w:top w:val="single" w:sz="8"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i/>
                <w:iCs/>
                <w:color w:val="000000" w:themeColor="text1"/>
                <w:sz w:val="16"/>
                <w:szCs w:val="16"/>
              </w:rPr>
              <w:t>PRESTACION DE SERVICIO PARA LA IMPLEMENTACION DE CAMPAÑA PREVENTIVA CONTRA EL USO DE PÓLVORA DURANTE EL MES DE DICIEMBRE EN EL MUNICIPIO DE SANTIAGO DE TOLU.</w:t>
            </w:r>
          </w:p>
        </w:tc>
        <w:tc>
          <w:tcPr>
            <w:tcW w:w="3111" w:type="dxa"/>
            <w:tcBorders>
              <w:top w:val="nil"/>
              <w:left w:val="single" w:sz="4" w:space="0" w:color="auto"/>
              <w:bottom w:val="single" w:sz="4" w:space="0" w:color="auto"/>
              <w:right w:val="single" w:sz="8" w:space="0" w:color="auto"/>
            </w:tcBorders>
            <w:shd w:val="clear" w:color="auto" w:fill="CCCCFF"/>
            <w:vAlign w:val="center"/>
          </w:tcPr>
          <w:p w:rsidR="1C3E45D9" w:rsidRPr="00BE36D3" w:rsidRDefault="1C3E45D9">
            <w:pPr>
              <w:contextualSpacing/>
              <w:jc w:val="center"/>
              <w:rPr>
                <w:rFonts w:ascii="Arial" w:eastAsia="Arial" w:hAnsi="Arial" w:cs="Arial"/>
                <w:b/>
                <w:bCs/>
                <w:color w:val="000000" w:themeColor="text1"/>
                <w:sz w:val="16"/>
                <w:szCs w:val="16"/>
              </w:rPr>
            </w:pPr>
            <w:r w:rsidRPr="00BE36D3">
              <w:rPr>
                <w:rFonts w:ascii="Arial" w:eastAsia="Arial" w:hAnsi="Arial" w:cs="Arial"/>
                <w:b/>
                <w:bCs/>
                <w:color w:val="000000" w:themeColor="text1"/>
                <w:sz w:val="16"/>
                <w:szCs w:val="16"/>
              </w:rPr>
              <w:t xml:space="preserve">Actividades </w:t>
            </w:r>
            <w:r w:rsidR="7AB07E38" w:rsidRPr="00BE36D3">
              <w:rPr>
                <w:rFonts w:ascii="Arial" w:eastAsia="Arial" w:hAnsi="Arial" w:cs="Arial"/>
                <w:b/>
                <w:bCs/>
                <w:color w:val="000000" w:themeColor="text1"/>
                <w:sz w:val="16"/>
                <w:szCs w:val="16"/>
              </w:rPr>
              <w:t>(1)</w:t>
            </w:r>
          </w:p>
        </w:tc>
      </w:tr>
      <w:tr w:rsidR="1C3E45D9" w:rsidRPr="00C5770E" w:rsidTr="53368DE7">
        <w:trPr>
          <w:trHeight w:val="292"/>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Valor</w:t>
            </w:r>
          </w:p>
        </w:tc>
        <w:tc>
          <w:tcPr>
            <w:tcW w:w="3190" w:type="dxa"/>
            <w:tcBorders>
              <w:top w:val="single" w:sz="4"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$16.827.500</w:t>
            </w:r>
          </w:p>
        </w:tc>
        <w:tc>
          <w:tcPr>
            <w:tcW w:w="3111" w:type="dxa"/>
            <w:vMerge w:val="restart"/>
            <w:tcBorders>
              <w:top w:val="single" w:sz="4" w:space="0" w:color="auto"/>
              <w:left w:val="single" w:sz="4" w:space="0" w:color="auto"/>
              <w:bottom w:val="single" w:sz="8" w:space="0" w:color="000000" w:themeColor="text1"/>
              <w:right w:val="single" w:sz="8"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Calibri" w:hAnsi="Arial" w:cs="Arial"/>
                <w:color w:val="000000" w:themeColor="text1"/>
                <w:sz w:val="16"/>
                <w:szCs w:val="16"/>
              </w:rPr>
              <w:t>Recurso humano, material publicitario, camisetas, refrigerios, kits sorpresas para visitantes.</w:t>
            </w:r>
          </w:p>
        </w:tc>
      </w:tr>
      <w:tr w:rsidR="1C3E45D9" w:rsidRPr="00C5770E" w:rsidTr="53368DE7">
        <w:trPr>
          <w:trHeight w:val="292"/>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Plazo</w:t>
            </w:r>
          </w:p>
        </w:tc>
        <w:tc>
          <w:tcPr>
            <w:tcW w:w="3190" w:type="dxa"/>
            <w:tcBorders>
              <w:top w:val="single" w:sz="4"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 xml:space="preserve">10 días </w:t>
            </w:r>
          </w:p>
        </w:tc>
        <w:tc>
          <w:tcPr>
            <w:tcW w:w="3111" w:type="dxa"/>
            <w:vMerge/>
            <w:vAlign w:val="center"/>
          </w:tcPr>
          <w:p w:rsidR="002F25EF" w:rsidRPr="00BE36D3" w:rsidRDefault="002F25EF">
            <w:pPr>
              <w:contextualSpacing/>
              <w:rPr>
                <w:rFonts w:ascii="Arial" w:hAnsi="Arial" w:cs="Arial"/>
                <w:sz w:val="16"/>
                <w:szCs w:val="16"/>
              </w:rPr>
            </w:pPr>
          </w:p>
        </w:tc>
      </w:tr>
      <w:tr w:rsidR="1C3E45D9" w:rsidRPr="00C5770E" w:rsidTr="53368DE7">
        <w:trPr>
          <w:trHeight w:val="292"/>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Contratista</w:t>
            </w:r>
          </w:p>
        </w:tc>
        <w:tc>
          <w:tcPr>
            <w:tcW w:w="3190" w:type="dxa"/>
            <w:tcBorders>
              <w:top w:val="single" w:sz="4"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EVENTOS TERA</w:t>
            </w:r>
          </w:p>
        </w:tc>
        <w:tc>
          <w:tcPr>
            <w:tcW w:w="3111" w:type="dxa"/>
            <w:vMerge/>
            <w:vAlign w:val="center"/>
          </w:tcPr>
          <w:p w:rsidR="002F25EF" w:rsidRPr="00BE36D3" w:rsidRDefault="002F25EF">
            <w:pPr>
              <w:contextualSpacing/>
              <w:rPr>
                <w:rFonts w:ascii="Arial" w:hAnsi="Arial" w:cs="Arial"/>
                <w:sz w:val="16"/>
                <w:szCs w:val="16"/>
              </w:rPr>
            </w:pPr>
          </w:p>
        </w:tc>
      </w:tr>
      <w:tr w:rsidR="1C3E45D9" w:rsidRPr="00C5770E" w:rsidTr="53368DE7">
        <w:trPr>
          <w:trHeight w:val="599"/>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8" w:space="0" w:color="auto"/>
              <w:right w:val="single" w:sz="4" w:space="0" w:color="auto"/>
            </w:tcBorders>
            <w:shd w:val="clear" w:color="auto" w:fill="CCCCFF"/>
            <w:vAlign w:val="center"/>
          </w:tcPr>
          <w:p w:rsidR="1C3E45D9" w:rsidRPr="00BE36D3" w:rsidRDefault="00EA5464">
            <w:pPr>
              <w:contextualSpacing/>
              <w:jc w:val="center"/>
              <w:rPr>
                <w:rFonts w:ascii="Arial" w:hAnsi="Arial" w:cs="Arial"/>
                <w:sz w:val="16"/>
                <w:szCs w:val="16"/>
              </w:rPr>
            </w:pPr>
            <w:r w:rsidRPr="00BE36D3">
              <w:rPr>
                <w:rFonts w:ascii="Arial" w:eastAsia="Arial" w:hAnsi="Arial" w:cs="Arial"/>
                <w:b/>
                <w:bCs/>
                <w:color w:val="000000" w:themeColor="text1"/>
                <w:sz w:val="16"/>
                <w:szCs w:val="16"/>
              </w:rPr>
              <w:t>Enlace</w:t>
            </w:r>
            <w:r w:rsidR="1C3E45D9" w:rsidRPr="00BE36D3">
              <w:rPr>
                <w:rFonts w:ascii="Arial" w:eastAsia="Arial" w:hAnsi="Arial" w:cs="Arial"/>
                <w:b/>
                <w:bCs/>
                <w:color w:val="000000" w:themeColor="text1"/>
                <w:sz w:val="16"/>
                <w:szCs w:val="16"/>
              </w:rPr>
              <w:t xml:space="preserve"> SECOP</w:t>
            </w:r>
          </w:p>
        </w:tc>
        <w:tc>
          <w:tcPr>
            <w:tcW w:w="3190" w:type="dxa"/>
            <w:tcBorders>
              <w:top w:val="single" w:sz="4" w:space="0" w:color="auto"/>
              <w:left w:val="single" w:sz="4" w:space="0" w:color="auto"/>
              <w:bottom w:val="single" w:sz="8" w:space="0" w:color="auto"/>
              <w:right w:val="single" w:sz="4" w:space="0" w:color="auto"/>
            </w:tcBorders>
            <w:vAlign w:val="center"/>
          </w:tcPr>
          <w:p w:rsidR="1C3E45D9" w:rsidRPr="00BE36D3" w:rsidRDefault="004A4F20">
            <w:pPr>
              <w:contextualSpacing/>
              <w:jc w:val="center"/>
              <w:rPr>
                <w:rFonts w:ascii="Arial" w:hAnsi="Arial" w:cs="Arial"/>
                <w:sz w:val="16"/>
                <w:szCs w:val="16"/>
              </w:rPr>
            </w:pPr>
            <w:hyperlink r:id="rId23">
              <w:r w:rsidR="1C3E45D9" w:rsidRPr="00BE36D3">
                <w:rPr>
                  <w:rStyle w:val="Hipervnculo"/>
                  <w:rFonts w:ascii="Arial" w:eastAsia="Calibri" w:hAnsi="Arial" w:cs="Arial"/>
                  <w:color w:val="0563C1"/>
                  <w:sz w:val="16"/>
                  <w:szCs w:val="16"/>
                </w:rPr>
                <w:t>https://www.contratos.gov.co/consultas/detalleProceso.do?numConstancia=18-13-8704091</w:t>
              </w:r>
            </w:hyperlink>
          </w:p>
        </w:tc>
        <w:tc>
          <w:tcPr>
            <w:tcW w:w="3111" w:type="dxa"/>
            <w:vMerge/>
            <w:vAlign w:val="center"/>
          </w:tcPr>
          <w:p w:rsidR="002F25EF" w:rsidRPr="00BE36D3" w:rsidRDefault="002F25EF">
            <w:pPr>
              <w:contextualSpacing/>
              <w:rPr>
                <w:rFonts w:ascii="Arial" w:hAnsi="Arial" w:cs="Arial"/>
                <w:sz w:val="16"/>
                <w:szCs w:val="16"/>
              </w:rPr>
            </w:pPr>
          </w:p>
        </w:tc>
      </w:tr>
      <w:tr w:rsidR="1C3E45D9" w:rsidRPr="00C5770E" w:rsidTr="00E34545">
        <w:trPr>
          <w:trHeight w:val="1408"/>
        </w:trPr>
        <w:tc>
          <w:tcPr>
            <w:tcW w:w="1325" w:type="dxa"/>
            <w:vMerge w:val="restart"/>
            <w:tcBorders>
              <w:top w:val="nil"/>
              <w:left w:val="single" w:sz="8" w:space="0" w:color="auto"/>
              <w:bottom w:val="single" w:sz="8" w:space="0" w:color="000000" w:themeColor="text1"/>
              <w:right w:val="single" w:sz="4" w:space="0" w:color="auto"/>
            </w:tcBorders>
            <w:shd w:val="clear" w:color="auto" w:fill="666699"/>
            <w:vAlign w:val="center"/>
          </w:tcPr>
          <w:p w:rsidR="1C3E45D9" w:rsidRPr="00BE36D3" w:rsidRDefault="1C3E45D9">
            <w:pPr>
              <w:contextualSpacing/>
              <w:jc w:val="center"/>
              <w:rPr>
                <w:rFonts w:ascii="Arial" w:hAnsi="Arial" w:cs="Arial"/>
                <w:sz w:val="16"/>
                <w:szCs w:val="16"/>
              </w:rPr>
            </w:pPr>
            <w:r w:rsidRPr="00BE36D3">
              <w:rPr>
                <w:rFonts w:ascii="Arial" w:eastAsia="Arial Narrow" w:hAnsi="Arial" w:cs="Arial"/>
                <w:b/>
                <w:bCs/>
                <w:color w:val="FFFFFF" w:themeColor="background1"/>
                <w:sz w:val="16"/>
                <w:szCs w:val="16"/>
              </w:rPr>
              <w:t>MST-MIN-069-2018</w:t>
            </w:r>
          </w:p>
        </w:tc>
        <w:tc>
          <w:tcPr>
            <w:tcW w:w="1884" w:type="dxa"/>
            <w:tcBorders>
              <w:top w:val="single" w:sz="8" w:space="0" w:color="auto"/>
              <w:left w:val="single" w:sz="4" w:space="0" w:color="auto"/>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Objeto</w:t>
            </w:r>
          </w:p>
        </w:tc>
        <w:tc>
          <w:tcPr>
            <w:tcW w:w="3190" w:type="dxa"/>
            <w:tcBorders>
              <w:top w:val="single" w:sz="8"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i/>
                <w:iCs/>
                <w:color w:val="000000" w:themeColor="text1"/>
                <w:sz w:val="16"/>
                <w:szCs w:val="16"/>
              </w:rPr>
              <w:t>PRESTACION DE SERVICIO DE APOYO LOGÍSTICO PARA LA REALIZACION DE LA CLAUSURA DEL TORNEO DEPORTIVO DE F</w:t>
            </w:r>
            <w:r w:rsidR="00B77C59" w:rsidRPr="00BE36D3">
              <w:rPr>
                <w:rFonts w:ascii="Arial" w:eastAsia="Arial" w:hAnsi="Arial" w:cs="Arial"/>
                <w:i/>
                <w:iCs/>
                <w:color w:val="000000" w:themeColor="text1"/>
                <w:sz w:val="16"/>
                <w:szCs w:val="16"/>
              </w:rPr>
              <w:t>Ú</w:t>
            </w:r>
            <w:r w:rsidRPr="00BE36D3">
              <w:rPr>
                <w:rFonts w:ascii="Arial" w:eastAsia="Arial" w:hAnsi="Arial" w:cs="Arial"/>
                <w:i/>
                <w:iCs/>
                <w:color w:val="000000" w:themeColor="text1"/>
                <w:sz w:val="16"/>
                <w:szCs w:val="16"/>
              </w:rPr>
              <w:t>TBOL RECREATIVO “COPA ALCA</w:t>
            </w:r>
            <w:r w:rsidR="00F35597">
              <w:rPr>
                <w:rFonts w:ascii="Arial" w:eastAsia="Arial" w:hAnsi="Arial" w:cs="Arial"/>
                <w:i/>
                <w:iCs/>
                <w:color w:val="000000" w:themeColor="text1"/>
                <w:sz w:val="16"/>
                <w:szCs w:val="16"/>
              </w:rPr>
              <w:t>L</w:t>
            </w:r>
            <w:r w:rsidRPr="00BE36D3">
              <w:rPr>
                <w:rFonts w:ascii="Arial" w:eastAsia="Arial" w:hAnsi="Arial" w:cs="Arial"/>
                <w:i/>
                <w:iCs/>
                <w:color w:val="000000" w:themeColor="text1"/>
                <w:sz w:val="16"/>
                <w:szCs w:val="16"/>
              </w:rPr>
              <w:t>DIA” – SANTIAGO DE TOLÚ</w:t>
            </w:r>
          </w:p>
        </w:tc>
        <w:tc>
          <w:tcPr>
            <w:tcW w:w="3111" w:type="dxa"/>
            <w:tcBorders>
              <w:top w:val="nil"/>
              <w:left w:val="single" w:sz="4" w:space="0" w:color="auto"/>
              <w:bottom w:val="single" w:sz="4" w:space="0" w:color="auto"/>
              <w:right w:val="single" w:sz="8" w:space="0" w:color="auto"/>
            </w:tcBorders>
            <w:shd w:val="clear" w:color="auto" w:fill="CCCCFF"/>
            <w:vAlign w:val="center"/>
          </w:tcPr>
          <w:p w:rsidR="1C3E45D9" w:rsidRPr="00BE36D3" w:rsidRDefault="1C3E45D9">
            <w:pPr>
              <w:contextualSpacing/>
              <w:jc w:val="center"/>
              <w:rPr>
                <w:rFonts w:ascii="Arial" w:eastAsia="Arial" w:hAnsi="Arial" w:cs="Arial"/>
                <w:b/>
                <w:bCs/>
                <w:color w:val="000000" w:themeColor="text1"/>
                <w:sz w:val="16"/>
                <w:szCs w:val="16"/>
              </w:rPr>
            </w:pPr>
            <w:r w:rsidRPr="00BE36D3">
              <w:rPr>
                <w:rFonts w:ascii="Arial" w:eastAsia="Arial" w:hAnsi="Arial" w:cs="Arial"/>
                <w:b/>
                <w:bCs/>
                <w:color w:val="000000" w:themeColor="text1"/>
                <w:sz w:val="16"/>
                <w:szCs w:val="16"/>
              </w:rPr>
              <w:t xml:space="preserve">Actividades </w:t>
            </w:r>
            <w:r w:rsidR="1D1055AC" w:rsidRPr="00BE36D3">
              <w:rPr>
                <w:rFonts w:ascii="Arial" w:eastAsia="Arial" w:hAnsi="Arial" w:cs="Arial"/>
                <w:b/>
                <w:bCs/>
                <w:color w:val="000000" w:themeColor="text1"/>
                <w:sz w:val="16"/>
                <w:szCs w:val="16"/>
              </w:rPr>
              <w:t>(1)</w:t>
            </w:r>
          </w:p>
        </w:tc>
      </w:tr>
      <w:tr w:rsidR="1C3E45D9" w:rsidRPr="00C5770E" w:rsidTr="00BE36D3">
        <w:trPr>
          <w:trHeight w:val="292"/>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Valor</w:t>
            </w:r>
          </w:p>
        </w:tc>
        <w:tc>
          <w:tcPr>
            <w:tcW w:w="3190" w:type="dxa"/>
            <w:tcBorders>
              <w:top w:val="single" w:sz="4"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$8.290.472</w:t>
            </w:r>
          </w:p>
        </w:tc>
        <w:tc>
          <w:tcPr>
            <w:tcW w:w="3111" w:type="dxa"/>
            <w:vMerge w:val="restart"/>
            <w:tcBorders>
              <w:top w:val="single" w:sz="4" w:space="0" w:color="auto"/>
              <w:left w:val="single" w:sz="4" w:space="0" w:color="auto"/>
              <w:bottom w:val="single" w:sz="8" w:space="0" w:color="000000" w:themeColor="text1"/>
              <w:right w:val="single" w:sz="8"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Calibri" w:hAnsi="Arial" w:cs="Arial"/>
                <w:color w:val="000000" w:themeColor="text1"/>
                <w:sz w:val="16"/>
                <w:szCs w:val="16"/>
              </w:rPr>
              <w:t xml:space="preserve">Contratación de 1 </w:t>
            </w:r>
            <w:r w:rsidRPr="00BE36D3">
              <w:rPr>
                <w:rFonts w:ascii="Arial" w:eastAsia="Calibri" w:hAnsi="Arial" w:cs="Arial"/>
                <w:i/>
                <w:iCs/>
                <w:color w:val="000000" w:themeColor="text1"/>
                <w:sz w:val="16"/>
                <w:szCs w:val="16"/>
              </w:rPr>
              <w:t>show</w:t>
            </w:r>
            <w:r w:rsidRPr="00BE36D3">
              <w:rPr>
                <w:rFonts w:ascii="Arial" w:eastAsia="Calibri" w:hAnsi="Arial" w:cs="Arial"/>
                <w:color w:val="000000" w:themeColor="text1"/>
                <w:sz w:val="16"/>
                <w:szCs w:val="16"/>
              </w:rPr>
              <w:t xml:space="preserve"> de juegos pirotécnicos; pacas de agua; mantenimiento terreno, 200 refrigerios; 200 almuerzos; contratación sonido; trofeos, medallas y placas y recurso humano (de apoyo logístico, animador, músicos y jueces</w:t>
            </w:r>
          </w:p>
        </w:tc>
      </w:tr>
      <w:tr w:rsidR="1C3E45D9" w:rsidRPr="00C5770E" w:rsidTr="53368DE7">
        <w:trPr>
          <w:trHeight w:val="292"/>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Plazo</w:t>
            </w:r>
          </w:p>
        </w:tc>
        <w:tc>
          <w:tcPr>
            <w:tcW w:w="3190" w:type="dxa"/>
            <w:tcBorders>
              <w:top w:val="single" w:sz="4"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 xml:space="preserve">2 días </w:t>
            </w:r>
          </w:p>
        </w:tc>
        <w:tc>
          <w:tcPr>
            <w:tcW w:w="3111" w:type="dxa"/>
            <w:vMerge/>
            <w:vAlign w:val="center"/>
          </w:tcPr>
          <w:p w:rsidR="002F25EF" w:rsidRPr="00BE36D3" w:rsidRDefault="002F25EF">
            <w:pPr>
              <w:contextualSpacing/>
              <w:rPr>
                <w:rFonts w:ascii="Arial" w:hAnsi="Arial" w:cs="Arial"/>
                <w:sz w:val="16"/>
                <w:szCs w:val="16"/>
              </w:rPr>
            </w:pPr>
          </w:p>
        </w:tc>
      </w:tr>
      <w:tr w:rsidR="1C3E45D9" w:rsidRPr="00C5770E" w:rsidTr="53368DE7">
        <w:trPr>
          <w:trHeight w:val="292"/>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Contratista</w:t>
            </w:r>
          </w:p>
        </w:tc>
        <w:tc>
          <w:tcPr>
            <w:tcW w:w="3190" w:type="dxa"/>
            <w:tcBorders>
              <w:top w:val="single" w:sz="4"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EVENTOS TERA</w:t>
            </w:r>
          </w:p>
        </w:tc>
        <w:tc>
          <w:tcPr>
            <w:tcW w:w="3111" w:type="dxa"/>
            <w:vMerge/>
            <w:vAlign w:val="center"/>
          </w:tcPr>
          <w:p w:rsidR="002F25EF" w:rsidRPr="00BE36D3" w:rsidRDefault="002F25EF">
            <w:pPr>
              <w:contextualSpacing/>
              <w:rPr>
                <w:rFonts w:ascii="Arial" w:hAnsi="Arial" w:cs="Arial"/>
                <w:sz w:val="16"/>
                <w:szCs w:val="16"/>
              </w:rPr>
            </w:pPr>
          </w:p>
        </w:tc>
      </w:tr>
      <w:tr w:rsidR="1C3E45D9" w:rsidRPr="00C5770E" w:rsidTr="53368DE7">
        <w:trPr>
          <w:trHeight w:val="717"/>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8" w:space="0" w:color="auto"/>
              <w:right w:val="single" w:sz="4" w:space="0" w:color="auto"/>
            </w:tcBorders>
            <w:shd w:val="clear" w:color="auto" w:fill="CCCCFF"/>
            <w:vAlign w:val="center"/>
          </w:tcPr>
          <w:p w:rsidR="1C3E45D9" w:rsidRPr="00BE36D3" w:rsidRDefault="00EA5464">
            <w:pPr>
              <w:contextualSpacing/>
              <w:jc w:val="center"/>
              <w:rPr>
                <w:rFonts w:ascii="Arial" w:hAnsi="Arial" w:cs="Arial"/>
                <w:sz w:val="16"/>
                <w:szCs w:val="16"/>
              </w:rPr>
            </w:pPr>
            <w:r w:rsidRPr="00BE36D3">
              <w:rPr>
                <w:rFonts w:ascii="Arial" w:eastAsia="Arial" w:hAnsi="Arial" w:cs="Arial"/>
                <w:b/>
                <w:bCs/>
                <w:color w:val="000000" w:themeColor="text1"/>
                <w:sz w:val="16"/>
                <w:szCs w:val="16"/>
              </w:rPr>
              <w:t>Enlace</w:t>
            </w:r>
            <w:r w:rsidR="1C3E45D9" w:rsidRPr="00BE36D3">
              <w:rPr>
                <w:rFonts w:ascii="Arial" w:eastAsia="Arial" w:hAnsi="Arial" w:cs="Arial"/>
                <w:b/>
                <w:bCs/>
                <w:color w:val="000000" w:themeColor="text1"/>
                <w:sz w:val="16"/>
                <w:szCs w:val="16"/>
              </w:rPr>
              <w:t xml:space="preserve"> SECOP</w:t>
            </w:r>
          </w:p>
        </w:tc>
        <w:tc>
          <w:tcPr>
            <w:tcW w:w="3190" w:type="dxa"/>
            <w:tcBorders>
              <w:top w:val="single" w:sz="4" w:space="0" w:color="auto"/>
              <w:left w:val="single" w:sz="4" w:space="0" w:color="auto"/>
              <w:bottom w:val="single" w:sz="8" w:space="0" w:color="auto"/>
              <w:right w:val="single" w:sz="4" w:space="0" w:color="auto"/>
            </w:tcBorders>
            <w:vAlign w:val="center"/>
          </w:tcPr>
          <w:p w:rsidR="1C3E45D9" w:rsidRPr="00BE36D3" w:rsidRDefault="004A4F20">
            <w:pPr>
              <w:contextualSpacing/>
              <w:jc w:val="center"/>
              <w:rPr>
                <w:rFonts w:ascii="Arial" w:hAnsi="Arial" w:cs="Arial"/>
                <w:sz w:val="16"/>
                <w:szCs w:val="16"/>
              </w:rPr>
            </w:pPr>
            <w:hyperlink r:id="rId24">
              <w:r w:rsidR="1C3E45D9" w:rsidRPr="00BE36D3">
                <w:rPr>
                  <w:rStyle w:val="Hipervnculo"/>
                  <w:rFonts w:ascii="Arial" w:eastAsia="Calibri" w:hAnsi="Arial" w:cs="Arial"/>
                  <w:color w:val="0563C1"/>
                  <w:sz w:val="16"/>
                  <w:szCs w:val="16"/>
                </w:rPr>
                <w:t>https://www.contratos.gov.co/consultas/detalleProceso.do?numConstancia=18-13-8761340</w:t>
              </w:r>
            </w:hyperlink>
          </w:p>
        </w:tc>
        <w:tc>
          <w:tcPr>
            <w:tcW w:w="3111" w:type="dxa"/>
            <w:vMerge/>
            <w:vAlign w:val="center"/>
          </w:tcPr>
          <w:p w:rsidR="002F25EF" w:rsidRPr="00BE36D3" w:rsidRDefault="002F25EF">
            <w:pPr>
              <w:contextualSpacing/>
              <w:rPr>
                <w:rFonts w:ascii="Arial" w:hAnsi="Arial" w:cs="Arial"/>
                <w:sz w:val="16"/>
                <w:szCs w:val="16"/>
              </w:rPr>
            </w:pPr>
          </w:p>
        </w:tc>
      </w:tr>
      <w:tr w:rsidR="1C3E45D9" w:rsidRPr="00C5770E" w:rsidTr="00E34545">
        <w:trPr>
          <w:trHeight w:val="1664"/>
        </w:trPr>
        <w:tc>
          <w:tcPr>
            <w:tcW w:w="1325" w:type="dxa"/>
            <w:vMerge w:val="restart"/>
            <w:tcBorders>
              <w:top w:val="nil"/>
              <w:left w:val="single" w:sz="8" w:space="0" w:color="auto"/>
              <w:bottom w:val="single" w:sz="8" w:space="0" w:color="000000" w:themeColor="text1"/>
              <w:right w:val="single" w:sz="4" w:space="0" w:color="auto"/>
            </w:tcBorders>
            <w:shd w:val="clear" w:color="auto" w:fill="666699"/>
            <w:vAlign w:val="center"/>
          </w:tcPr>
          <w:p w:rsidR="1C3E45D9" w:rsidRPr="00BE36D3" w:rsidRDefault="1C3E45D9">
            <w:pPr>
              <w:contextualSpacing/>
              <w:jc w:val="center"/>
              <w:rPr>
                <w:rFonts w:ascii="Arial" w:hAnsi="Arial" w:cs="Arial"/>
                <w:sz w:val="16"/>
                <w:szCs w:val="16"/>
              </w:rPr>
            </w:pPr>
            <w:r w:rsidRPr="00BE36D3">
              <w:rPr>
                <w:rFonts w:ascii="Arial" w:eastAsia="Arial Narrow" w:hAnsi="Arial" w:cs="Arial"/>
                <w:b/>
                <w:bCs/>
                <w:color w:val="FFFFFF" w:themeColor="background1"/>
                <w:sz w:val="16"/>
                <w:szCs w:val="16"/>
              </w:rPr>
              <w:t>MST-MIN-001-2018</w:t>
            </w:r>
          </w:p>
        </w:tc>
        <w:tc>
          <w:tcPr>
            <w:tcW w:w="1884" w:type="dxa"/>
            <w:tcBorders>
              <w:top w:val="single" w:sz="8" w:space="0" w:color="auto"/>
              <w:left w:val="single" w:sz="4" w:space="0" w:color="auto"/>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Objeto</w:t>
            </w:r>
          </w:p>
        </w:tc>
        <w:tc>
          <w:tcPr>
            <w:tcW w:w="3190" w:type="dxa"/>
            <w:tcBorders>
              <w:top w:val="single" w:sz="8"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i/>
                <w:iCs/>
                <w:color w:val="000000" w:themeColor="text1"/>
                <w:sz w:val="16"/>
                <w:szCs w:val="16"/>
              </w:rPr>
              <w:t>PRESTACION DE SERVICIOS DE APOYO LOGISTICO QUE PERMITA GARANTIZAR LA REALIZACION DE LAS REGATAS DE VELEROS ARTESANALES DURANTE LA TEMPORADA DE VACACIONES DEL MES DE ENERO DE 2018, A FIN DE PROMOVER LOS ATRACTIVOS TURISTICOS DEL MUNICIPIO SANTIAGO DE TOLÚ-VIGENCIA 2018</w:t>
            </w:r>
          </w:p>
        </w:tc>
        <w:tc>
          <w:tcPr>
            <w:tcW w:w="3111" w:type="dxa"/>
            <w:tcBorders>
              <w:top w:val="nil"/>
              <w:left w:val="single" w:sz="4" w:space="0" w:color="auto"/>
              <w:bottom w:val="single" w:sz="4" w:space="0" w:color="auto"/>
              <w:right w:val="single" w:sz="8"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 xml:space="preserve">Actividades </w:t>
            </w:r>
            <w:r w:rsidR="4CBAB8E1" w:rsidRPr="00BE36D3">
              <w:rPr>
                <w:rFonts w:ascii="Arial" w:eastAsia="Arial" w:hAnsi="Arial" w:cs="Arial"/>
                <w:b/>
                <w:bCs/>
                <w:color w:val="000000" w:themeColor="text1"/>
                <w:sz w:val="16"/>
                <w:szCs w:val="16"/>
              </w:rPr>
              <w:t>(1)</w:t>
            </w:r>
          </w:p>
        </w:tc>
      </w:tr>
      <w:tr w:rsidR="1C3E45D9" w:rsidRPr="00C5770E" w:rsidTr="00BE36D3">
        <w:trPr>
          <w:trHeight w:val="292"/>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Valor</w:t>
            </w:r>
          </w:p>
        </w:tc>
        <w:tc>
          <w:tcPr>
            <w:tcW w:w="3190" w:type="dxa"/>
            <w:tcBorders>
              <w:top w:val="single" w:sz="4"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$16.716.292</w:t>
            </w:r>
          </w:p>
        </w:tc>
        <w:tc>
          <w:tcPr>
            <w:tcW w:w="3111" w:type="dxa"/>
            <w:vMerge w:val="restart"/>
            <w:tcBorders>
              <w:top w:val="single" w:sz="4" w:space="0" w:color="auto"/>
              <w:left w:val="single" w:sz="4" w:space="0" w:color="auto"/>
              <w:bottom w:val="single" w:sz="8" w:space="0" w:color="000000" w:themeColor="text1"/>
              <w:right w:val="single" w:sz="8"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Calibri" w:hAnsi="Arial" w:cs="Arial"/>
                <w:color w:val="000000" w:themeColor="text1"/>
                <w:sz w:val="16"/>
                <w:szCs w:val="16"/>
              </w:rPr>
              <w:t>Compra de pacas y hielo en molde para hidratación; hielo; 176 refrigerios; alquiler de neveras, lanchas, tarimas; contratación de sonido, honorarios para presentadores, jueces y personal de logística; 300 camisetas, gorras; pendones, pasacalles y banderines.</w:t>
            </w:r>
          </w:p>
        </w:tc>
      </w:tr>
      <w:tr w:rsidR="1C3E45D9" w:rsidRPr="00C5770E" w:rsidTr="53368DE7">
        <w:trPr>
          <w:trHeight w:val="292"/>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Plazo</w:t>
            </w:r>
          </w:p>
        </w:tc>
        <w:tc>
          <w:tcPr>
            <w:tcW w:w="3190" w:type="dxa"/>
            <w:tcBorders>
              <w:top w:val="single" w:sz="4"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 xml:space="preserve">2 días </w:t>
            </w:r>
          </w:p>
        </w:tc>
        <w:tc>
          <w:tcPr>
            <w:tcW w:w="3111" w:type="dxa"/>
            <w:vMerge/>
            <w:vAlign w:val="center"/>
          </w:tcPr>
          <w:p w:rsidR="002F25EF" w:rsidRPr="00BE36D3" w:rsidRDefault="002F25EF">
            <w:pPr>
              <w:contextualSpacing/>
              <w:rPr>
                <w:rFonts w:ascii="Arial" w:hAnsi="Arial" w:cs="Arial"/>
                <w:sz w:val="16"/>
                <w:szCs w:val="16"/>
              </w:rPr>
            </w:pPr>
          </w:p>
        </w:tc>
      </w:tr>
      <w:tr w:rsidR="1C3E45D9" w:rsidRPr="00C5770E" w:rsidTr="53368DE7">
        <w:trPr>
          <w:trHeight w:val="292"/>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4" w:space="0" w:color="auto"/>
              <w:right w:val="single" w:sz="4" w:space="0" w:color="auto"/>
            </w:tcBorders>
            <w:shd w:val="clear" w:color="auto" w:fill="CCCCFF"/>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b/>
                <w:bCs/>
                <w:color w:val="000000" w:themeColor="text1"/>
                <w:sz w:val="16"/>
                <w:szCs w:val="16"/>
              </w:rPr>
              <w:t>Contratista</w:t>
            </w:r>
          </w:p>
        </w:tc>
        <w:tc>
          <w:tcPr>
            <w:tcW w:w="3190" w:type="dxa"/>
            <w:tcBorders>
              <w:top w:val="single" w:sz="4" w:space="0" w:color="auto"/>
              <w:left w:val="single" w:sz="4" w:space="0" w:color="auto"/>
              <w:bottom w:val="single" w:sz="4" w:space="0" w:color="auto"/>
              <w:right w:val="single" w:sz="4" w:space="0" w:color="auto"/>
            </w:tcBorders>
            <w:vAlign w:val="center"/>
          </w:tcPr>
          <w:p w:rsidR="1C3E45D9" w:rsidRPr="00BE36D3" w:rsidRDefault="1C3E45D9">
            <w:pPr>
              <w:contextualSpacing/>
              <w:jc w:val="center"/>
              <w:rPr>
                <w:rFonts w:ascii="Arial" w:hAnsi="Arial" w:cs="Arial"/>
                <w:sz w:val="16"/>
                <w:szCs w:val="16"/>
              </w:rPr>
            </w:pPr>
            <w:r w:rsidRPr="00BE36D3">
              <w:rPr>
                <w:rFonts w:ascii="Arial" w:eastAsia="Arial" w:hAnsi="Arial" w:cs="Arial"/>
                <w:color w:val="000000" w:themeColor="text1"/>
                <w:sz w:val="16"/>
                <w:szCs w:val="16"/>
              </w:rPr>
              <w:t xml:space="preserve">TURISMO DEL SIGLO XXI S.A.S </w:t>
            </w:r>
          </w:p>
        </w:tc>
        <w:tc>
          <w:tcPr>
            <w:tcW w:w="3111" w:type="dxa"/>
            <w:vMerge/>
            <w:vAlign w:val="center"/>
          </w:tcPr>
          <w:p w:rsidR="002F25EF" w:rsidRPr="00BE36D3" w:rsidRDefault="002F25EF">
            <w:pPr>
              <w:contextualSpacing/>
              <w:rPr>
                <w:rFonts w:ascii="Arial" w:hAnsi="Arial" w:cs="Arial"/>
                <w:sz w:val="16"/>
                <w:szCs w:val="16"/>
              </w:rPr>
            </w:pPr>
          </w:p>
        </w:tc>
      </w:tr>
      <w:tr w:rsidR="1C3E45D9" w:rsidRPr="00C5770E" w:rsidTr="00E34545">
        <w:trPr>
          <w:trHeight w:val="296"/>
        </w:trPr>
        <w:tc>
          <w:tcPr>
            <w:tcW w:w="1325" w:type="dxa"/>
            <w:vMerge/>
            <w:vAlign w:val="center"/>
          </w:tcPr>
          <w:p w:rsidR="002F25EF" w:rsidRPr="00BE36D3" w:rsidRDefault="002F25EF">
            <w:pPr>
              <w:contextualSpacing/>
              <w:rPr>
                <w:rFonts w:ascii="Arial" w:hAnsi="Arial" w:cs="Arial"/>
                <w:sz w:val="16"/>
                <w:szCs w:val="16"/>
              </w:rPr>
            </w:pPr>
          </w:p>
        </w:tc>
        <w:tc>
          <w:tcPr>
            <w:tcW w:w="1884" w:type="dxa"/>
            <w:tcBorders>
              <w:top w:val="single" w:sz="4" w:space="0" w:color="auto"/>
              <w:left w:val="nil"/>
              <w:bottom w:val="single" w:sz="8" w:space="0" w:color="auto"/>
              <w:right w:val="single" w:sz="4" w:space="0" w:color="auto"/>
            </w:tcBorders>
            <w:shd w:val="clear" w:color="auto" w:fill="CCCCFF"/>
            <w:vAlign w:val="center"/>
          </w:tcPr>
          <w:p w:rsidR="1C3E45D9" w:rsidRPr="00BE36D3" w:rsidRDefault="00EA5464">
            <w:pPr>
              <w:contextualSpacing/>
              <w:jc w:val="center"/>
              <w:rPr>
                <w:rFonts w:ascii="Arial" w:hAnsi="Arial" w:cs="Arial"/>
                <w:sz w:val="16"/>
                <w:szCs w:val="16"/>
              </w:rPr>
            </w:pPr>
            <w:r w:rsidRPr="00BE36D3">
              <w:rPr>
                <w:rFonts w:ascii="Arial" w:eastAsia="Arial" w:hAnsi="Arial" w:cs="Arial"/>
                <w:b/>
                <w:bCs/>
                <w:color w:val="000000" w:themeColor="text1"/>
                <w:sz w:val="16"/>
                <w:szCs w:val="16"/>
              </w:rPr>
              <w:t>Enlace</w:t>
            </w:r>
            <w:r w:rsidR="1C3E45D9" w:rsidRPr="00BE36D3">
              <w:rPr>
                <w:rFonts w:ascii="Arial" w:eastAsia="Arial" w:hAnsi="Arial" w:cs="Arial"/>
                <w:b/>
                <w:bCs/>
                <w:color w:val="000000" w:themeColor="text1"/>
                <w:sz w:val="16"/>
                <w:szCs w:val="16"/>
              </w:rPr>
              <w:t xml:space="preserve"> SECOP</w:t>
            </w:r>
          </w:p>
        </w:tc>
        <w:tc>
          <w:tcPr>
            <w:tcW w:w="3190" w:type="dxa"/>
            <w:tcBorders>
              <w:top w:val="single" w:sz="4" w:space="0" w:color="auto"/>
              <w:left w:val="single" w:sz="4" w:space="0" w:color="auto"/>
              <w:bottom w:val="single" w:sz="8" w:space="0" w:color="auto"/>
              <w:right w:val="single" w:sz="4" w:space="0" w:color="auto"/>
            </w:tcBorders>
            <w:vAlign w:val="center"/>
          </w:tcPr>
          <w:p w:rsidR="1C3E45D9" w:rsidRPr="00BE36D3" w:rsidRDefault="004A4F20">
            <w:pPr>
              <w:contextualSpacing/>
              <w:jc w:val="center"/>
              <w:rPr>
                <w:rFonts w:ascii="Arial" w:hAnsi="Arial" w:cs="Arial"/>
                <w:sz w:val="16"/>
                <w:szCs w:val="16"/>
              </w:rPr>
            </w:pPr>
            <w:hyperlink r:id="rId25">
              <w:r w:rsidR="1C3E45D9" w:rsidRPr="00BE36D3">
                <w:rPr>
                  <w:rStyle w:val="Hipervnculo"/>
                  <w:rFonts w:ascii="Arial" w:eastAsia="Calibri" w:hAnsi="Arial" w:cs="Arial"/>
                  <w:color w:val="0563C1"/>
                  <w:sz w:val="16"/>
                  <w:szCs w:val="16"/>
                </w:rPr>
                <w:t>https://www.contratos.gov.co/consultas/detalleProceso.do?numConstancia=18-13-7535176</w:t>
              </w:r>
            </w:hyperlink>
          </w:p>
        </w:tc>
        <w:tc>
          <w:tcPr>
            <w:tcW w:w="3111" w:type="dxa"/>
            <w:vMerge/>
            <w:vAlign w:val="center"/>
          </w:tcPr>
          <w:p w:rsidR="002F25EF" w:rsidRPr="00BE36D3" w:rsidRDefault="002F25EF">
            <w:pPr>
              <w:contextualSpacing/>
              <w:rPr>
                <w:rFonts w:ascii="Arial" w:hAnsi="Arial" w:cs="Arial"/>
                <w:sz w:val="16"/>
                <w:szCs w:val="16"/>
              </w:rPr>
            </w:pPr>
          </w:p>
        </w:tc>
      </w:tr>
    </w:tbl>
    <w:p w:rsidR="00324FE3" w:rsidRDefault="00681E7D">
      <w:pPr>
        <w:spacing w:line="240" w:lineRule="auto"/>
        <w:contextualSpacing/>
        <w:jc w:val="center"/>
        <w:rPr>
          <w:rFonts w:ascii="Arial" w:hAnsi="Arial" w:cs="Arial"/>
          <w:sz w:val="20"/>
          <w:szCs w:val="20"/>
        </w:rPr>
      </w:pPr>
      <w:r w:rsidRPr="00BE36D3">
        <w:rPr>
          <w:rFonts w:ascii="Arial" w:hAnsi="Arial" w:cs="Arial"/>
          <w:b/>
          <w:bCs/>
          <w:sz w:val="20"/>
          <w:szCs w:val="20"/>
        </w:rPr>
        <w:t xml:space="preserve">Fuente: </w:t>
      </w:r>
      <w:r w:rsidRPr="00BE36D3">
        <w:rPr>
          <w:rFonts w:ascii="Arial" w:hAnsi="Arial" w:cs="Arial"/>
          <w:sz w:val="20"/>
          <w:szCs w:val="20"/>
        </w:rPr>
        <w:t>Elaboración propia con base en la información contractual del Informe de Monitoreo en Campo</w:t>
      </w:r>
      <w:r w:rsidR="00B77C59" w:rsidRPr="00BE36D3">
        <w:rPr>
          <w:rFonts w:ascii="Arial" w:hAnsi="Arial" w:cs="Arial"/>
          <w:sz w:val="20"/>
          <w:szCs w:val="20"/>
        </w:rPr>
        <w:t xml:space="preserve"> DNP</w:t>
      </w:r>
      <w:r w:rsidRPr="00BE36D3">
        <w:rPr>
          <w:rFonts w:ascii="Arial" w:hAnsi="Arial" w:cs="Arial"/>
          <w:sz w:val="20"/>
          <w:szCs w:val="20"/>
        </w:rPr>
        <w:t>.</w:t>
      </w:r>
    </w:p>
    <w:p w:rsidR="00C5770E" w:rsidRPr="00F4471B" w:rsidRDefault="00C5770E">
      <w:pPr>
        <w:spacing w:line="240" w:lineRule="auto"/>
        <w:contextualSpacing/>
        <w:rPr>
          <w:rFonts w:ascii="Arial" w:hAnsi="Arial" w:cs="Arial"/>
          <w:szCs w:val="20"/>
        </w:rPr>
      </w:pPr>
    </w:p>
    <w:p w:rsidR="4A47A8DB" w:rsidRPr="00BE36D3" w:rsidRDefault="66558B54">
      <w:pPr>
        <w:spacing w:line="240" w:lineRule="auto"/>
        <w:contextualSpacing/>
        <w:jc w:val="both"/>
        <w:rPr>
          <w:rFonts w:ascii="Arial" w:eastAsia="Arial Narrow" w:hAnsi="Arial" w:cs="Arial"/>
          <w:b/>
          <w:bCs/>
        </w:rPr>
      </w:pPr>
      <w:r w:rsidRPr="00BE36D3">
        <w:rPr>
          <w:rFonts w:ascii="Arial" w:eastAsia="Arial Narrow" w:hAnsi="Arial" w:cs="Arial"/>
          <w:b/>
          <w:bCs/>
        </w:rPr>
        <w:t>Vigencias</w:t>
      </w:r>
      <w:r w:rsidR="4A47A8DB" w:rsidRPr="00BE36D3">
        <w:rPr>
          <w:rFonts w:ascii="Arial" w:eastAsia="Arial Narrow" w:hAnsi="Arial" w:cs="Arial"/>
          <w:b/>
          <w:bCs/>
        </w:rPr>
        <w:t xml:space="preserve"> 2019 </w:t>
      </w:r>
      <w:r w:rsidR="496AE3FB" w:rsidRPr="00BE36D3">
        <w:rPr>
          <w:rFonts w:ascii="Arial" w:eastAsia="Arial Narrow" w:hAnsi="Arial" w:cs="Arial"/>
          <w:b/>
          <w:bCs/>
        </w:rPr>
        <w:t>y</w:t>
      </w:r>
      <w:r w:rsidR="4A47A8DB" w:rsidRPr="00BE36D3">
        <w:rPr>
          <w:rFonts w:ascii="Arial" w:eastAsia="Arial Narrow" w:hAnsi="Arial" w:cs="Arial"/>
          <w:b/>
          <w:bCs/>
        </w:rPr>
        <w:t xml:space="preserve"> 2020</w:t>
      </w:r>
      <w:r w:rsidR="00865C13">
        <w:rPr>
          <w:rFonts w:ascii="Arial" w:eastAsia="Arial Narrow" w:hAnsi="Arial" w:cs="Arial"/>
          <w:b/>
          <w:bCs/>
        </w:rPr>
        <w:t>.</w:t>
      </w:r>
    </w:p>
    <w:p w:rsidR="00F4471B" w:rsidRDefault="00F4471B">
      <w:pPr>
        <w:pStyle w:val="Prrafodelista"/>
        <w:spacing w:after="0" w:line="240" w:lineRule="auto"/>
        <w:ind w:left="0"/>
        <w:jc w:val="both"/>
        <w:rPr>
          <w:rFonts w:ascii="Arial" w:eastAsia="Arial Narrow" w:hAnsi="Arial" w:cs="Arial"/>
        </w:rPr>
      </w:pPr>
    </w:p>
    <w:p w:rsidR="00731B0C" w:rsidRPr="00BE36D3" w:rsidRDefault="7FF429D1">
      <w:pPr>
        <w:pStyle w:val="Prrafodelista"/>
        <w:spacing w:after="0" w:line="240" w:lineRule="auto"/>
        <w:ind w:left="0"/>
        <w:jc w:val="both"/>
        <w:rPr>
          <w:rFonts w:ascii="Arial" w:eastAsia="Arial Narrow" w:hAnsi="Arial" w:cs="Arial"/>
        </w:rPr>
      </w:pPr>
      <w:r w:rsidRPr="00BE36D3">
        <w:rPr>
          <w:rFonts w:ascii="Arial" w:eastAsia="Arial Narrow" w:hAnsi="Arial" w:cs="Arial"/>
        </w:rPr>
        <w:t xml:space="preserve">Los anexos del Informe de Monitoreo en campo solamente cuentan con información contractual de las vigencias 2017 y 2018. Sin embargo, para actualizar este diagnóstico con información más reciente se consultó la plataforma SECOP, en donde </w:t>
      </w:r>
      <w:r w:rsidR="24F8E44B" w:rsidRPr="00BE36D3">
        <w:rPr>
          <w:rFonts w:ascii="Arial" w:eastAsia="Arial Narrow" w:hAnsi="Arial" w:cs="Arial"/>
        </w:rPr>
        <w:t xml:space="preserve">se publican estos procesos. Cabe resaltar que el Municipio de Santiago de </w:t>
      </w:r>
      <w:r w:rsidR="000966E6">
        <w:rPr>
          <w:rFonts w:ascii="Arial" w:eastAsia="Arial Narrow" w:hAnsi="Arial" w:cs="Arial"/>
        </w:rPr>
        <w:t>Tolú - Sucre</w:t>
      </w:r>
      <w:r w:rsidR="24F8E44B" w:rsidRPr="00BE36D3">
        <w:rPr>
          <w:rFonts w:ascii="Arial" w:eastAsia="Arial Narrow" w:hAnsi="Arial" w:cs="Arial"/>
        </w:rPr>
        <w:t xml:space="preserve"> no publica los </w:t>
      </w:r>
      <w:r w:rsidR="00105F3B">
        <w:rPr>
          <w:rFonts w:ascii="Arial" w:eastAsia="Arial Narrow" w:hAnsi="Arial" w:cs="Arial"/>
        </w:rPr>
        <w:t>c</w:t>
      </w:r>
      <w:r w:rsidR="24F8E44B" w:rsidRPr="00BE36D3">
        <w:rPr>
          <w:rFonts w:ascii="Arial" w:eastAsia="Arial Narrow" w:hAnsi="Arial" w:cs="Arial"/>
        </w:rPr>
        <w:t xml:space="preserve">ertificados de </w:t>
      </w:r>
      <w:r w:rsidR="00105F3B">
        <w:rPr>
          <w:rFonts w:ascii="Arial" w:eastAsia="Arial Narrow" w:hAnsi="Arial" w:cs="Arial"/>
        </w:rPr>
        <w:t>d</w:t>
      </w:r>
      <w:r w:rsidR="24F8E44B" w:rsidRPr="00BE36D3">
        <w:rPr>
          <w:rFonts w:ascii="Arial" w:eastAsia="Arial Narrow" w:hAnsi="Arial" w:cs="Arial"/>
        </w:rPr>
        <w:t xml:space="preserve">isponibilidad </w:t>
      </w:r>
      <w:r w:rsidR="00105F3B">
        <w:rPr>
          <w:rFonts w:ascii="Arial" w:eastAsia="Arial Narrow" w:hAnsi="Arial" w:cs="Arial"/>
        </w:rPr>
        <w:t>p</w:t>
      </w:r>
      <w:r w:rsidR="24F8E44B" w:rsidRPr="00BE36D3">
        <w:rPr>
          <w:rFonts w:ascii="Arial" w:eastAsia="Arial Narrow" w:hAnsi="Arial" w:cs="Arial"/>
        </w:rPr>
        <w:t>resupuestal que respaldan la contratación</w:t>
      </w:r>
      <w:r w:rsidR="01357322" w:rsidRPr="00BE36D3">
        <w:rPr>
          <w:rFonts w:ascii="Arial" w:eastAsia="Arial Narrow" w:hAnsi="Arial" w:cs="Arial"/>
        </w:rPr>
        <w:t xml:space="preserve"> y que indiquen la fuente de financiación</w:t>
      </w:r>
      <w:r w:rsidR="24F8E44B" w:rsidRPr="00BE36D3">
        <w:rPr>
          <w:rFonts w:ascii="Arial" w:eastAsia="Arial Narrow" w:hAnsi="Arial" w:cs="Arial"/>
        </w:rPr>
        <w:t>, razón por la cual sola</w:t>
      </w:r>
      <w:r w:rsidR="7541E233" w:rsidRPr="00BE36D3">
        <w:rPr>
          <w:rFonts w:ascii="Arial" w:eastAsia="Arial Narrow" w:hAnsi="Arial" w:cs="Arial"/>
        </w:rPr>
        <w:t xml:space="preserve">mente se pudo constatar </w:t>
      </w:r>
      <w:r w:rsidR="00663C4D" w:rsidRPr="00BE36D3">
        <w:rPr>
          <w:rFonts w:ascii="Arial" w:eastAsia="Arial Narrow" w:hAnsi="Arial" w:cs="Arial"/>
        </w:rPr>
        <w:t xml:space="preserve">expresamente </w:t>
      </w:r>
      <w:r w:rsidR="7541E233" w:rsidRPr="00BE36D3">
        <w:rPr>
          <w:rFonts w:ascii="Arial" w:eastAsia="Arial Narrow" w:hAnsi="Arial" w:cs="Arial"/>
        </w:rPr>
        <w:t xml:space="preserve">que 3 contratos, 2 de la vigencia 2019 y uno de la vigencia 2020, fueron financiados con recursos </w:t>
      </w:r>
      <w:r w:rsidR="7541E233" w:rsidRPr="00BE36D3">
        <w:rPr>
          <w:rFonts w:ascii="Arial" w:eastAsia="Arial Narrow" w:hAnsi="Arial" w:cs="Arial"/>
        </w:rPr>
        <w:lastRenderedPageBreak/>
        <w:t>de la Participación de Propósito General del Sistema General de Participaciones</w:t>
      </w:r>
      <w:r w:rsidR="00663C4D" w:rsidRPr="00BE36D3">
        <w:rPr>
          <w:rFonts w:ascii="Arial" w:eastAsia="Arial Narrow" w:hAnsi="Arial" w:cs="Arial"/>
        </w:rPr>
        <w:t>, según lo indicado en sus estudios previos</w:t>
      </w:r>
      <w:r w:rsidR="7541E233" w:rsidRPr="00BE36D3">
        <w:rPr>
          <w:rFonts w:ascii="Arial" w:eastAsia="Arial Narrow" w:hAnsi="Arial" w:cs="Arial"/>
        </w:rPr>
        <w:t xml:space="preserve">. </w:t>
      </w:r>
      <w:r w:rsidR="3E526423" w:rsidRPr="00BE36D3">
        <w:rPr>
          <w:rFonts w:ascii="Arial" w:eastAsia="Arial Narrow" w:hAnsi="Arial" w:cs="Arial"/>
        </w:rPr>
        <w:t>L</w:t>
      </w:r>
      <w:r w:rsidR="005173D4" w:rsidRPr="00BE36D3">
        <w:rPr>
          <w:rFonts w:ascii="Arial" w:eastAsia="Arial Narrow" w:hAnsi="Arial" w:cs="Arial"/>
        </w:rPr>
        <w:t>os contratos analizados</w:t>
      </w:r>
      <w:r w:rsidR="3E526423" w:rsidRPr="00BE36D3">
        <w:rPr>
          <w:rFonts w:ascii="Arial" w:eastAsia="Arial Narrow" w:hAnsi="Arial" w:cs="Arial"/>
        </w:rPr>
        <w:t xml:space="preserve"> se detallan a continuación:</w:t>
      </w:r>
    </w:p>
    <w:p w:rsidR="00E34545" w:rsidRDefault="00E34545" w:rsidP="00F4471B">
      <w:pPr>
        <w:pStyle w:val="Prrafodelista"/>
        <w:spacing w:after="0" w:line="240" w:lineRule="auto"/>
        <w:rPr>
          <w:rFonts w:ascii="Arial" w:hAnsi="Arial" w:cs="Arial"/>
          <w:b/>
          <w:bCs/>
          <w:sz w:val="20"/>
          <w:szCs w:val="20"/>
        </w:rPr>
      </w:pPr>
    </w:p>
    <w:p w:rsidR="009E5A95" w:rsidRPr="00BE36D3" w:rsidRDefault="009E5A95">
      <w:pPr>
        <w:pStyle w:val="Prrafodelista"/>
        <w:spacing w:after="0" w:line="240" w:lineRule="auto"/>
        <w:jc w:val="center"/>
        <w:rPr>
          <w:rFonts w:ascii="Arial" w:hAnsi="Arial" w:cs="Arial"/>
          <w:b/>
          <w:bCs/>
          <w:sz w:val="20"/>
          <w:szCs w:val="20"/>
        </w:rPr>
      </w:pPr>
      <w:r w:rsidRPr="00BE36D3">
        <w:rPr>
          <w:rFonts w:ascii="Arial" w:hAnsi="Arial" w:cs="Arial"/>
          <w:b/>
          <w:bCs/>
          <w:sz w:val="20"/>
          <w:szCs w:val="20"/>
        </w:rPr>
        <w:t xml:space="preserve">Cuadro No. </w:t>
      </w:r>
      <w:r w:rsidR="00C9485B" w:rsidRPr="00BE36D3">
        <w:rPr>
          <w:rFonts w:ascii="Arial" w:hAnsi="Arial" w:cs="Arial"/>
          <w:b/>
          <w:bCs/>
          <w:sz w:val="20"/>
          <w:szCs w:val="20"/>
        </w:rPr>
        <w:t>1</w:t>
      </w:r>
      <w:r w:rsidR="002E737F" w:rsidRPr="00BE36D3">
        <w:rPr>
          <w:rFonts w:ascii="Arial" w:hAnsi="Arial" w:cs="Arial"/>
          <w:b/>
          <w:bCs/>
          <w:sz w:val="20"/>
          <w:szCs w:val="20"/>
        </w:rPr>
        <w:t>3</w:t>
      </w:r>
    </w:p>
    <w:p w:rsidR="009E5A95" w:rsidRPr="00BE36D3" w:rsidRDefault="009E5A95">
      <w:pPr>
        <w:pStyle w:val="Prrafodelista"/>
        <w:spacing w:after="0" w:line="240" w:lineRule="auto"/>
        <w:jc w:val="center"/>
        <w:rPr>
          <w:rFonts w:ascii="Arial" w:hAnsi="Arial" w:cs="Arial"/>
          <w:sz w:val="20"/>
          <w:szCs w:val="20"/>
        </w:rPr>
      </w:pPr>
      <w:r w:rsidRPr="00BE36D3">
        <w:rPr>
          <w:rFonts w:ascii="Arial" w:hAnsi="Arial" w:cs="Arial"/>
          <w:sz w:val="20"/>
          <w:szCs w:val="20"/>
        </w:rPr>
        <w:t>Contrato 2019 y 2020- Propósito General</w:t>
      </w:r>
    </w:p>
    <w:p w:rsidR="00A8462A" w:rsidRPr="00BE36D3" w:rsidRDefault="009E5A95">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tbl>
      <w:tblPr>
        <w:tblStyle w:val="Tablaconcuadrcula"/>
        <w:tblW w:w="9296" w:type="dxa"/>
        <w:tblLayout w:type="fixed"/>
        <w:tblLook w:val="06A0" w:firstRow="1" w:lastRow="0" w:firstColumn="1" w:lastColumn="0" w:noHBand="1" w:noVBand="1"/>
      </w:tblPr>
      <w:tblGrid>
        <w:gridCol w:w="2089"/>
        <w:gridCol w:w="1450"/>
        <w:gridCol w:w="3202"/>
        <w:gridCol w:w="2555"/>
      </w:tblGrid>
      <w:tr w:rsidR="1B5AE16B" w:rsidRPr="00C5770E" w:rsidTr="00F4471B">
        <w:trPr>
          <w:trHeight w:val="127"/>
          <w:tblHeader/>
        </w:trPr>
        <w:tc>
          <w:tcPr>
            <w:tcW w:w="2089"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666699"/>
            <w:vAlign w:val="center"/>
          </w:tcPr>
          <w:p w:rsidR="1B5AE16B" w:rsidRPr="00BE36D3" w:rsidRDefault="1B5AE16B">
            <w:pPr>
              <w:contextualSpacing/>
              <w:jc w:val="center"/>
              <w:rPr>
                <w:rFonts w:ascii="Arial" w:eastAsia="Arial Narrow" w:hAnsi="Arial" w:cs="Arial"/>
                <w:color w:val="FFFFFF" w:themeColor="background1"/>
                <w:sz w:val="16"/>
                <w:szCs w:val="16"/>
              </w:rPr>
            </w:pPr>
            <w:r w:rsidRPr="00BE36D3">
              <w:rPr>
                <w:rFonts w:ascii="Arial" w:eastAsia="Arial Narrow" w:hAnsi="Arial" w:cs="Arial"/>
                <w:b/>
                <w:bCs/>
                <w:color w:val="FFFFFF" w:themeColor="background1"/>
                <w:sz w:val="16"/>
                <w:szCs w:val="16"/>
              </w:rPr>
              <w:t>Número del proceso</w:t>
            </w:r>
            <w:r w:rsidRPr="00BE36D3">
              <w:rPr>
                <w:rFonts w:ascii="Arial" w:eastAsia="Arial Narrow" w:hAnsi="Arial" w:cs="Arial"/>
                <w:color w:val="FFFFFF" w:themeColor="background1"/>
                <w:sz w:val="16"/>
                <w:szCs w:val="16"/>
              </w:rPr>
              <w:t xml:space="preserve"> </w:t>
            </w:r>
          </w:p>
        </w:tc>
        <w:tc>
          <w:tcPr>
            <w:tcW w:w="7207" w:type="dxa"/>
            <w:gridSpan w:val="3"/>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666699"/>
            <w:vAlign w:val="center"/>
          </w:tcPr>
          <w:p w:rsidR="1B5AE16B" w:rsidRPr="00BE36D3" w:rsidRDefault="1B5AE16B">
            <w:pPr>
              <w:contextualSpacing/>
              <w:jc w:val="center"/>
              <w:rPr>
                <w:rFonts w:ascii="Arial" w:eastAsia="Arial Narrow" w:hAnsi="Arial" w:cs="Arial"/>
                <w:color w:val="FFFFFF" w:themeColor="background1"/>
                <w:sz w:val="16"/>
                <w:szCs w:val="16"/>
              </w:rPr>
            </w:pPr>
            <w:r w:rsidRPr="00BE36D3">
              <w:rPr>
                <w:rFonts w:ascii="Arial" w:eastAsia="Arial Narrow" w:hAnsi="Arial" w:cs="Arial"/>
                <w:b/>
                <w:bCs/>
                <w:color w:val="FFFFFF" w:themeColor="background1"/>
                <w:sz w:val="16"/>
                <w:szCs w:val="16"/>
              </w:rPr>
              <w:t xml:space="preserve">Información general </w:t>
            </w:r>
            <w:r w:rsidRPr="00BE36D3">
              <w:rPr>
                <w:rFonts w:ascii="Arial" w:eastAsia="Arial Narrow" w:hAnsi="Arial" w:cs="Arial"/>
                <w:color w:val="FFFFFF" w:themeColor="background1"/>
                <w:sz w:val="16"/>
                <w:szCs w:val="16"/>
              </w:rPr>
              <w:t xml:space="preserve"> </w:t>
            </w:r>
          </w:p>
        </w:tc>
      </w:tr>
      <w:tr w:rsidR="1B5AE16B" w:rsidRPr="00C5770E" w:rsidTr="00E34545">
        <w:trPr>
          <w:trHeight w:val="3299"/>
        </w:trPr>
        <w:tc>
          <w:tcPr>
            <w:tcW w:w="2089" w:type="dxa"/>
            <w:vMerge w:val="restart"/>
            <w:tcBorders>
              <w:top w:val="single" w:sz="8" w:space="0" w:color="000000" w:themeColor="text1"/>
              <w:left w:val="single" w:sz="4" w:space="0" w:color="auto"/>
              <w:right w:val="single" w:sz="8" w:space="0" w:color="auto"/>
            </w:tcBorders>
            <w:shd w:val="clear" w:color="auto" w:fill="666699"/>
            <w:vAlign w:val="center"/>
          </w:tcPr>
          <w:p w:rsidR="1B5AE16B" w:rsidRPr="00BE36D3" w:rsidRDefault="1B5AE16B">
            <w:pPr>
              <w:contextualSpacing/>
              <w:jc w:val="center"/>
              <w:rPr>
                <w:rFonts w:ascii="Arial" w:eastAsia="Arial Narrow" w:hAnsi="Arial" w:cs="Arial"/>
                <w:b/>
                <w:bCs/>
                <w:color w:val="FFFFFF" w:themeColor="background1"/>
                <w:sz w:val="16"/>
                <w:szCs w:val="16"/>
              </w:rPr>
            </w:pPr>
            <w:r w:rsidRPr="00BE36D3">
              <w:rPr>
                <w:rFonts w:ascii="Arial" w:eastAsia="Arial Narrow" w:hAnsi="Arial" w:cs="Arial"/>
                <w:b/>
                <w:bCs/>
                <w:color w:val="FFFFFF" w:themeColor="background1"/>
                <w:sz w:val="16"/>
                <w:szCs w:val="16"/>
              </w:rPr>
              <w:t>MST-SAMC-ALT-005-2019</w:t>
            </w:r>
          </w:p>
        </w:tc>
        <w:tc>
          <w:tcPr>
            <w:tcW w:w="145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FF"/>
            <w:vAlign w:val="center"/>
          </w:tcPr>
          <w:p w:rsidR="00824299" w:rsidRPr="00BE36D3" w:rsidRDefault="1B5AE16B">
            <w:pPr>
              <w:contextualSpacing/>
              <w:jc w:val="center"/>
              <w:rPr>
                <w:rFonts w:ascii="Arial" w:eastAsia="Arial Narrow" w:hAnsi="Arial" w:cs="Arial"/>
                <w:b/>
                <w:bCs/>
                <w:color w:val="000000" w:themeColor="text1"/>
                <w:sz w:val="16"/>
                <w:szCs w:val="16"/>
              </w:rPr>
            </w:pPr>
            <w:r w:rsidRPr="00BE36D3">
              <w:rPr>
                <w:rFonts w:ascii="Arial" w:eastAsia="Arial Narrow" w:hAnsi="Arial" w:cs="Arial"/>
                <w:b/>
                <w:bCs/>
                <w:color w:val="000000" w:themeColor="text1"/>
                <w:sz w:val="16"/>
                <w:szCs w:val="16"/>
              </w:rPr>
              <w:t>Objeto</w:t>
            </w:r>
          </w:p>
        </w:tc>
        <w:tc>
          <w:tcPr>
            <w:tcW w:w="3202" w:type="dxa"/>
            <w:vMerge w:val="restart"/>
            <w:tcBorders>
              <w:top w:val="nil"/>
              <w:left w:val="single" w:sz="8" w:space="0" w:color="000000" w:themeColor="text1"/>
              <w:bottom w:val="single" w:sz="8" w:space="0" w:color="000000" w:themeColor="text1"/>
              <w:right w:val="single" w:sz="8" w:space="0" w:color="000000" w:themeColor="text1"/>
            </w:tcBorders>
            <w:vAlign w:val="center"/>
          </w:tcPr>
          <w:p w:rsidR="00132CB7" w:rsidRPr="00BE36D3" w:rsidRDefault="009E5A95">
            <w:pPr>
              <w:contextualSpacing/>
              <w:jc w:val="center"/>
              <w:rPr>
                <w:rFonts w:ascii="Arial" w:eastAsia="Arial Narrow" w:hAnsi="Arial" w:cs="Arial"/>
                <w:b/>
                <w:bCs/>
                <w:i/>
                <w:iCs/>
                <w:color w:val="000000" w:themeColor="text1"/>
                <w:sz w:val="16"/>
                <w:szCs w:val="16"/>
              </w:rPr>
            </w:pPr>
            <w:r w:rsidRPr="00BE36D3">
              <w:rPr>
                <w:rFonts w:ascii="Arial" w:eastAsia="Arial Narrow" w:hAnsi="Arial" w:cs="Arial"/>
                <w:i/>
                <w:iCs/>
                <w:color w:val="000000" w:themeColor="text1"/>
                <w:sz w:val="16"/>
                <w:szCs w:val="16"/>
              </w:rPr>
              <w:t>PRESTACI</w:t>
            </w:r>
            <w:r w:rsidR="006224DC" w:rsidRPr="00BE36D3">
              <w:rPr>
                <w:rFonts w:ascii="Arial" w:eastAsia="Arial Narrow" w:hAnsi="Arial" w:cs="Arial"/>
                <w:i/>
                <w:iCs/>
                <w:color w:val="000000" w:themeColor="text1"/>
                <w:sz w:val="16"/>
                <w:szCs w:val="16"/>
              </w:rPr>
              <w:t>Ó</w:t>
            </w:r>
            <w:r w:rsidRPr="00BE36D3">
              <w:rPr>
                <w:rFonts w:ascii="Arial" w:eastAsia="Arial Narrow" w:hAnsi="Arial" w:cs="Arial"/>
                <w:i/>
                <w:iCs/>
                <w:color w:val="000000" w:themeColor="text1"/>
                <w:sz w:val="16"/>
                <w:szCs w:val="16"/>
              </w:rPr>
              <w:t>N DE SERVICIOS PARA EL DESARROLLO DE LAS ACTIVIDADES DEL CONVENIO FNTC-024-2018, EN RELACION AL PROYECTO DENOMINADO “DISEÑO DE PRODUCTO TURISTICO Y</w:t>
            </w:r>
            <w:r w:rsidR="000F591D">
              <w:rPr>
                <w:rFonts w:ascii="Arial" w:eastAsia="Arial Narrow" w:hAnsi="Arial" w:cs="Arial"/>
                <w:i/>
                <w:iCs/>
                <w:color w:val="000000" w:themeColor="text1"/>
                <w:sz w:val="16"/>
                <w:szCs w:val="16"/>
              </w:rPr>
              <w:t xml:space="preserve"> </w:t>
            </w:r>
            <w:r w:rsidRPr="00BE36D3">
              <w:rPr>
                <w:rFonts w:ascii="Arial" w:eastAsia="Arial Narrow" w:hAnsi="Arial" w:cs="Arial"/>
                <w:i/>
                <w:iCs/>
                <w:color w:val="000000" w:themeColor="text1"/>
                <w:sz w:val="16"/>
                <w:szCs w:val="16"/>
              </w:rPr>
              <w:t>LA RUTA TURISTICA DE LA CIENAGA DE LA LECHE DEL MUNICIPIO DE SANTIAGO DE TOLU – SUCRE"”</w:t>
            </w:r>
          </w:p>
        </w:tc>
        <w:tc>
          <w:tcPr>
            <w:tcW w:w="2555" w:type="dxa"/>
            <w:vMerge w:val="restart"/>
            <w:tcBorders>
              <w:top w:val="nil"/>
              <w:left w:val="single" w:sz="8" w:space="0" w:color="000000" w:themeColor="text1"/>
              <w:bottom w:val="single" w:sz="8" w:space="0" w:color="000000" w:themeColor="text1"/>
              <w:right w:val="single" w:sz="4" w:space="0" w:color="000000" w:themeColor="text1"/>
            </w:tcBorders>
            <w:shd w:val="clear" w:color="auto" w:fill="CCCCFF"/>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Actividades</w:t>
            </w:r>
          </w:p>
        </w:tc>
      </w:tr>
      <w:tr w:rsidR="1B5AE16B" w:rsidRPr="00C5770E" w:rsidTr="00410498">
        <w:trPr>
          <w:trHeight w:val="184"/>
        </w:trPr>
        <w:tc>
          <w:tcPr>
            <w:tcW w:w="2089" w:type="dxa"/>
            <w:vMerge/>
            <w:tcBorders>
              <w:left w:val="single" w:sz="0" w:space="0" w:color="auto"/>
              <w:right w:val="single" w:sz="0" w:space="0" w:color="auto"/>
            </w:tcBorders>
            <w:vAlign w:val="center"/>
          </w:tcPr>
          <w:p w:rsidR="00214066" w:rsidRPr="00BE36D3" w:rsidRDefault="00214066">
            <w:pPr>
              <w:contextualSpacing/>
              <w:rPr>
                <w:rFonts w:ascii="Arial" w:hAnsi="Arial" w:cs="Arial"/>
                <w:sz w:val="16"/>
                <w:szCs w:val="16"/>
              </w:rPr>
            </w:pPr>
          </w:p>
        </w:tc>
        <w:tc>
          <w:tcPr>
            <w:tcW w:w="1450"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3202"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2555"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253"/>
        </w:trPr>
        <w:tc>
          <w:tcPr>
            <w:tcW w:w="2089" w:type="dxa"/>
            <w:vMerge/>
            <w:tcBorders>
              <w:left w:val="single" w:sz="0" w:space="0" w:color="auto"/>
              <w:right w:val="single" w:sz="0" w:space="0" w:color="auto"/>
            </w:tcBorders>
            <w:vAlign w:val="center"/>
          </w:tcPr>
          <w:p w:rsidR="00214066" w:rsidRPr="00BE36D3" w:rsidRDefault="00214066">
            <w:pPr>
              <w:contextualSpacing/>
              <w:rPr>
                <w:rFonts w:ascii="Arial" w:hAnsi="Arial" w:cs="Arial"/>
                <w:sz w:val="16"/>
                <w:szCs w:val="16"/>
              </w:rPr>
            </w:pPr>
          </w:p>
        </w:tc>
        <w:tc>
          <w:tcPr>
            <w:tcW w:w="1450" w:type="dxa"/>
            <w:vMerge w:val="restart"/>
            <w:tcBorders>
              <w:top w:val="nil"/>
              <w:left w:val="single" w:sz="8" w:space="0" w:color="000000" w:themeColor="text1"/>
              <w:bottom w:val="single" w:sz="8" w:space="0" w:color="000000" w:themeColor="text1"/>
              <w:right w:val="single" w:sz="8" w:space="0" w:color="000000" w:themeColor="text1"/>
            </w:tcBorders>
            <w:shd w:val="clear" w:color="auto" w:fill="CCCCFF"/>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Valor</w:t>
            </w:r>
          </w:p>
        </w:tc>
        <w:tc>
          <w:tcPr>
            <w:tcW w:w="3202" w:type="dxa"/>
            <w:vMerge w:val="restart"/>
            <w:tcBorders>
              <w:top w:val="nil"/>
              <w:left w:val="single" w:sz="8" w:space="0" w:color="000000" w:themeColor="text1"/>
              <w:bottom w:val="single" w:sz="8" w:space="0" w:color="000000" w:themeColor="text1"/>
              <w:right w:val="single" w:sz="8" w:space="0" w:color="000000" w:themeColor="text1"/>
            </w:tcBorders>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$34.262.000</w:t>
            </w:r>
          </w:p>
        </w:tc>
        <w:tc>
          <w:tcPr>
            <w:tcW w:w="2555" w:type="dxa"/>
            <w:vMerge w:val="restart"/>
            <w:tcBorders>
              <w:top w:val="nil"/>
              <w:left w:val="single" w:sz="8" w:space="0" w:color="000000" w:themeColor="text1"/>
              <w:bottom w:val="single" w:sz="4" w:space="0" w:color="000000" w:themeColor="text1"/>
              <w:right w:val="single" w:sz="4" w:space="0" w:color="000000" w:themeColor="text1"/>
            </w:tcBorders>
            <w:vAlign w:val="center"/>
          </w:tcPr>
          <w:p w:rsidR="00DA4D6B"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1. Liderar, participar y proporcionar la información requerida para la realización de dos (02) talleres con la comunidad para identificar el producto turístico potencial y los factores de potencial influencia en la determinación de la ruta.</w:t>
            </w:r>
          </w:p>
          <w:p w:rsidR="00DA4D6B"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2. Proporcionar la información que sea necesaria para la graficación del producto turístico y la ruta turística identificando los atractivos, recursos o hitos más relevantes.</w:t>
            </w:r>
          </w:p>
          <w:p w:rsidR="00DA4D6B"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3. Establecer una estrategia de conservación para la Ciénaga de la Leche y de la ruta turística diseñada.</w:t>
            </w:r>
          </w:p>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4. Determinar la capacidad de carga de la Ciénaga de la Leche para efectos del desarrollo sostenible del turismo en el área protegida, desde la perspectiva de la oferta ambiental disponible.</w:t>
            </w:r>
          </w:p>
        </w:tc>
      </w:tr>
      <w:tr w:rsidR="1B5AE16B" w:rsidRPr="00C5770E" w:rsidTr="00E34545">
        <w:trPr>
          <w:trHeight w:val="253"/>
        </w:trPr>
        <w:tc>
          <w:tcPr>
            <w:tcW w:w="2089" w:type="dxa"/>
            <w:vMerge/>
            <w:tcBorders>
              <w:left w:val="single" w:sz="0" w:space="0" w:color="auto"/>
              <w:right w:val="single" w:sz="0" w:space="0" w:color="auto"/>
            </w:tcBorders>
            <w:vAlign w:val="center"/>
          </w:tcPr>
          <w:p w:rsidR="00214066" w:rsidRPr="00BE36D3" w:rsidRDefault="00214066">
            <w:pPr>
              <w:contextualSpacing/>
              <w:rPr>
                <w:rFonts w:ascii="Arial" w:hAnsi="Arial" w:cs="Arial"/>
                <w:sz w:val="16"/>
                <w:szCs w:val="16"/>
              </w:rPr>
            </w:pPr>
          </w:p>
        </w:tc>
        <w:tc>
          <w:tcPr>
            <w:tcW w:w="1450"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3202"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2555"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127"/>
        </w:trPr>
        <w:tc>
          <w:tcPr>
            <w:tcW w:w="2089" w:type="dxa"/>
            <w:vMerge/>
            <w:tcBorders>
              <w:left w:val="single" w:sz="0" w:space="0" w:color="auto"/>
              <w:right w:val="single" w:sz="0" w:space="0" w:color="auto"/>
            </w:tcBorders>
            <w:vAlign w:val="center"/>
          </w:tcPr>
          <w:p w:rsidR="00214066" w:rsidRPr="00BE36D3" w:rsidRDefault="00214066">
            <w:pPr>
              <w:contextualSpacing/>
              <w:rPr>
                <w:rFonts w:ascii="Arial" w:hAnsi="Arial" w:cs="Arial"/>
                <w:sz w:val="16"/>
                <w:szCs w:val="16"/>
              </w:rPr>
            </w:pPr>
          </w:p>
        </w:tc>
        <w:tc>
          <w:tcPr>
            <w:tcW w:w="1450" w:type="dxa"/>
            <w:tcBorders>
              <w:top w:val="nil"/>
              <w:left w:val="nil"/>
              <w:bottom w:val="single" w:sz="8" w:space="0" w:color="000000" w:themeColor="text1"/>
              <w:right w:val="single" w:sz="8" w:space="0" w:color="000000" w:themeColor="text1"/>
            </w:tcBorders>
            <w:shd w:val="clear" w:color="auto" w:fill="CCCCFF"/>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Plazo</w:t>
            </w:r>
          </w:p>
        </w:tc>
        <w:tc>
          <w:tcPr>
            <w:tcW w:w="3202" w:type="dxa"/>
            <w:tcBorders>
              <w:top w:val="nil"/>
              <w:left w:val="single" w:sz="8" w:space="0" w:color="000000" w:themeColor="text1"/>
              <w:bottom w:val="single" w:sz="8" w:space="0" w:color="000000" w:themeColor="text1"/>
              <w:right w:val="single" w:sz="8" w:space="0" w:color="000000" w:themeColor="text1"/>
            </w:tcBorders>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3 meses</w:t>
            </w:r>
          </w:p>
        </w:tc>
        <w:tc>
          <w:tcPr>
            <w:tcW w:w="2555"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127"/>
        </w:trPr>
        <w:tc>
          <w:tcPr>
            <w:tcW w:w="2089" w:type="dxa"/>
            <w:vMerge/>
            <w:tcBorders>
              <w:left w:val="single" w:sz="0" w:space="0" w:color="auto"/>
              <w:right w:val="single" w:sz="0" w:space="0" w:color="auto"/>
            </w:tcBorders>
            <w:vAlign w:val="center"/>
          </w:tcPr>
          <w:p w:rsidR="00214066" w:rsidRPr="00BE36D3" w:rsidRDefault="00214066">
            <w:pPr>
              <w:contextualSpacing/>
              <w:rPr>
                <w:rFonts w:ascii="Arial" w:hAnsi="Arial" w:cs="Arial"/>
                <w:sz w:val="16"/>
                <w:szCs w:val="16"/>
              </w:rPr>
            </w:pPr>
          </w:p>
        </w:tc>
        <w:tc>
          <w:tcPr>
            <w:tcW w:w="1450" w:type="dxa"/>
            <w:tcBorders>
              <w:top w:val="single" w:sz="8" w:space="0" w:color="000000" w:themeColor="text1"/>
              <w:left w:val="nil"/>
              <w:bottom w:val="single" w:sz="8" w:space="0" w:color="000000" w:themeColor="text1"/>
              <w:right w:val="single" w:sz="8" w:space="0" w:color="000000" w:themeColor="text1"/>
            </w:tcBorders>
            <w:shd w:val="clear" w:color="auto" w:fill="CCCCFF"/>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Contratista</w:t>
            </w:r>
          </w:p>
        </w:tc>
        <w:tc>
          <w:tcPr>
            <w:tcW w:w="3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 xml:space="preserve">UNIÓN TEMPORAL CIÉNAGA DE LA LECHE </w:t>
            </w:r>
          </w:p>
        </w:tc>
        <w:tc>
          <w:tcPr>
            <w:tcW w:w="2555"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1775"/>
        </w:trPr>
        <w:tc>
          <w:tcPr>
            <w:tcW w:w="2089" w:type="dxa"/>
            <w:vMerge/>
            <w:tcBorders>
              <w:left w:val="single" w:sz="0" w:space="0" w:color="auto"/>
              <w:right w:val="single" w:sz="0" w:space="0" w:color="auto"/>
            </w:tcBorders>
            <w:vAlign w:val="center"/>
          </w:tcPr>
          <w:p w:rsidR="00214066" w:rsidRPr="00BE36D3" w:rsidRDefault="00214066">
            <w:pPr>
              <w:contextualSpacing/>
              <w:rPr>
                <w:rFonts w:ascii="Arial" w:hAnsi="Arial" w:cs="Arial"/>
                <w:sz w:val="16"/>
                <w:szCs w:val="16"/>
              </w:rPr>
            </w:pPr>
          </w:p>
        </w:tc>
        <w:tc>
          <w:tcPr>
            <w:tcW w:w="1450"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CCCCFF"/>
            <w:vAlign w:val="center"/>
          </w:tcPr>
          <w:p w:rsidR="1B5AE16B" w:rsidRPr="00BE36D3" w:rsidRDefault="00AF70C1">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Enlace</w:t>
            </w:r>
            <w:r w:rsidR="1B5AE16B" w:rsidRPr="00BE36D3">
              <w:rPr>
                <w:rFonts w:ascii="Arial" w:eastAsia="Arial Narrow" w:hAnsi="Arial" w:cs="Arial"/>
                <w:b/>
                <w:bCs/>
                <w:color w:val="000000" w:themeColor="text1"/>
                <w:sz w:val="16"/>
                <w:szCs w:val="16"/>
              </w:rPr>
              <w:t xml:space="preserve"> SECOP</w:t>
            </w:r>
          </w:p>
        </w:tc>
        <w:tc>
          <w:tcPr>
            <w:tcW w:w="3202"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rsidR="00132CB7" w:rsidRPr="00BE36D3" w:rsidRDefault="004A4F20">
            <w:pPr>
              <w:contextualSpacing/>
              <w:jc w:val="center"/>
              <w:rPr>
                <w:rFonts w:ascii="Arial" w:hAnsi="Arial" w:cs="Arial"/>
                <w:b/>
                <w:bCs/>
                <w:sz w:val="16"/>
                <w:szCs w:val="16"/>
              </w:rPr>
            </w:pPr>
            <w:hyperlink r:id="rId26">
              <w:r w:rsidR="1B5AE16B" w:rsidRPr="00BE36D3">
                <w:rPr>
                  <w:rStyle w:val="Hipervnculo"/>
                  <w:rFonts w:ascii="Arial" w:eastAsia="Calibri" w:hAnsi="Arial" w:cs="Arial"/>
                  <w:color w:val="0563C1"/>
                  <w:sz w:val="16"/>
                  <w:szCs w:val="16"/>
                </w:rPr>
                <w:t xml:space="preserve">https://www.contratos.gov.co/consultas/detalleProceso.do?numConstancia=19-11-9701099 </w:t>
              </w:r>
            </w:hyperlink>
          </w:p>
        </w:tc>
        <w:tc>
          <w:tcPr>
            <w:tcW w:w="2555"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253"/>
        </w:trPr>
        <w:tc>
          <w:tcPr>
            <w:tcW w:w="2089" w:type="dxa"/>
            <w:vMerge/>
            <w:tcBorders>
              <w:left w:val="single" w:sz="0" w:space="0" w:color="auto"/>
              <w:right w:val="single" w:sz="0" w:space="0" w:color="auto"/>
            </w:tcBorders>
            <w:vAlign w:val="center"/>
          </w:tcPr>
          <w:p w:rsidR="00214066" w:rsidRPr="00BE36D3" w:rsidRDefault="00214066">
            <w:pPr>
              <w:contextualSpacing/>
              <w:rPr>
                <w:rFonts w:ascii="Arial" w:hAnsi="Arial" w:cs="Arial"/>
                <w:sz w:val="16"/>
                <w:szCs w:val="16"/>
              </w:rPr>
            </w:pPr>
          </w:p>
        </w:tc>
        <w:tc>
          <w:tcPr>
            <w:tcW w:w="1450"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3202"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2555"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1741"/>
        </w:trPr>
        <w:tc>
          <w:tcPr>
            <w:tcW w:w="2089" w:type="dxa"/>
            <w:vMerge/>
            <w:tcBorders>
              <w:left w:val="single" w:sz="0" w:space="0" w:color="auto"/>
              <w:right w:val="single" w:sz="0" w:space="0" w:color="auto"/>
            </w:tcBorders>
            <w:vAlign w:val="center"/>
          </w:tcPr>
          <w:p w:rsidR="00214066" w:rsidRPr="00BE36D3" w:rsidRDefault="00214066">
            <w:pPr>
              <w:contextualSpacing/>
              <w:rPr>
                <w:rFonts w:ascii="Arial" w:hAnsi="Arial" w:cs="Arial"/>
                <w:sz w:val="16"/>
                <w:szCs w:val="16"/>
              </w:rPr>
            </w:pPr>
          </w:p>
        </w:tc>
        <w:tc>
          <w:tcPr>
            <w:tcW w:w="1450"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3202"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2555"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1572"/>
        </w:trPr>
        <w:tc>
          <w:tcPr>
            <w:tcW w:w="2089" w:type="dxa"/>
            <w:vMerge w:val="restart"/>
            <w:tcBorders>
              <w:top w:val="single" w:sz="8" w:space="0" w:color="000000" w:themeColor="text1"/>
              <w:left w:val="single" w:sz="4" w:space="0" w:color="000000" w:themeColor="text1"/>
              <w:bottom w:val="single" w:sz="4" w:space="0" w:color="000000" w:themeColor="text1"/>
              <w:right w:val="single" w:sz="8" w:space="0" w:color="000000" w:themeColor="text1"/>
            </w:tcBorders>
            <w:shd w:val="clear" w:color="auto" w:fill="666699"/>
            <w:vAlign w:val="center"/>
          </w:tcPr>
          <w:p w:rsidR="1B5AE16B" w:rsidRPr="00BE36D3" w:rsidRDefault="1B5AE16B">
            <w:pPr>
              <w:contextualSpacing/>
              <w:jc w:val="center"/>
              <w:rPr>
                <w:rFonts w:ascii="Arial" w:eastAsia="Arial Narrow" w:hAnsi="Arial" w:cs="Arial"/>
                <w:b/>
                <w:bCs/>
                <w:color w:val="FFFFFF" w:themeColor="background1"/>
                <w:sz w:val="16"/>
                <w:szCs w:val="16"/>
              </w:rPr>
            </w:pPr>
            <w:r w:rsidRPr="00BE36D3">
              <w:rPr>
                <w:rFonts w:ascii="Arial" w:eastAsia="Arial Narrow" w:hAnsi="Arial" w:cs="Arial"/>
                <w:b/>
                <w:bCs/>
                <w:color w:val="FFFFFF" w:themeColor="background1"/>
                <w:sz w:val="16"/>
                <w:szCs w:val="16"/>
              </w:rPr>
              <w:t>MST-MC-AL-001-2019</w:t>
            </w:r>
          </w:p>
        </w:tc>
        <w:tc>
          <w:tcPr>
            <w:tcW w:w="145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FF"/>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Objeto</w:t>
            </w:r>
          </w:p>
        </w:tc>
        <w:tc>
          <w:tcPr>
            <w:tcW w:w="320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1B5AE16B" w:rsidRPr="00BE36D3" w:rsidRDefault="1B5AE16B">
            <w:pPr>
              <w:contextualSpacing/>
              <w:jc w:val="center"/>
              <w:rPr>
                <w:rFonts w:ascii="Arial" w:eastAsia="Arial Narrow" w:hAnsi="Arial" w:cs="Arial"/>
                <w:i/>
                <w:iCs/>
                <w:color w:val="000000" w:themeColor="text1"/>
                <w:sz w:val="16"/>
                <w:szCs w:val="16"/>
              </w:rPr>
            </w:pPr>
            <w:r w:rsidRPr="00BE36D3">
              <w:rPr>
                <w:rFonts w:ascii="Arial" w:eastAsia="Arial Narrow" w:hAnsi="Arial" w:cs="Arial"/>
                <w:i/>
                <w:iCs/>
                <w:color w:val="000000" w:themeColor="text1"/>
                <w:sz w:val="16"/>
                <w:szCs w:val="16"/>
              </w:rPr>
              <w:t>APOYO LOGÍSTICO QUE PERMITA GARANTIZAR LA REALIZACIÓN DE LAS REGATAS DE VELEROS ARTESANALES, A FIN DE PROMOVER ESTA ACTIVIDAD COMO ATRACCIÓN TURÍSTICA EN EL MUNICIPIO DE SANTIAGO DE TOLÚ -</w:t>
            </w:r>
            <w:r w:rsidR="00DA4D6B">
              <w:rPr>
                <w:rFonts w:ascii="Arial" w:eastAsia="Arial Narrow" w:hAnsi="Arial" w:cs="Arial"/>
                <w:i/>
                <w:iCs/>
                <w:color w:val="000000" w:themeColor="text1"/>
                <w:sz w:val="16"/>
                <w:szCs w:val="16"/>
              </w:rPr>
              <w:t xml:space="preserve"> </w:t>
            </w:r>
            <w:r w:rsidRPr="00BE36D3">
              <w:rPr>
                <w:rFonts w:ascii="Arial" w:eastAsia="Arial Narrow" w:hAnsi="Arial" w:cs="Arial"/>
                <w:i/>
                <w:iCs/>
                <w:color w:val="000000" w:themeColor="text1"/>
                <w:sz w:val="16"/>
                <w:szCs w:val="16"/>
              </w:rPr>
              <w:t>SUCRE”.</w:t>
            </w:r>
          </w:p>
        </w:tc>
        <w:tc>
          <w:tcPr>
            <w:tcW w:w="2555" w:type="dxa"/>
            <w:vMerge w:val="restart"/>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CCCCFF"/>
            <w:vAlign w:val="center"/>
          </w:tcPr>
          <w:p w:rsidR="1B5AE16B" w:rsidRPr="00BE36D3" w:rsidRDefault="1B5AE16B">
            <w:pPr>
              <w:contextualSpacing/>
              <w:jc w:val="center"/>
              <w:rPr>
                <w:rFonts w:ascii="Arial" w:eastAsia="Arial Narrow" w:hAnsi="Arial" w:cs="Arial"/>
                <w:b/>
                <w:bCs/>
                <w:color w:val="000000" w:themeColor="text1"/>
                <w:sz w:val="16"/>
                <w:szCs w:val="16"/>
              </w:rPr>
            </w:pPr>
            <w:r w:rsidRPr="00BE36D3">
              <w:rPr>
                <w:rFonts w:ascii="Arial" w:eastAsia="Arial Narrow" w:hAnsi="Arial" w:cs="Arial"/>
                <w:b/>
                <w:bCs/>
                <w:color w:val="000000" w:themeColor="text1"/>
                <w:sz w:val="16"/>
                <w:szCs w:val="16"/>
              </w:rPr>
              <w:t>Actividades</w:t>
            </w:r>
          </w:p>
        </w:tc>
      </w:tr>
      <w:tr w:rsidR="1B5AE16B" w:rsidRPr="00C5770E" w:rsidTr="00E34545">
        <w:trPr>
          <w:trHeight w:val="184"/>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3202"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2555"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253"/>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vMerge w:val="restart"/>
            <w:tcBorders>
              <w:top w:val="nil"/>
              <w:left w:val="single" w:sz="8" w:space="0" w:color="000000" w:themeColor="text1"/>
              <w:bottom w:val="single" w:sz="8" w:space="0" w:color="000000" w:themeColor="text1"/>
              <w:right w:val="single" w:sz="8" w:space="0" w:color="000000" w:themeColor="text1"/>
            </w:tcBorders>
            <w:shd w:val="clear" w:color="auto" w:fill="CCCCFF"/>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Valor</w:t>
            </w:r>
          </w:p>
        </w:tc>
        <w:tc>
          <w:tcPr>
            <w:tcW w:w="3202" w:type="dxa"/>
            <w:vMerge w:val="restart"/>
            <w:tcBorders>
              <w:top w:val="nil"/>
              <w:left w:val="single" w:sz="8" w:space="0" w:color="000000" w:themeColor="text1"/>
              <w:bottom w:val="single" w:sz="8" w:space="0" w:color="000000" w:themeColor="text1"/>
              <w:right w:val="single" w:sz="8" w:space="0" w:color="000000" w:themeColor="text1"/>
            </w:tcBorders>
            <w:vAlign w:val="center"/>
          </w:tcPr>
          <w:p w:rsidR="1B5AE16B" w:rsidRPr="00BE36D3" w:rsidRDefault="00DA4D6B">
            <w:pPr>
              <w:contextualSpacing/>
              <w:jc w:val="center"/>
              <w:rPr>
                <w:rFonts w:ascii="Arial" w:eastAsia="Arial Narrow" w:hAnsi="Arial" w:cs="Arial"/>
                <w:color w:val="000000" w:themeColor="text1"/>
                <w:sz w:val="16"/>
                <w:szCs w:val="16"/>
              </w:rPr>
            </w:pPr>
            <w:r>
              <w:rPr>
                <w:rFonts w:ascii="Arial" w:eastAsia="Arial Narrow" w:hAnsi="Arial" w:cs="Arial"/>
                <w:color w:val="000000" w:themeColor="text1"/>
                <w:sz w:val="16"/>
                <w:szCs w:val="16"/>
              </w:rPr>
              <w:t>$</w:t>
            </w:r>
            <w:r w:rsidR="1B5AE16B" w:rsidRPr="00BE36D3">
              <w:rPr>
                <w:rFonts w:ascii="Arial" w:eastAsia="Arial Narrow" w:hAnsi="Arial" w:cs="Arial"/>
                <w:color w:val="000000" w:themeColor="text1"/>
                <w:sz w:val="16"/>
                <w:szCs w:val="16"/>
              </w:rPr>
              <w:t>21.469.500</w:t>
            </w:r>
          </w:p>
        </w:tc>
        <w:tc>
          <w:tcPr>
            <w:tcW w:w="2555" w:type="dxa"/>
            <w:vMerge w:val="restart"/>
            <w:tcBorders>
              <w:top w:val="nil"/>
              <w:left w:val="single" w:sz="8" w:space="0" w:color="000000" w:themeColor="text1"/>
              <w:bottom w:val="single" w:sz="4" w:space="0" w:color="000000" w:themeColor="text1"/>
              <w:right w:val="single" w:sz="4" w:space="0" w:color="000000" w:themeColor="text1"/>
            </w:tcBorders>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Suministro de 50 pacas de agua, 300 refrigerios, 130 almuerzos, alquiler de 5 lanchas, contratación de jueces y personal logístico, suministro de 180 busos, 180 gorras, 15 camisetas, un pe</w:t>
            </w:r>
            <w:r w:rsidR="394F4121" w:rsidRPr="00BE36D3">
              <w:rPr>
                <w:rFonts w:ascii="Arial" w:eastAsia="Arial Narrow" w:hAnsi="Arial" w:cs="Arial"/>
                <w:color w:val="000000" w:themeColor="text1"/>
                <w:sz w:val="16"/>
                <w:szCs w:val="16"/>
              </w:rPr>
              <w:t>n</w:t>
            </w:r>
            <w:r w:rsidRPr="00BE36D3">
              <w:rPr>
                <w:rFonts w:ascii="Arial" w:eastAsia="Arial Narrow" w:hAnsi="Arial" w:cs="Arial"/>
                <w:color w:val="000000" w:themeColor="text1"/>
                <w:sz w:val="16"/>
                <w:szCs w:val="16"/>
              </w:rPr>
              <w:t>dón, 8 banderines y 4 pasacalles.</w:t>
            </w:r>
          </w:p>
        </w:tc>
      </w:tr>
      <w:tr w:rsidR="1B5AE16B" w:rsidRPr="00C5770E" w:rsidTr="00410498">
        <w:trPr>
          <w:trHeight w:val="184"/>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3202"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2555"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410498">
        <w:trPr>
          <w:trHeight w:val="394"/>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tcBorders>
              <w:top w:val="nil"/>
              <w:left w:val="nil"/>
              <w:bottom w:val="single" w:sz="8" w:space="0" w:color="000000" w:themeColor="text1"/>
              <w:right w:val="single" w:sz="8" w:space="0" w:color="000000" w:themeColor="text1"/>
            </w:tcBorders>
            <w:shd w:val="clear" w:color="auto" w:fill="CCCCFF"/>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Plazo</w:t>
            </w:r>
          </w:p>
        </w:tc>
        <w:tc>
          <w:tcPr>
            <w:tcW w:w="3202" w:type="dxa"/>
            <w:tcBorders>
              <w:top w:val="nil"/>
              <w:left w:val="single" w:sz="8" w:space="0" w:color="000000" w:themeColor="text1"/>
              <w:bottom w:val="single" w:sz="8" w:space="0" w:color="000000" w:themeColor="text1"/>
              <w:right w:val="single" w:sz="8" w:space="0" w:color="000000" w:themeColor="text1"/>
            </w:tcBorders>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 xml:space="preserve">3 días </w:t>
            </w:r>
          </w:p>
        </w:tc>
        <w:tc>
          <w:tcPr>
            <w:tcW w:w="2555"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410498">
        <w:trPr>
          <w:trHeight w:val="418"/>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tcBorders>
              <w:top w:val="single" w:sz="8" w:space="0" w:color="000000" w:themeColor="text1"/>
              <w:left w:val="nil"/>
              <w:bottom w:val="single" w:sz="8" w:space="0" w:color="000000" w:themeColor="text1"/>
              <w:right w:val="single" w:sz="8" w:space="0" w:color="000000" w:themeColor="text1"/>
            </w:tcBorders>
            <w:shd w:val="clear" w:color="auto" w:fill="CCCCFF"/>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Contratista</w:t>
            </w:r>
          </w:p>
        </w:tc>
        <w:tc>
          <w:tcPr>
            <w:tcW w:w="3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FUNDACIÓN HUELLAS ECOLÓGICAS</w:t>
            </w:r>
          </w:p>
        </w:tc>
        <w:tc>
          <w:tcPr>
            <w:tcW w:w="2555"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374"/>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CCCCFF"/>
            <w:vAlign w:val="center"/>
          </w:tcPr>
          <w:p w:rsidR="1B5AE16B" w:rsidRPr="00BE36D3" w:rsidRDefault="00AF70C1">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Enlace</w:t>
            </w:r>
            <w:r w:rsidR="1B5AE16B" w:rsidRPr="00BE36D3">
              <w:rPr>
                <w:rFonts w:ascii="Arial" w:eastAsia="Arial Narrow" w:hAnsi="Arial" w:cs="Arial"/>
                <w:b/>
                <w:bCs/>
                <w:color w:val="000000" w:themeColor="text1"/>
                <w:sz w:val="16"/>
                <w:szCs w:val="16"/>
              </w:rPr>
              <w:t xml:space="preserve"> SECOP</w:t>
            </w:r>
          </w:p>
        </w:tc>
        <w:tc>
          <w:tcPr>
            <w:tcW w:w="3202"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rsidR="1B5AE16B" w:rsidRPr="00BE36D3" w:rsidRDefault="004A4F20">
            <w:pPr>
              <w:contextualSpacing/>
              <w:jc w:val="center"/>
              <w:rPr>
                <w:rFonts w:ascii="Arial" w:hAnsi="Arial" w:cs="Arial"/>
                <w:sz w:val="16"/>
                <w:szCs w:val="16"/>
              </w:rPr>
            </w:pPr>
            <w:hyperlink r:id="rId27">
              <w:r w:rsidR="1B5AE16B" w:rsidRPr="00BE36D3">
                <w:rPr>
                  <w:rStyle w:val="Hipervnculo"/>
                  <w:rFonts w:ascii="Arial" w:eastAsia="Calibri" w:hAnsi="Arial" w:cs="Arial"/>
                  <w:color w:val="0563C1"/>
                  <w:sz w:val="16"/>
                  <w:szCs w:val="16"/>
                </w:rPr>
                <w:t xml:space="preserve">https://www.contratos.gov.co/consultas/detalleProceso.do?numConstancia=19-13-8896949 </w:t>
              </w:r>
            </w:hyperlink>
          </w:p>
        </w:tc>
        <w:tc>
          <w:tcPr>
            <w:tcW w:w="2555"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253"/>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3202"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2555"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253"/>
        </w:trPr>
        <w:tc>
          <w:tcPr>
            <w:tcW w:w="2089"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3202"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2555"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1558"/>
        </w:trPr>
        <w:tc>
          <w:tcPr>
            <w:tcW w:w="2089" w:type="dxa"/>
            <w:vMerge w:val="restart"/>
            <w:tcBorders>
              <w:top w:val="single" w:sz="8" w:space="0" w:color="000000" w:themeColor="text1"/>
              <w:left w:val="single" w:sz="4" w:space="0" w:color="000000" w:themeColor="text1"/>
              <w:bottom w:val="single" w:sz="4" w:space="0" w:color="000000" w:themeColor="text1"/>
              <w:right w:val="single" w:sz="8" w:space="0" w:color="000000" w:themeColor="text1"/>
            </w:tcBorders>
            <w:shd w:val="clear" w:color="auto" w:fill="666699"/>
            <w:vAlign w:val="center"/>
          </w:tcPr>
          <w:p w:rsidR="1B5AE16B" w:rsidRPr="00BE36D3" w:rsidRDefault="1B5AE16B">
            <w:pPr>
              <w:ind w:left="708" w:hanging="708"/>
              <w:contextualSpacing/>
              <w:jc w:val="center"/>
              <w:rPr>
                <w:rFonts w:ascii="Arial" w:eastAsia="Arial Narrow" w:hAnsi="Arial" w:cs="Arial"/>
                <w:b/>
                <w:bCs/>
                <w:color w:val="FFFFFF" w:themeColor="background1"/>
                <w:sz w:val="16"/>
                <w:szCs w:val="16"/>
              </w:rPr>
            </w:pPr>
            <w:r w:rsidRPr="00BE36D3">
              <w:rPr>
                <w:rFonts w:ascii="Arial" w:eastAsia="Arial Narrow" w:hAnsi="Arial" w:cs="Arial"/>
                <w:b/>
                <w:bCs/>
                <w:color w:val="FFFFFF" w:themeColor="background1"/>
                <w:sz w:val="16"/>
                <w:szCs w:val="16"/>
              </w:rPr>
              <w:t xml:space="preserve"> ST-CPS-002-2020</w:t>
            </w:r>
          </w:p>
        </w:tc>
        <w:tc>
          <w:tcPr>
            <w:tcW w:w="145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CCCFF"/>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Objeto</w:t>
            </w:r>
          </w:p>
        </w:tc>
        <w:tc>
          <w:tcPr>
            <w:tcW w:w="3202"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1B5AE16B" w:rsidRPr="00BE36D3" w:rsidRDefault="1B5AE16B">
            <w:pPr>
              <w:contextualSpacing/>
              <w:jc w:val="center"/>
              <w:rPr>
                <w:rFonts w:ascii="Arial" w:eastAsia="Arial Narrow" w:hAnsi="Arial" w:cs="Arial"/>
                <w:i/>
                <w:iCs/>
                <w:color w:val="000000" w:themeColor="text1"/>
                <w:sz w:val="16"/>
                <w:szCs w:val="16"/>
              </w:rPr>
            </w:pPr>
            <w:r w:rsidRPr="00BE36D3">
              <w:rPr>
                <w:rFonts w:ascii="Arial" w:eastAsia="Arial Narrow" w:hAnsi="Arial" w:cs="Arial"/>
                <w:i/>
                <w:iCs/>
                <w:color w:val="000000" w:themeColor="text1"/>
                <w:sz w:val="16"/>
                <w:szCs w:val="16"/>
              </w:rPr>
              <w:t>PRESTACIÓN DE SERVICIOS DE APOYO LOGÍSTICO QUE PERMITA GARANTIZAR LA REALIZACIÓN DE LAS REGATAS DE VELEROS ARTESANALES, A FIN DE PROMOVER ESTA ACTIVIDAD COMO ATRACCIÓN TURÍSTICA EN EL MUNICIPIO DE SANTIAGO DE TOLÚ – SUCRE</w:t>
            </w:r>
          </w:p>
        </w:tc>
        <w:tc>
          <w:tcPr>
            <w:tcW w:w="2555" w:type="dxa"/>
            <w:vMerge w:val="restart"/>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CCCCFF"/>
            <w:vAlign w:val="center"/>
          </w:tcPr>
          <w:p w:rsidR="1B5AE16B" w:rsidRPr="00BE36D3" w:rsidRDefault="1B5AE16B">
            <w:pPr>
              <w:contextualSpacing/>
              <w:jc w:val="center"/>
              <w:rPr>
                <w:rFonts w:ascii="Arial" w:eastAsia="Arial Narrow" w:hAnsi="Arial" w:cs="Arial"/>
                <w:b/>
                <w:bCs/>
                <w:color w:val="000000" w:themeColor="text1"/>
                <w:sz w:val="16"/>
                <w:szCs w:val="16"/>
              </w:rPr>
            </w:pPr>
            <w:r w:rsidRPr="00BE36D3">
              <w:rPr>
                <w:rFonts w:ascii="Arial" w:eastAsia="Arial Narrow" w:hAnsi="Arial" w:cs="Arial"/>
                <w:b/>
                <w:bCs/>
                <w:color w:val="000000" w:themeColor="text1"/>
                <w:sz w:val="16"/>
                <w:szCs w:val="16"/>
              </w:rPr>
              <w:t>Actividades</w:t>
            </w:r>
          </w:p>
        </w:tc>
      </w:tr>
      <w:tr w:rsidR="1B5AE16B" w:rsidRPr="00C5770E" w:rsidTr="00E34545">
        <w:trPr>
          <w:trHeight w:val="184"/>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3202"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2555"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253"/>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vMerge w:val="restart"/>
            <w:tcBorders>
              <w:top w:val="nil"/>
              <w:left w:val="single" w:sz="8" w:space="0" w:color="000000" w:themeColor="text1"/>
              <w:bottom w:val="single" w:sz="8" w:space="0" w:color="000000" w:themeColor="text1"/>
              <w:right w:val="single" w:sz="8" w:space="0" w:color="000000" w:themeColor="text1"/>
            </w:tcBorders>
            <w:shd w:val="clear" w:color="auto" w:fill="CCCCFF"/>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Valor</w:t>
            </w:r>
          </w:p>
        </w:tc>
        <w:tc>
          <w:tcPr>
            <w:tcW w:w="3202" w:type="dxa"/>
            <w:vMerge w:val="restart"/>
            <w:tcBorders>
              <w:top w:val="nil"/>
              <w:left w:val="single" w:sz="8" w:space="0" w:color="000000" w:themeColor="text1"/>
              <w:bottom w:val="single" w:sz="8" w:space="0" w:color="000000" w:themeColor="text1"/>
              <w:right w:val="single" w:sz="8" w:space="0" w:color="000000" w:themeColor="text1"/>
            </w:tcBorders>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$24.070.000</w:t>
            </w:r>
          </w:p>
        </w:tc>
        <w:tc>
          <w:tcPr>
            <w:tcW w:w="2555" w:type="dxa"/>
            <w:vMerge w:val="restart"/>
            <w:tcBorders>
              <w:top w:val="nil"/>
              <w:left w:val="single" w:sz="8" w:space="0" w:color="000000" w:themeColor="text1"/>
              <w:bottom w:val="single" w:sz="4" w:space="0" w:color="000000" w:themeColor="text1"/>
              <w:right w:val="single" w:sz="4" w:space="0" w:color="000000" w:themeColor="text1"/>
            </w:tcBorders>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Suministro de 100 pacas de agua, 350 refrigerios, 150 almuerzos, alquiler de 5 lanchas, contratación de jueces y personal logístico, suministro de 280 busos, 280 gorras, 25 camisetas, un pe</w:t>
            </w:r>
            <w:r w:rsidR="77C9D2E3" w:rsidRPr="00BE36D3">
              <w:rPr>
                <w:rFonts w:ascii="Arial" w:eastAsia="Arial Narrow" w:hAnsi="Arial" w:cs="Arial"/>
                <w:color w:val="000000" w:themeColor="text1"/>
                <w:sz w:val="16"/>
                <w:szCs w:val="16"/>
              </w:rPr>
              <w:t>n</w:t>
            </w:r>
            <w:r w:rsidRPr="00BE36D3">
              <w:rPr>
                <w:rFonts w:ascii="Arial" w:eastAsia="Arial Narrow" w:hAnsi="Arial" w:cs="Arial"/>
                <w:color w:val="000000" w:themeColor="text1"/>
                <w:sz w:val="16"/>
                <w:szCs w:val="16"/>
              </w:rPr>
              <w:t>dón, 10 banderines y 1 pasacalles.</w:t>
            </w:r>
          </w:p>
        </w:tc>
      </w:tr>
      <w:tr w:rsidR="1B5AE16B" w:rsidRPr="00C5770E" w:rsidTr="00E34545">
        <w:trPr>
          <w:trHeight w:val="184"/>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3202"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2555"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410498">
        <w:trPr>
          <w:trHeight w:val="388"/>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tcBorders>
              <w:top w:val="nil"/>
              <w:left w:val="nil"/>
              <w:bottom w:val="single" w:sz="8" w:space="0" w:color="000000" w:themeColor="text1"/>
              <w:right w:val="single" w:sz="8" w:space="0" w:color="000000" w:themeColor="text1"/>
            </w:tcBorders>
            <w:shd w:val="clear" w:color="auto" w:fill="CCCCFF"/>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Plazo</w:t>
            </w:r>
          </w:p>
        </w:tc>
        <w:tc>
          <w:tcPr>
            <w:tcW w:w="3202" w:type="dxa"/>
            <w:tcBorders>
              <w:top w:val="nil"/>
              <w:left w:val="single" w:sz="8" w:space="0" w:color="000000" w:themeColor="text1"/>
              <w:bottom w:val="single" w:sz="8" w:space="0" w:color="000000" w:themeColor="text1"/>
              <w:right w:val="single" w:sz="8" w:space="0" w:color="000000" w:themeColor="text1"/>
            </w:tcBorders>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color w:val="000000" w:themeColor="text1"/>
                <w:sz w:val="16"/>
                <w:szCs w:val="16"/>
              </w:rPr>
              <w:t xml:space="preserve">3 días </w:t>
            </w:r>
          </w:p>
        </w:tc>
        <w:tc>
          <w:tcPr>
            <w:tcW w:w="2555"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570DAC" w:rsidTr="00E34545">
        <w:trPr>
          <w:trHeight w:val="127"/>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tcBorders>
              <w:top w:val="single" w:sz="8" w:space="0" w:color="000000" w:themeColor="text1"/>
              <w:left w:val="nil"/>
              <w:bottom w:val="single" w:sz="8" w:space="0" w:color="000000" w:themeColor="text1"/>
              <w:right w:val="single" w:sz="8" w:space="0" w:color="000000" w:themeColor="text1"/>
            </w:tcBorders>
            <w:shd w:val="clear" w:color="auto" w:fill="CCCCFF"/>
            <w:vAlign w:val="center"/>
          </w:tcPr>
          <w:p w:rsidR="1B5AE16B" w:rsidRPr="00BE36D3" w:rsidRDefault="1B5AE16B">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Contratista</w:t>
            </w:r>
          </w:p>
        </w:tc>
        <w:tc>
          <w:tcPr>
            <w:tcW w:w="320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1B5AE16B" w:rsidRPr="00BE36D3" w:rsidRDefault="1B5AE16B">
            <w:pPr>
              <w:contextualSpacing/>
              <w:jc w:val="center"/>
              <w:rPr>
                <w:rFonts w:ascii="Arial" w:eastAsia="Arial Narrow" w:hAnsi="Arial" w:cs="Arial"/>
                <w:color w:val="000000" w:themeColor="text1"/>
                <w:sz w:val="16"/>
                <w:szCs w:val="16"/>
                <w:lang w:val="pt-BR"/>
              </w:rPr>
            </w:pPr>
            <w:r w:rsidRPr="00BE36D3">
              <w:rPr>
                <w:rFonts w:ascii="Arial" w:eastAsia="Arial Narrow" w:hAnsi="Arial" w:cs="Arial"/>
                <w:color w:val="000000" w:themeColor="text1"/>
                <w:sz w:val="16"/>
                <w:szCs w:val="16"/>
                <w:lang w:val="pt-BR"/>
              </w:rPr>
              <w:t xml:space="preserve">JOSÉ DAVID DE JESÚS DORADO DORIA </w:t>
            </w:r>
          </w:p>
        </w:tc>
        <w:tc>
          <w:tcPr>
            <w:tcW w:w="2555"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lang w:val="pt-BR"/>
              </w:rPr>
            </w:pPr>
          </w:p>
        </w:tc>
      </w:tr>
      <w:tr w:rsidR="1B5AE16B" w:rsidRPr="00C5770E" w:rsidTr="00E34545">
        <w:trPr>
          <w:trHeight w:val="368"/>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lang w:val="pt-BR"/>
              </w:rPr>
            </w:pPr>
          </w:p>
        </w:tc>
        <w:tc>
          <w:tcPr>
            <w:tcW w:w="1450"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CCCCFF"/>
            <w:vAlign w:val="center"/>
          </w:tcPr>
          <w:p w:rsidR="1B5AE16B" w:rsidRPr="00BE36D3" w:rsidRDefault="00AF70C1">
            <w:pPr>
              <w:contextualSpacing/>
              <w:jc w:val="center"/>
              <w:rPr>
                <w:rFonts w:ascii="Arial" w:eastAsia="Arial Narrow" w:hAnsi="Arial" w:cs="Arial"/>
                <w:color w:val="000000" w:themeColor="text1"/>
                <w:sz w:val="16"/>
                <w:szCs w:val="16"/>
              </w:rPr>
            </w:pPr>
            <w:r w:rsidRPr="00BE36D3">
              <w:rPr>
                <w:rFonts w:ascii="Arial" w:eastAsia="Arial Narrow" w:hAnsi="Arial" w:cs="Arial"/>
                <w:b/>
                <w:bCs/>
                <w:color w:val="000000" w:themeColor="text1"/>
                <w:sz w:val="16"/>
                <w:szCs w:val="16"/>
              </w:rPr>
              <w:t>Enlace</w:t>
            </w:r>
            <w:r w:rsidR="1B5AE16B" w:rsidRPr="00BE36D3">
              <w:rPr>
                <w:rFonts w:ascii="Arial" w:eastAsia="Arial Narrow" w:hAnsi="Arial" w:cs="Arial"/>
                <w:b/>
                <w:bCs/>
                <w:color w:val="000000" w:themeColor="text1"/>
                <w:sz w:val="16"/>
                <w:szCs w:val="16"/>
              </w:rPr>
              <w:t xml:space="preserve"> SECOP</w:t>
            </w:r>
          </w:p>
        </w:tc>
        <w:tc>
          <w:tcPr>
            <w:tcW w:w="3202"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vAlign w:val="center"/>
          </w:tcPr>
          <w:p w:rsidR="1B5AE16B" w:rsidRPr="00BE36D3" w:rsidRDefault="004A4F20">
            <w:pPr>
              <w:contextualSpacing/>
              <w:jc w:val="center"/>
              <w:rPr>
                <w:rFonts w:ascii="Arial" w:hAnsi="Arial" w:cs="Arial"/>
                <w:sz w:val="16"/>
                <w:szCs w:val="16"/>
              </w:rPr>
            </w:pPr>
            <w:hyperlink r:id="rId28">
              <w:r w:rsidR="1B5AE16B" w:rsidRPr="00BE36D3">
                <w:rPr>
                  <w:rStyle w:val="Hipervnculo"/>
                  <w:rFonts w:ascii="Arial" w:eastAsia="Calibri" w:hAnsi="Arial" w:cs="Arial"/>
                  <w:color w:val="0563C1"/>
                  <w:sz w:val="16"/>
                  <w:szCs w:val="16"/>
                </w:rPr>
                <w:t>https://www.contratos.gov.co/consultas/detalleProceso.do?numConstancia=20-12-10310695</w:t>
              </w:r>
            </w:hyperlink>
          </w:p>
        </w:tc>
        <w:tc>
          <w:tcPr>
            <w:tcW w:w="2555"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253"/>
        </w:trPr>
        <w:tc>
          <w:tcPr>
            <w:tcW w:w="2089"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3202"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2555" w:type="dxa"/>
            <w:vMerge/>
            <w:tcBorders>
              <w:left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r w:rsidR="1B5AE16B" w:rsidRPr="00C5770E" w:rsidTr="00E34545">
        <w:trPr>
          <w:trHeight w:val="253"/>
        </w:trPr>
        <w:tc>
          <w:tcPr>
            <w:tcW w:w="2089"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1450"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3202"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c>
          <w:tcPr>
            <w:tcW w:w="2555" w:type="dxa"/>
            <w:vMerge/>
            <w:tcBorders>
              <w:left w:val="single" w:sz="0" w:space="0" w:color="000000" w:themeColor="text1"/>
              <w:bottom w:val="single" w:sz="0" w:space="0" w:color="000000" w:themeColor="text1"/>
              <w:right w:val="single" w:sz="0" w:space="0" w:color="000000" w:themeColor="text1"/>
            </w:tcBorders>
            <w:vAlign w:val="center"/>
          </w:tcPr>
          <w:p w:rsidR="00214066" w:rsidRPr="00BE36D3" w:rsidRDefault="00214066">
            <w:pPr>
              <w:contextualSpacing/>
              <w:rPr>
                <w:rFonts w:ascii="Arial" w:hAnsi="Arial" w:cs="Arial"/>
                <w:sz w:val="16"/>
                <w:szCs w:val="16"/>
              </w:rPr>
            </w:pPr>
          </w:p>
        </w:tc>
      </w:tr>
    </w:tbl>
    <w:p w:rsidR="009E5A95" w:rsidRPr="00BE36D3" w:rsidRDefault="009E5A95">
      <w:pPr>
        <w:spacing w:line="240" w:lineRule="auto"/>
        <w:contextualSpacing/>
        <w:jc w:val="center"/>
        <w:rPr>
          <w:rFonts w:ascii="Arial" w:hAnsi="Arial" w:cs="Arial"/>
          <w:sz w:val="20"/>
          <w:szCs w:val="20"/>
        </w:rPr>
      </w:pPr>
      <w:r w:rsidRPr="00BE36D3">
        <w:rPr>
          <w:rFonts w:ascii="Arial" w:hAnsi="Arial" w:cs="Arial"/>
          <w:b/>
          <w:bCs/>
          <w:sz w:val="20"/>
          <w:szCs w:val="20"/>
        </w:rPr>
        <w:t xml:space="preserve">Fuente: </w:t>
      </w:r>
      <w:r w:rsidRPr="00BE36D3">
        <w:rPr>
          <w:rFonts w:ascii="Arial" w:hAnsi="Arial" w:cs="Arial"/>
          <w:sz w:val="20"/>
          <w:szCs w:val="20"/>
        </w:rPr>
        <w:t>Elaboración propia con base en la información contractual publicada en la Plataforma SECOP.</w:t>
      </w:r>
    </w:p>
    <w:p w:rsidR="00C5770E" w:rsidRPr="00BE36D3" w:rsidRDefault="00C5770E">
      <w:pPr>
        <w:spacing w:line="240" w:lineRule="auto"/>
        <w:contextualSpacing/>
        <w:jc w:val="both"/>
        <w:rPr>
          <w:rFonts w:ascii="Arial" w:eastAsia="Arial Narrow" w:hAnsi="Arial" w:cs="Arial"/>
        </w:rPr>
      </w:pPr>
    </w:p>
    <w:p w:rsidR="00AE45EA" w:rsidRPr="00BE36D3" w:rsidRDefault="004B4B74">
      <w:pPr>
        <w:spacing w:line="240" w:lineRule="auto"/>
        <w:contextualSpacing/>
        <w:jc w:val="both"/>
        <w:rPr>
          <w:rFonts w:ascii="Arial" w:eastAsia="Arial Narrow" w:hAnsi="Arial" w:cs="Arial"/>
        </w:rPr>
      </w:pPr>
      <w:r w:rsidRPr="00BE36D3">
        <w:rPr>
          <w:rFonts w:ascii="Arial" w:eastAsia="Arial Narrow" w:hAnsi="Arial" w:cs="Arial"/>
        </w:rPr>
        <w:t>Vale la pena destacar</w:t>
      </w:r>
      <w:r w:rsidR="00622CF7" w:rsidRPr="00BE36D3">
        <w:rPr>
          <w:rFonts w:ascii="Arial" w:eastAsia="Arial Narrow" w:hAnsi="Arial" w:cs="Arial"/>
        </w:rPr>
        <w:t xml:space="preserve"> </w:t>
      </w:r>
      <w:r w:rsidRPr="00BE36D3">
        <w:rPr>
          <w:rFonts w:ascii="Arial" w:eastAsia="Arial Narrow" w:hAnsi="Arial" w:cs="Arial"/>
        </w:rPr>
        <w:t>e</w:t>
      </w:r>
      <w:r w:rsidR="2912ED31" w:rsidRPr="00BE36D3">
        <w:rPr>
          <w:rFonts w:ascii="Arial" w:eastAsia="Arial Narrow" w:hAnsi="Arial" w:cs="Arial"/>
        </w:rPr>
        <w:t xml:space="preserve">l </w:t>
      </w:r>
      <w:r w:rsidR="00DA4D6B">
        <w:rPr>
          <w:rFonts w:ascii="Arial" w:eastAsia="Arial Narrow" w:hAnsi="Arial" w:cs="Arial"/>
        </w:rPr>
        <w:t>C</w:t>
      </w:r>
      <w:r w:rsidR="2758A273" w:rsidRPr="00BE36D3">
        <w:rPr>
          <w:rFonts w:ascii="Arial" w:eastAsia="Arial Narrow" w:hAnsi="Arial" w:cs="Arial"/>
        </w:rPr>
        <w:t>on</w:t>
      </w:r>
      <w:r w:rsidR="00975C7E">
        <w:rPr>
          <w:rFonts w:ascii="Arial" w:eastAsia="Arial Narrow" w:hAnsi="Arial" w:cs="Arial"/>
        </w:rPr>
        <w:t>venio</w:t>
      </w:r>
      <w:r w:rsidR="5CA995EE" w:rsidRPr="00BE36D3">
        <w:rPr>
          <w:rFonts w:ascii="Arial" w:eastAsia="Arial Narrow" w:hAnsi="Arial" w:cs="Arial"/>
        </w:rPr>
        <w:t xml:space="preserve"> MST-SAMC-ALT-005-2019</w:t>
      </w:r>
      <w:r w:rsidR="2758A273" w:rsidRPr="00BE36D3">
        <w:rPr>
          <w:rFonts w:ascii="Arial" w:eastAsia="Arial Narrow" w:hAnsi="Arial" w:cs="Arial"/>
        </w:rPr>
        <w:t xml:space="preserve"> de prestación de servicios</w:t>
      </w:r>
      <w:r w:rsidRPr="00BE36D3">
        <w:rPr>
          <w:rFonts w:ascii="Arial" w:eastAsia="Arial Narrow" w:hAnsi="Arial" w:cs="Arial"/>
        </w:rPr>
        <w:t xml:space="preserve">, dada su estructura particular de financiamiento. </w:t>
      </w:r>
      <w:r w:rsidR="00975C7E">
        <w:rPr>
          <w:rFonts w:ascii="Arial" w:eastAsia="Arial Narrow" w:hAnsi="Arial" w:cs="Arial"/>
        </w:rPr>
        <w:t>Este</w:t>
      </w:r>
      <w:r w:rsidRPr="00BE36D3">
        <w:rPr>
          <w:rFonts w:ascii="Arial" w:eastAsia="Arial Narrow" w:hAnsi="Arial" w:cs="Arial"/>
        </w:rPr>
        <w:t xml:space="preserve"> </w:t>
      </w:r>
      <w:r w:rsidR="00975C7E">
        <w:rPr>
          <w:rFonts w:ascii="Arial" w:eastAsia="Arial Narrow" w:hAnsi="Arial" w:cs="Arial"/>
        </w:rPr>
        <w:t>C</w:t>
      </w:r>
      <w:r w:rsidR="00975C7E" w:rsidRPr="00BE36D3">
        <w:rPr>
          <w:rFonts w:ascii="Arial" w:eastAsia="Arial Narrow" w:hAnsi="Arial" w:cs="Arial"/>
        </w:rPr>
        <w:t xml:space="preserve">onvenio </w:t>
      </w:r>
      <w:r w:rsidR="00975C7E">
        <w:rPr>
          <w:rFonts w:ascii="Arial" w:eastAsia="Arial Narrow" w:hAnsi="Arial" w:cs="Arial"/>
        </w:rPr>
        <w:t>S</w:t>
      </w:r>
      <w:r w:rsidR="00975C7E" w:rsidRPr="00BE36D3">
        <w:rPr>
          <w:rFonts w:ascii="Arial" w:eastAsia="Arial Narrow" w:hAnsi="Arial" w:cs="Arial"/>
        </w:rPr>
        <w:t xml:space="preserve">uscrito entre el Municipio de Santiago de </w:t>
      </w:r>
      <w:r w:rsidR="00975C7E">
        <w:rPr>
          <w:rFonts w:ascii="Arial" w:eastAsia="Arial Narrow" w:hAnsi="Arial" w:cs="Arial"/>
        </w:rPr>
        <w:t>Tolú - Sucre</w:t>
      </w:r>
      <w:r w:rsidR="00975C7E" w:rsidRPr="00BE36D3">
        <w:rPr>
          <w:rFonts w:ascii="Arial" w:eastAsia="Arial Narrow" w:hAnsi="Arial" w:cs="Arial"/>
        </w:rPr>
        <w:t xml:space="preserve"> y el Fondo Nacional del Turismo (FONTUR) </w:t>
      </w:r>
      <w:r w:rsidR="2758A273" w:rsidRPr="00BE36D3">
        <w:rPr>
          <w:rFonts w:ascii="Arial" w:eastAsia="Arial Narrow" w:hAnsi="Arial" w:cs="Arial"/>
        </w:rPr>
        <w:t xml:space="preserve">está dirigido </w:t>
      </w:r>
      <w:r w:rsidR="14AA0892" w:rsidRPr="00BE36D3">
        <w:rPr>
          <w:rFonts w:ascii="Arial" w:eastAsia="Arial Narrow" w:hAnsi="Arial" w:cs="Arial"/>
        </w:rPr>
        <w:t xml:space="preserve">a llevar a cabo las actividades a cargo de la </w:t>
      </w:r>
      <w:r w:rsidR="00DA4D6B">
        <w:rPr>
          <w:rFonts w:ascii="Arial" w:eastAsia="Arial Narrow" w:hAnsi="Arial" w:cs="Arial"/>
        </w:rPr>
        <w:t>E</w:t>
      </w:r>
      <w:r w:rsidR="14AA0892" w:rsidRPr="00BE36D3">
        <w:rPr>
          <w:rFonts w:ascii="Arial" w:eastAsia="Arial Narrow" w:hAnsi="Arial" w:cs="Arial"/>
        </w:rPr>
        <w:t xml:space="preserve">ntidad </w:t>
      </w:r>
      <w:r w:rsidR="00DA4D6B">
        <w:rPr>
          <w:rFonts w:ascii="Arial" w:eastAsia="Arial Narrow" w:hAnsi="Arial" w:cs="Arial"/>
        </w:rPr>
        <w:t>T</w:t>
      </w:r>
      <w:r w:rsidR="14AA0892" w:rsidRPr="00BE36D3">
        <w:rPr>
          <w:rFonts w:ascii="Arial" w:eastAsia="Arial Narrow" w:hAnsi="Arial" w:cs="Arial"/>
        </w:rPr>
        <w:t>erritorial</w:t>
      </w:r>
      <w:r w:rsidR="00975C7E">
        <w:rPr>
          <w:rFonts w:ascii="Arial" w:eastAsia="Arial Narrow" w:hAnsi="Arial" w:cs="Arial"/>
        </w:rPr>
        <w:t xml:space="preserve"> </w:t>
      </w:r>
      <w:r w:rsidR="72AC0863" w:rsidRPr="00BE36D3">
        <w:rPr>
          <w:rFonts w:ascii="Arial" w:eastAsia="Arial Narrow" w:hAnsi="Arial" w:cs="Arial"/>
        </w:rPr>
        <w:t xml:space="preserve">para </w:t>
      </w:r>
      <w:r w:rsidR="00975C7E">
        <w:rPr>
          <w:rFonts w:ascii="Arial" w:eastAsia="Arial Narrow" w:hAnsi="Arial" w:cs="Arial"/>
        </w:rPr>
        <w:t>desarrollar</w:t>
      </w:r>
      <w:r w:rsidR="72AC0863" w:rsidRPr="00BE36D3">
        <w:rPr>
          <w:rFonts w:ascii="Arial" w:eastAsia="Arial Narrow" w:hAnsi="Arial" w:cs="Arial"/>
        </w:rPr>
        <w:t xml:space="preserve"> </w:t>
      </w:r>
      <w:r w:rsidR="6037F8E6" w:rsidRPr="00BE36D3">
        <w:rPr>
          <w:rFonts w:ascii="Arial" w:eastAsia="Arial Narrow" w:hAnsi="Arial" w:cs="Arial"/>
        </w:rPr>
        <w:t xml:space="preserve">el proyecto de </w:t>
      </w:r>
      <w:r w:rsidR="00DA4D6B">
        <w:rPr>
          <w:rFonts w:ascii="Arial" w:eastAsia="Arial Narrow" w:hAnsi="Arial" w:cs="Arial"/>
        </w:rPr>
        <w:t>d</w:t>
      </w:r>
      <w:r w:rsidR="6037F8E6" w:rsidRPr="00BE36D3">
        <w:rPr>
          <w:rFonts w:ascii="Arial" w:eastAsia="Arial Narrow" w:hAnsi="Arial" w:cs="Arial"/>
        </w:rPr>
        <w:t xml:space="preserve">esarrollo </w:t>
      </w:r>
      <w:r w:rsidR="00DA4D6B">
        <w:rPr>
          <w:rFonts w:ascii="Arial" w:eastAsia="Arial Narrow" w:hAnsi="Arial" w:cs="Arial"/>
        </w:rPr>
        <w:t>t</w:t>
      </w:r>
      <w:r w:rsidR="6037F8E6" w:rsidRPr="00BE36D3">
        <w:rPr>
          <w:rFonts w:ascii="Arial" w:eastAsia="Arial Narrow" w:hAnsi="Arial" w:cs="Arial"/>
        </w:rPr>
        <w:t xml:space="preserve">urístico de un producto y una ruta turística. Este contrato es financiado </w:t>
      </w:r>
      <w:r w:rsidRPr="00BE36D3">
        <w:rPr>
          <w:rFonts w:ascii="Arial" w:eastAsia="Arial Narrow" w:hAnsi="Arial" w:cs="Arial"/>
        </w:rPr>
        <w:t xml:space="preserve">en </w:t>
      </w:r>
      <w:r w:rsidR="6037F8E6" w:rsidRPr="00BE36D3">
        <w:rPr>
          <w:rFonts w:ascii="Arial" w:eastAsia="Arial Narrow" w:hAnsi="Arial" w:cs="Arial"/>
        </w:rPr>
        <w:t>un 80</w:t>
      </w:r>
      <w:r w:rsidR="00DA4D6B">
        <w:rPr>
          <w:rFonts w:ascii="Arial" w:eastAsia="Arial Narrow" w:hAnsi="Arial" w:cs="Arial"/>
        </w:rPr>
        <w:t xml:space="preserve"> </w:t>
      </w:r>
      <w:r w:rsidR="6037F8E6" w:rsidRPr="00BE36D3">
        <w:rPr>
          <w:rFonts w:ascii="Arial" w:eastAsia="Arial Narrow" w:hAnsi="Arial" w:cs="Arial"/>
        </w:rPr>
        <w:t xml:space="preserve">% </w:t>
      </w:r>
      <w:r w:rsidR="004FE48F" w:rsidRPr="00BE36D3">
        <w:rPr>
          <w:rFonts w:ascii="Arial" w:eastAsia="Arial Narrow" w:hAnsi="Arial" w:cs="Arial"/>
        </w:rPr>
        <w:t>con recursos de FONTUR y el 20</w:t>
      </w:r>
      <w:r w:rsidR="00DA4D6B">
        <w:rPr>
          <w:rFonts w:ascii="Arial" w:eastAsia="Arial Narrow" w:hAnsi="Arial" w:cs="Arial"/>
        </w:rPr>
        <w:t xml:space="preserve"> </w:t>
      </w:r>
      <w:r w:rsidR="004FE48F" w:rsidRPr="00BE36D3">
        <w:rPr>
          <w:rFonts w:ascii="Arial" w:eastAsia="Arial Narrow" w:hAnsi="Arial" w:cs="Arial"/>
        </w:rPr>
        <w:t>% restante con recursos del Municipi</w:t>
      </w:r>
      <w:r w:rsidR="0F7BEB2D" w:rsidRPr="00BE36D3">
        <w:rPr>
          <w:rFonts w:ascii="Arial" w:eastAsia="Arial Narrow" w:hAnsi="Arial" w:cs="Arial"/>
        </w:rPr>
        <w:t>o con cargo a recursos propios y a recursos de Libre Inversión de Propósito General.</w:t>
      </w:r>
    </w:p>
    <w:p w:rsidR="00C5770E" w:rsidRPr="00BE36D3" w:rsidRDefault="00C5770E">
      <w:pPr>
        <w:spacing w:line="240" w:lineRule="auto"/>
        <w:contextualSpacing/>
        <w:jc w:val="both"/>
        <w:rPr>
          <w:rFonts w:ascii="Arial" w:eastAsia="Arial Narrow" w:hAnsi="Arial" w:cs="Arial"/>
        </w:rPr>
      </w:pPr>
    </w:p>
    <w:p w:rsidR="00961229" w:rsidRPr="00BE36D3" w:rsidRDefault="00003F10">
      <w:pPr>
        <w:spacing w:line="240" w:lineRule="auto"/>
        <w:contextualSpacing/>
        <w:jc w:val="both"/>
        <w:rPr>
          <w:rFonts w:ascii="Arial" w:eastAsia="Arial Narrow" w:hAnsi="Arial" w:cs="Arial"/>
          <w:b/>
          <w:bCs/>
        </w:rPr>
      </w:pPr>
      <w:r>
        <w:rPr>
          <w:rFonts w:ascii="Arial" w:eastAsia="Arial Narrow" w:hAnsi="Arial" w:cs="Arial"/>
          <w:b/>
          <w:bCs/>
        </w:rPr>
        <w:t>Problemáticas</w:t>
      </w:r>
      <w:r w:rsidR="00366E18" w:rsidRPr="00BE36D3">
        <w:rPr>
          <w:rFonts w:ascii="Arial" w:eastAsia="Arial Narrow" w:hAnsi="Arial" w:cs="Arial"/>
          <w:b/>
          <w:bCs/>
        </w:rPr>
        <w:t xml:space="preserve"> identificadas</w:t>
      </w:r>
      <w:r w:rsidR="00DA4D6B">
        <w:rPr>
          <w:rFonts w:ascii="Arial" w:eastAsia="Arial Narrow" w:hAnsi="Arial" w:cs="Arial"/>
          <w:b/>
          <w:bCs/>
        </w:rPr>
        <w:t>.</w:t>
      </w:r>
    </w:p>
    <w:p w:rsidR="00C5770E" w:rsidRPr="00BE36D3" w:rsidRDefault="00C5770E">
      <w:pPr>
        <w:spacing w:line="240" w:lineRule="auto"/>
        <w:contextualSpacing/>
        <w:jc w:val="both"/>
        <w:rPr>
          <w:rFonts w:ascii="Arial" w:eastAsia="Arial Narrow" w:hAnsi="Arial" w:cs="Arial"/>
          <w:b/>
          <w:bCs/>
        </w:rPr>
      </w:pPr>
    </w:p>
    <w:p w:rsidR="004266FC" w:rsidRPr="00BE36D3" w:rsidRDefault="004266FC">
      <w:pPr>
        <w:spacing w:line="240" w:lineRule="auto"/>
        <w:contextualSpacing/>
        <w:jc w:val="both"/>
        <w:rPr>
          <w:rFonts w:ascii="Arial" w:eastAsia="Arial Narrow" w:hAnsi="Arial" w:cs="Arial"/>
        </w:rPr>
      </w:pPr>
      <w:r w:rsidRPr="00BE36D3">
        <w:rPr>
          <w:rFonts w:ascii="Arial" w:eastAsia="Arial Narrow" w:hAnsi="Arial" w:cs="Arial"/>
        </w:rPr>
        <w:t>Una vez efectuada la revisión de los contratos del Municipio de Santiago de Tolú – Sucre, remitidos por el DNP, que fueron financiados con cargo a la Participación de Propósito General</w:t>
      </w:r>
      <w:r w:rsidR="004B4B74" w:rsidRPr="00BE36D3">
        <w:rPr>
          <w:rFonts w:ascii="Arial" w:eastAsia="Arial Narrow" w:hAnsi="Arial" w:cs="Arial"/>
        </w:rPr>
        <w:t>,</w:t>
      </w:r>
      <w:r w:rsidRPr="00BE36D3">
        <w:rPr>
          <w:rFonts w:ascii="Arial" w:eastAsia="Arial Narrow" w:hAnsi="Arial" w:cs="Arial"/>
        </w:rPr>
        <w:t xml:space="preserve"> se evidenciaron las siguientes situaciones de riesgo</w:t>
      </w:r>
      <w:r w:rsidR="003349C8" w:rsidRPr="00BE36D3">
        <w:rPr>
          <w:rFonts w:ascii="Arial" w:eastAsia="Arial Narrow" w:hAnsi="Arial" w:cs="Arial"/>
        </w:rPr>
        <w:t xml:space="preserve"> en las vigencias 2017, 2018, 2019 y 2020</w:t>
      </w:r>
      <w:r w:rsidRPr="00BE36D3">
        <w:rPr>
          <w:rFonts w:ascii="Arial" w:eastAsia="Arial Narrow" w:hAnsi="Arial" w:cs="Arial"/>
        </w:rPr>
        <w:t>:</w:t>
      </w:r>
    </w:p>
    <w:p w:rsidR="00C5770E" w:rsidRPr="00BE36D3" w:rsidRDefault="00C5770E">
      <w:pPr>
        <w:spacing w:line="240" w:lineRule="auto"/>
        <w:contextualSpacing/>
        <w:jc w:val="both"/>
        <w:rPr>
          <w:rFonts w:ascii="Arial" w:eastAsia="Arial Narrow" w:hAnsi="Arial" w:cs="Arial"/>
        </w:rPr>
      </w:pPr>
    </w:p>
    <w:p w:rsidR="00366E18" w:rsidRPr="00BE36D3" w:rsidRDefault="00366E18">
      <w:pPr>
        <w:spacing w:line="240" w:lineRule="auto"/>
        <w:contextualSpacing/>
        <w:jc w:val="both"/>
        <w:rPr>
          <w:rFonts w:ascii="Arial" w:eastAsia="Arial Narrow" w:hAnsi="Arial" w:cs="Arial"/>
          <w:b/>
          <w:bCs/>
        </w:rPr>
      </w:pPr>
      <w:r w:rsidRPr="00BE36D3">
        <w:rPr>
          <w:rFonts w:ascii="Arial" w:eastAsia="Arial Narrow" w:hAnsi="Arial" w:cs="Arial"/>
          <w:b/>
          <w:bCs/>
        </w:rPr>
        <w:t>No publicación de documentos contractuales en la plataforma SECOP</w:t>
      </w:r>
      <w:r w:rsidR="003E3C40" w:rsidRPr="00BE36D3">
        <w:rPr>
          <w:rFonts w:ascii="Arial" w:eastAsia="Arial Narrow" w:hAnsi="Arial" w:cs="Arial"/>
          <w:b/>
          <w:bCs/>
        </w:rPr>
        <w:t>:</w:t>
      </w:r>
    </w:p>
    <w:p w:rsidR="00C5770E" w:rsidRPr="00BE36D3" w:rsidRDefault="00C5770E">
      <w:pPr>
        <w:spacing w:line="240" w:lineRule="auto"/>
        <w:contextualSpacing/>
        <w:jc w:val="both"/>
        <w:rPr>
          <w:rFonts w:ascii="Arial" w:eastAsia="Arial Narrow" w:hAnsi="Arial" w:cs="Arial"/>
          <w:b/>
          <w:bCs/>
          <w:i/>
          <w:iCs/>
        </w:rPr>
      </w:pPr>
    </w:p>
    <w:p w:rsidR="003E3C40" w:rsidRPr="00BE36D3" w:rsidRDefault="003E3C40">
      <w:pPr>
        <w:spacing w:after="0" w:line="240" w:lineRule="auto"/>
        <w:contextualSpacing/>
        <w:jc w:val="both"/>
        <w:rPr>
          <w:rFonts w:ascii="Arial" w:hAnsi="Arial" w:cs="Arial"/>
        </w:rPr>
      </w:pPr>
      <w:r w:rsidRPr="00BE36D3">
        <w:rPr>
          <w:rFonts w:ascii="Arial" w:hAnsi="Arial" w:cs="Arial"/>
        </w:rPr>
        <w:t xml:space="preserve">Al revisar el </w:t>
      </w:r>
      <w:r w:rsidR="00DA4D6B">
        <w:rPr>
          <w:rFonts w:ascii="Arial" w:hAnsi="Arial" w:cs="Arial"/>
        </w:rPr>
        <w:t>C</w:t>
      </w:r>
      <w:r w:rsidRPr="00BE36D3">
        <w:rPr>
          <w:rFonts w:ascii="Arial" w:hAnsi="Arial" w:cs="Arial"/>
        </w:rPr>
        <w:t xml:space="preserve">ontrato </w:t>
      </w:r>
      <w:r w:rsidR="00DA4D6B">
        <w:rPr>
          <w:rFonts w:ascii="Arial" w:hAnsi="Arial" w:cs="Arial"/>
        </w:rPr>
        <w:t>I</w:t>
      </w:r>
      <w:r w:rsidRPr="00BE36D3">
        <w:rPr>
          <w:rFonts w:ascii="Arial" w:hAnsi="Arial" w:cs="Arial"/>
        </w:rPr>
        <w:t>nteradministrativo No. MT-CD-CI-001-2017 cuyo objeto fue “</w:t>
      </w:r>
      <w:r w:rsidR="00DA4D6B" w:rsidRPr="00C5770E">
        <w:rPr>
          <w:rFonts w:ascii="Arial" w:eastAsia="Arial" w:hAnsi="Arial" w:cs="Arial"/>
          <w:i/>
          <w:iCs/>
          <w:color w:val="000000" w:themeColor="text1"/>
        </w:rPr>
        <w:t xml:space="preserve">Prestación de servicios de salud para el desarrollo de las actividades colectivas en salud </w:t>
      </w:r>
      <w:r w:rsidR="00DA4D6B" w:rsidRPr="00C5770E">
        <w:rPr>
          <w:rFonts w:ascii="Arial" w:eastAsia="Arial" w:hAnsi="Arial" w:cs="Arial"/>
          <w:i/>
          <w:iCs/>
          <w:color w:val="000000" w:themeColor="text1"/>
        </w:rPr>
        <w:lastRenderedPageBreak/>
        <w:t>publica establecidas en el Plan de Acción en Salud del Municipio de Santiago de Tolú- Departamento de Sucre</w:t>
      </w:r>
      <w:r w:rsidRPr="00BE36D3">
        <w:rPr>
          <w:rFonts w:ascii="Arial" w:eastAsia="Arial" w:hAnsi="Arial" w:cs="Arial"/>
          <w:i/>
          <w:iCs/>
          <w:color w:val="000000" w:themeColor="text1"/>
        </w:rPr>
        <w:t xml:space="preserve">”, </w:t>
      </w:r>
      <w:r w:rsidRPr="00BE36D3">
        <w:rPr>
          <w:rFonts w:ascii="Arial" w:hAnsi="Arial" w:cs="Arial"/>
        </w:rPr>
        <w:t>financiado con cargo a la Participación de Propósito General</w:t>
      </w:r>
      <w:r w:rsidR="00DA4D6B">
        <w:rPr>
          <w:rFonts w:ascii="Arial" w:hAnsi="Arial" w:cs="Arial"/>
        </w:rPr>
        <w:t xml:space="preserve"> de </w:t>
      </w:r>
      <w:r w:rsidRPr="00BE36D3">
        <w:rPr>
          <w:rFonts w:ascii="Arial" w:hAnsi="Arial" w:cs="Arial"/>
        </w:rPr>
        <w:t xml:space="preserve">Libre Inversión, suscrito entre el Municipio de Santiago de </w:t>
      </w:r>
      <w:r w:rsidR="000966E6">
        <w:rPr>
          <w:rFonts w:ascii="Arial" w:hAnsi="Arial" w:cs="Arial"/>
        </w:rPr>
        <w:t>Tolú - Sucre</w:t>
      </w:r>
      <w:r w:rsidRPr="00BE36D3">
        <w:rPr>
          <w:rFonts w:ascii="Arial" w:hAnsi="Arial" w:cs="Arial"/>
        </w:rPr>
        <w:t xml:space="preserve"> y el Hospital local</w:t>
      </w:r>
      <w:r w:rsidR="004B4B74" w:rsidRPr="00BE36D3">
        <w:rPr>
          <w:rFonts w:ascii="Arial" w:hAnsi="Arial" w:cs="Arial"/>
        </w:rPr>
        <w:t>,</w:t>
      </w:r>
      <w:r w:rsidRPr="00BE36D3">
        <w:rPr>
          <w:rFonts w:ascii="Arial" w:hAnsi="Arial" w:cs="Arial"/>
        </w:rPr>
        <w:t xml:space="preserve"> esta Dirección pudo constatar que no fue publicado en la plataforma SECOP, así como sus respectivos documentos contractuales asociados.</w:t>
      </w:r>
    </w:p>
    <w:p w:rsidR="003E3C40" w:rsidRPr="00BE36D3" w:rsidRDefault="003E3C40">
      <w:pPr>
        <w:spacing w:after="0" w:line="240" w:lineRule="auto"/>
        <w:contextualSpacing/>
        <w:jc w:val="both"/>
        <w:rPr>
          <w:rFonts w:ascii="Arial" w:hAnsi="Arial" w:cs="Arial"/>
        </w:rPr>
      </w:pPr>
    </w:p>
    <w:p w:rsidR="003E3C40" w:rsidRPr="00BE36D3" w:rsidRDefault="003E3C40">
      <w:pPr>
        <w:spacing w:after="0" w:line="240" w:lineRule="auto"/>
        <w:contextualSpacing/>
        <w:jc w:val="both"/>
        <w:rPr>
          <w:rFonts w:ascii="Arial" w:hAnsi="Arial" w:cs="Arial"/>
        </w:rPr>
      </w:pPr>
      <w:r w:rsidRPr="00BE36D3">
        <w:rPr>
          <w:rFonts w:ascii="Arial" w:hAnsi="Arial" w:cs="Arial"/>
        </w:rPr>
        <w:t xml:space="preserve">Por otra parte, en el </w:t>
      </w:r>
      <w:r w:rsidR="00DA4D6B">
        <w:rPr>
          <w:rFonts w:ascii="Arial" w:hAnsi="Arial" w:cs="Arial"/>
        </w:rPr>
        <w:t>C</w:t>
      </w:r>
      <w:r w:rsidRPr="00BE36D3">
        <w:rPr>
          <w:rFonts w:ascii="Arial" w:hAnsi="Arial" w:cs="Arial"/>
        </w:rPr>
        <w:t>ontrato MST-CD-CA-005-2017, cuyo objeto fue “</w:t>
      </w:r>
      <w:r w:rsidR="00DA4D6B" w:rsidRPr="00C5770E">
        <w:rPr>
          <w:rFonts w:ascii="Arial" w:hAnsi="Arial" w:cs="Arial"/>
          <w:i/>
          <w:iCs/>
        </w:rPr>
        <w:t>Aunar esfuerzos humanos, económicos y operativos para apoyo a la selección de para atletismo municipal en el primer abierto nacional paraolímpico categoría juvenil y mayores en Cali, en representación del Municipio Santiago de Tolú, vigencia 2017</w:t>
      </w:r>
      <w:r w:rsidRPr="00BE36D3">
        <w:rPr>
          <w:rFonts w:ascii="Arial" w:hAnsi="Arial" w:cs="Arial"/>
        </w:rPr>
        <w:t xml:space="preserve">” se pudo observar que en el SECOP </w:t>
      </w:r>
      <w:r w:rsidR="00AD7699" w:rsidRPr="00BE36D3">
        <w:rPr>
          <w:rFonts w:ascii="Arial" w:hAnsi="Arial" w:cs="Arial"/>
        </w:rPr>
        <w:t xml:space="preserve">no </w:t>
      </w:r>
      <w:r w:rsidRPr="00BE36D3">
        <w:rPr>
          <w:rFonts w:ascii="Arial" w:hAnsi="Arial" w:cs="Arial"/>
        </w:rPr>
        <w:t xml:space="preserve">se encuentran informes de supervisión y </w:t>
      </w:r>
      <w:r w:rsidR="00AD7699" w:rsidRPr="00BE36D3">
        <w:rPr>
          <w:rFonts w:ascii="Arial" w:hAnsi="Arial" w:cs="Arial"/>
        </w:rPr>
        <w:t xml:space="preserve">demás </w:t>
      </w:r>
      <w:r w:rsidRPr="00BE36D3">
        <w:rPr>
          <w:rFonts w:ascii="Arial" w:hAnsi="Arial" w:cs="Arial"/>
        </w:rPr>
        <w:t>soporte</w:t>
      </w:r>
      <w:r w:rsidR="00AD7699" w:rsidRPr="00BE36D3">
        <w:rPr>
          <w:rFonts w:ascii="Arial" w:hAnsi="Arial" w:cs="Arial"/>
        </w:rPr>
        <w:t>s</w:t>
      </w:r>
      <w:r w:rsidRPr="00BE36D3">
        <w:rPr>
          <w:rFonts w:ascii="Arial" w:hAnsi="Arial" w:cs="Arial"/>
        </w:rPr>
        <w:t xml:space="preserve"> de la ejecución del contrato.</w:t>
      </w:r>
    </w:p>
    <w:p w:rsidR="003E3C40" w:rsidRPr="00BE36D3" w:rsidRDefault="003E3C40">
      <w:pPr>
        <w:spacing w:after="0" w:line="240" w:lineRule="auto"/>
        <w:contextualSpacing/>
        <w:jc w:val="both"/>
        <w:rPr>
          <w:rFonts w:ascii="Arial" w:hAnsi="Arial" w:cs="Arial"/>
        </w:rPr>
      </w:pPr>
    </w:p>
    <w:p w:rsidR="003E3C40" w:rsidRDefault="003E3C40">
      <w:pPr>
        <w:spacing w:line="240" w:lineRule="auto"/>
        <w:contextualSpacing/>
        <w:jc w:val="both"/>
        <w:rPr>
          <w:rFonts w:ascii="Arial" w:hAnsi="Arial" w:cs="Arial"/>
        </w:rPr>
      </w:pPr>
      <w:r w:rsidRPr="00BE36D3">
        <w:rPr>
          <w:rFonts w:ascii="Arial" w:hAnsi="Arial" w:cs="Arial"/>
        </w:rPr>
        <w:t xml:space="preserve">De igual manera, de acuerdo con el Informe de Monitoreo en Campo, en el SECOP (única fuente de información utilizada debido a que no se suministró el expediente), no se identifica documentación asociada a las etapas contractual y post – contractual: CDP, RP, </w:t>
      </w:r>
      <w:r w:rsidR="00DA4D6B">
        <w:rPr>
          <w:rFonts w:ascii="Arial" w:hAnsi="Arial" w:cs="Arial"/>
        </w:rPr>
        <w:t>p</w:t>
      </w:r>
      <w:r w:rsidRPr="00BE36D3">
        <w:rPr>
          <w:rFonts w:ascii="Arial" w:hAnsi="Arial" w:cs="Arial"/>
        </w:rPr>
        <w:t xml:space="preserve">agos, </w:t>
      </w:r>
      <w:r w:rsidR="00DA4D6B">
        <w:rPr>
          <w:rFonts w:ascii="Arial" w:hAnsi="Arial" w:cs="Arial"/>
        </w:rPr>
        <w:t>i</w:t>
      </w:r>
      <w:r w:rsidRPr="00BE36D3">
        <w:rPr>
          <w:rFonts w:ascii="Arial" w:hAnsi="Arial" w:cs="Arial"/>
        </w:rPr>
        <w:t xml:space="preserve">nformes de supervisión, actas de liquidación, entre otros, en el </w:t>
      </w:r>
      <w:r w:rsidR="00DA4D6B">
        <w:rPr>
          <w:rFonts w:ascii="Arial" w:hAnsi="Arial" w:cs="Arial"/>
        </w:rPr>
        <w:t>C</w:t>
      </w:r>
      <w:r w:rsidRPr="00BE36D3">
        <w:rPr>
          <w:rFonts w:ascii="Arial" w:hAnsi="Arial" w:cs="Arial"/>
        </w:rPr>
        <w:t>ontrato MST-CD-CA-003-2017 con objeto “</w:t>
      </w:r>
      <w:r w:rsidR="00DA4D6B" w:rsidRPr="00C5770E">
        <w:rPr>
          <w:rFonts w:ascii="Arial" w:hAnsi="Arial" w:cs="Arial"/>
          <w:i/>
          <w:iCs/>
        </w:rPr>
        <w:t>Unión de esfuerzos administrativos y económicos para la ejecución del proyecto social denominado atención integral de los grupos vulnerables (niños, niñas y jóvenes, mujer y género, discapacitados, adulto mayor) del Municipio Santiago de Tolú, vigencia 2017</w:t>
      </w:r>
      <w:r w:rsidRPr="00BE36D3">
        <w:rPr>
          <w:rFonts w:ascii="Arial" w:hAnsi="Arial" w:cs="Arial"/>
        </w:rPr>
        <w:t>”.</w:t>
      </w:r>
    </w:p>
    <w:p w:rsidR="00C5770E" w:rsidRDefault="00C5770E">
      <w:pPr>
        <w:spacing w:line="240" w:lineRule="auto"/>
        <w:contextualSpacing/>
        <w:jc w:val="both"/>
        <w:rPr>
          <w:rFonts w:ascii="Arial" w:hAnsi="Arial" w:cs="Arial"/>
        </w:rPr>
      </w:pPr>
    </w:p>
    <w:p w:rsidR="00224E4D" w:rsidRDefault="00224E4D">
      <w:pPr>
        <w:spacing w:line="240" w:lineRule="auto"/>
        <w:contextualSpacing/>
        <w:jc w:val="both"/>
        <w:rPr>
          <w:rFonts w:ascii="Arial" w:hAnsi="Arial" w:cs="Arial"/>
        </w:rPr>
      </w:pPr>
      <w:r>
        <w:rPr>
          <w:rFonts w:ascii="Arial" w:hAnsi="Arial" w:cs="Arial"/>
        </w:rPr>
        <w:t>As</w:t>
      </w:r>
      <w:r w:rsidR="008B307E">
        <w:rPr>
          <w:rFonts w:ascii="Arial" w:hAnsi="Arial" w:cs="Arial"/>
        </w:rPr>
        <w:t xml:space="preserve">í </w:t>
      </w:r>
      <w:r>
        <w:rPr>
          <w:rFonts w:ascii="Arial" w:hAnsi="Arial" w:cs="Arial"/>
        </w:rPr>
        <w:t xml:space="preserve">mismo, en los contratos </w:t>
      </w:r>
      <w:r w:rsidRPr="00224E4D">
        <w:rPr>
          <w:rFonts w:ascii="Arial" w:hAnsi="Arial" w:cs="Arial"/>
        </w:rPr>
        <w:t>MST-MIN-019-2018</w:t>
      </w:r>
      <w:r>
        <w:rPr>
          <w:rFonts w:ascii="Arial" w:hAnsi="Arial" w:cs="Arial"/>
        </w:rPr>
        <w:t xml:space="preserve"> “</w:t>
      </w:r>
      <w:r w:rsidRPr="00224E4D">
        <w:rPr>
          <w:rFonts w:ascii="Arial" w:hAnsi="Arial" w:cs="Arial"/>
          <w:i/>
          <w:iCs/>
        </w:rPr>
        <w:t>Prestación de servicios de apoyo logístico para el desarrollo de actividades deportivas dirigida a las mujeres del municipio de Santiago de Tolú en marco de la celebración del día de la mujer 2018”</w:t>
      </w:r>
      <w:r>
        <w:rPr>
          <w:rFonts w:ascii="Arial" w:hAnsi="Arial" w:cs="Arial"/>
        </w:rPr>
        <w:t xml:space="preserve"> y </w:t>
      </w:r>
      <w:r w:rsidRPr="00224E4D">
        <w:rPr>
          <w:rFonts w:ascii="Arial" w:hAnsi="Arial" w:cs="Arial"/>
        </w:rPr>
        <w:t>MST-MIN-065-2018</w:t>
      </w:r>
      <w:r>
        <w:rPr>
          <w:rFonts w:ascii="Arial" w:hAnsi="Arial" w:cs="Arial"/>
        </w:rPr>
        <w:t xml:space="preserve"> “</w:t>
      </w:r>
      <w:r>
        <w:rPr>
          <w:rFonts w:ascii="Arial" w:hAnsi="Arial" w:cs="Arial"/>
          <w:i/>
          <w:iCs/>
        </w:rPr>
        <w:t>P</w:t>
      </w:r>
      <w:r w:rsidRPr="00224E4D">
        <w:rPr>
          <w:rFonts w:ascii="Arial" w:hAnsi="Arial" w:cs="Arial"/>
          <w:i/>
          <w:iCs/>
        </w:rPr>
        <w:t xml:space="preserve">restación de servicio para la implementación de campaña preventiva contra el uso de pólvora durante el mes de diciembre en el municipio de </w:t>
      </w:r>
      <w:r>
        <w:rPr>
          <w:rFonts w:ascii="Arial" w:hAnsi="Arial" w:cs="Arial"/>
          <w:i/>
          <w:iCs/>
        </w:rPr>
        <w:t>S</w:t>
      </w:r>
      <w:r w:rsidRPr="00224E4D">
        <w:rPr>
          <w:rFonts w:ascii="Arial" w:hAnsi="Arial" w:cs="Arial"/>
          <w:i/>
          <w:iCs/>
        </w:rPr>
        <w:t xml:space="preserve">antiago de </w:t>
      </w:r>
      <w:r>
        <w:rPr>
          <w:rFonts w:ascii="Arial" w:hAnsi="Arial" w:cs="Arial"/>
          <w:i/>
          <w:iCs/>
        </w:rPr>
        <w:t>T</w:t>
      </w:r>
      <w:r w:rsidRPr="00224E4D">
        <w:rPr>
          <w:rFonts w:ascii="Arial" w:hAnsi="Arial" w:cs="Arial"/>
          <w:i/>
          <w:iCs/>
        </w:rPr>
        <w:t>ol</w:t>
      </w:r>
      <w:r>
        <w:rPr>
          <w:rFonts w:ascii="Arial" w:hAnsi="Arial" w:cs="Arial"/>
          <w:i/>
          <w:iCs/>
        </w:rPr>
        <w:t xml:space="preserve">ú” </w:t>
      </w:r>
      <w:r>
        <w:rPr>
          <w:rFonts w:ascii="Arial" w:hAnsi="Arial" w:cs="Arial"/>
          <w:b/>
          <w:bCs/>
        </w:rPr>
        <w:t xml:space="preserve"> </w:t>
      </w:r>
      <w:r>
        <w:rPr>
          <w:rFonts w:ascii="Arial" w:hAnsi="Arial" w:cs="Arial"/>
        </w:rPr>
        <w:t>no se encuentran publicados los documentos de la etapa contractual (informes de ejecución, supervisión) ni los documentos de la etapa post-contractual.</w:t>
      </w:r>
    </w:p>
    <w:p w:rsidR="00224E4D" w:rsidRPr="00224E4D" w:rsidRDefault="00224E4D">
      <w:pPr>
        <w:spacing w:line="240" w:lineRule="auto"/>
        <w:contextualSpacing/>
        <w:jc w:val="both"/>
        <w:rPr>
          <w:rFonts w:ascii="Arial" w:hAnsi="Arial" w:cs="Arial"/>
        </w:rPr>
      </w:pPr>
    </w:p>
    <w:p w:rsidR="008B307E" w:rsidRDefault="003E3C40" w:rsidP="00F4471B">
      <w:pPr>
        <w:spacing w:line="240" w:lineRule="auto"/>
        <w:contextualSpacing/>
        <w:jc w:val="both"/>
        <w:rPr>
          <w:rFonts w:ascii="Arial" w:hAnsi="Arial" w:cs="Arial"/>
        </w:rPr>
      </w:pPr>
      <w:r w:rsidRPr="00BE36D3">
        <w:rPr>
          <w:rFonts w:ascii="Arial" w:hAnsi="Arial" w:cs="Arial"/>
        </w:rPr>
        <w:t>Lo anterior incumple las normas que buscan garantizar el principio de publicidad en la contratación pública, contenidos en los artículos 2.1.1.2.1.7 y 2.1.1.2.1.8 del Decreto 1081 de 2015 y los artículos 2.2.1.1.1.7.1 y 2.2.2.1.8.3 del Decreto 1082 de 2015 en lo relacionado con “</w:t>
      </w:r>
      <w:r w:rsidRPr="00BE36D3">
        <w:rPr>
          <w:rFonts w:ascii="Arial" w:hAnsi="Arial" w:cs="Arial"/>
          <w:i/>
          <w:iCs/>
        </w:rPr>
        <w:t>la publicidad de los procedimientos, documentos y actos asociados a los procesos de contratación</w:t>
      </w:r>
      <w:r w:rsidRPr="00BE36D3">
        <w:rPr>
          <w:rFonts w:ascii="Arial" w:hAnsi="Arial" w:cs="Arial"/>
        </w:rPr>
        <w:t>”.</w:t>
      </w:r>
    </w:p>
    <w:p w:rsidR="008B307E" w:rsidRDefault="008B307E" w:rsidP="00F4471B">
      <w:pPr>
        <w:spacing w:line="240" w:lineRule="auto"/>
        <w:contextualSpacing/>
        <w:jc w:val="both"/>
        <w:rPr>
          <w:rFonts w:ascii="Arial" w:hAnsi="Arial" w:cs="Arial"/>
        </w:rPr>
      </w:pPr>
    </w:p>
    <w:p w:rsidR="00C66D03" w:rsidRPr="00BE36D3" w:rsidRDefault="00C66D03" w:rsidP="00F4471B">
      <w:pPr>
        <w:spacing w:line="240" w:lineRule="auto"/>
        <w:contextualSpacing/>
        <w:jc w:val="both"/>
        <w:rPr>
          <w:rFonts w:ascii="Arial" w:hAnsi="Arial" w:cs="Arial"/>
        </w:rPr>
      </w:pPr>
      <w:r w:rsidRPr="00BE36D3">
        <w:rPr>
          <w:rFonts w:ascii="Arial" w:hAnsi="Arial" w:cs="Arial"/>
        </w:rPr>
        <w:t xml:space="preserve">Para garantizar el adecuado proceso de publicación se propone a la Entidad Territorial implementar el siguiente modelo de lista de chequeo, adaptándola a las necesidades del </w:t>
      </w:r>
      <w:r>
        <w:rPr>
          <w:rFonts w:ascii="Arial" w:hAnsi="Arial" w:cs="Arial"/>
        </w:rPr>
        <w:t>M</w:t>
      </w:r>
      <w:r w:rsidRPr="00BE36D3">
        <w:rPr>
          <w:rFonts w:ascii="Arial" w:hAnsi="Arial" w:cs="Arial"/>
        </w:rPr>
        <w:t>unicipio, como un mecanismo de control para el proceso de publicación en el SECOP, que dé cuenta de la fecha de emisión y cargue de los documentos que conforman los expedientes contractuales y el responsable del mismo.</w:t>
      </w:r>
    </w:p>
    <w:p w:rsidR="00F4471B" w:rsidRDefault="00F4471B">
      <w:pPr>
        <w:rPr>
          <w:rFonts w:ascii="Arial" w:hAnsi="Arial" w:cs="Arial"/>
        </w:rPr>
      </w:pPr>
      <w:r>
        <w:rPr>
          <w:rFonts w:ascii="Arial" w:hAnsi="Arial" w:cs="Arial"/>
        </w:rPr>
        <w:br w:type="page"/>
      </w:r>
    </w:p>
    <w:p w:rsidR="00C66D03" w:rsidRPr="00F4471B" w:rsidRDefault="00C66D03" w:rsidP="00F4471B">
      <w:pPr>
        <w:spacing w:line="240" w:lineRule="auto"/>
        <w:jc w:val="both"/>
        <w:rPr>
          <w:rFonts w:ascii="Arial" w:hAnsi="Arial" w:cs="Arial"/>
        </w:rPr>
      </w:pPr>
    </w:p>
    <w:tbl>
      <w:tblPr>
        <w:tblStyle w:val="Tablaconcuadrcu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4" w:type="dxa"/>
          <w:right w:w="74" w:type="dxa"/>
        </w:tblCellMar>
        <w:tblLook w:val="04A0" w:firstRow="1" w:lastRow="0" w:firstColumn="1" w:lastColumn="0" w:noHBand="0" w:noVBand="1"/>
      </w:tblPr>
      <w:tblGrid>
        <w:gridCol w:w="7794"/>
      </w:tblGrid>
      <w:tr w:rsidR="00C66D03" w:rsidRPr="0009074C" w:rsidTr="003142B4">
        <w:trPr>
          <w:jc w:val="center"/>
        </w:trPr>
        <w:tc>
          <w:tcPr>
            <w:tcW w:w="7794" w:type="dxa"/>
            <w:tcBorders>
              <w:top w:val="single" w:sz="2" w:space="0" w:color="auto"/>
              <w:left w:val="single" w:sz="2" w:space="0" w:color="auto"/>
              <w:bottom w:val="single" w:sz="2" w:space="0" w:color="auto"/>
              <w:right w:val="single" w:sz="2" w:space="0" w:color="auto"/>
            </w:tcBorders>
          </w:tcPr>
          <w:p w:rsidR="00C66D03" w:rsidRPr="0009074C" w:rsidRDefault="00C66D03">
            <w:pPr>
              <w:contextualSpacing/>
              <w:jc w:val="center"/>
              <w:rPr>
                <w:rFonts w:ascii="Arial" w:hAnsi="Arial" w:cs="Arial"/>
                <w:sz w:val="16"/>
                <w:szCs w:val="24"/>
                <w:lang w:eastAsia="es-ES"/>
              </w:rPr>
            </w:pPr>
          </w:p>
          <w:p w:rsidR="00C66D03" w:rsidRPr="0009074C" w:rsidRDefault="00C66D03">
            <w:pPr>
              <w:contextualSpacing/>
              <w:jc w:val="center"/>
              <w:rPr>
                <w:rFonts w:ascii="Arial" w:hAnsi="Arial" w:cs="Arial"/>
                <w:sz w:val="16"/>
                <w:lang w:eastAsia="es-ES_tradnl"/>
              </w:rPr>
            </w:pPr>
            <w:r w:rsidRPr="0009074C">
              <w:rPr>
                <w:rFonts w:ascii="Arial" w:hAnsi="Arial" w:cs="Arial"/>
                <w:sz w:val="16"/>
              </w:rPr>
              <w:t>Proceso contractual N°________</w:t>
            </w:r>
          </w:p>
          <w:p w:rsidR="00C66D03" w:rsidRPr="0009074C" w:rsidRDefault="00C66D03">
            <w:pPr>
              <w:contextualSpacing/>
              <w:jc w:val="center"/>
              <w:rPr>
                <w:rFonts w:ascii="Arial" w:hAnsi="Arial" w:cs="Arial"/>
                <w:sz w:val="16"/>
              </w:rPr>
            </w:pPr>
            <w:r w:rsidRPr="0009074C">
              <w:rPr>
                <w:rFonts w:ascii="Arial" w:hAnsi="Arial" w:cs="Arial"/>
                <w:sz w:val="16"/>
              </w:rPr>
              <w:t>Objeto contractual_____</w:t>
            </w:r>
          </w:p>
          <w:p w:rsidR="00C66D03" w:rsidRPr="0009074C" w:rsidRDefault="00C66D03">
            <w:pPr>
              <w:contextualSpacing/>
              <w:jc w:val="center"/>
              <w:rPr>
                <w:rFonts w:ascii="Arial" w:hAnsi="Arial" w:cs="Arial"/>
                <w:sz w:val="16"/>
              </w:rPr>
            </w:pPr>
            <w:r w:rsidRPr="0009074C">
              <w:rPr>
                <w:rFonts w:ascii="Arial" w:hAnsi="Arial" w:cs="Arial"/>
                <w:sz w:val="16"/>
              </w:rPr>
              <w:t>Fecha apertura_____</w:t>
            </w:r>
          </w:p>
          <w:p w:rsidR="00C66D03" w:rsidRPr="0009074C" w:rsidRDefault="00C66D03">
            <w:pPr>
              <w:contextualSpacing/>
              <w:jc w:val="center"/>
              <w:rPr>
                <w:rFonts w:ascii="Arial" w:hAnsi="Arial" w:cs="Arial"/>
                <w:sz w:val="16"/>
              </w:rPr>
            </w:pPr>
            <w:r w:rsidRPr="0009074C">
              <w:rPr>
                <w:rFonts w:ascii="Arial" w:hAnsi="Arial" w:cs="Arial"/>
                <w:sz w:val="16"/>
              </w:rPr>
              <w:t>Nomenclatura en SECOP_______</w:t>
            </w:r>
          </w:p>
          <w:p w:rsidR="00C66D03" w:rsidRPr="0009074C" w:rsidRDefault="00C66D03">
            <w:pPr>
              <w:contextualSpacing/>
              <w:jc w:val="center"/>
              <w:rPr>
                <w:rFonts w:ascii="Arial" w:hAnsi="Arial" w:cs="Arial"/>
                <w:sz w:val="16"/>
              </w:rPr>
            </w:pPr>
          </w:p>
          <w:tbl>
            <w:tblPr>
              <w:tblStyle w:val="Tablaconcuadrcula"/>
              <w:tblW w:w="0" w:type="auto"/>
              <w:tblLook w:val="04A0" w:firstRow="1" w:lastRow="0" w:firstColumn="1" w:lastColumn="0" w:noHBand="0" w:noVBand="1"/>
            </w:tblPr>
            <w:tblGrid>
              <w:gridCol w:w="1679"/>
              <w:gridCol w:w="1041"/>
              <w:gridCol w:w="1744"/>
              <w:gridCol w:w="1494"/>
              <w:gridCol w:w="1678"/>
            </w:tblGrid>
            <w:tr w:rsidR="00C66D03" w:rsidRPr="0009074C" w:rsidTr="003142B4">
              <w:trPr>
                <w:trHeight w:val="509"/>
              </w:trPr>
              <w:tc>
                <w:tcPr>
                  <w:tcW w:w="1754"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lang w:val="es-ES"/>
                    </w:rPr>
                  </w:pPr>
                  <w:r w:rsidRPr="0009074C">
                    <w:rPr>
                      <w:rFonts w:ascii="Arial" w:hAnsi="Arial" w:cs="Arial"/>
                      <w:sz w:val="16"/>
                    </w:rPr>
                    <w:t>Documento</w:t>
                  </w:r>
                </w:p>
              </w:tc>
              <w:tc>
                <w:tcPr>
                  <w:tcW w:w="1076"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lang w:val="es-ES_tradnl"/>
                    </w:rPr>
                  </w:pPr>
                  <w:r w:rsidRPr="0009074C">
                    <w:rPr>
                      <w:rFonts w:ascii="Arial" w:hAnsi="Arial" w:cs="Arial"/>
                      <w:sz w:val="16"/>
                    </w:rPr>
                    <w:t>Cargue</w:t>
                  </w:r>
                </w:p>
              </w:tc>
              <w:tc>
                <w:tcPr>
                  <w:tcW w:w="1829"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rPr>
                  </w:pPr>
                  <w:r w:rsidRPr="0009074C">
                    <w:rPr>
                      <w:rFonts w:ascii="Arial" w:hAnsi="Arial" w:cs="Arial"/>
                      <w:sz w:val="16"/>
                    </w:rPr>
                    <w:t>Fecha emisión del documento</w:t>
                  </w:r>
                </w:p>
              </w:tc>
              <w:tc>
                <w:tcPr>
                  <w:tcW w:w="1549"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rPr>
                  </w:pPr>
                  <w:r w:rsidRPr="0009074C">
                    <w:rPr>
                      <w:rFonts w:ascii="Arial" w:hAnsi="Arial" w:cs="Arial"/>
                      <w:sz w:val="16"/>
                    </w:rPr>
                    <w:t>Fecha de cargue</w:t>
                  </w:r>
                </w:p>
              </w:tc>
              <w:tc>
                <w:tcPr>
                  <w:tcW w:w="1761"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rPr>
                  </w:pPr>
                  <w:r w:rsidRPr="0009074C">
                    <w:rPr>
                      <w:rFonts w:ascii="Arial" w:hAnsi="Arial" w:cs="Arial"/>
                      <w:sz w:val="16"/>
                    </w:rPr>
                    <w:t>Firma quien carga.</w:t>
                  </w:r>
                </w:p>
              </w:tc>
            </w:tr>
            <w:tr w:rsidR="00C66D03" w:rsidRPr="0009074C" w:rsidTr="003142B4">
              <w:trPr>
                <w:trHeight w:val="166"/>
              </w:trPr>
              <w:tc>
                <w:tcPr>
                  <w:tcW w:w="1754"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rPr>
                  </w:pPr>
                  <w:r w:rsidRPr="0009074C">
                    <w:rPr>
                      <w:rFonts w:ascii="Arial" w:hAnsi="Arial" w:cs="Arial"/>
                      <w:sz w:val="16"/>
                    </w:rPr>
                    <w:t>Estudios Previos</w:t>
                  </w:r>
                </w:p>
              </w:tc>
              <w:tc>
                <w:tcPr>
                  <w:tcW w:w="1076"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rPr>
                  </w:pPr>
                  <w:r w:rsidRPr="00BE36D3">
                    <w:rPr>
                      <w:rFonts w:ascii="Segoe UI Emoji" w:hAnsi="Segoe UI Emoji" w:cs="Segoe UI Emoji"/>
                      <w:b/>
                      <w:bCs/>
                      <w:color w:val="222222"/>
                      <w:sz w:val="16"/>
                      <w:shd w:val="clear" w:color="auto" w:fill="FFFFFF"/>
                    </w:rPr>
                    <w:t>✔</w:t>
                  </w:r>
                </w:p>
              </w:tc>
              <w:tc>
                <w:tcPr>
                  <w:tcW w:w="1829"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rPr>
                  </w:pPr>
                  <w:r w:rsidRPr="0009074C">
                    <w:rPr>
                      <w:rFonts w:ascii="Arial" w:hAnsi="Arial" w:cs="Arial"/>
                      <w:sz w:val="16"/>
                    </w:rPr>
                    <w:t>8/10/2020</w:t>
                  </w:r>
                </w:p>
              </w:tc>
              <w:tc>
                <w:tcPr>
                  <w:tcW w:w="1549"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rPr>
                  </w:pPr>
                  <w:r w:rsidRPr="0009074C">
                    <w:rPr>
                      <w:rFonts w:ascii="Arial" w:hAnsi="Arial" w:cs="Arial"/>
                      <w:sz w:val="16"/>
                    </w:rPr>
                    <w:t>10/10/2020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rPr>
                  </w:pPr>
                  <w:r w:rsidRPr="0009074C">
                    <w:rPr>
                      <w:rFonts w:ascii="Arial" w:hAnsi="Arial" w:cs="Arial"/>
                      <w:sz w:val="16"/>
                    </w:rPr>
                    <w:t>XXXXXXX</w:t>
                  </w:r>
                </w:p>
              </w:tc>
            </w:tr>
            <w:tr w:rsidR="00C66D03" w:rsidRPr="0009074C" w:rsidTr="003142B4">
              <w:trPr>
                <w:trHeight w:val="259"/>
              </w:trPr>
              <w:tc>
                <w:tcPr>
                  <w:tcW w:w="1754"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24"/>
                    </w:rPr>
                  </w:pPr>
                  <w:r w:rsidRPr="0009074C">
                    <w:rPr>
                      <w:rFonts w:ascii="Arial" w:hAnsi="Arial" w:cs="Arial"/>
                      <w:sz w:val="16"/>
                    </w:rPr>
                    <w:t>…</w:t>
                  </w:r>
                </w:p>
              </w:tc>
              <w:tc>
                <w:tcPr>
                  <w:tcW w:w="1076"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c>
                <w:tcPr>
                  <w:tcW w:w="1829"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r>
            <w:tr w:rsidR="00C66D03" w:rsidRPr="0009074C" w:rsidTr="003142B4">
              <w:trPr>
                <w:trHeight w:val="259"/>
              </w:trPr>
              <w:tc>
                <w:tcPr>
                  <w:tcW w:w="1754"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rPr>
                  </w:pPr>
                  <w:r w:rsidRPr="0009074C">
                    <w:rPr>
                      <w:rFonts w:ascii="Arial" w:hAnsi="Arial" w:cs="Arial"/>
                      <w:sz w:val="16"/>
                    </w:rPr>
                    <w:t>CDP</w:t>
                  </w:r>
                </w:p>
              </w:tc>
              <w:tc>
                <w:tcPr>
                  <w:tcW w:w="1076"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24"/>
                    </w:rPr>
                  </w:pPr>
                  <w:r w:rsidRPr="00BE36D3">
                    <w:rPr>
                      <w:rFonts w:ascii="Segoe UI Emoji" w:hAnsi="Segoe UI Emoji" w:cs="Segoe UI Emoji"/>
                      <w:b/>
                      <w:bCs/>
                      <w:color w:val="222222"/>
                      <w:sz w:val="16"/>
                      <w:shd w:val="clear" w:color="auto" w:fill="FFFFFF"/>
                    </w:rPr>
                    <w:t>✔</w:t>
                  </w:r>
                </w:p>
              </w:tc>
              <w:tc>
                <w:tcPr>
                  <w:tcW w:w="1829"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r>
            <w:tr w:rsidR="00C66D03" w:rsidRPr="0009074C" w:rsidTr="003142B4">
              <w:trPr>
                <w:trHeight w:val="250"/>
              </w:trPr>
              <w:tc>
                <w:tcPr>
                  <w:tcW w:w="1754"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rPr>
                  </w:pPr>
                  <w:r w:rsidRPr="0009074C">
                    <w:rPr>
                      <w:rFonts w:ascii="Arial" w:hAnsi="Arial" w:cs="Arial"/>
                      <w:sz w:val="16"/>
                    </w:rPr>
                    <w:t>…</w:t>
                  </w:r>
                </w:p>
              </w:tc>
              <w:tc>
                <w:tcPr>
                  <w:tcW w:w="1076"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sz w:val="24"/>
                    </w:rPr>
                  </w:pPr>
                </w:p>
              </w:tc>
              <w:tc>
                <w:tcPr>
                  <w:tcW w:w="1829"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r>
            <w:tr w:rsidR="00C66D03" w:rsidRPr="0009074C" w:rsidTr="003142B4">
              <w:trPr>
                <w:trHeight w:val="250"/>
              </w:trPr>
              <w:tc>
                <w:tcPr>
                  <w:tcW w:w="1754"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sz w:val="16"/>
                    </w:rPr>
                  </w:pPr>
                </w:p>
              </w:tc>
              <w:tc>
                <w:tcPr>
                  <w:tcW w:w="1076"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sz w:val="24"/>
                    </w:rPr>
                  </w:pPr>
                </w:p>
              </w:tc>
              <w:tc>
                <w:tcPr>
                  <w:tcW w:w="1829"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r>
            <w:tr w:rsidR="00C66D03" w:rsidRPr="0009074C" w:rsidTr="003142B4">
              <w:trPr>
                <w:trHeight w:val="259"/>
              </w:trPr>
              <w:tc>
                <w:tcPr>
                  <w:tcW w:w="1754"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16"/>
                    </w:rPr>
                  </w:pPr>
                  <w:r w:rsidRPr="0009074C">
                    <w:rPr>
                      <w:rFonts w:ascii="Arial" w:hAnsi="Arial" w:cs="Arial"/>
                      <w:sz w:val="16"/>
                    </w:rPr>
                    <w:t>Minuta contractual</w:t>
                  </w:r>
                </w:p>
              </w:tc>
              <w:tc>
                <w:tcPr>
                  <w:tcW w:w="1076" w:type="dxa"/>
                  <w:tcBorders>
                    <w:top w:val="single" w:sz="4" w:space="0" w:color="auto"/>
                    <w:left w:val="single" w:sz="4" w:space="0" w:color="auto"/>
                    <w:bottom w:val="single" w:sz="4" w:space="0" w:color="auto"/>
                    <w:right w:val="single" w:sz="4" w:space="0" w:color="auto"/>
                  </w:tcBorders>
                  <w:vAlign w:val="center"/>
                  <w:hideMark/>
                </w:tcPr>
                <w:p w:rsidR="00C66D03" w:rsidRPr="0009074C" w:rsidRDefault="00C66D03">
                  <w:pPr>
                    <w:contextualSpacing/>
                    <w:jc w:val="center"/>
                    <w:rPr>
                      <w:rFonts w:ascii="Arial" w:hAnsi="Arial" w:cs="Arial"/>
                      <w:sz w:val="24"/>
                    </w:rPr>
                  </w:pPr>
                  <w:r w:rsidRPr="00BE36D3">
                    <w:rPr>
                      <w:rFonts w:ascii="Segoe UI Emoji" w:hAnsi="Segoe UI Emoji" w:cs="Segoe UI Emoji"/>
                      <w:b/>
                      <w:bCs/>
                      <w:color w:val="222222"/>
                      <w:sz w:val="16"/>
                      <w:shd w:val="clear" w:color="auto" w:fill="FFFFFF"/>
                    </w:rPr>
                    <w:t>✔</w:t>
                  </w:r>
                </w:p>
              </w:tc>
              <w:tc>
                <w:tcPr>
                  <w:tcW w:w="1829"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vAlign w:val="center"/>
                </w:tcPr>
                <w:p w:rsidR="00C66D03" w:rsidRPr="0009074C" w:rsidRDefault="00C66D03">
                  <w:pPr>
                    <w:contextualSpacing/>
                    <w:jc w:val="center"/>
                    <w:rPr>
                      <w:rFonts w:ascii="Arial" w:hAnsi="Arial" w:cs="Arial"/>
                    </w:rPr>
                  </w:pPr>
                </w:p>
              </w:tc>
            </w:tr>
            <w:tr w:rsidR="00C66D03" w:rsidRPr="0009074C" w:rsidTr="003142B4">
              <w:trPr>
                <w:trHeight w:val="250"/>
              </w:trPr>
              <w:tc>
                <w:tcPr>
                  <w:tcW w:w="1754" w:type="dxa"/>
                  <w:tcBorders>
                    <w:top w:val="single" w:sz="4" w:space="0" w:color="auto"/>
                    <w:left w:val="single" w:sz="4" w:space="0" w:color="auto"/>
                    <w:bottom w:val="single" w:sz="4" w:space="0" w:color="auto"/>
                    <w:right w:val="single" w:sz="4" w:space="0" w:color="auto"/>
                  </w:tcBorders>
                  <w:hideMark/>
                </w:tcPr>
                <w:p w:rsidR="00C66D03" w:rsidRPr="0009074C" w:rsidRDefault="00C66D03">
                  <w:pPr>
                    <w:contextualSpacing/>
                    <w:jc w:val="center"/>
                    <w:rPr>
                      <w:rFonts w:ascii="Arial" w:hAnsi="Arial" w:cs="Arial"/>
                    </w:rPr>
                  </w:pPr>
                  <w:r w:rsidRPr="0009074C">
                    <w:rPr>
                      <w:rFonts w:ascii="Arial" w:hAnsi="Arial" w:cs="Arial"/>
                      <w:sz w:val="16"/>
                    </w:rPr>
                    <w:t>…</w:t>
                  </w:r>
                </w:p>
              </w:tc>
              <w:tc>
                <w:tcPr>
                  <w:tcW w:w="1076" w:type="dxa"/>
                  <w:tcBorders>
                    <w:top w:val="single" w:sz="4" w:space="0" w:color="auto"/>
                    <w:left w:val="single" w:sz="4" w:space="0" w:color="auto"/>
                    <w:bottom w:val="single" w:sz="4" w:space="0" w:color="auto"/>
                    <w:right w:val="single" w:sz="4" w:space="0" w:color="auto"/>
                  </w:tcBorders>
                </w:tcPr>
                <w:p w:rsidR="00C66D03" w:rsidRPr="0009074C" w:rsidRDefault="00C66D03">
                  <w:pPr>
                    <w:contextualSpacing/>
                    <w:jc w:val="center"/>
                    <w:rPr>
                      <w:rFonts w:ascii="Arial" w:hAnsi="Arial" w:cs="Arial"/>
                    </w:rPr>
                  </w:pPr>
                </w:p>
              </w:tc>
              <w:tc>
                <w:tcPr>
                  <w:tcW w:w="1829" w:type="dxa"/>
                  <w:tcBorders>
                    <w:top w:val="single" w:sz="4" w:space="0" w:color="auto"/>
                    <w:left w:val="single" w:sz="4" w:space="0" w:color="auto"/>
                    <w:bottom w:val="single" w:sz="4" w:space="0" w:color="auto"/>
                    <w:right w:val="single" w:sz="4" w:space="0" w:color="auto"/>
                  </w:tcBorders>
                </w:tcPr>
                <w:p w:rsidR="00C66D03" w:rsidRPr="0009074C" w:rsidRDefault="00C66D0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tcPr>
                <w:p w:rsidR="00C66D03" w:rsidRPr="0009074C" w:rsidRDefault="00C66D0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tcPr>
                <w:p w:rsidR="00C66D03" w:rsidRPr="0009074C" w:rsidRDefault="00C66D03">
                  <w:pPr>
                    <w:contextualSpacing/>
                    <w:jc w:val="center"/>
                    <w:rPr>
                      <w:rFonts w:ascii="Arial" w:hAnsi="Arial" w:cs="Arial"/>
                    </w:rPr>
                  </w:pPr>
                </w:p>
              </w:tc>
            </w:tr>
            <w:tr w:rsidR="00C66D03" w:rsidRPr="0009074C" w:rsidTr="003142B4">
              <w:trPr>
                <w:trHeight w:val="250"/>
              </w:trPr>
              <w:tc>
                <w:tcPr>
                  <w:tcW w:w="1754" w:type="dxa"/>
                  <w:tcBorders>
                    <w:top w:val="single" w:sz="4" w:space="0" w:color="auto"/>
                    <w:left w:val="single" w:sz="4" w:space="0" w:color="auto"/>
                    <w:bottom w:val="single" w:sz="4" w:space="0" w:color="auto"/>
                    <w:right w:val="single" w:sz="4" w:space="0" w:color="auto"/>
                  </w:tcBorders>
                  <w:hideMark/>
                </w:tcPr>
                <w:p w:rsidR="00C66D03" w:rsidRPr="0009074C" w:rsidRDefault="00C66D03">
                  <w:pPr>
                    <w:contextualSpacing/>
                    <w:jc w:val="center"/>
                    <w:rPr>
                      <w:rFonts w:ascii="Arial" w:hAnsi="Arial" w:cs="Arial"/>
                      <w:sz w:val="16"/>
                    </w:rPr>
                  </w:pPr>
                  <w:r w:rsidRPr="0009074C">
                    <w:rPr>
                      <w:rFonts w:ascii="Arial" w:hAnsi="Arial" w:cs="Arial"/>
                      <w:sz w:val="16"/>
                    </w:rPr>
                    <w:t>Informe supervisión</w:t>
                  </w:r>
                </w:p>
              </w:tc>
              <w:tc>
                <w:tcPr>
                  <w:tcW w:w="1076" w:type="dxa"/>
                  <w:tcBorders>
                    <w:top w:val="single" w:sz="4" w:space="0" w:color="auto"/>
                    <w:left w:val="single" w:sz="4" w:space="0" w:color="auto"/>
                    <w:bottom w:val="single" w:sz="4" w:space="0" w:color="auto"/>
                    <w:right w:val="single" w:sz="4" w:space="0" w:color="auto"/>
                  </w:tcBorders>
                  <w:hideMark/>
                </w:tcPr>
                <w:p w:rsidR="00C66D03" w:rsidRPr="0009074C" w:rsidRDefault="00C66D03">
                  <w:pPr>
                    <w:contextualSpacing/>
                    <w:jc w:val="center"/>
                    <w:rPr>
                      <w:rFonts w:ascii="Arial" w:hAnsi="Arial" w:cs="Arial"/>
                      <w:sz w:val="24"/>
                    </w:rPr>
                  </w:pPr>
                  <w:r w:rsidRPr="00BE36D3">
                    <w:rPr>
                      <w:rFonts w:ascii="Segoe UI Emoji" w:hAnsi="Segoe UI Emoji" w:cs="Segoe UI Emoji"/>
                      <w:b/>
                      <w:bCs/>
                      <w:color w:val="222222"/>
                      <w:sz w:val="16"/>
                      <w:shd w:val="clear" w:color="auto" w:fill="FFFFFF"/>
                    </w:rPr>
                    <w:t>✔</w:t>
                  </w:r>
                </w:p>
              </w:tc>
              <w:tc>
                <w:tcPr>
                  <w:tcW w:w="1829" w:type="dxa"/>
                  <w:tcBorders>
                    <w:top w:val="single" w:sz="4" w:space="0" w:color="auto"/>
                    <w:left w:val="single" w:sz="4" w:space="0" w:color="auto"/>
                    <w:bottom w:val="single" w:sz="4" w:space="0" w:color="auto"/>
                    <w:right w:val="single" w:sz="4" w:space="0" w:color="auto"/>
                  </w:tcBorders>
                </w:tcPr>
                <w:p w:rsidR="00C66D03" w:rsidRPr="0009074C" w:rsidRDefault="00C66D0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tcPr>
                <w:p w:rsidR="00C66D03" w:rsidRPr="0009074C" w:rsidRDefault="00C66D0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tcPr>
                <w:p w:rsidR="00C66D03" w:rsidRPr="0009074C" w:rsidRDefault="00C66D03">
                  <w:pPr>
                    <w:contextualSpacing/>
                    <w:jc w:val="center"/>
                    <w:rPr>
                      <w:rFonts w:ascii="Arial" w:hAnsi="Arial" w:cs="Arial"/>
                    </w:rPr>
                  </w:pPr>
                </w:p>
              </w:tc>
            </w:tr>
            <w:tr w:rsidR="00C66D03" w:rsidRPr="0009074C" w:rsidTr="003142B4">
              <w:trPr>
                <w:trHeight w:val="250"/>
              </w:trPr>
              <w:tc>
                <w:tcPr>
                  <w:tcW w:w="1754" w:type="dxa"/>
                  <w:tcBorders>
                    <w:top w:val="single" w:sz="4" w:space="0" w:color="auto"/>
                    <w:left w:val="single" w:sz="4" w:space="0" w:color="auto"/>
                    <w:bottom w:val="single" w:sz="4" w:space="0" w:color="auto"/>
                    <w:right w:val="single" w:sz="4" w:space="0" w:color="auto"/>
                  </w:tcBorders>
                  <w:hideMark/>
                </w:tcPr>
                <w:p w:rsidR="00C66D03" w:rsidRPr="0009074C" w:rsidRDefault="00C66D03">
                  <w:pPr>
                    <w:contextualSpacing/>
                    <w:jc w:val="center"/>
                    <w:rPr>
                      <w:rFonts w:ascii="Arial" w:hAnsi="Arial" w:cs="Arial"/>
                      <w:sz w:val="16"/>
                    </w:rPr>
                  </w:pPr>
                  <w:r w:rsidRPr="0009074C">
                    <w:rPr>
                      <w:rFonts w:ascii="Arial" w:hAnsi="Arial" w:cs="Arial"/>
                      <w:sz w:val="16"/>
                    </w:rPr>
                    <w:t>…</w:t>
                  </w:r>
                </w:p>
              </w:tc>
              <w:tc>
                <w:tcPr>
                  <w:tcW w:w="1076" w:type="dxa"/>
                  <w:tcBorders>
                    <w:top w:val="single" w:sz="4" w:space="0" w:color="auto"/>
                    <w:left w:val="single" w:sz="4" w:space="0" w:color="auto"/>
                    <w:bottom w:val="single" w:sz="4" w:space="0" w:color="auto"/>
                    <w:right w:val="single" w:sz="4" w:space="0" w:color="auto"/>
                  </w:tcBorders>
                </w:tcPr>
                <w:p w:rsidR="00C66D03" w:rsidRPr="00BE36D3" w:rsidRDefault="00C66D03">
                  <w:pPr>
                    <w:contextualSpacing/>
                    <w:jc w:val="center"/>
                    <w:rPr>
                      <w:rFonts w:ascii="Arial" w:hAnsi="Arial" w:cs="Arial"/>
                      <w:sz w:val="24"/>
                    </w:rPr>
                  </w:pPr>
                </w:p>
              </w:tc>
              <w:tc>
                <w:tcPr>
                  <w:tcW w:w="1829" w:type="dxa"/>
                  <w:tcBorders>
                    <w:top w:val="single" w:sz="4" w:space="0" w:color="auto"/>
                    <w:left w:val="single" w:sz="4" w:space="0" w:color="auto"/>
                    <w:bottom w:val="single" w:sz="4" w:space="0" w:color="auto"/>
                    <w:right w:val="single" w:sz="4" w:space="0" w:color="auto"/>
                  </w:tcBorders>
                </w:tcPr>
                <w:p w:rsidR="00C66D03" w:rsidRPr="00BE36D3" w:rsidRDefault="00C66D0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tcPr>
                <w:p w:rsidR="00C66D03" w:rsidRPr="00BE36D3" w:rsidRDefault="00C66D0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tcPr>
                <w:p w:rsidR="00C66D03" w:rsidRPr="00BE36D3" w:rsidRDefault="00C66D03">
                  <w:pPr>
                    <w:contextualSpacing/>
                    <w:jc w:val="center"/>
                    <w:rPr>
                      <w:rFonts w:ascii="Arial" w:hAnsi="Arial" w:cs="Arial"/>
                    </w:rPr>
                  </w:pPr>
                </w:p>
              </w:tc>
            </w:tr>
            <w:tr w:rsidR="00C66D03" w:rsidRPr="0009074C" w:rsidTr="003142B4">
              <w:trPr>
                <w:trHeight w:val="250"/>
              </w:trPr>
              <w:tc>
                <w:tcPr>
                  <w:tcW w:w="1754" w:type="dxa"/>
                  <w:tcBorders>
                    <w:top w:val="single" w:sz="4" w:space="0" w:color="auto"/>
                    <w:left w:val="single" w:sz="4" w:space="0" w:color="auto"/>
                    <w:bottom w:val="single" w:sz="4" w:space="0" w:color="auto"/>
                    <w:right w:val="single" w:sz="4" w:space="0" w:color="auto"/>
                  </w:tcBorders>
                  <w:hideMark/>
                </w:tcPr>
                <w:p w:rsidR="00C66D03" w:rsidRPr="0009074C" w:rsidRDefault="00C66D03">
                  <w:pPr>
                    <w:contextualSpacing/>
                    <w:jc w:val="center"/>
                    <w:rPr>
                      <w:rFonts w:ascii="Arial" w:hAnsi="Arial" w:cs="Arial"/>
                      <w:sz w:val="16"/>
                    </w:rPr>
                  </w:pPr>
                  <w:r w:rsidRPr="0009074C">
                    <w:rPr>
                      <w:rFonts w:ascii="Arial" w:hAnsi="Arial" w:cs="Arial"/>
                      <w:sz w:val="16"/>
                    </w:rPr>
                    <w:t>Acta liquidación</w:t>
                  </w:r>
                </w:p>
              </w:tc>
              <w:tc>
                <w:tcPr>
                  <w:tcW w:w="1076" w:type="dxa"/>
                  <w:tcBorders>
                    <w:top w:val="single" w:sz="4" w:space="0" w:color="auto"/>
                    <w:left w:val="single" w:sz="4" w:space="0" w:color="auto"/>
                    <w:bottom w:val="single" w:sz="4" w:space="0" w:color="auto"/>
                    <w:right w:val="single" w:sz="4" w:space="0" w:color="auto"/>
                  </w:tcBorders>
                  <w:hideMark/>
                </w:tcPr>
                <w:p w:rsidR="00C66D03" w:rsidRPr="00BE36D3" w:rsidRDefault="00C66D03">
                  <w:pPr>
                    <w:contextualSpacing/>
                    <w:jc w:val="center"/>
                    <w:rPr>
                      <w:rFonts w:ascii="Arial" w:hAnsi="Arial" w:cs="Arial"/>
                      <w:sz w:val="24"/>
                    </w:rPr>
                  </w:pPr>
                  <w:r w:rsidRPr="00BE36D3">
                    <w:rPr>
                      <w:rFonts w:ascii="Segoe UI Emoji" w:hAnsi="Segoe UI Emoji" w:cs="Segoe UI Emoji"/>
                      <w:b/>
                      <w:bCs/>
                      <w:color w:val="222222"/>
                      <w:sz w:val="16"/>
                      <w:shd w:val="clear" w:color="auto" w:fill="FFFFFF"/>
                    </w:rPr>
                    <w:t>✔</w:t>
                  </w:r>
                </w:p>
              </w:tc>
              <w:tc>
                <w:tcPr>
                  <w:tcW w:w="1829" w:type="dxa"/>
                  <w:tcBorders>
                    <w:top w:val="single" w:sz="4" w:space="0" w:color="auto"/>
                    <w:left w:val="single" w:sz="4" w:space="0" w:color="auto"/>
                    <w:bottom w:val="single" w:sz="4" w:space="0" w:color="auto"/>
                    <w:right w:val="single" w:sz="4" w:space="0" w:color="auto"/>
                  </w:tcBorders>
                </w:tcPr>
                <w:p w:rsidR="00C66D03" w:rsidRPr="00BE36D3" w:rsidRDefault="00C66D0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tcPr>
                <w:p w:rsidR="00C66D03" w:rsidRPr="00BE36D3" w:rsidRDefault="00C66D0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tcPr>
                <w:p w:rsidR="00C66D03" w:rsidRPr="00BE36D3" w:rsidRDefault="00C66D03">
                  <w:pPr>
                    <w:contextualSpacing/>
                    <w:jc w:val="center"/>
                    <w:rPr>
                      <w:rFonts w:ascii="Arial" w:hAnsi="Arial" w:cs="Arial"/>
                    </w:rPr>
                  </w:pPr>
                </w:p>
              </w:tc>
            </w:tr>
          </w:tbl>
          <w:p w:rsidR="00C66D03" w:rsidRPr="00BE36D3" w:rsidRDefault="00C66D03">
            <w:pPr>
              <w:contextualSpacing/>
              <w:jc w:val="center"/>
              <w:rPr>
                <w:rFonts w:ascii="Arial" w:eastAsia="MS Mincho" w:hAnsi="Arial" w:cs="Arial"/>
                <w:sz w:val="20"/>
                <w:szCs w:val="20"/>
                <w:lang w:eastAsia="es-ES"/>
              </w:rPr>
            </w:pPr>
          </w:p>
          <w:p w:rsidR="00C66D03" w:rsidRPr="0009074C" w:rsidRDefault="00C66D03">
            <w:pPr>
              <w:contextualSpacing/>
              <w:jc w:val="center"/>
              <w:rPr>
                <w:rFonts w:ascii="Arial" w:eastAsia="Calibri" w:hAnsi="Arial" w:cs="Arial"/>
                <w:sz w:val="16"/>
                <w:szCs w:val="24"/>
                <w:lang w:eastAsia="es-ES_tradnl"/>
              </w:rPr>
            </w:pPr>
            <w:r w:rsidRPr="0009074C">
              <w:rPr>
                <w:rFonts w:ascii="Arial" w:hAnsi="Arial" w:cs="Arial"/>
                <w:sz w:val="16"/>
              </w:rPr>
              <w:t>Firma elaboración: XXX 1</w:t>
            </w:r>
          </w:p>
          <w:p w:rsidR="00C66D03" w:rsidRPr="0009074C" w:rsidRDefault="00C66D03">
            <w:pPr>
              <w:contextualSpacing/>
              <w:jc w:val="center"/>
              <w:rPr>
                <w:rFonts w:ascii="Arial" w:hAnsi="Arial" w:cs="Arial"/>
                <w:sz w:val="16"/>
                <w:u w:val="single"/>
              </w:rPr>
            </w:pPr>
            <w:r w:rsidRPr="0009074C">
              <w:rPr>
                <w:rFonts w:ascii="Arial" w:hAnsi="Arial" w:cs="Arial"/>
                <w:sz w:val="16"/>
                <w:u w:val="single"/>
              </w:rPr>
              <w:t>Firma verificación del cargue de la totalidad de los documentos referenciados:  XXXX 2</w:t>
            </w:r>
          </w:p>
          <w:p w:rsidR="00C66D03" w:rsidRPr="0009074C" w:rsidRDefault="00C66D03">
            <w:pPr>
              <w:contextualSpacing/>
              <w:jc w:val="center"/>
              <w:rPr>
                <w:rFonts w:ascii="Arial" w:hAnsi="Arial" w:cs="Arial"/>
                <w:sz w:val="16"/>
              </w:rPr>
            </w:pPr>
            <w:r w:rsidRPr="0009074C">
              <w:rPr>
                <w:rFonts w:ascii="Arial" w:hAnsi="Arial" w:cs="Arial"/>
                <w:sz w:val="16"/>
              </w:rPr>
              <w:t>Firma aprobación: XXX 3</w:t>
            </w:r>
          </w:p>
          <w:p w:rsidR="00C66D03" w:rsidRPr="00BE36D3" w:rsidRDefault="00C66D03">
            <w:pPr>
              <w:contextualSpacing/>
              <w:jc w:val="both"/>
              <w:rPr>
                <w:rFonts w:ascii="Arial" w:hAnsi="Arial" w:cs="Arial"/>
                <w:sz w:val="20"/>
                <w:szCs w:val="20"/>
              </w:rPr>
            </w:pPr>
          </w:p>
        </w:tc>
      </w:tr>
    </w:tbl>
    <w:p w:rsidR="00C66D03" w:rsidRPr="00BE36D3" w:rsidRDefault="00C66D03">
      <w:pPr>
        <w:spacing w:line="240" w:lineRule="auto"/>
        <w:contextualSpacing/>
        <w:jc w:val="both"/>
        <w:rPr>
          <w:rFonts w:ascii="Arial" w:hAnsi="Arial" w:cs="Arial"/>
        </w:rPr>
      </w:pPr>
    </w:p>
    <w:p w:rsidR="00366E18" w:rsidRPr="00DA4D6B" w:rsidRDefault="00366E18">
      <w:pPr>
        <w:spacing w:line="240" w:lineRule="auto"/>
        <w:contextualSpacing/>
        <w:jc w:val="both"/>
        <w:rPr>
          <w:rFonts w:ascii="Arial" w:eastAsia="Arial Narrow" w:hAnsi="Arial" w:cs="Arial"/>
          <w:b/>
          <w:bCs/>
          <w:i/>
          <w:iCs/>
        </w:rPr>
      </w:pPr>
      <w:r w:rsidRPr="00BE36D3">
        <w:rPr>
          <w:rFonts w:ascii="Arial" w:eastAsia="Arial Narrow" w:hAnsi="Arial" w:cs="Arial"/>
          <w:b/>
          <w:bCs/>
        </w:rPr>
        <w:t>Deficiencias en el proceso de formulación de proyectos que soportan los contratos ejecutados</w:t>
      </w:r>
      <w:r w:rsidR="00C5770E" w:rsidRPr="00BE36D3">
        <w:rPr>
          <w:rFonts w:ascii="Arial" w:eastAsia="Arial Narrow" w:hAnsi="Arial" w:cs="Arial"/>
          <w:b/>
          <w:bCs/>
        </w:rPr>
        <w:t>.</w:t>
      </w:r>
    </w:p>
    <w:p w:rsidR="00C5770E" w:rsidRPr="00BE36D3" w:rsidRDefault="00C5770E">
      <w:pPr>
        <w:spacing w:line="240" w:lineRule="auto"/>
        <w:contextualSpacing/>
        <w:jc w:val="both"/>
        <w:rPr>
          <w:rFonts w:ascii="Arial" w:eastAsia="Arial Narrow" w:hAnsi="Arial" w:cs="Arial"/>
          <w:b/>
          <w:bCs/>
          <w:i/>
          <w:iCs/>
        </w:rPr>
      </w:pPr>
    </w:p>
    <w:p w:rsidR="00041D04" w:rsidRDefault="00041D04">
      <w:pPr>
        <w:spacing w:line="240" w:lineRule="auto"/>
        <w:contextualSpacing/>
        <w:jc w:val="both"/>
        <w:rPr>
          <w:rFonts w:ascii="Arial" w:hAnsi="Arial" w:cs="Arial"/>
        </w:rPr>
      </w:pPr>
      <w:r w:rsidRPr="00BE36D3">
        <w:rPr>
          <w:rFonts w:ascii="Arial" w:hAnsi="Arial" w:cs="Arial"/>
        </w:rPr>
        <w:t>En el Contrato No. MST-MIN-043-2017</w:t>
      </w:r>
      <w:r w:rsidR="000405AB">
        <w:rPr>
          <w:rFonts w:ascii="Arial" w:hAnsi="Arial" w:cs="Arial"/>
        </w:rPr>
        <w:t>,</w:t>
      </w:r>
      <w:r w:rsidRPr="00BE36D3">
        <w:rPr>
          <w:rFonts w:ascii="Arial" w:hAnsi="Arial" w:cs="Arial"/>
        </w:rPr>
        <w:t xml:space="preserve"> </w:t>
      </w:r>
      <w:r w:rsidR="000405AB">
        <w:rPr>
          <w:rFonts w:ascii="Arial" w:hAnsi="Arial" w:cs="Arial"/>
        </w:rPr>
        <w:t xml:space="preserve">referenciado en el </w:t>
      </w:r>
      <w:r w:rsidR="002112C0">
        <w:rPr>
          <w:rFonts w:ascii="Arial" w:hAnsi="Arial" w:cs="Arial"/>
        </w:rPr>
        <w:t>C</w:t>
      </w:r>
      <w:r w:rsidR="000405AB">
        <w:rPr>
          <w:rFonts w:ascii="Arial" w:hAnsi="Arial" w:cs="Arial"/>
        </w:rPr>
        <w:t xml:space="preserve">uadro No 10, </w:t>
      </w:r>
      <w:r w:rsidRPr="00BE36D3">
        <w:rPr>
          <w:rFonts w:ascii="Arial" w:hAnsi="Arial" w:cs="Arial"/>
        </w:rPr>
        <w:t xml:space="preserve">cuyo objeto fue </w:t>
      </w:r>
      <w:r w:rsidR="004B4B74" w:rsidRPr="00BE36D3">
        <w:rPr>
          <w:rFonts w:ascii="Arial" w:hAnsi="Arial" w:cs="Arial"/>
        </w:rPr>
        <w:t xml:space="preserve">la </w:t>
      </w:r>
      <w:r w:rsidRPr="00BE36D3">
        <w:rPr>
          <w:rFonts w:ascii="Arial" w:hAnsi="Arial" w:cs="Arial"/>
        </w:rPr>
        <w:t>“</w:t>
      </w:r>
      <w:r w:rsidR="007A1170" w:rsidRPr="00C5770E">
        <w:rPr>
          <w:rFonts w:ascii="Arial" w:hAnsi="Arial" w:cs="Arial"/>
          <w:i/>
          <w:iCs/>
        </w:rPr>
        <w:t xml:space="preserve">Caracterización de la oferta de servicios turísticos, complementarios y de apoyo; que se ofrecen en el casco urbano del Municipio de Santiago de Tolú, </w:t>
      </w:r>
      <w:r w:rsidR="007A1170">
        <w:rPr>
          <w:rFonts w:ascii="Arial" w:hAnsi="Arial" w:cs="Arial"/>
          <w:i/>
          <w:iCs/>
        </w:rPr>
        <w:t>S</w:t>
      </w:r>
      <w:r w:rsidR="007A1170" w:rsidRPr="00C5770E">
        <w:rPr>
          <w:rFonts w:ascii="Arial" w:hAnsi="Arial" w:cs="Arial"/>
          <w:i/>
          <w:iCs/>
        </w:rPr>
        <w:t>ucre</w:t>
      </w:r>
      <w:r w:rsidRPr="00BE36D3">
        <w:rPr>
          <w:rFonts w:ascii="Arial" w:hAnsi="Arial" w:cs="Arial"/>
        </w:rPr>
        <w:t xml:space="preserve">” las actividades registradas no guardan relación con el objeto del contrato debido a que como se puede observar, estas se relacionan con la contratación del director, el personal administrativo, así como el suministro de la dotación, papelería y refrigerios para los miembros del equipo consultor. En las evidencias del cumplimiento del </w:t>
      </w:r>
      <w:r w:rsidR="00860011">
        <w:rPr>
          <w:rFonts w:ascii="Arial" w:hAnsi="Arial" w:cs="Arial"/>
        </w:rPr>
        <w:t>C</w:t>
      </w:r>
      <w:r w:rsidRPr="00BE36D3">
        <w:rPr>
          <w:rFonts w:ascii="Arial" w:hAnsi="Arial" w:cs="Arial"/>
        </w:rPr>
        <w:t>ontrato solamente se relacionan fotografías de los elementos que servirían de insumos para desarrollar el objeto y no hay evidencia de ningún documento o archivo relacionado con el resultado final del proceso de caracterización realizado por el contratista. Lo anterior a pesar de que en los documentos de estudios previos y análisis del sector se estipula que los productos del proceso de contratación serán:</w:t>
      </w:r>
    </w:p>
    <w:p w:rsidR="00F4471B" w:rsidRPr="00BE36D3" w:rsidRDefault="00F4471B">
      <w:pPr>
        <w:spacing w:line="240" w:lineRule="auto"/>
        <w:contextualSpacing/>
        <w:jc w:val="both"/>
        <w:rPr>
          <w:rFonts w:ascii="Arial" w:hAnsi="Arial" w:cs="Arial"/>
        </w:rPr>
      </w:pPr>
    </w:p>
    <w:p w:rsidR="00041D04" w:rsidRPr="00BE36D3" w:rsidRDefault="00041D04">
      <w:pPr>
        <w:pStyle w:val="Prrafodelista"/>
        <w:numPr>
          <w:ilvl w:val="0"/>
          <w:numId w:val="27"/>
        </w:numPr>
        <w:spacing w:line="240" w:lineRule="auto"/>
        <w:jc w:val="both"/>
        <w:rPr>
          <w:rFonts w:ascii="Arial" w:hAnsi="Arial" w:cs="Arial"/>
        </w:rPr>
      </w:pPr>
      <w:r w:rsidRPr="00BE36D3">
        <w:rPr>
          <w:rFonts w:ascii="Arial" w:hAnsi="Arial" w:cs="Arial"/>
        </w:rPr>
        <w:t xml:space="preserve">Cuantificar la capacidad hotelera y de otros servicios turísticos que se ofrecen en el Municipio de Santiago de Tolú, esto a fin de mejorar la información relacionada con cuáles son los bienes y servicios que ofrecen los diferentes establecimientos prestadores de </w:t>
      </w:r>
      <w:r w:rsidR="00860011">
        <w:rPr>
          <w:rFonts w:ascii="Arial" w:hAnsi="Arial" w:cs="Arial"/>
        </w:rPr>
        <w:t>S</w:t>
      </w:r>
      <w:r w:rsidRPr="00BE36D3">
        <w:rPr>
          <w:rFonts w:ascii="Arial" w:hAnsi="Arial" w:cs="Arial"/>
        </w:rPr>
        <w:t xml:space="preserve">ervicios </w:t>
      </w:r>
      <w:r w:rsidR="00860011">
        <w:rPr>
          <w:rFonts w:ascii="Arial" w:hAnsi="Arial" w:cs="Arial"/>
        </w:rPr>
        <w:t>T</w:t>
      </w:r>
      <w:r w:rsidRPr="00BE36D3">
        <w:rPr>
          <w:rFonts w:ascii="Arial" w:hAnsi="Arial" w:cs="Arial"/>
        </w:rPr>
        <w:t>urísticos en el Municipio de Santiago de Tolú.</w:t>
      </w:r>
    </w:p>
    <w:p w:rsidR="00C5770E" w:rsidRPr="000E7813" w:rsidRDefault="00041D04">
      <w:pPr>
        <w:pStyle w:val="Prrafodelista"/>
        <w:numPr>
          <w:ilvl w:val="0"/>
          <w:numId w:val="27"/>
        </w:numPr>
        <w:spacing w:line="240" w:lineRule="auto"/>
        <w:jc w:val="both"/>
        <w:rPr>
          <w:rFonts w:ascii="Arial" w:hAnsi="Arial" w:cs="Arial"/>
        </w:rPr>
      </w:pPr>
      <w:r w:rsidRPr="00BE36D3">
        <w:rPr>
          <w:rFonts w:ascii="Arial" w:hAnsi="Arial" w:cs="Arial"/>
        </w:rPr>
        <w:t xml:space="preserve">Definir la capacidad hotelera y de otros </w:t>
      </w:r>
      <w:r w:rsidR="00860011">
        <w:rPr>
          <w:rFonts w:ascii="Arial" w:hAnsi="Arial" w:cs="Arial"/>
        </w:rPr>
        <w:t>S</w:t>
      </w:r>
      <w:r w:rsidRPr="00BE36D3">
        <w:rPr>
          <w:rFonts w:ascii="Arial" w:hAnsi="Arial" w:cs="Arial"/>
        </w:rPr>
        <w:t xml:space="preserve">ervicios </w:t>
      </w:r>
      <w:r w:rsidR="00860011">
        <w:rPr>
          <w:rFonts w:ascii="Arial" w:hAnsi="Arial" w:cs="Arial"/>
        </w:rPr>
        <w:t>T</w:t>
      </w:r>
      <w:r w:rsidRPr="00BE36D3">
        <w:rPr>
          <w:rFonts w:ascii="Arial" w:hAnsi="Arial" w:cs="Arial"/>
        </w:rPr>
        <w:t xml:space="preserve">urísticos que se ofrecen en el Municipio de Santiago de Tolú, esto a fin de mejorar la información relacionada con </w:t>
      </w:r>
      <w:r w:rsidRPr="00BE36D3">
        <w:rPr>
          <w:rFonts w:ascii="Arial" w:hAnsi="Arial" w:cs="Arial"/>
        </w:rPr>
        <w:lastRenderedPageBreak/>
        <w:t xml:space="preserve">cuáles son los bienes y servicios que ofrecen los diferentes establecimientos prestadores de </w:t>
      </w:r>
      <w:r w:rsidR="00860011">
        <w:rPr>
          <w:rFonts w:ascii="Arial" w:hAnsi="Arial" w:cs="Arial"/>
        </w:rPr>
        <w:t>S</w:t>
      </w:r>
      <w:r w:rsidRPr="00BE36D3">
        <w:rPr>
          <w:rFonts w:ascii="Arial" w:hAnsi="Arial" w:cs="Arial"/>
        </w:rPr>
        <w:t xml:space="preserve">ervicios </w:t>
      </w:r>
      <w:r w:rsidR="00860011">
        <w:rPr>
          <w:rFonts w:ascii="Arial" w:hAnsi="Arial" w:cs="Arial"/>
        </w:rPr>
        <w:t>T</w:t>
      </w:r>
      <w:r w:rsidRPr="00BE36D3">
        <w:rPr>
          <w:rFonts w:ascii="Arial" w:hAnsi="Arial" w:cs="Arial"/>
        </w:rPr>
        <w:t>urísticos en el Municipio de Santiago de Tolú.</w:t>
      </w:r>
    </w:p>
    <w:p w:rsidR="00F4471B" w:rsidRDefault="00F4471B">
      <w:pPr>
        <w:spacing w:line="240" w:lineRule="auto"/>
        <w:contextualSpacing/>
        <w:jc w:val="both"/>
        <w:rPr>
          <w:rFonts w:ascii="Arial" w:hAnsi="Arial" w:cs="Arial"/>
        </w:rPr>
      </w:pPr>
    </w:p>
    <w:p w:rsidR="00041D04" w:rsidRDefault="00041D04">
      <w:pPr>
        <w:spacing w:line="240" w:lineRule="auto"/>
        <w:contextualSpacing/>
        <w:jc w:val="both"/>
        <w:rPr>
          <w:rFonts w:ascii="Arial" w:hAnsi="Arial" w:cs="Arial"/>
        </w:rPr>
      </w:pPr>
      <w:r w:rsidRPr="00BE36D3">
        <w:rPr>
          <w:rFonts w:ascii="Arial" w:hAnsi="Arial" w:cs="Arial"/>
        </w:rPr>
        <w:t>En el expediente contractual no se encontró evidencia de los resultados ni del análisis de dichas encuestas</w:t>
      </w:r>
      <w:r w:rsidR="00860011">
        <w:rPr>
          <w:rFonts w:ascii="Arial" w:hAnsi="Arial" w:cs="Arial"/>
        </w:rPr>
        <w:t>;</w:t>
      </w:r>
      <w:r w:rsidRPr="00BE36D3">
        <w:rPr>
          <w:rFonts w:ascii="Arial" w:hAnsi="Arial" w:cs="Arial"/>
        </w:rPr>
        <w:t xml:space="preserve"> es decir, no se encuentra evidencia de que se hayan entregado los productos establecidos, aunque el supervisor encargado (Secretaría de Turismo) dio por cumplido el objeto. Según el informe de cierre, el contratista cumplió con las actividades porque suministró el director del proyecto y los cuatro encuestadores, así como la persona encargada de la sistematización de la información.</w:t>
      </w:r>
    </w:p>
    <w:p w:rsidR="00C5770E" w:rsidRPr="00BE36D3" w:rsidRDefault="00C5770E">
      <w:pPr>
        <w:spacing w:line="240" w:lineRule="auto"/>
        <w:contextualSpacing/>
        <w:jc w:val="both"/>
        <w:rPr>
          <w:rFonts w:ascii="Arial" w:hAnsi="Arial" w:cs="Arial"/>
        </w:rPr>
      </w:pPr>
    </w:p>
    <w:p w:rsidR="00041D04" w:rsidRDefault="00041D04">
      <w:pPr>
        <w:spacing w:line="240" w:lineRule="auto"/>
        <w:contextualSpacing/>
        <w:jc w:val="both"/>
        <w:rPr>
          <w:rFonts w:ascii="Arial" w:hAnsi="Arial" w:cs="Arial"/>
        </w:rPr>
      </w:pPr>
      <w:r w:rsidRPr="00BE36D3">
        <w:rPr>
          <w:rFonts w:ascii="Arial" w:hAnsi="Arial" w:cs="Arial"/>
        </w:rPr>
        <w:t xml:space="preserve">Por lo tanto, </w:t>
      </w:r>
      <w:r w:rsidR="009F74A4" w:rsidRPr="00BE36D3">
        <w:rPr>
          <w:rFonts w:ascii="Arial" w:hAnsi="Arial" w:cs="Arial"/>
        </w:rPr>
        <w:t xml:space="preserve">no </w:t>
      </w:r>
      <w:r w:rsidRPr="00BE36D3">
        <w:rPr>
          <w:rFonts w:ascii="Arial" w:hAnsi="Arial" w:cs="Arial"/>
        </w:rPr>
        <w:t xml:space="preserve">se puede </w:t>
      </w:r>
      <w:r w:rsidR="009F74A4" w:rsidRPr="00BE36D3">
        <w:rPr>
          <w:rFonts w:ascii="Arial" w:hAnsi="Arial" w:cs="Arial"/>
        </w:rPr>
        <w:t>evidenciar el cumplimiento</w:t>
      </w:r>
      <w:r w:rsidRPr="00BE36D3">
        <w:rPr>
          <w:rFonts w:ascii="Arial" w:hAnsi="Arial" w:cs="Arial"/>
        </w:rPr>
        <w:t xml:space="preserve"> </w:t>
      </w:r>
      <w:r w:rsidR="009F74A4" w:rsidRPr="00BE36D3">
        <w:rPr>
          <w:rFonts w:ascii="Arial" w:hAnsi="Arial" w:cs="Arial"/>
        </w:rPr>
        <w:t>d</w:t>
      </w:r>
      <w:r w:rsidRPr="00BE36D3">
        <w:rPr>
          <w:rFonts w:ascii="Arial" w:hAnsi="Arial" w:cs="Arial"/>
        </w:rPr>
        <w:t xml:space="preserve">el objeto contractual, </w:t>
      </w:r>
      <w:r w:rsidR="009F74A4" w:rsidRPr="00BE36D3">
        <w:rPr>
          <w:rFonts w:ascii="Arial" w:hAnsi="Arial" w:cs="Arial"/>
        </w:rPr>
        <w:t xml:space="preserve">pues solo se evidencia </w:t>
      </w:r>
      <w:r w:rsidRPr="00BE36D3">
        <w:rPr>
          <w:rFonts w:ascii="Arial" w:hAnsi="Arial" w:cs="Arial"/>
        </w:rPr>
        <w:t xml:space="preserve">la prestación de servicios para la aplicación de una encuesta y </w:t>
      </w:r>
      <w:r w:rsidR="00BA6BF8">
        <w:rPr>
          <w:rFonts w:ascii="Arial" w:hAnsi="Arial" w:cs="Arial"/>
        </w:rPr>
        <w:t>la entrega</w:t>
      </w:r>
      <w:r w:rsidRPr="00BE36D3">
        <w:rPr>
          <w:rFonts w:ascii="Arial" w:hAnsi="Arial" w:cs="Arial"/>
        </w:rPr>
        <w:t xml:space="preserve"> de bienes, que no tuvo como resultado la caracterización que se proponía a realizar el Municipio.</w:t>
      </w:r>
      <w:r w:rsidR="00C637FC">
        <w:rPr>
          <w:rFonts w:ascii="Arial" w:hAnsi="Arial" w:cs="Arial"/>
        </w:rPr>
        <w:t xml:space="preserve"> </w:t>
      </w:r>
    </w:p>
    <w:p w:rsidR="00C5770E" w:rsidRPr="00BE36D3" w:rsidRDefault="00C5770E">
      <w:pPr>
        <w:spacing w:line="240" w:lineRule="auto"/>
        <w:contextualSpacing/>
        <w:jc w:val="both"/>
        <w:rPr>
          <w:rFonts w:ascii="Arial" w:hAnsi="Arial" w:cs="Arial"/>
        </w:rPr>
      </w:pPr>
    </w:p>
    <w:p w:rsidR="00041D04" w:rsidRDefault="00041D04">
      <w:pPr>
        <w:spacing w:line="240" w:lineRule="auto"/>
        <w:contextualSpacing/>
        <w:jc w:val="both"/>
        <w:rPr>
          <w:rFonts w:ascii="Arial" w:hAnsi="Arial" w:cs="Arial"/>
        </w:rPr>
      </w:pPr>
      <w:r w:rsidRPr="00BE36D3">
        <w:rPr>
          <w:rFonts w:ascii="Arial" w:hAnsi="Arial" w:cs="Arial"/>
        </w:rPr>
        <w:t xml:space="preserve">Así mismo, el DNP resaltó una evidente falla en la etapa de planeación del </w:t>
      </w:r>
      <w:r w:rsidR="00860011">
        <w:rPr>
          <w:rFonts w:ascii="Arial" w:hAnsi="Arial" w:cs="Arial"/>
        </w:rPr>
        <w:t>C</w:t>
      </w:r>
      <w:r w:rsidRPr="00BE36D3">
        <w:rPr>
          <w:rFonts w:ascii="Arial" w:hAnsi="Arial" w:cs="Arial"/>
        </w:rPr>
        <w:t>ontrato</w:t>
      </w:r>
      <w:r w:rsidR="00860011">
        <w:rPr>
          <w:rFonts w:ascii="Arial" w:hAnsi="Arial" w:cs="Arial"/>
        </w:rPr>
        <w:t xml:space="preserve"> al indicar que el</w:t>
      </w:r>
      <w:r w:rsidR="009667FB">
        <w:rPr>
          <w:rFonts w:ascii="Arial" w:hAnsi="Arial" w:cs="Arial"/>
        </w:rPr>
        <w:t xml:space="preserve"> </w:t>
      </w:r>
      <w:r w:rsidRPr="00BE36D3">
        <w:rPr>
          <w:rFonts w:ascii="Arial" w:hAnsi="Arial" w:cs="Arial"/>
        </w:rPr>
        <w:t>“</w:t>
      </w:r>
      <w:r w:rsidRPr="00BE36D3">
        <w:rPr>
          <w:rFonts w:ascii="Arial" w:hAnsi="Arial" w:cs="Arial"/>
          <w:i/>
          <w:iCs/>
        </w:rPr>
        <w:t>Proyecto de inversión y contrato con alcances idénticos, es claro que el proceso de formulación de proyectos no es oportuno y carecen de alcances estratégicos, en este caso lo acota a la contratación de un diagnóstico en términos estrictos debe hacer parte de un proyecto que apunte a lo relacionado en los artículos 76.10.1 y 76.10.2 de la Ley 715 de 2001</w:t>
      </w:r>
      <w:r w:rsidRPr="00BE36D3">
        <w:rPr>
          <w:rFonts w:ascii="Arial" w:hAnsi="Arial" w:cs="Arial"/>
        </w:rPr>
        <w:t>”</w:t>
      </w:r>
      <w:r w:rsidR="00C5770E">
        <w:rPr>
          <w:rFonts w:ascii="Arial" w:hAnsi="Arial" w:cs="Arial"/>
        </w:rPr>
        <w:t>.</w:t>
      </w:r>
    </w:p>
    <w:p w:rsidR="00C5770E" w:rsidRPr="00BE36D3" w:rsidRDefault="00C5770E">
      <w:pPr>
        <w:spacing w:line="240" w:lineRule="auto"/>
        <w:contextualSpacing/>
        <w:jc w:val="both"/>
        <w:rPr>
          <w:rFonts w:ascii="Arial" w:hAnsi="Arial" w:cs="Arial"/>
        </w:rPr>
      </w:pPr>
    </w:p>
    <w:p w:rsidR="00041D04" w:rsidRDefault="00041D04">
      <w:pPr>
        <w:spacing w:line="240" w:lineRule="auto"/>
        <w:contextualSpacing/>
        <w:jc w:val="both"/>
        <w:rPr>
          <w:rFonts w:ascii="Arial" w:hAnsi="Arial" w:cs="Arial"/>
        </w:rPr>
      </w:pPr>
      <w:r w:rsidRPr="00BE36D3">
        <w:rPr>
          <w:rFonts w:ascii="Arial" w:hAnsi="Arial" w:cs="Arial"/>
        </w:rPr>
        <w:t>Además, a pesar de que el objeto social del contratista se registra como “</w:t>
      </w:r>
      <w:r w:rsidRPr="00BE36D3">
        <w:rPr>
          <w:rFonts w:ascii="Arial" w:hAnsi="Arial" w:cs="Arial"/>
          <w:i/>
          <w:iCs/>
        </w:rPr>
        <w:t>Actividades del sector turismo</w:t>
      </w:r>
      <w:r w:rsidRPr="00BE36D3">
        <w:rPr>
          <w:rFonts w:ascii="Arial" w:hAnsi="Arial" w:cs="Arial"/>
        </w:rPr>
        <w:t>” este mismo se encargó de suministrar los elementos de papelería y la dotación necesaria para llevar a cabo las labores, junto con los refrigerios que se les dio a los encargados de levantar la información. Así mismo, el Informe de Monitoreo en Campo señala que el contratista aportó experiencia relacionada con el apoyo logístico de eventos y no con el desarrollo de investigaciones y consultorías del sector Turismo.</w:t>
      </w:r>
    </w:p>
    <w:p w:rsidR="00C5770E" w:rsidRPr="00BE36D3" w:rsidRDefault="00C5770E">
      <w:pPr>
        <w:spacing w:line="240" w:lineRule="auto"/>
        <w:contextualSpacing/>
        <w:jc w:val="both"/>
        <w:rPr>
          <w:rFonts w:ascii="Arial" w:hAnsi="Arial" w:cs="Arial"/>
        </w:rPr>
      </w:pPr>
    </w:p>
    <w:p w:rsidR="00FF3E4D" w:rsidRDefault="00FF3E4D">
      <w:pPr>
        <w:spacing w:line="240" w:lineRule="auto"/>
        <w:contextualSpacing/>
        <w:jc w:val="both"/>
        <w:rPr>
          <w:rFonts w:ascii="Arial" w:hAnsi="Arial" w:cs="Arial"/>
        </w:rPr>
      </w:pPr>
      <w:r w:rsidRPr="00BE36D3">
        <w:rPr>
          <w:rFonts w:ascii="Arial" w:hAnsi="Arial" w:cs="Arial"/>
        </w:rPr>
        <w:t xml:space="preserve">Asimismo, en el </w:t>
      </w:r>
      <w:r w:rsidR="00860011">
        <w:rPr>
          <w:rFonts w:ascii="Arial" w:hAnsi="Arial" w:cs="Arial"/>
        </w:rPr>
        <w:t>C</w:t>
      </w:r>
      <w:r w:rsidRPr="00BE36D3">
        <w:rPr>
          <w:rFonts w:ascii="Arial" w:hAnsi="Arial" w:cs="Arial"/>
        </w:rPr>
        <w:t>ontrato MST-CD-CA-003-2017 cuyo objeto fue “</w:t>
      </w:r>
      <w:r w:rsidR="00860011" w:rsidRPr="00C5770E">
        <w:rPr>
          <w:rFonts w:ascii="Arial" w:hAnsi="Arial" w:cs="Arial"/>
          <w:i/>
          <w:iCs/>
        </w:rPr>
        <w:t>Unión de esfuerzos administrativos y económicos para la ejecución del proyecto social denominado atención integral de los grupos vulnerables (niños, niñas y jóvenes, mujer y género, discapacitados, adulto mayor) del Municipio Santiago de Tolú, vigencia 2017</w:t>
      </w:r>
      <w:r w:rsidRPr="00BE36D3">
        <w:rPr>
          <w:rFonts w:ascii="Arial" w:hAnsi="Arial" w:cs="Arial"/>
        </w:rPr>
        <w:t xml:space="preserve">”, se puede evidenciar que el análisis de diagnóstico y la determinación de los objetivos se hace dentro de los estudios previos </w:t>
      </w:r>
      <w:r w:rsidR="00EC7602" w:rsidRPr="00BE36D3">
        <w:rPr>
          <w:rFonts w:ascii="Arial" w:hAnsi="Arial" w:cs="Arial"/>
        </w:rPr>
        <w:t xml:space="preserve">del </w:t>
      </w:r>
      <w:r w:rsidR="00860011">
        <w:rPr>
          <w:rFonts w:ascii="Arial" w:hAnsi="Arial" w:cs="Arial"/>
        </w:rPr>
        <w:t>C</w:t>
      </w:r>
      <w:r w:rsidR="00EC7602" w:rsidRPr="00BE36D3">
        <w:rPr>
          <w:rFonts w:ascii="Arial" w:hAnsi="Arial" w:cs="Arial"/>
        </w:rPr>
        <w:t xml:space="preserve">ontrato </w:t>
      </w:r>
      <w:r w:rsidRPr="00BE36D3">
        <w:rPr>
          <w:rFonts w:ascii="Arial" w:hAnsi="Arial" w:cs="Arial"/>
        </w:rPr>
        <w:t xml:space="preserve">y no en una etapa previa de planeación de un proyecto definido y </w:t>
      </w:r>
      <w:r w:rsidR="00EC7602" w:rsidRPr="00BE36D3">
        <w:rPr>
          <w:rFonts w:ascii="Arial" w:hAnsi="Arial" w:cs="Arial"/>
        </w:rPr>
        <w:t xml:space="preserve">estructurado, </w:t>
      </w:r>
      <w:r w:rsidRPr="00BE36D3">
        <w:rPr>
          <w:rFonts w:ascii="Arial" w:hAnsi="Arial" w:cs="Arial"/>
        </w:rPr>
        <w:t>que guarde concordancia con el Plan de Desarrollo Territorial; el cual, además, materialice la política pública de atención a grupos vulnerables en el Municipio</w:t>
      </w:r>
      <w:r w:rsidR="00C3072E" w:rsidRPr="00BE36D3">
        <w:rPr>
          <w:rFonts w:ascii="Arial" w:hAnsi="Arial" w:cs="Arial"/>
        </w:rPr>
        <w:t>.</w:t>
      </w:r>
      <w:r w:rsidRPr="00BE36D3">
        <w:rPr>
          <w:rFonts w:ascii="Arial" w:hAnsi="Arial" w:cs="Arial"/>
        </w:rPr>
        <w:t xml:space="preserve"> Adicionalmente, para cada grupo de atención el objetivo general se determina como una cobertura, por lo cual se trata más de una meta específica de individuos atendidos que del fin que busca la intervención. Esto demuestra que no hay una programación estratégica de la inversión pública que se financia con cargo a los recursos de la Participación de Propósito General.</w:t>
      </w:r>
    </w:p>
    <w:p w:rsidR="00C5770E" w:rsidRPr="00BE36D3" w:rsidRDefault="00C5770E">
      <w:pPr>
        <w:spacing w:line="240" w:lineRule="auto"/>
        <w:contextualSpacing/>
        <w:jc w:val="both"/>
        <w:rPr>
          <w:rFonts w:ascii="Arial" w:hAnsi="Arial" w:cs="Arial"/>
        </w:rPr>
      </w:pPr>
    </w:p>
    <w:p w:rsidR="00C404B2" w:rsidRDefault="00FF3E4D">
      <w:pPr>
        <w:spacing w:line="240" w:lineRule="auto"/>
        <w:contextualSpacing/>
        <w:jc w:val="both"/>
        <w:rPr>
          <w:rFonts w:ascii="Arial" w:hAnsi="Arial" w:cs="Arial"/>
        </w:rPr>
      </w:pPr>
      <w:r w:rsidRPr="00BE36D3">
        <w:rPr>
          <w:rFonts w:ascii="Arial" w:hAnsi="Arial" w:cs="Arial"/>
        </w:rPr>
        <w:t>Otro aspecto que evidencia la deficiente planeación que soporta los procesos contractuales</w:t>
      </w:r>
      <w:r w:rsidR="00C3072E" w:rsidRPr="00BE36D3">
        <w:rPr>
          <w:rFonts w:ascii="Arial" w:hAnsi="Arial" w:cs="Arial"/>
        </w:rPr>
        <w:t>,</w:t>
      </w:r>
      <w:r w:rsidRPr="00BE36D3">
        <w:rPr>
          <w:rFonts w:ascii="Arial" w:hAnsi="Arial" w:cs="Arial"/>
        </w:rPr>
        <w:t xml:space="preserve"> es el hecho de que al </w:t>
      </w:r>
      <w:r w:rsidR="002112C0">
        <w:rPr>
          <w:rFonts w:ascii="Arial" w:hAnsi="Arial" w:cs="Arial"/>
        </w:rPr>
        <w:t>Contrato</w:t>
      </w:r>
      <w:r w:rsidRPr="00BE36D3">
        <w:rPr>
          <w:rFonts w:ascii="Arial" w:hAnsi="Arial" w:cs="Arial"/>
        </w:rPr>
        <w:t xml:space="preserve"> se le hicieron dos adiciones</w:t>
      </w:r>
      <w:r w:rsidR="00C404B2">
        <w:rPr>
          <w:rFonts w:ascii="Arial" w:hAnsi="Arial" w:cs="Arial"/>
        </w:rPr>
        <w:t xml:space="preserve"> </w:t>
      </w:r>
      <w:r w:rsidR="002112C0">
        <w:rPr>
          <w:rFonts w:ascii="Arial" w:hAnsi="Arial" w:cs="Arial"/>
        </w:rPr>
        <w:t>sin una justificación amplia</w:t>
      </w:r>
      <w:r w:rsidRPr="00BE36D3">
        <w:rPr>
          <w:rFonts w:ascii="Arial" w:hAnsi="Arial" w:cs="Arial"/>
        </w:rPr>
        <w:t xml:space="preserve"> durante su ejecución. La primera, se realizó el 18 de abril, apenas unos días después de </w:t>
      </w:r>
      <w:r w:rsidRPr="00BE36D3">
        <w:rPr>
          <w:rFonts w:ascii="Arial" w:hAnsi="Arial" w:cs="Arial"/>
        </w:rPr>
        <w:lastRenderedPageBreak/>
        <w:t xml:space="preserve">suscrito el </w:t>
      </w:r>
      <w:r w:rsidR="00860011">
        <w:rPr>
          <w:rFonts w:ascii="Arial" w:hAnsi="Arial" w:cs="Arial"/>
        </w:rPr>
        <w:t>C</w:t>
      </w:r>
      <w:r w:rsidRPr="00BE36D3">
        <w:rPr>
          <w:rFonts w:ascii="Arial" w:hAnsi="Arial" w:cs="Arial"/>
        </w:rPr>
        <w:t>ontrato, en donde no se soportó debidamente la adición en valor de $17.919.000. En el documento se menciona que es para ampliar el alcance y la cobertura de la celebración del día del niño</w:t>
      </w:r>
      <w:r w:rsidR="006507EF">
        <w:rPr>
          <w:rFonts w:ascii="Arial" w:hAnsi="Arial" w:cs="Arial"/>
        </w:rPr>
        <w:t>, esto a pesar de que en el documento de estudios previos se desarrollaron los respectivos análisis de</w:t>
      </w:r>
      <w:r w:rsidR="00C404B2">
        <w:rPr>
          <w:rFonts w:ascii="Arial" w:hAnsi="Arial" w:cs="Arial"/>
        </w:rPr>
        <w:t xml:space="preserve"> las actividades a desarrollar en cada componente, así como la duración y los insumos requeridos para llevarlos a cabo. De igual manera, en las líneas 3 y 4, que tienen que ver con actividades enfocadas en la atención integral a la </w:t>
      </w:r>
      <w:r w:rsidR="00AC7D59">
        <w:rPr>
          <w:rFonts w:ascii="Arial" w:hAnsi="Arial" w:cs="Arial"/>
        </w:rPr>
        <w:t xml:space="preserve">primera infancia, la </w:t>
      </w:r>
      <w:r w:rsidR="00C404B2">
        <w:rPr>
          <w:rFonts w:ascii="Arial" w:hAnsi="Arial" w:cs="Arial"/>
        </w:rPr>
        <w:t>niñe</w:t>
      </w:r>
      <w:r w:rsidR="00AC7D59">
        <w:rPr>
          <w:rFonts w:ascii="Arial" w:hAnsi="Arial" w:cs="Arial"/>
        </w:rPr>
        <w:t xml:space="preserve">z y los adolescentes, </w:t>
      </w:r>
      <w:r w:rsidR="00C404B2">
        <w:rPr>
          <w:rFonts w:ascii="Arial" w:hAnsi="Arial" w:cs="Arial"/>
        </w:rPr>
        <w:t xml:space="preserve">se </w:t>
      </w:r>
      <w:r w:rsidR="003D117C">
        <w:rPr>
          <w:rFonts w:ascii="Arial" w:hAnsi="Arial" w:cs="Arial"/>
        </w:rPr>
        <w:t>reali</w:t>
      </w:r>
      <w:r w:rsidR="00C404B2">
        <w:rPr>
          <w:rFonts w:ascii="Arial" w:hAnsi="Arial" w:cs="Arial"/>
        </w:rPr>
        <w:t>z</w:t>
      </w:r>
      <w:r w:rsidR="003D117C">
        <w:rPr>
          <w:rFonts w:ascii="Arial" w:hAnsi="Arial" w:cs="Arial"/>
        </w:rPr>
        <w:t>ó</w:t>
      </w:r>
      <w:r w:rsidR="00C404B2">
        <w:rPr>
          <w:rFonts w:ascii="Arial" w:hAnsi="Arial" w:cs="Arial"/>
        </w:rPr>
        <w:t xml:space="preserve"> el proceso de identificación del alcance y beneficiarios de la intervención, razón por la cual no se explica que a </w:t>
      </w:r>
      <w:r w:rsidR="00FD46A9">
        <w:rPr>
          <w:rFonts w:ascii="Arial" w:hAnsi="Arial" w:cs="Arial"/>
        </w:rPr>
        <w:t>12</w:t>
      </w:r>
      <w:r w:rsidR="00C404B2">
        <w:rPr>
          <w:rFonts w:ascii="Arial" w:hAnsi="Arial" w:cs="Arial"/>
        </w:rPr>
        <w:t xml:space="preserve"> días de haberse </w:t>
      </w:r>
      <w:r w:rsidR="003D117C">
        <w:rPr>
          <w:rFonts w:ascii="Arial" w:hAnsi="Arial" w:cs="Arial"/>
        </w:rPr>
        <w:t xml:space="preserve">suscrito el contrato </w:t>
      </w:r>
      <w:r w:rsidR="00831454">
        <w:rPr>
          <w:rFonts w:ascii="Arial" w:hAnsi="Arial" w:cs="Arial"/>
        </w:rPr>
        <w:t>se</w:t>
      </w:r>
      <w:r w:rsidR="003D117C">
        <w:rPr>
          <w:rFonts w:ascii="Arial" w:hAnsi="Arial" w:cs="Arial"/>
        </w:rPr>
        <w:t xml:space="preserve"> modifi</w:t>
      </w:r>
      <w:r w:rsidR="00831454">
        <w:rPr>
          <w:rFonts w:ascii="Arial" w:hAnsi="Arial" w:cs="Arial"/>
        </w:rPr>
        <w:t>que</w:t>
      </w:r>
      <w:r w:rsidR="003D117C">
        <w:rPr>
          <w:rFonts w:ascii="Arial" w:hAnsi="Arial" w:cs="Arial"/>
        </w:rPr>
        <w:t xml:space="preserve"> para incluir la celebración del día del niño, actividad que debió haber sido i</w:t>
      </w:r>
      <w:r w:rsidR="001E351E">
        <w:rPr>
          <w:rFonts w:ascii="Arial" w:hAnsi="Arial" w:cs="Arial"/>
        </w:rPr>
        <w:t>ncluida</w:t>
      </w:r>
      <w:r w:rsidR="003D117C">
        <w:rPr>
          <w:rFonts w:ascii="Arial" w:hAnsi="Arial" w:cs="Arial"/>
        </w:rPr>
        <w:t xml:space="preserve"> en el momento de llevar a cabo la identificación de la necesidad y su alcance. </w:t>
      </w:r>
    </w:p>
    <w:p w:rsidR="00C404B2" w:rsidRDefault="00C404B2">
      <w:pPr>
        <w:spacing w:line="240" w:lineRule="auto"/>
        <w:contextualSpacing/>
        <w:jc w:val="both"/>
        <w:rPr>
          <w:rFonts w:ascii="Arial" w:hAnsi="Arial" w:cs="Arial"/>
        </w:rPr>
      </w:pPr>
    </w:p>
    <w:p w:rsidR="00A91A5B" w:rsidRDefault="00FF3E4D">
      <w:pPr>
        <w:spacing w:line="240" w:lineRule="auto"/>
        <w:contextualSpacing/>
        <w:jc w:val="both"/>
        <w:rPr>
          <w:rFonts w:ascii="Arial" w:hAnsi="Arial" w:cs="Arial"/>
        </w:rPr>
      </w:pPr>
      <w:r w:rsidRPr="00BE36D3">
        <w:rPr>
          <w:rFonts w:ascii="Arial" w:hAnsi="Arial" w:cs="Arial"/>
        </w:rPr>
        <w:t>La segunda adición se realizó el 17 de agosto de la misma vigencia. Allí se adicionó tanto en valor (</w:t>
      </w:r>
      <w:r w:rsidR="00C3072E" w:rsidRPr="00BE36D3">
        <w:rPr>
          <w:rFonts w:ascii="Arial" w:hAnsi="Arial" w:cs="Arial"/>
        </w:rPr>
        <w:t>$</w:t>
      </w:r>
      <w:r w:rsidRPr="00BE36D3">
        <w:rPr>
          <w:rFonts w:ascii="Arial" w:hAnsi="Arial" w:cs="Arial"/>
        </w:rPr>
        <w:t xml:space="preserve">248.712.000) como en plazo (un mes). En este documento la justificación </w:t>
      </w:r>
      <w:r w:rsidR="002112C0">
        <w:rPr>
          <w:rFonts w:ascii="Arial" w:hAnsi="Arial" w:cs="Arial"/>
        </w:rPr>
        <w:t>indica</w:t>
      </w:r>
      <w:r w:rsidR="002112C0" w:rsidRPr="00BE36D3">
        <w:rPr>
          <w:rFonts w:ascii="Arial" w:hAnsi="Arial" w:cs="Arial"/>
        </w:rPr>
        <w:t xml:space="preserve"> </w:t>
      </w:r>
      <w:r w:rsidRPr="00BE36D3">
        <w:rPr>
          <w:rFonts w:ascii="Arial" w:hAnsi="Arial" w:cs="Arial"/>
        </w:rPr>
        <w:t xml:space="preserve">que el alcance temporal de cada línea de atención debe ampliarse, lo cual demuestra </w:t>
      </w:r>
      <w:r w:rsidR="00672146">
        <w:rPr>
          <w:rFonts w:ascii="Arial" w:hAnsi="Arial" w:cs="Arial"/>
        </w:rPr>
        <w:t>la insuficiencia del</w:t>
      </w:r>
      <w:r w:rsidRPr="00BE36D3">
        <w:rPr>
          <w:rFonts w:ascii="Arial" w:hAnsi="Arial" w:cs="Arial"/>
        </w:rPr>
        <w:t xml:space="preserve"> análisis de costos y </w:t>
      </w:r>
      <w:r w:rsidR="00672146">
        <w:rPr>
          <w:rFonts w:ascii="Arial" w:hAnsi="Arial" w:cs="Arial"/>
        </w:rPr>
        <w:t>d</w:t>
      </w:r>
      <w:r w:rsidRPr="00BE36D3">
        <w:rPr>
          <w:rFonts w:ascii="Arial" w:hAnsi="Arial" w:cs="Arial"/>
        </w:rPr>
        <w:t xml:space="preserve">el proceso de planeación del </w:t>
      </w:r>
      <w:r w:rsidR="0059197D" w:rsidRPr="00BE36D3">
        <w:rPr>
          <w:rFonts w:ascii="Arial" w:hAnsi="Arial" w:cs="Arial"/>
        </w:rPr>
        <w:t>programa</w:t>
      </w:r>
      <w:r w:rsidR="0059197D">
        <w:rPr>
          <w:rFonts w:ascii="Arial" w:hAnsi="Arial" w:cs="Arial"/>
        </w:rPr>
        <w:t xml:space="preserve">, </w:t>
      </w:r>
      <w:r w:rsidR="0059197D" w:rsidRPr="00BE36D3">
        <w:rPr>
          <w:rFonts w:ascii="Arial" w:hAnsi="Arial" w:cs="Arial"/>
        </w:rPr>
        <w:t>ya</w:t>
      </w:r>
      <w:r w:rsidR="00672146">
        <w:rPr>
          <w:rFonts w:ascii="Arial" w:hAnsi="Arial" w:cs="Arial"/>
        </w:rPr>
        <w:t xml:space="preserve"> que en el plan de acción</w:t>
      </w:r>
      <w:r w:rsidRPr="00BE36D3">
        <w:rPr>
          <w:rFonts w:ascii="Arial" w:hAnsi="Arial" w:cs="Arial"/>
        </w:rPr>
        <w:t xml:space="preserve"> se realizó un ejercicio </w:t>
      </w:r>
      <w:r w:rsidR="00A91A5B">
        <w:rPr>
          <w:rFonts w:ascii="Arial" w:hAnsi="Arial" w:cs="Arial"/>
        </w:rPr>
        <w:t xml:space="preserve">incompleto </w:t>
      </w:r>
      <w:r w:rsidRPr="00BE36D3">
        <w:rPr>
          <w:rFonts w:ascii="Arial" w:hAnsi="Arial" w:cs="Arial"/>
        </w:rPr>
        <w:t>de determinación de beneficiarios y de la duración de las actividades planteadas en el cronograma</w:t>
      </w:r>
      <w:r w:rsidR="00C3072E" w:rsidRPr="00BE36D3">
        <w:rPr>
          <w:rFonts w:ascii="Arial" w:hAnsi="Arial" w:cs="Arial"/>
        </w:rPr>
        <w:t xml:space="preserve"> para el logro de </w:t>
      </w:r>
      <w:r w:rsidR="00A91A5B">
        <w:rPr>
          <w:rFonts w:ascii="Arial" w:hAnsi="Arial" w:cs="Arial"/>
        </w:rPr>
        <w:t xml:space="preserve">los </w:t>
      </w:r>
      <w:r w:rsidR="00C3072E" w:rsidRPr="00BE36D3">
        <w:rPr>
          <w:rFonts w:ascii="Arial" w:hAnsi="Arial" w:cs="Arial"/>
        </w:rPr>
        <w:t>objetivo</w:t>
      </w:r>
      <w:r w:rsidR="00A91A5B">
        <w:rPr>
          <w:rFonts w:ascii="Arial" w:hAnsi="Arial" w:cs="Arial"/>
        </w:rPr>
        <w:t>s</w:t>
      </w:r>
      <w:r w:rsidR="00C3072E" w:rsidRPr="00BE36D3">
        <w:rPr>
          <w:rFonts w:ascii="Arial" w:hAnsi="Arial" w:cs="Arial"/>
        </w:rPr>
        <w:t xml:space="preserve"> específico</w:t>
      </w:r>
      <w:r w:rsidR="00A91A5B">
        <w:rPr>
          <w:rFonts w:ascii="Arial" w:hAnsi="Arial" w:cs="Arial"/>
        </w:rPr>
        <w:t>s</w:t>
      </w:r>
      <w:r w:rsidRPr="00BE36D3">
        <w:rPr>
          <w:rFonts w:ascii="Arial" w:hAnsi="Arial" w:cs="Arial"/>
        </w:rPr>
        <w:t xml:space="preserve">. </w:t>
      </w:r>
      <w:r w:rsidR="00A91A5B">
        <w:rPr>
          <w:rFonts w:ascii="Arial" w:hAnsi="Arial" w:cs="Arial"/>
        </w:rPr>
        <w:t xml:space="preserve">Esto derivó en la necesidad de generar </w:t>
      </w:r>
      <w:r w:rsidR="00D95614">
        <w:rPr>
          <w:rFonts w:ascii="Arial" w:hAnsi="Arial" w:cs="Arial"/>
        </w:rPr>
        <w:t xml:space="preserve">un </w:t>
      </w:r>
      <w:r w:rsidR="00A91A5B">
        <w:rPr>
          <w:rFonts w:ascii="Arial" w:hAnsi="Arial" w:cs="Arial"/>
        </w:rPr>
        <w:t>O</w:t>
      </w:r>
      <w:r w:rsidR="002112C0">
        <w:rPr>
          <w:rFonts w:ascii="Arial" w:hAnsi="Arial" w:cs="Arial"/>
        </w:rPr>
        <w:t>trosí</w:t>
      </w:r>
      <w:r w:rsidR="00A91A5B">
        <w:rPr>
          <w:rFonts w:ascii="Arial" w:hAnsi="Arial" w:cs="Arial"/>
        </w:rPr>
        <w:t xml:space="preserve"> por aproximadamente el 37% del valor inicial, p</w:t>
      </w:r>
      <w:r w:rsidR="00D95614">
        <w:rPr>
          <w:rFonts w:ascii="Arial" w:hAnsi="Arial" w:cs="Arial"/>
        </w:rPr>
        <w:t xml:space="preserve">ara cubrir </w:t>
      </w:r>
      <w:r w:rsidR="00A91A5B">
        <w:rPr>
          <w:rFonts w:ascii="Arial" w:hAnsi="Arial" w:cs="Arial"/>
        </w:rPr>
        <w:t xml:space="preserve">un plazo adicional </w:t>
      </w:r>
      <w:r w:rsidR="00D95614">
        <w:rPr>
          <w:rFonts w:ascii="Arial" w:hAnsi="Arial" w:cs="Arial"/>
        </w:rPr>
        <w:t xml:space="preserve">de ejecución que representa </w:t>
      </w:r>
      <w:r w:rsidR="00A91A5B">
        <w:rPr>
          <w:rFonts w:ascii="Arial" w:hAnsi="Arial" w:cs="Arial"/>
        </w:rPr>
        <w:t>tan solo</w:t>
      </w:r>
      <w:r w:rsidR="00D95614">
        <w:rPr>
          <w:rFonts w:ascii="Arial" w:hAnsi="Arial" w:cs="Arial"/>
        </w:rPr>
        <w:t xml:space="preserve"> el</w:t>
      </w:r>
      <w:r w:rsidR="00A91A5B">
        <w:rPr>
          <w:rFonts w:ascii="Arial" w:hAnsi="Arial" w:cs="Arial"/>
        </w:rPr>
        <w:t xml:space="preserve"> 14% frente al alcance temporal planteado inicialmente.</w:t>
      </w:r>
    </w:p>
    <w:p w:rsidR="00A91A5B" w:rsidRDefault="00A91A5B">
      <w:pPr>
        <w:spacing w:line="240" w:lineRule="auto"/>
        <w:contextualSpacing/>
        <w:jc w:val="both"/>
        <w:rPr>
          <w:rFonts w:ascii="Arial" w:hAnsi="Arial" w:cs="Arial"/>
        </w:rPr>
      </w:pPr>
    </w:p>
    <w:p w:rsidR="00AE60BC" w:rsidRDefault="00FF3E4D">
      <w:pPr>
        <w:spacing w:line="240" w:lineRule="auto"/>
        <w:contextualSpacing/>
        <w:jc w:val="both"/>
        <w:rPr>
          <w:rFonts w:ascii="Arial" w:hAnsi="Arial" w:cs="Arial"/>
        </w:rPr>
      </w:pPr>
      <w:r w:rsidRPr="00BE36D3">
        <w:rPr>
          <w:rFonts w:ascii="Arial" w:hAnsi="Arial" w:cs="Arial"/>
        </w:rPr>
        <w:t xml:space="preserve">Llama especialmente la atención la falta de informes de supervisión </w:t>
      </w:r>
      <w:r w:rsidR="00672146">
        <w:rPr>
          <w:rFonts w:ascii="Arial" w:hAnsi="Arial" w:cs="Arial"/>
        </w:rPr>
        <w:t xml:space="preserve">en el expediente allegado por el DNP, debido a que esta situación incumple el </w:t>
      </w:r>
      <w:r w:rsidR="00672146" w:rsidRPr="00672146">
        <w:rPr>
          <w:rFonts w:ascii="Arial" w:hAnsi="Arial" w:cs="Arial"/>
        </w:rPr>
        <w:t>artículo 83 de la Ley 1474 del 2011</w:t>
      </w:r>
      <w:r w:rsidR="0059197D">
        <w:rPr>
          <w:rFonts w:ascii="Arial" w:hAnsi="Arial" w:cs="Arial"/>
        </w:rPr>
        <w:t xml:space="preserve"> en materia de supervisión e interventoría contractual</w:t>
      </w:r>
      <w:r w:rsidR="00672146">
        <w:rPr>
          <w:rFonts w:ascii="Arial" w:hAnsi="Arial" w:cs="Arial"/>
        </w:rPr>
        <w:t xml:space="preserve">. </w:t>
      </w:r>
    </w:p>
    <w:p w:rsidR="00AE60BC" w:rsidRDefault="00AE60BC">
      <w:pPr>
        <w:spacing w:line="240" w:lineRule="auto"/>
        <w:contextualSpacing/>
        <w:jc w:val="both"/>
        <w:rPr>
          <w:rFonts w:ascii="Arial" w:hAnsi="Arial" w:cs="Arial"/>
        </w:rPr>
      </w:pPr>
    </w:p>
    <w:p w:rsidR="00AE60BC" w:rsidRDefault="00AE60BC">
      <w:pPr>
        <w:spacing w:line="240" w:lineRule="auto"/>
        <w:contextualSpacing/>
        <w:jc w:val="both"/>
        <w:rPr>
          <w:rFonts w:ascii="Arial" w:hAnsi="Arial" w:cs="Arial"/>
        </w:rPr>
      </w:pPr>
      <w:r w:rsidRPr="00BE36D3">
        <w:rPr>
          <w:rFonts w:ascii="Arial" w:eastAsia="Arial Narrow" w:hAnsi="Arial" w:cs="Arial"/>
        </w:rPr>
        <w:t xml:space="preserve">A esto se suma que la formulación en la MGA Web de los proyectos asociados a los </w:t>
      </w:r>
      <w:r>
        <w:rPr>
          <w:rFonts w:ascii="Arial" w:eastAsia="Arial Narrow" w:hAnsi="Arial" w:cs="Arial"/>
        </w:rPr>
        <w:t>C</w:t>
      </w:r>
      <w:r w:rsidRPr="00BE36D3">
        <w:rPr>
          <w:rFonts w:ascii="Arial" w:eastAsia="Arial Narrow" w:hAnsi="Arial" w:cs="Arial"/>
        </w:rPr>
        <w:t xml:space="preserve">ontratos se hace días previos a la contratación, lo cual indica que no tienen una etapa previa de programación </w:t>
      </w:r>
      <w:r w:rsidR="00831454">
        <w:rPr>
          <w:rFonts w:ascii="Arial" w:eastAsia="Arial Narrow" w:hAnsi="Arial" w:cs="Arial"/>
        </w:rPr>
        <w:t xml:space="preserve">integral </w:t>
      </w:r>
      <w:r w:rsidRPr="00BE36D3">
        <w:rPr>
          <w:rFonts w:ascii="Arial" w:eastAsia="Arial Narrow" w:hAnsi="Arial" w:cs="Arial"/>
        </w:rPr>
        <w:t xml:space="preserve">de la inversión, sino que se hace simultáneamente cuando se va a realizar la ejecución del recurso. </w:t>
      </w:r>
      <w:r w:rsidRPr="00BE36D3">
        <w:rPr>
          <w:rFonts w:ascii="Arial" w:hAnsi="Arial" w:cs="Arial"/>
        </w:rPr>
        <w:t>Al respecto, en el documento “</w:t>
      </w:r>
      <w:r w:rsidRPr="00BE36D3">
        <w:rPr>
          <w:rFonts w:ascii="Arial" w:hAnsi="Arial" w:cs="Arial"/>
          <w:i/>
          <w:iCs/>
        </w:rPr>
        <w:t>Orientaciones para la programación y ejecución de los recursos del Sistema General de Participaciones (SGP)</w:t>
      </w:r>
      <w:r w:rsidRPr="00BE36D3">
        <w:rPr>
          <w:rFonts w:ascii="Arial" w:hAnsi="Arial" w:cs="Arial"/>
        </w:rPr>
        <w:t>”</w:t>
      </w:r>
      <w:r w:rsidRPr="00BE36D3">
        <w:rPr>
          <w:rFonts w:ascii="Arial" w:hAnsi="Arial" w:cs="Arial"/>
          <w:i/>
          <w:iCs/>
        </w:rPr>
        <w:t xml:space="preserve">; </w:t>
      </w:r>
      <w:r w:rsidRPr="00BE36D3">
        <w:rPr>
          <w:rFonts w:ascii="Arial" w:hAnsi="Arial" w:cs="Arial"/>
        </w:rPr>
        <w:t>Capítulo 6, Participación de Propósito General se determina, entre otros aspectos, que:</w:t>
      </w:r>
    </w:p>
    <w:p w:rsidR="00AE60BC" w:rsidRPr="00BE36D3" w:rsidRDefault="00AE60BC">
      <w:pPr>
        <w:spacing w:line="240" w:lineRule="auto"/>
        <w:contextualSpacing/>
        <w:jc w:val="both"/>
        <w:rPr>
          <w:rFonts w:ascii="Arial" w:hAnsi="Arial" w:cs="Arial"/>
        </w:rPr>
      </w:pPr>
    </w:p>
    <w:p w:rsidR="00AE60BC" w:rsidRPr="00BE36D3" w:rsidRDefault="00AE60BC">
      <w:pPr>
        <w:pStyle w:val="Default"/>
        <w:ind w:left="1416"/>
        <w:contextualSpacing/>
        <w:jc w:val="both"/>
        <w:rPr>
          <w:sz w:val="18"/>
          <w:szCs w:val="18"/>
        </w:rPr>
      </w:pPr>
      <w:r w:rsidRPr="00BE36D3">
        <w:rPr>
          <w:i/>
          <w:iCs/>
          <w:sz w:val="18"/>
          <w:szCs w:val="18"/>
        </w:rPr>
        <w:t>“Para la programación y ejecución de los recursos de la participación de propósito general de forzosa inversión es necesario tener en cuenta las siguientes consideraciones: […]</w:t>
      </w:r>
      <w:r>
        <w:rPr>
          <w:i/>
          <w:iCs/>
          <w:sz w:val="18"/>
          <w:szCs w:val="18"/>
        </w:rPr>
        <w:t>.</w:t>
      </w:r>
    </w:p>
    <w:p w:rsidR="00AE60BC" w:rsidRPr="00BE36D3" w:rsidRDefault="00AE60BC">
      <w:pPr>
        <w:pStyle w:val="Default"/>
        <w:ind w:left="1416"/>
        <w:contextualSpacing/>
        <w:jc w:val="both"/>
        <w:rPr>
          <w:i/>
          <w:iCs/>
          <w:sz w:val="18"/>
          <w:szCs w:val="18"/>
        </w:rPr>
      </w:pPr>
    </w:p>
    <w:p w:rsidR="00AE60BC" w:rsidRPr="00BE36D3" w:rsidRDefault="00AE60BC">
      <w:pPr>
        <w:spacing w:line="240" w:lineRule="auto"/>
        <w:ind w:left="1416"/>
        <w:contextualSpacing/>
        <w:jc w:val="both"/>
        <w:rPr>
          <w:rFonts w:ascii="Arial" w:hAnsi="Arial" w:cs="Arial"/>
          <w:i/>
          <w:iCs/>
          <w:color w:val="000000"/>
          <w:sz w:val="18"/>
          <w:szCs w:val="18"/>
        </w:rPr>
      </w:pPr>
      <w:r w:rsidRPr="00BE36D3">
        <w:rPr>
          <w:rFonts w:ascii="Arial" w:hAnsi="Arial" w:cs="Arial"/>
          <w:i/>
          <w:iCs/>
          <w:color w:val="000000"/>
          <w:sz w:val="18"/>
          <w:szCs w:val="18"/>
        </w:rPr>
        <w:t>Los recursos deben ejecutarse conforme a programas y proyectos viables. En este sentido se recuerda el objeto y sentido de la planeación, en la medida en que el proyecto se constituye en la unidad básica de dicho proceso, que debe contener objetivos acordes con las políticas generales de desarrollo de la entidad territorial”.</w:t>
      </w:r>
    </w:p>
    <w:p w:rsidR="00AE60BC" w:rsidRDefault="00AE60BC">
      <w:pPr>
        <w:spacing w:line="240" w:lineRule="auto"/>
        <w:contextualSpacing/>
        <w:jc w:val="both"/>
        <w:rPr>
          <w:rFonts w:ascii="Arial" w:hAnsi="Arial" w:cs="Arial"/>
        </w:rPr>
      </w:pPr>
    </w:p>
    <w:p w:rsidR="00AE60BC" w:rsidRPr="009E313F" w:rsidRDefault="00AE60BC">
      <w:pPr>
        <w:spacing w:line="240" w:lineRule="auto"/>
        <w:contextualSpacing/>
        <w:jc w:val="both"/>
        <w:rPr>
          <w:rFonts w:ascii="Arial" w:hAnsi="Arial" w:cs="Arial"/>
          <w:b/>
          <w:bCs/>
        </w:rPr>
      </w:pPr>
      <w:r>
        <w:rPr>
          <w:rFonts w:ascii="Arial" w:hAnsi="Arial" w:cs="Arial"/>
          <w:b/>
          <w:bCs/>
        </w:rPr>
        <w:t>E</w:t>
      </w:r>
      <w:r w:rsidRPr="009E313F">
        <w:rPr>
          <w:rFonts w:ascii="Arial" w:hAnsi="Arial" w:cs="Arial"/>
          <w:b/>
          <w:bCs/>
        </w:rPr>
        <w:t>jecución de recursos en desconocimiento de la normatividad vigente</w:t>
      </w:r>
    </w:p>
    <w:p w:rsidR="00C5770E" w:rsidRPr="00BE36D3" w:rsidRDefault="00C5770E">
      <w:pPr>
        <w:spacing w:line="240" w:lineRule="auto"/>
        <w:contextualSpacing/>
        <w:jc w:val="both"/>
        <w:rPr>
          <w:rFonts w:ascii="Arial" w:hAnsi="Arial" w:cs="Arial"/>
        </w:rPr>
      </w:pPr>
    </w:p>
    <w:p w:rsidR="00D93DDB" w:rsidRDefault="00D46D60">
      <w:pPr>
        <w:spacing w:line="240" w:lineRule="auto"/>
        <w:contextualSpacing/>
        <w:jc w:val="both"/>
        <w:rPr>
          <w:rFonts w:ascii="Arial" w:hAnsi="Arial" w:cs="Arial"/>
        </w:rPr>
      </w:pPr>
      <w:r>
        <w:rPr>
          <w:rFonts w:ascii="Arial" w:hAnsi="Arial" w:cs="Arial"/>
        </w:rPr>
        <w:t>Se destacan</w:t>
      </w:r>
      <w:r w:rsidR="007250D2" w:rsidRPr="00BE36D3">
        <w:rPr>
          <w:rFonts w:ascii="Arial" w:hAnsi="Arial" w:cs="Arial"/>
        </w:rPr>
        <w:t xml:space="preserve"> los</w:t>
      </w:r>
      <w:r w:rsidR="00D93DDB">
        <w:rPr>
          <w:rFonts w:ascii="Arial" w:hAnsi="Arial" w:cs="Arial"/>
        </w:rPr>
        <w:t xml:space="preserve"> siguientes </w:t>
      </w:r>
      <w:r w:rsidR="00C71175">
        <w:rPr>
          <w:rFonts w:ascii="Arial" w:hAnsi="Arial" w:cs="Arial"/>
        </w:rPr>
        <w:t>c</w:t>
      </w:r>
      <w:r w:rsidR="007250D2" w:rsidRPr="00BE36D3">
        <w:rPr>
          <w:rFonts w:ascii="Arial" w:hAnsi="Arial" w:cs="Arial"/>
        </w:rPr>
        <w:t>ontratos relacionados en la vigencia 2018</w:t>
      </w:r>
      <w:r w:rsidR="00D93DDB">
        <w:rPr>
          <w:rFonts w:ascii="Arial" w:hAnsi="Arial" w:cs="Arial"/>
        </w:rPr>
        <w:t xml:space="preserve"> por el Informe de Monitoreo en Campo: </w:t>
      </w:r>
    </w:p>
    <w:p w:rsidR="00D93DDB" w:rsidRDefault="007250D2">
      <w:pPr>
        <w:pStyle w:val="Prrafodelista"/>
        <w:numPr>
          <w:ilvl w:val="0"/>
          <w:numId w:val="28"/>
        </w:numPr>
        <w:spacing w:line="240" w:lineRule="auto"/>
        <w:jc w:val="both"/>
        <w:rPr>
          <w:rFonts w:ascii="Arial" w:hAnsi="Arial" w:cs="Arial"/>
        </w:rPr>
      </w:pPr>
      <w:r w:rsidRPr="009E313F">
        <w:rPr>
          <w:rFonts w:ascii="Arial" w:hAnsi="Arial" w:cs="Arial"/>
        </w:rPr>
        <w:lastRenderedPageBreak/>
        <w:t>MST-MIN-019-2018</w:t>
      </w:r>
      <w:r w:rsidR="00731B0C" w:rsidRPr="009E313F">
        <w:rPr>
          <w:rFonts w:ascii="Arial" w:hAnsi="Arial" w:cs="Arial"/>
        </w:rPr>
        <w:t xml:space="preserve"> cuyo objeto fue “</w:t>
      </w:r>
      <w:r w:rsidR="00105002" w:rsidRPr="009E313F">
        <w:rPr>
          <w:rFonts w:ascii="Arial" w:hAnsi="Arial" w:cs="Arial"/>
          <w:i/>
          <w:iCs/>
        </w:rPr>
        <w:t>Prestación de servicios de apoyo logístico para el desarrollo de actividades deportivas dirigida a las mujeres del Municipio de Santiago de Tolú, vigencia 2018</w:t>
      </w:r>
      <w:r w:rsidR="00D93DDB">
        <w:rPr>
          <w:rFonts w:ascii="Arial" w:hAnsi="Arial" w:cs="Arial"/>
          <w:i/>
          <w:iCs/>
        </w:rPr>
        <w:t>”</w:t>
      </w:r>
    </w:p>
    <w:p w:rsidR="00D93DDB" w:rsidRDefault="004840A5">
      <w:pPr>
        <w:pStyle w:val="Prrafodelista"/>
        <w:numPr>
          <w:ilvl w:val="0"/>
          <w:numId w:val="28"/>
        </w:numPr>
        <w:spacing w:line="240" w:lineRule="auto"/>
        <w:jc w:val="both"/>
        <w:rPr>
          <w:rFonts w:ascii="Arial" w:hAnsi="Arial" w:cs="Arial"/>
        </w:rPr>
      </w:pPr>
      <w:r>
        <w:rPr>
          <w:rFonts w:ascii="Arial" w:hAnsi="Arial" w:cs="Arial"/>
        </w:rPr>
        <w:t>c</w:t>
      </w:r>
      <w:r w:rsidR="00731B0C" w:rsidRPr="009E313F">
        <w:rPr>
          <w:rFonts w:ascii="Arial" w:hAnsi="Arial" w:cs="Arial"/>
        </w:rPr>
        <w:t xml:space="preserve"> con objeto “</w:t>
      </w:r>
      <w:r w:rsidR="00105002" w:rsidRPr="009E313F">
        <w:rPr>
          <w:rFonts w:ascii="Arial" w:hAnsi="Arial" w:cs="Arial"/>
          <w:i/>
          <w:iCs/>
        </w:rPr>
        <w:t>Prestación de servicio para la implementación de campaña preventiva contra el uso de pólvora durante el mes de diciembre en el Municipio de Santiago de Tolú</w:t>
      </w:r>
      <w:r w:rsidR="00731B0C" w:rsidRPr="009E313F">
        <w:rPr>
          <w:rFonts w:ascii="Arial" w:hAnsi="Arial" w:cs="Arial"/>
        </w:rPr>
        <w:t>”</w:t>
      </w:r>
    </w:p>
    <w:p w:rsidR="00D93DDB" w:rsidRPr="009E313F" w:rsidRDefault="007250D2">
      <w:pPr>
        <w:pStyle w:val="Prrafodelista"/>
        <w:numPr>
          <w:ilvl w:val="0"/>
          <w:numId w:val="28"/>
        </w:numPr>
        <w:spacing w:line="240" w:lineRule="auto"/>
        <w:jc w:val="both"/>
        <w:rPr>
          <w:rFonts w:ascii="Arial" w:hAnsi="Arial" w:cs="Arial"/>
        </w:rPr>
      </w:pPr>
      <w:r w:rsidRPr="009E313F">
        <w:rPr>
          <w:rFonts w:ascii="Arial" w:hAnsi="Arial" w:cs="Arial"/>
        </w:rPr>
        <w:t>MST-MIN-001-2018</w:t>
      </w:r>
      <w:r w:rsidR="002F7B7A" w:rsidRPr="009E313F">
        <w:rPr>
          <w:rFonts w:ascii="Arial" w:hAnsi="Arial" w:cs="Arial"/>
        </w:rPr>
        <w:t xml:space="preserve"> </w:t>
      </w:r>
      <w:r w:rsidR="00723175" w:rsidRPr="009E313F">
        <w:rPr>
          <w:rFonts w:ascii="Arial" w:hAnsi="Arial" w:cs="Arial"/>
        </w:rPr>
        <w:t xml:space="preserve">para la </w:t>
      </w:r>
      <w:r w:rsidR="002F7B7A" w:rsidRPr="009E313F">
        <w:rPr>
          <w:rFonts w:ascii="Arial" w:hAnsi="Arial" w:cs="Arial"/>
        </w:rPr>
        <w:t>“</w:t>
      </w:r>
      <w:r w:rsidR="00105002" w:rsidRPr="009E313F">
        <w:rPr>
          <w:rFonts w:ascii="Arial" w:eastAsia="Arial" w:hAnsi="Arial" w:cs="Arial"/>
          <w:i/>
          <w:iCs/>
          <w:color w:val="000000" w:themeColor="text1"/>
        </w:rPr>
        <w:t>Prestación de servicios de apoyo logístico que permita garantizar la realización de las regatas de veleros artesanales durante la temporada de vacaciones del mes de enero de 2018, a fin de promover los atractivos turísticos del Municipio Santiago de Tolú-vigencia 2018</w:t>
      </w:r>
      <w:r w:rsidR="002F7B7A" w:rsidRPr="009E313F">
        <w:rPr>
          <w:rFonts w:ascii="Arial" w:eastAsia="Arial" w:hAnsi="Arial" w:cs="Arial"/>
          <w:i/>
          <w:iCs/>
          <w:color w:val="000000" w:themeColor="text1"/>
        </w:rPr>
        <w:t>”</w:t>
      </w:r>
    </w:p>
    <w:p w:rsidR="00F4471B" w:rsidRDefault="00F4471B">
      <w:pPr>
        <w:spacing w:line="240" w:lineRule="auto"/>
        <w:contextualSpacing/>
        <w:jc w:val="both"/>
        <w:rPr>
          <w:rFonts w:ascii="Arial" w:hAnsi="Arial" w:cs="Arial"/>
        </w:rPr>
      </w:pPr>
    </w:p>
    <w:p w:rsidR="00AE60BC" w:rsidRDefault="00C71175">
      <w:pPr>
        <w:spacing w:line="240" w:lineRule="auto"/>
        <w:contextualSpacing/>
        <w:jc w:val="both"/>
        <w:rPr>
          <w:rFonts w:ascii="Arial" w:hAnsi="Arial" w:cs="Arial"/>
        </w:rPr>
      </w:pPr>
      <w:r>
        <w:rPr>
          <w:rFonts w:ascii="Arial" w:hAnsi="Arial" w:cs="Arial"/>
        </w:rPr>
        <w:t>Esta Dirección pudo</w:t>
      </w:r>
      <w:r w:rsidR="007250D2" w:rsidRPr="00BE36D3">
        <w:rPr>
          <w:rFonts w:ascii="Arial" w:hAnsi="Arial" w:cs="Arial"/>
        </w:rPr>
        <w:t xml:space="preserve"> evidenciar que</w:t>
      </w:r>
      <w:r w:rsidR="00D40943">
        <w:rPr>
          <w:rFonts w:ascii="Arial" w:hAnsi="Arial" w:cs="Arial"/>
        </w:rPr>
        <w:t xml:space="preserve"> a través de estos contratos</w:t>
      </w:r>
      <w:r w:rsidR="007250D2" w:rsidRPr="00BE36D3">
        <w:rPr>
          <w:rFonts w:ascii="Arial" w:hAnsi="Arial" w:cs="Arial"/>
        </w:rPr>
        <w:t xml:space="preserve"> </w:t>
      </w:r>
      <w:r w:rsidR="00D93DDB">
        <w:rPr>
          <w:rFonts w:ascii="Arial" w:hAnsi="Arial" w:cs="Arial"/>
        </w:rPr>
        <w:t>se adquieren dos tipos de bienes: el primer</w:t>
      </w:r>
      <w:r w:rsidR="00D40943">
        <w:rPr>
          <w:rFonts w:ascii="Arial" w:hAnsi="Arial" w:cs="Arial"/>
        </w:rPr>
        <w:t xml:space="preserve"> tipo</w:t>
      </w:r>
      <w:r w:rsidR="00D93DDB">
        <w:rPr>
          <w:rFonts w:ascii="Arial" w:hAnsi="Arial" w:cs="Arial"/>
        </w:rPr>
        <w:t xml:space="preserve"> corresponde a los bienes que son inherentes a la logística y organización de los eventos, los cuales se consumen en su totalidad con la realización del objeto contractual. </w:t>
      </w:r>
      <w:r>
        <w:rPr>
          <w:rFonts w:ascii="Arial" w:hAnsi="Arial" w:cs="Arial"/>
        </w:rPr>
        <w:t xml:space="preserve">El segundo tipo de elementos que se </w:t>
      </w:r>
      <w:r w:rsidR="00FF5474">
        <w:rPr>
          <w:rFonts w:ascii="Arial" w:hAnsi="Arial" w:cs="Arial"/>
        </w:rPr>
        <w:t>adquieren</w:t>
      </w:r>
      <w:r w:rsidR="00D93DDB">
        <w:rPr>
          <w:rFonts w:ascii="Arial" w:hAnsi="Arial" w:cs="Arial"/>
        </w:rPr>
        <w:t xml:space="preserve"> corresponde a bienes que no se consumen con la realización del evento</w:t>
      </w:r>
      <w:r w:rsidR="006D1690">
        <w:rPr>
          <w:rFonts w:ascii="Arial" w:hAnsi="Arial" w:cs="Arial"/>
        </w:rPr>
        <w:t xml:space="preserve">. </w:t>
      </w:r>
      <w:r w:rsidR="00D46D60">
        <w:rPr>
          <w:rFonts w:ascii="Arial" w:hAnsi="Arial" w:cs="Arial"/>
        </w:rPr>
        <w:t>E</w:t>
      </w:r>
      <w:r w:rsidR="00D93DDB">
        <w:rPr>
          <w:rFonts w:ascii="Arial" w:hAnsi="Arial" w:cs="Arial"/>
        </w:rPr>
        <w:t>stos últimos,</w:t>
      </w:r>
      <w:r w:rsidR="006D1690">
        <w:rPr>
          <w:rFonts w:ascii="Arial" w:hAnsi="Arial" w:cs="Arial"/>
        </w:rPr>
        <w:t xml:space="preserve"> son bienes que no quedan a disposición de la entidad territorial</w:t>
      </w:r>
      <w:r w:rsidR="00D46D60">
        <w:rPr>
          <w:rFonts w:ascii="Arial" w:hAnsi="Arial" w:cs="Arial"/>
        </w:rPr>
        <w:t xml:space="preserve"> bajo su custodia</w:t>
      </w:r>
      <w:r w:rsidR="006D1690">
        <w:rPr>
          <w:rFonts w:ascii="Arial" w:hAnsi="Arial" w:cs="Arial"/>
        </w:rPr>
        <w:t>, sino que están siendo entregados a los ciudadanos en contravía de la normatividad</w:t>
      </w:r>
    </w:p>
    <w:p w:rsidR="00AE60BC" w:rsidRDefault="00AE60BC">
      <w:pPr>
        <w:spacing w:line="240" w:lineRule="auto"/>
        <w:contextualSpacing/>
        <w:jc w:val="both"/>
        <w:rPr>
          <w:rFonts w:ascii="Arial" w:hAnsi="Arial" w:cs="Arial"/>
        </w:rPr>
      </w:pPr>
    </w:p>
    <w:p w:rsidR="007250D2" w:rsidRDefault="007250D2">
      <w:pPr>
        <w:spacing w:line="240" w:lineRule="auto"/>
        <w:contextualSpacing/>
        <w:jc w:val="both"/>
        <w:rPr>
          <w:rFonts w:ascii="Arial" w:eastAsia="Arial Narrow" w:hAnsi="Arial" w:cs="Arial"/>
        </w:rPr>
      </w:pPr>
      <w:r w:rsidRPr="00BE36D3">
        <w:rPr>
          <w:rFonts w:ascii="Arial" w:hAnsi="Arial" w:cs="Arial"/>
        </w:rPr>
        <w:t xml:space="preserve">Al respecto, el DNP resaltó que la entrega de </w:t>
      </w:r>
      <w:r w:rsidRPr="00BE36D3">
        <w:rPr>
          <w:rFonts w:ascii="Arial" w:hAnsi="Arial" w:cs="Arial"/>
          <w:i/>
          <w:iCs/>
        </w:rPr>
        <w:t>kits</w:t>
      </w:r>
      <w:r w:rsidR="00D46D60">
        <w:rPr>
          <w:rFonts w:ascii="Arial" w:hAnsi="Arial" w:cs="Arial"/>
        </w:rPr>
        <w:t xml:space="preserve"> y</w:t>
      </w:r>
      <w:r w:rsidRPr="00BE36D3">
        <w:rPr>
          <w:rFonts w:ascii="Arial" w:hAnsi="Arial" w:cs="Arial"/>
        </w:rPr>
        <w:t xml:space="preserve"> elementos </w:t>
      </w:r>
      <w:r w:rsidR="00D46D60">
        <w:rPr>
          <w:rFonts w:ascii="Arial" w:hAnsi="Arial" w:cs="Arial"/>
        </w:rPr>
        <w:t xml:space="preserve">de uso </w:t>
      </w:r>
      <w:r w:rsidRPr="00BE36D3">
        <w:rPr>
          <w:rFonts w:ascii="Arial" w:hAnsi="Arial" w:cs="Arial"/>
        </w:rPr>
        <w:t>personal</w:t>
      </w:r>
      <w:r w:rsidR="006D1690">
        <w:rPr>
          <w:rFonts w:ascii="Arial" w:hAnsi="Arial" w:cs="Arial"/>
        </w:rPr>
        <w:t>, como por</w:t>
      </w:r>
      <w:r w:rsidR="006D1690" w:rsidRPr="00BE36D3">
        <w:rPr>
          <w:rFonts w:ascii="Arial" w:hAnsi="Arial" w:cs="Arial"/>
        </w:rPr>
        <w:t xml:space="preserve"> ejemplo</w:t>
      </w:r>
      <w:r w:rsidR="00D46D60">
        <w:rPr>
          <w:rFonts w:ascii="Arial" w:hAnsi="Arial" w:cs="Arial"/>
        </w:rPr>
        <w:t xml:space="preserve"> </w:t>
      </w:r>
      <w:r w:rsidRPr="00BE36D3">
        <w:rPr>
          <w:rFonts w:ascii="Arial" w:hAnsi="Arial" w:cs="Arial"/>
        </w:rPr>
        <w:t>camisetas, termos, tulas</w:t>
      </w:r>
      <w:r w:rsidR="00D46D60">
        <w:rPr>
          <w:rFonts w:ascii="Arial" w:hAnsi="Arial" w:cs="Arial"/>
        </w:rPr>
        <w:t xml:space="preserve">, </w:t>
      </w:r>
      <w:r w:rsidRPr="00BE36D3">
        <w:rPr>
          <w:rFonts w:ascii="Arial" w:hAnsi="Arial" w:cs="Arial"/>
        </w:rPr>
        <w:t>gorra</w:t>
      </w:r>
      <w:r w:rsidR="006D1690">
        <w:rPr>
          <w:rFonts w:ascii="Arial" w:hAnsi="Arial" w:cs="Arial"/>
        </w:rPr>
        <w:t>s</w:t>
      </w:r>
      <w:r w:rsidR="00D46D60">
        <w:rPr>
          <w:rFonts w:ascii="Arial" w:eastAsia="Arial Narrow" w:hAnsi="Arial" w:cs="Arial"/>
        </w:rPr>
        <w:t xml:space="preserve"> y </w:t>
      </w:r>
      <w:r w:rsidRPr="00BE36D3">
        <w:rPr>
          <w:rFonts w:ascii="Arial" w:eastAsia="Arial Narrow" w:hAnsi="Arial" w:cs="Arial"/>
          <w:i/>
          <w:iCs/>
        </w:rPr>
        <w:t>kit</w:t>
      </w:r>
      <w:r w:rsidR="002656B9">
        <w:rPr>
          <w:rFonts w:ascii="Arial" w:eastAsia="Arial Narrow" w:hAnsi="Arial" w:cs="Arial"/>
          <w:i/>
          <w:iCs/>
        </w:rPr>
        <w:t>s</w:t>
      </w:r>
      <w:r w:rsidRPr="00BE36D3">
        <w:rPr>
          <w:rFonts w:ascii="Arial" w:eastAsia="Arial Narrow" w:hAnsi="Arial" w:cs="Arial"/>
        </w:rPr>
        <w:t xml:space="preserve"> para participantes (juguetes), </w:t>
      </w:r>
      <w:r w:rsidR="006D1690">
        <w:rPr>
          <w:rFonts w:ascii="Arial" w:eastAsia="Arial Narrow" w:hAnsi="Arial" w:cs="Arial"/>
        </w:rPr>
        <w:t>entre otros, no está permitida. Además</w:t>
      </w:r>
      <w:r w:rsidR="009E313F">
        <w:rPr>
          <w:rFonts w:ascii="Arial" w:eastAsia="Arial Narrow" w:hAnsi="Arial" w:cs="Arial"/>
        </w:rPr>
        <w:t>,</w:t>
      </w:r>
      <w:r w:rsidRPr="00BE36D3">
        <w:rPr>
          <w:rFonts w:ascii="Arial" w:eastAsia="Arial Narrow" w:hAnsi="Arial" w:cs="Arial"/>
        </w:rPr>
        <w:t xml:space="preserve"> estos gastos no se enmarcan en un proyecto de inversión orientado al cumplimiento de unas metas previamente definidas</w:t>
      </w:r>
      <w:r w:rsidR="00273385">
        <w:rPr>
          <w:rFonts w:ascii="Arial" w:eastAsia="Arial Narrow" w:hAnsi="Arial" w:cs="Arial"/>
        </w:rPr>
        <w:t xml:space="preserve"> que justifiquen la necesidad de su adquisición para el desarrollo de las actividades realizadas</w:t>
      </w:r>
      <w:r w:rsidR="00A31ECE">
        <w:rPr>
          <w:rFonts w:ascii="Arial" w:eastAsia="Arial Narrow" w:hAnsi="Arial" w:cs="Arial"/>
        </w:rPr>
        <w:t>.</w:t>
      </w:r>
    </w:p>
    <w:p w:rsidR="00C5770E" w:rsidRPr="00BE36D3" w:rsidRDefault="00C5770E">
      <w:pPr>
        <w:spacing w:line="240" w:lineRule="auto"/>
        <w:contextualSpacing/>
        <w:jc w:val="both"/>
        <w:rPr>
          <w:rFonts w:ascii="Arial" w:eastAsia="Arial Narrow" w:hAnsi="Arial" w:cs="Arial"/>
        </w:rPr>
      </w:pPr>
    </w:p>
    <w:p w:rsidR="007D58CA" w:rsidRDefault="007D58CA">
      <w:pPr>
        <w:spacing w:line="240" w:lineRule="auto"/>
        <w:contextualSpacing/>
        <w:jc w:val="both"/>
        <w:rPr>
          <w:rFonts w:ascii="Arial" w:eastAsia="Arial Narrow" w:hAnsi="Arial" w:cs="Arial"/>
        </w:rPr>
      </w:pPr>
      <w:r w:rsidRPr="00BE36D3">
        <w:rPr>
          <w:rFonts w:ascii="Arial" w:eastAsia="Arial Narrow" w:hAnsi="Arial" w:cs="Arial"/>
        </w:rPr>
        <w:t xml:space="preserve">En cuanto a los </w:t>
      </w:r>
      <w:r w:rsidR="002656B9">
        <w:rPr>
          <w:rFonts w:ascii="Arial" w:eastAsia="Arial Narrow" w:hAnsi="Arial" w:cs="Arial"/>
        </w:rPr>
        <w:t>C</w:t>
      </w:r>
      <w:r w:rsidRPr="00BE36D3">
        <w:rPr>
          <w:rFonts w:ascii="Arial" w:eastAsia="Arial Narrow" w:hAnsi="Arial" w:cs="Arial"/>
        </w:rPr>
        <w:t xml:space="preserve">ontratos MST-MC-AL-001-2019 y ST-CPS-002-2020 cuyo objeto </w:t>
      </w:r>
      <w:r w:rsidR="00C3072E" w:rsidRPr="00BE36D3">
        <w:rPr>
          <w:rFonts w:ascii="Arial" w:eastAsia="Arial Narrow" w:hAnsi="Arial" w:cs="Arial"/>
        </w:rPr>
        <w:t xml:space="preserve">en las dos vigencias </w:t>
      </w:r>
      <w:r w:rsidRPr="00BE36D3">
        <w:rPr>
          <w:rFonts w:ascii="Arial" w:eastAsia="Arial Narrow" w:hAnsi="Arial" w:cs="Arial"/>
        </w:rPr>
        <w:t xml:space="preserve">fue </w:t>
      </w:r>
      <w:r w:rsidR="00C3072E" w:rsidRPr="00BE36D3">
        <w:rPr>
          <w:rFonts w:ascii="Arial" w:eastAsia="Arial Narrow" w:hAnsi="Arial" w:cs="Arial"/>
        </w:rPr>
        <w:t xml:space="preserve">la </w:t>
      </w:r>
      <w:r w:rsidRPr="00BE36D3">
        <w:rPr>
          <w:rFonts w:ascii="Arial" w:eastAsia="Arial Narrow" w:hAnsi="Arial" w:cs="Arial"/>
        </w:rPr>
        <w:t>“</w:t>
      </w:r>
      <w:r w:rsidR="002656B9" w:rsidRPr="00C5770E">
        <w:rPr>
          <w:rFonts w:ascii="Arial" w:eastAsia="Arial Narrow" w:hAnsi="Arial" w:cs="Arial"/>
          <w:i/>
          <w:iCs/>
        </w:rPr>
        <w:t>Prestación de servicios de apoyo logístico que permita garantizar la realización de las regatas de veleros artesanales, a fin de promover esta actividad como atracción turística en el Municipio de Santiago de Tolú – Sucre</w:t>
      </w:r>
      <w:r w:rsidRPr="00BE36D3">
        <w:rPr>
          <w:rFonts w:ascii="Arial" w:eastAsia="Arial Narrow" w:hAnsi="Arial" w:cs="Arial"/>
        </w:rPr>
        <w:t xml:space="preserve">” se puede evidenciar que el objeto es recurrente pues el evento para el que se contrata el apoyo logístico se realiza una vez cada año en la temporada vacacional. Se observa que cada año las actividades del </w:t>
      </w:r>
      <w:r w:rsidR="002656B9">
        <w:rPr>
          <w:rFonts w:ascii="Arial" w:eastAsia="Arial Narrow" w:hAnsi="Arial" w:cs="Arial"/>
        </w:rPr>
        <w:t>C</w:t>
      </w:r>
      <w:r w:rsidRPr="00BE36D3">
        <w:rPr>
          <w:rFonts w:ascii="Arial" w:eastAsia="Arial Narrow" w:hAnsi="Arial" w:cs="Arial"/>
        </w:rPr>
        <w:t xml:space="preserve">ontrato son muy similares, </w:t>
      </w:r>
      <w:r w:rsidR="00A31ECE">
        <w:rPr>
          <w:rFonts w:ascii="Arial" w:eastAsia="Arial Narrow" w:hAnsi="Arial" w:cs="Arial"/>
        </w:rPr>
        <w:t>las cuales, aparte de la organización logística del evento, se relacionan con la entrega</w:t>
      </w:r>
      <w:r w:rsidRPr="00BE36D3">
        <w:rPr>
          <w:rFonts w:ascii="Arial" w:eastAsia="Arial Narrow" w:hAnsi="Arial" w:cs="Arial"/>
        </w:rPr>
        <w:t xml:space="preserve"> de elementos a la población como gorras, bu</w:t>
      </w:r>
      <w:r w:rsidR="00D40943">
        <w:rPr>
          <w:rFonts w:ascii="Arial" w:eastAsia="Arial Narrow" w:hAnsi="Arial" w:cs="Arial"/>
        </w:rPr>
        <w:t>z</w:t>
      </w:r>
      <w:r w:rsidRPr="00BE36D3">
        <w:rPr>
          <w:rFonts w:ascii="Arial" w:eastAsia="Arial Narrow" w:hAnsi="Arial" w:cs="Arial"/>
        </w:rPr>
        <w:t>os o camisetas.</w:t>
      </w:r>
    </w:p>
    <w:p w:rsidR="00C5770E" w:rsidRPr="00BE36D3" w:rsidRDefault="00C5770E">
      <w:pPr>
        <w:spacing w:line="240" w:lineRule="auto"/>
        <w:contextualSpacing/>
        <w:jc w:val="both"/>
        <w:rPr>
          <w:rFonts w:ascii="Arial" w:eastAsia="Arial Narrow" w:hAnsi="Arial" w:cs="Arial"/>
        </w:rPr>
      </w:pPr>
    </w:p>
    <w:p w:rsidR="00C5770E" w:rsidRDefault="007D58CA">
      <w:pPr>
        <w:spacing w:line="240" w:lineRule="auto"/>
        <w:contextualSpacing/>
        <w:jc w:val="both"/>
        <w:rPr>
          <w:rFonts w:ascii="Arial" w:eastAsia="Arial Narrow" w:hAnsi="Arial" w:cs="Arial"/>
        </w:rPr>
      </w:pPr>
      <w:r w:rsidRPr="00BE36D3">
        <w:rPr>
          <w:rFonts w:ascii="Arial" w:eastAsia="Arial Narrow" w:hAnsi="Arial" w:cs="Arial"/>
        </w:rPr>
        <w:t xml:space="preserve">De igual manera, este gasto no se relaciona con un proyecto de inversión </w:t>
      </w:r>
      <w:r w:rsidR="009E313F">
        <w:rPr>
          <w:rFonts w:ascii="Arial" w:eastAsia="Arial Narrow" w:hAnsi="Arial" w:cs="Arial"/>
        </w:rPr>
        <w:t xml:space="preserve">previamente </w:t>
      </w:r>
      <w:r w:rsidRPr="00BE36D3">
        <w:rPr>
          <w:rFonts w:ascii="Arial" w:eastAsia="Arial Narrow" w:hAnsi="Arial" w:cs="Arial"/>
        </w:rPr>
        <w:t xml:space="preserve">definido, </w:t>
      </w:r>
      <w:r w:rsidR="009E313F">
        <w:rPr>
          <w:rFonts w:ascii="Arial" w:eastAsia="Arial Narrow" w:hAnsi="Arial" w:cs="Arial"/>
        </w:rPr>
        <w:t>aunque podría argumentarse</w:t>
      </w:r>
      <w:r w:rsidRPr="00BE36D3">
        <w:rPr>
          <w:rFonts w:ascii="Arial" w:eastAsia="Arial Narrow" w:hAnsi="Arial" w:cs="Arial"/>
        </w:rPr>
        <w:t xml:space="preserve"> que busca potenciar el atractivo turístico del Municipio, </w:t>
      </w:r>
      <w:r w:rsidR="009E313F">
        <w:rPr>
          <w:rFonts w:ascii="Arial" w:eastAsia="Arial Narrow" w:hAnsi="Arial" w:cs="Arial"/>
        </w:rPr>
        <w:t xml:space="preserve">y </w:t>
      </w:r>
      <w:r w:rsidRPr="00BE36D3">
        <w:rPr>
          <w:rFonts w:ascii="Arial" w:eastAsia="Arial Narrow" w:hAnsi="Arial" w:cs="Arial"/>
        </w:rPr>
        <w:t>su estructura no se orienta al cumplimiento de unos resultados, sino que se limita a la entrega de elementos que no están estrechamente vinculado</w:t>
      </w:r>
      <w:r w:rsidR="002009D1" w:rsidRPr="00BE36D3">
        <w:rPr>
          <w:rFonts w:ascii="Arial" w:eastAsia="Arial Narrow" w:hAnsi="Arial" w:cs="Arial"/>
        </w:rPr>
        <w:t>s</w:t>
      </w:r>
      <w:r w:rsidRPr="00BE36D3">
        <w:rPr>
          <w:rFonts w:ascii="Arial" w:eastAsia="Arial Narrow" w:hAnsi="Arial" w:cs="Arial"/>
        </w:rPr>
        <w:t xml:space="preserve"> con el alcance de unos objetivos definidos previamente.</w:t>
      </w:r>
      <w:r w:rsidR="006F2DC0">
        <w:rPr>
          <w:rFonts w:ascii="Arial" w:eastAsia="Arial Narrow" w:hAnsi="Arial" w:cs="Arial"/>
        </w:rPr>
        <w:t xml:space="preserve"> </w:t>
      </w:r>
      <w:r w:rsidR="00D40943">
        <w:rPr>
          <w:rFonts w:ascii="Arial" w:eastAsia="Arial Narrow" w:hAnsi="Arial" w:cs="Arial"/>
        </w:rPr>
        <w:t>En síntesis, e</w:t>
      </w:r>
      <w:r w:rsidR="006F2DC0" w:rsidRPr="006F2DC0">
        <w:rPr>
          <w:rFonts w:ascii="Arial" w:eastAsia="Arial Narrow" w:hAnsi="Arial" w:cs="Arial"/>
        </w:rPr>
        <w:t xml:space="preserve">n los contratos relacionados anteriormente, se puede evidenciar que el objeto y alcance </w:t>
      </w:r>
      <w:r w:rsidR="00273385">
        <w:rPr>
          <w:rFonts w:ascii="Arial" w:eastAsia="Arial Narrow" w:hAnsi="Arial" w:cs="Arial"/>
        </w:rPr>
        <w:t xml:space="preserve">de </w:t>
      </w:r>
      <w:r w:rsidR="006F2DC0" w:rsidRPr="006F2DC0">
        <w:rPr>
          <w:rFonts w:ascii="Arial" w:eastAsia="Arial Narrow" w:hAnsi="Arial" w:cs="Arial"/>
        </w:rPr>
        <w:t>estos</w:t>
      </w:r>
      <w:r w:rsidR="00D40943">
        <w:rPr>
          <w:rFonts w:ascii="Arial" w:eastAsia="Arial Narrow" w:hAnsi="Arial" w:cs="Arial"/>
        </w:rPr>
        <w:t xml:space="preserve">, </w:t>
      </w:r>
      <w:r w:rsidR="006F2DC0" w:rsidRPr="006F2DC0">
        <w:rPr>
          <w:rFonts w:ascii="Arial" w:eastAsia="Arial Narrow" w:hAnsi="Arial" w:cs="Arial"/>
        </w:rPr>
        <w:t xml:space="preserve">al entregar directamente a la población estos elementos, incumple la </w:t>
      </w:r>
      <w:r w:rsidR="00D40943">
        <w:rPr>
          <w:rFonts w:ascii="Arial" w:eastAsia="Arial Narrow" w:hAnsi="Arial" w:cs="Arial"/>
        </w:rPr>
        <w:t>normatividad vigente relacionada con el uso de los recursos del Sistema General de Participaciones Propósito General</w:t>
      </w:r>
      <w:r w:rsidR="00050DC5">
        <w:rPr>
          <w:rFonts w:ascii="Arial" w:eastAsia="Arial Narrow" w:hAnsi="Arial" w:cs="Arial"/>
        </w:rPr>
        <w:t xml:space="preserve">. </w:t>
      </w:r>
      <w:r w:rsidR="00273385">
        <w:rPr>
          <w:rFonts w:ascii="Arial" w:eastAsia="Arial Narrow" w:hAnsi="Arial" w:cs="Arial"/>
        </w:rPr>
        <w:t>En todo caso</w:t>
      </w:r>
      <w:r w:rsidR="00050DC5">
        <w:rPr>
          <w:rFonts w:ascii="Arial" w:eastAsia="Arial Narrow" w:hAnsi="Arial" w:cs="Arial"/>
        </w:rPr>
        <w:t xml:space="preserve">, los bienes que no se utilizan </w:t>
      </w:r>
      <w:r w:rsidR="00273385">
        <w:rPr>
          <w:rFonts w:ascii="Arial" w:eastAsia="Arial Narrow" w:hAnsi="Arial" w:cs="Arial"/>
        </w:rPr>
        <w:t xml:space="preserve">y consumen </w:t>
      </w:r>
      <w:r w:rsidR="00050DC5">
        <w:rPr>
          <w:rFonts w:ascii="Arial" w:eastAsia="Arial Narrow" w:hAnsi="Arial" w:cs="Arial"/>
        </w:rPr>
        <w:t xml:space="preserve">en su totalidad durante la realización de los eventos deben </w:t>
      </w:r>
      <w:r w:rsidR="00273385">
        <w:rPr>
          <w:rFonts w:ascii="Arial" w:eastAsia="Arial Narrow" w:hAnsi="Arial" w:cs="Arial"/>
        </w:rPr>
        <w:t>quedar en custodia de</w:t>
      </w:r>
      <w:r w:rsidR="00050DC5">
        <w:rPr>
          <w:rFonts w:ascii="Arial" w:eastAsia="Arial Narrow" w:hAnsi="Arial" w:cs="Arial"/>
        </w:rPr>
        <w:t xml:space="preserve"> la entidad territorial. </w:t>
      </w:r>
    </w:p>
    <w:p w:rsidR="00E7527A" w:rsidRDefault="00E7527A">
      <w:pPr>
        <w:spacing w:line="240" w:lineRule="auto"/>
        <w:contextualSpacing/>
        <w:jc w:val="both"/>
        <w:rPr>
          <w:rFonts w:ascii="Arial" w:eastAsia="Arial Narrow" w:hAnsi="Arial" w:cs="Arial"/>
        </w:rPr>
      </w:pPr>
    </w:p>
    <w:p w:rsidR="00E7527A" w:rsidRDefault="00E7527A">
      <w:pPr>
        <w:spacing w:line="240" w:lineRule="auto"/>
        <w:contextualSpacing/>
        <w:jc w:val="both"/>
        <w:rPr>
          <w:rFonts w:ascii="Arial" w:eastAsia="Arial Narrow" w:hAnsi="Arial" w:cs="Arial"/>
        </w:rPr>
      </w:pPr>
      <w:r>
        <w:rPr>
          <w:rFonts w:ascii="Arial" w:eastAsia="Arial Narrow" w:hAnsi="Arial" w:cs="Arial"/>
        </w:rPr>
        <w:lastRenderedPageBreak/>
        <w:t>Se le recomienda a la Entidad territorial adelantar un</w:t>
      </w:r>
      <w:r w:rsidRPr="00E7527A">
        <w:rPr>
          <w:rFonts w:ascii="Arial" w:eastAsia="Arial Narrow" w:hAnsi="Arial" w:cs="Arial"/>
        </w:rPr>
        <w:t xml:space="preserve"> proceso de identificación de los gastos que pueden financiarse con cargo a los recursos de la Participación de Propósito General del Sistema General de Participaciones de acuerdo con la normatividad vigente para cada sector de inversión, para lo cual se deberá implementar un proceso de revisión jurídica permanente de los objetos contractuales respecto a su fuente de financiación. Para este proceso, se le recomienda la revisión del documento “Orientaciones para la programación y ejecución de los recursos del Sistema General de Participaciones” del DNP, específicamente el capítulo 6, el cual contiene de manera detallada y específica las disposiciones de las Leyes 715 de 2001 y 1176 de 2007 en materia de destinación de los recursos del SGP. El documento se encuentra a través de la siguiente dirección URL:</w:t>
      </w:r>
    </w:p>
    <w:p w:rsidR="008B307E" w:rsidRPr="00E7527A" w:rsidRDefault="008B307E">
      <w:pPr>
        <w:spacing w:line="240" w:lineRule="auto"/>
        <w:contextualSpacing/>
        <w:jc w:val="both"/>
        <w:rPr>
          <w:rFonts w:ascii="Arial" w:eastAsia="Arial Narrow" w:hAnsi="Arial" w:cs="Arial"/>
        </w:rPr>
      </w:pPr>
    </w:p>
    <w:p w:rsidR="00E7527A" w:rsidRDefault="004A4F20">
      <w:pPr>
        <w:spacing w:line="240" w:lineRule="auto"/>
        <w:contextualSpacing/>
        <w:jc w:val="both"/>
        <w:rPr>
          <w:rFonts w:ascii="Arial" w:eastAsia="Arial Narrow" w:hAnsi="Arial" w:cs="Arial"/>
        </w:rPr>
      </w:pPr>
      <w:hyperlink r:id="rId29" w:history="1">
        <w:r w:rsidR="00E7527A" w:rsidRPr="008756E8">
          <w:rPr>
            <w:rStyle w:val="Hipervnculo"/>
            <w:rFonts w:ascii="Arial" w:eastAsia="Arial Narrow" w:hAnsi="Arial" w:cs="Arial"/>
          </w:rPr>
          <w:t>https://colaboracion.dnp.gov.co/CDT/Inversiones%20y%20finanzas%20pblicas/Documentos%20GFT/3.%20Orientaciones%20SGP.pdf</w:t>
        </w:r>
      </w:hyperlink>
    </w:p>
    <w:p w:rsidR="00E7527A" w:rsidRPr="00E7527A" w:rsidRDefault="00E7527A">
      <w:pPr>
        <w:spacing w:line="240" w:lineRule="auto"/>
        <w:contextualSpacing/>
        <w:jc w:val="both"/>
        <w:rPr>
          <w:rFonts w:ascii="Arial" w:eastAsia="Arial Narrow" w:hAnsi="Arial" w:cs="Arial"/>
        </w:rPr>
      </w:pPr>
    </w:p>
    <w:p w:rsidR="00366E18" w:rsidRPr="002656B9" w:rsidRDefault="00366E18">
      <w:pPr>
        <w:spacing w:line="240" w:lineRule="auto"/>
        <w:contextualSpacing/>
        <w:jc w:val="both"/>
        <w:rPr>
          <w:rFonts w:ascii="Arial" w:eastAsia="Arial Narrow" w:hAnsi="Arial" w:cs="Arial"/>
          <w:b/>
          <w:bCs/>
          <w:i/>
          <w:iCs/>
        </w:rPr>
      </w:pPr>
      <w:r w:rsidRPr="00BE36D3">
        <w:rPr>
          <w:rFonts w:ascii="Arial" w:eastAsia="Arial Narrow" w:hAnsi="Arial" w:cs="Arial"/>
          <w:b/>
          <w:bCs/>
        </w:rPr>
        <w:t>Deficiencias en el seguimiento y supervisión al cumplimiento del objeto contractual (etapa post-contractual)</w:t>
      </w:r>
      <w:r w:rsidR="00C5770E" w:rsidRPr="00BE36D3">
        <w:rPr>
          <w:rFonts w:ascii="Arial" w:eastAsia="Arial Narrow" w:hAnsi="Arial" w:cs="Arial"/>
          <w:b/>
          <w:bCs/>
        </w:rPr>
        <w:t>.</w:t>
      </w:r>
    </w:p>
    <w:p w:rsidR="00C5770E" w:rsidRPr="00BE36D3" w:rsidRDefault="00C5770E">
      <w:pPr>
        <w:spacing w:line="240" w:lineRule="auto"/>
        <w:contextualSpacing/>
        <w:jc w:val="both"/>
        <w:rPr>
          <w:rFonts w:ascii="Arial" w:eastAsia="Arial Narrow" w:hAnsi="Arial" w:cs="Arial"/>
          <w:b/>
          <w:bCs/>
          <w:i/>
          <w:iCs/>
        </w:rPr>
      </w:pPr>
    </w:p>
    <w:p w:rsidR="009029FE" w:rsidRPr="00BE36D3" w:rsidRDefault="009029FE">
      <w:pPr>
        <w:spacing w:after="0" w:line="240" w:lineRule="auto"/>
        <w:contextualSpacing/>
        <w:jc w:val="both"/>
        <w:rPr>
          <w:rFonts w:ascii="Arial" w:hAnsi="Arial" w:cs="Arial"/>
        </w:rPr>
      </w:pPr>
      <w:r w:rsidRPr="00BE36D3">
        <w:rPr>
          <w:rFonts w:ascii="Arial" w:hAnsi="Arial" w:cs="Arial"/>
        </w:rPr>
        <w:t xml:space="preserve">En los documentos de la ejecución del </w:t>
      </w:r>
      <w:r w:rsidR="00826690">
        <w:rPr>
          <w:rFonts w:ascii="Arial" w:hAnsi="Arial" w:cs="Arial"/>
        </w:rPr>
        <w:t>C</w:t>
      </w:r>
      <w:r w:rsidRPr="00BE36D3">
        <w:rPr>
          <w:rFonts w:ascii="Arial" w:hAnsi="Arial" w:cs="Arial"/>
        </w:rPr>
        <w:t>ontrato MST-MIN-043-2017 para realizar la “</w:t>
      </w:r>
      <w:r w:rsidR="00826690" w:rsidRPr="00BE36D3">
        <w:rPr>
          <w:rFonts w:ascii="Arial" w:hAnsi="Arial" w:cs="Arial"/>
          <w:i/>
          <w:iCs/>
        </w:rPr>
        <w:t>Caracterización de la oferta de servicios turísticos, complementarios y de apoyo; que se ofrecen en el casco urbano del Municipio de Santiago de Tolú, Sucre</w:t>
      </w:r>
      <w:r w:rsidRPr="00BE36D3">
        <w:rPr>
          <w:rFonts w:ascii="Arial" w:hAnsi="Arial" w:cs="Arial"/>
        </w:rPr>
        <w:t xml:space="preserve">”, se evidencia que el contratista </w:t>
      </w:r>
      <w:r w:rsidR="00FE2082">
        <w:rPr>
          <w:rFonts w:ascii="Arial" w:hAnsi="Arial" w:cs="Arial"/>
        </w:rPr>
        <w:t>proporcionó</w:t>
      </w:r>
      <w:r w:rsidRPr="00BE36D3">
        <w:rPr>
          <w:rFonts w:ascii="Arial" w:hAnsi="Arial" w:cs="Arial"/>
        </w:rPr>
        <w:t xml:space="preserve"> los encuestadores para que se encargaran de: levantamiento de información de campo mediante encuestas, llenado de la ficha de encuestas, participación de la sistematización de la información y las demás actividades que se le asignara por el director del proyecto, el cual en este caso era el director y representante legal de la empresa </w:t>
      </w:r>
      <w:r w:rsidR="00826690" w:rsidRPr="00C5770E">
        <w:rPr>
          <w:rFonts w:ascii="Arial" w:hAnsi="Arial" w:cs="Arial"/>
        </w:rPr>
        <w:t xml:space="preserve">Turismo </w:t>
      </w:r>
      <w:r w:rsidR="00826690">
        <w:rPr>
          <w:rFonts w:ascii="Arial" w:hAnsi="Arial" w:cs="Arial"/>
        </w:rPr>
        <w:t>d</w:t>
      </w:r>
      <w:r w:rsidR="00826690" w:rsidRPr="00C5770E">
        <w:rPr>
          <w:rFonts w:ascii="Arial" w:hAnsi="Arial" w:cs="Arial"/>
        </w:rPr>
        <w:t xml:space="preserve">el Siglo </w:t>
      </w:r>
      <w:r w:rsidRPr="00BE36D3">
        <w:rPr>
          <w:rFonts w:ascii="Arial" w:hAnsi="Arial" w:cs="Arial"/>
        </w:rPr>
        <w:t>XXI S.A.S., pero en ningún momento se registran los resultados de dichas encuestas ni la entrega de dicha caracterización. Esto evidencia fallas en la supervisión del objeto contractual y un deficiente seguimiento al cumplimiento del objet</w:t>
      </w:r>
      <w:r w:rsidR="00501F06">
        <w:rPr>
          <w:rFonts w:ascii="Arial" w:hAnsi="Arial" w:cs="Arial"/>
        </w:rPr>
        <w:t>o y supone una afectación grave en la ejecución de los recursos, porque en términos estrictos se presentó un incumplimiento al objeto contractual por parte del contratista ante</w:t>
      </w:r>
      <w:r w:rsidR="00845C67">
        <w:rPr>
          <w:rFonts w:ascii="Arial" w:hAnsi="Arial" w:cs="Arial"/>
        </w:rPr>
        <w:t xml:space="preserve"> </w:t>
      </w:r>
      <w:r w:rsidR="00D31B37">
        <w:rPr>
          <w:rFonts w:ascii="Arial" w:hAnsi="Arial" w:cs="Arial"/>
        </w:rPr>
        <w:t>el</w:t>
      </w:r>
      <w:r w:rsidR="00501F06">
        <w:rPr>
          <w:rFonts w:ascii="Arial" w:hAnsi="Arial" w:cs="Arial"/>
        </w:rPr>
        <w:t xml:space="preserve"> cual el Municipio de Santiago de Tolú – Sucre avaló la situación sin contemplar la no entrega de los productos solicitados en el contrato.</w:t>
      </w:r>
    </w:p>
    <w:p w:rsidR="00571B93" w:rsidRPr="00BE36D3" w:rsidRDefault="00571B93">
      <w:pPr>
        <w:spacing w:after="0" w:line="240" w:lineRule="auto"/>
        <w:contextualSpacing/>
        <w:jc w:val="both"/>
        <w:rPr>
          <w:rFonts w:ascii="Arial" w:hAnsi="Arial" w:cs="Arial"/>
        </w:rPr>
      </w:pPr>
    </w:p>
    <w:p w:rsidR="006224DC" w:rsidRDefault="00193F7D">
      <w:pPr>
        <w:spacing w:line="240" w:lineRule="auto"/>
        <w:contextualSpacing/>
        <w:jc w:val="both"/>
        <w:rPr>
          <w:rFonts w:ascii="Arial" w:eastAsia="Arial Narrow" w:hAnsi="Arial" w:cs="Arial"/>
        </w:rPr>
      </w:pPr>
      <w:r w:rsidRPr="00BE36D3">
        <w:rPr>
          <w:rFonts w:ascii="Arial" w:eastAsia="Arial Narrow" w:hAnsi="Arial" w:cs="Arial"/>
        </w:rPr>
        <w:t>Además, es una situación recurrente en las vigencias analizadas</w:t>
      </w:r>
      <w:r w:rsidR="00301E87" w:rsidRPr="00BE36D3">
        <w:rPr>
          <w:rFonts w:ascii="Arial" w:eastAsia="Arial Narrow" w:hAnsi="Arial" w:cs="Arial"/>
        </w:rPr>
        <w:t xml:space="preserve">. </w:t>
      </w:r>
      <w:r w:rsidR="006224DC" w:rsidRPr="00BE36D3">
        <w:rPr>
          <w:rFonts w:ascii="Arial" w:eastAsia="Arial Narrow" w:hAnsi="Arial" w:cs="Arial"/>
        </w:rPr>
        <w:t xml:space="preserve">En el </w:t>
      </w:r>
      <w:r w:rsidR="00826690">
        <w:rPr>
          <w:rFonts w:ascii="Arial" w:eastAsia="Arial Narrow" w:hAnsi="Arial" w:cs="Arial"/>
        </w:rPr>
        <w:t>C</w:t>
      </w:r>
      <w:r w:rsidR="006224DC" w:rsidRPr="00BE36D3">
        <w:rPr>
          <w:rFonts w:ascii="Arial" w:eastAsia="Arial Narrow" w:hAnsi="Arial" w:cs="Arial"/>
        </w:rPr>
        <w:t>ontrato No. MST-SAMC-ALT-005-2019 con objeto “</w:t>
      </w:r>
      <w:r w:rsidR="006224DC" w:rsidRPr="00BE36D3">
        <w:rPr>
          <w:rFonts w:ascii="Arial" w:eastAsia="Arial Narrow" w:hAnsi="Arial" w:cs="Arial"/>
          <w:i/>
          <w:iCs/>
        </w:rPr>
        <w:t>P</w:t>
      </w:r>
      <w:r w:rsidR="00826690" w:rsidRPr="00BE36D3">
        <w:rPr>
          <w:rFonts w:ascii="Arial" w:eastAsia="Arial Narrow" w:hAnsi="Arial" w:cs="Arial"/>
          <w:i/>
          <w:iCs/>
        </w:rPr>
        <w:t>restación de servicios para el desarrollo de las actividades del Convenio fntc-024-2018, en relación al proyecto denominado “diseño de producto turístico y la ruta turística de la Ciénaga de La Leche del Municipio de Santiago de Tolú – Sucre</w:t>
      </w:r>
      <w:r w:rsidR="006224DC" w:rsidRPr="00BE36D3">
        <w:rPr>
          <w:rFonts w:ascii="Arial" w:eastAsia="Arial Narrow" w:hAnsi="Arial" w:cs="Arial"/>
        </w:rPr>
        <w:t xml:space="preserve">", a pesar de que se designa a la Secretaría de Turismo como la encargada de realizar la supervisión de la ejecución del </w:t>
      </w:r>
      <w:r w:rsidR="00826690">
        <w:rPr>
          <w:rFonts w:ascii="Arial" w:eastAsia="Arial Narrow" w:hAnsi="Arial" w:cs="Arial"/>
        </w:rPr>
        <w:t>C</w:t>
      </w:r>
      <w:r w:rsidR="006224DC" w:rsidRPr="00BE36D3">
        <w:rPr>
          <w:rFonts w:ascii="Arial" w:eastAsia="Arial Narrow" w:hAnsi="Arial" w:cs="Arial"/>
        </w:rPr>
        <w:t>ontrato, en el SECOP no se encuentran publicados los informes y tampoco se encuentra la evidencia que soporta el cumplimiento de las actividades estipuladas en el contrato. Es decir, no se encuentran las evidencias fotográficas de las mesas realizadas, los informes documentales ni los productos relacionados con los objetivos del proyecto.</w:t>
      </w:r>
    </w:p>
    <w:p w:rsidR="00C5770E" w:rsidRPr="00BE36D3" w:rsidRDefault="00C5770E">
      <w:pPr>
        <w:spacing w:line="240" w:lineRule="auto"/>
        <w:contextualSpacing/>
        <w:jc w:val="both"/>
        <w:rPr>
          <w:rFonts w:ascii="Arial" w:eastAsia="Arial Narrow" w:hAnsi="Arial" w:cs="Arial"/>
        </w:rPr>
      </w:pPr>
    </w:p>
    <w:p w:rsidR="00EE3004" w:rsidRDefault="00301E87">
      <w:pPr>
        <w:spacing w:line="240" w:lineRule="auto"/>
        <w:contextualSpacing/>
        <w:jc w:val="both"/>
        <w:rPr>
          <w:rFonts w:ascii="Arial" w:eastAsia="Arial Narrow" w:hAnsi="Arial" w:cs="Arial"/>
        </w:rPr>
      </w:pPr>
      <w:r w:rsidRPr="00BE36D3">
        <w:rPr>
          <w:rFonts w:ascii="Arial" w:eastAsia="Arial Narrow" w:hAnsi="Arial" w:cs="Arial"/>
        </w:rPr>
        <w:t xml:space="preserve">Cabe mencionar que, con el fin de garantizar la vigilancia y control de los recursos públicos, los contratos deben tener un </w:t>
      </w:r>
      <w:r w:rsidR="00826690">
        <w:rPr>
          <w:rFonts w:ascii="Arial" w:eastAsia="Arial Narrow" w:hAnsi="Arial" w:cs="Arial"/>
        </w:rPr>
        <w:t>s</w:t>
      </w:r>
      <w:r w:rsidRPr="00BE36D3">
        <w:rPr>
          <w:rFonts w:ascii="Arial" w:eastAsia="Arial Narrow" w:hAnsi="Arial" w:cs="Arial"/>
        </w:rPr>
        <w:t xml:space="preserve">upervisor o </w:t>
      </w:r>
      <w:r w:rsidR="00826690">
        <w:rPr>
          <w:rFonts w:ascii="Arial" w:eastAsia="Arial Narrow" w:hAnsi="Arial" w:cs="Arial"/>
        </w:rPr>
        <w:t>i</w:t>
      </w:r>
      <w:r w:rsidRPr="00BE36D3">
        <w:rPr>
          <w:rFonts w:ascii="Arial" w:eastAsia="Arial Narrow" w:hAnsi="Arial" w:cs="Arial"/>
        </w:rPr>
        <w:t xml:space="preserve">nterventor que debe cumplir con unas funciones específicas en relación con la inspección y seguimiento desde </w:t>
      </w:r>
      <w:r w:rsidR="00571B93" w:rsidRPr="00BE36D3">
        <w:rPr>
          <w:rFonts w:ascii="Arial" w:eastAsia="Arial Narrow" w:hAnsi="Arial" w:cs="Arial"/>
        </w:rPr>
        <w:t xml:space="preserve">los </w:t>
      </w:r>
      <w:r w:rsidRPr="00BE36D3">
        <w:rPr>
          <w:rFonts w:ascii="Arial" w:eastAsia="Arial Narrow" w:hAnsi="Arial" w:cs="Arial"/>
        </w:rPr>
        <w:t>aspecto</w:t>
      </w:r>
      <w:r w:rsidR="00571B93" w:rsidRPr="00BE36D3">
        <w:rPr>
          <w:rFonts w:ascii="Arial" w:eastAsia="Arial Narrow" w:hAnsi="Arial" w:cs="Arial"/>
        </w:rPr>
        <w:t>s</w:t>
      </w:r>
      <w:r w:rsidRPr="00BE36D3">
        <w:rPr>
          <w:rFonts w:ascii="Arial" w:eastAsia="Arial Narrow" w:hAnsi="Arial" w:cs="Arial"/>
        </w:rPr>
        <w:t xml:space="preserve"> técnicos, contables, jurídicos, administrativos, fiscales y financieros del contrato, en concordancia del </w:t>
      </w:r>
      <w:r w:rsidRPr="00BE36D3">
        <w:rPr>
          <w:rFonts w:ascii="Arial" w:eastAsia="Arial Narrow" w:hAnsi="Arial" w:cs="Arial"/>
        </w:rPr>
        <w:lastRenderedPageBreak/>
        <w:t>artículo 83 de la Ley 1474 de 2011.</w:t>
      </w:r>
      <w:r w:rsidR="00980300">
        <w:rPr>
          <w:rFonts w:ascii="Arial" w:eastAsia="Arial Narrow" w:hAnsi="Arial" w:cs="Arial"/>
        </w:rPr>
        <w:t xml:space="preserve"> </w:t>
      </w:r>
      <w:r w:rsidRPr="00BE36D3">
        <w:rPr>
          <w:rFonts w:ascii="Arial" w:eastAsia="Arial Narrow" w:hAnsi="Arial" w:cs="Arial"/>
        </w:rPr>
        <w:t xml:space="preserve">Lo anterior, debe realizarse durante la ejecución del contrato asegurando que se cumpla su propósito. Se aclara, que comúnmente para el rol de </w:t>
      </w:r>
      <w:r w:rsidR="00826690">
        <w:rPr>
          <w:rFonts w:ascii="Arial" w:eastAsia="Arial Narrow" w:hAnsi="Arial" w:cs="Arial"/>
        </w:rPr>
        <w:t>s</w:t>
      </w:r>
      <w:r w:rsidRPr="00BE36D3">
        <w:rPr>
          <w:rFonts w:ascii="Arial" w:eastAsia="Arial Narrow" w:hAnsi="Arial" w:cs="Arial"/>
        </w:rPr>
        <w:t xml:space="preserve">upervisor, se encarga a un servidor público de la </w:t>
      </w:r>
      <w:r w:rsidR="00826690">
        <w:rPr>
          <w:rFonts w:ascii="Arial" w:eastAsia="Arial Narrow" w:hAnsi="Arial" w:cs="Arial"/>
        </w:rPr>
        <w:t>e</w:t>
      </w:r>
      <w:r w:rsidRPr="00BE36D3">
        <w:rPr>
          <w:rFonts w:ascii="Arial" w:eastAsia="Arial Narrow" w:hAnsi="Arial" w:cs="Arial"/>
        </w:rPr>
        <w:t xml:space="preserve">ntidad </w:t>
      </w:r>
      <w:r w:rsidR="00826690">
        <w:rPr>
          <w:rFonts w:ascii="Arial" w:eastAsia="Arial Narrow" w:hAnsi="Arial" w:cs="Arial"/>
        </w:rPr>
        <w:t>t</w:t>
      </w:r>
      <w:r w:rsidRPr="00BE36D3">
        <w:rPr>
          <w:rFonts w:ascii="Arial" w:eastAsia="Arial Narrow" w:hAnsi="Arial" w:cs="Arial"/>
        </w:rPr>
        <w:t xml:space="preserve">erritorial y en </w:t>
      </w:r>
      <w:r w:rsidR="00571B93" w:rsidRPr="00BE36D3">
        <w:rPr>
          <w:rFonts w:ascii="Arial" w:eastAsia="Arial Narrow" w:hAnsi="Arial" w:cs="Arial"/>
        </w:rPr>
        <w:t xml:space="preserve">el </w:t>
      </w:r>
      <w:r w:rsidRPr="00BE36D3">
        <w:rPr>
          <w:rFonts w:ascii="Arial" w:eastAsia="Arial Narrow" w:hAnsi="Arial" w:cs="Arial"/>
        </w:rPr>
        <w:t xml:space="preserve">caso en el cual no haya un funcionario que tenga los conocimientos especializados, se debe contratar a un </w:t>
      </w:r>
      <w:r w:rsidR="00826690">
        <w:rPr>
          <w:rFonts w:ascii="Arial" w:eastAsia="Arial Narrow" w:hAnsi="Arial" w:cs="Arial"/>
        </w:rPr>
        <w:t>i</w:t>
      </w:r>
      <w:r w:rsidRPr="00BE36D3">
        <w:rPr>
          <w:rFonts w:ascii="Arial" w:eastAsia="Arial Narrow" w:hAnsi="Arial" w:cs="Arial"/>
        </w:rPr>
        <w:t>nterventor.</w:t>
      </w:r>
    </w:p>
    <w:p w:rsidR="00C5770E" w:rsidRPr="00BE36D3" w:rsidRDefault="00C5770E">
      <w:pPr>
        <w:spacing w:line="240" w:lineRule="auto"/>
        <w:contextualSpacing/>
        <w:jc w:val="both"/>
        <w:rPr>
          <w:rFonts w:ascii="Arial" w:eastAsia="Arial Narrow" w:hAnsi="Arial" w:cs="Arial"/>
        </w:rPr>
      </w:pPr>
    </w:p>
    <w:p w:rsidR="00366E18" w:rsidRPr="00BE36D3" w:rsidRDefault="00366E18">
      <w:pPr>
        <w:spacing w:line="240" w:lineRule="auto"/>
        <w:contextualSpacing/>
        <w:jc w:val="both"/>
        <w:rPr>
          <w:rFonts w:ascii="Arial" w:eastAsia="Arial Narrow" w:hAnsi="Arial" w:cs="Arial"/>
          <w:b/>
          <w:bCs/>
        </w:rPr>
      </w:pPr>
      <w:r w:rsidRPr="00BE36D3">
        <w:rPr>
          <w:rFonts w:ascii="Arial" w:eastAsia="Arial Narrow" w:hAnsi="Arial" w:cs="Arial"/>
          <w:b/>
          <w:bCs/>
        </w:rPr>
        <w:t>Deficiencias en la determinación del marco de precios</w:t>
      </w:r>
      <w:r w:rsidR="00C5770E" w:rsidRPr="00BE36D3">
        <w:rPr>
          <w:rFonts w:ascii="Arial" w:eastAsia="Arial Narrow" w:hAnsi="Arial" w:cs="Arial"/>
          <w:b/>
          <w:bCs/>
        </w:rPr>
        <w:t>.</w:t>
      </w:r>
    </w:p>
    <w:p w:rsidR="00C5770E" w:rsidRPr="00BE36D3" w:rsidRDefault="00C5770E">
      <w:pPr>
        <w:spacing w:line="240" w:lineRule="auto"/>
        <w:contextualSpacing/>
        <w:jc w:val="both"/>
        <w:rPr>
          <w:rFonts w:ascii="Arial" w:eastAsia="Arial Narrow" w:hAnsi="Arial" w:cs="Arial"/>
          <w:b/>
          <w:bCs/>
          <w:i/>
          <w:iCs/>
        </w:rPr>
      </w:pPr>
    </w:p>
    <w:p w:rsidR="001F3393" w:rsidRDefault="001F3393">
      <w:pPr>
        <w:spacing w:line="240" w:lineRule="auto"/>
        <w:contextualSpacing/>
        <w:jc w:val="both"/>
        <w:rPr>
          <w:rFonts w:ascii="Arial" w:eastAsia="Arial Narrow" w:hAnsi="Arial" w:cs="Arial"/>
        </w:rPr>
      </w:pPr>
      <w:r w:rsidRPr="00BE36D3">
        <w:rPr>
          <w:rFonts w:ascii="Arial" w:eastAsia="Arial Narrow" w:hAnsi="Arial" w:cs="Arial"/>
        </w:rPr>
        <w:t xml:space="preserve">También se pueden evidenciar debilidades en los estudios del sector que soportan los contratos en el Municipio debido a que </w:t>
      </w:r>
      <w:r w:rsidR="001707C4">
        <w:rPr>
          <w:rFonts w:ascii="Arial" w:eastAsia="Arial Narrow" w:hAnsi="Arial" w:cs="Arial"/>
        </w:rPr>
        <w:t>la</w:t>
      </w:r>
      <w:r w:rsidR="001707C4" w:rsidRPr="00BE36D3">
        <w:rPr>
          <w:rFonts w:ascii="Arial" w:eastAsia="Arial Narrow" w:hAnsi="Arial" w:cs="Arial"/>
        </w:rPr>
        <w:t xml:space="preserve"> </w:t>
      </w:r>
      <w:r w:rsidR="001707C4">
        <w:rPr>
          <w:rFonts w:ascii="Arial" w:eastAsia="Arial Narrow" w:hAnsi="Arial" w:cs="Arial"/>
        </w:rPr>
        <w:t>Entidad</w:t>
      </w:r>
      <w:r w:rsidR="001707C4" w:rsidRPr="00BE36D3">
        <w:rPr>
          <w:rFonts w:ascii="Arial" w:eastAsia="Arial Narrow" w:hAnsi="Arial" w:cs="Arial"/>
        </w:rPr>
        <w:t xml:space="preserve"> </w:t>
      </w:r>
      <w:r w:rsidRPr="00BE36D3">
        <w:rPr>
          <w:rFonts w:ascii="Arial" w:eastAsia="Arial Narrow" w:hAnsi="Arial" w:cs="Arial"/>
        </w:rPr>
        <w:t xml:space="preserve">no justifica el análisis económico de precios evidenciando las cotizaciones de los productos a adquirir y se limita a mencionar que se procedió a solicitar las cotizaciones de los posibles proveedores del mercado y que estas hacen parte integral del proceso, pero no es posible encontrarlas ni se mencionan expresamente en los documentos y estudios previos. Esta situación se presenta en los </w:t>
      </w:r>
      <w:r w:rsidR="001707C4">
        <w:rPr>
          <w:rFonts w:ascii="Arial" w:eastAsia="Arial Narrow" w:hAnsi="Arial" w:cs="Arial"/>
        </w:rPr>
        <w:t>C</w:t>
      </w:r>
      <w:r w:rsidRPr="00BE36D3">
        <w:rPr>
          <w:rFonts w:ascii="Arial" w:eastAsia="Arial Narrow" w:hAnsi="Arial" w:cs="Arial"/>
        </w:rPr>
        <w:t xml:space="preserve">ontratos No. MST-MIN-065-2018, MST-MIN-019-2018 y </w:t>
      </w:r>
      <w:r w:rsidRPr="00BE36D3">
        <w:rPr>
          <w:rFonts w:ascii="Arial" w:eastAsia="Arial Narrow" w:hAnsi="Arial" w:cs="Arial"/>
          <w:iCs/>
        </w:rPr>
        <w:t xml:space="preserve">MST-SAMC-ALT-005-2019. En este último, </w:t>
      </w:r>
      <w:r w:rsidRPr="00BE36D3">
        <w:rPr>
          <w:rFonts w:ascii="Arial" w:eastAsia="Arial Narrow" w:hAnsi="Arial" w:cs="Arial"/>
        </w:rPr>
        <w:t>en los documentos de estudios previos, específicamente en el numeral 4</w:t>
      </w:r>
      <w:r w:rsidRPr="00BE36D3">
        <w:rPr>
          <w:rFonts w:ascii="Arial" w:eastAsia="Arial Narrow" w:hAnsi="Arial" w:cs="Arial"/>
          <w:i/>
          <w:iCs/>
        </w:rPr>
        <w:t xml:space="preserve">. </w:t>
      </w:r>
      <w:r w:rsidR="001707C4">
        <w:rPr>
          <w:rFonts w:ascii="Arial" w:eastAsia="Arial Narrow" w:hAnsi="Arial" w:cs="Arial"/>
        </w:rPr>
        <w:t>“</w:t>
      </w:r>
      <w:r w:rsidRPr="00BE36D3">
        <w:rPr>
          <w:rFonts w:ascii="Arial" w:eastAsia="Arial Narrow" w:hAnsi="Arial" w:cs="Arial"/>
          <w:i/>
          <w:iCs/>
        </w:rPr>
        <w:t>Análisis técnico y económico que soporta el valor estimado del contrato</w:t>
      </w:r>
      <w:r w:rsidR="001707C4">
        <w:rPr>
          <w:rFonts w:ascii="Arial" w:eastAsia="Arial Narrow" w:hAnsi="Arial" w:cs="Arial"/>
        </w:rPr>
        <w:t>”</w:t>
      </w:r>
      <w:r w:rsidRPr="00BE36D3">
        <w:rPr>
          <w:rFonts w:ascii="Arial" w:eastAsia="Arial Narrow" w:hAnsi="Arial" w:cs="Arial"/>
        </w:rPr>
        <w:t>, se menciona que “</w:t>
      </w:r>
      <w:r w:rsidRPr="00BE36D3">
        <w:rPr>
          <w:rFonts w:ascii="Arial" w:eastAsia="Arial Narrow" w:hAnsi="Arial" w:cs="Arial"/>
          <w:i/>
          <w:iCs/>
        </w:rPr>
        <w:t>El valor estimado del contrato resultó de los precios de la zona</w:t>
      </w:r>
      <w:r w:rsidRPr="00BE36D3">
        <w:rPr>
          <w:rFonts w:ascii="Arial" w:eastAsia="Arial Narrow" w:hAnsi="Arial" w:cs="Arial"/>
        </w:rPr>
        <w:t>”, y se utilizó el promedio de estas cotizaciones para determinar el valor a contratar. No obstante, no se relaciona evidencia de dichas cotizaciones en el expediente contractual publicado en la plataforma SECOP.</w:t>
      </w:r>
    </w:p>
    <w:p w:rsidR="00C5770E" w:rsidRPr="00BE36D3" w:rsidRDefault="00C5770E">
      <w:pPr>
        <w:spacing w:line="240" w:lineRule="auto"/>
        <w:contextualSpacing/>
        <w:jc w:val="both"/>
        <w:rPr>
          <w:rFonts w:ascii="Arial" w:eastAsia="Arial Narrow" w:hAnsi="Arial" w:cs="Arial"/>
        </w:rPr>
      </w:pPr>
    </w:p>
    <w:p w:rsidR="00EE3004" w:rsidRDefault="001F3393">
      <w:pPr>
        <w:spacing w:line="240" w:lineRule="auto"/>
        <w:contextualSpacing/>
        <w:jc w:val="both"/>
        <w:rPr>
          <w:rFonts w:ascii="Arial" w:eastAsia="Arial Narrow" w:hAnsi="Arial" w:cs="Arial"/>
        </w:rPr>
      </w:pPr>
      <w:r w:rsidRPr="00BE36D3">
        <w:rPr>
          <w:rFonts w:ascii="Arial" w:eastAsia="Arial Narrow" w:hAnsi="Arial" w:cs="Arial"/>
        </w:rPr>
        <w:t xml:space="preserve">Esta situación en la cual los estudios previos no explicitan el ejercicio de cotizaciones y cálculo promedio afecta la transparencia del proceso de contratación, </w:t>
      </w:r>
      <w:r w:rsidR="00357C3E" w:rsidRPr="00BE36D3">
        <w:rPr>
          <w:rFonts w:ascii="Arial" w:eastAsia="Arial Narrow" w:hAnsi="Arial" w:cs="Arial"/>
        </w:rPr>
        <w:t xml:space="preserve">específicamente </w:t>
      </w:r>
      <w:r w:rsidRPr="00BE36D3">
        <w:rPr>
          <w:rFonts w:ascii="Arial" w:eastAsia="Arial Narrow" w:hAnsi="Arial" w:cs="Arial"/>
        </w:rPr>
        <w:t>en la determinación del marco de</w:t>
      </w:r>
      <w:r w:rsidR="00A430BD" w:rsidRPr="00BE36D3">
        <w:rPr>
          <w:rFonts w:ascii="Arial" w:eastAsia="Arial Narrow" w:hAnsi="Arial" w:cs="Arial"/>
        </w:rPr>
        <w:t xml:space="preserve"> precios.</w:t>
      </w:r>
    </w:p>
    <w:p w:rsidR="00C5770E" w:rsidRPr="00BE36D3" w:rsidRDefault="00C5770E">
      <w:pPr>
        <w:spacing w:line="240" w:lineRule="auto"/>
        <w:contextualSpacing/>
        <w:jc w:val="both"/>
        <w:rPr>
          <w:rFonts w:ascii="Arial" w:eastAsia="Arial Narrow" w:hAnsi="Arial" w:cs="Arial"/>
        </w:rPr>
      </w:pPr>
    </w:p>
    <w:p w:rsidR="00366E18" w:rsidRPr="001707C4" w:rsidRDefault="00A430BD">
      <w:pPr>
        <w:spacing w:line="240" w:lineRule="auto"/>
        <w:contextualSpacing/>
        <w:jc w:val="both"/>
        <w:rPr>
          <w:rFonts w:ascii="Arial" w:eastAsia="Arial Narrow" w:hAnsi="Arial" w:cs="Arial"/>
          <w:b/>
          <w:bCs/>
          <w:i/>
          <w:iCs/>
        </w:rPr>
      </w:pPr>
      <w:r w:rsidRPr="00BE36D3">
        <w:rPr>
          <w:rFonts w:ascii="Arial" w:eastAsia="Arial Narrow" w:hAnsi="Arial" w:cs="Arial"/>
          <w:b/>
          <w:bCs/>
        </w:rPr>
        <w:t>Deficiencias</w:t>
      </w:r>
      <w:r w:rsidR="00366E18" w:rsidRPr="00BE36D3">
        <w:rPr>
          <w:rFonts w:ascii="Arial" w:eastAsia="Arial Narrow" w:hAnsi="Arial" w:cs="Arial"/>
          <w:b/>
          <w:bCs/>
        </w:rPr>
        <w:t xml:space="preserve"> en el proceso de selección (etapa precontractual)</w:t>
      </w:r>
      <w:r w:rsidR="00C5770E" w:rsidRPr="00BE36D3">
        <w:rPr>
          <w:rFonts w:ascii="Arial" w:eastAsia="Arial Narrow" w:hAnsi="Arial" w:cs="Arial"/>
          <w:b/>
          <w:bCs/>
        </w:rPr>
        <w:t>.</w:t>
      </w:r>
    </w:p>
    <w:p w:rsidR="00C5770E" w:rsidRPr="00BE36D3" w:rsidRDefault="00C5770E">
      <w:pPr>
        <w:spacing w:line="240" w:lineRule="auto"/>
        <w:contextualSpacing/>
        <w:jc w:val="both"/>
        <w:rPr>
          <w:rFonts w:ascii="Arial" w:eastAsia="Arial Narrow" w:hAnsi="Arial" w:cs="Arial"/>
          <w:b/>
          <w:bCs/>
          <w:i/>
          <w:iCs/>
        </w:rPr>
      </w:pPr>
    </w:p>
    <w:p w:rsidR="00EE3004" w:rsidRDefault="00EE3004">
      <w:pPr>
        <w:spacing w:line="240" w:lineRule="auto"/>
        <w:contextualSpacing/>
        <w:jc w:val="both"/>
        <w:rPr>
          <w:rFonts w:ascii="Arial" w:hAnsi="Arial" w:cs="Arial"/>
        </w:rPr>
      </w:pPr>
      <w:r w:rsidRPr="00BE36D3">
        <w:rPr>
          <w:rFonts w:ascii="Arial" w:hAnsi="Arial" w:cs="Arial"/>
        </w:rPr>
        <w:t xml:space="preserve">En el </w:t>
      </w:r>
      <w:r w:rsidR="005F664C">
        <w:rPr>
          <w:rFonts w:ascii="Arial" w:hAnsi="Arial" w:cs="Arial"/>
        </w:rPr>
        <w:t>C</w:t>
      </w:r>
      <w:r w:rsidRPr="00BE36D3">
        <w:rPr>
          <w:rFonts w:ascii="Arial" w:hAnsi="Arial" w:cs="Arial"/>
        </w:rPr>
        <w:t>ontrato MST-CD-CA-003-2017 cuyo objeto fue “</w:t>
      </w:r>
      <w:r w:rsidR="005F664C" w:rsidRPr="00C5770E">
        <w:rPr>
          <w:rFonts w:ascii="Arial" w:hAnsi="Arial" w:cs="Arial"/>
          <w:i/>
          <w:iCs/>
        </w:rPr>
        <w:t>Unión de esfuerzos administrativos y económicos para la ejecución del proyecto social denominado atención integral de los grupos vulnerables (niños, niñas y jóvenes, mujer y género, discapacitados, adulto mayor) del Municipio Santiago de Tolú, vigencia 2017</w:t>
      </w:r>
      <w:r w:rsidRPr="00BE36D3">
        <w:rPr>
          <w:rFonts w:ascii="Arial" w:hAnsi="Arial" w:cs="Arial"/>
        </w:rPr>
        <w:t xml:space="preserve">”, al tratarse de un objeto tan amplio llama la atención que para la certificación de experiencia del contratista solamente se soliciten dos contratos similares como experiencia general en la atención de grupos vulnerables, </w:t>
      </w:r>
      <w:r w:rsidR="00B90850" w:rsidRPr="00BE36D3">
        <w:rPr>
          <w:rFonts w:ascii="Arial" w:hAnsi="Arial" w:cs="Arial"/>
        </w:rPr>
        <w:t>lo cual no es proporcional al alcance técnico del convenio</w:t>
      </w:r>
      <w:r w:rsidR="00B90850">
        <w:rPr>
          <w:rFonts w:ascii="Arial" w:hAnsi="Arial" w:cs="Arial"/>
        </w:rPr>
        <w:t>, ya que no se exige la</w:t>
      </w:r>
      <w:r w:rsidRPr="00BE36D3">
        <w:rPr>
          <w:rFonts w:ascii="Arial" w:hAnsi="Arial" w:cs="Arial"/>
        </w:rPr>
        <w:t xml:space="preserve"> demostración de la experiencia en la atención de cada uno de los grupos a atender, dadas las particularidades en la atención específica para cada grupo</w:t>
      </w:r>
      <w:r w:rsidR="00D31B37">
        <w:rPr>
          <w:rFonts w:ascii="Arial" w:hAnsi="Arial" w:cs="Arial"/>
        </w:rPr>
        <w:t xml:space="preserve"> y la necesidad de contar con habilidades, instrumentos y metodologías adaptados a cada grupo poblacional objetivo</w:t>
      </w:r>
      <w:r w:rsidRPr="00BE36D3">
        <w:rPr>
          <w:rFonts w:ascii="Arial" w:hAnsi="Arial" w:cs="Arial"/>
        </w:rPr>
        <w:t>.</w:t>
      </w:r>
    </w:p>
    <w:p w:rsidR="00C5770E" w:rsidRPr="00BE36D3" w:rsidRDefault="00C5770E">
      <w:pPr>
        <w:spacing w:line="240" w:lineRule="auto"/>
        <w:contextualSpacing/>
        <w:jc w:val="both"/>
        <w:rPr>
          <w:rFonts w:ascii="Arial" w:hAnsi="Arial" w:cs="Arial"/>
        </w:rPr>
      </w:pPr>
    </w:p>
    <w:p w:rsidR="00DB6712" w:rsidRDefault="00C55C51">
      <w:pPr>
        <w:spacing w:line="240" w:lineRule="auto"/>
        <w:contextualSpacing/>
        <w:jc w:val="both"/>
        <w:rPr>
          <w:rFonts w:ascii="Arial" w:hAnsi="Arial" w:cs="Arial"/>
        </w:rPr>
      </w:pPr>
      <w:r>
        <w:rPr>
          <w:rFonts w:ascii="Arial" w:hAnsi="Arial" w:cs="Arial"/>
        </w:rPr>
        <w:t xml:space="preserve">Dado que la contratación involucra una Entidad Sin Ánimo de </w:t>
      </w:r>
      <w:r w:rsidR="00B712D1">
        <w:rPr>
          <w:rFonts w:ascii="Arial" w:hAnsi="Arial" w:cs="Arial"/>
        </w:rPr>
        <w:t>L</w:t>
      </w:r>
      <w:r>
        <w:rPr>
          <w:rFonts w:ascii="Arial" w:hAnsi="Arial" w:cs="Arial"/>
        </w:rPr>
        <w:t>ucro, esta tiene aspectos legales específicos que le son aplicables, como el Decreto 092 de 2017</w:t>
      </w:r>
      <w:r w:rsidR="008036D7">
        <w:rPr>
          <w:rFonts w:ascii="Arial" w:hAnsi="Arial" w:cs="Arial"/>
        </w:rPr>
        <w:t>, que determina, entre otros aspectos, los criterios para llevar a cabo la selección de una ESAL de reconocida idoneidad</w:t>
      </w:r>
      <w:r>
        <w:rPr>
          <w:rFonts w:ascii="Arial" w:hAnsi="Arial" w:cs="Arial"/>
        </w:rPr>
        <w:t xml:space="preserve">. </w:t>
      </w:r>
      <w:r w:rsidR="00DB6712" w:rsidRPr="00BE36D3">
        <w:rPr>
          <w:rFonts w:ascii="Arial" w:hAnsi="Arial" w:cs="Arial"/>
        </w:rPr>
        <w:t xml:space="preserve">En la invitación a ofertar del contrato, se especifica que el contratista debe contar con la experiencia relacionada con el objeto contractual, la cual se certificará a través de la remisión de al menos dos contratos cuyo objeto sea similar al </w:t>
      </w:r>
      <w:r w:rsidR="005F664C">
        <w:rPr>
          <w:rFonts w:ascii="Arial" w:hAnsi="Arial" w:cs="Arial"/>
        </w:rPr>
        <w:t>contrato</w:t>
      </w:r>
      <w:r w:rsidR="005F664C" w:rsidRPr="00BE36D3">
        <w:rPr>
          <w:rFonts w:ascii="Arial" w:hAnsi="Arial" w:cs="Arial"/>
        </w:rPr>
        <w:t xml:space="preserve"> </w:t>
      </w:r>
      <w:r w:rsidR="00DB6712" w:rsidRPr="00BE36D3">
        <w:rPr>
          <w:rFonts w:ascii="Arial" w:hAnsi="Arial" w:cs="Arial"/>
        </w:rPr>
        <w:t xml:space="preserve">por suscribir. Sin embargo, en el acta de evaluación de la propuesta no es posible verificar esos contratos, solamente se señala que fueron remitidos en una lista de chequeo, pero no queda claro </w:t>
      </w:r>
      <w:r w:rsidR="00DB6712" w:rsidRPr="00BE36D3">
        <w:rPr>
          <w:rFonts w:ascii="Arial" w:hAnsi="Arial" w:cs="Arial"/>
        </w:rPr>
        <w:lastRenderedPageBreak/>
        <w:t>cómo se justificó su idoneidad y la certificación de la experiencia. Lo anterior va en contra del manejo que debe darse al criterio de experiencia en el momento de contratar con Entidades Sin Ánimo de Lucro, ya que como lo resalta Colombia Compra Eficiente sobre este tipo de contrataciones:</w:t>
      </w:r>
    </w:p>
    <w:p w:rsidR="00C5770E" w:rsidRPr="00BE36D3" w:rsidRDefault="00C5770E">
      <w:pPr>
        <w:spacing w:line="240" w:lineRule="auto"/>
        <w:contextualSpacing/>
        <w:jc w:val="both"/>
        <w:rPr>
          <w:rFonts w:ascii="Arial" w:hAnsi="Arial" w:cs="Arial"/>
        </w:rPr>
      </w:pPr>
    </w:p>
    <w:p w:rsidR="00DB6712" w:rsidRPr="00BE36D3" w:rsidRDefault="00DB6712">
      <w:pPr>
        <w:spacing w:line="240" w:lineRule="auto"/>
        <w:ind w:left="709"/>
        <w:contextualSpacing/>
        <w:jc w:val="both"/>
        <w:rPr>
          <w:rFonts w:ascii="Arial" w:eastAsia="Arial Narrow" w:hAnsi="Arial" w:cs="Arial"/>
          <w:i/>
          <w:iCs/>
          <w:sz w:val="18"/>
          <w:szCs w:val="18"/>
        </w:rPr>
      </w:pPr>
      <w:r w:rsidRPr="00BE36D3">
        <w:rPr>
          <w:rFonts w:ascii="Arial" w:eastAsia="Arial Narrow" w:hAnsi="Arial" w:cs="Arial"/>
          <w:sz w:val="18"/>
          <w:szCs w:val="18"/>
        </w:rPr>
        <w:t>“</w:t>
      </w:r>
      <w:r w:rsidRPr="00BE36D3">
        <w:rPr>
          <w:rFonts w:ascii="Arial" w:eastAsia="Arial Narrow" w:hAnsi="Arial" w:cs="Arial"/>
          <w:i/>
          <w:iCs/>
          <w:sz w:val="18"/>
          <w:szCs w:val="18"/>
        </w:rPr>
        <w:t>La experiencia debe ser en las actividades requeridas para desarrollar el programa o actividad prevista en el plan de desarrollo, por tanto, la Entidad Estatal no debe exigir contratos con un tipo determinado de institución sino la ejecución de los programas o actividades propiamente dichas.</w:t>
      </w:r>
    </w:p>
    <w:p w:rsidR="00C5770E" w:rsidRPr="00BE36D3" w:rsidRDefault="00C5770E">
      <w:pPr>
        <w:spacing w:line="240" w:lineRule="auto"/>
        <w:ind w:left="709"/>
        <w:contextualSpacing/>
        <w:jc w:val="both"/>
        <w:rPr>
          <w:rFonts w:ascii="Arial" w:hAnsi="Arial" w:cs="Arial"/>
          <w:i/>
          <w:iCs/>
          <w:sz w:val="18"/>
          <w:szCs w:val="18"/>
        </w:rPr>
      </w:pPr>
    </w:p>
    <w:p w:rsidR="00DB6712" w:rsidRPr="00BE36D3" w:rsidRDefault="00DB6712">
      <w:pPr>
        <w:spacing w:line="240" w:lineRule="auto"/>
        <w:ind w:left="709"/>
        <w:contextualSpacing/>
        <w:jc w:val="both"/>
        <w:rPr>
          <w:rFonts w:ascii="Arial" w:eastAsia="Arial Narrow" w:hAnsi="Arial" w:cs="Arial"/>
          <w:sz w:val="18"/>
          <w:szCs w:val="18"/>
        </w:rPr>
      </w:pPr>
      <w:r w:rsidRPr="00BE36D3">
        <w:rPr>
          <w:rFonts w:ascii="Arial" w:eastAsia="Arial Narrow" w:hAnsi="Arial" w:cs="Arial"/>
          <w:i/>
          <w:iCs/>
          <w:sz w:val="18"/>
          <w:szCs w:val="18"/>
        </w:rPr>
        <w:t>Las Entidades Estatales deben documentar y evaluar las actividades y los resultados obtenidos por las ESAL en la ejecución de los proyectos financiados con recursos estatales; esa evaluación es un documento que puede ser utilizado para acreditar la experiencia en el desarrollo de ese tipo de programas por parte de otras Entidades Estatales</w:t>
      </w:r>
      <w:r w:rsidRPr="00BE36D3">
        <w:rPr>
          <w:rFonts w:ascii="Arial" w:eastAsia="Arial Narrow" w:hAnsi="Arial" w:cs="Arial"/>
          <w:sz w:val="18"/>
          <w:szCs w:val="18"/>
        </w:rPr>
        <w:t>”</w:t>
      </w:r>
      <w:r w:rsidR="00C5770E" w:rsidRPr="00BE36D3">
        <w:rPr>
          <w:rFonts w:ascii="Arial" w:eastAsia="Arial Narrow" w:hAnsi="Arial" w:cs="Arial"/>
          <w:sz w:val="18"/>
          <w:szCs w:val="18"/>
        </w:rPr>
        <w:t>.</w:t>
      </w:r>
      <w:r w:rsidRPr="00BE36D3">
        <w:rPr>
          <w:rStyle w:val="Refdenotaalpie"/>
          <w:rFonts w:ascii="Arial" w:eastAsia="Arial Narrow" w:hAnsi="Arial" w:cs="Arial"/>
          <w:sz w:val="18"/>
          <w:szCs w:val="18"/>
        </w:rPr>
        <w:footnoteReference w:id="4"/>
      </w:r>
    </w:p>
    <w:p w:rsidR="00C5770E" w:rsidRDefault="00C5770E">
      <w:pPr>
        <w:spacing w:line="240" w:lineRule="auto"/>
        <w:contextualSpacing/>
        <w:jc w:val="both"/>
        <w:rPr>
          <w:rFonts w:ascii="Arial" w:hAnsi="Arial" w:cs="Arial"/>
        </w:rPr>
      </w:pPr>
    </w:p>
    <w:p w:rsidR="00DB6712" w:rsidRDefault="00DB6712">
      <w:pPr>
        <w:spacing w:line="240" w:lineRule="auto"/>
        <w:contextualSpacing/>
        <w:jc w:val="both"/>
        <w:rPr>
          <w:rFonts w:ascii="Arial" w:hAnsi="Arial" w:cs="Arial"/>
        </w:rPr>
      </w:pPr>
      <w:r w:rsidRPr="00BE36D3">
        <w:rPr>
          <w:rFonts w:ascii="Arial" w:hAnsi="Arial" w:cs="Arial"/>
        </w:rPr>
        <w:t xml:space="preserve">Al consultar el Registro Único Empresarial </w:t>
      </w:r>
      <w:r w:rsidR="00233D8A">
        <w:rPr>
          <w:rFonts w:ascii="Arial" w:hAnsi="Arial" w:cs="Arial"/>
        </w:rPr>
        <w:t xml:space="preserve">- </w:t>
      </w:r>
      <w:r w:rsidRPr="00BE36D3">
        <w:rPr>
          <w:rFonts w:ascii="Arial" w:hAnsi="Arial" w:cs="Arial"/>
        </w:rPr>
        <w:t xml:space="preserve">RUES, la Fundación contratista es una organización de tipo: </w:t>
      </w:r>
      <w:r w:rsidR="00233D8A">
        <w:rPr>
          <w:rFonts w:ascii="Arial" w:hAnsi="Arial" w:cs="Arial"/>
        </w:rPr>
        <w:t>c</w:t>
      </w:r>
      <w:r w:rsidRPr="00BE36D3">
        <w:rPr>
          <w:rFonts w:ascii="Arial" w:hAnsi="Arial" w:cs="Arial"/>
        </w:rPr>
        <w:t xml:space="preserve">orporaciones, asociaciones, fundaciones creadas para adelantar actividades en comunidades indígenas. No obstante, según la constancia de idoneidad, esta </w:t>
      </w:r>
      <w:r w:rsidR="00233D8A">
        <w:rPr>
          <w:rFonts w:ascii="Arial" w:hAnsi="Arial" w:cs="Arial"/>
        </w:rPr>
        <w:t>E</w:t>
      </w:r>
      <w:r w:rsidRPr="00BE36D3">
        <w:rPr>
          <w:rFonts w:ascii="Arial" w:hAnsi="Arial" w:cs="Arial"/>
        </w:rPr>
        <w:t xml:space="preserve">ntidad tiene como </w:t>
      </w:r>
      <w:r w:rsidRPr="00BE36D3">
        <w:rPr>
          <w:rFonts w:ascii="Arial" w:hAnsi="Arial" w:cs="Arial"/>
          <w:i/>
          <w:iCs/>
        </w:rPr>
        <w:t xml:space="preserve">“objeto social, </w:t>
      </w:r>
      <w:r w:rsidRPr="00BE36D3">
        <w:rPr>
          <w:rFonts w:ascii="Arial" w:hAnsi="Arial" w:cs="Arial"/>
          <w:b/>
          <w:bCs/>
          <w:i/>
          <w:iCs/>
        </w:rPr>
        <w:t>entre otros</w:t>
      </w:r>
      <w:r w:rsidRPr="00BE36D3">
        <w:rPr>
          <w:rFonts w:ascii="Arial" w:eastAsia="Times New Roman" w:hAnsi="Arial" w:cs="Arial"/>
          <w:i/>
          <w:iCs/>
          <w:lang w:eastAsia="es-CO"/>
        </w:rPr>
        <w:t xml:space="preserve"> </w:t>
      </w:r>
      <w:r w:rsidRPr="00BE36D3">
        <w:rPr>
          <w:rFonts w:ascii="Arial" w:hAnsi="Arial" w:cs="Arial"/>
          <w:i/>
          <w:iCs/>
        </w:rPr>
        <w:t>mejorar la calidad de vida del pueblo de cualquier denominación,</w:t>
      </w:r>
      <w:r w:rsidR="00C5770E">
        <w:rPr>
          <w:rFonts w:ascii="Arial" w:hAnsi="Arial" w:cs="Arial"/>
          <w:i/>
          <w:iCs/>
        </w:rPr>
        <w:t xml:space="preserve"> </w:t>
      </w:r>
      <w:r w:rsidRPr="00BE36D3">
        <w:rPr>
          <w:rFonts w:ascii="Arial" w:hAnsi="Arial" w:cs="Arial"/>
          <w:i/>
          <w:iCs/>
        </w:rPr>
        <w:t>promover, impulsar y ejecutar proyectos de tipo social, brindar asistencia técnica y elaborar proyectos de políticas públicas en beneficio de la niñez adolescencia, jóvenes; atención de población vulnerable y desplazada niños niñas, adolescentes, jóvenes y adultos mayores; brindar asistencia técnica y elaborar proyectos de políticas públicas en beneficio de la niñez, adolescencia, jóvenes, mujeres y adultos mayor, desarrollar programas para atender a la población de la tercera edad.”</w:t>
      </w:r>
      <w:r w:rsidRPr="00BE36D3">
        <w:rPr>
          <w:rFonts w:ascii="Arial" w:hAnsi="Arial" w:cs="Arial"/>
        </w:rPr>
        <w:t xml:space="preserve"> (</w:t>
      </w:r>
      <w:r w:rsidR="00AE5EF1">
        <w:rPr>
          <w:rFonts w:ascii="Arial" w:hAnsi="Arial" w:cs="Arial"/>
        </w:rPr>
        <w:t>énfasis</w:t>
      </w:r>
      <w:r w:rsidRPr="00BE36D3">
        <w:rPr>
          <w:rFonts w:ascii="Arial" w:hAnsi="Arial" w:cs="Arial"/>
        </w:rPr>
        <w:t xml:space="preserve"> fuera del texto).</w:t>
      </w:r>
    </w:p>
    <w:p w:rsidR="00C5770E" w:rsidRPr="00BE36D3" w:rsidRDefault="00C5770E">
      <w:pPr>
        <w:spacing w:line="240" w:lineRule="auto"/>
        <w:contextualSpacing/>
        <w:jc w:val="both"/>
        <w:rPr>
          <w:rFonts w:ascii="Arial" w:hAnsi="Arial" w:cs="Arial"/>
        </w:rPr>
      </w:pPr>
    </w:p>
    <w:p w:rsidR="00C5770E" w:rsidRDefault="00DB6712">
      <w:pPr>
        <w:spacing w:line="240" w:lineRule="auto"/>
        <w:contextualSpacing/>
        <w:jc w:val="both"/>
        <w:rPr>
          <w:rFonts w:ascii="Arial" w:hAnsi="Arial" w:cs="Arial"/>
        </w:rPr>
      </w:pPr>
      <w:r w:rsidRPr="00BE36D3">
        <w:rPr>
          <w:rFonts w:ascii="Arial" w:hAnsi="Arial" w:cs="Arial"/>
        </w:rPr>
        <w:t>Además, llama la atención que dentro de las actividades económicas que registra la Fundación sin Ánimo de Lucro se encuentran:</w:t>
      </w:r>
    </w:p>
    <w:p w:rsidR="00F4471B" w:rsidRPr="00BE36D3" w:rsidRDefault="00F4471B">
      <w:pPr>
        <w:spacing w:line="240" w:lineRule="auto"/>
        <w:contextualSpacing/>
        <w:jc w:val="both"/>
        <w:rPr>
          <w:rFonts w:ascii="Arial" w:hAnsi="Arial" w:cs="Arial"/>
        </w:rPr>
      </w:pPr>
    </w:p>
    <w:p w:rsidR="00DB6712" w:rsidRPr="00BE36D3" w:rsidRDefault="00DB6712">
      <w:pPr>
        <w:pStyle w:val="Prrafodelista"/>
        <w:numPr>
          <w:ilvl w:val="0"/>
          <w:numId w:val="8"/>
        </w:numPr>
        <w:spacing w:line="240" w:lineRule="auto"/>
        <w:jc w:val="both"/>
        <w:rPr>
          <w:rFonts w:ascii="Arial" w:hAnsi="Arial" w:cs="Arial"/>
        </w:rPr>
      </w:pPr>
      <w:r w:rsidRPr="00BE36D3">
        <w:rPr>
          <w:rFonts w:ascii="Arial" w:hAnsi="Arial" w:cs="Arial"/>
        </w:rPr>
        <w:t>9499 actividades de otras asociaciones n.c.p.</w:t>
      </w:r>
    </w:p>
    <w:p w:rsidR="00997A72" w:rsidRDefault="00DB6712">
      <w:pPr>
        <w:pStyle w:val="Prrafodelista"/>
        <w:numPr>
          <w:ilvl w:val="0"/>
          <w:numId w:val="8"/>
        </w:numPr>
        <w:spacing w:line="240" w:lineRule="auto"/>
        <w:jc w:val="both"/>
        <w:rPr>
          <w:rFonts w:ascii="Arial" w:hAnsi="Arial" w:cs="Arial"/>
        </w:rPr>
      </w:pPr>
      <w:r w:rsidRPr="00BE36D3">
        <w:rPr>
          <w:rFonts w:ascii="Arial" w:hAnsi="Arial" w:cs="Arial"/>
        </w:rPr>
        <w:t>4659 comercio al por mayor de otros tipos de maquinaria y equipo n.c.p.</w:t>
      </w:r>
    </w:p>
    <w:p w:rsidR="00C5770E" w:rsidRPr="00997A72" w:rsidRDefault="00DB6712">
      <w:pPr>
        <w:pStyle w:val="Prrafodelista"/>
        <w:numPr>
          <w:ilvl w:val="0"/>
          <w:numId w:val="8"/>
        </w:numPr>
        <w:spacing w:line="240" w:lineRule="auto"/>
        <w:jc w:val="both"/>
        <w:rPr>
          <w:rFonts w:ascii="Arial" w:hAnsi="Arial" w:cs="Arial"/>
        </w:rPr>
      </w:pPr>
      <w:r w:rsidRPr="00997A72">
        <w:rPr>
          <w:rFonts w:ascii="Arial" w:hAnsi="Arial" w:cs="Arial"/>
        </w:rPr>
        <w:t>7020 actividades de consultoría de gestión.</w:t>
      </w:r>
    </w:p>
    <w:p w:rsidR="00410498" w:rsidRDefault="00410498">
      <w:pPr>
        <w:spacing w:line="240" w:lineRule="auto"/>
        <w:contextualSpacing/>
        <w:jc w:val="both"/>
        <w:rPr>
          <w:rFonts w:ascii="Arial" w:eastAsia="Arial Narrow" w:hAnsi="Arial" w:cs="Arial"/>
          <w:b/>
          <w:bCs/>
          <w:i/>
          <w:iCs/>
        </w:rPr>
      </w:pPr>
    </w:p>
    <w:p w:rsidR="00FC2536" w:rsidRPr="009E313F" w:rsidRDefault="00F62335">
      <w:pPr>
        <w:spacing w:line="240" w:lineRule="auto"/>
        <w:contextualSpacing/>
        <w:jc w:val="both"/>
        <w:rPr>
          <w:rFonts w:ascii="Arial" w:eastAsia="Arial Narrow" w:hAnsi="Arial" w:cs="Arial"/>
          <w:b/>
          <w:bCs/>
        </w:rPr>
      </w:pPr>
      <w:r w:rsidRPr="009E313F">
        <w:rPr>
          <w:rFonts w:ascii="Arial" w:eastAsia="Arial Narrow" w:hAnsi="Arial" w:cs="Arial"/>
          <w:b/>
          <w:bCs/>
        </w:rPr>
        <w:t>Incumplimiento del régimen de inhabilidades</w:t>
      </w:r>
      <w:r w:rsidR="000F591D">
        <w:rPr>
          <w:rFonts w:ascii="Arial" w:eastAsia="Arial Narrow" w:hAnsi="Arial" w:cs="Arial"/>
          <w:b/>
          <w:bCs/>
        </w:rPr>
        <w:t>.</w:t>
      </w:r>
    </w:p>
    <w:p w:rsidR="000F591D" w:rsidRDefault="000F591D">
      <w:pPr>
        <w:spacing w:line="240" w:lineRule="auto"/>
        <w:contextualSpacing/>
        <w:jc w:val="both"/>
        <w:rPr>
          <w:rFonts w:ascii="Arial" w:hAnsi="Arial" w:cs="Arial"/>
        </w:rPr>
      </w:pPr>
    </w:p>
    <w:p w:rsidR="00DB6712" w:rsidRDefault="00584810">
      <w:pPr>
        <w:spacing w:line="240" w:lineRule="auto"/>
        <w:contextualSpacing/>
        <w:jc w:val="both"/>
        <w:rPr>
          <w:rFonts w:ascii="Arial" w:hAnsi="Arial" w:cs="Arial"/>
        </w:rPr>
      </w:pPr>
      <w:r>
        <w:rPr>
          <w:rFonts w:ascii="Arial" w:hAnsi="Arial" w:cs="Arial"/>
        </w:rPr>
        <w:t>E</w:t>
      </w:r>
      <w:r w:rsidR="00DB6712" w:rsidRPr="00BE36D3">
        <w:rPr>
          <w:rFonts w:ascii="Arial" w:hAnsi="Arial" w:cs="Arial"/>
        </w:rPr>
        <w:t xml:space="preserve">n el </w:t>
      </w:r>
      <w:r w:rsidR="00322EBA">
        <w:rPr>
          <w:rFonts w:ascii="Arial" w:hAnsi="Arial" w:cs="Arial"/>
        </w:rPr>
        <w:t>C</w:t>
      </w:r>
      <w:r w:rsidR="00DB6712" w:rsidRPr="00BE36D3">
        <w:rPr>
          <w:rFonts w:ascii="Arial" w:hAnsi="Arial" w:cs="Arial"/>
        </w:rPr>
        <w:t xml:space="preserve">ontrato No. MST-CD-CA-003-2017 para la Atención Integral de los grupos vulnerables del Municipio de Santiago de Tolú – Sucre </w:t>
      </w:r>
      <w:r w:rsidR="00273385">
        <w:rPr>
          <w:rFonts w:ascii="Arial" w:hAnsi="Arial" w:cs="Arial"/>
        </w:rPr>
        <w:t>se identificó una situación</w:t>
      </w:r>
      <w:r w:rsidR="00DB6712" w:rsidRPr="00BE36D3">
        <w:rPr>
          <w:rFonts w:ascii="Arial" w:hAnsi="Arial" w:cs="Arial"/>
        </w:rPr>
        <w:t xml:space="preserve"> </w:t>
      </w:r>
      <w:r w:rsidR="00273385">
        <w:rPr>
          <w:rFonts w:ascii="Arial" w:hAnsi="Arial" w:cs="Arial"/>
        </w:rPr>
        <w:t>que evidencia</w:t>
      </w:r>
      <w:r>
        <w:rPr>
          <w:rFonts w:ascii="Arial" w:hAnsi="Arial" w:cs="Arial"/>
        </w:rPr>
        <w:t xml:space="preserve"> una inhabilidad sobreviniente </w:t>
      </w:r>
      <w:r w:rsidR="00273385">
        <w:rPr>
          <w:rFonts w:ascii="Arial" w:hAnsi="Arial" w:cs="Arial"/>
        </w:rPr>
        <w:t>en el proceso contractual</w:t>
      </w:r>
      <w:r>
        <w:rPr>
          <w:rFonts w:ascii="Arial" w:hAnsi="Arial" w:cs="Arial"/>
        </w:rPr>
        <w:t xml:space="preserve"> por parte de la representante legal de la Fundación Surgir</w:t>
      </w:r>
      <w:r w:rsidR="00DB6712" w:rsidRPr="00BE36D3">
        <w:rPr>
          <w:rFonts w:ascii="Arial" w:hAnsi="Arial" w:cs="Arial"/>
        </w:rPr>
        <w:t xml:space="preserve">. En todo el expediente contractual publicado en la plataforma SECOP se menciona que la </w:t>
      </w:r>
      <w:r w:rsidR="000F591D">
        <w:rPr>
          <w:rFonts w:ascii="Arial" w:hAnsi="Arial" w:cs="Arial"/>
        </w:rPr>
        <w:t>R</w:t>
      </w:r>
      <w:r w:rsidR="00DB6712" w:rsidRPr="00BE36D3">
        <w:rPr>
          <w:rFonts w:ascii="Arial" w:hAnsi="Arial" w:cs="Arial"/>
        </w:rPr>
        <w:t xml:space="preserve">epresentante </w:t>
      </w:r>
      <w:r w:rsidR="000F591D">
        <w:rPr>
          <w:rFonts w:ascii="Arial" w:hAnsi="Arial" w:cs="Arial"/>
        </w:rPr>
        <w:t>L</w:t>
      </w:r>
      <w:r w:rsidR="00DB6712" w:rsidRPr="00BE36D3">
        <w:rPr>
          <w:rFonts w:ascii="Arial" w:hAnsi="Arial" w:cs="Arial"/>
        </w:rPr>
        <w:t xml:space="preserve">egal de la </w:t>
      </w:r>
      <w:r w:rsidR="00322EBA" w:rsidRPr="00C5770E">
        <w:rPr>
          <w:rFonts w:ascii="Arial" w:hAnsi="Arial" w:cs="Arial"/>
        </w:rPr>
        <w:t xml:space="preserve">Fundación Surgir </w:t>
      </w:r>
      <w:r w:rsidR="00DB6712" w:rsidRPr="00BE36D3">
        <w:rPr>
          <w:rFonts w:ascii="Arial" w:hAnsi="Arial" w:cs="Arial"/>
        </w:rPr>
        <w:t xml:space="preserve">es la </w:t>
      </w:r>
      <w:r w:rsidR="00322EBA">
        <w:rPr>
          <w:rFonts w:ascii="Arial" w:hAnsi="Arial" w:cs="Arial"/>
        </w:rPr>
        <w:t>S</w:t>
      </w:r>
      <w:r w:rsidR="00DB6712" w:rsidRPr="00BE36D3">
        <w:rPr>
          <w:rFonts w:ascii="Arial" w:hAnsi="Arial" w:cs="Arial"/>
        </w:rPr>
        <w:t xml:space="preserve">eñora Suad Elena Banque Guevara, ella suscribió el </w:t>
      </w:r>
      <w:r w:rsidR="00322EBA">
        <w:rPr>
          <w:rFonts w:ascii="Arial" w:hAnsi="Arial" w:cs="Arial"/>
        </w:rPr>
        <w:t>C</w:t>
      </w:r>
      <w:r w:rsidR="00DB6712" w:rsidRPr="00BE36D3">
        <w:rPr>
          <w:rFonts w:ascii="Arial" w:hAnsi="Arial" w:cs="Arial"/>
        </w:rPr>
        <w:t xml:space="preserve">ontrato el 6 de abril de 2017, el cual al tener un plazo de 7 meses iría hasta el mes de noviembre de esa vigencia. Además, firmó el segundo </w:t>
      </w:r>
      <w:r w:rsidR="00322EBA">
        <w:rPr>
          <w:rFonts w:ascii="Arial" w:hAnsi="Arial" w:cs="Arial"/>
        </w:rPr>
        <w:t>Otrosí</w:t>
      </w:r>
      <w:r w:rsidR="00DB6712" w:rsidRPr="00BE36D3">
        <w:rPr>
          <w:rFonts w:ascii="Arial" w:hAnsi="Arial" w:cs="Arial"/>
        </w:rPr>
        <w:t xml:space="preserve"> por un mes más, el 17 de agosto del mismo año, es decir, el </w:t>
      </w:r>
      <w:r w:rsidR="00322EBA">
        <w:rPr>
          <w:rFonts w:ascii="Arial" w:hAnsi="Arial" w:cs="Arial"/>
        </w:rPr>
        <w:t>C</w:t>
      </w:r>
      <w:r w:rsidR="00DB6712" w:rsidRPr="00BE36D3">
        <w:rPr>
          <w:rFonts w:ascii="Arial" w:hAnsi="Arial" w:cs="Arial"/>
        </w:rPr>
        <w:t xml:space="preserve">ontrato finalizaría en el mes de diciembre. Sin embargo, la </w:t>
      </w:r>
      <w:r w:rsidR="00322EBA">
        <w:rPr>
          <w:rFonts w:ascii="Arial" w:hAnsi="Arial" w:cs="Arial"/>
        </w:rPr>
        <w:t>S</w:t>
      </w:r>
      <w:r w:rsidR="00DB6712" w:rsidRPr="00BE36D3">
        <w:rPr>
          <w:rFonts w:ascii="Arial" w:hAnsi="Arial" w:cs="Arial"/>
        </w:rPr>
        <w:t xml:space="preserve">eñora Suad Elena Banque </w:t>
      </w:r>
      <w:r w:rsidR="00DB6712" w:rsidRPr="00BE36D3">
        <w:rPr>
          <w:rFonts w:ascii="Arial" w:hAnsi="Arial" w:cs="Arial"/>
        </w:rPr>
        <w:lastRenderedPageBreak/>
        <w:t xml:space="preserve">Guevara aparece registrada en el SIGEP como servidora pública de la Alcaldía de Sincelejo en el periodo entre el 2 de junio de 2016 y 6 de septiembre de 2016 y posteriormente entre el 9 de septiembre de 2017 y el 31 de diciembre de 2019. Igualmente, en la experiencia reportada por la </w:t>
      </w:r>
      <w:r w:rsidR="00322EBA">
        <w:rPr>
          <w:rFonts w:ascii="Arial" w:hAnsi="Arial" w:cs="Arial"/>
        </w:rPr>
        <w:t>S</w:t>
      </w:r>
      <w:r w:rsidR="00DB6712" w:rsidRPr="00BE36D3">
        <w:rPr>
          <w:rFonts w:ascii="Arial" w:hAnsi="Arial" w:cs="Arial"/>
        </w:rPr>
        <w:t>eñora Suad Elena Banque Guevara en el SIGEP demuestra que efectivamente se desempeñó como contratista de la Fundación Surgir, pero como se muestra a continuación, su labor allí finalizó el 31 de mayo de 2016.</w:t>
      </w:r>
    </w:p>
    <w:p w:rsidR="00C5770E" w:rsidRPr="00BE36D3" w:rsidRDefault="00C5770E">
      <w:pPr>
        <w:spacing w:line="240" w:lineRule="auto"/>
        <w:contextualSpacing/>
        <w:jc w:val="both"/>
        <w:rPr>
          <w:rFonts w:ascii="Arial" w:hAnsi="Arial" w:cs="Arial"/>
        </w:rPr>
      </w:pPr>
    </w:p>
    <w:p w:rsidR="00DB6712" w:rsidRPr="00BE36D3" w:rsidRDefault="00DB6712">
      <w:pPr>
        <w:spacing w:line="240" w:lineRule="auto"/>
        <w:contextualSpacing/>
        <w:jc w:val="center"/>
        <w:rPr>
          <w:rFonts w:ascii="Arial" w:hAnsi="Arial" w:cs="Arial"/>
          <w:b/>
          <w:bCs/>
          <w:sz w:val="20"/>
          <w:szCs w:val="20"/>
        </w:rPr>
      </w:pPr>
      <w:r w:rsidRPr="00BE36D3">
        <w:rPr>
          <w:rFonts w:ascii="Arial" w:hAnsi="Arial" w:cs="Arial"/>
          <w:b/>
          <w:bCs/>
          <w:sz w:val="20"/>
          <w:szCs w:val="20"/>
        </w:rPr>
        <w:t>Imagen 1. Experiencia laboral de la representante legal Fundación Surgir</w:t>
      </w:r>
    </w:p>
    <w:p w:rsidR="00DB6712" w:rsidRPr="00BE36D3" w:rsidRDefault="00DB6712">
      <w:pPr>
        <w:spacing w:line="240" w:lineRule="auto"/>
        <w:contextualSpacing/>
        <w:jc w:val="both"/>
        <w:rPr>
          <w:rFonts w:ascii="Arial" w:hAnsi="Arial" w:cs="Arial"/>
          <w:sz w:val="24"/>
          <w:szCs w:val="24"/>
        </w:rPr>
      </w:pPr>
      <w:r w:rsidRPr="00BE36D3">
        <w:rPr>
          <w:rFonts w:ascii="Arial" w:hAnsi="Arial" w:cs="Arial"/>
          <w:noProof/>
          <w:lang w:eastAsia="es-CO"/>
        </w:rPr>
        <w:drawing>
          <wp:inline distT="0" distB="0" distL="0" distR="0">
            <wp:extent cx="5612130" cy="2707005"/>
            <wp:effectExtent l="0" t="0" r="762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0">
                      <a:extLst>
                        <a:ext uri="{28A0092B-C50C-407E-A947-70E740481C1C}">
                          <a14:useLocalDpi xmlns:a14="http://schemas.microsoft.com/office/drawing/2010/main" val="0"/>
                        </a:ext>
                      </a:extLst>
                    </a:blip>
                    <a:stretch>
                      <a:fillRect/>
                    </a:stretch>
                  </pic:blipFill>
                  <pic:spPr>
                    <a:xfrm>
                      <a:off x="0" y="0"/>
                      <a:ext cx="5612130" cy="2707005"/>
                    </a:xfrm>
                    <a:prstGeom prst="rect">
                      <a:avLst/>
                    </a:prstGeom>
                  </pic:spPr>
                </pic:pic>
              </a:graphicData>
            </a:graphic>
          </wp:inline>
        </w:drawing>
      </w:r>
    </w:p>
    <w:p w:rsidR="00DB6712" w:rsidRPr="00BE36D3" w:rsidRDefault="00DB6712">
      <w:pPr>
        <w:spacing w:line="240" w:lineRule="auto"/>
        <w:contextualSpacing/>
        <w:jc w:val="center"/>
        <w:rPr>
          <w:rFonts w:ascii="Arial" w:hAnsi="Arial" w:cs="Arial"/>
          <w:sz w:val="20"/>
          <w:szCs w:val="20"/>
        </w:rPr>
      </w:pPr>
      <w:r w:rsidRPr="00BE36D3">
        <w:rPr>
          <w:rFonts w:ascii="Arial" w:hAnsi="Arial" w:cs="Arial"/>
          <w:b/>
          <w:bCs/>
          <w:sz w:val="20"/>
          <w:szCs w:val="20"/>
        </w:rPr>
        <w:t xml:space="preserve">Fuente: </w:t>
      </w:r>
      <w:r w:rsidRPr="00BE36D3">
        <w:rPr>
          <w:rFonts w:ascii="Arial" w:hAnsi="Arial" w:cs="Arial"/>
          <w:sz w:val="20"/>
          <w:szCs w:val="20"/>
        </w:rPr>
        <w:t xml:space="preserve">Sistema de Información y Gestión del Empleo Público (SIGEP). </w:t>
      </w:r>
    </w:p>
    <w:p w:rsidR="00C5770E" w:rsidRPr="00BE36D3" w:rsidRDefault="00C5770E">
      <w:pPr>
        <w:spacing w:line="240" w:lineRule="auto"/>
        <w:contextualSpacing/>
        <w:jc w:val="both"/>
        <w:rPr>
          <w:rFonts w:ascii="Arial" w:hAnsi="Arial" w:cs="Arial"/>
        </w:rPr>
      </w:pPr>
    </w:p>
    <w:p w:rsidR="00DB6712" w:rsidRPr="00BE36D3" w:rsidRDefault="00DB6712">
      <w:pPr>
        <w:spacing w:line="240" w:lineRule="auto"/>
        <w:contextualSpacing/>
        <w:jc w:val="both"/>
        <w:rPr>
          <w:rFonts w:ascii="Arial" w:hAnsi="Arial" w:cs="Arial"/>
        </w:rPr>
      </w:pPr>
      <w:r w:rsidRPr="00BE36D3">
        <w:rPr>
          <w:rFonts w:ascii="Arial" w:hAnsi="Arial" w:cs="Arial"/>
        </w:rPr>
        <w:t xml:space="preserve">Lo anterior </w:t>
      </w:r>
      <w:r w:rsidR="0029439B">
        <w:rPr>
          <w:rFonts w:ascii="Arial" w:hAnsi="Arial" w:cs="Arial"/>
        </w:rPr>
        <w:t>evidencia que se</w:t>
      </w:r>
      <w:r w:rsidRPr="00BE36D3">
        <w:rPr>
          <w:rFonts w:ascii="Arial" w:hAnsi="Arial" w:cs="Arial"/>
        </w:rPr>
        <w:t xml:space="preserve"> vulneró el régimen de inhabilidades y compatibilidades para la celebración de contratos públicos</w:t>
      </w:r>
      <w:r w:rsidR="00584810">
        <w:rPr>
          <w:rFonts w:ascii="Arial" w:hAnsi="Arial" w:cs="Arial"/>
        </w:rPr>
        <w:t xml:space="preserve"> al incurrir en una inhabilidad sobreviniente</w:t>
      </w:r>
      <w:r w:rsidRPr="00BE36D3">
        <w:rPr>
          <w:rFonts w:ascii="Arial" w:hAnsi="Arial" w:cs="Arial"/>
        </w:rPr>
        <w:t>. Específicamente, en el artículo 8° de la Ley 80 de 1993, literal f, se inhabilita para celebrar contratos con las entidades estatales a los servidores públicos. De igual manera, el artículo 9° de la mencionada norma establece que:</w:t>
      </w:r>
    </w:p>
    <w:p w:rsidR="00C5770E" w:rsidRPr="00BE36D3" w:rsidRDefault="00C5770E">
      <w:pPr>
        <w:spacing w:line="240" w:lineRule="auto"/>
        <w:contextualSpacing/>
        <w:jc w:val="both"/>
        <w:rPr>
          <w:rFonts w:ascii="Arial" w:hAnsi="Arial" w:cs="Arial"/>
        </w:rPr>
      </w:pPr>
    </w:p>
    <w:p w:rsidR="00DB6712" w:rsidRPr="00BE36D3" w:rsidRDefault="00C5770E">
      <w:pPr>
        <w:spacing w:line="240" w:lineRule="auto"/>
        <w:ind w:left="1416"/>
        <w:contextualSpacing/>
        <w:jc w:val="both"/>
        <w:rPr>
          <w:rFonts w:ascii="Arial" w:hAnsi="Arial" w:cs="Arial"/>
          <w:i/>
          <w:iCs/>
          <w:sz w:val="18"/>
          <w:szCs w:val="18"/>
        </w:rPr>
      </w:pPr>
      <w:r w:rsidRPr="00BE36D3">
        <w:rPr>
          <w:rFonts w:ascii="Arial" w:hAnsi="Arial" w:cs="Arial"/>
          <w:b/>
          <w:bCs/>
          <w:sz w:val="18"/>
          <w:szCs w:val="18"/>
        </w:rPr>
        <w:t>“</w:t>
      </w:r>
      <w:r w:rsidR="00DB6712" w:rsidRPr="00BE36D3">
        <w:rPr>
          <w:rFonts w:ascii="Arial" w:hAnsi="Arial" w:cs="Arial"/>
          <w:b/>
          <w:bCs/>
          <w:i/>
          <w:iCs/>
          <w:sz w:val="18"/>
          <w:szCs w:val="18"/>
        </w:rPr>
        <w:t>Artículo 9º. De las inhabilidades e incompatibilidades sobrevinientes</w:t>
      </w:r>
      <w:r w:rsidR="00DB6712" w:rsidRPr="00BE36D3">
        <w:rPr>
          <w:rFonts w:ascii="Arial" w:hAnsi="Arial" w:cs="Arial"/>
          <w:i/>
          <w:iCs/>
          <w:sz w:val="18"/>
          <w:szCs w:val="18"/>
        </w:rPr>
        <w:t>. Si llegare a sobrevenir inhabilidad o incompatibilidad en el contratista, este cederá el contrato previa autorización escrita de la entidad contratante o, si ello no fuere posible, renunciará a su ejecución.</w:t>
      </w:r>
    </w:p>
    <w:p w:rsidR="00C5770E" w:rsidRPr="00BE36D3" w:rsidRDefault="00C5770E">
      <w:pPr>
        <w:spacing w:line="240" w:lineRule="auto"/>
        <w:ind w:left="1416"/>
        <w:contextualSpacing/>
        <w:jc w:val="both"/>
        <w:rPr>
          <w:rFonts w:ascii="Arial" w:hAnsi="Arial" w:cs="Arial"/>
          <w:i/>
          <w:iCs/>
          <w:sz w:val="18"/>
          <w:szCs w:val="18"/>
        </w:rPr>
      </w:pPr>
    </w:p>
    <w:p w:rsidR="00DB6712" w:rsidRPr="00BE36D3" w:rsidRDefault="00DB6712">
      <w:pPr>
        <w:spacing w:line="240" w:lineRule="auto"/>
        <w:ind w:left="1416"/>
        <w:contextualSpacing/>
        <w:jc w:val="both"/>
        <w:rPr>
          <w:rFonts w:ascii="Arial" w:hAnsi="Arial" w:cs="Arial"/>
          <w:i/>
          <w:iCs/>
          <w:sz w:val="18"/>
          <w:szCs w:val="18"/>
        </w:rPr>
      </w:pPr>
      <w:r w:rsidRPr="00BE36D3">
        <w:rPr>
          <w:rFonts w:ascii="Arial" w:hAnsi="Arial" w:cs="Arial"/>
          <w:i/>
          <w:iCs/>
          <w:sz w:val="18"/>
          <w:szCs w:val="18"/>
        </w:rPr>
        <w:t>Cuando la inhabilidad o incompatibilidad sobrevenga en un proponente dentro de un proceso de selección, se entenderá que renuncia a la participación en el proceso de selección y a los derechos surgidos del mismo.</w:t>
      </w:r>
    </w:p>
    <w:p w:rsidR="00C5770E" w:rsidRPr="00BE36D3" w:rsidRDefault="00C5770E">
      <w:pPr>
        <w:spacing w:line="240" w:lineRule="auto"/>
        <w:ind w:left="1416"/>
        <w:contextualSpacing/>
        <w:jc w:val="both"/>
        <w:rPr>
          <w:rFonts w:ascii="Arial" w:hAnsi="Arial" w:cs="Arial"/>
          <w:i/>
          <w:iCs/>
          <w:sz w:val="18"/>
          <w:szCs w:val="18"/>
        </w:rPr>
      </w:pPr>
    </w:p>
    <w:p w:rsidR="00DB6712" w:rsidRPr="00BE36D3" w:rsidRDefault="00DB6712">
      <w:pPr>
        <w:spacing w:line="240" w:lineRule="auto"/>
        <w:ind w:left="1416"/>
        <w:contextualSpacing/>
        <w:jc w:val="both"/>
        <w:rPr>
          <w:rFonts w:ascii="Arial" w:hAnsi="Arial" w:cs="Arial"/>
          <w:i/>
          <w:iCs/>
          <w:sz w:val="18"/>
          <w:szCs w:val="18"/>
        </w:rPr>
      </w:pPr>
      <w:r w:rsidRPr="00BE36D3">
        <w:rPr>
          <w:rFonts w:ascii="Arial" w:hAnsi="Arial" w:cs="Arial"/>
          <w:i/>
          <w:iCs/>
          <w:sz w:val="18"/>
          <w:szCs w:val="18"/>
        </w:rPr>
        <w:t>Si la inhabilidad o incompatibilidad sobreviene en uno de los miembros de un consorcio o unión temporal, este cederá su participación a un tercero previa autorización escrita de la entidad contratante. En ningún caso podrá haber cesión del contrato entre quienes integran el consorcio o unión temporal</w:t>
      </w:r>
      <w:r w:rsidR="00C5770E" w:rsidRPr="00BE36D3">
        <w:rPr>
          <w:rFonts w:ascii="Arial" w:hAnsi="Arial" w:cs="Arial"/>
          <w:sz w:val="18"/>
          <w:szCs w:val="18"/>
        </w:rPr>
        <w:t>”.</w:t>
      </w:r>
    </w:p>
    <w:p w:rsidR="00C5770E" w:rsidRPr="00BE36D3" w:rsidRDefault="00C5770E">
      <w:pPr>
        <w:spacing w:line="240" w:lineRule="auto"/>
        <w:contextualSpacing/>
        <w:jc w:val="both"/>
        <w:rPr>
          <w:rFonts w:ascii="Arial" w:hAnsi="Arial" w:cs="Arial"/>
        </w:rPr>
      </w:pPr>
    </w:p>
    <w:p w:rsidR="005F5C7B" w:rsidRPr="00F4471B" w:rsidRDefault="00414927">
      <w:pPr>
        <w:spacing w:line="240" w:lineRule="auto"/>
        <w:contextualSpacing/>
        <w:jc w:val="both"/>
        <w:rPr>
          <w:rFonts w:ascii="Arial" w:hAnsi="Arial" w:cs="Arial"/>
          <w:b/>
          <w:bCs/>
        </w:rPr>
      </w:pPr>
      <w:r>
        <w:rPr>
          <w:rFonts w:ascii="Arial" w:hAnsi="Arial" w:cs="Arial"/>
        </w:rPr>
        <w:t>A pesar de que en el SIGEP se registra que su labor como representante legal de la Fundación acabó en el año 2016,</w:t>
      </w:r>
      <w:r w:rsidR="00DB6712" w:rsidRPr="00BE36D3">
        <w:rPr>
          <w:rFonts w:ascii="Arial" w:hAnsi="Arial" w:cs="Arial"/>
        </w:rPr>
        <w:t xml:space="preserve"> en los documentos contractuales aparece la </w:t>
      </w:r>
      <w:r w:rsidR="00D959F5">
        <w:rPr>
          <w:rFonts w:ascii="Arial" w:hAnsi="Arial" w:cs="Arial"/>
        </w:rPr>
        <w:t>S</w:t>
      </w:r>
      <w:r w:rsidR="00DB6712" w:rsidRPr="00BE36D3">
        <w:rPr>
          <w:rFonts w:ascii="Arial" w:hAnsi="Arial" w:cs="Arial"/>
        </w:rPr>
        <w:t>eñora Suad Elena Banque Guevara</w:t>
      </w:r>
      <w:r>
        <w:rPr>
          <w:rFonts w:ascii="Arial" w:hAnsi="Arial" w:cs="Arial"/>
        </w:rPr>
        <w:t xml:space="preserve"> en la firma de los documentos contractuales, incluso después de </w:t>
      </w:r>
      <w:r>
        <w:rPr>
          <w:rFonts w:ascii="Arial" w:hAnsi="Arial" w:cs="Arial"/>
        </w:rPr>
        <w:lastRenderedPageBreak/>
        <w:t xml:space="preserve">haber sido </w:t>
      </w:r>
      <w:r w:rsidR="000E4F7B">
        <w:rPr>
          <w:rFonts w:ascii="Arial" w:hAnsi="Arial" w:cs="Arial"/>
        </w:rPr>
        <w:t>nombrada</w:t>
      </w:r>
      <w:r>
        <w:rPr>
          <w:rFonts w:ascii="Arial" w:hAnsi="Arial" w:cs="Arial"/>
        </w:rPr>
        <w:t xml:space="preserve"> funcionaria pública.</w:t>
      </w:r>
      <w:r w:rsidR="00DB6712" w:rsidRPr="00BE36D3">
        <w:rPr>
          <w:rFonts w:ascii="Arial" w:hAnsi="Arial" w:cs="Arial"/>
        </w:rPr>
        <w:t xml:space="preserve"> </w:t>
      </w:r>
      <w:r w:rsidR="008B307E">
        <w:rPr>
          <w:rFonts w:ascii="Arial" w:hAnsi="Arial" w:cs="Arial"/>
        </w:rPr>
        <w:t>Sin perjuicio</w:t>
      </w:r>
      <w:r w:rsidR="00DB6712" w:rsidRPr="00BE36D3">
        <w:rPr>
          <w:rFonts w:ascii="Arial" w:hAnsi="Arial" w:cs="Arial"/>
        </w:rPr>
        <w:t xml:space="preserve"> de que</w:t>
      </w:r>
      <w:r w:rsidR="008B307E">
        <w:rPr>
          <w:rFonts w:ascii="Arial" w:hAnsi="Arial" w:cs="Arial"/>
        </w:rPr>
        <w:t>,</w:t>
      </w:r>
      <w:r w:rsidR="00DB6712" w:rsidRPr="00BE36D3">
        <w:rPr>
          <w:rFonts w:ascii="Arial" w:hAnsi="Arial" w:cs="Arial"/>
        </w:rPr>
        <w:t xml:space="preserve"> en el acta de finalización y el acta de liquidación del </w:t>
      </w:r>
      <w:r w:rsidR="00D959F5">
        <w:rPr>
          <w:rFonts w:ascii="Arial" w:hAnsi="Arial" w:cs="Arial"/>
        </w:rPr>
        <w:t>C</w:t>
      </w:r>
      <w:r w:rsidR="00DB6712" w:rsidRPr="00BE36D3">
        <w:rPr>
          <w:rFonts w:ascii="Arial" w:hAnsi="Arial" w:cs="Arial"/>
        </w:rPr>
        <w:t xml:space="preserve">onvenio, suscritas el 29 de diciembre de 2017 y el 2 de abril de 2018 respectivamente, aparece como representante legal el </w:t>
      </w:r>
      <w:r w:rsidR="00D959F5">
        <w:rPr>
          <w:rFonts w:ascii="Arial" w:hAnsi="Arial" w:cs="Arial"/>
        </w:rPr>
        <w:t>S</w:t>
      </w:r>
      <w:r w:rsidR="00DB6712" w:rsidRPr="00BE36D3">
        <w:rPr>
          <w:rFonts w:ascii="Arial" w:hAnsi="Arial" w:cs="Arial"/>
        </w:rPr>
        <w:t xml:space="preserve">eñor Will Herrera Bohórquez, se ha podido identificar que en las órdenes de pago parciales emitidas en la vigencia 2017 firmadas entre los meses de septiembre y diciembre de 2017, el Municipio de Santiago de </w:t>
      </w:r>
      <w:r w:rsidR="000966E6">
        <w:rPr>
          <w:rFonts w:ascii="Arial" w:hAnsi="Arial" w:cs="Arial"/>
        </w:rPr>
        <w:t>Tolú - Sucre</w:t>
      </w:r>
      <w:r w:rsidR="00DB6712" w:rsidRPr="00BE36D3">
        <w:rPr>
          <w:rFonts w:ascii="Arial" w:hAnsi="Arial" w:cs="Arial"/>
        </w:rPr>
        <w:t xml:space="preserve"> sigue </w:t>
      </w:r>
      <w:r w:rsidR="00273385">
        <w:rPr>
          <w:rFonts w:ascii="Arial" w:hAnsi="Arial" w:cs="Arial"/>
        </w:rPr>
        <w:t>registrándose</w:t>
      </w:r>
      <w:r w:rsidR="00DB6712" w:rsidRPr="00BE36D3">
        <w:rPr>
          <w:rFonts w:ascii="Arial" w:hAnsi="Arial" w:cs="Arial"/>
        </w:rPr>
        <w:t xml:space="preserve"> la </w:t>
      </w:r>
      <w:r w:rsidR="00D959F5">
        <w:rPr>
          <w:rFonts w:ascii="Arial" w:hAnsi="Arial" w:cs="Arial"/>
        </w:rPr>
        <w:t>S</w:t>
      </w:r>
      <w:r w:rsidR="00DB6712" w:rsidRPr="00BE36D3">
        <w:rPr>
          <w:rFonts w:ascii="Arial" w:hAnsi="Arial" w:cs="Arial"/>
        </w:rPr>
        <w:t xml:space="preserve">eñora Suad Elena Banque Guevara como la </w:t>
      </w:r>
      <w:r w:rsidR="008B307E">
        <w:rPr>
          <w:rFonts w:ascii="Arial" w:hAnsi="Arial" w:cs="Arial"/>
        </w:rPr>
        <w:t>R</w:t>
      </w:r>
      <w:r w:rsidR="00DB6712" w:rsidRPr="00BE36D3">
        <w:rPr>
          <w:rFonts w:ascii="Arial" w:hAnsi="Arial" w:cs="Arial"/>
        </w:rPr>
        <w:t xml:space="preserve">epresentante </w:t>
      </w:r>
      <w:r w:rsidR="008B307E">
        <w:rPr>
          <w:rFonts w:ascii="Arial" w:hAnsi="Arial" w:cs="Arial"/>
        </w:rPr>
        <w:t>L</w:t>
      </w:r>
      <w:r w:rsidR="00DB6712" w:rsidRPr="00BE36D3">
        <w:rPr>
          <w:rFonts w:ascii="Arial" w:hAnsi="Arial" w:cs="Arial"/>
        </w:rPr>
        <w:t>egal de la Fundación aun cuando ya ejercía funciones como servidora pública. Así mismo, la</w:t>
      </w:r>
      <w:r w:rsidR="008B307E">
        <w:rPr>
          <w:rFonts w:ascii="Arial" w:hAnsi="Arial" w:cs="Arial"/>
        </w:rPr>
        <w:t>s</w:t>
      </w:r>
      <w:r w:rsidR="00DB6712" w:rsidRPr="00BE36D3">
        <w:rPr>
          <w:rFonts w:ascii="Arial" w:hAnsi="Arial" w:cs="Arial"/>
        </w:rPr>
        <w:t xml:space="preserve"> </w:t>
      </w:r>
      <w:r w:rsidR="008B307E">
        <w:rPr>
          <w:rFonts w:ascii="Arial" w:hAnsi="Arial" w:cs="Arial"/>
        </w:rPr>
        <w:t>F</w:t>
      </w:r>
      <w:r w:rsidR="00DB6712" w:rsidRPr="00BE36D3">
        <w:rPr>
          <w:rFonts w:ascii="Arial" w:hAnsi="Arial" w:cs="Arial"/>
        </w:rPr>
        <w:t>actura</w:t>
      </w:r>
      <w:r w:rsidR="008B307E">
        <w:rPr>
          <w:rFonts w:ascii="Arial" w:hAnsi="Arial" w:cs="Arial"/>
        </w:rPr>
        <w:t>s</w:t>
      </w:r>
      <w:r w:rsidR="00DB6712" w:rsidRPr="00BE36D3">
        <w:rPr>
          <w:rFonts w:ascii="Arial" w:hAnsi="Arial" w:cs="Arial"/>
        </w:rPr>
        <w:t xml:space="preserve"> de </w:t>
      </w:r>
      <w:r w:rsidR="008B307E">
        <w:rPr>
          <w:rFonts w:ascii="Arial" w:hAnsi="Arial" w:cs="Arial"/>
        </w:rPr>
        <w:t>V</w:t>
      </w:r>
      <w:r w:rsidR="00DB6712" w:rsidRPr="00BE36D3">
        <w:rPr>
          <w:rFonts w:ascii="Arial" w:hAnsi="Arial" w:cs="Arial"/>
        </w:rPr>
        <w:t>enta No. 97 y No. 99 con fecha del 4 de septiembre y 3 de noviembre de 2017 están firmadas por la señora Suad Elena Banque Guevara</w:t>
      </w:r>
      <w:r>
        <w:rPr>
          <w:rFonts w:ascii="Arial" w:hAnsi="Arial" w:cs="Arial"/>
        </w:rPr>
        <w:t xml:space="preserve">, como </w:t>
      </w:r>
      <w:r w:rsidRPr="008B307E">
        <w:rPr>
          <w:rFonts w:ascii="Arial" w:hAnsi="Arial" w:cs="Arial"/>
        </w:rPr>
        <w:t>se evidencia a continuación:</w:t>
      </w:r>
    </w:p>
    <w:p w:rsidR="005F5C7B" w:rsidRPr="00F4471B" w:rsidRDefault="005F5C7B">
      <w:pPr>
        <w:spacing w:line="240" w:lineRule="auto"/>
        <w:contextualSpacing/>
        <w:rPr>
          <w:rFonts w:ascii="Arial" w:hAnsi="Arial" w:cs="Arial"/>
          <w:b/>
          <w:bCs/>
          <w:szCs w:val="20"/>
        </w:rPr>
      </w:pPr>
    </w:p>
    <w:p w:rsidR="008F7F1A" w:rsidRPr="00BE36D3" w:rsidRDefault="005F5C7B">
      <w:pPr>
        <w:spacing w:line="240" w:lineRule="auto"/>
        <w:contextualSpacing/>
        <w:jc w:val="center"/>
        <w:rPr>
          <w:rFonts w:ascii="Arial" w:hAnsi="Arial" w:cs="Arial"/>
          <w:b/>
          <w:bCs/>
          <w:sz w:val="20"/>
          <w:szCs w:val="20"/>
        </w:rPr>
      </w:pPr>
      <w:r>
        <w:rPr>
          <w:rFonts w:ascii="Arial" w:hAnsi="Arial" w:cs="Arial"/>
          <w:b/>
          <w:bCs/>
          <w:sz w:val="20"/>
          <w:szCs w:val="20"/>
        </w:rPr>
        <w:t>I</w:t>
      </w:r>
      <w:r w:rsidR="008F7F1A" w:rsidRPr="00BE36D3">
        <w:rPr>
          <w:rFonts w:ascii="Arial" w:hAnsi="Arial" w:cs="Arial"/>
          <w:b/>
          <w:bCs/>
          <w:sz w:val="20"/>
          <w:szCs w:val="20"/>
        </w:rPr>
        <w:t xml:space="preserve">magen </w:t>
      </w:r>
      <w:r w:rsidR="008F7F1A">
        <w:rPr>
          <w:rFonts w:ascii="Arial" w:hAnsi="Arial" w:cs="Arial"/>
          <w:b/>
          <w:bCs/>
          <w:sz w:val="20"/>
          <w:szCs w:val="20"/>
        </w:rPr>
        <w:t>2</w:t>
      </w:r>
      <w:r w:rsidR="008F7F1A" w:rsidRPr="00BE36D3">
        <w:rPr>
          <w:rFonts w:ascii="Arial" w:hAnsi="Arial" w:cs="Arial"/>
          <w:b/>
          <w:bCs/>
          <w:sz w:val="20"/>
          <w:szCs w:val="20"/>
        </w:rPr>
        <w:t xml:space="preserve">. </w:t>
      </w:r>
      <w:r w:rsidR="008F7F1A">
        <w:rPr>
          <w:rFonts w:ascii="Arial" w:hAnsi="Arial" w:cs="Arial"/>
          <w:b/>
          <w:bCs/>
          <w:sz w:val="20"/>
          <w:szCs w:val="20"/>
        </w:rPr>
        <w:t>Certificación del supervisor del contrato sobre el cumplimiento para pago</w:t>
      </w:r>
    </w:p>
    <w:p w:rsidR="00C5770E" w:rsidRDefault="008F7F1A">
      <w:pPr>
        <w:spacing w:line="240" w:lineRule="auto"/>
        <w:contextualSpacing/>
        <w:jc w:val="center"/>
        <w:rPr>
          <w:rFonts w:ascii="Arial" w:hAnsi="Arial" w:cs="Arial"/>
        </w:rPr>
      </w:pPr>
      <w:r>
        <w:rPr>
          <w:noProof/>
          <w:lang w:eastAsia="es-CO"/>
        </w:rPr>
        <w:drawing>
          <wp:inline distT="0" distB="0" distL="0" distR="0">
            <wp:extent cx="2761455" cy="3525926"/>
            <wp:effectExtent l="0" t="0" r="1270" b="0"/>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Descripción generada automáticamente"/>
                    <pic:cNvPicPr/>
                  </pic:nvPicPr>
                  <pic:blipFill>
                    <a:blip r:embed="rId31"/>
                    <a:stretch>
                      <a:fillRect/>
                    </a:stretch>
                  </pic:blipFill>
                  <pic:spPr>
                    <a:xfrm>
                      <a:off x="0" y="0"/>
                      <a:ext cx="2764829" cy="3530234"/>
                    </a:xfrm>
                    <a:prstGeom prst="rect">
                      <a:avLst/>
                    </a:prstGeom>
                  </pic:spPr>
                </pic:pic>
              </a:graphicData>
            </a:graphic>
          </wp:inline>
        </w:drawing>
      </w:r>
    </w:p>
    <w:p w:rsidR="008F7F1A" w:rsidRDefault="008F7F1A">
      <w:pPr>
        <w:spacing w:line="240" w:lineRule="auto"/>
        <w:contextualSpacing/>
        <w:jc w:val="center"/>
        <w:rPr>
          <w:rFonts w:ascii="Arial" w:hAnsi="Arial" w:cs="Arial"/>
          <w:sz w:val="20"/>
          <w:szCs w:val="20"/>
        </w:rPr>
      </w:pPr>
      <w:r w:rsidRPr="009E313F">
        <w:rPr>
          <w:rFonts w:ascii="Arial" w:hAnsi="Arial" w:cs="Arial"/>
          <w:b/>
          <w:bCs/>
          <w:sz w:val="20"/>
          <w:szCs w:val="20"/>
        </w:rPr>
        <w:t xml:space="preserve">Fuente: </w:t>
      </w:r>
      <w:r w:rsidRPr="009E313F">
        <w:rPr>
          <w:rFonts w:ascii="Arial" w:hAnsi="Arial" w:cs="Arial"/>
          <w:sz w:val="20"/>
          <w:szCs w:val="20"/>
        </w:rPr>
        <w:t>Documentos del expediente contractual.</w:t>
      </w:r>
    </w:p>
    <w:p w:rsidR="0045513C" w:rsidRDefault="0045513C">
      <w:pPr>
        <w:spacing w:line="240" w:lineRule="auto"/>
        <w:contextualSpacing/>
        <w:jc w:val="center"/>
        <w:rPr>
          <w:rFonts w:ascii="Arial" w:hAnsi="Arial" w:cs="Arial"/>
          <w:sz w:val="20"/>
          <w:szCs w:val="20"/>
        </w:rPr>
      </w:pPr>
    </w:p>
    <w:p w:rsidR="0045513C" w:rsidRDefault="0045513C">
      <w:pPr>
        <w:spacing w:line="240" w:lineRule="auto"/>
        <w:contextualSpacing/>
        <w:jc w:val="center"/>
        <w:rPr>
          <w:rFonts w:ascii="Arial" w:hAnsi="Arial" w:cs="Arial"/>
          <w:sz w:val="20"/>
          <w:szCs w:val="20"/>
        </w:rPr>
      </w:pPr>
    </w:p>
    <w:p w:rsidR="0045513C" w:rsidRPr="00BE36D3" w:rsidRDefault="00FD212D">
      <w:pPr>
        <w:spacing w:line="240" w:lineRule="auto"/>
        <w:contextualSpacing/>
        <w:jc w:val="center"/>
        <w:rPr>
          <w:rFonts w:ascii="Arial" w:hAnsi="Arial" w:cs="Arial"/>
          <w:b/>
          <w:bCs/>
          <w:sz w:val="20"/>
          <w:szCs w:val="20"/>
        </w:rPr>
      </w:pPr>
      <w:r>
        <w:rPr>
          <w:noProof/>
          <w:lang w:eastAsia="es-CO"/>
        </w:rPr>
        <w:lastRenderedPageBreak/>
        <w:drawing>
          <wp:anchor distT="0" distB="0" distL="114300" distR="114300" simplePos="0" relativeHeight="251665410" behindDoc="0" locked="0" layoutInCell="1" allowOverlap="1">
            <wp:simplePos x="0" y="0"/>
            <wp:positionH relativeFrom="page">
              <wp:posOffset>4032885</wp:posOffset>
            </wp:positionH>
            <wp:positionV relativeFrom="paragraph">
              <wp:posOffset>174625</wp:posOffset>
            </wp:positionV>
            <wp:extent cx="3500120" cy="3766185"/>
            <wp:effectExtent l="0" t="0" r="5080" b="5715"/>
            <wp:wrapThrough wrapText="bothSides">
              <wp:wrapPolygon edited="0">
                <wp:start x="0" y="0"/>
                <wp:lineTo x="0" y="21524"/>
                <wp:lineTo x="21514" y="21524"/>
                <wp:lineTo x="21514"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00120" cy="3766185"/>
                    </a:xfrm>
                    <a:prstGeom prst="rect">
                      <a:avLst/>
                    </a:prstGeom>
                  </pic:spPr>
                </pic:pic>
              </a:graphicData>
            </a:graphic>
          </wp:anchor>
        </w:drawing>
      </w:r>
      <w:r w:rsidR="00486C8E">
        <w:rPr>
          <w:noProof/>
          <w:lang w:eastAsia="es-CO"/>
        </w:rPr>
        <w:drawing>
          <wp:anchor distT="0" distB="0" distL="114300" distR="114300" simplePos="0" relativeHeight="251664386" behindDoc="0" locked="0" layoutInCell="1" allowOverlap="1">
            <wp:simplePos x="0" y="0"/>
            <wp:positionH relativeFrom="column">
              <wp:posOffset>-780415</wp:posOffset>
            </wp:positionH>
            <wp:positionV relativeFrom="paragraph">
              <wp:posOffset>147320</wp:posOffset>
            </wp:positionV>
            <wp:extent cx="3502025" cy="3844290"/>
            <wp:effectExtent l="0" t="0" r="3175" b="3810"/>
            <wp:wrapThrough wrapText="bothSides">
              <wp:wrapPolygon edited="0">
                <wp:start x="0" y="0"/>
                <wp:lineTo x="0" y="21514"/>
                <wp:lineTo x="21502" y="21514"/>
                <wp:lineTo x="21502" y="0"/>
                <wp:lineTo x="0" y="0"/>
              </wp:wrapPolygon>
            </wp:wrapThrough>
            <wp:docPr id="12" name="Imagen 12"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Tabla&#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3502025" cy="3844290"/>
                    </a:xfrm>
                    <a:prstGeom prst="rect">
                      <a:avLst/>
                    </a:prstGeom>
                  </pic:spPr>
                </pic:pic>
              </a:graphicData>
            </a:graphic>
          </wp:anchor>
        </w:drawing>
      </w:r>
      <w:r w:rsidR="0045513C" w:rsidRPr="00BE36D3">
        <w:rPr>
          <w:rFonts w:ascii="Arial" w:hAnsi="Arial" w:cs="Arial"/>
          <w:b/>
          <w:bCs/>
          <w:sz w:val="20"/>
          <w:szCs w:val="20"/>
        </w:rPr>
        <w:t xml:space="preserve">Imagen </w:t>
      </w:r>
      <w:r w:rsidR="0045513C">
        <w:rPr>
          <w:rFonts w:ascii="Arial" w:hAnsi="Arial" w:cs="Arial"/>
          <w:b/>
          <w:bCs/>
          <w:sz w:val="20"/>
          <w:szCs w:val="20"/>
        </w:rPr>
        <w:t>3</w:t>
      </w:r>
      <w:r w:rsidR="0045513C" w:rsidRPr="00BE36D3">
        <w:rPr>
          <w:rFonts w:ascii="Arial" w:hAnsi="Arial" w:cs="Arial"/>
          <w:b/>
          <w:bCs/>
          <w:sz w:val="20"/>
          <w:szCs w:val="20"/>
        </w:rPr>
        <w:t>.</w:t>
      </w:r>
      <w:r w:rsidR="0045513C">
        <w:rPr>
          <w:rFonts w:ascii="Arial" w:hAnsi="Arial" w:cs="Arial"/>
          <w:b/>
          <w:bCs/>
          <w:sz w:val="20"/>
          <w:szCs w:val="20"/>
        </w:rPr>
        <w:t xml:space="preserve"> Facturas de venta 97 y 99.</w:t>
      </w:r>
    </w:p>
    <w:p w:rsidR="008F7F1A" w:rsidRPr="00BE36D3" w:rsidRDefault="008F7F1A">
      <w:pPr>
        <w:spacing w:line="240" w:lineRule="auto"/>
        <w:contextualSpacing/>
        <w:jc w:val="center"/>
        <w:rPr>
          <w:rFonts w:ascii="Arial" w:hAnsi="Arial" w:cs="Arial"/>
        </w:rPr>
      </w:pPr>
    </w:p>
    <w:p w:rsidR="00486C8E" w:rsidRDefault="00486C8E">
      <w:pPr>
        <w:spacing w:line="240" w:lineRule="auto"/>
        <w:contextualSpacing/>
        <w:jc w:val="center"/>
        <w:rPr>
          <w:rFonts w:ascii="Arial" w:hAnsi="Arial" w:cs="Arial"/>
          <w:sz w:val="20"/>
          <w:szCs w:val="20"/>
        </w:rPr>
      </w:pPr>
      <w:r w:rsidRPr="00F46784">
        <w:rPr>
          <w:rFonts w:ascii="Arial" w:hAnsi="Arial" w:cs="Arial"/>
          <w:b/>
          <w:bCs/>
          <w:sz w:val="20"/>
          <w:szCs w:val="20"/>
        </w:rPr>
        <w:t xml:space="preserve">Fuente: </w:t>
      </w:r>
      <w:r w:rsidRPr="00F46784">
        <w:rPr>
          <w:rFonts w:ascii="Arial" w:hAnsi="Arial" w:cs="Arial"/>
          <w:sz w:val="20"/>
          <w:szCs w:val="20"/>
        </w:rPr>
        <w:t>Documentos del expediente contractual.</w:t>
      </w:r>
    </w:p>
    <w:p w:rsidR="00486C8E" w:rsidRDefault="00486C8E">
      <w:pPr>
        <w:spacing w:line="240" w:lineRule="auto"/>
        <w:contextualSpacing/>
        <w:jc w:val="both"/>
        <w:rPr>
          <w:rFonts w:ascii="Arial" w:hAnsi="Arial" w:cs="Arial"/>
        </w:rPr>
      </w:pPr>
    </w:p>
    <w:p w:rsidR="000F591D" w:rsidRDefault="00DB6712">
      <w:pPr>
        <w:spacing w:line="240" w:lineRule="auto"/>
        <w:contextualSpacing/>
        <w:jc w:val="both"/>
        <w:rPr>
          <w:rFonts w:ascii="Arial" w:hAnsi="Arial" w:cs="Arial"/>
        </w:rPr>
      </w:pPr>
      <w:r w:rsidRPr="00BE36D3">
        <w:rPr>
          <w:rFonts w:ascii="Arial" w:hAnsi="Arial" w:cs="Arial"/>
        </w:rPr>
        <w:t xml:space="preserve">Lo anterior es una situación que evidencia </w:t>
      </w:r>
      <w:r w:rsidR="00414927">
        <w:rPr>
          <w:rFonts w:ascii="Arial" w:hAnsi="Arial" w:cs="Arial"/>
        </w:rPr>
        <w:t xml:space="preserve">una inhabilidad sobreviniente </w:t>
      </w:r>
      <w:r w:rsidR="00BB5475">
        <w:rPr>
          <w:rFonts w:ascii="Arial" w:hAnsi="Arial" w:cs="Arial"/>
        </w:rPr>
        <w:t>en el proceso contractual</w:t>
      </w:r>
      <w:r w:rsidR="00414927">
        <w:rPr>
          <w:rFonts w:ascii="Arial" w:hAnsi="Arial" w:cs="Arial"/>
        </w:rPr>
        <w:t xml:space="preserve"> por parte del contratista, en un documento contractual que fue aprobado por el municipio de Santiago de Tolú – Sucre. Esta situación se refuerza en el hecho de que la Fundación cambió al representante legal tiempo después, lo cual indica que tenía pleno conocimiento de la situación de inhabilidad en la que se encontraba cuando su representante legal fue nombrada funcionaria pública.</w:t>
      </w:r>
    </w:p>
    <w:p w:rsidR="000F591D" w:rsidRDefault="000F591D">
      <w:pPr>
        <w:spacing w:line="240" w:lineRule="auto"/>
        <w:contextualSpacing/>
        <w:jc w:val="both"/>
        <w:rPr>
          <w:rFonts w:ascii="Arial" w:hAnsi="Arial" w:cs="Arial"/>
        </w:rPr>
      </w:pPr>
    </w:p>
    <w:p w:rsidR="0095516B" w:rsidRPr="00BE36D3" w:rsidRDefault="0095516B">
      <w:pPr>
        <w:spacing w:line="240" w:lineRule="auto"/>
        <w:contextualSpacing/>
        <w:jc w:val="both"/>
        <w:rPr>
          <w:rFonts w:ascii="Arial" w:hAnsi="Arial" w:cs="Arial"/>
          <w:b/>
          <w:bCs/>
        </w:rPr>
      </w:pPr>
      <w:r w:rsidRPr="00BE36D3">
        <w:rPr>
          <w:rFonts w:ascii="Arial" w:hAnsi="Arial" w:cs="Arial"/>
          <w:b/>
          <w:bCs/>
        </w:rPr>
        <w:t>ANÁLISIS INSTITUCIONAL Y DE PLANEACIÓN</w:t>
      </w:r>
      <w:r w:rsidR="00C5770E">
        <w:rPr>
          <w:rFonts w:ascii="Arial" w:hAnsi="Arial" w:cs="Arial"/>
          <w:b/>
          <w:bCs/>
        </w:rPr>
        <w:t>.</w:t>
      </w:r>
    </w:p>
    <w:p w:rsidR="00C5770E" w:rsidRDefault="00C5770E">
      <w:pPr>
        <w:spacing w:line="240" w:lineRule="auto"/>
        <w:contextualSpacing/>
        <w:jc w:val="both"/>
        <w:rPr>
          <w:rFonts w:ascii="Arial" w:hAnsi="Arial" w:cs="Arial"/>
        </w:rPr>
      </w:pPr>
    </w:p>
    <w:p w:rsidR="0095516B" w:rsidRDefault="00000586">
      <w:pPr>
        <w:spacing w:line="240" w:lineRule="auto"/>
        <w:contextualSpacing/>
        <w:jc w:val="both"/>
        <w:rPr>
          <w:rFonts w:ascii="Arial" w:hAnsi="Arial" w:cs="Arial"/>
        </w:rPr>
      </w:pPr>
      <w:r w:rsidRPr="00BE36D3">
        <w:rPr>
          <w:rFonts w:ascii="Arial" w:hAnsi="Arial" w:cs="Arial"/>
        </w:rPr>
        <w:t xml:space="preserve">El Plan de Desarrollo Territorial del Municipio de Santiago de </w:t>
      </w:r>
      <w:r w:rsidR="000966E6">
        <w:rPr>
          <w:rFonts w:ascii="Arial" w:hAnsi="Arial" w:cs="Arial"/>
        </w:rPr>
        <w:t>Tolú - Sucre</w:t>
      </w:r>
      <w:r w:rsidRPr="00BE36D3">
        <w:rPr>
          <w:rFonts w:ascii="Arial" w:hAnsi="Arial" w:cs="Arial"/>
        </w:rPr>
        <w:t xml:space="preserve"> 2016-2019 </w:t>
      </w:r>
      <w:r w:rsidR="00D723CF" w:rsidRPr="00BE36D3">
        <w:rPr>
          <w:rFonts w:ascii="Arial" w:hAnsi="Arial" w:cs="Arial"/>
        </w:rPr>
        <w:t>denominado “</w:t>
      </w:r>
      <w:r w:rsidR="00D723CF" w:rsidRPr="00BE36D3">
        <w:rPr>
          <w:rFonts w:ascii="Arial" w:hAnsi="Arial" w:cs="Arial"/>
          <w:i/>
          <w:iCs/>
        </w:rPr>
        <w:t>El Plan de todos por el Cambio</w:t>
      </w:r>
      <w:r w:rsidR="00D723CF" w:rsidRPr="00BE36D3">
        <w:rPr>
          <w:rFonts w:ascii="Arial" w:hAnsi="Arial" w:cs="Arial"/>
        </w:rPr>
        <w:t xml:space="preserve">”, se </w:t>
      </w:r>
      <w:r w:rsidR="00653623" w:rsidRPr="00BE36D3">
        <w:rPr>
          <w:rFonts w:ascii="Arial" w:hAnsi="Arial" w:cs="Arial"/>
        </w:rPr>
        <w:t>compone de 4 ejes estratégicos</w:t>
      </w:r>
      <w:r w:rsidR="004F6BB1" w:rsidRPr="00BE36D3">
        <w:rPr>
          <w:rFonts w:ascii="Arial" w:hAnsi="Arial" w:cs="Arial"/>
        </w:rPr>
        <w:t>:</w:t>
      </w:r>
    </w:p>
    <w:p w:rsidR="00C5770E" w:rsidRPr="00BE36D3" w:rsidRDefault="00C5770E">
      <w:pPr>
        <w:spacing w:line="240" w:lineRule="auto"/>
        <w:contextualSpacing/>
        <w:jc w:val="both"/>
        <w:rPr>
          <w:rFonts w:ascii="Arial" w:hAnsi="Arial" w:cs="Arial"/>
        </w:rPr>
      </w:pPr>
    </w:p>
    <w:p w:rsidR="004F6BB1" w:rsidRPr="00BE36D3" w:rsidRDefault="004F6BB1">
      <w:pPr>
        <w:pStyle w:val="Prrafodelista"/>
        <w:numPr>
          <w:ilvl w:val="0"/>
          <w:numId w:val="11"/>
        </w:numPr>
        <w:spacing w:line="240" w:lineRule="auto"/>
        <w:jc w:val="both"/>
        <w:rPr>
          <w:rFonts w:ascii="Arial" w:hAnsi="Arial" w:cs="Arial"/>
        </w:rPr>
      </w:pPr>
      <w:r w:rsidRPr="00BE36D3">
        <w:rPr>
          <w:rFonts w:ascii="Arial" w:hAnsi="Arial" w:cs="Arial"/>
        </w:rPr>
        <w:t>Eje 1: Cambio con equidad y derechos</w:t>
      </w:r>
      <w:r w:rsidR="008953F1">
        <w:rPr>
          <w:rFonts w:ascii="Arial" w:hAnsi="Arial" w:cs="Arial"/>
        </w:rPr>
        <w:t>.</w:t>
      </w:r>
    </w:p>
    <w:p w:rsidR="004F6BB1" w:rsidRPr="00BE36D3" w:rsidRDefault="004F6BB1">
      <w:pPr>
        <w:pStyle w:val="Prrafodelista"/>
        <w:numPr>
          <w:ilvl w:val="0"/>
          <w:numId w:val="11"/>
        </w:numPr>
        <w:spacing w:line="240" w:lineRule="auto"/>
        <w:jc w:val="both"/>
        <w:rPr>
          <w:rFonts w:ascii="Arial" w:hAnsi="Arial" w:cs="Arial"/>
        </w:rPr>
      </w:pPr>
      <w:r w:rsidRPr="00BE36D3">
        <w:rPr>
          <w:rFonts w:ascii="Arial" w:hAnsi="Arial" w:cs="Arial"/>
        </w:rPr>
        <w:t xml:space="preserve">Eje 2: Construyendo </w:t>
      </w:r>
      <w:r w:rsidR="00AD50AB" w:rsidRPr="00BE36D3">
        <w:rPr>
          <w:rFonts w:ascii="Arial" w:hAnsi="Arial" w:cs="Arial"/>
        </w:rPr>
        <w:t>el cambio sostenible y competitivo</w:t>
      </w:r>
      <w:r w:rsidR="008953F1">
        <w:rPr>
          <w:rFonts w:ascii="Arial" w:hAnsi="Arial" w:cs="Arial"/>
        </w:rPr>
        <w:t>.</w:t>
      </w:r>
    </w:p>
    <w:p w:rsidR="00AD50AB" w:rsidRPr="00BE36D3" w:rsidRDefault="00AD50AB">
      <w:pPr>
        <w:pStyle w:val="Prrafodelista"/>
        <w:numPr>
          <w:ilvl w:val="0"/>
          <w:numId w:val="11"/>
        </w:numPr>
        <w:spacing w:line="240" w:lineRule="auto"/>
        <w:jc w:val="both"/>
        <w:rPr>
          <w:rFonts w:ascii="Arial" w:hAnsi="Arial" w:cs="Arial"/>
        </w:rPr>
      </w:pPr>
      <w:r w:rsidRPr="00BE36D3">
        <w:rPr>
          <w:rFonts w:ascii="Arial" w:hAnsi="Arial" w:cs="Arial"/>
        </w:rPr>
        <w:t>Eje 3: Tolú cambia con gobernabilidad, seguridad y paz</w:t>
      </w:r>
      <w:r w:rsidR="008953F1">
        <w:rPr>
          <w:rFonts w:ascii="Arial" w:hAnsi="Arial" w:cs="Arial"/>
        </w:rPr>
        <w:t>.</w:t>
      </w:r>
    </w:p>
    <w:p w:rsidR="00AD50AB" w:rsidRPr="00BE36D3" w:rsidRDefault="00997BF1">
      <w:pPr>
        <w:pStyle w:val="Prrafodelista"/>
        <w:numPr>
          <w:ilvl w:val="0"/>
          <w:numId w:val="11"/>
        </w:numPr>
        <w:spacing w:line="240" w:lineRule="auto"/>
        <w:jc w:val="both"/>
        <w:rPr>
          <w:rFonts w:ascii="Arial" w:hAnsi="Arial" w:cs="Arial"/>
        </w:rPr>
      </w:pPr>
      <w:r w:rsidRPr="00BE36D3">
        <w:rPr>
          <w:rFonts w:ascii="Arial" w:hAnsi="Arial" w:cs="Arial"/>
        </w:rPr>
        <w:t>Eje 4: Tolú avanza hacía</w:t>
      </w:r>
      <w:r w:rsidR="002B2752" w:rsidRPr="00BE36D3">
        <w:rPr>
          <w:rFonts w:ascii="Arial" w:hAnsi="Arial" w:cs="Arial"/>
        </w:rPr>
        <w:t xml:space="preserve"> la prosperidad económica con equidad</w:t>
      </w:r>
      <w:r w:rsidR="008953F1">
        <w:rPr>
          <w:rFonts w:ascii="Arial" w:hAnsi="Arial" w:cs="Arial"/>
        </w:rPr>
        <w:t>.</w:t>
      </w:r>
    </w:p>
    <w:p w:rsidR="00C5770E" w:rsidRDefault="00C5770E">
      <w:pPr>
        <w:spacing w:line="240" w:lineRule="auto"/>
        <w:contextualSpacing/>
        <w:jc w:val="both"/>
        <w:rPr>
          <w:rFonts w:ascii="Arial" w:hAnsi="Arial" w:cs="Arial"/>
        </w:rPr>
      </w:pPr>
    </w:p>
    <w:p w:rsidR="006B21EF" w:rsidRDefault="00F70B8E">
      <w:pPr>
        <w:spacing w:line="240" w:lineRule="auto"/>
        <w:contextualSpacing/>
        <w:jc w:val="both"/>
        <w:rPr>
          <w:rFonts w:ascii="Arial" w:hAnsi="Arial" w:cs="Arial"/>
        </w:rPr>
      </w:pPr>
      <w:r w:rsidRPr="00BE36D3">
        <w:rPr>
          <w:rFonts w:ascii="Arial" w:hAnsi="Arial" w:cs="Arial"/>
        </w:rPr>
        <w:lastRenderedPageBreak/>
        <w:t xml:space="preserve">En el </w:t>
      </w:r>
      <w:r w:rsidR="00462BAD" w:rsidRPr="00BE36D3">
        <w:rPr>
          <w:rFonts w:ascii="Arial" w:hAnsi="Arial" w:cs="Arial"/>
        </w:rPr>
        <w:t>E</w:t>
      </w:r>
      <w:r w:rsidRPr="00BE36D3">
        <w:rPr>
          <w:rFonts w:ascii="Arial" w:hAnsi="Arial" w:cs="Arial"/>
        </w:rPr>
        <w:t xml:space="preserve">je </w:t>
      </w:r>
      <w:r w:rsidR="00462BAD" w:rsidRPr="00BE36D3">
        <w:rPr>
          <w:rFonts w:ascii="Arial" w:hAnsi="Arial" w:cs="Arial"/>
        </w:rPr>
        <w:t>n</w:t>
      </w:r>
      <w:r w:rsidRPr="00BE36D3">
        <w:rPr>
          <w:rFonts w:ascii="Arial" w:hAnsi="Arial" w:cs="Arial"/>
        </w:rPr>
        <w:t>úmero 1: Cambio con equidad y derechos se enmarcan la mayoría de los programas con enfoque social y de atención a población en condiciones de vulnerabilidad. Allí, se encuentran los programas relacionados con los sectores de Educación, Salud, Deporte y Recreación</w:t>
      </w:r>
      <w:r w:rsidR="00546F2F" w:rsidRPr="00BE36D3">
        <w:rPr>
          <w:rFonts w:ascii="Arial" w:hAnsi="Arial" w:cs="Arial"/>
        </w:rPr>
        <w:t xml:space="preserve"> y </w:t>
      </w:r>
      <w:r w:rsidR="007F7C94" w:rsidRPr="00BE36D3">
        <w:rPr>
          <w:rFonts w:ascii="Arial" w:hAnsi="Arial" w:cs="Arial"/>
        </w:rPr>
        <w:t>Cultur</w:t>
      </w:r>
      <w:r w:rsidR="00546F2F" w:rsidRPr="00BE36D3">
        <w:rPr>
          <w:rFonts w:ascii="Arial" w:hAnsi="Arial" w:cs="Arial"/>
        </w:rPr>
        <w:t xml:space="preserve">a. </w:t>
      </w:r>
      <w:r w:rsidR="00462BAD" w:rsidRPr="00BE36D3">
        <w:rPr>
          <w:rFonts w:ascii="Arial" w:hAnsi="Arial" w:cs="Arial"/>
        </w:rPr>
        <w:t xml:space="preserve">El Eje número 2: Construyendo el cambio sostenible y competitivo, recoge las inversiones dirigidas a la conservación, protección y </w:t>
      </w:r>
      <w:r w:rsidR="007F4AF3" w:rsidRPr="00BE36D3">
        <w:rPr>
          <w:rFonts w:ascii="Arial" w:hAnsi="Arial" w:cs="Arial"/>
        </w:rPr>
        <w:t>desarrollo medioambiental, el transporte, las soluciones de vivienda</w:t>
      </w:r>
      <w:r w:rsidR="008232A6" w:rsidRPr="00BE36D3">
        <w:rPr>
          <w:rFonts w:ascii="Arial" w:hAnsi="Arial" w:cs="Arial"/>
        </w:rPr>
        <w:t xml:space="preserve">, servicios públicos </w:t>
      </w:r>
      <w:r w:rsidR="007F4AF3" w:rsidRPr="00BE36D3">
        <w:rPr>
          <w:rFonts w:ascii="Arial" w:hAnsi="Arial" w:cs="Arial"/>
        </w:rPr>
        <w:t xml:space="preserve">y el ordenamiento territorial. </w:t>
      </w:r>
      <w:r w:rsidR="00657FAB" w:rsidRPr="00BE36D3">
        <w:rPr>
          <w:rFonts w:ascii="Arial" w:hAnsi="Arial" w:cs="Arial"/>
        </w:rPr>
        <w:t>En cuanto al Eje número 3: Tolú cambia con gobernabilidad, seguridad y paz</w:t>
      </w:r>
      <w:r w:rsidR="00AF6EA0" w:rsidRPr="00BE36D3">
        <w:rPr>
          <w:rFonts w:ascii="Arial" w:hAnsi="Arial" w:cs="Arial"/>
        </w:rPr>
        <w:t xml:space="preserve">, </w:t>
      </w:r>
      <w:r w:rsidR="00384C15" w:rsidRPr="00BE36D3">
        <w:rPr>
          <w:rFonts w:ascii="Arial" w:hAnsi="Arial" w:cs="Arial"/>
        </w:rPr>
        <w:t>se agrupan los programas tendientes al fortalecimiento institucional de la administración local, la participación ciudadana y la seguridad y convivencia del Municipio. Por último, en el Eje 4: Tolú avanza hacía la prosperidad económica con equidad</w:t>
      </w:r>
      <w:r w:rsidR="006B21EF" w:rsidRPr="00BE36D3">
        <w:rPr>
          <w:rFonts w:ascii="Arial" w:hAnsi="Arial" w:cs="Arial"/>
        </w:rPr>
        <w:t>, se plasman los programas que se encaminan a la productividad, el desarrollo económico y el turismo.</w:t>
      </w:r>
    </w:p>
    <w:p w:rsidR="00C5770E" w:rsidRPr="00BE36D3" w:rsidRDefault="00C5770E">
      <w:pPr>
        <w:spacing w:line="240" w:lineRule="auto"/>
        <w:contextualSpacing/>
        <w:jc w:val="both"/>
        <w:rPr>
          <w:rFonts w:ascii="Arial" w:hAnsi="Arial" w:cs="Arial"/>
        </w:rPr>
      </w:pPr>
    </w:p>
    <w:p w:rsidR="00D32FFC" w:rsidRDefault="006B21EF">
      <w:pPr>
        <w:spacing w:line="240" w:lineRule="auto"/>
        <w:contextualSpacing/>
        <w:jc w:val="both"/>
        <w:rPr>
          <w:rFonts w:ascii="Arial" w:hAnsi="Arial" w:cs="Arial"/>
        </w:rPr>
      </w:pPr>
      <w:r w:rsidRPr="00BE36D3">
        <w:rPr>
          <w:rFonts w:ascii="Arial" w:hAnsi="Arial" w:cs="Arial"/>
        </w:rPr>
        <w:t xml:space="preserve">Al analizar el Plan </w:t>
      </w:r>
      <w:r w:rsidR="00D60EF1" w:rsidRPr="00BE36D3">
        <w:rPr>
          <w:rFonts w:ascii="Arial" w:hAnsi="Arial" w:cs="Arial"/>
        </w:rPr>
        <w:t xml:space="preserve">Plurianual </w:t>
      </w:r>
      <w:r w:rsidRPr="00BE36D3">
        <w:rPr>
          <w:rFonts w:ascii="Arial" w:hAnsi="Arial" w:cs="Arial"/>
        </w:rPr>
        <w:t xml:space="preserve">de Inversiones del </w:t>
      </w:r>
      <w:r w:rsidR="005750BA" w:rsidRPr="00BE36D3">
        <w:rPr>
          <w:rFonts w:ascii="Arial" w:hAnsi="Arial" w:cs="Arial"/>
        </w:rPr>
        <w:t>Plan de Desarrollo Territorial</w:t>
      </w:r>
      <w:r w:rsidR="00D60EF1" w:rsidRPr="00BE36D3">
        <w:rPr>
          <w:rFonts w:ascii="Arial" w:hAnsi="Arial" w:cs="Arial"/>
        </w:rPr>
        <w:t xml:space="preserve">, </w:t>
      </w:r>
      <w:r w:rsidR="005750BA" w:rsidRPr="00BE36D3">
        <w:rPr>
          <w:rFonts w:ascii="Arial" w:hAnsi="Arial" w:cs="Arial"/>
        </w:rPr>
        <w:t>se</w:t>
      </w:r>
      <w:r w:rsidR="00D60EF1" w:rsidRPr="00BE36D3">
        <w:rPr>
          <w:rFonts w:ascii="Arial" w:hAnsi="Arial" w:cs="Arial"/>
        </w:rPr>
        <w:t xml:space="preserve"> evidencia que se</w:t>
      </w:r>
      <w:r w:rsidR="005750BA" w:rsidRPr="00BE36D3">
        <w:rPr>
          <w:rFonts w:ascii="Arial" w:hAnsi="Arial" w:cs="Arial"/>
        </w:rPr>
        <w:t xml:space="preserve"> programaron </w:t>
      </w:r>
      <w:r w:rsidR="00D60EF1" w:rsidRPr="00BE36D3">
        <w:rPr>
          <w:rFonts w:ascii="Arial" w:hAnsi="Arial" w:cs="Arial"/>
        </w:rPr>
        <w:t>en total $</w:t>
      </w:r>
      <w:r w:rsidR="00266936" w:rsidRPr="00BE36D3">
        <w:rPr>
          <w:rFonts w:ascii="Arial" w:hAnsi="Arial" w:cs="Arial"/>
        </w:rPr>
        <w:t xml:space="preserve">6.966.627.174 </w:t>
      </w:r>
      <w:r w:rsidR="00D60EF1" w:rsidRPr="00BE36D3">
        <w:rPr>
          <w:rFonts w:ascii="Arial" w:hAnsi="Arial" w:cs="Arial"/>
        </w:rPr>
        <w:t>con cargo a los recursos SGP</w:t>
      </w:r>
      <w:r w:rsidR="008953F1">
        <w:rPr>
          <w:rFonts w:ascii="Arial" w:hAnsi="Arial" w:cs="Arial"/>
        </w:rPr>
        <w:t xml:space="preserve"> </w:t>
      </w:r>
      <w:r w:rsidR="00D60EF1" w:rsidRPr="00BE36D3">
        <w:rPr>
          <w:rFonts w:ascii="Arial" w:hAnsi="Arial" w:cs="Arial"/>
        </w:rPr>
        <w:t>-</w:t>
      </w:r>
      <w:r w:rsidR="008953F1">
        <w:rPr>
          <w:rFonts w:ascii="Arial" w:hAnsi="Arial" w:cs="Arial"/>
        </w:rPr>
        <w:t xml:space="preserve"> </w:t>
      </w:r>
      <w:r w:rsidR="00D60EF1" w:rsidRPr="00BE36D3">
        <w:rPr>
          <w:rFonts w:ascii="Arial" w:hAnsi="Arial" w:cs="Arial"/>
        </w:rPr>
        <w:t>Propósito General para financiar los programas contenidos en el apartado estratégico de</w:t>
      </w:r>
      <w:r w:rsidR="005E4B5C" w:rsidRPr="00BE36D3">
        <w:rPr>
          <w:rFonts w:ascii="Arial" w:hAnsi="Arial" w:cs="Arial"/>
        </w:rPr>
        <w:t>l P</w:t>
      </w:r>
      <w:r w:rsidR="00B85F90" w:rsidRPr="00BE36D3">
        <w:rPr>
          <w:rFonts w:ascii="Arial" w:hAnsi="Arial" w:cs="Arial"/>
        </w:rPr>
        <w:t>lan</w:t>
      </w:r>
      <w:r w:rsidR="0091248C" w:rsidRPr="00BE36D3">
        <w:rPr>
          <w:rFonts w:ascii="Arial" w:hAnsi="Arial" w:cs="Arial"/>
        </w:rPr>
        <w:t xml:space="preserve"> durante las 4 vigencias</w:t>
      </w:r>
      <w:r w:rsidR="00B85F90" w:rsidRPr="00BE36D3">
        <w:rPr>
          <w:rFonts w:ascii="Arial" w:hAnsi="Arial" w:cs="Arial"/>
        </w:rPr>
        <w:t>.</w:t>
      </w:r>
      <w:r w:rsidR="002C01F6" w:rsidRPr="00BE36D3">
        <w:rPr>
          <w:rFonts w:ascii="Arial" w:hAnsi="Arial" w:cs="Arial"/>
        </w:rPr>
        <w:t xml:space="preserve"> Al comparar este valor con la </w:t>
      </w:r>
      <w:r w:rsidR="00887D6E" w:rsidRPr="00BE36D3">
        <w:rPr>
          <w:rFonts w:ascii="Arial" w:hAnsi="Arial" w:cs="Arial"/>
        </w:rPr>
        <w:t>ejecución de gastos, en las 3 vigencias analizadas (2017, 2018 y 2019), el Municipio asumió compromisos por valor de $8.030.200.082</w:t>
      </w:r>
      <w:r w:rsidR="00116AD0" w:rsidRPr="00BE36D3">
        <w:rPr>
          <w:rFonts w:ascii="Arial" w:hAnsi="Arial" w:cs="Arial"/>
        </w:rPr>
        <w:t>, es decir</w:t>
      </w:r>
      <w:r w:rsidR="00630781" w:rsidRPr="00BE36D3">
        <w:rPr>
          <w:rFonts w:ascii="Arial" w:hAnsi="Arial" w:cs="Arial"/>
        </w:rPr>
        <w:t>, la ejecución de 3 vigencias superó en un 15</w:t>
      </w:r>
      <w:r w:rsidR="008953F1">
        <w:rPr>
          <w:rFonts w:ascii="Arial" w:hAnsi="Arial" w:cs="Arial"/>
        </w:rPr>
        <w:t xml:space="preserve"> </w:t>
      </w:r>
      <w:r w:rsidR="00630781" w:rsidRPr="00BE36D3">
        <w:rPr>
          <w:rFonts w:ascii="Arial" w:hAnsi="Arial" w:cs="Arial"/>
        </w:rPr>
        <w:t xml:space="preserve">% aproximadamente al monto de recursos </w:t>
      </w:r>
      <w:r w:rsidR="00DC068C" w:rsidRPr="00BE36D3">
        <w:rPr>
          <w:rFonts w:ascii="Arial" w:hAnsi="Arial" w:cs="Arial"/>
        </w:rPr>
        <w:t>SGP</w:t>
      </w:r>
      <w:r w:rsidR="008953F1">
        <w:rPr>
          <w:rFonts w:ascii="Arial" w:hAnsi="Arial" w:cs="Arial"/>
        </w:rPr>
        <w:t xml:space="preserve"> </w:t>
      </w:r>
      <w:r w:rsidR="00DC068C" w:rsidRPr="00BE36D3">
        <w:rPr>
          <w:rFonts w:ascii="Arial" w:hAnsi="Arial" w:cs="Arial"/>
        </w:rPr>
        <w:t>-</w:t>
      </w:r>
      <w:r w:rsidR="008953F1">
        <w:rPr>
          <w:rFonts w:ascii="Arial" w:hAnsi="Arial" w:cs="Arial"/>
        </w:rPr>
        <w:t xml:space="preserve"> </w:t>
      </w:r>
      <w:r w:rsidR="00DC068C" w:rsidRPr="00BE36D3">
        <w:rPr>
          <w:rFonts w:ascii="Arial" w:hAnsi="Arial" w:cs="Arial"/>
        </w:rPr>
        <w:t xml:space="preserve">Propósito General </w:t>
      </w:r>
      <w:r w:rsidR="00630781" w:rsidRPr="00BE36D3">
        <w:rPr>
          <w:rFonts w:ascii="Arial" w:hAnsi="Arial" w:cs="Arial"/>
        </w:rPr>
        <w:t xml:space="preserve">programados para los 4 años del Plan de Desarrollo Territorial. </w:t>
      </w:r>
      <w:r w:rsidR="00305343" w:rsidRPr="00BE36D3">
        <w:rPr>
          <w:rFonts w:ascii="Arial" w:hAnsi="Arial" w:cs="Arial"/>
        </w:rPr>
        <w:t>La desagregación presupuestal de acuerdo con los</w:t>
      </w:r>
      <w:r w:rsidR="001B1883" w:rsidRPr="00BE36D3">
        <w:rPr>
          <w:rFonts w:ascii="Arial" w:hAnsi="Arial" w:cs="Arial"/>
        </w:rPr>
        <w:t xml:space="preserve"> Ejes y Programas de Inversión fue la siguiente:</w:t>
      </w:r>
    </w:p>
    <w:p w:rsidR="00C5770E" w:rsidRPr="00BE36D3" w:rsidRDefault="00C5770E">
      <w:pPr>
        <w:spacing w:line="240" w:lineRule="auto"/>
        <w:contextualSpacing/>
        <w:jc w:val="both"/>
        <w:rPr>
          <w:rFonts w:ascii="Arial" w:hAnsi="Arial" w:cs="Arial"/>
        </w:rPr>
      </w:pPr>
    </w:p>
    <w:p w:rsidR="00D61C55" w:rsidRPr="00BE36D3" w:rsidRDefault="00D61C55">
      <w:pPr>
        <w:spacing w:after="0" w:line="240" w:lineRule="auto"/>
        <w:contextualSpacing/>
        <w:jc w:val="center"/>
        <w:rPr>
          <w:rFonts w:ascii="Arial" w:eastAsia="Arial Narrow" w:hAnsi="Arial" w:cs="Arial"/>
          <w:b/>
          <w:bCs/>
          <w:sz w:val="20"/>
          <w:szCs w:val="20"/>
        </w:rPr>
      </w:pPr>
      <w:r w:rsidRPr="00BE36D3">
        <w:rPr>
          <w:rFonts w:ascii="Arial" w:eastAsia="Arial Narrow" w:hAnsi="Arial" w:cs="Arial"/>
          <w:b/>
          <w:bCs/>
          <w:sz w:val="20"/>
          <w:szCs w:val="20"/>
        </w:rPr>
        <w:t>Gráfico No. 5.</w:t>
      </w:r>
    </w:p>
    <w:p w:rsidR="00D61C55" w:rsidRPr="00BE36D3" w:rsidRDefault="00D61C55">
      <w:pPr>
        <w:spacing w:after="0" w:line="240" w:lineRule="auto"/>
        <w:contextualSpacing/>
        <w:jc w:val="center"/>
        <w:rPr>
          <w:rFonts w:ascii="Arial" w:eastAsia="Arial Narrow" w:hAnsi="Arial" w:cs="Arial"/>
          <w:sz w:val="20"/>
          <w:szCs w:val="20"/>
        </w:rPr>
      </w:pPr>
      <w:r w:rsidRPr="00BE36D3">
        <w:rPr>
          <w:rFonts w:ascii="Arial" w:eastAsia="Arial Narrow" w:hAnsi="Arial" w:cs="Arial"/>
          <w:sz w:val="20"/>
          <w:szCs w:val="20"/>
        </w:rPr>
        <w:t>Programación de la inversión Plan Plurianual de Inversiones 2016-2019</w:t>
      </w:r>
    </w:p>
    <w:p w:rsidR="004407E6" w:rsidRPr="00BE36D3" w:rsidRDefault="00D61C55">
      <w:pPr>
        <w:spacing w:after="0" w:line="240" w:lineRule="auto"/>
        <w:contextualSpacing/>
        <w:jc w:val="center"/>
        <w:rPr>
          <w:rFonts w:ascii="Arial" w:hAnsi="Arial" w:cs="Arial"/>
          <w:sz w:val="24"/>
          <w:szCs w:val="24"/>
        </w:rPr>
      </w:pPr>
      <w:r w:rsidRPr="00BE36D3">
        <w:rPr>
          <w:rFonts w:ascii="Arial" w:eastAsia="Arial Narrow" w:hAnsi="Arial" w:cs="Arial"/>
          <w:sz w:val="20"/>
          <w:szCs w:val="20"/>
        </w:rPr>
        <w:t xml:space="preserve">Municipio de Santiago de </w:t>
      </w:r>
      <w:r w:rsidR="000966E6">
        <w:rPr>
          <w:rFonts w:ascii="Arial" w:eastAsia="Arial Narrow" w:hAnsi="Arial" w:cs="Arial"/>
          <w:sz w:val="20"/>
          <w:szCs w:val="20"/>
        </w:rPr>
        <w:t>Tolú - Sucre</w:t>
      </w:r>
    </w:p>
    <w:p w:rsidR="7AD52DC8" w:rsidRPr="00BE36D3" w:rsidRDefault="001C1E40">
      <w:pPr>
        <w:spacing w:line="240" w:lineRule="auto"/>
        <w:contextualSpacing/>
        <w:jc w:val="center"/>
        <w:rPr>
          <w:rFonts w:ascii="Arial" w:hAnsi="Arial" w:cs="Arial"/>
          <w:sz w:val="24"/>
          <w:szCs w:val="24"/>
        </w:rPr>
      </w:pPr>
      <w:r w:rsidRPr="00BE36D3">
        <w:rPr>
          <w:rFonts w:ascii="Arial" w:hAnsi="Arial" w:cs="Arial"/>
          <w:noProof/>
          <w:lang w:eastAsia="es-CO"/>
        </w:rPr>
        <w:drawing>
          <wp:inline distT="0" distB="0" distL="0" distR="0">
            <wp:extent cx="3482035" cy="2825907"/>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34">
                      <a:extLst>
                        <a:ext uri="{28A0092B-C50C-407E-A947-70E740481C1C}">
                          <a14:useLocalDpi xmlns:a14="http://schemas.microsoft.com/office/drawing/2010/main" val="0"/>
                        </a:ext>
                      </a:extLst>
                    </a:blip>
                    <a:stretch>
                      <a:fillRect/>
                    </a:stretch>
                  </pic:blipFill>
                  <pic:spPr>
                    <a:xfrm>
                      <a:off x="0" y="0"/>
                      <a:ext cx="3509853" cy="2848483"/>
                    </a:xfrm>
                    <a:prstGeom prst="rect">
                      <a:avLst/>
                    </a:prstGeom>
                  </pic:spPr>
                </pic:pic>
              </a:graphicData>
            </a:graphic>
          </wp:inline>
        </w:drawing>
      </w:r>
    </w:p>
    <w:p w:rsidR="00D61C55" w:rsidRDefault="004407E6">
      <w:pPr>
        <w:spacing w:line="240" w:lineRule="auto"/>
        <w:contextualSpacing/>
        <w:jc w:val="center"/>
        <w:rPr>
          <w:rFonts w:ascii="Arial" w:hAnsi="Arial" w:cs="Arial"/>
          <w:sz w:val="20"/>
          <w:szCs w:val="20"/>
        </w:rPr>
      </w:pPr>
      <w:r w:rsidRPr="00BE36D3">
        <w:rPr>
          <w:rFonts w:ascii="Arial" w:hAnsi="Arial" w:cs="Arial"/>
          <w:b/>
          <w:bCs/>
          <w:sz w:val="20"/>
          <w:szCs w:val="20"/>
        </w:rPr>
        <w:t xml:space="preserve">Fuente: </w:t>
      </w:r>
      <w:r w:rsidRPr="00BE36D3">
        <w:rPr>
          <w:rFonts w:ascii="Arial" w:hAnsi="Arial" w:cs="Arial"/>
          <w:sz w:val="20"/>
          <w:szCs w:val="20"/>
        </w:rPr>
        <w:t>Elaboración propia con información del Plan Plurianual de Inversiones del Plan de Desarrollo “</w:t>
      </w:r>
      <w:r w:rsidRPr="00BE36D3">
        <w:rPr>
          <w:rFonts w:ascii="Arial" w:hAnsi="Arial" w:cs="Arial"/>
          <w:i/>
          <w:iCs/>
          <w:sz w:val="20"/>
          <w:szCs w:val="20"/>
        </w:rPr>
        <w:t>El Plan de todos por el Cambio 2016-2019</w:t>
      </w:r>
      <w:r w:rsidRPr="00BE36D3">
        <w:rPr>
          <w:rFonts w:ascii="Arial" w:hAnsi="Arial" w:cs="Arial"/>
          <w:sz w:val="20"/>
          <w:szCs w:val="20"/>
        </w:rPr>
        <w:t>”</w:t>
      </w:r>
      <w:r w:rsidR="008953F1">
        <w:rPr>
          <w:rFonts w:ascii="Arial" w:hAnsi="Arial" w:cs="Arial"/>
          <w:sz w:val="20"/>
          <w:szCs w:val="20"/>
        </w:rPr>
        <w:t>.</w:t>
      </w:r>
    </w:p>
    <w:p w:rsidR="008953F1" w:rsidRDefault="008953F1" w:rsidP="00F4471B">
      <w:pPr>
        <w:spacing w:line="240" w:lineRule="auto"/>
        <w:contextualSpacing/>
        <w:rPr>
          <w:rFonts w:ascii="Arial" w:hAnsi="Arial" w:cs="Arial"/>
        </w:rPr>
      </w:pPr>
      <w:r>
        <w:rPr>
          <w:rFonts w:ascii="Arial" w:hAnsi="Arial" w:cs="Arial"/>
        </w:rPr>
        <w:br w:type="page"/>
      </w:r>
    </w:p>
    <w:p w:rsidR="00C5770E" w:rsidRPr="00BE36D3" w:rsidRDefault="00C5770E">
      <w:pPr>
        <w:spacing w:line="240" w:lineRule="auto"/>
        <w:contextualSpacing/>
        <w:rPr>
          <w:rFonts w:ascii="Arial" w:hAnsi="Arial" w:cs="Arial"/>
        </w:rPr>
      </w:pPr>
    </w:p>
    <w:p w:rsidR="00D61C55" w:rsidRPr="00BE36D3" w:rsidRDefault="00D61C55">
      <w:pPr>
        <w:spacing w:after="0" w:line="240" w:lineRule="auto"/>
        <w:contextualSpacing/>
        <w:jc w:val="center"/>
        <w:rPr>
          <w:rFonts w:ascii="Arial" w:eastAsia="Arial Narrow" w:hAnsi="Arial" w:cs="Arial"/>
          <w:b/>
          <w:bCs/>
          <w:sz w:val="20"/>
          <w:szCs w:val="20"/>
        </w:rPr>
      </w:pPr>
      <w:r w:rsidRPr="00BE36D3">
        <w:rPr>
          <w:rFonts w:ascii="Arial" w:eastAsia="Arial Narrow" w:hAnsi="Arial" w:cs="Arial"/>
          <w:b/>
          <w:bCs/>
          <w:sz w:val="20"/>
          <w:szCs w:val="20"/>
        </w:rPr>
        <w:t xml:space="preserve">Gráfico No. 6. </w:t>
      </w:r>
    </w:p>
    <w:p w:rsidR="00D61C55" w:rsidRPr="00BE36D3" w:rsidRDefault="00D61C55">
      <w:pPr>
        <w:spacing w:after="0" w:line="240" w:lineRule="auto"/>
        <w:contextualSpacing/>
        <w:jc w:val="center"/>
        <w:rPr>
          <w:rFonts w:ascii="Arial" w:eastAsia="Arial Narrow" w:hAnsi="Arial" w:cs="Arial"/>
          <w:sz w:val="20"/>
          <w:szCs w:val="20"/>
        </w:rPr>
      </w:pPr>
      <w:r w:rsidRPr="00BE36D3">
        <w:rPr>
          <w:rFonts w:ascii="Arial" w:eastAsia="Arial Narrow" w:hAnsi="Arial" w:cs="Arial"/>
          <w:sz w:val="20"/>
          <w:szCs w:val="20"/>
        </w:rPr>
        <w:t>Pr</w:t>
      </w:r>
      <w:r w:rsidR="00F34BF1" w:rsidRPr="00BE36D3">
        <w:rPr>
          <w:rFonts w:ascii="Arial" w:eastAsia="Arial Narrow" w:hAnsi="Arial" w:cs="Arial"/>
          <w:sz w:val="20"/>
          <w:szCs w:val="20"/>
        </w:rPr>
        <w:t>esupuesto</w:t>
      </w:r>
      <w:r w:rsidRPr="00BE36D3">
        <w:rPr>
          <w:rFonts w:ascii="Arial" w:eastAsia="Arial Narrow" w:hAnsi="Arial" w:cs="Arial"/>
          <w:sz w:val="20"/>
          <w:szCs w:val="20"/>
        </w:rPr>
        <w:t xml:space="preserve"> </w:t>
      </w:r>
      <w:r w:rsidR="00F34BF1" w:rsidRPr="00BE36D3">
        <w:rPr>
          <w:rFonts w:ascii="Arial" w:eastAsia="Arial Narrow" w:hAnsi="Arial" w:cs="Arial"/>
          <w:sz w:val="20"/>
          <w:szCs w:val="20"/>
        </w:rPr>
        <w:t>de</w:t>
      </w:r>
      <w:r w:rsidRPr="00BE36D3">
        <w:rPr>
          <w:rFonts w:ascii="Arial" w:eastAsia="Arial Narrow" w:hAnsi="Arial" w:cs="Arial"/>
          <w:sz w:val="20"/>
          <w:szCs w:val="20"/>
        </w:rPr>
        <w:t xml:space="preserve"> inversión por programas Plan Plurianual de Inversiones 2016-2019</w:t>
      </w:r>
    </w:p>
    <w:p w:rsidR="00D61C55" w:rsidRPr="00BE36D3" w:rsidRDefault="00D61C55">
      <w:pPr>
        <w:spacing w:after="0" w:line="240" w:lineRule="auto"/>
        <w:contextualSpacing/>
        <w:jc w:val="center"/>
        <w:rPr>
          <w:rFonts w:ascii="Arial" w:hAnsi="Arial" w:cs="Arial"/>
          <w:sz w:val="24"/>
          <w:szCs w:val="24"/>
        </w:rPr>
      </w:pPr>
      <w:r w:rsidRPr="00BE36D3">
        <w:rPr>
          <w:rFonts w:ascii="Arial" w:eastAsia="Arial Narrow" w:hAnsi="Arial" w:cs="Arial"/>
          <w:sz w:val="20"/>
          <w:szCs w:val="20"/>
        </w:rPr>
        <w:t xml:space="preserve">Municipio de Santiago de </w:t>
      </w:r>
      <w:r w:rsidR="000966E6">
        <w:rPr>
          <w:rFonts w:ascii="Arial" w:eastAsia="Arial Narrow" w:hAnsi="Arial" w:cs="Arial"/>
          <w:sz w:val="20"/>
          <w:szCs w:val="20"/>
        </w:rPr>
        <w:t>Tolú - Sucre</w:t>
      </w:r>
    </w:p>
    <w:p w:rsidR="0085487D" w:rsidRPr="00BE36D3" w:rsidRDefault="007D4AB8">
      <w:pPr>
        <w:spacing w:line="240" w:lineRule="auto"/>
        <w:contextualSpacing/>
        <w:jc w:val="center"/>
        <w:rPr>
          <w:rFonts w:ascii="Arial" w:hAnsi="Arial" w:cs="Arial"/>
          <w:sz w:val="20"/>
          <w:szCs w:val="20"/>
        </w:rPr>
      </w:pPr>
      <w:r w:rsidRPr="00BE36D3">
        <w:rPr>
          <w:rFonts w:ascii="Arial" w:hAnsi="Arial" w:cs="Arial"/>
          <w:noProof/>
          <w:sz w:val="20"/>
          <w:szCs w:val="20"/>
          <w:lang w:eastAsia="es-CO"/>
        </w:rPr>
        <w:drawing>
          <wp:anchor distT="0" distB="0" distL="114300" distR="114300" simplePos="0" relativeHeight="251659266" behindDoc="0" locked="0" layoutInCell="1" allowOverlap="1">
            <wp:simplePos x="0" y="0"/>
            <wp:positionH relativeFrom="column">
              <wp:posOffset>-470535</wp:posOffset>
            </wp:positionH>
            <wp:positionV relativeFrom="paragraph">
              <wp:posOffset>0</wp:posOffset>
            </wp:positionV>
            <wp:extent cx="6715125" cy="5086350"/>
            <wp:effectExtent l="0" t="0" r="9525" b="0"/>
            <wp:wrapThrough wrapText="bothSides">
              <wp:wrapPolygon edited="0">
                <wp:start x="0" y="0"/>
                <wp:lineTo x="0" y="21519"/>
                <wp:lineTo x="21569" y="21519"/>
                <wp:lineTo x="21569" y="0"/>
                <wp:lineTo x="0" y="0"/>
              </wp:wrapPolygon>
            </wp:wrapThrough>
            <wp:docPr id="7" name="Gráfico 7">
              <a:extLst xmlns:a="http://schemas.openxmlformats.org/drawingml/2006/main">
                <a:ext uri="{FF2B5EF4-FFF2-40B4-BE49-F238E27FC236}">
                  <a16:creationId xmlns:a16="http://schemas.microsoft.com/office/drawing/2014/main" id="{69F8CBF2-D9DB-4C04-978A-E705E7544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4407E6" w:rsidRPr="00BE36D3">
        <w:rPr>
          <w:rFonts w:ascii="Arial" w:hAnsi="Arial" w:cs="Arial"/>
          <w:b/>
          <w:bCs/>
          <w:sz w:val="20"/>
          <w:szCs w:val="20"/>
        </w:rPr>
        <w:t xml:space="preserve">Fuente: </w:t>
      </w:r>
      <w:r w:rsidR="004407E6" w:rsidRPr="00BE36D3">
        <w:rPr>
          <w:rFonts w:ascii="Arial" w:hAnsi="Arial" w:cs="Arial"/>
          <w:sz w:val="20"/>
          <w:szCs w:val="20"/>
        </w:rPr>
        <w:t>Elaboración propia con información del Plan Plurianual de Inversiones del Plan de Desarrollo “</w:t>
      </w:r>
      <w:r w:rsidR="004407E6" w:rsidRPr="00BE36D3">
        <w:rPr>
          <w:rFonts w:ascii="Arial" w:hAnsi="Arial" w:cs="Arial"/>
          <w:i/>
          <w:iCs/>
          <w:sz w:val="20"/>
          <w:szCs w:val="20"/>
        </w:rPr>
        <w:t>El Plan de todos por el Cambio 2016-2019</w:t>
      </w:r>
      <w:r w:rsidR="004407E6" w:rsidRPr="00BE36D3">
        <w:rPr>
          <w:rFonts w:ascii="Arial" w:hAnsi="Arial" w:cs="Arial"/>
          <w:sz w:val="20"/>
          <w:szCs w:val="20"/>
        </w:rPr>
        <w:t xml:space="preserve">” </w:t>
      </w:r>
    </w:p>
    <w:p w:rsidR="00C5770E" w:rsidRPr="00BE36D3" w:rsidRDefault="00C5770E">
      <w:pPr>
        <w:spacing w:line="240" w:lineRule="auto"/>
        <w:contextualSpacing/>
        <w:jc w:val="both"/>
        <w:rPr>
          <w:rFonts w:ascii="Arial" w:hAnsi="Arial" w:cs="Arial"/>
        </w:rPr>
      </w:pPr>
    </w:p>
    <w:p w:rsidR="0085487D" w:rsidRDefault="004C307C">
      <w:pPr>
        <w:spacing w:line="240" w:lineRule="auto"/>
        <w:contextualSpacing/>
        <w:jc w:val="both"/>
        <w:rPr>
          <w:rFonts w:ascii="Arial" w:hAnsi="Arial" w:cs="Arial"/>
        </w:rPr>
      </w:pPr>
      <w:r w:rsidRPr="00BE36D3">
        <w:rPr>
          <w:rFonts w:ascii="Arial" w:hAnsi="Arial" w:cs="Arial"/>
        </w:rPr>
        <w:t xml:space="preserve">Los </w:t>
      </w:r>
      <w:r w:rsidR="008953F1">
        <w:rPr>
          <w:rFonts w:ascii="Arial" w:hAnsi="Arial" w:cs="Arial"/>
        </w:rPr>
        <w:t>G</w:t>
      </w:r>
      <w:r w:rsidRPr="00BE36D3">
        <w:rPr>
          <w:rFonts w:ascii="Arial" w:hAnsi="Arial" w:cs="Arial"/>
        </w:rPr>
        <w:t>ráficos No.</w:t>
      </w:r>
      <w:r w:rsidR="007B269C">
        <w:rPr>
          <w:rFonts w:ascii="Arial" w:hAnsi="Arial" w:cs="Arial"/>
        </w:rPr>
        <w:t xml:space="preserve"> </w:t>
      </w:r>
      <w:r w:rsidRPr="00BE36D3">
        <w:rPr>
          <w:rFonts w:ascii="Arial" w:hAnsi="Arial" w:cs="Arial"/>
        </w:rPr>
        <w:t>5 y 6 evidencian que la planificación de</w:t>
      </w:r>
      <w:r w:rsidR="00941B14" w:rsidRPr="00BE36D3">
        <w:rPr>
          <w:rFonts w:ascii="Arial" w:hAnsi="Arial" w:cs="Arial"/>
        </w:rPr>
        <w:t xml:space="preserve"> la inversión con recursos de la Participación de Propósito General realizada por el </w:t>
      </w:r>
      <w:r w:rsidRPr="00BE36D3">
        <w:rPr>
          <w:rFonts w:ascii="Arial" w:hAnsi="Arial" w:cs="Arial"/>
        </w:rPr>
        <w:t xml:space="preserve">Municipio en un principio se orientó principalmente </w:t>
      </w:r>
      <w:r w:rsidR="00941B14" w:rsidRPr="00BE36D3">
        <w:rPr>
          <w:rFonts w:ascii="Arial" w:hAnsi="Arial" w:cs="Arial"/>
        </w:rPr>
        <w:t xml:space="preserve">a los Ejes 1 y 2 del Plan de Desarrollo Territorial, específicamente a los </w:t>
      </w:r>
      <w:r w:rsidR="00381A1A" w:rsidRPr="00C5770E">
        <w:rPr>
          <w:rFonts w:ascii="Arial" w:hAnsi="Arial" w:cs="Arial"/>
        </w:rPr>
        <w:t xml:space="preserve">Programas </w:t>
      </w:r>
      <w:r w:rsidR="00941B14" w:rsidRPr="00BE36D3">
        <w:rPr>
          <w:rFonts w:ascii="Arial" w:hAnsi="Arial" w:cs="Arial"/>
        </w:rPr>
        <w:t xml:space="preserve">de Seguridad y </w:t>
      </w:r>
      <w:r w:rsidR="00381A1A" w:rsidRPr="00C5770E">
        <w:rPr>
          <w:rFonts w:ascii="Arial" w:hAnsi="Arial" w:cs="Arial"/>
        </w:rPr>
        <w:t>Convivencia Ciudadana</w:t>
      </w:r>
      <w:r w:rsidR="00A921CA" w:rsidRPr="00BE36D3">
        <w:rPr>
          <w:rFonts w:ascii="Arial" w:hAnsi="Arial" w:cs="Arial"/>
        </w:rPr>
        <w:t xml:space="preserve">, </w:t>
      </w:r>
      <w:r w:rsidR="00381A1A">
        <w:rPr>
          <w:rFonts w:ascii="Arial" w:hAnsi="Arial" w:cs="Arial"/>
        </w:rPr>
        <w:t>T</w:t>
      </w:r>
      <w:r w:rsidR="00381A1A" w:rsidRPr="00C5770E">
        <w:rPr>
          <w:rFonts w:ascii="Arial" w:hAnsi="Arial" w:cs="Arial"/>
        </w:rPr>
        <w:t xml:space="preserve">ransporte </w:t>
      </w:r>
      <w:r w:rsidR="00A921CA" w:rsidRPr="00BE36D3">
        <w:rPr>
          <w:rFonts w:ascii="Arial" w:hAnsi="Arial" w:cs="Arial"/>
        </w:rPr>
        <w:t xml:space="preserve">y </w:t>
      </w:r>
      <w:r w:rsidR="00381A1A" w:rsidRPr="00C5770E">
        <w:rPr>
          <w:rFonts w:ascii="Arial" w:hAnsi="Arial" w:cs="Arial"/>
        </w:rPr>
        <w:t xml:space="preserve">Equipamiento Urbano </w:t>
      </w:r>
      <w:r w:rsidR="00C402F4" w:rsidRPr="00BE36D3">
        <w:rPr>
          <w:rFonts w:ascii="Arial" w:hAnsi="Arial" w:cs="Arial"/>
        </w:rPr>
        <w:t xml:space="preserve">y </w:t>
      </w:r>
      <w:r w:rsidR="00381A1A">
        <w:rPr>
          <w:rFonts w:ascii="Arial" w:hAnsi="Arial" w:cs="Arial"/>
        </w:rPr>
        <w:t>V</w:t>
      </w:r>
      <w:r w:rsidR="00381A1A" w:rsidRPr="00C5770E">
        <w:rPr>
          <w:rFonts w:ascii="Arial" w:hAnsi="Arial" w:cs="Arial"/>
        </w:rPr>
        <w:t>ivienda</w:t>
      </w:r>
      <w:r w:rsidR="00C402F4" w:rsidRPr="00BE36D3">
        <w:rPr>
          <w:rFonts w:ascii="Arial" w:hAnsi="Arial" w:cs="Arial"/>
        </w:rPr>
        <w:t>. Al contrastar</w:t>
      </w:r>
      <w:r w:rsidR="009434F2" w:rsidRPr="00BE36D3">
        <w:rPr>
          <w:rFonts w:ascii="Arial" w:hAnsi="Arial" w:cs="Arial"/>
        </w:rPr>
        <w:t xml:space="preserve"> e</w:t>
      </w:r>
      <w:r w:rsidR="00C402F4" w:rsidRPr="00BE36D3">
        <w:rPr>
          <w:rFonts w:ascii="Arial" w:hAnsi="Arial" w:cs="Arial"/>
        </w:rPr>
        <w:t>sta programación con la ejecución</w:t>
      </w:r>
      <w:r w:rsidR="009434F2" w:rsidRPr="00BE36D3">
        <w:rPr>
          <w:rFonts w:ascii="Arial" w:hAnsi="Arial" w:cs="Arial"/>
        </w:rPr>
        <w:t xml:space="preserve"> presupuestal</w:t>
      </w:r>
      <w:r w:rsidR="00C402F4" w:rsidRPr="00BE36D3">
        <w:rPr>
          <w:rFonts w:ascii="Arial" w:hAnsi="Arial" w:cs="Arial"/>
        </w:rPr>
        <w:t xml:space="preserve">, como se mencionó en el apartado de gastos, la Entidad Territorial ejecutó </w:t>
      </w:r>
      <w:r w:rsidR="00254B94" w:rsidRPr="00BE36D3">
        <w:rPr>
          <w:rFonts w:ascii="Arial" w:hAnsi="Arial" w:cs="Arial"/>
        </w:rPr>
        <w:t xml:space="preserve">más recursos en Atención a Grupos Vulnerables, </w:t>
      </w:r>
      <w:r w:rsidR="009434F2" w:rsidRPr="00BE36D3">
        <w:rPr>
          <w:rFonts w:ascii="Arial" w:hAnsi="Arial" w:cs="Arial"/>
        </w:rPr>
        <w:t>Agua Potable y Justicia. Lo anterior refleja la desconexión que existe entre los instrumentos de planeación territorial y la inversión materializada a través de la ejecución de los presupuestos anuales del Municipio.</w:t>
      </w:r>
    </w:p>
    <w:p w:rsidR="00C5770E" w:rsidRPr="00BE36D3" w:rsidRDefault="00C5770E">
      <w:pPr>
        <w:spacing w:line="240" w:lineRule="auto"/>
        <w:contextualSpacing/>
        <w:jc w:val="both"/>
        <w:rPr>
          <w:rFonts w:ascii="Arial" w:hAnsi="Arial" w:cs="Arial"/>
        </w:rPr>
      </w:pPr>
    </w:p>
    <w:p w:rsidR="00C8754F" w:rsidRDefault="00B93977">
      <w:pPr>
        <w:spacing w:line="240" w:lineRule="auto"/>
        <w:contextualSpacing/>
        <w:jc w:val="both"/>
        <w:rPr>
          <w:rFonts w:ascii="Arial" w:eastAsia="Arial Narrow" w:hAnsi="Arial" w:cs="Arial"/>
        </w:rPr>
      </w:pPr>
      <w:r w:rsidRPr="00BE36D3">
        <w:rPr>
          <w:rFonts w:ascii="Arial" w:eastAsia="Arial Narrow" w:hAnsi="Arial" w:cs="Arial"/>
        </w:rPr>
        <w:t>En contraste, a</w:t>
      </w:r>
      <w:r w:rsidR="4A02F053" w:rsidRPr="00BE36D3">
        <w:rPr>
          <w:rFonts w:ascii="Arial" w:eastAsia="Arial Narrow" w:hAnsi="Arial" w:cs="Arial"/>
        </w:rPr>
        <w:t xml:space="preserve">l </w:t>
      </w:r>
      <w:r w:rsidR="00754610" w:rsidRPr="00BE36D3">
        <w:rPr>
          <w:rFonts w:ascii="Arial" w:eastAsia="Arial Narrow" w:hAnsi="Arial" w:cs="Arial"/>
        </w:rPr>
        <w:t>consultar en</w:t>
      </w:r>
      <w:r w:rsidR="4A02F053" w:rsidRPr="00BE36D3">
        <w:rPr>
          <w:rFonts w:ascii="Arial" w:eastAsia="Arial Narrow" w:hAnsi="Arial" w:cs="Arial"/>
        </w:rPr>
        <w:t xml:space="preserve"> el Sistema de Información para la Evaluación de la Eficacia </w:t>
      </w:r>
      <w:r w:rsidR="00381A1A">
        <w:rPr>
          <w:rFonts w:ascii="Arial" w:eastAsia="Arial Narrow" w:hAnsi="Arial" w:cs="Arial"/>
        </w:rPr>
        <w:t xml:space="preserve">- </w:t>
      </w:r>
      <w:r w:rsidR="4A02F053" w:rsidRPr="00BE36D3">
        <w:rPr>
          <w:rFonts w:ascii="Arial" w:eastAsia="Arial Narrow" w:hAnsi="Arial" w:cs="Arial"/>
        </w:rPr>
        <w:t xml:space="preserve">SIEE, se evidencia que el </w:t>
      </w:r>
      <w:r w:rsidR="00381A1A">
        <w:rPr>
          <w:rFonts w:ascii="Arial" w:eastAsia="Arial Narrow" w:hAnsi="Arial" w:cs="Arial"/>
        </w:rPr>
        <w:t>M</w:t>
      </w:r>
      <w:r w:rsidR="4A02F053" w:rsidRPr="00BE36D3">
        <w:rPr>
          <w:rFonts w:ascii="Arial" w:eastAsia="Arial Narrow" w:hAnsi="Arial" w:cs="Arial"/>
        </w:rPr>
        <w:t xml:space="preserve">unicipio de Santiago de </w:t>
      </w:r>
      <w:r w:rsidR="000966E6">
        <w:rPr>
          <w:rFonts w:ascii="Arial" w:eastAsia="Arial Narrow" w:hAnsi="Arial" w:cs="Arial"/>
        </w:rPr>
        <w:t>Tolú - Sucre</w:t>
      </w:r>
      <w:r w:rsidR="4A02F053" w:rsidRPr="00BE36D3">
        <w:rPr>
          <w:rFonts w:ascii="Arial" w:eastAsia="Arial Narrow" w:hAnsi="Arial" w:cs="Arial"/>
        </w:rPr>
        <w:t>, se planteó 21</w:t>
      </w:r>
      <w:r w:rsidR="000549F9" w:rsidRPr="00BE36D3">
        <w:rPr>
          <w:rFonts w:ascii="Arial" w:eastAsia="Arial Narrow" w:hAnsi="Arial" w:cs="Arial"/>
        </w:rPr>
        <w:t>7</w:t>
      </w:r>
      <w:r w:rsidR="4A02F053" w:rsidRPr="00BE36D3">
        <w:rPr>
          <w:rFonts w:ascii="Arial" w:eastAsia="Arial Narrow" w:hAnsi="Arial" w:cs="Arial"/>
        </w:rPr>
        <w:t xml:space="preserve"> metas para el cuatrienio distribuidos en los 18 sectores de inversión establecidos en el artículo 76 de la Ley 715 de 2001 como se muestra a continuación:</w:t>
      </w:r>
    </w:p>
    <w:p w:rsidR="00C5770E" w:rsidRPr="00BE36D3" w:rsidRDefault="00C5770E">
      <w:pPr>
        <w:spacing w:line="240" w:lineRule="auto"/>
        <w:contextualSpacing/>
        <w:jc w:val="both"/>
        <w:rPr>
          <w:rFonts w:ascii="Arial" w:hAnsi="Arial" w:cs="Arial"/>
        </w:rPr>
      </w:pPr>
    </w:p>
    <w:p w:rsidR="00B974EF" w:rsidRPr="00BE36D3" w:rsidRDefault="0A5C27CB">
      <w:pPr>
        <w:spacing w:after="0" w:line="240" w:lineRule="auto"/>
        <w:contextualSpacing/>
        <w:jc w:val="center"/>
        <w:rPr>
          <w:rFonts w:ascii="Arial" w:eastAsia="Arial Narrow" w:hAnsi="Arial" w:cs="Arial"/>
          <w:b/>
          <w:bCs/>
          <w:sz w:val="20"/>
          <w:szCs w:val="20"/>
        </w:rPr>
      </w:pPr>
      <w:r w:rsidRPr="00BE36D3">
        <w:rPr>
          <w:rFonts w:ascii="Arial" w:eastAsia="Arial Narrow" w:hAnsi="Arial" w:cs="Arial"/>
          <w:b/>
          <w:bCs/>
          <w:sz w:val="20"/>
          <w:szCs w:val="20"/>
        </w:rPr>
        <w:t xml:space="preserve">Gráfico No. </w:t>
      </w:r>
      <w:r w:rsidR="00DC068C" w:rsidRPr="00BE36D3">
        <w:rPr>
          <w:rFonts w:ascii="Arial" w:eastAsia="Arial Narrow" w:hAnsi="Arial" w:cs="Arial"/>
          <w:b/>
          <w:bCs/>
          <w:sz w:val="20"/>
          <w:szCs w:val="20"/>
        </w:rPr>
        <w:t>7</w:t>
      </w:r>
      <w:r w:rsidRPr="00BE36D3">
        <w:rPr>
          <w:rFonts w:ascii="Arial" w:eastAsia="Arial Narrow" w:hAnsi="Arial" w:cs="Arial"/>
          <w:b/>
          <w:bCs/>
          <w:sz w:val="20"/>
          <w:szCs w:val="20"/>
        </w:rPr>
        <w:t>.</w:t>
      </w:r>
    </w:p>
    <w:p w:rsidR="00AA3B4F" w:rsidRPr="00BE36D3" w:rsidRDefault="0A5C27CB">
      <w:pPr>
        <w:spacing w:after="0" w:line="240" w:lineRule="auto"/>
        <w:contextualSpacing/>
        <w:jc w:val="center"/>
        <w:rPr>
          <w:rFonts w:ascii="Arial" w:eastAsia="Arial Narrow" w:hAnsi="Arial" w:cs="Arial"/>
          <w:sz w:val="20"/>
          <w:szCs w:val="20"/>
        </w:rPr>
      </w:pPr>
      <w:r w:rsidRPr="00BE36D3">
        <w:rPr>
          <w:rFonts w:ascii="Arial" w:eastAsia="Arial Narrow" w:hAnsi="Arial" w:cs="Arial"/>
          <w:sz w:val="20"/>
          <w:szCs w:val="20"/>
        </w:rPr>
        <w:t xml:space="preserve">Reporte de Metas del Plan Indicativo </w:t>
      </w:r>
      <w:r w:rsidR="73402C1E" w:rsidRPr="00BE36D3">
        <w:rPr>
          <w:rFonts w:ascii="Arial" w:eastAsia="Arial Narrow" w:hAnsi="Arial" w:cs="Arial"/>
          <w:sz w:val="20"/>
          <w:szCs w:val="20"/>
        </w:rPr>
        <w:t>periodo institucional 2016-2019</w:t>
      </w:r>
    </w:p>
    <w:p w:rsidR="001F0E62" w:rsidRPr="00BE36D3" w:rsidRDefault="73402C1E">
      <w:pPr>
        <w:spacing w:after="0" w:line="240" w:lineRule="auto"/>
        <w:contextualSpacing/>
        <w:jc w:val="center"/>
        <w:rPr>
          <w:rFonts w:ascii="Arial" w:eastAsia="Arial Narrow" w:hAnsi="Arial" w:cs="Arial"/>
          <w:sz w:val="20"/>
          <w:szCs w:val="20"/>
        </w:rPr>
      </w:pPr>
      <w:r w:rsidRPr="00BE36D3">
        <w:rPr>
          <w:rFonts w:ascii="Arial" w:eastAsia="Arial Narrow" w:hAnsi="Arial" w:cs="Arial"/>
          <w:sz w:val="20"/>
          <w:szCs w:val="20"/>
        </w:rPr>
        <w:t xml:space="preserve">Municipio de Santiago de </w:t>
      </w:r>
      <w:r w:rsidR="000966E6">
        <w:rPr>
          <w:rFonts w:ascii="Arial" w:eastAsia="Arial Narrow" w:hAnsi="Arial" w:cs="Arial"/>
          <w:sz w:val="20"/>
          <w:szCs w:val="20"/>
        </w:rPr>
        <w:t>Tolú - Sucre</w:t>
      </w:r>
    </w:p>
    <w:p w:rsidR="00B974EF" w:rsidRPr="00BE36D3" w:rsidRDefault="008565F7">
      <w:pPr>
        <w:spacing w:after="0" w:line="240" w:lineRule="auto"/>
        <w:contextualSpacing/>
        <w:jc w:val="center"/>
        <w:rPr>
          <w:rFonts w:ascii="Arial" w:eastAsia="Arial Narrow" w:hAnsi="Arial" w:cs="Arial"/>
          <w:b/>
          <w:sz w:val="20"/>
          <w:szCs w:val="20"/>
        </w:rPr>
      </w:pPr>
      <w:r w:rsidRPr="00BE36D3">
        <w:rPr>
          <w:rFonts w:ascii="Arial" w:hAnsi="Arial" w:cs="Arial"/>
          <w:noProof/>
          <w:lang w:eastAsia="es-CO"/>
        </w:rPr>
        <w:drawing>
          <wp:inline distT="0" distB="0" distL="0" distR="0">
            <wp:extent cx="5056496" cy="4945022"/>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6">
                      <a:extLst>
                        <a:ext uri="{28A0092B-C50C-407E-A947-70E740481C1C}">
                          <a14:useLocalDpi xmlns:a14="http://schemas.microsoft.com/office/drawing/2010/main" val="0"/>
                        </a:ext>
                      </a:extLst>
                    </a:blip>
                    <a:stretch>
                      <a:fillRect/>
                    </a:stretch>
                  </pic:blipFill>
                  <pic:spPr>
                    <a:xfrm>
                      <a:off x="0" y="0"/>
                      <a:ext cx="5056496" cy="4945022"/>
                    </a:xfrm>
                    <a:prstGeom prst="rect">
                      <a:avLst/>
                    </a:prstGeom>
                  </pic:spPr>
                </pic:pic>
              </a:graphicData>
            </a:graphic>
          </wp:inline>
        </w:drawing>
      </w:r>
    </w:p>
    <w:p w:rsidR="7AD52DC8" w:rsidRPr="00BE36D3" w:rsidRDefault="73402C1E">
      <w:pPr>
        <w:spacing w:line="240" w:lineRule="auto"/>
        <w:contextualSpacing/>
        <w:jc w:val="center"/>
        <w:rPr>
          <w:rFonts w:ascii="Arial" w:eastAsia="Arial Narrow" w:hAnsi="Arial" w:cs="Arial"/>
          <w:sz w:val="20"/>
          <w:szCs w:val="20"/>
        </w:rPr>
      </w:pPr>
      <w:r w:rsidRPr="00BE36D3">
        <w:rPr>
          <w:rFonts w:ascii="Arial" w:eastAsia="Arial Narrow" w:hAnsi="Arial" w:cs="Arial"/>
          <w:b/>
          <w:bCs/>
          <w:sz w:val="20"/>
          <w:szCs w:val="20"/>
        </w:rPr>
        <w:t xml:space="preserve">Fuente: </w:t>
      </w:r>
      <w:r w:rsidRPr="00BE36D3">
        <w:rPr>
          <w:rFonts w:ascii="Arial" w:eastAsia="Arial Narrow" w:hAnsi="Arial" w:cs="Arial"/>
          <w:sz w:val="20"/>
          <w:szCs w:val="20"/>
        </w:rPr>
        <w:t>Adaptado del Sistema de Información para la Evaluación de la Eficacia – SIEE</w:t>
      </w:r>
      <w:r w:rsidR="00381A1A">
        <w:rPr>
          <w:rFonts w:ascii="Arial" w:eastAsia="Arial Narrow" w:hAnsi="Arial" w:cs="Arial"/>
          <w:sz w:val="20"/>
          <w:szCs w:val="20"/>
        </w:rPr>
        <w:t>.</w:t>
      </w:r>
      <w:r w:rsidRPr="00BE36D3">
        <w:rPr>
          <w:rFonts w:ascii="Arial" w:eastAsia="Arial Narrow" w:hAnsi="Arial" w:cs="Arial"/>
          <w:sz w:val="20"/>
          <w:szCs w:val="20"/>
        </w:rPr>
        <w:t xml:space="preserve"> Fecha de consulta: 20 de septiembre de 2020</w:t>
      </w:r>
      <w:r w:rsidR="00381A1A">
        <w:rPr>
          <w:rFonts w:ascii="Arial" w:eastAsia="Arial Narrow" w:hAnsi="Arial" w:cs="Arial"/>
          <w:sz w:val="20"/>
          <w:szCs w:val="20"/>
        </w:rPr>
        <w:t>.</w:t>
      </w:r>
    </w:p>
    <w:p w:rsidR="00C5770E" w:rsidRPr="00F4471B" w:rsidRDefault="00C5770E">
      <w:pPr>
        <w:spacing w:line="240" w:lineRule="auto"/>
        <w:contextualSpacing/>
        <w:jc w:val="both"/>
        <w:rPr>
          <w:rFonts w:ascii="Arial" w:eastAsia="Arial Narrow" w:hAnsi="Arial" w:cs="Arial"/>
        </w:rPr>
      </w:pPr>
    </w:p>
    <w:p w:rsidR="008B307E" w:rsidRPr="00F4471B" w:rsidRDefault="005E1B82">
      <w:pPr>
        <w:pStyle w:val="paragraph"/>
        <w:spacing w:before="0" w:beforeAutospacing="0" w:after="0" w:afterAutospacing="0"/>
        <w:contextualSpacing/>
        <w:jc w:val="both"/>
        <w:textAlignment w:val="baseline"/>
        <w:rPr>
          <w:rFonts w:ascii="Arial" w:hAnsi="Arial" w:cs="Arial"/>
          <w:sz w:val="22"/>
          <w:szCs w:val="22"/>
        </w:rPr>
      </w:pPr>
      <w:r w:rsidRPr="00F4471B">
        <w:rPr>
          <w:rFonts w:ascii="Arial" w:eastAsia="Arial Narrow" w:hAnsi="Arial" w:cs="Arial"/>
          <w:sz w:val="22"/>
          <w:szCs w:val="22"/>
        </w:rPr>
        <w:t xml:space="preserve">De acuerdo con </w:t>
      </w:r>
      <w:r w:rsidR="001644BF" w:rsidRPr="00F4471B">
        <w:rPr>
          <w:rFonts w:ascii="Arial" w:eastAsia="Arial Narrow" w:hAnsi="Arial" w:cs="Arial"/>
          <w:sz w:val="22"/>
          <w:szCs w:val="22"/>
        </w:rPr>
        <w:t xml:space="preserve">la información </w:t>
      </w:r>
      <w:r w:rsidR="0076637F" w:rsidRPr="00F4471B">
        <w:rPr>
          <w:rFonts w:ascii="Arial" w:eastAsia="Arial Narrow" w:hAnsi="Arial" w:cs="Arial"/>
          <w:sz w:val="22"/>
          <w:szCs w:val="22"/>
        </w:rPr>
        <w:t>reportada en SIEE</w:t>
      </w:r>
      <w:r w:rsidR="000549F9" w:rsidRPr="00F4471B">
        <w:rPr>
          <w:rFonts w:ascii="Arial" w:eastAsia="Arial Narrow" w:hAnsi="Arial" w:cs="Arial"/>
          <w:sz w:val="22"/>
          <w:szCs w:val="22"/>
        </w:rPr>
        <w:t>,</w:t>
      </w:r>
      <w:r w:rsidR="00D34A0C" w:rsidRPr="00F4471B">
        <w:rPr>
          <w:rFonts w:ascii="Arial" w:eastAsia="Arial Narrow" w:hAnsi="Arial" w:cs="Arial"/>
          <w:sz w:val="22"/>
          <w:szCs w:val="22"/>
        </w:rPr>
        <w:t xml:space="preserve"> </w:t>
      </w:r>
      <w:r w:rsidR="001644BF" w:rsidRPr="00F4471B">
        <w:rPr>
          <w:rFonts w:ascii="Arial" w:eastAsia="Arial Narrow" w:hAnsi="Arial" w:cs="Arial"/>
          <w:sz w:val="22"/>
          <w:szCs w:val="22"/>
        </w:rPr>
        <w:t>los sectores con mayores metas programadas son Atención a Grupos vulnerables con el</w:t>
      </w:r>
      <w:r w:rsidR="00D34A0C" w:rsidRPr="00F4471B">
        <w:rPr>
          <w:rFonts w:ascii="Arial" w:eastAsia="Arial Narrow" w:hAnsi="Arial" w:cs="Arial"/>
          <w:sz w:val="22"/>
          <w:szCs w:val="22"/>
        </w:rPr>
        <w:t xml:space="preserve"> </w:t>
      </w:r>
      <w:r w:rsidR="007631D8" w:rsidRPr="00F4471B">
        <w:rPr>
          <w:rFonts w:ascii="Arial" w:eastAsia="Arial Narrow" w:hAnsi="Arial" w:cs="Arial"/>
          <w:sz w:val="22"/>
          <w:szCs w:val="22"/>
        </w:rPr>
        <w:t>24</w:t>
      </w:r>
      <w:r w:rsidR="00381A1A" w:rsidRPr="00F4471B">
        <w:rPr>
          <w:rFonts w:ascii="Arial" w:eastAsia="Arial Narrow" w:hAnsi="Arial" w:cs="Arial"/>
          <w:sz w:val="22"/>
          <w:szCs w:val="22"/>
        </w:rPr>
        <w:t xml:space="preserve"> </w:t>
      </w:r>
      <w:r w:rsidR="007631D8" w:rsidRPr="00F4471B">
        <w:rPr>
          <w:rFonts w:ascii="Arial" w:eastAsia="Arial Narrow" w:hAnsi="Arial" w:cs="Arial"/>
          <w:sz w:val="22"/>
          <w:szCs w:val="22"/>
        </w:rPr>
        <w:t>%</w:t>
      </w:r>
      <w:r w:rsidR="00377317" w:rsidRPr="00F4471B">
        <w:rPr>
          <w:rFonts w:ascii="Arial" w:eastAsia="Arial Narrow" w:hAnsi="Arial" w:cs="Arial"/>
          <w:sz w:val="22"/>
          <w:szCs w:val="22"/>
        </w:rPr>
        <w:t xml:space="preserve"> y </w:t>
      </w:r>
      <w:r w:rsidR="003E5656" w:rsidRPr="00F4471B">
        <w:rPr>
          <w:rFonts w:ascii="Arial" w:eastAsia="Arial Narrow" w:hAnsi="Arial" w:cs="Arial"/>
          <w:sz w:val="22"/>
          <w:szCs w:val="22"/>
        </w:rPr>
        <w:t>Promoción del Desarrollo con el 11</w:t>
      </w:r>
      <w:r w:rsidR="00381A1A" w:rsidRPr="00F4471B">
        <w:rPr>
          <w:rFonts w:ascii="Arial" w:eastAsia="Arial Narrow" w:hAnsi="Arial" w:cs="Arial"/>
          <w:sz w:val="22"/>
          <w:szCs w:val="22"/>
        </w:rPr>
        <w:t xml:space="preserve"> </w:t>
      </w:r>
      <w:r w:rsidR="003E5656" w:rsidRPr="00F4471B">
        <w:rPr>
          <w:rFonts w:ascii="Arial" w:eastAsia="Arial Narrow" w:hAnsi="Arial" w:cs="Arial"/>
          <w:sz w:val="22"/>
          <w:szCs w:val="22"/>
        </w:rPr>
        <w:t>%</w:t>
      </w:r>
      <w:r w:rsidR="0032098C" w:rsidRPr="00F4471B">
        <w:rPr>
          <w:rFonts w:ascii="Arial" w:eastAsia="Arial Narrow" w:hAnsi="Arial" w:cs="Arial"/>
          <w:sz w:val="22"/>
          <w:szCs w:val="22"/>
        </w:rPr>
        <w:t xml:space="preserve"> de las metas</w:t>
      </w:r>
      <w:r w:rsidR="00377317" w:rsidRPr="00F4471B">
        <w:rPr>
          <w:rFonts w:ascii="Arial" w:eastAsia="Arial Narrow" w:hAnsi="Arial" w:cs="Arial"/>
          <w:sz w:val="22"/>
          <w:szCs w:val="22"/>
        </w:rPr>
        <w:t xml:space="preserve">. </w:t>
      </w:r>
      <w:r w:rsidR="00A51422" w:rsidRPr="00F4471B">
        <w:rPr>
          <w:rFonts w:ascii="Arial" w:hAnsi="Arial" w:cs="Arial"/>
          <w:sz w:val="22"/>
          <w:szCs w:val="22"/>
        </w:rPr>
        <w:t xml:space="preserve">A pesar de que </w:t>
      </w:r>
      <w:r w:rsidR="00482C68" w:rsidRPr="00F4471B">
        <w:rPr>
          <w:rFonts w:ascii="Arial" w:hAnsi="Arial" w:cs="Arial"/>
          <w:sz w:val="22"/>
          <w:szCs w:val="22"/>
        </w:rPr>
        <w:t>en el Plan de Desarrollo Territorial se establecen estas metas</w:t>
      </w:r>
      <w:r w:rsidR="00321F80" w:rsidRPr="00F4471B">
        <w:rPr>
          <w:rFonts w:ascii="Arial" w:hAnsi="Arial" w:cs="Arial"/>
          <w:sz w:val="22"/>
          <w:szCs w:val="22"/>
        </w:rPr>
        <w:t xml:space="preserve"> y se programan recursos en el Plan de Inversiones, el Municipio de Santiago </w:t>
      </w:r>
      <w:r w:rsidR="00321F80" w:rsidRPr="00F4471B">
        <w:rPr>
          <w:rFonts w:ascii="Arial" w:hAnsi="Arial" w:cs="Arial"/>
          <w:sz w:val="22"/>
          <w:szCs w:val="22"/>
        </w:rPr>
        <w:lastRenderedPageBreak/>
        <w:t xml:space="preserve">de </w:t>
      </w:r>
      <w:r w:rsidR="000966E6" w:rsidRPr="00F4471B">
        <w:rPr>
          <w:rFonts w:ascii="Arial" w:hAnsi="Arial" w:cs="Arial"/>
          <w:sz w:val="22"/>
          <w:szCs w:val="22"/>
        </w:rPr>
        <w:t>Tolú - Sucre</w:t>
      </w:r>
      <w:r w:rsidR="00321F80" w:rsidRPr="00F4471B">
        <w:rPr>
          <w:rFonts w:ascii="Arial" w:hAnsi="Arial" w:cs="Arial"/>
          <w:sz w:val="22"/>
          <w:szCs w:val="22"/>
        </w:rPr>
        <w:t xml:space="preserve"> no refleja esta planificación en el Plan Indicativo, ya que es un instrumento que no se usa</w:t>
      </w:r>
      <w:r w:rsidR="00CF64F9" w:rsidRPr="00F4471B">
        <w:rPr>
          <w:rFonts w:ascii="Arial" w:hAnsi="Arial" w:cs="Arial"/>
          <w:sz w:val="22"/>
          <w:szCs w:val="22"/>
        </w:rPr>
        <w:t xml:space="preserve"> </w:t>
      </w:r>
      <w:r w:rsidR="00AC0F33" w:rsidRPr="00F4471B">
        <w:rPr>
          <w:rFonts w:ascii="Arial" w:hAnsi="Arial" w:cs="Arial"/>
          <w:sz w:val="22"/>
          <w:szCs w:val="22"/>
        </w:rPr>
        <w:t xml:space="preserve">según la información recopilada por el DNP durante la visita </w:t>
      </w:r>
      <w:r w:rsidR="00CF64F9" w:rsidRPr="00F4471B">
        <w:rPr>
          <w:rFonts w:ascii="Arial" w:hAnsi="Arial" w:cs="Arial"/>
          <w:sz w:val="22"/>
          <w:szCs w:val="22"/>
        </w:rPr>
        <w:t xml:space="preserve">y por lo tanto tampoco se reporta de manera </w:t>
      </w:r>
      <w:r w:rsidR="00E676B4" w:rsidRPr="00F4471B">
        <w:rPr>
          <w:rFonts w:ascii="Arial" w:hAnsi="Arial" w:cs="Arial"/>
          <w:sz w:val="22"/>
          <w:szCs w:val="22"/>
        </w:rPr>
        <w:t xml:space="preserve">adecuada en el Sistema de Evaluación de la Eficacia. </w:t>
      </w:r>
      <w:r w:rsidR="00745B53" w:rsidRPr="00F4471B">
        <w:rPr>
          <w:rFonts w:ascii="Arial" w:hAnsi="Arial" w:cs="Arial"/>
          <w:sz w:val="22"/>
          <w:szCs w:val="22"/>
        </w:rPr>
        <w:t>Esto se evidencia al consultar los valores programados y los recursos ejecutados</w:t>
      </w:r>
      <w:r w:rsidR="00F43B57" w:rsidRPr="00F4471B">
        <w:rPr>
          <w:rFonts w:ascii="Arial" w:hAnsi="Arial" w:cs="Arial"/>
          <w:sz w:val="22"/>
          <w:szCs w:val="22"/>
        </w:rPr>
        <w:t xml:space="preserve"> de acuerdo con cada una de las metas</w:t>
      </w:r>
      <w:r w:rsidR="00C2377B" w:rsidRPr="00F4471B">
        <w:rPr>
          <w:rFonts w:ascii="Arial" w:hAnsi="Arial" w:cs="Arial"/>
          <w:sz w:val="22"/>
          <w:szCs w:val="22"/>
        </w:rPr>
        <w:t>, en</w:t>
      </w:r>
      <w:r w:rsidR="006D5B05" w:rsidRPr="00F4471B">
        <w:rPr>
          <w:rFonts w:ascii="Arial" w:hAnsi="Arial" w:cs="Arial"/>
          <w:sz w:val="22"/>
          <w:szCs w:val="22"/>
        </w:rPr>
        <w:t xml:space="preserve"> donde</w:t>
      </w:r>
      <w:r w:rsidR="0032098C" w:rsidRPr="00F4471B">
        <w:rPr>
          <w:rFonts w:ascii="Arial" w:hAnsi="Arial" w:cs="Arial"/>
          <w:sz w:val="22"/>
          <w:szCs w:val="22"/>
        </w:rPr>
        <w:t>, por ejemplo,</w:t>
      </w:r>
      <w:r w:rsidR="006D5B05" w:rsidRPr="00F4471B">
        <w:rPr>
          <w:rFonts w:ascii="Arial" w:hAnsi="Arial" w:cs="Arial"/>
          <w:sz w:val="22"/>
          <w:szCs w:val="22"/>
        </w:rPr>
        <w:t xml:space="preserve"> en</w:t>
      </w:r>
      <w:r w:rsidR="00C2377B" w:rsidRPr="00F4471B">
        <w:rPr>
          <w:rFonts w:ascii="Arial" w:hAnsi="Arial" w:cs="Arial"/>
          <w:sz w:val="22"/>
          <w:szCs w:val="22"/>
        </w:rPr>
        <w:t xml:space="preserve"> las vigencias 2017 y 2019 no se realiza este reporte</w:t>
      </w:r>
      <w:r w:rsidR="00FB7BCA" w:rsidRPr="00F4471B">
        <w:rPr>
          <w:rFonts w:ascii="Arial" w:hAnsi="Arial" w:cs="Arial"/>
          <w:sz w:val="22"/>
          <w:szCs w:val="22"/>
        </w:rPr>
        <w:t xml:space="preserve">. </w:t>
      </w:r>
      <w:r w:rsidR="00E676B4" w:rsidRPr="00F4471B">
        <w:rPr>
          <w:rFonts w:ascii="Arial" w:hAnsi="Arial" w:cs="Arial"/>
          <w:sz w:val="22"/>
          <w:szCs w:val="22"/>
        </w:rPr>
        <w:t>Estas situaciones vulneran lo establecido en los artículos 29 y 36 de la Ley 152 de 1994, y la Resoluci</w:t>
      </w:r>
      <w:r w:rsidR="00CA30A1" w:rsidRPr="00F4471B">
        <w:rPr>
          <w:rFonts w:ascii="Arial" w:hAnsi="Arial" w:cs="Arial"/>
          <w:sz w:val="22"/>
          <w:szCs w:val="22"/>
        </w:rPr>
        <w:t xml:space="preserve">ón </w:t>
      </w:r>
      <w:r w:rsidR="00726673" w:rsidRPr="00F4471B">
        <w:rPr>
          <w:rFonts w:ascii="Arial" w:hAnsi="Arial" w:cs="Arial"/>
          <w:sz w:val="22"/>
          <w:szCs w:val="22"/>
        </w:rPr>
        <w:t>1135 de 2015 sobre la obligatoriedad del reporte en el SIEE</w:t>
      </w:r>
      <w:r w:rsidR="00E676B4" w:rsidRPr="00F4471B">
        <w:rPr>
          <w:rFonts w:ascii="Arial" w:hAnsi="Arial" w:cs="Arial"/>
          <w:sz w:val="22"/>
          <w:szCs w:val="22"/>
        </w:rPr>
        <w:t xml:space="preserve">. </w:t>
      </w:r>
      <w:r w:rsidR="001E5E52" w:rsidRPr="00F4471B">
        <w:rPr>
          <w:rFonts w:ascii="Arial" w:hAnsi="Arial" w:cs="Arial"/>
          <w:sz w:val="22"/>
          <w:szCs w:val="22"/>
        </w:rPr>
        <w:t>Además</w:t>
      </w:r>
      <w:r w:rsidR="00E676B4" w:rsidRPr="00F4471B">
        <w:rPr>
          <w:rFonts w:ascii="Arial" w:hAnsi="Arial" w:cs="Arial"/>
          <w:sz w:val="22"/>
          <w:szCs w:val="22"/>
        </w:rPr>
        <w:t>, como lo indica el DNP en su Informe de Monitoreo en Campo “</w:t>
      </w:r>
      <w:r w:rsidR="00E676B4" w:rsidRPr="00F4471B">
        <w:rPr>
          <w:rFonts w:ascii="Arial" w:hAnsi="Arial" w:cs="Arial"/>
          <w:i/>
          <w:iCs/>
          <w:sz w:val="22"/>
          <w:szCs w:val="22"/>
        </w:rPr>
        <w:t>representa retos importantes frente al seguimiento y evaluación de la inversión con enfoque a resultados</w:t>
      </w:r>
      <w:r w:rsidR="00E676B4" w:rsidRPr="00F4471B">
        <w:rPr>
          <w:rFonts w:ascii="Arial" w:hAnsi="Arial" w:cs="Arial"/>
          <w:sz w:val="22"/>
          <w:szCs w:val="22"/>
        </w:rPr>
        <w:t>”.</w:t>
      </w:r>
    </w:p>
    <w:p w:rsidR="008B307E" w:rsidRPr="00F4471B" w:rsidRDefault="008B307E">
      <w:pPr>
        <w:pStyle w:val="paragraph"/>
        <w:spacing w:before="0" w:beforeAutospacing="0" w:after="0" w:afterAutospacing="0"/>
        <w:contextualSpacing/>
        <w:jc w:val="both"/>
        <w:textAlignment w:val="baseline"/>
        <w:rPr>
          <w:rFonts w:ascii="Arial" w:hAnsi="Arial" w:cs="Arial"/>
          <w:sz w:val="22"/>
          <w:szCs w:val="22"/>
        </w:rPr>
      </w:pPr>
    </w:p>
    <w:p w:rsidR="008B307E" w:rsidRPr="00F4471B" w:rsidRDefault="004E6A62">
      <w:pPr>
        <w:pStyle w:val="paragraph"/>
        <w:spacing w:before="0" w:beforeAutospacing="0" w:after="0" w:afterAutospacing="0"/>
        <w:contextualSpacing/>
        <w:jc w:val="both"/>
        <w:textAlignment w:val="baseline"/>
        <w:rPr>
          <w:rFonts w:ascii="Arial" w:eastAsiaTheme="minorHAnsi" w:hAnsi="Arial" w:cs="Arial"/>
          <w:sz w:val="22"/>
          <w:szCs w:val="22"/>
          <w:lang w:eastAsia="en-US"/>
        </w:rPr>
      </w:pPr>
      <w:r w:rsidRPr="00F4471B">
        <w:rPr>
          <w:rFonts w:ascii="Arial" w:hAnsi="Arial" w:cs="Arial"/>
          <w:sz w:val="22"/>
          <w:szCs w:val="22"/>
        </w:rPr>
        <w:t>Con respecto al Plan Operativo Anual de Inversiones, el cual es el instrumento que permite la</w:t>
      </w:r>
      <w:r w:rsidR="00B43F89" w:rsidRPr="00F4471B">
        <w:rPr>
          <w:rFonts w:ascii="Arial" w:hAnsi="Arial" w:cs="Arial"/>
          <w:sz w:val="22"/>
          <w:szCs w:val="22"/>
        </w:rPr>
        <w:t xml:space="preserve"> priorización de los proyectos de inversión que se van a financiar durante cada vigencia, el Departamento Nacional de Planeación evidenció que: “</w:t>
      </w:r>
      <w:r w:rsidR="00B43F89" w:rsidRPr="00F4471B">
        <w:rPr>
          <w:rFonts w:ascii="Arial" w:hAnsi="Arial" w:cs="Arial"/>
          <w:i/>
          <w:iCs/>
          <w:sz w:val="22"/>
          <w:szCs w:val="22"/>
        </w:rPr>
        <w:t>El POAI es un instrumento muy débil. No hay un inventario de proyectos priorizados en la vigencia donde se evidencie la apropiación de acuerdo con el Presupuesto Aprobado. No se encuentra la conexión con las Metas del Plan de Desarrollo municipal. No hay desagregación de las fuentes de financiación SGP. Formulan los proyectos conforme se va a realizar el gasto durante la vigencia fiscal</w:t>
      </w:r>
      <w:r w:rsidR="00B43F89" w:rsidRPr="00F4471B">
        <w:rPr>
          <w:rFonts w:ascii="Arial" w:hAnsi="Arial" w:cs="Arial"/>
          <w:sz w:val="22"/>
          <w:szCs w:val="22"/>
        </w:rPr>
        <w:t>”</w:t>
      </w:r>
      <w:r w:rsidR="00381A1A" w:rsidRPr="00F4471B">
        <w:rPr>
          <w:rFonts w:ascii="Arial" w:hAnsi="Arial" w:cs="Arial"/>
          <w:sz w:val="22"/>
          <w:szCs w:val="22"/>
        </w:rPr>
        <w:t>.</w:t>
      </w:r>
      <w:r w:rsidR="00B43F89" w:rsidRPr="00F4471B">
        <w:rPr>
          <w:rFonts w:ascii="Arial" w:hAnsi="Arial" w:cs="Arial"/>
          <w:sz w:val="22"/>
          <w:szCs w:val="22"/>
        </w:rPr>
        <w:t xml:space="preserve"> (Informe de Monitoreo en Campo, 2019)</w:t>
      </w:r>
      <w:r w:rsidR="00380AE9" w:rsidRPr="00F4471B">
        <w:rPr>
          <w:rFonts w:ascii="Arial" w:hAnsi="Arial" w:cs="Arial"/>
          <w:sz w:val="22"/>
          <w:szCs w:val="22"/>
        </w:rPr>
        <w:t xml:space="preserve">. </w:t>
      </w:r>
      <w:r w:rsidR="001E5E52" w:rsidRPr="00F4471B">
        <w:rPr>
          <w:rFonts w:ascii="Arial" w:hAnsi="Arial" w:cs="Arial"/>
          <w:sz w:val="22"/>
          <w:szCs w:val="22"/>
        </w:rPr>
        <w:t xml:space="preserve">Esta desarticulación permite concluir </w:t>
      </w:r>
      <w:r w:rsidR="00C67189" w:rsidRPr="00F4471B">
        <w:rPr>
          <w:rFonts w:ascii="Arial" w:hAnsi="Arial" w:cs="Arial"/>
          <w:sz w:val="22"/>
          <w:szCs w:val="22"/>
        </w:rPr>
        <w:t>que el Municipio no realiza la debida programación de la inversión haciendo uso de las herramientas legales dispuestas para este fin, específicamente, se incumplen los artículos 8° y 37° del Decreto 111 de 1996</w:t>
      </w:r>
      <w:r w:rsidR="00C67189" w:rsidRPr="00F4471B">
        <w:rPr>
          <w:rStyle w:val="Refdenotaalpie"/>
          <w:rFonts w:ascii="Arial" w:hAnsi="Arial" w:cs="Arial"/>
          <w:sz w:val="22"/>
          <w:szCs w:val="22"/>
        </w:rPr>
        <w:footnoteReference w:id="5"/>
      </w:r>
      <w:r w:rsidR="00C67189" w:rsidRPr="00F4471B">
        <w:rPr>
          <w:rFonts w:ascii="Arial" w:hAnsi="Arial" w:cs="Arial"/>
          <w:sz w:val="22"/>
          <w:szCs w:val="22"/>
        </w:rPr>
        <w:t xml:space="preserve"> en cuanto a la planeación del presupuesto de gastos en el componente de inversión.</w:t>
      </w:r>
    </w:p>
    <w:p w:rsidR="008B307E" w:rsidRPr="00F4471B" w:rsidRDefault="008B307E">
      <w:pPr>
        <w:pStyle w:val="paragraph"/>
        <w:spacing w:before="0" w:beforeAutospacing="0" w:after="0" w:afterAutospacing="0"/>
        <w:contextualSpacing/>
        <w:jc w:val="both"/>
        <w:textAlignment w:val="baseline"/>
        <w:rPr>
          <w:rFonts w:ascii="Arial" w:eastAsiaTheme="minorHAnsi" w:hAnsi="Arial" w:cs="Arial"/>
          <w:sz w:val="22"/>
          <w:szCs w:val="22"/>
          <w:lang w:eastAsia="en-US"/>
        </w:rPr>
      </w:pPr>
    </w:p>
    <w:p w:rsidR="00AD72AA" w:rsidRPr="00BE36D3" w:rsidRDefault="00AD72AA">
      <w:pPr>
        <w:pStyle w:val="paragraph"/>
        <w:spacing w:before="0" w:beforeAutospacing="0" w:after="0" w:afterAutospacing="0"/>
        <w:contextualSpacing/>
        <w:jc w:val="both"/>
        <w:textAlignment w:val="baseline"/>
        <w:rPr>
          <w:rFonts w:ascii="Arial" w:eastAsiaTheme="minorHAnsi" w:hAnsi="Arial" w:cs="Arial"/>
          <w:sz w:val="22"/>
          <w:szCs w:val="22"/>
          <w:lang w:eastAsia="en-US"/>
        </w:rPr>
      </w:pPr>
      <w:r w:rsidRPr="00BE36D3">
        <w:rPr>
          <w:rFonts w:ascii="Arial" w:eastAsiaTheme="minorHAnsi" w:hAnsi="Arial" w:cs="Arial"/>
          <w:sz w:val="22"/>
          <w:szCs w:val="22"/>
          <w:lang w:eastAsia="en-US"/>
        </w:rPr>
        <w:t xml:space="preserve">Se recomienda a la Entidad Territorial mejorar los procesos de planeación y fortalecer la ejecución de proyectos de inversión que propendan por un mayor cumplimiento de las metas programadas en el Plan de Desarrollo Territorial, que son financiadas con cargo a los recursos de la </w:t>
      </w:r>
      <w:r>
        <w:rPr>
          <w:rFonts w:ascii="Arial" w:eastAsiaTheme="minorHAnsi" w:hAnsi="Arial" w:cs="Arial"/>
          <w:sz w:val="22"/>
          <w:szCs w:val="22"/>
          <w:lang w:eastAsia="en-US"/>
        </w:rPr>
        <w:t>P</w:t>
      </w:r>
      <w:r w:rsidRPr="00BE36D3">
        <w:rPr>
          <w:rFonts w:ascii="Arial" w:eastAsiaTheme="minorHAnsi" w:hAnsi="Arial" w:cs="Arial"/>
          <w:sz w:val="22"/>
          <w:szCs w:val="22"/>
          <w:lang w:eastAsia="en-US"/>
        </w:rPr>
        <w:t>articipación de Propósito General del Sistema General de Participaciones. Para esto, deberá garantizar que toda la inversión financiada con cargo a estos recursos esté incluida en el Plan Indicativo, en coherencia con el Plan Operativo Anual de Inversiones para la programación de recursos. A continuación, se relaciona un esquema de articulación y armonización de los procesos de planeación y programación presupuestal para la inversión financiada con recursos de la Participación de Propósito General:</w:t>
      </w:r>
    </w:p>
    <w:p w:rsidR="00AD72AA" w:rsidRPr="00BE36D3" w:rsidRDefault="00AD72AA">
      <w:pPr>
        <w:pStyle w:val="paragraph"/>
        <w:spacing w:before="0" w:beforeAutospacing="0" w:after="0" w:afterAutospacing="0"/>
        <w:contextualSpacing/>
        <w:jc w:val="both"/>
        <w:textAlignment w:val="baseline"/>
        <w:rPr>
          <w:rFonts w:ascii="Arial" w:eastAsiaTheme="minorHAnsi" w:hAnsi="Arial" w:cs="Arial"/>
          <w:sz w:val="22"/>
          <w:szCs w:val="22"/>
          <w:lang w:eastAsia="en-US"/>
        </w:rPr>
      </w:pPr>
    </w:p>
    <w:p w:rsidR="00AD72AA" w:rsidRPr="00BE36D3" w:rsidRDefault="00AD72AA">
      <w:pPr>
        <w:pStyle w:val="paragraph"/>
        <w:spacing w:before="0" w:beforeAutospacing="0" w:after="0" w:afterAutospacing="0"/>
        <w:contextualSpacing/>
        <w:jc w:val="center"/>
        <w:textAlignment w:val="baseline"/>
        <w:rPr>
          <w:rFonts w:ascii="Arial" w:eastAsiaTheme="minorHAnsi" w:hAnsi="Arial" w:cs="Arial"/>
          <w:lang w:eastAsia="en-US"/>
        </w:rPr>
      </w:pPr>
      <w:r w:rsidRPr="00BE36D3">
        <w:rPr>
          <w:rFonts w:ascii="Arial" w:hAnsi="Arial" w:cs="Arial"/>
          <w:noProof/>
        </w:rPr>
        <w:lastRenderedPageBreak/>
        <w:drawing>
          <wp:inline distT="0" distB="0" distL="0" distR="0">
            <wp:extent cx="4469587" cy="6319472"/>
            <wp:effectExtent l="0" t="0" r="7620" b="5715"/>
            <wp:docPr id="6" name="Imagen 6" descr="C:\Users\cbastida\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astida\AppData\Local\Microsoft\Windows\INetCache\Content.Word\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14019" cy="6382293"/>
                    </a:xfrm>
                    <a:prstGeom prst="rect">
                      <a:avLst/>
                    </a:prstGeom>
                    <a:noFill/>
                    <a:ln>
                      <a:noFill/>
                    </a:ln>
                  </pic:spPr>
                </pic:pic>
              </a:graphicData>
            </a:graphic>
          </wp:inline>
        </w:drawing>
      </w:r>
    </w:p>
    <w:p w:rsidR="00F4471B" w:rsidRDefault="00F4471B">
      <w:pPr>
        <w:rPr>
          <w:rFonts w:ascii="Arial" w:hAnsi="Arial" w:cs="Arial"/>
        </w:rPr>
      </w:pPr>
      <w:r>
        <w:rPr>
          <w:rFonts w:ascii="Arial" w:hAnsi="Arial" w:cs="Arial"/>
        </w:rPr>
        <w:br w:type="page"/>
      </w:r>
    </w:p>
    <w:p w:rsidR="00334594" w:rsidRPr="00BE36D3" w:rsidRDefault="00334594">
      <w:pPr>
        <w:spacing w:line="240" w:lineRule="auto"/>
        <w:contextualSpacing/>
        <w:jc w:val="both"/>
        <w:rPr>
          <w:rFonts w:ascii="Arial" w:hAnsi="Arial" w:cs="Arial"/>
        </w:rPr>
      </w:pPr>
    </w:p>
    <w:p w:rsidR="00ED4989" w:rsidRDefault="00ED4989">
      <w:pPr>
        <w:pStyle w:val="Prrafodelista"/>
        <w:numPr>
          <w:ilvl w:val="0"/>
          <w:numId w:val="2"/>
        </w:numPr>
        <w:spacing w:line="240" w:lineRule="auto"/>
        <w:jc w:val="both"/>
        <w:rPr>
          <w:rFonts w:ascii="Arial" w:hAnsi="Arial" w:cs="Arial"/>
          <w:b/>
          <w:bCs/>
        </w:rPr>
      </w:pPr>
      <w:r>
        <w:rPr>
          <w:rFonts w:ascii="Arial" w:hAnsi="Arial" w:cs="Arial"/>
          <w:b/>
          <w:bCs/>
        </w:rPr>
        <w:t>EVENTOS DE RIESGO IDENTIFICADOS EN EL MARCO DEL DECRETO 028 DE 2008</w:t>
      </w:r>
      <w:r w:rsidR="008B307E">
        <w:rPr>
          <w:rFonts w:ascii="Arial" w:hAnsi="Arial" w:cs="Arial"/>
          <w:b/>
          <w:bCs/>
        </w:rPr>
        <w:t>.</w:t>
      </w:r>
    </w:p>
    <w:p w:rsidR="00CC548E" w:rsidRDefault="00CC548E" w:rsidP="00F4471B">
      <w:pPr>
        <w:spacing w:line="240" w:lineRule="auto"/>
        <w:contextualSpacing/>
        <w:jc w:val="both"/>
        <w:rPr>
          <w:rFonts w:ascii="Arial" w:hAnsi="Arial" w:cs="Arial"/>
          <w:b/>
          <w:bCs/>
        </w:rPr>
      </w:pPr>
    </w:p>
    <w:p w:rsidR="00ED4989" w:rsidRDefault="00ED4989" w:rsidP="00F4471B">
      <w:pPr>
        <w:spacing w:line="240" w:lineRule="auto"/>
        <w:contextualSpacing/>
        <w:jc w:val="both"/>
        <w:rPr>
          <w:rFonts w:ascii="Arial" w:hAnsi="Arial" w:cs="Arial"/>
          <w:b/>
          <w:bCs/>
        </w:rPr>
      </w:pPr>
      <w:r>
        <w:rPr>
          <w:rFonts w:ascii="Arial" w:hAnsi="Arial" w:cs="Arial"/>
          <w:b/>
          <w:bCs/>
        </w:rPr>
        <w:t xml:space="preserve">EVENTO DE RIESGO 9.1 </w:t>
      </w:r>
      <w:r w:rsidR="00F84895">
        <w:rPr>
          <w:rFonts w:ascii="Arial" w:hAnsi="Arial" w:cs="Arial"/>
          <w:b/>
          <w:bCs/>
        </w:rPr>
        <w:t>“</w:t>
      </w:r>
      <w:r w:rsidRPr="00F4471B">
        <w:rPr>
          <w:rFonts w:ascii="Arial" w:hAnsi="Arial" w:cs="Arial"/>
          <w:b/>
          <w:bCs/>
          <w:i/>
        </w:rPr>
        <w:t>No envío de información conforme a los plazos, condiciones y formatos indicados por el Gobierno Nacional, y/o haber remitido o entregado información incompleta o errónea</w:t>
      </w:r>
      <w:r w:rsidR="00F84895">
        <w:rPr>
          <w:rFonts w:ascii="Arial" w:hAnsi="Arial" w:cs="Arial"/>
          <w:b/>
          <w:bCs/>
        </w:rPr>
        <w:t>”.</w:t>
      </w:r>
    </w:p>
    <w:p w:rsidR="00CC548E" w:rsidRDefault="00CC548E" w:rsidP="00F4471B">
      <w:pPr>
        <w:spacing w:line="240" w:lineRule="auto"/>
        <w:contextualSpacing/>
        <w:jc w:val="both"/>
        <w:rPr>
          <w:rFonts w:ascii="Arial" w:hAnsi="Arial" w:cs="Arial"/>
          <w:b/>
          <w:bCs/>
        </w:rPr>
      </w:pPr>
    </w:p>
    <w:p w:rsidR="000E4F7B" w:rsidRDefault="000E4F7B">
      <w:pPr>
        <w:pStyle w:val="Prrafodelista"/>
        <w:numPr>
          <w:ilvl w:val="0"/>
          <w:numId w:val="29"/>
        </w:numPr>
        <w:spacing w:line="240" w:lineRule="auto"/>
        <w:jc w:val="both"/>
        <w:rPr>
          <w:rFonts w:ascii="Arial" w:hAnsi="Arial" w:cs="Arial"/>
          <w:b/>
          <w:bCs/>
        </w:rPr>
      </w:pPr>
      <w:r>
        <w:rPr>
          <w:rFonts w:ascii="Arial" w:hAnsi="Arial" w:cs="Arial"/>
          <w:b/>
          <w:bCs/>
        </w:rPr>
        <w:t>Incumplimiento en la calidad del reporte de información reportada en el Form</w:t>
      </w:r>
      <w:r w:rsidR="007704D3">
        <w:rPr>
          <w:rFonts w:ascii="Arial" w:hAnsi="Arial" w:cs="Arial"/>
          <w:b/>
          <w:bCs/>
        </w:rPr>
        <w:t>ulari</w:t>
      </w:r>
      <w:r>
        <w:rPr>
          <w:rFonts w:ascii="Arial" w:hAnsi="Arial" w:cs="Arial"/>
          <w:b/>
          <w:bCs/>
        </w:rPr>
        <w:t xml:space="preserve">o Único Territorial – FUT </w:t>
      </w:r>
    </w:p>
    <w:p w:rsidR="00CC548E" w:rsidRDefault="00CC548E" w:rsidP="00F4471B">
      <w:pPr>
        <w:spacing w:line="240" w:lineRule="auto"/>
        <w:contextualSpacing/>
        <w:jc w:val="both"/>
        <w:rPr>
          <w:rFonts w:ascii="Arial" w:hAnsi="Arial" w:cs="Arial"/>
        </w:rPr>
      </w:pPr>
    </w:p>
    <w:p w:rsidR="00CC548E" w:rsidRDefault="000E4F7B" w:rsidP="00F4471B">
      <w:pPr>
        <w:spacing w:line="240" w:lineRule="auto"/>
        <w:contextualSpacing/>
        <w:jc w:val="both"/>
        <w:rPr>
          <w:rFonts w:ascii="Arial" w:hAnsi="Arial" w:cs="Arial"/>
        </w:rPr>
      </w:pPr>
      <w:r w:rsidRPr="000E4F7B">
        <w:rPr>
          <w:rFonts w:ascii="Arial" w:hAnsi="Arial" w:cs="Arial"/>
        </w:rPr>
        <w:t>El Decreto 1068 de 2015 establece la adopción del Formulario Único Territorial – FUT del Sistema Consolidado de Hacienda e Información Pública</w:t>
      </w:r>
      <w:r w:rsidR="00CC548E">
        <w:rPr>
          <w:rFonts w:ascii="Arial" w:hAnsi="Arial" w:cs="Arial"/>
        </w:rPr>
        <w:t xml:space="preserve"> </w:t>
      </w:r>
      <w:r w:rsidRPr="000E4F7B">
        <w:rPr>
          <w:rFonts w:ascii="Arial" w:hAnsi="Arial" w:cs="Arial"/>
        </w:rPr>
        <w:t>–</w:t>
      </w:r>
      <w:r w:rsidR="00CC548E">
        <w:rPr>
          <w:rFonts w:ascii="Arial" w:hAnsi="Arial" w:cs="Arial"/>
        </w:rPr>
        <w:t xml:space="preserve"> </w:t>
      </w:r>
      <w:r w:rsidRPr="000E4F7B">
        <w:rPr>
          <w:rFonts w:ascii="Arial" w:hAnsi="Arial" w:cs="Arial"/>
        </w:rPr>
        <w:t>CHIP, como mecanismo de reporte de información con fines de monitoreo, seguimiento, evaluación y control. De esta manera, para la captura de información presupuestal de los recursos administrados por las entidades territoriales, en su artículo 2.6.4.2 del Decreto 1068 de 2015, modificado por el artículo 1 del Decreto 1536 de 2016, se establece que “</w:t>
      </w:r>
      <w:r w:rsidRPr="00F4471B">
        <w:rPr>
          <w:rFonts w:ascii="Arial" w:hAnsi="Arial" w:cs="Arial"/>
          <w:i/>
        </w:rPr>
        <w:t>El FUT será de obligatorio diligenciamiento y presentación por el sector central de los Departamentos, Distritos y Municipios […]</w:t>
      </w:r>
      <w:r w:rsidRPr="000E4F7B">
        <w:rPr>
          <w:rFonts w:ascii="Arial" w:hAnsi="Arial" w:cs="Arial"/>
        </w:rPr>
        <w:t>”. Lo anterior, por parte de los alcaldes sobre quienes reposa esta responsabilidad según el artículo 2.6.4.4. </w:t>
      </w:r>
    </w:p>
    <w:p w:rsidR="000E4F7B" w:rsidRPr="000E4F7B" w:rsidRDefault="000E4F7B" w:rsidP="00F4471B">
      <w:pPr>
        <w:spacing w:line="240" w:lineRule="auto"/>
        <w:contextualSpacing/>
        <w:jc w:val="both"/>
        <w:rPr>
          <w:rFonts w:ascii="Arial" w:hAnsi="Arial" w:cs="Arial"/>
        </w:rPr>
      </w:pPr>
    </w:p>
    <w:p w:rsidR="000E4F7B" w:rsidRDefault="000E4F7B" w:rsidP="00F4471B">
      <w:pPr>
        <w:spacing w:line="240" w:lineRule="auto"/>
        <w:contextualSpacing/>
        <w:jc w:val="both"/>
        <w:rPr>
          <w:rFonts w:ascii="Arial" w:hAnsi="Arial" w:cs="Arial"/>
        </w:rPr>
      </w:pPr>
      <w:r w:rsidRPr="000E4F7B">
        <w:rPr>
          <w:rFonts w:ascii="Arial" w:hAnsi="Arial" w:cs="Arial"/>
        </w:rPr>
        <w:t xml:space="preserve">El Formulario Único Territorial del Sistema Consolidador de Hacienda e Información Pública – FUT, en su estructura contempla las Categorías de: Ingresos; Gastos de Funcionamiento; Gastos de Inversión; y Cierre Fiscal para el reporte periódico de la información presupuestal. Por lo tanto, para cada categoría las </w:t>
      </w:r>
      <w:r w:rsidR="00CC548E">
        <w:rPr>
          <w:rFonts w:ascii="Arial" w:hAnsi="Arial" w:cs="Arial"/>
        </w:rPr>
        <w:t>e</w:t>
      </w:r>
      <w:r w:rsidRPr="000E4F7B">
        <w:rPr>
          <w:rFonts w:ascii="Arial" w:hAnsi="Arial" w:cs="Arial"/>
        </w:rPr>
        <w:t xml:space="preserve">ntidades </w:t>
      </w:r>
      <w:r w:rsidR="00CC548E">
        <w:rPr>
          <w:rFonts w:ascii="Arial" w:hAnsi="Arial" w:cs="Arial"/>
        </w:rPr>
        <w:t>t</w:t>
      </w:r>
      <w:r w:rsidRPr="000E4F7B">
        <w:rPr>
          <w:rFonts w:ascii="Arial" w:hAnsi="Arial" w:cs="Arial"/>
        </w:rPr>
        <w:t>erritoriales deben realizar su respectivo reporte, de acuerdo con el contenido de cada formulario.</w:t>
      </w:r>
      <w:r>
        <w:rPr>
          <w:rFonts w:ascii="Arial" w:hAnsi="Arial" w:cs="Arial"/>
        </w:rPr>
        <w:t xml:space="preserve"> </w:t>
      </w:r>
      <w:r w:rsidRPr="000E4F7B">
        <w:rPr>
          <w:rFonts w:ascii="Arial" w:hAnsi="Arial" w:cs="Arial"/>
        </w:rPr>
        <w:t xml:space="preserve">En el Informe de monitoreo de campo, </w:t>
      </w:r>
      <w:r>
        <w:rPr>
          <w:rFonts w:ascii="Arial" w:hAnsi="Arial" w:cs="Arial"/>
        </w:rPr>
        <w:t>Santiago de Tolú</w:t>
      </w:r>
      <w:r w:rsidRPr="000E4F7B">
        <w:rPr>
          <w:rFonts w:ascii="Arial" w:hAnsi="Arial" w:cs="Arial"/>
        </w:rPr>
        <w:t xml:space="preserve"> - Sucre, Vigencias 201</w:t>
      </w:r>
      <w:r>
        <w:rPr>
          <w:rFonts w:ascii="Arial" w:hAnsi="Arial" w:cs="Arial"/>
        </w:rPr>
        <w:t>7</w:t>
      </w:r>
      <w:r w:rsidRPr="000E4F7B">
        <w:rPr>
          <w:rFonts w:ascii="Arial" w:hAnsi="Arial" w:cs="Arial"/>
        </w:rPr>
        <w:t xml:space="preserve"> y 201</w:t>
      </w:r>
      <w:r>
        <w:rPr>
          <w:rFonts w:ascii="Arial" w:hAnsi="Arial" w:cs="Arial"/>
        </w:rPr>
        <w:t>8</w:t>
      </w:r>
      <w:r w:rsidRPr="000E4F7B">
        <w:rPr>
          <w:rFonts w:ascii="Arial" w:hAnsi="Arial" w:cs="Arial"/>
        </w:rPr>
        <w:t xml:space="preserve"> elaborado por el Departamento Nacional de Planeación, se advirtió de inconsistencias entre la información de los presupuestal de las ejecuciones aportadas por la </w:t>
      </w:r>
      <w:r w:rsidR="00CC548E">
        <w:rPr>
          <w:rFonts w:ascii="Arial" w:hAnsi="Arial" w:cs="Arial"/>
        </w:rPr>
        <w:t>E</w:t>
      </w:r>
      <w:r w:rsidRPr="000E4F7B">
        <w:rPr>
          <w:rFonts w:ascii="Arial" w:hAnsi="Arial" w:cs="Arial"/>
        </w:rPr>
        <w:t xml:space="preserve">ntidad </w:t>
      </w:r>
      <w:r w:rsidR="00CC548E">
        <w:rPr>
          <w:rFonts w:ascii="Arial" w:hAnsi="Arial" w:cs="Arial"/>
        </w:rPr>
        <w:t>T</w:t>
      </w:r>
      <w:r w:rsidRPr="000E4F7B">
        <w:rPr>
          <w:rFonts w:ascii="Arial" w:hAnsi="Arial" w:cs="Arial"/>
        </w:rPr>
        <w:t>erritorial y el reporte de información para l</w:t>
      </w:r>
      <w:r>
        <w:rPr>
          <w:rFonts w:ascii="Arial" w:hAnsi="Arial" w:cs="Arial"/>
        </w:rPr>
        <w:t>as vigencias analizadas</w:t>
      </w:r>
      <w:r w:rsidRPr="000E4F7B">
        <w:rPr>
          <w:rFonts w:ascii="Arial" w:hAnsi="Arial" w:cs="Arial"/>
        </w:rPr>
        <w:t>.</w:t>
      </w:r>
    </w:p>
    <w:p w:rsidR="00CC548E" w:rsidRDefault="00CC548E" w:rsidP="00F4471B">
      <w:pPr>
        <w:spacing w:line="240" w:lineRule="auto"/>
        <w:contextualSpacing/>
        <w:jc w:val="both"/>
        <w:rPr>
          <w:rFonts w:ascii="Arial" w:hAnsi="Arial" w:cs="Arial"/>
        </w:rPr>
      </w:pPr>
    </w:p>
    <w:p w:rsidR="000204BF" w:rsidRDefault="000204BF">
      <w:pPr>
        <w:spacing w:line="240" w:lineRule="auto"/>
        <w:contextualSpacing/>
        <w:jc w:val="both"/>
        <w:rPr>
          <w:rFonts w:ascii="Arial" w:hAnsi="Arial" w:cs="Arial"/>
        </w:rPr>
      </w:pPr>
      <w:r w:rsidRPr="00682643">
        <w:rPr>
          <w:rFonts w:ascii="Arial" w:hAnsi="Arial" w:cs="Arial"/>
        </w:rPr>
        <w:t>Al realizar un análisis comparativo entre las ejecuciones presupuestales enviadas por el Municipio de Santiago de Tolú - Sucre al Departamento Nacional de Planeación para la visita de monitoreo en campo y el reporte realizado por la Entidad Territorial en el Form</w:t>
      </w:r>
      <w:r w:rsidR="007704D3">
        <w:rPr>
          <w:rFonts w:ascii="Arial" w:hAnsi="Arial" w:cs="Arial"/>
        </w:rPr>
        <w:t>ulari</w:t>
      </w:r>
      <w:r w:rsidRPr="00682643">
        <w:rPr>
          <w:rFonts w:ascii="Arial" w:hAnsi="Arial" w:cs="Arial"/>
        </w:rPr>
        <w:t>o Único Territorial - FUT, solamente se pudo corroborar el reporte para las vigencias 2017 y 2018 debido a que para 2019 ya se tomó la información de reporte FUT ante la no disposición para el análisis de ejecución presupuestal. Frente a este último año, el Municipio de Santiago de Tolú - Sucre realizó el reporte de ingresos 2019 en miles, lo cual es un error debido a que esta información debe estar en pesos.</w:t>
      </w:r>
    </w:p>
    <w:p w:rsidR="000204BF" w:rsidRDefault="000204BF">
      <w:pPr>
        <w:spacing w:line="240" w:lineRule="auto"/>
        <w:contextualSpacing/>
        <w:jc w:val="both"/>
        <w:rPr>
          <w:rFonts w:ascii="Arial" w:hAnsi="Arial" w:cs="Arial"/>
        </w:rPr>
      </w:pPr>
    </w:p>
    <w:p w:rsidR="000204BF" w:rsidRDefault="000204BF">
      <w:pPr>
        <w:spacing w:line="240" w:lineRule="auto"/>
        <w:contextualSpacing/>
        <w:jc w:val="both"/>
        <w:rPr>
          <w:rFonts w:ascii="Arial" w:hAnsi="Arial" w:cs="Arial"/>
        </w:rPr>
      </w:pPr>
      <w:r w:rsidRPr="00682643">
        <w:rPr>
          <w:rFonts w:ascii="Arial" w:hAnsi="Arial" w:cs="Arial"/>
        </w:rPr>
        <w:t xml:space="preserve">En este caso se </w:t>
      </w:r>
      <w:r>
        <w:rPr>
          <w:rFonts w:ascii="Arial" w:hAnsi="Arial" w:cs="Arial"/>
        </w:rPr>
        <w:t>evidencia</w:t>
      </w:r>
      <w:r w:rsidRPr="00682643">
        <w:rPr>
          <w:rFonts w:ascii="Arial" w:hAnsi="Arial" w:cs="Arial"/>
        </w:rPr>
        <w:t xml:space="preserve"> la ausencia de reporte de los rendimientos financieros, los cuales tampoco se registraron en el FUT, ni en el presupuesto definitivo ni en el recaudo para las vigencias 2017 y 2018. En el componente de gastos se evidencian varias diferencias, las cuales se resaltan en detalle en el </w:t>
      </w:r>
      <w:r>
        <w:rPr>
          <w:rFonts w:ascii="Arial" w:hAnsi="Arial" w:cs="Arial"/>
        </w:rPr>
        <w:t xml:space="preserve">Cuadro </w:t>
      </w:r>
      <w:r w:rsidRPr="002736EA">
        <w:rPr>
          <w:rFonts w:ascii="Arial" w:hAnsi="Arial" w:cs="Arial"/>
        </w:rPr>
        <w:t>No.</w:t>
      </w:r>
      <w:r w:rsidR="002736EA" w:rsidRPr="002736EA">
        <w:rPr>
          <w:rFonts w:ascii="Arial" w:hAnsi="Arial" w:cs="Arial"/>
        </w:rPr>
        <w:t xml:space="preserve"> 14</w:t>
      </w:r>
      <w:r w:rsidRPr="002736EA">
        <w:rPr>
          <w:rFonts w:ascii="Arial" w:hAnsi="Arial" w:cs="Arial"/>
        </w:rPr>
        <w:t>,</w:t>
      </w:r>
      <w:r w:rsidRPr="00682643">
        <w:rPr>
          <w:rFonts w:ascii="Arial" w:hAnsi="Arial" w:cs="Arial"/>
        </w:rPr>
        <w:t xml:space="preserve"> principalmente en los pagos que se </w:t>
      </w:r>
      <w:r w:rsidRPr="00682643">
        <w:rPr>
          <w:rFonts w:ascii="Arial" w:hAnsi="Arial" w:cs="Arial"/>
        </w:rPr>
        <w:lastRenderedPageBreak/>
        <w:t>reportan en el FUT, los cuales son mayores a los contenidos en las ejecuciones presupuestales.</w:t>
      </w:r>
    </w:p>
    <w:p w:rsidR="00410498" w:rsidRDefault="00410498">
      <w:pPr>
        <w:spacing w:line="240" w:lineRule="auto"/>
        <w:contextualSpacing/>
        <w:jc w:val="both"/>
        <w:rPr>
          <w:rFonts w:ascii="Arial" w:hAnsi="Arial" w:cs="Arial"/>
        </w:rPr>
      </w:pPr>
    </w:p>
    <w:p w:rsidR="002736EA" w:rsidRPr="00BE36D3" w:rsidRDefault="002736EA">
      <w:pPr>
        <w:pStyle w:val="Prrafodelista"/>
        <w:spacing w:after="0" w:line="240" w:lineRule="auto"/>
        <w:jc w:val="center"/>
        <w:rPr>
          <w:rFonts w:ascii="Arial" w:eastAsia="Arial Narrow" w:hAnsi="Arial" w:cs="Arial"/>
          <w:b/>
          <w:bCs/>
          <w:sz w:val="20"/>
          <w:szCs w:val="20"/>
        </w:rPr>
      </w:pPr>
      <w:r w:rsidRPr="00BE36D3">
        <w:rPr>
          <w:rFonts w:ascii="Arial" w:eastAsia="Arial Narrow" w:hAnsi="Arial" w:cs="Arial"/>
          <w:b/>
          <w:bCs/>
          <w:sz w:val="20"/>
          <w:szCs w:val="20"/>
        </w:rPr>
        <w:t xml:space="preserve">Cuadro No. </w:t>
      </w:r>
      <w:r>
        <w:rPr>
          <w:rFonts w:ascii="Arial" w:eastAsia="Arial Narrow" w:hAnsi="Arial" w:cs="Arial"/>
          <w:b/>
          <w:bCs/>
          <w:sz w:val="20"/>
          <w:szCs w:val="20"/>
        </w:rPr>
        <w:t>14</w:t>
      </w:r>
    </w:p>
    <w:p w:rsidR="002736EA" w:rsidRPr="00BE36D3" w:rsidRDefault="002736EA">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Reporte de Gastos Participación de Propósito General vigencia 2017 y 2018 </w:t>
      </w:r>
    </w:p>
    <w:p w:rsidR="002736EA" w:rsidRPr="00BE36D3" w:rsidRDefault="002736EA">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Pr>
          <w:rFonts w:ascii="Arial" w:hAnsi="Arial" w:cs="Arial"/>
          <w:sz w:val="20"/>
          <w:szCs w:val="20"/>
        </w:rPr>
        <w:t>Tolú - Sucre</w:t>
      </w:r>
    </w:p>
    <w:p w:rsidR="002736EA" w:rsidRPr="00BE36D3" w:rsidRDefault="002736EA">
      <w:pPr>
        <w:pStyle w:val="Prrafodelista"/>
        <w:spacing w:after="0" w:line="240" w:lineRule="auto"/>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tbl>
      <w:tblPr>
        <w:tblW w:w="9979" w:type="dxa"/>
        <w:jc w:val="center"/>
        <w:tblCellMar>
          <w:left w:w="70" w:type="dxa"/>
          <w:right w:w="70" w:type="dxa"/>
        </w:tblCellMar>
        <w:tblLook w:val="04A0" w:firstRow="1" w:lastRow="0" w:firstColumn="1" w:lastColumn="0" w:noHBand="0" w:noVBand="1"/>
      </w:tblPr>
      <w:tblGrid>
        <w:gridCol w:w="1216"/>
        <w:gridCol w:w="1164"/>
        <w:gridCol w:w="1164"/>
        <w:gridCol w:w="1164"/>
        <w:gridCol w:w="1164"/>
        <w:gridCol w:w="1074"/>
        <w:gridCol w:w="1074"/>
        <w:gridCol w:w="1074"/>
        <w:gridCol w:w="1031"/>
      </w:tblGrid>
      <w:tr w:rsidR="002736EA" w:rsidRPr="00506FD1" w:rsidTr="001F08AA">
        <w:trPr>
          <w:trHeight w:val="450"/>
          <w:jc w:val="center"/>
        </w:trPr>
        <w:tc>
          <w:tcPr>
            <w:tcW w:w="1166" w:type="dxa"/>
            <w:vMerge w:val="restart"/>
            <w:tcBorders>
              <w:top w:val="nil"/>
              <w:left w:val="single" w:sz="8" w:space="0" w:color="auto"/>
              <w:bottom w:val="single" w:sz="8" w:space="0" w:color="000000"/>
              <w:right w:val="single" w:sz="8" w:space="0" w:color="auto"/>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Gastos Totales</w:t>
            </w:r>
          </w:p>
        </w:tc>
        <w:tc>
          <w:tcPr>
            <w:tcW w:w="2279" w:type="dxa"/>
            <w:gridSpan w:val="2"/>
            <w:vMerge w:val="restart"/>
            <w:tcBorders>
              <w:top w:val="single" w:sz="8" w:space="0" w:color="auto"/>
              <w:left w:val="single" w:sz="8" w:space="0" w:color="auto"/>
              <w:bottom w:val="nil"/>
              <w:right w:val="single" w:sz="8" w:space="0" w:color="000000"/>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1.1. Libre Destinación</w:t>
            </w:r>
          </w:p>
        </w:tc>
        <w:tc>
          <w:tcPr>
            <w:tcW w:w="2279" w:type="dxa"/>
            <w:gridSpan w:val="2"/>
            <w:vMerge w:val="restart"/>
            <w:tcBorders>
              <w:top w:val="single" w:sz="8" w:space="0" w:color="auto"/>
              <w:left w:val="single" w:sz="8" w:space="0" w:color="auto"/>
              <w:bottom w:val="single" w:sz="8" w:space="0" w:color="000000"/>
              <w:right w:val="nil"/>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1.2 Libre inversión</w:t>
            </w:r>
          </w:p>
        </w:tc>
        <w:tc>
          <w:tcPr>
            <w:tcW w:w="2149" w:type="dxa"/>
            <w:gridSpan w:val="2"/>
            <w:vMerge w:val="restart"/>
            <w:tcBorders>
              <w:top w:val="single" w:sz="8" w:space="0" w:color="auto"/>
              <w:left w:val="single" w:sz="8" w:space="0" w:color="auto"/>
              <w:bottom w:val="single" w:sz="8" w:space="0" w:color="000000"/>
              <w:right w:val="nil"/>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1.3. Deporte y Recreación</w:t>
            </w:r>
          </w:p>
        </w:tc>
        <w:tc>
          <w:tcPr>
            <w:tcW w:w="2106" w:type="dxa"/>
            <w:gridSpan w:val="2"/>
            <w:vMerge w:val="restart"/>
            <w:tcBorders>
              <w:top w:val="single" w:sz="8" w:space="0" w:color="auto"/>
              <w:left w:val="single" w:sz="8" w:space="0" w:color="auto"/>
              <w:bottom w:val="single" w:sz="8" w:space="0" w:color="000000"/>
              <w:right w:val="nil"/>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1.4. Cultura</w:t>
            </w:r>
          </w:p>
        </w:tc>
      </w:tr>
      <w:tr w:rsidR="002736EA" w:rsidRPr="00506FD1" w:rsidTr="001F08AA">
        <w:trPr>
          <w:trHeight w:val="739"/>
          <w:jc w:val="center"/>
        </w:trPr>
        <w:tc>
          <w:tcPr>
            <w:tcW w:w="1166" w:type="dxa"/>
            <w:vMerge/>
            <w:tcBorders>
              <w:top w:val="nil"/>
              <w:left w:val="single" w:sz="8" w:space="0" w:color="auto"/>
              <w:bottom w:val="single" w:sz="8" w:space="0" w:color="000000"/>
              <w:right w:val="single" w:sz="8" w:space="0" w:color="auto"/>
            </w:tcBorders>
            <w:vAlign w:val="center"/>
            <w:hideMark/>
          </w:tcPr>
          <w:p w:rsidR="002736EA" w:rsidRPr="00BE36D3" w:rsidRDefault="002736EA">
            <w:pPr>
              <w:spacing w:after="0" w:line="240" w:lineRule="auto"/>
              <w:contextualSpacing/>
              <w:rPr>
                <w:rFonts w:ascii="Arial" w:eastAsia="Times New Roman" w:hAnsi="Arial" w:cs="Arial"/>
                <w:b/>
                <w:bCs/>
                <w:color w:val="FFFFFF"/>
                <w:sz w:val="16"/>
                <w:szCs w:val="16"/>
                <w:lang w:eastAsia="es-CO"/>
              </w:rPr>
            </w:pPr>
          </w:p>
        </w:tc>
        <w:tc>
          <w:tcPr>
            <w:tcW w:w="2279" w:type="dxa"/>
            <w:gridSpan w:val="2"/>
            <w:vMerge/>
            <w:tcBorders>
              <w:top w:val="single" w:sz="8" w:space="0" w:color="auto"/>
              <w:left w:val="single" w:sz="8" w:space="0" w:color="auto"/>
              <w:bottom w:val="nil"/>
              <w:right w:val="single" w:sz="8" w:space="0" w:color="000000"/>
            </w:tcBorders>
            <w:vAlign w:val="center"/>
            <w:hideMark/>
          </w:tcPr>
          <w:p w:rsidR="002736EA" w:rsidRPr="00BE36D3" w:rsidRDefault="002736EA">
            <w:pPr>
              <w:spacing w:after="0" w:line="240" w:lineRule="auto"/>
              <w:contextualSpacing/>
              <w:rPr>
                <w:rFonts w:ascii="Arial" w:eastAsia="Times New Roman" w:hAnsi="Arial" w:cs="Arial"/>
                <w:b/>
                <w:bCs/>
                <w:color w:val="FFFFFF"/>
                <w:sz w:val="16"/>
                <w:szCs w:val="16"/>
                <w:lang w:eastAsia="es-CO"/>
              </w:rPr>
            </w:pPr>
          </w:p>
        </w:tc>
        <w:tc>
          <w:tcPr>
            <w:tcW w:w="2279" w:type="dxa"/>
            <w:gridSpan w:val="2"/>
            <w:vMerge/>
            <w:tcBorders>
              <w:top w:val="single" w:sz="8" w:space="0" w:color="auto"/>
              <w:left w:val="single" w:sz="8" w:space="0" w:color="auto"/>
              <w:bottom w:val="single" w:sz="8" w:space="0" w:color="000000"/>
              <w:right w:val="nil"/>
            </w:tcBorders>
            <w:vAlign w:val="center"/>
            <w:hideMark/>
          </w:tcPr>
          <w:p w:rsidR="002736EA" w:rsidRPr="00BE36D3" w:rsidRDefault="002736EA">
            <w:pPr>
              <w:spacing w:after="0" w:line="240" w:lineRule="auto"/>
              <w:contextualSpacing/>
              <w:rPr>
                <w:rFonts w:ascii="Arial" w:eastAsia="Times New Roman" w:hAnsi="Arial" w:cs="Arial"/>
                <w:b/>
                <w:bCs/>
                <w:color w:val="FFFFFF"/>
                <w:sz w:val="16"/>
                <w:szCs w:val="16"/>
                <w:lang w:eastAsia="es-CO"/>
              </w:rPr>
            </w:pPr>
          </w:p>
        </w:tc>
        <w:tc>
          <w:tcPr>
            <w:tcW w:w="2149" w:type="dxa"/>
            <w:gridSpan w:val="2"/>
            <w:vMerge/>
            <w:tcBorders>
              <w:top w:val="single" w:sz="8" w:space="0" w:color="auto"/>
              <w:left w:val="single" w:sz="8" w:space="0" w:color="auto"/>
              <w:bottom w:val="single" w:sz="8" w:space="0" w:color="000000"/>
              <w:right w:val="nil"/>
            </w:tcBorders>
            <w:vAlign w:val="center"/>
            <w:hideMark/>
          </w:tcPr>
          <w:p w:rsidR="002736EA" w:rsidRPr="00BE36D3" w:rsidRDefault="002736EA">
            <w:pPr>
              <w:spacing w:after="0" w:line="240" w:lineRule="auto"/>
              <w:contextualSpacing/>
              <w:rPr>
                <w:rFonts w:ascii="Arial" w:eastAsia="Times New Roman" w:hAnsi="Arial" w:cs="Arial"/>
                <w:b/>
                <w:bCs/>
                <w:color w:val="FFFFFF"/>
                <w:sz w:val="16"/>
                <w:szCs w:val="16"/>
                <w:lang w:eastAsia="es-CO"/>
              </w:rPr>
            </w:pPr>
          </w:p>
        </w:tc>
        <w:tc>
          <w:tcPr>
            <w:tcW w:w="2106" w:type="dxa"/>
            <w:gridSpan w:val="2"/>
            <w:vMerge/>
            <w:tcBorders>
              <w:top w:val="single" w:sz="8" w:space="0" w:color="auto"/>
              <w:left w:val="single" w:sz="8" w:space="0" w:color="auto"/>
              <w:bottom w:val="single" w:sz="8" w:space="0" w:color="000000"/>
              <w:right w:val="nil"/>
            </w:tcBorders>
            <w:vAlign w:val="center"/>
            <w:hideMark/>
          </w:tcPr>
          <w:p w:rsidR="002736EA" w:rsidRPr="00BE36D3" w:rsidRDefault="002736EA">
            <w:pPr>
              <w:spacing w:after="0" w:line="240" w:lineRule="auto"/>
              <w:contextualSpacing/>
              <w:rPr>
                <w:rFonts w:ascii="Arial" w:eastAsia="Times New Roman" w:hAnsi="Arial" w:cs="Arial"/>
                <w:b/>
                <w:bCs/>
                <w:color w:val="FFFFFF"/>
                <w:sz w:val="16"/>
                <w:szCs w:val="16"/>
                <w:lang w:eastAsia="es-CO"/>
              </w:rPr>
            </w:pPr>
          </w:p>
        </w:tc>
      </w:tr>
      <w:tr w:rsidR="002736EA" w:rsidRPr="00506FD1" w:rsidTr="001F08AA">
        <w:trPr>
          <w:trHeight w:val="272"/>
          <w:jc w:val="center"/>
        </w:trPr>
        <w:tc>
          <w:tcPr>
            <w:tcW w:w="1166" w:type="dxa"/>
            <w:vMerge/>
            <w:tcBorders>
              <w:top w:val="nil"/>
              <w:left w:val="single" w:sz="8" w:space="0" w:color="auto"/>
              <w:bottom w:val="single" w:sz="8" w:space="0" w:color="000000"/>
              <w:right w:val="single" w:sz="8" w:space="0" w:color="auto"/>
            </w:tcBorders>
            <w:vAlign w:val="center"/>
            <w:hideMark/>
          </w:tcPr>
          <w:p w:rsidR="002736EA" w:rsidRPr="00BE36D3" w:rsidRDefault="002736EA">
            <w:pPr>
              <w:spacing w:after="0" w:line="240" w:lineRule="auto"/>
              <w:contextualSpacing/>
              <w:rPr>
                <w:rFonts w:ascii="Arial" w:eastAsia="Times New Roman" w:hAnsi="Arial" w:cs="Arial"/>
                <w:b/>
                <w:bCs/>
                <w:color w:val="FFFFFF"/>
                <w:sz w:val="16"/>
                <w:szCs w:val="16"/>
                <w:lang w:eastAsia="es-CO"/>
              </w:rPr>
            </w:pPr>
          </w:p>
        </w:tc>
        <w:tc>
          <w:tcPr>
            <w:tcW w:w="1139" w:type="dxa"/>
            <w:tcBorders>
              <w:top w:val="single" w:sz="8" w:space="0" w:color="auto"/>
              <w:left w:val="nil"/>
              <w:bottom w:val="single" w:sz="8" w:space="0" w:color="auto"/>
              <w:right w:val="single" w:sz="8" w:space="0" w:color="auto"/>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2017</w:t>
            </w:r>
          </w:p>
        </w:tc>
        <w:tc>
          <w:tcPr>
            <w:tcW w:w="1139" w:type="dxa"/>
            <w:tcBorders>
              <w:top w:val="single" w:sz="8" w:space="0" w:color="auto"/>
              <w:left w:val="nil"/>
              <w:bottom w:val="single" w:sz="8" w:space="0" w:color="auto"/>
              <w:right w:val="single" w:sz="8" w:space="0" w:color="auto"/>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2018</w:t>
            </w:r>
          </w:p>
        </w:tc>
        <w:tc>
          <w:tcPr>
            <w:tcW w:w="1139" w:type="dxa"/>
            <w:tcBorders>
              <w:top w:val="nil"/>
              <w:left w:val="nil"/>
              <w:bottom w:val="single" w:sz="8" w:space="0" w:color="auto"/>
              <w:right w:val="single" w:sz="8" w:space="0" w:color="auto"/>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2017</w:t>
            </w:r>
          </w:p>
        </w:tc>
        <w:tc>
          <w:tcPr>
            <w:tcW w:w="1139" w:type="dxa"/>
            <w:tcBorders>
              <w:top w:val="nil"/>
              <w:left w:val="nil"/>
              <w:bottom w:val="single" w:sz="8" w:space="0" w:color="auto"/>
              <w:right w:val="single" w:sz="8" w:space="0" w:color="auto"/>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2018</w:t>
            </w:r>
          </w:p>
        </w:tc>
        <w:tc>
          <w:tcPr>
            <w:tcW w:w="1074" w:type="dxa"/>
            <w:tcBorders>
              <w:top w:val="nil"/>
              <w:left w:val="nil"/>
              <w:bottom w:val="single" w:sz="8" w:space="0" w:color="auto"/>
              <w:right w:val="single" w:sz="8" w:space="0" w:color="auto"/>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2017</w:t>
            </w:r>
          </w:p>
        </w:tc>
        <w:tc>
          <w:tcPr>
            <w:tcW w:w="1074" w:type="dxa"/>
            <w:tcBorders>
              <w:top w:val="nil"/>
              <w:left w:val="nil"/>
              <w:bottom w:val="single" w:sz="8" w:space="0" w:color="auto"/>
              <w:right w:val="single" w:sz="8" w:space="0" w:color="auto"/>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2018</w:t>
            </w:r>
          </w:p>
        </w:tc>
        <w:tc>
          <w:tcPr>
            <w:tcW w:w="1074" w:type="dxa"/>
            <w:tcBorders>
              <w:top w:val="nil"/>
              <w:left w:val="nil"/>
              <w:bottom w:val="single" w:sz="8" w:space="0" w:color="auto"/>
              <w:right w:val="single" w:sz="8" w:space="0" w:color="auto"/>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2017</w:t>
            </w:r>
          </w:p>
        </w:tc>
        <w:tc>
          <w:tcPr>
            <w:tcW w:w="1031" w:type="dxa"/>
            <w:tcBorders>
              <w:top w:val="nil"/>
              <w:left w:val="nil"/>
              <w:bottom w:val="single" w:sz="8" w:space="0" w:color="auto"/>
              <w:right w:val="single" w:sz="8" w:space="0" w:color="auto"/>
            </w:tcBorders>
            <w:shd w:val="clear" w:color="000000" w:fill="666699"/>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2018</w:t>
            </w:r>
          </w:p>
        </w:tc>
      </w:tr>
      <w:tr w:rsidR="002736EA" w:rsidRPr="00506FD1" w:rsidTr="001F08AA">
        <w:trPr>
          <w:trHeight w:val="713"/>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2736EA" w:rsidRPr="00BE36D3" w:rsidRDefault="002736EA">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PPTO Definitivo (Ejecución)</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1.168.933.994</w:t>
            </w:r>
          </w:p>
        </w:tc>
        <w:tc>
          <w:tcPr>
            <w:tcW w:w="1139"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1.110.689.418</w:t>
            </w:r>
          </w:p>
        </w:tc>
        <w:tc>
          <w:tcPr>
            <w:tcW w:w="1139"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1.449.318.508</w:t>
            </w:r>
          </w:p>
        </w:tc>
        <w:tc>
          <w:tcPr>
            <w:tcW w:w="1139"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1.674.241.758</w:t>
            </w:r>
          </w:p>
        </w:tc>
        <w:tc>
          <w:tcPr>
            <w:tcW w:w="1074"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127.510.385</w:t>
            </w:r>
          </w:p>
        </w:tc>
        <w:tc>
          <w:tcPr>
            <w:tcW w:w="1074"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122.704.736</w:t>
            </w:r>
          </w:p>
        </w:tc>
        <w:tc>
          <w:tcPr>
            <w:tcW w:w="1074"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122.524.833</w:t>
            </w:r>
          </w:p>
        </w:tc>
        <w:tc>
          <w:tcPr>
            <w:tcW w:w="1031"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92.028.552</w:t>
            </w:r>
          </w:p>
        </w:tc>
      </w:tr>
      <w:tr w:rsidR="002736EA" w:rsidRPr="00506FD1" w:rsidTr="001F08AA">
        <w:trPr>
          <w:trHeight w:val="479"/>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2736EA" w:rsidRPr="00BE36D3" w:rsidRDefault="002736EA">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PPTO Definitivo FUT</w:t>
            </w:r>
          </w:p>
        </w:tc>
        <w:tc>
          <w:tcPr>
            <w:tcW w:w="1139" w:type="dxa"/>
            <w:tcBorders>
              <w:top w:val="nil"/>
              <w:left w:val="single" w:sz="4" w:space="0" w:color="000000"/>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1.168.933.994</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1.085.981.812</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1.674.241.758</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127.510.385</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122704736</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122.524.833</w:t>
            </w:r>
          </w:p>
        </w:tc>
        <w:tc>
          <w:tcPr>
            <w:tcW w:w="1031"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92.028.552</w:t>
            </w:r>
          </w:p>
        </w:tc>
      </w:tr>
      <w:tr w:rsidR="002736EA" w:rsidRPr="00506FD1" w:rsidTr="001F08AA">
        <w:trPr>
          <w:trHeight w:val="272"/>
          <w:jc w:val="center"/>
        </w:trPr>
        <w:tc>
          <w:tcPr>
            <w:tcW w:w="1166" w:type="dxa"/>
            <w:tcBorders>
              <w:top w:val="nil"/>
              <w:left w:val="single" w:sz="8" w:space="0" w:color="auto"/>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Diferencia</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363.336.696</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31"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r>
      <w:tr w:rsidR="002736EA" w:rsidRPr="00506FD1" w:rsidTr="001F08AA">
        <w:trPr>
          <w:trHeight w:val="479"/>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2736EA" w:rsidRPr="00BE36D3" w:rsidRDefault="002736EA">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Compromisos (Ejecución)</w:t>
            </w:r>
          </w:p>
        </w:tc>
        <w:tc>
          <w:tcPr>
            <w:tcW w:w="1139" w:type="dxa"/>
            <w:tcBorders>
              <w:top w:val="nil"/>
              <w:left w:val="nil"/>
              <w:bottom w:val="single" w:sz="8" w:space="0" w:color="auto"/>
              <w:right w:val="single" w:sz="8" w:space="0" w:color="auto"/>
            </w:tcBorders>
            <w:shd w:val="clear" w:color="auto" w:fill="auto"/>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1.167.538.943</w:t>
            </w:r>
          </w:p>
        </w:tc>
        <w:tc>
          <w:tcPr>
            <w:tcW w:w="1139"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1.110.689.418</w:t>
            </w:r>
          </w:p>
        </w:tc>
        <w:tc>
          <w:tcPr>
            <w:tcW w:w="1139"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1.449.317.014</w:t>
            </w:r>
          </w:p>
        </w:tc>
        <w:tc>
          <w:tcPr>
            <w:tcW w:w="1139"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1.378.935.727</w:t>
            </w:r>
          </w:p>
        </w:tc>
        <w:tc>
          <w:tcPr>
            <w:tcW w:w="1074"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88.065.698</w:t>
            </w:r>
          </w:p>
        </w:tc>
        <w:tc>
          <w:tcPr>
            <w:tcW w:w="1074"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67.747.532</w:t>
            </w:r>
          </w:p>
        </w:tc>
        <w:tc>
          <w:tcPr>
            <w:tcW w:w="1074"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57.250.000</w:t>
            </w:r>
          </w:p>
        </w:tc>
        <w:tc>
          <w:tcPr>
            <w:tcW w:w="1031"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80.209.900</w:t>
            </w:r>
          </w:p>
        </w:tc>
      </w:tr>
      <w:tr w:rsidR="002736EA" w:rsidRPr="00506FD1" w:rsidTr="001F08AA">
        <w:trPr>
          <w:trHeight w:val="479"/>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2736EA" w:rsidRPr="00BE36D3" w:rsidRDefault="002736EA">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Compromisos FUT</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1.167.538.943</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1.085.980.318</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1.378.935.727</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88.065.698</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67747532</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57.250.000</w:t>
            </w:r>
          </w:p>
        </w:tc>
        <w:tc>
          <w:tcPr>
            <w:tcW w:w="1031"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80.209.900</w:t>
            </w:r>
          </w:p>
        </w:tc>
      </w:tr>
      <w:tr w:rsidR="002736EA" w:rsidRPr="00506FD1" w:rsidTr="001F08AA">
        <w:trPr>
          <w:trHeight w:val="272"/>
          <w:jc w:val="center"/>
        </w:trPr>
        <w:tc>
          <w:tcPr>
            <w:tcW w:w="1166" w:type="dxa"/>
            <w:tcBorders>
              <w:top w:val="nil"/>
              <w:left w:val="single" w:sz="8" w:space="0" w:color="auto"/>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Diferencia </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363.336.696</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31"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r>
      <w:tr w:rsidR="002736EA" w:rsidRPr="00506FD1" w:rsidTr="001F08AA">
        <w:trPr>
          <w:trHeight w:val="479"/>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2736EA" w:rsidRPr="00BE36D3" w:rsidRDefault="002736EA">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Obligaciones (Ejecución)</w:t>
            </w:r>
          </w:p>
        </w:tc>
        <w:tc>
          <w:tcPr>
            <w:tcW w:w="1139" w:type="dxa"/>
            <w:tcBorders>
              <w:top w:val="nil"/>
              <w:left w:val="nil"/>
              <w:bottom w:val="single" w:sz="8" w:space="0" w:color="auto"/>
              <w:right w:val="single" w:sz="8" w:space="0" w:color="auto"/>
            </w:tcBorders>
            <w:shd w:val="clear" w:color="auto" w:fill="auto"/>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1.167.538.943</w:t>
            </w:r>
          </w:p>
        </w:tc>
        <w:tc>
          <w:tcPr>
            <w:tcW w:w="1139"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1.110.689.418</w:t>
            </w:r>
          </w:p>
        </w:tc>
        <w:tc>
          <w:tcPr>
            <w:tcW w:w="1139"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1.449.317.014</w:t>
            </w:r>
          </w:p>
        </w:tc>
        <w:tc>
          <w:tcPr>
            <w:tcW w:w="1139"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1.300.935.727</w:t>
            </w:r>
          </w:p>
        </w:tc>
        <w:tc>
          <w:tcPr>
            <w:tcW w:w="1074"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88.065.698</w:t>
            </w:r>
          </w:p>
        </w:tc>
        <w:tc>
          <w:tcPr>
            <w:tcW w:w="1074"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67.747.532</w:t>
            </w:r>
          </w:p>
        </w:tc>
        <w:tc>
          <w:tcPr>
            <w:tcW w:w="1074"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57.250.000</w:t>
            </w:r>
          </w:p>
        </w:tc>
        <w:tc>
          <w:tcPr>
            <w:tcW w:w="1031"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80.209.900</w:t>
            </w:r>
          </w:p>
        </w:tc>
      </w:tr>
      <w:tr w:rsidR="002736EA" w:rsidRPr="00506FD1" w:rsidTr="001F08AA">
        <w:trPr>
          <w:trHeight w:val="479"/>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2736EA" w:rsidRPr="00BE36D3" w:rsidRDefault="002736EA">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Obligaciones FUT</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1.167.538.943</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1.085.980.318</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1.300.935.727</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88.065.698</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67.747.532</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57.250.000</w:t>
            </w:r>
          </w:p>
        </w:tc>
        <w:tc>
          <w:tcPr>
            <w:tcW w:w="1031"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80.209.900</w:t>
            </w:r>
          </w:p>
        </w:tc>
      </w:tr>
      <w:tr w:rsidR="002736EA" w:rsidRPr="00506FD1" w:rsidTr="001F08AA">
        <w:trPr>
          <w:trHeight w:val="272"/>
          <w:jc w:val="center"/>
        </w:trPr>
        <w:tc>
          <w:tcPr>
            <w:tcW w:w="1166" w:type="dxa"/>
            <w:tcBorders>
              <w:top w:val="nil"/>
              <w:left w:val="single" w:sz="8" w:space="0" w:color="auto"/>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Diferencia</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363.336.696</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31"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r>
      <w:tr w:rsidR="002736EA" w:rsidRPr="00506FD1" w:rsidTr="001F08AA">
        <w:trPr>
          <w:trHeight w:val="479"/>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2736EA" w:rsidRPr="00BE36D3" w:rsidRDefault="002736EA">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Pagos (Ejecución)</w:t>
            </w:r>
          </w:p>
        </w:tc>
        <w:tc>
          <w:tcPr>
            <w:tcW w:w="1139" w:type="dxa"/>
            <w:tcBorders>
              <w:top w:val="nil"/>
              <w:left w:val="nil"/>
              <w:bottom w:val="single" w:sz="8" w:space="0" w:color="auto"/>
              <w:right w:val="single" w:sz="8" w:space="0" w:color="auto"/>
            </w:tcBorders>
            <w:shd w:val="clear" w:color="auto" w:fill="auto"/>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1.134.535.047</w:t>
            </w:r>
          </w:p>
        </w:tc>
        <w:tc>
          <w:tcPr>
            <w:tcW w:w="1139"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975.746.346</w:t>
            </w:r>
          </w:p>
        </w:tc>
        <w:tc>
          <w:tcPr>
            <w:tcW w:w="1139"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1.305.110.934</w:t>
            </w:r>
          </w:p>
        </w:tc>
        <w:tc>
          <w:tcPr>
            <w:tcW w:w="1139"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1.082.001.879</w:t>
            </w:r>
          </w:p>
        </w:tc>
        <w:tc>
          <w:tcPr>
            <w:tcW w:w="1074"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73.230.668</w:t>
            </w:r>
          </w:p>
        </w:tc>
        <w:tc>
          <w:tcPr>
            <w:tcW w:w="1074"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65.288.332</w:t>
            </w:r>
          </w:p>
        </w:tc>
        <w:tc>
          <w:tcPr>
            <w:tcW w:w="1074"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57.250.000</w:t>
            </w:r>
          </w:p>
        </w:tc>
        <w:tc>
          <w:tcPr>
            <w:tcW w:w="1031" w:type="dxa"/>
            <w:tcBorders>
              <w:top w:val="nil"/>
              <w:left w:val="nil"/>
              <w:bottom w:val="single" w:sz="8" w:space="0" w:color="auto"/>
              <w:right w:val="single" w:sz="8" w:space="0" w:color="auto"/>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76.337.800</w:t>
            </w:r>
          </w:p>
        </w:tc>
      </w:tr>
      <w:tr w:rsidR="002736EA" w:rsidRPr="00506FD1" w:rsidTr="001F08AA">
        <w:trPr>
          <w:trHeight w:val="272"/>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2736EA" w:rsidRPr="00BE36D3" w:rsidRDefault="002736EA">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Pagos FUT</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1.148.164.962</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1.075.214.234</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952.594.837</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1.122.836.129</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73.230.668</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56.643.096</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57.250.000</w:t>
            </w:r>
          </w:p>
        </w:tc>
        <w:tc>
          <w:tcPr>
            <w:tcW w:w="1031" w:type="dxa"/>
            <w:tcBorders>
              <w:top w:val="single" w:sz="4" w:space="0" w:color="000000"/>
              <w:left w:val="nil"/>
              <w:bottom w:val="single" w:sz="4" w:space="0" w:color="000000"/>
              <w:right w:val="single" w:sz="4" w:space="0" w:color="000000"/>
            </w:tcBorders>
            <w:shd w:val="clear" w:color="auto" w:fill="auto"/>
            <w:noWrap/>
            <w:vAlign w:val="center"/>
            <w:hideMark/>
          </w:tcPr>
          <w:p w:rsidR="002736EA" w:rsidRPr="00BE36D3" w:rsidRDefault="002736EA">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53.807.800</w:t>
            </w:r>
          </w:p>
        </w:tc>
      </w:tr>
      <w:tr w:rsidR="002736EA" w:rsidRPr="00506FD1" w:rsidTr="001F08AA">
        <w:trPr>
          <w:trHeight w:val="440"/>
          <w:jc w:val="center"/>
        </w:trPr>
        <w:tc>
          <w:tcPr>
            <w:tcW w:w="1166" w:type="dxa"/>
            <w:tcBorders>
              <w:top w:val="nil"/>
              <w:left w:val="single" w:sz="8" w:space="0" w:color="auto"/>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Diferencia</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-13.629.915</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-99.467.888</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352.516.097</w:t>
            </w:r>
          </w:p>
        </w:tc>
        <w:tc>
          <w:tcPr>
            <w:tcW w:w="1139"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-40.834.250</w:t>
            </w:r>
          </w:p>
        </w:tc>
        <w:tc>
          <w:tcPr>
            <w:tcW w:w="1074"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8.645.236</w:t>
            </w:r>
          </w:p>
        </w:tc>
        <w:tc>
          <w:tcPr>
            <w:tcW w:w="1074"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31" w:type="dxa"/>
            <w:tcBorders>
              <w:top w:val="nil"/>
              <w:left w:val="nil"/>
              <w:bottom w:val="single" w:sz="8" w:space="0" w:color="auto"/>
              <w:right w:val="single" w:sz="8" w:space="0" w:color="auto"/>
            </w:tcBorders>
            <w:shd w:val="clear" w:color="000000" w:fill="5F497A"/>
            <w:vAlign w:val="center"/>
            <w:hideMark/>
          </w:tcPr>
          <w:p w:rsidR="002736EA" w:rsidRPr="00BE36D3" w:rsidRDefault="002736EA">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22.530.000</w:t>
            </w:r>
          </w:p>
        </w:tc>
      </w:tr>
    </w:tbl>
    <w:p w:rsidR="002736EA" w:rsidRPr="00BE36D3" w:rsidRDefault="002736EA">
      <w:pPr>
        <w:spacing w:line="240" w:lineRule="auto"/>
        <w:contextualSpacing/>
        <w:jc w:val="center"/>
        <w:rPr>
          <w:rFonts w:ascii="Arial" w:eastAsia="Times New Roman" w:hAnsi="Arial" w:cs="Arial"/>
          <w:sz w:val="20"/>
          <w:szCs w:val="20"/>
          <w:lang w:eastAsia="es-CO"/>
        </w:rPr>
      </w:pPr>
      <w:r w:rsidRPr="00BE36D3">
        <w:rPr>
          <w:rFonts w:ascii="Arial" w:eastAsia="Times New Roman" w:hAnsi="Arial" w:cs="Arial"/>
          <w:b/>
          <w:sz w:val="20"/>
          <w:szCs w:val="20"/>
          <w:lang w:eastAsia="es-CO"/>
        </w:rPr>
        <w:t>Fuente:</w:t>
      </w:r>
      <w:r w:rsidRPr="00BE36D3">
        <w:rPr>
          <w:rFonts w:ascii="Arial" w:eastAsia="Times New Roman" w:hAnsi="Arial" w:cs="Arial"/>
          <w:sz w:val="20"/>
          <w:szCs w:val="20"/>
          <w:lang w:eastAsia="es-CO"/>
        </w:rPr>
        <w:t xml:space="preserve"> Cálculos DAF con información de ejecuciones presupuestales e información FUT </w:t>
      </w:r>
      <w:r>
        <w:rPr>
          <w:rFonts w:ascii="Arial" w:eastAsia="Times New Roman" w:hAnsi="Arial" w:cs="Arial"/>
          <w:sz w:val="20"/>
          <w:szCs w:val="20"/>
          <w:lang w:eastAsia="es-CO"/>
        </w:rPr>
        <w:t>C</w:t>
      </w:r>
      <w:r w:rsidRPr="00BE36D3">
        <w:rPr>
          <w:rFonts w:ascii="Arial" w:eastAsia="Times New Roman" w:hAnsi="Arial" w:cs="Arial"/>
          <w:sz w:val="20"/>
          <w:szCs w:val="20"/>
          <w:lang w:eastAsia="es-CO"/>
        </w:rPr>
        <w:t xml:space="preserve">ategoría </w:t>
      </w:r>
      <w:r>
        <w:rPr>
          <w:rFonts w:ascii="Arial" w:eastAsia="Times New Roman" w:hAnsi="Arial" w:cs="Arial"/>
          <w:sz w:val="20"/>
          <w:szCs w:val="20"/>
          <w:lang w:eastAsia="es-CO"/>
        </w:rPr>
        <w:t>G</w:t>
      </w:r>
      <w:r w:rsidRPr="00BE36D3">
        <w:rPr>
          <w:rFonts w:ascii="Arial" w:eastAsia="Times New Roman" w:hAnsi="Arial" w:cs="Arial"/>
          <w:sz w:val="20"/>
          <w:szCs w:val="20"/>
          <w:lang w:eastAsia="es-CO"/>
        </w:rPr>
        <w:t xml:space="preserve">astos de </w:t>
      </w:r>
      <w:r>
        <w:rPr>
          <w:rFonts w:ascii="Arial" w:eastAsia="Times New Roman" w:hAnsi="Arial" w:cs="Arial"/>
          <w:sz w:val="20"/>
          <w:szCs w:val="20"/>
          <w:lang w:eastAsia="es-CO"/>
        </w:rPr>
        <w:t>F</w:t>
      </w:r>
      <w:r w:rsidRPr="00BE36D3">
        <w:rPr>
          <w:rFonts w:ascii="Arial" w:eastAsia="Times New Roman" w:hAnsi="Arial" w:cs="Arial"/>
          <w:sz w:val="20"/>
          <w:szCs w:val="20"/>
          <w:lang w:eastAsia="es-CO"/>
        </w:rPr>
        <w:t xml:space="preserve">uncionamiento y </w:t>
      </w:r>
      <w:r>
        <w:rPr>
          <w:rFonts w:ascii="Arial" w:eastAsia="Times New Roman" w:hAnsi="Arial" w:cs="Arial"/>
          <w:sz w:val="20"/>
          <w:szCs w:val="20"/>
          <w:lang w:eastAsia="es-CO"/>
        </w:rPr>
        <w:t>G</w:t>
      </w:r>
      <w:r w:rsidRPr="00BE36D3">
        <w:rPr>
          <w:rFonts w:ascii="Arial" w:eastAsia="Times New Roman" w:hAnsi="Arial" w:cs="Arial"/>
          <w:sz w:val="20"/>
          <w:szCs w:val="20"/>
          <w:lang w:eastAsia="es-CO"/>
        </w:rPr>
        <w:t xml:space="preserve">astos de </w:t>
      </w:r>
      <w:r>
        <w:rPr>
          <w:rFonts w:ascii="Arial" w:eastAsia="Times New Roman" w:hAnsi="Arial" w:cs="Arial"/>
          <w:sz w:val="20"/>
          <w:szCs w:val="20"/>
          <w:lang w:eastAsia="es-CO"/>
        </w:rPr>
        <w:t>I</w:t>
      </w:r>
      <w:r w:rsidRPr="00BE36D3">
        <w:rPr>
          <w:rFonts w:ascii="Arial" w:eastAsia="Times New Roman" w:hAnsi="Arial" w:cs="Arial"/>
          <w:sz w:val="20"/>
          <w:szCs w:val="20"/>
          <w:lang w:eastAsia="es-CO"/>
        </w:rPr>
        <w:t>nversión.</w:t>
      </w:r>
    </w:p>
    <w:p w:rsidR="002736EA" w:rsidRPr="00BE36D3" w:rsidRDefault="002736EA">
      <w:pPr>
        <w:spacing w:line="240" w:lineRule="auto"/>
        <w:contextualSpacing/>
        <w:jc w:val="both"/>
        <w:rPr>
          <w:rFonts w:ascii="Arial" w:eastAsia="Times New Roman" w:hAnsi="Arial" w:cs="Arial"/>
          <w:lang w:eastAsia="es-CO"/>
        </w:rPr>
      </w:pPr>
    </w:p>
    <w:p w:rsidR="002736EA" w:rsidRPr="00BE36D3" w:rsidRDefault="002736EA">
      <w:pPr>
        <w:spacing w:line="240" w:lineRule="auto"/>
        <w:contextualSpacing/>
        <w:jc w:val="both"/>
        <w:rPr>
          <w:rFonts w:ascii="Arial" w:eastAsia="Times New Roman" w:hAnsi="Arial" w:cs="Arial"/>
          <w:lang w:eastAsia="es-CO"/>
        </w:rPr>
      </w:pPr>
      <w:r>
        <w:rPr>
          <w:rFonts w:ascii="Arial" w:eastAsia="Times New Roman" w:hAnsi="Arial" w:cs="Arial"/>
          <w:lang w:eastAsia="es-CO"/>
        </w:rPr>
        <w:t xml:space="preserve">Se </w:t>
      </w:r>
      <w:r w:rsidRPr="00BE36D3">
        <w:rPr>
          <w:rFonts w:ascii="Arial" w:eastAsia="Times New Roman" w:hAnsi="Arial" w:cs="Arial"/>
          <w:lang w:eastAsia="es-CO"/>
        </w:rPr>
        <w:t>puede observar que se presentan</w:t>
      </w:r>
      <w:r>
        <w:rPr>
          <w:rFonts w:ascii="Arial" w:eastAsia="Times New Roman" w:hAnsi="Arial" w:cs="Arial"/>
          <w:lang w:eastAsia="es-CO"/>
        </w:rPr>
        <w:t xml:space="preserve"> </w:t>
      </w:r>
      <w:r w:rsidRPr="00BE36D3">
        <w:rPr>
          <w:rFonts w:ascii="Arial" w:eastAsia="Times New Roman" w:hAnsi="Arial" w:cs="Arial"/>
          <w:lang w:eastAsia="es-CO"/>
        </w:rPr>
        <w:t>diferencias con las ejecuciones presupuestales del Municipi</w:t>
      </w:r>
      <w:r w:rsidR="00410498">
        <w:rPr>
          <w:rFonts w:ascii="Arial" w:eastAsia="Times New Roman" w:hAnsi="Arial" w:cs="Arial"/>
          <w:lang w:eastAsia="es-CO"/>
        </w:rPr>
        <w:t>o. E</w:t>
      </w:r>
      <w:r w:rsidRPr="00BE36D3">
        <w:rPr>
          <w:rFonts w:ascii="Arial" w:eastAsia="Times New Roman" w:hAnsi="Arial" w:cs="Arial"/>
          <w:lang w:eastAsia="es-CO"/>
        </w:rPr>
        <w:t>n primer lugar, en cuanto al componente de Libre Destinación, en las vigencias 2017 y 2018 se presentaron diferencias en los pagos por valor de $13.629.915 y $99.467.888 respectivamente. En segundo lugar, en Libre Inversión se identificó que en la vigencia 2017 hay inconsistencias entre el reporte y la ejecución presupuestal para el caso del presupuesto definitivo, los compromisos y las obligaciones por valor de $363.336.696 y de $352.516.097 en los pagos; en 2018 esta diferencia solo se presentó en los pagos y fue de $40.834.250.</w:t>
      </w:r>
    </w:p>
    <w:p w:rsidR="002736EA" w:rsidRPr="00BE36D3" w:rsidRDefault="002736EA">
      <w:pPr>
        <w:spacing w:line="240" w:lineRule="auto"/>
        <w:contextualSpacing/>
        <w:jc w:val="both"/>
        <w:rPr>
          <w:rFonts w:ascii="Arial" w:eastAsia="Times New Roman" w:hAnsi="Arial" w:cs="Arial"/>
          <w:lang w:eastAsia="es-CO"/>
        </w:rPr>
      </w:pPr>
    </w:p>
    <w:p w:rsidR="002736EA" w:rsidRDefault="002736EA">
      <w:pPr>
        <w:spacing w:line="240" w:lineRule="auto"/>
        <w:contextualSpacing/>
        <w:jc w:val="both"/>
        <w:rPr>
          <w:rFonts w:ascii="Arial" w:hAnsi="Arial" w:cs="Arial"/>
        </w:rPr>
      </w:pPr>
      <w:r w:rsidRPr="00BE36D3">
        <w:rPr>
          <w:rFonts w:ascii="Arial" w:eastAsia="Times New Roman" w:hAnsi="Arial" w:cs="Arial"/>
          <w:lang w:eastAsia="es-CO"/>
        </w:rPr>
        <w:lastRenderedPageBreak/>
        <w:t xml:space="preserve">En tercer lugar, en cuanto a la destinación para Deporte y Recreación no se presentó ninguna diferencia en la vigencia 2017, sin embargo, en 2018 se registró una diferencia en el reporte de pagos por valor de $8.645.236. </w:t>
      </w:r>
      <w:r>
        <w:rPr>
          <w:rFonts w:ascii="Arial" w:eastAsia="Times New Roman" w:hAnsi="Arial" w:cs="Arial"/>
          <w:lang w:eastAsia="es-CO"/>
        </w:rPr>
        <w:t>Por último</w:t>
      </w:r>
      <w:r w:rsidRPr="00BE36D3">
        <w:rPr>
          <w:rFonts w:ascii="Arial" w:eastAsia="Times New Roman" w:hAnsi="Arial" w:cs="Arial"/>
          <w:lang w:eastAsia="es-CO"/>
        </w:rPr>
        <w:t>, en Cultura en la vigencia 2018 se observa una inconsistencia de $22.530.000 en los pagos</w:t>
      </w:r>
      <w:r>
        <w:rPr>
          <w:rFonts w:ascii="Arial" w:eastAsia="Times New Roman" w:hAnsi="Arial" w:cs="Arial"/>
          <w:lang w:eastAsia="es-CO"/>
        </w:rPr>
        <w:t>.</w:t>
      </w:r>
    </w:p>
    <w:p w:rsidR="000204BF" w:rsidRPr="00682643" w:rsidRDefault="000204BF">
      <w:pPr>
        <w:spacing w:line="240" w:lineRule="auto"/>
        <w:contextualSpacing/>
        <w:jc w:val="both"/>
        <w:rPr>
          <w:rFonts w:ascii="Arial" w:eastAsia="Times New Roman" w:hAnsi="Arial" w:cs="Arial"/>
          <w:lang w:eastAsia="es-CO"/>
        </w:rPr>
      </w:pPr>
    </w:p>
    <w:p w:rsidR="000204BF" w:rsidRDefault="000204BF">
      <w:pPr>
        <w:spacing w:line="240" w:lineRule="auto"/>
        <w:contextualSpacing/>
        <w:jc w:val="both"/>
        <w:rPr>
          <w:rFonts w:ascii="Arial" w:hAnsi="Arial" w:cs="Arial"/>
        </w:rPr>
      </w:pPr>
      <w:r w:rsidRPr="00682643">
        <w:rPr>
          <w:rFonts w:ascii="Arial" w:eastAsia="Times New Roman" w:hAnsi="Arial" w:cs="Arial"/>
          <w:lang w:eastAsia="es-CO"/>
        </w:rPr>
        <w:t xml:space="preserve">En cuanto al cierre fiscal se evidencia que en las vigencias 2017 y 2018, la Entidad Territorial reportó toda la información en Libre Inversión. Además, existen inconvenientes para determinar el verdadero valor de las cuentas por pagar debido a que el Municipio registra información diferente en el FUT, en las ejecuciones presupuestales y en los decretos de constitución de las cuentas por pagar. El DNP resalta que la Entidad Territorial realiza la inclusión de un pago por cesantías que no se han causado como cuentas por pagar, lo cual es un error puesto que no se tratan de obligaciones adquiridas por el Municipio. </w:t>
      </w:r>
      <w:r w:rsidRPr="00682643">
        <w:rPr>
          <w:rFonts w:ascii="Arial" w:eastAsia="Arial Narrow" w:hAnsi="Arial" w:cs="Arial"/>
        </w:rPr>
        <w:t xml:space="preserve">En cuanto a la diferencia presentada en Libre Inversión, el Informe dice que se presentó por la no incorporación de un pago por parte de la Entidad Territorial, lo que demuestra la débil articulación que existe entre los procesos de presupuesto y de tesorería en el Municipio. Además, </w:t>
      </w:r>
      <w:r w:rsidRPr="00682643">
        <w:rPr>
          <w:rFonts w:ascii="Arial" w:hAnsi="Arial" w:cs="Arial"/>
        </w:rPr>
        <w:t>en Deporte se presenta una diferencia de $431.820 que tiene igual justificación.</w:t>
      </w:r>
    </w:p>
    <w:p w:rsidR="000204BF" w:rsidRDefault="000204BF">
      <w:pPr>
        <w:spacing w:line="240" w:lineRule="auto"/>
        <w:contextualSpacing/>
        <w:jc w:val="both"/>
        <w:rPr>
          <w:rFonts w:ascii="Arial" w:hAnsi="Arial" w:cs="Arial"/>
        </w:rPr>
      </w:pPr>
    </w:p>
    <w:p w:rsidR="000204BF" w:rsidRPr="00682643" w:rsidRDefault="000204BF">
      <w:pPr>
        <w:spacing w:line="240" w:lineRule="auto"/>
        <w:contextualSpacing/>
        <w:jc w:val="both"/>
        <w:rPr>
          <w:rFonts w:ascii="Arial" w:eastAsia="Times New Roman" w:hAnsi="Arial" w:cs="Arial"/>
          <w:lang w:eastAsia="es-CO"/>
        </w:rPr>
      </w:pPr>
      <w:r w:rsidRPr="00682643">
        <w:rPr>
          <w:rFonts w:ascii="Arial" w:eastAsia="Times New Roman" w:hAnsi="Arial" w:cs="Arial"/>
          <w:lang w:eastAsia="es-CO"/>
        </w:rPr>
        <w:t xml:space="preserve">Lo anterior indica que el Municipio de Santiago de Tolú - Sucre presenta </w:t>
      </w:r>
      <w:r>
        <w:rPr>
          <w:rFonts w:ascii="Arial" w:eastAsia="Times New Roman" w:hAnsi="Arial" w:cs="Arial"/>
          <w:lang w:eastAsia="es-CO"/>
        </w:rPr>
        <w:t>inconsistencias</w:t>
      </w:r>
      <w:r w:rsidRPr="00682643">
        <w:rPr>
          <w:rFonts w:ascii="Arial" w:eastAsia="Times New Roman" w:hAnsi="Arial" w:cs="Arial"/>
          <w:lang w:eastAsia="es-CO"/>
        </w:rPr>
        <w:t xml:space="preserve"> en el reporte de los</w:t>
      </w:r>
      <w:r w:rsidR="00B127EC">
        <w:rPr>
          <w:rFonts w:ascii="Arial" w:eastAsia="Times New Roman" w:hAnsi="Arial" w:cs="Arial"/>
          <w:lang w:eastAsia="es-CO"/>
        </w:rPr>
        <w:t xml:space="preserve"> ingresos,</w:t>
      </w:r>
      <w:r w:rsidRPr="00682643">
        <w:rPr>
          <w:rFonts w:ascii="Arial" w:eastAsia="Times New Roman" w:hAnsi="Arial" w:cs="Arial"/>
          <w:lang w:eastAsia="es-CO"/>
        </w:rPr>
        <w:t xml:space="preserve"> gastos de funcionamiento e inversión</w:t>
      </w:r>
      <w:r w:rsidR="00B127EC">
        <w:rPr>
          <w:rFonts w:ascii="Arial" w:eastAsia="Times New Roman" w:hAnsi="Arial" w:cs="Arial"/>
          <w:lang w:eastAsia="es-CO"/>
        </w:rPr>
        <w:t xml:space="preserve"> y el cierre fiscal</w:t>
      </w:r>
      <w:r w:rsidRPr="00682643">
        <w:rPr>
          <w:rFonts w:ascii="Arial" w:eastAsia="Times New Roman" w:hAnsi="Arial" w:cs="Arial"/>
          <w:lang w:eastAsia="es-CO"/>
        </w:rPr>
        <w:t xml:space="preserve"> en el Form</w:t>
      </w:r>
      <w:r w:rsidR="007704D3">
        <w:rPr>
          <w:rFonts w:ascii="Arial" w:eastAsia="Times New Roman" w:hAnsi="Arial" w:cs="Arial"/>
          <w:lang w:eastAsia="es-CO"/>
        </w:rPr>
        <w:t>ulari</w:t>
      </w:r>
      <w:r w:rsidRPr="00682643">
        <w:rPr>
          <w:rFonts w:ascii="Arial" w:eastAsia="Times New Roman" w:hAnsi="Arial" w:cs="Arial"/>
          <w:lang w:eastAsia="es-CO"/>
        </w:rPr>
        <w:t>o Único Territorial - FUT.</w:t>
      </w:r>
      <w:r w:rsidR="002736EA">
        <w:rPr>
          <w:rFonts w:ascii="Arial" w:eastAsia="Times New Roman" w:hAnsi="Arial" w:cs="Arial"/>
          <w:lang w:eastAsia="es-CO"/>
        </w:rPr>
        <w:t xml:space="preserve"> </w:t>
      </w:r>
      <w:r w:rsidR="002736EA">
        <w:rPr>
          <w:rStyle w:val="normaltextrun"/>
          <w:rFonts w:ascii="Arial" w:hAnsi="Arial" w:cs="Arial"/>
          <w:color w:val="000000"/>
          <w:shd w:val="clear" w:color="auto" w:fill="FFFFFF"/>
          <w:lang w:val="es-ES"/>
        </w:rPr>
        <w:t>Las inconsistencias presentadas, evidencian que los procesos de administración y reporte de información financiera por parte de la Entidad Territorial incumplen los requerimientos en términos de calidad, contraviniendo lo establecido en el artículo 2.6.4.1 del Decreto 1068 de 2015, modificado por el artículo 1 del Decreto 1536 de 2016.</w:t>
      </w:r>
      <w:r w:rsidR="002736EA">
        <w:rPr>
          <w:rStyle w:val="normaltextrun"/>
          <w:rFonts w:ascii="Arial" w:hAnsi="Arial" w:cs="Arial"/>
          <w:color w:val="000000"/>
          <w:shd w:val="clear" w:color="auto" w:fill="FFFFFF"/>
          <w:lang w:val="es-MX"/>
        </w:rPr>
        <w:t> </w:t>
      </w:r>
    </w:p>
    <w:p w:rsidR="000204BF" w:rsidRPr="00682643" w:rsidRDefault="000204BF">
      <w:pPr>
        <w:spacing w:line="240" w:lineRule="auto"/>
        <w:contextualSpacing/>
        <w:jc w:val="both"/>
        <w:rPr>
          <w:rFonts w:ascii="Arial" w:eastAsia="Times New Roman" w:hAnsi="Arial" w:cs="Arial"/>
          <w:lang w:eastAsia="es-CO"/>
        </w:rPr>
      </w:pPr>
    </w:p>
    <w:p w:rsidR="000204BF" w:rsidRDefault="002736EA">
      <w:pPr>
        <w:spacing w:line="240" w:lineRule="auto"/>
        <w:contextualSpacing/>
        <w:jc w:val="both"/>
        <w:rPr>
          <w:rFonts w:ascii="Arial" w:hAnsi="Arial" w:cs="Arial"/>
        </w:rPr>
      </w:pPr>
      <w:r w:rsidRPr="00B127EC">
        <w:rPr>
          <w:rFonts w:ascii="Arial" w:hAnsi="Arial" w:cs="Arial"/>
          <w:b/>
          <w:bCs/>
        </w:rPr>
        <w:t xml:space="preserve">Evidencia: </w:t>
      </w:r>
      <w:r w:rsidRPr="00B127EC">
        <w:rPr>
          <w:rFonts w:ascii="Arial" w:hAnsi="Arial" w:cs="Arial"/>
        </w:rPr>
        <w:t xml:space="preserve"> los documentos obran en el expediente digital en el Sistema Electrónico Documental SIED del Ministerio de Hacienda y Crédito Público No. </w:t>
      </w:r>
      <w:r w:rsidR="00426D65" w:rsidRPr="00B127EC">
        <w:rPr>
          <w:rFonts w:ascii="Arial" w:hAnsi="Arial" w:cs="Arial"/>
        </w:rPr>
        <w:t>6</w:t>
      </w:r>
      <w:r w:rsidRPr="00B127EC">
        <w:rPr>
          <w:rFonts w:ascii="Arial" w:hAnsi="Arial" w:cs="Arial"/>
        </w:rPr>
        <w:t>/2021/D028-PREDI el siguiente material probatorio:  </w:t>
      </w:r>
    </w:p>
    <w:p w:rsidR="00D5351E" w:rsidRDefault="00D5351E">
      <w:pPr>
        <w:spacing w:line="240" w:lineRule="auto"/>
        <w:contextualSpacing/>
        <w:jc w:val="both"/>
        <w:rPr>
          <w:rFonts w:ascii="Arial" w:hAnsi="Arial" w:cs="Arial"/>
        </w:rPr>
      </w:pPr>
    </w:p>
    <w:p w:rsidR="009D0D20" w:rsidRDefault="00BB3B55">
      <w:pPr>
        <w:pStyle w:val="Prrafodelista"/>
        <w:numPr>
          <w:ilvl w:val="0"/>
          <w:numId w:val="29"/>
        </w:numPr>
        <w:spacing w:line="240" w:lineRule="auto"/>
        <w:jc w:val="both"/>
        <w:rPr>
          <w:rFonts w:ascii="Arial" w:hAnsi="Arial" w:cs="Arial"/>
        </w:rPr>
      </w:pPr>
      <w:r>
        <w:rPr>
          <w:rFonts w:ascii="Arial" w:hAnsi="Arial" w:cs="Arial"/>
        </w:rPr>
        <w:t xml:space="preserve">Fut_Ingresos_Tolú_2017. </w:t>
      </w:r>
      <w:r w:rsidR="00801FF2" w:rsidRPr="00801FF2">
        <w:rPr>
          <w:rFonts w:ascii="Arial" w:hAnsi="Arial" w:cs="Arial"/>
        </w:rPr>
        <w:t xml:space="preserve">Participación de Propósito General. Municipio de </w:t>
      </w:r>
      <w:r w:rsidR="00801FF2">
        <w:rPr>
          <w:rFonts w:ascii="Arial" w:hAnsi="Arial" w:cs="Arial"/>
        </w:rPr>
        <w:t>Santiago de Tolú</w:t>
      </w:r>
      <w:r w:rsidR="00801FF2" w:rsidRPr="00801FF2">
        <w:rPr>
          <w:rFonts w:ascii="Arial" w:hAnsi="Arial" w:cs="Arial"/>
        </w:rPr>
        <w:t xml:space="preserve"> – Sucre. Serie “</w:t>
      </w:r>
      <w:r w:rsidR="00801FF2" w:rsidRPr="00F4471B">
        <w:rPr>
          <w:rFonts w:ascii="Arial" w:hAnsi="Arial" w:cs="Arial"/>
          <w:i/>
        </w:rPr>
        <w:t>Historial de Seguimiento y Control a los Recursos del Sistema General de Participaciones – Diagnóstico</w:t>
      </w:r>
      <w:r w:rsidR="00801FF2" w:rsidRPr="00801FF2">
        <w:rPr>
          <w:rFonts w:ascii="Arial" w:hAnsi="Arial" w:cs="Arial"/>
        </w:rPr>
        <w:t xml:space="preserve">”. Expediente digital No. </w:t>
      </w:r>
      <w:r w:rsidR="00801FF2">
        <w:rPr>
          <w:rFonts w:ascii="Arial" w:hAnsi="Arial" w:cs="Arial"/>
        </w:rPr>
        <w:t>6</w:t>
      </w:r>
      <w:r w:rsidR="00801FF2" w:rsidRPr="00801FF2">
        <w:rPr>
          <w:rFonts w:ascii="Arial" w:hAnsi="Arial" w:cs="Arial"/>
        </w:rPr>
        <w:t>/2021/D028-PREDI</w:t>
      </w:r>
      <w:r>
        <w:rPr>
          <w:rFonts w:ascii="Arial" w:hAnsi="Arial" w:cs="Arial"/>
        </w:rPr>
        <w:t xml:space="preserve">. </w:t>
      </w:r>
      <w:hyperlink r:id="rId38" w:history="1">
        <w:r w:rsidR="004B026B" w:rsidRPr="008756E8">
          <w:rPr>
            <w:rStyle w:val="Hipervnculo"/>
            <w:rFonts w:ascii="Arial" w:hAnsi="Arial" w:cs="Arial"/>
          </w:rPr>
          <w:t>http://portalgestiondoc.minhacienda.red/PortalEmpleado/viewer.jsp?config=cwhsRqPuJPOuBBBUA5cnd1q/To4kE0JWhMjThcl33GZldu90eQnnQCR+FzGcESDL2WK4t/WVneKeWgcUMoylaZ/QONDorRnqHM5kYfGgUFoKr+UcBALDktWfIhexzuo3KSFWmMRv2vgAF3gKM82ZCRA59KOwey6CCeA3KmJOkV1IigiMFQ+G/GRUOeLHOhQK&amp;guid=4486575917a39c4b127-17b4&amp;idrepository=879</w:t>
        </w:r>
      </w:hyperlink>
      <w:r w:rsidR="004B026B">
        <w:rPr>
          <w:rFonts w:ascii="Arial" w:hAnsi="Arial" w:cs="Arial"/>
        </w:rPr>
        <w:t xml:space="preserve"> </w:t>
      </w:r>
      <w:r w:rsidR="004B026B">
        <w:rPr>
          <w:rFonts w:ascii="Arial" w:hAnsi="Arial" w:cs="Arial"/>
        </w:rPr>
        <w:tab/>
      </w:r>
    </w:p>
    <w:p w:rsidR="00BB3B55" w:rsidRDefault="00BB3B55">
      <w:pPr>
        <w:pStyle w:val="Prrafodelista"/>
        <w:numPr>
          <w:ilvl w:val="0"/>
          <w:numId w:val="29"/>
        </w:numPr>
        <w:spacing w:line="240" w:lineRule="auto"/>
        <w:jc w:val="both"/>
        <w:rPr>
          <w:rFonts w:ascii="Arial" w:hAnsi="Arial" w:cs="Arial"/>
        </w:rPr>
      </w:pPr>
      <w:r>
        <w:rPr>
          <w:rFonts w:ascii="Arial" w:hAnsi="Arial" w:cs="Arial"/>
        </w:rPr>
        <w:t xml:space="preserve">Fut_Ingresos_Tolú_2018. </w:t>
      </w:r>
      <w:r w:rsidRPr="00801FF2">
        <w:rPr>
          <w:rFonts w:ascii="Arial" w:hAnsi="Arial" w:cs="Arial"/>
        </w:rPr>
        <w:t xml:space="preserve">Participación de Propósito General. Municipio de </w:t>
      </w:r>
      <w:r>
        <w:rPr>
          <w:rFonts w:ascii="Arial" w:hAnsi="Arial" w:cs="Arial"/>
        </w:rPr>
        <w:t>Santiago de Tolú</w:t>
      </w:r>
      <w:r w:rsidRPr="00801FF2">
        <w:rPr>
          <w:rFonts w:ascii="Arial" w:hAnsi="Arial" w:cs="Arial"/>
        </w:rPr>
        <w:t xml:space="preserve"> – Sucre. Serie “</w:t>
      </w:r>
      <w:r w:rsidRPr="00F4471B">
        <w:rPr>
          <w:rFonts w:ascii="Arial" w:hAnsi="Arial" w:cs="Arial"/>
          <w:i/>
        </w:rPr>
        <w:t>Historial de Seguimiento y Control a los Recursos del Sistema General de Participaciones – Diagnóstico</w:t>
      </w:r>
      <w:r w:rsidRPr="00801FF2">
        <w:rPr>
          <w:rFonts w:ascii="Arial" w:hAnsi="Arial" w:cs="Arial"/>
        </w:rPr>
        <w:t xml:space="preserve">”. Expediente digital No. </w:t>
      </w:r>
      <w:r>
        <w:rPr>
          <w:rFonts w:ascii="Arial" w:hAnsi="Arial" w:cs="Arial"/>
        </w:rPr>
        <w:t>6</w:t>
      </w:r>
      <w:r w:rsidRPr="00801FF2">
        <w:rPr>
          <w:rFonts w:ascii="Arial" w:hAnsi="Arial" w:cs="Arial"/>
        </w:rPr>
        <w:t>/2021/D028-PREDI</w:t>
      </w:r>
      <w:r>
        <w:rPr>
          <w:rFonts w:ascii="Arial" w:hAnsi="Arial" w:cs="Arial"/>
        </w:rPr>
        <w:t xml:space="preserve">. </w:t>
      </w:r>
      <w:hyperlink r:id="rId39" w:history="1">
        <w:r w:rsidR="00383E66" w:rsidRPr="008756E8">
          <w:rPr>
            <w:rStyle w:val="Hipervnculo"/>
            <w:rFonts w:ascii="Arial" w:hAnsi="Arial" w:cs="Arial"/>
          </w:rPr>
          <w:t>http://portalgestiondoc.minhacienda.red/PortalEmpleado/viewer.jsp?config=PC3cVCU/PKdSbCA8IStRUlvggsYSDJBzfbEuiBIdpzhn9o8n7ahne+I1LUEdchXCvuFLGzuURl7dzMceYNUP3VLOUr0N5bI2dyrmFu1qtCAZjkpwypAkuLIsX8wC5kwHjmK2hVt</w:t>
        </w:r>
        <w:r w:rsidR="00383E66" w:rsidRPr="008756E8">
          <w:rPr>
            <w:rStyle w:val="Hipervnculo"/>
            <w:rFonts w:ascii="Arial" w:hAnsi="Arial" w:cs="Arial"/>
          </w:rPr>
          <w:lastRenderedPageBreak/>
          <w:t>RqUDppx422539UC+iknTsGJt+sEd1MHrNuGA4KqlU554Pqnq0X3VVKF1q&amp;guid=4486575917a39c4b127-173b&amp;idrepository=879</w:t>
        </w:r>
      </w:hyperlink>
      <w:r w:rsidR="00383E66">
        <w:rPr>
          <w:rFonts w:ascii="Arial" w:hAnsi="Arial" w:cs="Arial"/>
        </w:rPr>
        <w:t xml:space="preserve"> </w:t>
      </w:r>
      <w:r w:rsidR="00383E66">
        <w:rPr>
          <w:rFonts w:ascii="Arial" w:hAnsi="Arial" w:cs="Arial"/>
        </w:rPr>
        <w:tab/>
      </w:r>
    </w:p>
    <w:p w:rsidR="00BB3B55" w:rsidRDefault="00BB3B55">
      <w:pPr>
        <w:pStyle w:val="Prrafodelista"/>
        <w:numPr>
          <w:ilvl w:val="0"/>
          <w:numId w:val="29"/>
        </w:numPr>
        <w:spacing w:line="240" w:lineRule="auto"/>
        <w:jc w:val="both"/>
        <w:rPr>
          <w:rFonts w:ascii="Arial" w:hAnsi="Arial" w:cs="Arial"/>
        </w:rPr>
      </w:pPr>
      <w:r>
        <w:rPr>
          <w:rFonts w:ascii="Arial" w:hAnsi="Arial" w:cs="Arial"/>
        </w:rPr>
        <w:t xml:space="preserve">Fut_Ingresos_Tolú_2019. </w:t>
      </w:r>
      <w:r w:rsidRPr="00801FF2">
        <w:rPr>
          <w:rFonts w:ascii="Arial" w:hAnsi="Arial" w:cs="Arial"/>
        </w:rPr>
        <w:t xml:space="preserve">Participación de Propósito General. Municipio de </w:t>
      </w:r>
      <w:r>
        <w:rPr>
          <w:rFonts w:ascii="Arial" w:hAnsi="Arial" w:cs="Arial"/>
        </w:rPr>
        <w:t>Santiago de Tolú</w:t>
      </w:r>
      <w:r w:rsidRPr="00801FF2">
        <w:rPr>
          <w:rFonts w:ascii="Arial" w:hAnsi="Arial" w:cs="Arial"/>
        </w:rPr>
        <w:t xml:space="preserve"> – Sucre. Serie “</w:t>
      </w:r>
      <w:r w:rsidRPr="00F4471B">
        <w:rPr>
          <w:rFonts w:ascii="Arial" w:hAnsi="Arial" w:cs="Arial"/>
          <w:i/>
        </w:rPr>
        <w:t>Historial de Seguimiento y Control a los Recursos del Sistema General de Participaciones – Diagnóstico</w:t>
      </w:r>
      <w:r w:rsidRPr="00801FF2">
        <w:rPr>
          <w:rFonts w:ascii="Arial" w:hAnsi="Arial" w:cs="Arial"/>
        </w:rPr>
        <w:t xml:space="preserve">”. Expediente digital No. </w:t>
      </w:r>
      <w:r>
        <w:rPr>
          <w:rFonts w:ascii="Arial" w:hAnsi="Arial" w:cs="Arial"/>
        </w:rPr>
        <w:t>6</w:t>
      </w:r>
      <w:r w:rsidRPr="00801FF2">
        <w:rPr>
          <w:rFonts w:ascii="Arial" w:hAnsi="Arial" w:cs="Arial"/>
        </w:rPr>
        <w:t>/2021/D028-PREDI</w:t>
      </w:r>
      <w:r>
        <w:rPr>
          <w:rFonts w:ascii="Arial" w:hAnsi="Arial" w:cs="Arial"/>
        </w:rPr>
        <w:t xml:space="preserve">. </w:t>
      </w:r>
      <w:hyperlink r:id="rId40" w:history="1">
        <w:r w:rsidR="008A34B0" w:rsidRPr="008756E8">
          <w:rPr>
            <w:rStyle w:val="Hipervnculo"/>
            <w:rFonts w:ascii="Arial" w:hAnsi="Arial" w:cs="Arial"/>
          </w:rPr>
          <w:t>http://portalgestiondoc.minhacienda.red/PortalEmpleado/viewer.jsp?config=JVnlrsnxi4r2v23HH/F8tlJD1llL2l92Fc+nYSQRlKvR444jkAt5fUUFgU0pUatdWPREiHBbnz5N/+GFocrb7Fw4oWRcRNj/SXCtxVEA5o4vh+9Y4AKzCTXK/7QdCTUpnNbDww++VOpIwEoM+X/SEkd67e28fiGUjlDVv2MpVkHRB4CZ7ZokWRXVm3JZSXP1&amp;guid=4486575917a39c4b127-17b7&amp;idrepository=879</w:t>
        </w:r>
      </w:hyperlink>
      <w:r w:rsidR="008A34B0">
        <w:rPr>
          <w:rFonts w:ascii="Arial" w:hAnsi="Arial" w:cs="Arial"/>
        </w:rPr>
        <w:t xml:space="preserve"> </w:t>
      </w:r>
    </w:p>
    <w:p w:rsidR="00BB3B55" w:rsidRDefault="00BB3B55">
      <w:pPr>
        <w:pStyle w:val="Prrafodelista"/>
        <w:numPr>
          <w:ilvl w:val="0"/>
          <w:numId w:val="29"/>
        </w:numPr>
        <w:spacing w:line="240" w:lineRule="auto"/>
        <w:jc w:val="both"/>
        <w:rPr>
          <w:rFonts w:ascii="Arial" w:hAnsi="Arial" w:cs="Arial"/>
        </w:rPr>
      </w:pPr>
      <w:r w:rsidRPr="00BB3B55">
        <w:rPr>
          <w:rFonts w:ascii="Arial" w:hAnsi="Arial" w:cs="Arial"/>
        </w:rPr>
        <w:t>Fut_</w:t>
      </w:r>
      <w:r>
        <w:rPr>
          <w:rFonts w:ascii="Arial" w:hAnsi="Arial" w:cs="Arial"/>
        </w:rPr>
        <w:t>Gastos de funcionamiento</w:t>
      </w:r>
      <w:r w:rsidRPr="00BB3B55">
        <w:rPr>
          <w:rFonts w:ascii="Arial" w:hAnsi="Arial" w:cs="Arial"/>
        </w:rPr>
        <w:t>_Tolú_2017. Participación de Propósito General. Municipio de Santiago de Tolú – Sucre. Serie “</w:t>
      </w:r>
      <w:r w:rsidRPr="00F4471B">
        <w:rPr>
          <w:rFonts w:ascii="Arial" w:hAnsi="Arial" w:cs="Arial"/>
          <w:i/>
        </w:rPr>
        <w:t>Historial de Seguimiento y Control a los Recursos del Sistema General de Participaciones – Diagnóstico</w:t>
      </w:r>
      <w:r w:rsidRPr="00BB3B55">
        <w:rPr>
          <w:rFonts w:ascii="Arial" w:hAnsi="Arial" w:cs="Arial"/>
        </w:rPr>
        <w:t xml:space="preserve">”. Expediente digital No. 6/2021/D028-PREDI. </w:t>
      </w:r>
      <w:hyperlink r:id="rId41" w:history="1">
        <w:r w:rsidR="00E519C8" w:rsidRPr="008756E8">
          <w:rPr>
            <w:rStyle w:val="Hipervnculo"/>
            <w:rFonts w:ascii="Arial" w:hAnsi="Arial" w:cs="Arial"/>
          </w:rPr>
          <w:t>http://portalgestiondoc.minhacienda.red/PortalEmpleado/viewer.jsp?config=Q659pc46iKVxu8OKhM4jN2gVEWZ+s7wsPs/SamrOQCbOTtofUc2J+m9EgWB7hTSX2TTm6FURiNdPau7/6mPoHO/8KJuwKwu/AtNvqVm1SfXxtIzQVADFbwotWfy4JqG9snsAulU25dMWhlz1kKRXgMtDRIqoV8S3EHc14kBzlXgA+YmHBDnapRolcWs4RXj5&amp;guid=4486575917a39c4b127-17bb&amp;idrepository=879</w:t>
        </w:r>
      </w:hyperlink>
      <w:r w:rsidR="00E519C8">
        <w:rPr>
          <w:rFonts w:ascii="Arial" w:hAnsi="Arial" w:cs="Arial"/>
        </w:rPr>
        <w:t xml:space="preserve"> </w:t>
      </w:r>
    </w:p>
    <w:p w:rsidR="00BB3B55" w:rsidRPr="00BB3B55" w:rsidRDefault="00BB3B55">
      <w:pPr>
        <w:pStyle w:val="Prrafodelista"/>
        <w:numPr>
          <w:ilvl w:val="0"/>
          <w:numId w:val="29"/>
        </w:numPr>
        <w:spacing w:line="240" w:lineRule="auto"/>
        <w:jc w:val="both"/>
        <w:rPr>
          <w:rFonts w:ascii="Arial" w:hAnsi="Arial" w:cs="Arial"/>
        </w:rPr>
      </w:pPr>
      <w:r w:rsidRPr="00BB3B55">
        <w:rPr>
          <w:rFonts w:ascii="Arial" w:hAnsi="Arial" w:cs="Arial"/>
        </w:rPr>
        <w:t>Fut_</w:t>
      </w:r>
      <w:r>
        <w:rPr>
          <w:rFonts w:ascii="Arial" w:hAnsi="Arial" w:cs="Arial"/>
        </w:rPr>
        <w:t>Gastos de funcionamiento</w:t>
      </w:r>
      <w:r w:rsidRPr="00BB3B55">
        <w:rPr>
          <w:rFonts w:ascii="Arial" w:hAnsi="Arial" w:cs="Arial"/>
        </w:rPr>
        <w:t>_Tolú_201</w:t>
      </w:r>
      <w:r>
        <w:rPr>
          <w:rFonts w:ascii="Arial" w:hAnsi="Arial" w:cs="Arial"/>
        </w:rPr>
        <w:t>8</w:t>
      </w:r>
      <w:r w:rsidRPr="00BB3B55">
        <w:rPr>
          <w:rFonts w:ascii="Arial" w:hAnsi="Arial" w:cs="Arial"/>
        </w:rPr>
        <w:t>. Participación de Propósito General. Municipio de Santiago de Tolú – Sucre. Serie “</w:t>
      </w:r>
      <w:r w:rsidRPr="00F4471B">
        <w:rPr>
          <w:rFonts w:ascii="Arial" w:hAnsi="Arial" w:cs="Arial"/>
          <w:i/>
        </w:rPr>
        <w:t>Historial de Seguimiento y Control a los Recursos del Sistema General de Participaciones – Diagnóstico</w:t>
      </w:r>
      <w:r w:rsidRPr="00BB3B55">
        <w:rPr>
          <w:rFonts w:ascii="Arial" w:hAnsi="Arial" w:cs="Arial"/>
        </w:rPr>
        <w:t xml:space="preserve">”. Expediente digital No. 6/2021/D028-PREDI. </w:t>
      </w:r>
      <w:hyperlink r:id="rId42" w:history="1">
        <w:r w:rsidR="00E519C8" w:rsidRPr="008756E8">
          <w:rPr>
            <w:rStyle w:val="Hipervnculo"/>
            <w:rFonts w:ascii="Arial" w:hAnsi="Arial" w:cs="Arial"/>
          </w:rPr>
          <w:t>http://portalgestiondoc.minhacienda.red/PortalEmpleado/viewer.jsp?config=Yyw3nj17EbIam7+dtYcSzv8s5bY4V0tdDFhqYa0OsqWgBG6XReS3wUzqnAhpKaug9hPrb20P4C7TToLQkVb06SuX6LDISWuE1RO3fiTFrdQKDd8rQj2UY53oThajMg60eiP60enWFXbtOqD/nWYk/BaapjOnEcoxe8vACTlPyPDoPJM8JWoBLSArVlBcjNSZ&amp;guid=4486575917a39c4b127-17b9&amp;idrepository=879</w:t>
        </w:r>
      </w:hyperlink>
      <w:r w:rsidR="00E519C8">
        <w:rPr>
          <w:rFonts w:ascii="Arial" w:hAnsi="Arial" w:cs="Arial"/>
        </w:rPr>
        <w:t xml:space="preserve"> </w:t>
      </w:r>
    </w:p>
    <w:p w:rsidR="00BB3B55" w:rsidRDefault="00BB3B55">
      <w:pPr>
        <w:pStyle w:val="Prrafodelista"/>
        <w:numPr>
          <w:ilvl w:val="0"/>
          <w:numId w:val="29"/>
        </w:numPr>
        <w:spacing w:line="240" w:lineRule="auto"/>
        <w:jc w:val="both"/>
        <w:rPr>
          <w:rFonts w:ascii="Arial" w:hAnsi="Arial" w:cs="Arial"/>
        </w:rPr>
      </w:pPr>
      <w:r>
        <w:rPr>
          <w:rFonts w:ascii="Arial" w:hAnsi="Arial" w:cs="Arial"/>
        </w:rPr>
        <w:t xml:space="preserve">Fut_Gastos de funcionamiento_Tolú_2019. </w:t>
      </w:r>
      <w:r w:rsidRPr="00801FF2">
        <w:rPr>
          <w:rFonts w:ascii="Arial" w:hAnsi="Arial" w:cs="Arial"/>
        </w:rPr>
        <w:t xml:space="preserve">Participación de Propósito General. Municipio de </w:t>
      </w:r>
      <w:r>
        <w:rPr>
          <w:rFonts w:ascii="Arial" w:hAnsi="Arial" w:cs="Arial"/>
        </w:rPr>
        <w:t>Santiago de Tolú</w:t>
      </w:r>
      <w:r w:rsidRPr="00801FF2">
        <w:rPr>
          <w:rFonts w:ascii="Arial" w:hAnsi="Arial" w:cs="Arial"/>
        </w:rPr>
        <w:t xml:space="preserve"> – Sucre. Serie “</w:t>
      </w:r>
      <w:r w:rsidRPr="00F4471B">
        <w:rPr>
          <w:rFonts w:ascii="Arial" w:hAnsi="Arial" w:cs="Arial"/>
          <w:i/>
        </w:rPr>
        <w:t>Historial de Seguimiento y Control a los Recursos del Sistema General de Participaciones – Diagnóstico</w:t>
      </w:r>
      <w:r w:rsidRPr="00801FF2">
        <w:rPr>
          <w:rFonts w:ascii="Arial" w:hAnsi="Arial" w:cs="Arial"/>
        </w:rPr>
        <w:t xml:space="preserve">”. Expediente digital No. </w:t>
      </w:r>
      <w:r>
        <w:rPr>
          <w:rFonts w:ascii="Arial" w:hAnsi="Arial" w:cs="Arial"/>
        </w:rPr>
        <w:t>6</w:t>
      </w:r>
      <w:r w:rsidRPr="00801FF2">
        <w:rPr>
          <w:rFonts w:ascii="Arial" w:hAnsi="Arial" w:cs="Arial"/>
        </w:rPr>
        <w:t>/2021/D028-PREDI</w:t>
      </w:r>
      <w:r>
        <w:rPr>
          <w:rFonts w:ascii="Arial" w:hAnsi="Arial" w:cs="Arial"/>
        </w:rPr>
        <w:t xml:space="preserve">. </w:t>
      </w:r>
      <w:hyperlink r:id="rId43" w:history="1">
        <w:r w:rsidR="00930467" w:rsidRPr="008756E8">
          <w:rPr>
            <w:rStyle w:val="Hipervnculo"/>
            <w:rFonts w:ascii="Arial" w:hAnsi="Arial" w:cs="Arial"/>
          </w:rPr>
          <w:t>http://portalgestiondoc.minhacienda.red/PortalEmpleado/viewer.jsp?config=+cXTfBg7wSngihjOrOZn7C1L7h6x0IdyYKOOJFIy6rqu9k+AmQU1QVnv0JpioOZuNxdpQ4RHepIyShj+g8XbdtJmut6k6x5ySvwuh9EIvzKCxNuzGmPpazzDtXt2MVRbwEo5ped1SK7HyC0B7eQ9ycHB2DhFlgJ+yDb4fltIL2HVe6mYlNczXeG9+6Vd+U91&amp;guid=4486575917a39c4b127-17c3&amp;idrepository=879</w:t>
        </w:r>
      </w:hyperlink>
      <w:r w:rsidR="00930467">
        <w:rPr>
          <w:rFonts w:ascii="Arial" w:hAnsi="Arial" w:cs="Arial"/>
        </w:rPr>
        <w:t xml:space="preserve"> </w:t>
      </w:r>
    </w:p>
    <w:p w:rsidR="00BB3B55" w:rsidRDefault="00BB3B55">
      <w:pPr>
        <w:pStyle w:val="Prrafodelista"/>
        <w:numPr>
          <w:ilvl w:val="0"/>
          <w:numId w:val="29"/>
        </w:numPr>
        <w:spacing w:line="240" w:lineRule="auto"/>
        <w:jc w:val="both"/>
        <w:rPr>
          <w:rFonts w:ascii="Arial" w:hAnsi="Arial" w:cs="Arial"/>
        </w:rPr>
      </w:pPr>
      <w:r>
        <w:rPr>
          <w:rFonts w:ascii="Arial" w:hAnsi="Arial" w:cs="Arial"/>
        </w:rPr>
        <w:t>Fut_</w:t>
      </w:r>
      <w:r w:rsidR="00F37F4F">
        <w:rPr>
          <w:rFonts w:ascii="Arial" w:hAnsi="Arial" w:cs="Arial"/>
        </w:rPr>
        <w:t>Gastos de inversión</w:t>
      </w:r>
      <w:r>
        <w:rPr>
          <w:rFonts w:ascii="Arial" w:hAnsi="Arial" w:cs="Arial"/>
        </w:rPr>
        <w:t xml:space="preserve">_Tolú_2017. </w:t>
      </w:r>
      <w:r w:rsidRPr="00801FF2">
        <w:rPr>
          <w:rFonts w:ascii="Arial" w:hAnsi="Arial" w:cs="Arial"/>
        </w:rPr>
        <w:t xml:space="preserve">Participación de Propósito General. Municipio de </w:t>
      </w:r>
      <w:r>
        <w:rPr>
          <w:rFonts w:ascii="Arial" w:hAnsi="Arial" w:cs="Arial"/>
        </w:rPr>
        <w:t>Santiago de Tolú</w:t>
      </w:r>
      <w:r w:rsidRPr="00801FF2">
        <w:rPr>
          <w:rFonts w:ascii="Arial" w:hAnsi="Arial" w:cs="Arial"/>
        </w:rPr>
        <w:t xml:space="preserve"> – Sucre. Serie “</w:t>
      </w:r>
      <w:r w:rsidRPr="00F4471B">
        <w:rPr>
          <w:rFonts w:ascii="Arial" w:hAnsi="Arial" w:cs="Arial"/>
          <w:i/>
        </w:rPr>
        <w:t>Historial de Seguimiento y Control a los Recursos del Sistema General de Participaciones – Diagnóstico</w:t>
      </w:r>
      <w:r w:rsidRPr="00801FF2">
        <w:rPr>
          <w:rFonts w:ascii="Arial" w:hAnsi="Arial" w:cs="Arial"/>
        </w:rPr>
        <w:t xml:space="preserve">”. Expediente digital No. </w:t>
      </w:r>
      <w:r>
        <w:rPr>
          <w:rFonts w:ascii="Arial" w:hAnsi="Arial" w:cs="Arial"/>
        </w:rPr>
        <w:t>6</w:t>
      </w:r>
      <w:r w:rsidRPr="00801FF2">
        <w:rPr>
          <w:rFonts w:ascii="Arial" w:hAnsi="Arial" w:cs="Arial"/>
        </w:rPr>
        <w:t>/2021/D028-PREDI</w:t>
      </w:r>
      <w:r>
        <w:rPr>
          <w:rFonts w:ascii="Arial" w:hAnsi="Arial" w:cs="Arial"/>
        </w:rPr>
        <w:t xml:space="preserve">. </w:t>
      </w:r>
      <w:hyperlink r:id="rId44" w:history="1">
        <w:r w:rsidR="00930467" w:rsidRPr="008756E8">
          <w:rPr>
            <w:rStyle w:val="Hipervnculo"/>
            <w:rFonts w:ascii="Arial" w:hAnsi="Arial" w:cs="Arial"/>
          </w:rPr>
          <w:t>http://portalgestiondoc.minhacienda.red/PortalEmpleado/viewer.jsp?config=p3IMxzI+wrVZNMrYCBUJ/od++cR5anfo51Nb/tSQZwqkgfYwj9QNQYce073Y/U4Ka7WueH3tgOiM1RFYUihPrY0OTDsQtHk1rhLiTSi8fcTHJG5HL7Co5tPGXJpM9FppU5Y5JKzqYhDrL4D8h/Y497bb+PGrQp/4RT9XuLsUcYk/lp/BrzlI67MOa5BxB2ko&amp;guid=4486575917a39c4b127-17c1&amp;idrepository=879</w:t>
        </w:r>
      </w:hyperlink>
      <w:r w:rsidR="00930467">
        <w:rPr>
          <w:rFonts w:ascii="Arial" w:hAnsi="Arial" w:cs="Arial"/>
        </w:rPr>
        <w:t xml:space="preserve"> </w:t>
      </w:r>
    </w:p>
    <w:p w:rsidR="001B6205" w:rsidRDefault="001B6205">
      <w:pPr>
        <w:pStyle w:val="Prrafodelista"/>
        <w:numPr>
          <w:ilvl w:val="0"/>
          <w:numId w:val="29"/>
        </w:numPr>
        <w:spacing w:line="240" w:lineRule="auto"/>
        <w:jc w:val="both"/>
        <w:rPr>
          <w:rFonts w:ascii="Arial" w:hAnsi="Arial" w:cs="Arial"/>
        </w:rPr>
      </w:pPr>
      <w:r>
        <w:rPr>
          <w:rFonts w:ascii="Arial" w:hAnsi="Arial" w:cs="Arial"/>
        </w:rPr>
        <w:lastRenderedPageBreak/>
        <w:t xml:space="preserve">Fut_Gastos de inversión_Tolú_2018. </w:t>
      </w:r>
      <w:r w:rsidRPr="00801FF2">
        <w:rPr>
          <w:rFonts w:ascii="Arial" w:hAnsi="Arial" w:cs="Arial"/>
        </w:rPr>
        <w:t xml:space="preserve">Participación de Propósito General. Municipio de </w:t>
      </w:r>
      <w:r>
        <w:rPr>
          <w:rFonts w:ascii="Arial" w:hAnsi="Arial" w:cs="Arial"/>
        </w:rPr>
        <w:t>Santiago de Tolú</w:t>
      </w:r>
      <w:r w:rsidRPr="00801FF2">
        <w:rPr>
          <w:rFonts w:ascii="Arial" w:hAnsi="Arial" w:cs="Arial"/>
        </w:rPr>
        <w:t xml:space="preserve"> – Sucre. Serie “</w:t>
      </w:r>
      <w:r w:rsidRPr="00F4471B">
        <w:rPr>
          <w:rFonts w:ascii="Arial" w:hAnsi="Arial" w:cs="Arial"/>
          <w:i/>
        </w:rPr>
        <w:t>Historial de Seguimiento y Control a los Recursos del Sistema General de Participaciones – Diagnóstico</w:t>
      </w:r>
      <w:r w:rsidRPr="00801FF2">
        <w:rPr>
          <w:rFonts w:ascii="Arial" w:hAnsi="Arial" w:cs="Arial"/>
        </w:rPr>
        <w:t xml:space="preserve">”. Expediente digital No. </w:t>
      </w:r>
      <w:r>
        <w:rPr>
          <w:rFonts w:ascii="Arial" w:hAnsi="Arial" w:cs="Arial"/>
        </w:rPr>
        <w:t>6</w:t>
      </w:r>
      <w:r w:rsidRPr="00801FF2">
        <w:rPr>
          <w:rFonts w:ascii="Arial" w:hAnsi="Arial" w:cs="Arial"/>
        </w:rPr>
        <w:t>/2021/D028-PREDI</w:t>
      </w:r>
      <w:r>
        <w:rPr>
          <w:rFonts w:ascii="Arial" w:hAnsi="Arial" w:cs="Arial"/>
        </w:rPr>
        <w:t xml:space="preserve">. </w:t>
      </w:r>
      <w:hyperlink r:id="rId45" w:history="1">
        <w:r w:rsidR="00907209" w:rsidRPr="008756E8">
          <w:rPr>
            <w:rStyle w:val="Hipervnculo"/>
            <w:rFonts w:ascii="Arial" w:hAnsi="Arial" w:cs="Arial"/>
          </w:rPr>
          <w:t>http://portalgestiondoc.minhacienda.red/PortalEmpleado/viewer.jsp?config=xiTe3uGtKnXvWtKvH/KqNitds6VFu3KMSosxUghuZcljwMhQsB8OZ0EoNbJB2FbRifjeKUTOKKf4rIpiSM/b1fur1jK4bWeKk3/pmt2OyEOFDBsrGMVFVWVUN75CdHBlz63We4hka1rI4GfSR5snJz84OaJTFcnFI8M5BFyHOxe/soyKzOPMA3F0xnuwEPaI&amp;guid=4486575917a39c4b127-17bf&amp;idrepository=879</w:t>
        </w:r>
      </w:hyperlink>
      <w:r w:rsidR="00907209">
        <w:rPr>
          <w:rFonts w:ascii="Arial" w:hAnsi="Arial" w:cs="Arial"/>
        </w:rPr>
        <w:t xml:space="preserve"> </w:t>
      </w:r>
    </w:p>
    <w:p w:rsidR="001B6205" w:rsidRDefault="001B6205">
      <w:pPr>
        <w:pStyle w:val="Prrafodelista"/>
        <w:numPr>
          <w:ilvl w:val="0"/>
          <w:numId w:val="29"/>
        </w:numPr>
        <w:spacing w:line="240" w:lineRule="auto"/>
        <w:jc w:val="both"/>
        <w:rPr>
          <w:rFonts w:ascii="Arial" w:hAnsi="Arial" w:cs="Arial"/>
        </w:rPr>
      </w:pPr>
      <w:r>
        <w:rPr>
          <w:rFonts w:ascii="Arial" w:hAnsi="Arial" w:cs="Arial"/>
        </w:rPr>
        <w:t xml:space="preserve">Fut_Gastos de inversión_Tolú_2019. </w:t>
      </w:r>
      <w:r w:rsidRPr="00801FF2">
        <w:rPr>
          <w:rFonts w:ascii="Arial" w:hAnsi="Arial" w:cs="Arial"/>
        </w:rPr>
        <w:t xml:space="preserve">Participación de Propósito General. Municipio de </w:t>
      </w:r>
      <w:r>
        <w:rPr>
          <w:rFonts w:ascii="Arial" w:hAnsi="Arial" w:cs="Arial"/>
        </w:rPr>
        <w:t>Santiago de Tolú</w:t>
      </w:r>
      <w:r w:rsidRPr="00801FF2">
        <w:rPr>
          <w:rFonts w:ascii="Arial" w:hAnsi="Arial" w:cs="Arial"/>
        </w:rPr>
        <w:t xml:space="preserve"> – Sucre. Serie “</w:t>
      </w:r>
      <w:r w:rsidRPr="00F4471B">
        <w:rPr>
          <w:rFonts w:ascii="Arial" w:hAnsi="Arial" w:cs="Arial"/>
          <w:i/>
        </w:rPr>
        <w:t>Historial de Seguimiento y Control a los Recursos del Sistema General de Participaciones – Diagnóstico</w:t>
      </w:r>
      <w:r w:rsidRPr="00801FF2">
        <w:rPr>
          <w:rFonts w:ascii="Arial" w:hAnsi="Arial" w:cs="Arial"/>
        </w:rPr>
        <w:t xml:space="preserve">”. Expediente digital No. </w:t>
      </w:r>
      <w:r>
        <w:rPr>
          <w:rFonts w:ascii="Arial" w:hAnsi="Arial" w:cs="Arial"/>
        </w:rPr>
        <w:t>6</w:t>
      </w:r>
      <w:r w:rsidRPr="00801FF2">
        <w:rPr>
          <w:rFonts w:ascii="Arial" w:hAnsi="Arial" w:cs="Arial"/>
        </w:rPr>
        <w:t>/2021/D028-PREDI</w:t>
      </w:r>
      <w:r>
        <w:rPr>
          <w:rFonts w:ascii="Arial" w:hAnsi="Arial" w:cs="Arial"/>
        </w:rPr>
        <w:t xml:space="preserve">. </w:t>
      </w:r>
      <w:hyperlink r:id="rId46" w:history="1">
        <w:r w:rsidR="00930467" w:rsidRPr="008756E8">
          <w:rPr>
            <w:rStyle w:val="Hipervnculo"/>
            <w:rFonts w:ascii="Arial" w:hAnsi="Arial" w:cs="Arial"/>
          </w:rPr>
          <w:t>http://portalgestiondoc.minhacienda.red/PortalEmpleado/viewer.jsp?config=kFP4vAxqtmiwQu1hqM6btzoL+Pgx6pmmkuCbLJpbt8yZiTmRodIP5XCvcAlpzVpflphvuAuSK2/s7ZyhiOzXqKqaOQ/NELGsoWv6qngxBdXkaXLDVYSmRW9btdb/9VR6tCgggoni1ocgFwu9RAfPao57MtTZbkl5G/fhKwWKnaXyC+6u7/8xLIknrJcaFHYO&amp;guid=4486575917a39c4b127-17bd&amp;idrepository=879</w:t>
        </w:r>
      </w:hyperlink>
      <w:r w:rsidR="00930467">
        <w:rPr>
          <w:rFonts w:ascii="Arial" w:hAnsi="Arial" w:cs="Arial"/>
        </w:rPr>
        <w:t xml:space="preserve"> </w:t>
      </w:r>
    </w:p>
    <w:p w:rsidR="001B6205" w:rsidRDefault="001B6205">
      <w:pPr>
        <w:pStyle w:val="Prrafodelista"/>
        <w:numPr>
          <w:ilvl w:val="0"/>
          <w:numId w:val="29"/>
        </w:numPr>
        <w:spacing w:line="240" w:lineRule="auto"/>
        <w:jc w:val="both"/>
        <w:rPr>
          <w:rFonts w:ascii="Arial" w:hAnsi="Arial" w:cs="Arial"/>
        </w:rPr>
      </w:pPr>
      <w:r>
        <w:rPr>
          <w:rFonts w:ascii="Arial" w:hAnsi="Arial" w:cs="Arial"/>
        </w:rPr>
        <w:t xml:space="preserve">Fut_Cierre Fiscal_2017_Tolú. </w:t>
      </w:r>
      <w:r w:rsidRPr="00801FF2">
        <w:rPr>
          <w:rFonts w:ascii="Arial" w:hAnsi="Arial" w:cs="Arial"/>
        </w:rPr>
        <w:t xml:space="preserve">Participación de Propósito General. Municipio de </w:t>
      </w:r>
      <w:r>
        <w:rPr>
          <w:rFonts w:ascii="Arial" w:hAnsi="Arial" w:cs="Arial"/>
        </w:rPr>
        <w:t>Santiago de Tolú</w:t>
      </w:r>
      <w:r w:rsidRPr="00801FF2">
        <w:rPr>
          <w:rFonts w:ascii="Arial" w:hAnsi="Arial" w:cs="Arial"/>
        </w:rPr>
        <w:t xml:space="preserve"> – Sucre. Serie “</w:t>
      </w:r>
      <w:r w:rsidRPr="00F4471B">
        <w:rPr>
          <w:rFonts w:ascii="Arial" w:hAnsi="Arial" w:cs="Arial"/>
          <w:i/>
        </w:rPr>
        <w:t>Historial de Seguimiento y Control a los Recursos del Sistema General de Participaciones – Diagnóstico</w:t>
      </w:r>
      <w:r w:rsidRPr="00801FF2">
        <w:rPr>
          <w:rFonts w:ascii="Arial" w:hAnsi="Arial" w:cs="Arial"/>
        </w:rPr>
        <w:t xml:space="preserve">”. Expediente digital No. </w:t>
      </w:r>
      <w:r>
        <w:rPr>
          <w:rFonts w:ascii="Arial" w:hAnsi="Arial" w:cs="Arial"/>
        </w:rPr>
        <w:t>6</w:t>
      </w:r>
      <w:r w:rsidRPr="00801FF2">
        <w:rPr>
          <w:rFonts w:ascii="Arial" w:hAnsi="Arial" w:cs="Arial"/>
        </w:rPr>
        <w:t>/2021/D028-PREDI</w:t>
      </w:r>
      <w:r>
        <w:rPr>
          <w:rFonts w:ascii="Arial" w:hAnsi="Arial" w:cs="Arial"/>
        </w:rPr>
        <w:t xml:space="preserve">. </w:t>
      </w:r>
      <w:hyperlink r:id="rId47" w:history="1">
        <w:r w:rsidR="00B53784" w:rsidRPr="008756E8">
          <w:rPr>
            <w:rStyle w:val="Hipervnculo"/>
            <w:rFonts w:ascii="Arial" w:hAnsi="Arial" w:cs="Arial"/>
          </w:rPr>
          <w:t>http://portalgestiondoc.minhacienda.red/PortalEmpleado/viewer.jsp?config=OM+bvIuCm0Qm0sfoJ+1t2lgjP5veY4oForo81vs91DQzLr9vhjGsh1C7Sn265rMwcCTIRom2UbbjJbZVwUTC0A+Auog7Rr427fmxP6WBrih1d80PvVlDcgE+eh+vAd/j976UDBs0puXZUSYJcN0kW2Y3M6k9CQvk1Nj5UyDDbakCFZ5Q1PPLSHw/KCpkrWJM&amp;guid=4486575917a39c4b127-17c9&amp;idrepository=879</w:t>
        </w:r>
      </w:hyperlink>
      <w:r w:rsidR="00B53784">
        <w:rPr>
          <w:rFonts w:ascii="Arial" w:hAnsi="Arial" w:cs="Arial"/>
        </w:rPr>
        <w:t xml:space="preserve"> </w:t>
      </w:r>
    </w:p>
    <w:p w:rsidR="001B6205" w:rsidRDefault="001B6205">
      <w:pPr>
        <w:pStyle w:val="Prrafodelista"/>
        <w:numPr>
          <w:ilvl w:val="0"/>
          <w:numId w:val="29"/>
        </w:numPr>
        <w:spacing w:line="240" w:lineRule="auto"/>
        <w:jc w:val="both"/>
        <w:rPr>
          <w:rFonts w:ascii="Arial" w:hAnsi="Arial" w:cs="Arial"/>
        </w:rPr>
      </w:pPr>
      <w:r>
        <w:rPr>
          <w:rFonts w:ascii="Arial" w:hAnsi="Arial" w:cs="Arial"/>
        </w:rPr>
        <w:t xml:space="preserve">Fut_Cierre Fiscal_2018_Tolú. </w:t>
      </w:r>
      <w:r w:rsidRPr="00801FF2">
        <w:rPr>
          <w:rFonts w:ascii="Arial" w:hAnsi="Arial" w:cs="Arial"/>
        </w:rPr>
        <w:t xml:space="preserve">Participación de Propósito General. Municipio de </w:t>
      </w:r>
      <w:r>
        <w:rPr>
          <w:rFonts w:ascii="Arial" w:hAnsi="Arial" w:cs="Arial"/>
        </w:rPr>
        <w:t>Santiago de Tolú</w:t>
      </w:r>
      <w:r w:rsidRPr="00801FF2">
        <w:rPr>
          <w:rFonts w:ascii="Arial" w:hAnsi="Arial" w:cs="Arial"/>
        </w:rPr>
        <w:t xml:space="preserve"> – Sucre. Serie “</w:t>
      </w:r>
      <w:r w:rsidRPr="00F4471B">
        <w:rPr>
          <w:rFonts w:ascii="Arial" w:hAnsi="Arial" w:cs="Arial"/>
          <w:i/>
        </w:rPr>
        <w:t>Historial de Seguimiento y Control a los Recursos del Sistema General de Participaciones – Diagnóstico</w:t>
      </w:r>
      <w:r w:rsidRPr="00801FF2">
        <w:rPr>
          <w:rFonts w:ascii="Arial" w:hAnsi="Arial" w:cs="Arial"/>
        </w:rPr>
        <w:t xml:space="preserve">”. Expediente digital No. </w:t>
      </w:r>
      <w:r>
        <w:rPr>
          <w:rFonts w:ascii="Arial" w:hAnsi="Arial" w:cs="Arial"/>
        </w:rPr>
        <w:t>6</w:t>
      </w:r>
      <w:r w:rsidRPr="00801FF2">
        <w:rPr>
          <w:rFonts w:ascii="Arial" w:hAnsi="Arial" w:cs="Arial"/>
        </w:rPr>
        <w:t>/2021/D028-PREDI</w:t>
      </w:r>
      <w:r>
        <w:rPr>
          <w:rFonts w:ascii="Arial" w:hAnsi="Arial" w:cs="Arial"/>
        </w:rPr>
        <w:t xml:space="preserve">. </w:t>
      </w:r>
      <w:hyperlink r:id="rId48" w:history="1">
        <w:r w:rsidR="00930467" w:rsidRPr="008756E8">
          <w:rPr>
            <w:rStyle w:val="Hipervnculo"/>
            <w:rFonts w:ascii="Arial" w:hAnsi="Arial" w:cs="Arial"/>
          </w:rPr>
          <w:t>http://portalgestiondoc.minhacienda.red/PortalEmpleado/viewer.jsp?config=Zqtog8QNn+ALrodCzfb8ZVxeV0454VBav4jqI5lW58B+UOUB/7El0/wnzGCWZYk1HXmE0JvS4AOI8IwBlSKEfVQYj3+Xhr1hP+aHCTq7qQFjuf5kx51wvbi9GnUpXbJRWCrcL6FByrdQyRLjpTphnduGLkzV6Qc41FyiiX+efVlvdSoBmDpwM61I1SrarsMd&amp;guid=4486575917a39c4b127-17c7&amp;idrepository=879</w:t>
        </w:r>
      </w:hyperlink>
      <w:r w:rsidR="00930467">
        <w:rPr>
          <w:rFonts w:ascii="Arial" w:hAnsi="Arial" w:cs="Arial"/>
        </w:rPr>
        <w:t xml:space="preserve"> </w:t>
      </w:r>
    </w:p>
    <w:p w:rsidR="00BB3B55" w:rsidRPr="00B53784" w:rsidRDefault="001B6205">
      <w:pPr>
        <w:pStyle w:val="Prrafodelista"/>
        <w:numPr>
          <w:ilvl w:val="0"/>
          <w:numId w:val="29"/>
        </w:numPr>
        <w:spacing w:line="240" w:lineRule="auto"/>
        <w:jc w:val="both"/>
        <w:rPr>
          <w:rFonts w:ascii="Arial" w:hAnsi="Arial" w:cs="Arial"/>
        </w:rPr>
      </w:pPr>
      <w:r w:rsidRPr="00B53784">
        <w:rPr>
          <w:rFonts w:ascii="Arial" w:hAnsi="Arial" w:cs="Arial"/>
        </w:rPr>
        <w:t>Fut_Cierre Fiscal_2019_Tolú. Participación de Propósito General. Municipio de Santiago de Tolú – Sucre. Serie “</w:t>
      </w:r>
      <w:r w:rsidRPr="00F4471B">
        <w:rPr>
          <w:rFonts w:ascii="Arial" w:hAnsi="Arial" w:cs="Arial"/>
          <w:i/>
        </w:rPr>
        <w:t>Historial de Seguimiento y Control a los Recursos del Sistema General de Participaciones – Diagnóstico</w:t>
      </w:r>
      <w:r w:rsidRPr="00B53784">
        <w:rPr>
          <w:rFonts w:ascii="Arial" w:hAnsi="Arial" w:cs="Arial"/>
        </w:rPr>
        <w:t xml:space="preserve">”. Expediente digital No. 6/2021/D028-PREDI. </w:t>
      </w:r>
      <w:hyperlink r:id="rId49" w:history="1">
        <w:r w:rsidR="00930467" w:rsidRPr="008756E8">
          <w:rPr>
            <w:rStyle w:val="Hipervnculo"/>
            <w:rFonts w:ascii="Arial" w:hAnsi="Arial" w:cs="Arial"/>
          </w:rPr>
          <w:t>http://portalgestiondoc.minhacienda.red/PortalEmpleado/viewer.jsp?config=BcfaO5VUXj/w2cWmV9cU8tyn+f0w7l1GLXYoSUifj6cs6r0C3k+D9kd6sxNKaxW829QfkRrRrG4SvKhJBAwWh7DVV691yTi+WAjVZmwnyK2x1KtaquIPeOL7UKBhM5DcOg50vRz+3YcpwCdH/ioGsGyYiGMVs6uVdgBVJJQkVwF4CAgcNBaHA60BEV6ZTdgb&amp;guid=4486575917a39c4b127-17c5&amp;idrepository=879</w:t>
        </w:r>
      </w:hyperlink>
      <w:r w:rsidR="00930467">
        <w:rPr>
          <w:rFonts w:ascii="Arial" w:hAnsi="Arial" w:cs="Arial"/>
        </w:rPr>
        <w:t xml:space="preserve"> </w:t>
      </w:r>
    </w:p>
    <w:p w:rsidR="009D0D20" w:rsidRDefault="009D0D20">
      <w:pPr>
        <w:pStyle w:val="Prrafodelista"/>
        <w:numPr>
          <w:ilvl w:val="0"/>
          <w:numId w:val="29"/>
        </w:numPr>
        <w:spacing w:line="240" w:lineRule="auto"/>
        <w:jc w:val="both"/>
        <w:rPr>
          <w:rFonts w:ascii="Arial" w:hAnsi="Arial" w:cs="Arial"/>
        </w:rPr>
      </w:pPr>
      <w:r w:rsidRPr="009D0D20">
        <w:rPr>
          <w:rFonts w:ascii="Arial" w:hAnsi="Arial" w:cs="Arial"/>
        </w:rPr>
        <w:t xml:space="preserve">Informe de monitoreo de campo, </w:t>
      </w:r>
      <w:r>
        <w:rPr>
          <w:rFonts w:ascii="Arial" w:hAnsi="Arial" w:cs="Arial"/>
        </w:rPr>
        <w:t>Santiago de Tolú</w:t>
      </w:r>
      <w:r w:rsidRPr="009D0D20">
        <w:rPr>
          <w:rFonts w:ascii="Arial" w:hAnsi="Arial" w:cs="Arial"/>
        </w:rPr>
        <w:t xml:space="preserve"> - Sucre, Vigencias 201</w:t>
      </w:r>
      <w:r>
        <w:rPr>
          <w:rFonts w:ascii="Arial" w:hAnsi="Arial" w:cs="Arial"/>
        </w:rPr>
        <w:t>7</w:t>
      </w:r>
      <w:r w:rsidRPr="009D0D20">
        <w:rPr>
          <w:rFonts w:ascii="Arial" w:hAnsi="Arial" w:cs="Arial"/>
        </w:rPr>
        <w:t xml:space="preserve"> y 201</w:t>
      </w:r>
      <w:r>
        <w:rPr>
          <w:rFonts w:ascii="Arial" w:hAnsi="Arial" w:cs="Arial"/>
        </w:rPr>
        <w:t>8</w:t>
      </w:r>
      <w:r w:rsidRPr="009D0D20">
        <w:rPr>
          <w:rFonts w:ascii="Arial" w:hAnsi="Arial" w:cs="Arial"/>
        </w:rPr>
        <w:t xml:space="preserve"> Radicado No. 1-</w:t>
      </w:r>
      <w:r w:rsidRPr="00BE36D3">
        <w:rPr>
          <w:rFonts w:ascii="Arial" w:eastAsia="Arial Narrow" w:hAnsi="Arial" w:cs="Arial"/>
        </w:rPr>
        <w:t>2019-079798</w:t>
      </w:r>
      <w:r w:rsidRPr="009D0D20">
        <w:rPr>
          <w:rFonts w:ascii="Arial" w:hAnsi="Arial" w:cs="Arial"/>
        </w:rPr>
        <w:t>. Municipio de</w:t>
      </w:r>
      <w:r>
        <w:rPr>
          <w:rFonts w:ascii="Arial" w:hAnsi="Arial" w:cs="Arial"/>
        </w:rPr>
        <w:t xml:space="preserve"> Santiago de Tolú</w:t>
      </w:r>
      <w:r w:rsidRPr="009D0D20">
        <w:rPr>
          <w:rFonts w:ascii="Arial" w:hAnsi="Arial" w:cs="Arial"/>
        </w:rPr>
        <w:t xml:space="preserve"> – Sucre. Serie </w:t>
      </w:r>
      <w:r w:rsidRPr="009D0D20">
        <w:rPr>
          <w:rFonts w:ascii="Arial" w:hAnsi="Arial" w:cs="Arial"/>
        </w:rPr>
        <w:lastRenderedPageBreak/>
        <w:t>“</w:t>
      </w:r>
      <w:r w:rsidRPr="00F4471B">
        <w:rPr>
          <w:rFonts w:ascii="Arial" w:hAnsi="Arial" w:cs="Arial"/>
          <w:i/>
        </w:rPr>
        <w:t>Historial de Seguimiento y Control a los Recursos del Sistema General de Participaciones – Diagnóstico</w:t>
      </w:r>
      <w:r w:rsidRPr="009D0D20">
        <w:rPr>
          <w:rFonts w:ascii="Arial" w:hAnsi="Arial" w:cs="Arial"/>
        </w:rPr>
        <w:t xml:space="preserve">”. Expediente digital No. </w:t>
      </w:r>
      <w:r>
        <w:rPr>
          <w:rFonts w:ascii="Arial" w:hAnsi="Arial" w:cs="Arial"/>
        </w:rPr>
        <w:t>6</w:t>
      </w:r>
      <w:r w:rsidRPr="009D0D20">
        <w:rPr>
          <w:rFonts w:ascii="Arial" w:hAnsi="Arial" w:cs="Arial"/>
        </w:rPr>
        <w:t>/2021/D028-PREDI</w:t>
      </w:r>
      <w:r w:rsidR="00AC3C61">
        <w:rPr>
          <w:rFonts w:ascii="Arial" w:hAnsi="Arial" w:cs="Arial"/>
        </w:rPr>
        <w:t xml:space="preserve"> </w:t>
      </w:r>
      <w:r w:rsidR="00AC3C61">
        <w:rPr>
          <w:rFonts w:ascii="Arial" w:eastAsia="Arial Narrow" w:hAnsi="Arial" w:cs="Arial"/>
        </w:rPr>
        <w:t>R</w:t>
      </w:r>
      <w:r w:rsidR="00AC3C61" w:rsidRPr="00BE36D3">
        <w:rPr>
          <w:rFonts w:ascii="Arial" w:eastAsia="Arial Narrow" w:hAnsi="Arial" w:cs="Arial"/>
        </w:rPr>
        <w:t>adicado No. 1-2019-079798 del 28 de agosto de 2019</w:t>
      </w:r>
      <w:r w:rsidR="00AC3C61">
        <w:rPr>
          <w:rFonts w:ascii="Arial" w:eastAsia="Arial Narrow" w:hAnsi="Arial" w:cs="Arial"/>
        </w:rPr>
        <w:t>.</w:t>
      </w:r>
      <w:r w:rsidR="00527930">
        <w:rPr>
          <w:rFonts w:ascii="Arial" w:eastAsia="Arial Narrow" w:hAnsi="Arial" w:cs="Arial"/>
        </w:rPr>
        <w:t xml:space="preserve"> </w:t>
      </w:r>
      <w:hyperlink r:id="rId50" w:history="1">
        <w:r w:rsidR="00527930" w:rsidRPr="008756E8">
          <w:rPr>
            <w:rStyle w:val="Hipervnculo"/>
            <w:rFonts w:ascii="Arial" w:eastAsia="Arial Narrow" w:hAnsi="Arial" w:cs="Arial"/>
          </w:rPr>
          <w:t>http://portalgestiondoc.minhacienda.red/PortalEmpleado/viewer.jsp?config=oWBoJsdWqwJLKExlS1Gn/HPCbG04WT8GZbEPuZDYF+aPiqVjQoOnb62/duAC8vKGFYz6L58ALrA4Vi3gqJ09FnDd5iVBdJmGrQe/hF4VacwqOBVLDinYINQApi6Ae/AmoqcHo9wYR4+ijDbmZ8w2V8jCoyevQR1SAJJ3SeLD/9KUWDA4+nlhZ4mXjPGmwsOp&amp;guid=4486575917a39a63e4461c1&amp;idrepository=879</w:t>
        </w:r>
      </w:hyperlink>
      <w:r w:rsidR="00527930">
        <w:rPr>
          <w:rFonts w:ascii="Arial" w:eastAsia="Arial Narrow" w:hAnsi="Arial" w:cs="Arial"/>
        </w:rPr>
        <w:t xml:space="preserve"> </w:t>
      </w:r>
    </w:p>
    <w:p w:rsidR="00D5351E" w:rsidRPr="00AC3C61" w:rsidRDefault="00D5351E">
      <w:pPr>
        <w:pStyle w:val="Prrafodelista"/>
        <w:numPr>
          <w:ilvl w:val="0"/>
          <w:numId w:val="29"/>
        </w:numPr>
        <w:spacing w:line="240" w:lineRule="auto"/>
        <w:jc w:val="both"/>
        <w:rPr>
          <w:rFonts w:ascii="Arial" w:hAnsi="Arial" w:cs="Arial"/>
        </w:rPr>
      </w:pPr>
      <w:r>
        <w:rPr>
          <w:rFonts w:ascii="Arial" w:hAnsi="Arial" w:cs="Arial"/>
        </w:rPr>
        <w:t xml:space="preserve">Ejecución presupuestal 2017 </w:t>
      </w:r>
      <w:r w:rsidR="00B127EC">
        <w:rPr>
          <w:rFonts w:ascii="Arial" w:hAnsi="Arial" w:cs="Arial"/>
        </w:rPr>
        <w:t xml:space="preserve">Tolú </w:t>
      </w:r>
      <w:r>
        <w:rPr>
          <w:rFonts w:ascii="Arial" w:hAnsi="Arial" w:cs="Arial"/>
        </w:rPr>
        <w:t>versión final</w:t>
      </w:r>
      <w:r w:rsidR="009D0D20">
        <w:rPr>
          <w:rFonts w:ascii="Arial" w:hAnsi="Arial" w:cs="Arial"/>
        </w:rPr>
        <w:t xml:space="preserve">. </w:t>
      </w:r>
      <w:r w:rsidR="009D0D20" w:rsidRPr="00801FF2">
        <w:rPr>
          <w:rFonts w:ascii="Arial" w:hAnsi="Arial" w:cs="Arial"/>
        </w:rPr>
        <w:t xml:space="preserve">Participación de Propósito General. Municipio de </w:t>
      </w:r>
      <w:r w:rsidR="009D0D20">
        <w:rPr>
          <w:rFonts w:ascii="Arial" w:hAnsi="Arial" w:cs="Arial"/>
        </w:rPr>
        <w:t>Santiago de Tolú</w:t>
      </w:r>
      <w:r w:rsidR="009D0D20" w:rsidRPr="00801FF2">
        <w:rPr>
          <w:rFonts w:ascii="Arial" w:hAnsi="Arial" w:cs="Arial"/>
        </w:rPr>
        <w:t xml:space="preserve"> – Sucre. Serie “</w:t>
      </w:r>
      <w:r w:rsidR="009D0D20" w:rsidRPr="00F4471B">
        <w:rPr>
          <w:rFonts w:ascii="Arial" w:hAnsi="Arial" w:cs="Arial"/>
          <w:i/>
        </w:rPr>
        <w:t>Historial de Seguimiento y Control a los Recursos del Sistema General de Participaciones – Diagnóstico</w:t>
      </w:r>
      <w:r w:rsidR="009D0D20" w:rsidRPr="00801FF2">
        <w:rPr>
          <w:rFonts w:ascii="Arial" w:hAnsi="Arial" w:cs="Arial"/>
        </w:rPr>
        <w:t xml:space="preserve">”. Expediente digital No. </w:t>
      </w:r>
      <w:r w:rsidR="009D0D20">
        <w:rPr>
          <w:rFonts w:ascii="Arial" w:hAnsi="Arial" w:cs="Arial"/>
        </w:rPr>
        <w:t>6</w:t>
      </w:r>
      <w:r w:rsidR="009D0D20" w:rsidRPr="00801FF2">
        <w:rPr>
          <w:rFonts w:ascii="Arial" w:hAnsi="Arial" w:cs="Arial"/>
        </w:rPr>
        <w:t xml:space="preserve">/2021/D028-PREDI </w:t>
      </w:r>
      <w:r w:rsidR="00AC3C61">
        <w:rPr>
          <w:rFonts w:ascii="Arial" w:eastAsia="Arial Narrow" w:hAnsi="Arial" w:cs="Arial"/>
        </w:rPr>
        <w:t>R</w:t>
      </w:r>
      <w:r w:rsidR="00AC3C61" w:rsidRPr="00BE36D3">
        <w:rPr>
          <w:rFonts w:ascii="Arial" w:eastAsia="Arial Narrow" w:hAnsi="Arial" w:cs="Arial"/>
        </w:rPr>
        <w:t>adicado No. 1-2019-079798 del 28 de agosto de 2019</w:t>
      </w:r>
      <w:r w:rsidR="00AC3C61">
        <w:rPr>
          <w:rFonts w:ascii="Arial" w:eastAsia="Arial Narrow" w:hAnsi="Arial" w:cs="Arial"/>
        </w:rPr>
        <w:t>.</w:t>
      </w:r>
      <w:r w:rsidR="00B92397">
        <w:rPr>
          <w:rFonts w:ascii="Arial" w:eastAsia="Arial Narrow" w:hAnsi="Arial" w:cs="Arial"/>
        </w:rPr>
        <w:t xml:space="preserve"> </w:t>
      </w:r>
      <w:hyperlink r:id="rId51" w:history="1">
        <w:r w:rsidR="00B92397" w:rsidRPr="008756E8">
          <w:rPr>
            <w:rStyle w:val="Hipervnculo"/>
            <w:rFonts w:ascii="Arial" w:eastAsia="Arial Narrow" w:hAnsi="Arial" w:cs="Arial"/>
          </w:rPr>
          <w:t>http://portalgestiondoc.minhacienda.red/PortalEmpleado/viewer.jsp?config=5IT2e2A0t2IYZfm0lLDdOUNV6rFwRUgJ0Q8xEU7Smi8KK/vJ1C1+FO2seY58px4whvWy96C/Bhfv5p+Wjpkv4FxP3iVqwXveQ9n+r0lL/Mg4WEeIRT3Hbgv6tPN+tpTwAnKoS7M+wwyJdQ22Ny5wBQnTL/rUtV5vtvG6CIVYTD2UbfdI51WrviERbgMpa+XG&amp;guid=4486575917a530a0b112e5&amp;idrepository=879</w:t>
        </w:r>
      </w:hyperlink>
      <w:r w:rsidR="00B92397">
        <w:rPr>
          <w:rFonts w:ascii="Arial" w:eastAsia="Arial Narrow" w:hAnsi="Arial" w:cs="Arial"/>
        </w:rPr>
        <w:t xml:space="preserve"> </w:t>
      </w:r>
    </w:p>
    <w:p w:rsidR="00D5351E" w:rsidRPr="00AC3C61" w:rsidRDefault="00D5351E">
      <w:pPr>
        <w:pStyle w:val="Prrafodelista"/>
        <w:numPr>
          <w:ilvl w:val="0"/>
          <w:numId w:val="29"/>
        </w:numPr>
        <w:spacing w:line="240" w:lineRule="auto"/>
        <w:jc w:val="both"/>
        <w:rPr>
          <w:rFonts w:ascii="Arial" w:hAnsi="Arial" w:cs="Arial"/>
        </w:rPr>
      </w:pPr>
      <w:r>
        <w:rPr>
          <w:rFonts w:ascii="Arial" w:hAnsi="Arial" w:cs="Arial"/>
        </w:rPr>
        <w:t xml:space="preserve">Ejecución presupuestal 2018 </w:t>
      </w:r>
      <w:r w:rsidR="00B127EC">
        <w:rPr>
          <w:rFonts w:ascii="Arial" w:hAnsi="Arial" w:cs="Arial"/>
        </w:rPr>
        <w:t xml:space="preserve">Tolú </w:t>
      </w:r>
      <w:r>
        <w:rPr>
          <w:rFonts w:ascii="Arial" w:hAnsi="Arial" w:cs="Arial"/>
        </w:rPr>
        <w:t>versión final</w:t>
      </w:r>
      <w:r w:rsidR="009D0D20">
        <w:rPr>
          <w:rFonts w:ascii="Arial" w:hAnsi="Arial" w:cs="Arial"/>
        </w:rPr>
        <w:t xml:space="preserve">. </w:t>
      </w:r>
      <w:r w:rsidR="009D0D20" w:rsidRPr="00801FF2">
        <w:rPr>
          <w:rFonts w:ascii="Arial" w:hAnsi="Arial" w:cs="Arial"/>
        </w:rPr>
        <w:t xml:space="preserve">Participación de Propósito General. Municipio de </w:t>
      </w:r>
      <w:r w:rsidR="009D0D20">
        <w:rPr>
          <w:rFonts w:ascii="Arial" w:hAnsi="Arial" w:cs="Arial"/>
        </w:rPr>
        <w:t>Santiago de Tolú</w:t>
      </w:r>
      <w:r w:rsidR="009D0D20" w:rsidRPr="00801FF2">
        <w:rPr>
          <w:rFonts w:ascii="Arial" w:hAnsi="Arial" w:cs="Arial"/>
        </w:rPr>
        <w:t xml:space="preserve"> – Sucre. Serie “</w:t>
      </w:r>
      <w:r w:rsidR="009D0D20" w:rsidRPr="00F4471B">
        <w:rPr>
          <w:rFonts w:ascii="Arial" w:hAnsi="Arial" w:cs="Arial"/>
          <w:i/>
        </w:rPr>
        <w:t>Historial de Seguimiento y Control a los Recursos del Sistema General de Participaciones – Diagnóstico</w:t>
      </w:r>
      <w:r w:rsidR="009D0D20" w:rsidRPr="00801FF2">
        <w:rPr>
          <w:rFonts w:ascii="Arial" w:hAnsi="Arial" w:cs="Arial"/>
        </w:rPr>
        <w:t xml:space="preserve">”. Expediente digital No. </w:t>
      </w:r>
      <w:r w:rsidR="009D0D20">
        <w:rPr>
          <w:rFonts w:ascii="Arial" w:hAnsi="Arial" w:cs="Arial"/>
        </w:rPr>
        <w:t>6</w:t>
      </w:r>
      <w:r w:rsidR="009D0D20" w:rsidRPr="00801FF2">
        <w:rPr>
          <w:rFonts w:ascii="Arial" w:hAnsi="Arial" w:cs="Arial"/>
        </w:rPr>
        <w:t xml:space="preserve">/2021/D028-PREDI </w:t>
      </w:r>
      <w:r w:rsidR="00AC3C61">
        <w:rPr>
          <w:rFonts w:ascii="Arial" w:eastAsia="Arial Narrow" w:hAnsi="Arial" w:cs="Arial"/>
        </w:rPr>
        <w:t>R</w:t>
      </w:r>
      <w:r w:rsidR="00AC3C61" w:rsidRPr="00BE36D3">
        <w:rPr>
          <w:rFonts w:ascii="Arial" w:eastAsia="Arial Narrow" w:hAnsi="Arial" w:cs="Arial"/>
        </w:rPr>
        <w:t>adicado No. 1-2019-079798 del 28 de agosto de 2019</w:t>
      </w:r>
      <w:r w:rsidR="00AC3C61">
        <w:rPr>
          <w:rFonts w:ascii="Arial" w:eastAsia="Arial Narrow" w:hAnsi="Arial" w:cs="Arial"/>
        </w:rPr>
        <w:t>.</w:t>
      </w:r>
      <w:r w:rsidR="00B92397" w:rsidRPr="00B92397">
        <w:t xml:space="preserve"> </w:t>
      </w:r>
      <w:hyperlink r:id="rId52" w:history="1">
        <w:r w:rsidR="00B92397" w:rsidRPr="008756E8">
          <w:rPr>
            <w:rStyle w:val="Hipervnculo"/>
            <w:rFonts w:ascii="Arial" w:eastAsia="Arial Narrow" w:hAnsi="Arial" w:cs="Arial"/>
          </w:rPr>
          <w:t>http://portalgestiondoc.minhacienda.red/PortalEmpleado/viewer.jsp?config=a7imZGR9wjyMqV28hVy/l4PW+CSCZmlaIbd4z8ZvXgK5ruZjihPnZCCkfNV60LziRsKUTi06tPJUyC2L3/JAPs9XNwvCjqBqvAJILb3Dd5t+2RQOgWd46/BBJKifc6R2bBy78mwA4fCH84o1/vaKPp2oaY05ETKpXRxyqQqyLxa7LHxy3Crjz/Jej+H2COfy&amp;guid=4486575917a530a0b112e2&amp;idrepository=879</w:t>
        </w:r>
      </w:hyperlink>
      <w:r w:rsidR="00B92397">
        <w:rPr>
          <w:rFonts w:ascii="Arial" w:eastAsia="Arial Narrow" w:hAnsi="Arial" w:cs="Arial"/>
        </w:rPr>
        <w:t xml:space="preserve"> </w:t>
      </w:r>
    </w:p>
    <w:p w:rsidR="00B127EC" w:rsidRPr="00AC3C61" w:rsidRDefault="00B127EC">
      <w:pPr>
        <w:pStyle w:val="Prrafodelista"/>
        <w:numPr>
          <w:ilvl w:val="0"/>
          <w:numId w:val="29"/>
        </w:numPr>
        <w:spacing w:line="240" w:lineRule="auto"/>
        <w:jc w:val="both"/>
        <w:rPr>
          <w:rFonts w:ascii="Arial" w:hAnsi="Arial" w:cs="Arial"/>
        </w:rPr>
      </w:pPr>
      <w:r>
        <w:rPr>
          <w:rFonts w:ascii="Arial" w:hAnsi="Arial" w:cs="Arial"/>
        </w:rPr>
        <w:t>Extracto</w:t>
      </w:r>
      <w:r w:rsidR="00E20BE5">
        <w:rPr>
          <w:rFonts w:ascii="Arial" w:hAnsi="Arial" w:cs="Arial"/>
        </w:rPr>
        <w:t xml:space="preserve"> </w:t>
      </w:r>
      <w:r w:rsidR="00E20BE5" w:rsidRPr="00E20BE5">
        <w:rPr>
          <w:rFonts w:ascii="Arial" w:hAnsi="Arial" w:cs="Arial"/>
        </w:rPr>
        <w:t>50756634370 DICIEMBRE 2017</w:t>
      </w:r>
      <w:r w:rsidR="009D0D20">
        <w:rPr>
          <w:rFonts w:ascii="Arial" w:hAnsi="Arial" w:cs="Arial"/>
        </w:rPr>
        <w:t xml:space="preserve">. </w:t>
      </w:r>
      <w:r w:rsidR="009D0D20" w:rsidRPr="00801FF2">
        <w:rPr>
          <w:rFonts w:ascii="Arial" w:hAnsi="Arial" w:cs="Arial"/>
        </w:rPr>
        <w:t xml:space="preserve">Participación de Propósito General. Municipio de </w:t>
      </w:r>
      <w:r w:rsidR="009D0D20">
        <w:rPr>
          <w:rFonts w:ascii="Arial" w:hAnsi="Arial" w:cs="Arial"/>
        </w:rPr>
        <w:t>Santiago de Tolú</w:t>
      </w:r>
      <w:r w:rsidR="009D0D20" w:rsidRPr="00801FF2">
        <w:rPr>
          <w:rFonts w:ascii="Arial" w:hAnsi="Arial" w:cs="Arial"/>
        </w:rPr>
        <w:t xml:space="preserve"> – Sucre. Serie “</w:t>
      </w:r>
      <w:r w:rsidR="009D0D20" w:rsidRPr="00F4471B">
        <w:rPr>
          <w:rFonts w:ascii="Arial" w:hAnsi="Arial" w:cs="Arial"/>
          <w:i/>
        </w:rPr>
        <w:t>Historial de Seguimiento y Control a los Recursos del Sistema General de Participaciones – Diagnóstico</w:t>
      </w:r>
      <w:r w:rsidR="009D0D20" w:rsidRPr="00801FF2">
        <w:rPr>
          <w:rFonts w:ascii="Arial" w:hAnsi="Arial" w:cs="Arial"/>
        </w:rPr>
        <w:t xml:space="preserve">”. Expediente digital No. </w:t>
      </w:r>
      <w:r w:rsidR="009D0D20">
        <w:rPr>
          <w:rFonts w:ascii="Arial" w:hAnsi="Arial" w:cs="Arial"/>
        </w:rPr>
        <w:t>6</w:t>
      </w:r>
      <w:r w:rsidR="009D0D20" w:rsidRPr="00801FF2">
        <w:rPr>
          <w:rFonts w:ascii="Arial" w:hAnsi="Arial" w:cs="Arial"/>
        </w:rPr>
        <w:t xml:space="preserve">/2021/D028-PREDI </w:t>
      </w:r>
      <w:r w:rsidR="00AC3C61">
        <w:rPr>
          <w:rFonts w:ascii="Arial" w:eastAsia="Arial Narrow" w:hAnsi="Arial" w:cs="Arial"/>
        </w:rPr>
        <w:t>R</w:t>
      </w:r>
      <w:r w:rsidR="00AC3C61" w:rsidRPr="00BE36D3">
        <w:rPr>
          <w:rFonts w:ascii="Arial" w:eastAsia="Arial Narrow" w:hAnsi="Arial" w:cs="Arial"/>
        </w:rPr>
        <w:t>adicado No. 1-2019-079798 del 28 de agosto de 2019</w:t>
      </w:r>
      <w:r w:rsidR="00AC3C61">
        <w:rPr>
          <w:rFonts w:ascii="Arial" w:eastAsia="Arial Narrow" w:hAnsi="Arial" w:cs="Arial"/>
        </w:rPr>
        <w:t>.</w:t>
      </w:r>
      <w:r w:rsidR="00E20BE5">
        <w:rPr>
          <w:rFonts w:ascii="Arial" w:eastAsia="Arial Narrow" w:hAnsi="Arial" w:cs="Arial"/>
        </w:rPr>
        <w:t xml:space="preserve"> </w:t>
      </w:r>
      <w:hyperlink r:id="rId53" w:history="1">
        <w:r w:rsidR="00E20BE5" w:rsidRPr="008756E8">
          <w:rPr>
            <w:rStyle w:val="Hipervnculo"/>
            <w:rFonts w:ascii="Arial" w:eastAsia="Arial Narrow" w:hAnsi="Arial" w:cs="Arial"/>
          </w:rPr>
          <w:t>http://portalgestiondoc.minhacienda.red/PortalEmpleado/viewer.jsp?config=SswEvacWi8kr0QW4C+PYLNNWnb4hcXBO0rFaz4xJee88rGfpTfPnDTYOqbcMmAq/JbgkAuXtxfFMo7Spo4Tx6TcxkDIu8SXY8JUdrzu5Nqqik8DgTpPije5A8yZ4lz6EEwlM23iKVnXqfng1JvTdeGISZ0V2uTbO8iB+R1eTzXDmnkOIw26X+fLkdlbHQyVI&amp;guid=4486575917a530a0b112f93&amp;idrepository=879</w:t>
        </w:r>
      </w:hyperlink>
      <w:r w:rsidR="00E20BE5">
        <w:rPr>
          <w:rFonts w:ascii="Arial" w:eastAsia="Arial Narrow" w:hAnsi="Arial" w:cs="Arial"/>
        </w:rPr>
        <w:t xml:space="preserve"> </w:t>
      </w:r>
    </w:p>
    <w:p w:rsidR="00B127EC" w:rsidRPr="00AC3C61" w:rsidRDefault="00B127EC">
      <w:pPr>
        <w:pStyle w:val="Prrafodelista"/>
        <w:numPr>
          <w:ilvl w:val="0"/>
          <w:numId w:val="29"/>
        </w:numPr>
        <w:spacing w:line="240" w:lineRule="auto"/>
        <w:jc w:val="both"/>
        <w:rPr>
          <w:rFonts w:ascii="Arial" w:hAnsi="Arial" w:cs="Arial"/>
        </w:rPr>
      </w:pPr>
      <w:r>
        <w:rPr>
          <w:rFonts w:ascii="Arial" w:hAnsi="Arial" w:cs="Arial"/>
        </w:rPr>
        <w:t>Extracto</w:t>
      </w:r>
      <w:r w:rsidR="00E20BE5">
        <w:rPr>
          <w:rFonts w:ascii="Arial" w:hAnsi="Arial" w:cs="Arial"/>
        </w:rPr>
        <w:t xml:space="preserve"> </w:t>
      </w:r>
      <w:r w:rsidR="00E20BE5" w:rsidRPr="00E20BE5">
        <w:rPr>
          <w:rFonts w:ascii="Arial" w:hAnsi="Arial" w:cs="Arial"/>
        </w:rPr>
        <w:t>50756628094 DICIEMBRE 2018</w:t>
      </w:r>
      <w:r w:rsidR="009D0D20">
        <w:rPr>
          <w:rFonts w:ascii="Arial" w:hAnsi="Arial" w:cs="Arial"/>
        </w:rPr>
        <w:t xml:space="preserve">. </w:t>
      </w:r>
      <w:r w:rsidR="009D0D20" w:rsidRPr="00801FF2">
        <w:rPr>
          <w:rFonts w:ascii="Arial" w:hAnsi="Arial" w:cs="Arial"/>
        </w:rPr>
        <w:t xml:space="preserve">Participación de Propósito General. Municipio de </w:t>
      </w:r>
      <w:r w:rsidR="009D0D20">
        <w:rPr>
          <w:rFonts w:ascii="Arial" w:hAnsi="Arial" w:cs="Arial"/>
        </w:rPr>
        <w:t>Santiago de Tolú</w:t>
      </w:r>
      <w:r w:rsidR="009D0D20" w:rsidRPr="00801FF2">
        <w:rPr>
          <w:rFonts w:ascii="Arial" w:hAnsi="Arial" w:cs="Arial"/>
        </w:rPr>
        <w:t xml:space="preserve"> – Sucre. Serie “</w:t>
      </w:r>
      <w:r w:rsidR="009D0D20" w:rsidRPr="00F4471B">
        <w:rPr>
          <w:rFonts w:ascii="Arial" w:hAnsi="Arial" w:cs="Arial"/>
          <w:i/>
        </w:rPr>
        <w:t>Historial de Seguimiento y Control a los Recursos del Sistema General de Participaciones – Diagnóstico</w:t>
      </w:r>
      <w:r w:rsidR="009D0D20" w:rsidRPr="00801FF2">
        <w:rPr>
          <w:rFonts w:ascii="Arial" w:hAnsi="Arial" w:cs="Arial"/>
        </w:rPr>
        <w:t xml:space="preserve">”. Expediente digital No. </w:t>
      </w:r>
      <w:r w:rsidR="009D0D20">
        <w:rPr>
          <w:rFonts w:ascii="Arial" w:hAnsi="Arial" w:cs="Arial"/>
        </w:rPr>
        <w:t>6</w:t>
      </w:r>
      <w:r w:rsidR="009D0D20" w:rsidRPr="00801FF2">
        <w:rPr>
          <w:rFonts w:ascii="Arial" w:hAnsi="Arial" w:cs="Arial"/>
        </w:rPr>
        <w:t xml:space="preserve">/2021/D028-PREDI </w:t>
      </w:r>
      <w:r w:rsidR="00AC3C61">
        <w:rPr>
          <w:rFonts w:ascii="Arial" w:eastAsia="Arial Narrow" w:hAnsi="Arial" w:cs="Arial"/>
        </w:rPr>
        <w:t>R</w:t>
      </w:r>
      <w:r w:rsidR="00AC3C61" w:rsidRPr="00BE36D3">
        <w:rPr>
          <w:rFonts w:ascii="Arial" w:eastAsia="Arial Narrow" w:hAnsi="Arial" w:cs="Arial"/>
        </w:rPr>
        <w:t>adicado No. 1-2019-079798 del 28 de agosto de 2019</w:t>
      </w:r>
      <w:r w:rsidR="00AC3C61">
        <w:rPr>
          <w:rFonts w:ascii="Arial" w:eastAsia="Arial Narrow" w:hAnsi="Arial" w:cs="Arial"/>
        </w:rPr>
        <w:t>.</w:t>
      </w:r>
      <w:r w:rsidR="00E20BE5">
        <w:rPr>
          <w:rFonts w:ascii="Arial" w:eastAsia="Arial Narrow" w:hAnsi="Arial" w:cs="Arial"/>
        </w:rPr>
        <w:t xml:space="preserve"> </w:t>
      </w:r>
      <w:hyperlink r:id="rId54" w:history="1">
        <w:r w:rsidR="00E20BE5" w:rsidRPr="008756E8">
          <w:rPr>
            <w:rStyle w:val="Hipervnculo"/>
            <w:rFonts w:ascii="Arial" w:eastAsia="Arial Narrow" w:hAnsi="Arial" w:cs="Arial"/>
          </w:rPr>
          <w:t>http://portalgestiondoc.minhacienda.red/PortalEmpleado/viewer.jsp?config=36OMVgt+f4yn6UD6SMrY5QVbzmIOUFPqaZn5OjvJslGdM2FG8fq7N4b8Do2+uF7+F0xk4BFjozNMK8UcSAJOU1E0HllokdKWMWspzIkekg4HBt1TaIe4DpZbq7vn7v5uLqcY</w:t>
        </w:r>
        <w:r w:rsidR="00E20BE5" w:rsidRPr="008756E8">
          <w:rPr>
            <w:rStyle w:val="Hipervnculo"/>
            <w:rFonts w:ascii="Arial" w:eastAsia="Arial Narrow" w:hAnsi="Arial" w:cs="Arial"/>
          </w:rPr>
          <w:lastRenderedPageBreak/>
          <w:t>OFknujMD6yRgwn5yPfcIzUclUNgrCmJd6ctuJT3ZdoYTnSbXwhEyw5CRFfTa&amp;guid=4486575917a530a0b112f95&amp;idrepository=879</w:t>
        </w:r>
      </w:hyperlink>
      <w:r w:rsidR="00E20BE5">
        <w:rPr>
          <w:rFonts w:ascii="Arial" w:eastAsia="Arial Narrow" w:hAnsi="Arial" w:cs="Arial"/>
        </w:rPr>
        <w:t xml:space="preserve"> </w:t>
      </w:r>
    </w:p>
    <w:p w:rsidR="00305126" w:rsidRPr="00AC3C61" w:rsidRDefault="00305126">
      <w:pPr>
        <w:pStyle w:val="Prrafodelista"/>
        <w:numPr>
          <w:ilvl w:val="0"/>
          <w:numId w:val="29"/>
        </w:numPr>
        <w:spacing w:line="240" w:lineRule="auto"/>
        <w:jc w:val="both"/>
        <w:rPr>
          <w:rFonts w:ascii="Arial" w:hAnsi="Arial" w:cs="Arial"/>
        </w:rPr>
      </w:pPr>
      <w:r>
        <w:rPr>
          <w:rFonts w:ascii="Arial" w:hAnsi="Arial" w:cs="Arial"/>
        </w:rPr>
        <w:t xml:space="preserve">Decreto </w:t>
      </w:r>
      <w:r w:rsidRPr="00305126">
        <w:rPr>
          <w:rFonts w:ascii="Arial" w:hAnsi="Arial" w:cs="Arial"/>
        </w:rPr>
        <w:t>No. 1 de 2018</w:t>
      </w:r>
      <w:r>
        <w:rPr>
          <w:rFonts w:ascii="Arial" w:hAnsi="Arial" w:cs="Arial"/>
        </w:rPr>
        <w:t xml:space="preserve"> Por el cual se constituyen las cuentas por pagar del municipio Santiago de Tolú de la vigencia 2017</w:t>
      </w:r>
      <w:r w:rsidR="009D0D20">
        <w:rPr>
          <w:rFonts w:ascii="Arial" w:hAnsi="Arial" w:cs="Arial"/>
        </w:rPr>
        <w:t xml:space="preserve">. </w:t>
      </w:r>
      <w:r w:rsidR="009D0D20" w:rsidRPr="00801FF2">
        <w:rPr>
          <w:rFonts w:ascii="Arial" w:hAnsi="Arial" w:cs="Arial"/>
        </w:rPr>
        <w:t xml:space="preserve">Participación de Propósito General. Municipio de </w:t>
      </w:r>
      <w:r w:rsidR="009D0D20">
        <w:rPr>
          <w:rFonts w:ascii="Arial" w:hAnsi="Arial" w:cs="Arial"/>
        </w:rPr>
        <w:t>Santiago de Tolú</w:t>
      </w:r>
      <w:r w:rsidR="009D0D20" w:rsidRPr="00801FF2">
        <w:rPr>
          <w:rFonts w:ascii="Arial" w:hAnsi="Arial" w:cs="Arial"/>
        </w:rPr>
        <w:t xml:space="preserve"> – Sucre. Serie “</w:t>
      </w:r>
      <w:r w:rsidR="009D0D20" w:rsidRPr="00F4471B">
        <w:rPr>
          <w:rFonts w:ascii="Arial" w:hAnsi="Arial" w:cs="Arial"/>
          <w:i/>
        </w:rPr>
        <w:t>Historial de Seguimiento y Control a los Recursos del Sistema General de Participaciones – Diagnóstico</w:t>
      </w:r>
      <w:r w:rsidR="009D0D20" w:rsidRPr="00801FF2">
        <w:rPr>
          <w:rFonts w:ascii="Arial" w:hAnsi="Arial" w:cs="Arial"/>
        </w:rPr>
        <w:t xml:space="preserve">”. Expediente digital No. </w:t>
      </w:r>
      <w:r w:rsidR="009D0D20">
        <w:rPr>
          <w:rFonts w:ascii="Arial" w:hAnsi="Arial" w:cs="Arial"/>
        </w:rPr>
        <w:t>6</w:t>
      </w:r>
      <w:r w:rsidR="009D0D20" w:rsidRPr="00801FF2">
        <w:rPr>
          <w:rFonts w:ascii="Arial" w:hAnsi="Arial" w:cs="Arial"/>
        </w:rPr>
        <w:t xml:space="preserve">/2021/D028-PREDI </w:t>
      </w:r>
      <w:r w:rsidR="00AC3C61">
        <w:rPr>
          <w:rFonts w:ascii="Arial" w:eastAsia="Arial Narrow" w:hAnsi="Arial" w:cs="Arial"/>
        </w:rPr>
        <w:t>R</w:t>
      </w:r>
      <w:r w:rsidR="00AC3C61" w:rsidRPr="00BE36D3">
        <w:rPr>
          <w:rFonts w:ascii="Arial" w:eastAsia="Arial Narrow" w:hAnsi="Arial" w:cs="Arial"/>
        </w:rPr>
        <w:t>adicado No. 1-2019-079798 del 28 de agosto de 2019</w:t>
      </w:r>
      <w:r w:rsidR="00AC3C61">
        <w:rPr>
          <w:rFonts w:ascii="Arial" w:eastAsia="Arial Narrow" w:hAnsi="Arial" w:cs="Arial"/>
        </w:rPr>
        <w:t>.</w:t>
      </w:r>
      <w:r w:rsidR="00F76ED1">
        <w:rPr>
          <w:rFonts w:ascii="Arial" w:eastAsia="Arial Narrow" w:hAnsi="Arial" w:cs="Arial"/>
        </w:rPr>
        <w:t xml:space="preserve"> </w:t>
      </w:r>
      <w:hyperlink r:id="rId55" w:history="1">
        <w:r w:rsidR="00F76ED1" w:rsidRPr="008756E8">
          <w:rPr>
            <w:rStyle w:val="Hipervnculo"/>
            <w:rFonts w:ascii="Arial" w:eastAsia="Arial Narrow" w:hAnsi="Arial" w:cs="Arial"/>
          </w:rPr>
          <w:t>http://portalgestiondoc.minhacienda.red/PortalEmpleado/viewer.jsp?config=Jr2XVCgoG2fxdWniwoCay8UfRVLoXEfedFfCyGZPLUAX4i3Aqb46394XYHXeaqE9thqleYr1l7Ls8b623vAg2vsDOXoKuZ6WTKgWiYUyId4qdyxbugIHMkysIyyeIvYNzp37jA2UvL/9SVqfHaOaNmi7YjrNnb7yB0XmvqAdJIXwt1BGzVxM8R60XOVl1CqF&amp;guid=4486575917a530a0b112de&amp;idrepository=879</w:t>
        </w:r>
      </w:hyperlink>
      <w:r w:rsidR="00F76ED1">
        <w:rPr>
          <w:rFonts w:ascii="Arial" w:eastAsia="Arial Narrow" w:hAnsi="Arial" w:cs="Arial"/>
        </w:rPr>
        <w:t xml:space="preserve"> </w:t>
      </w:r>
      <w:r w:rsidR="00B92397">
        <w:rPr>
          <w:rFonts w:ascii="Arial" w:eastAsia="Arial Narrow" w:hAnsi="Arial" w:cs="Arial"/>
        </w:rPr>
        <w:tab/>
      </w:r>
    </w:p>
    <w:p w:rsidR="00305126" w:rsidRPr="00AC3C61" w:rsidRDefault="00305126">
      <w:pPr>
        <w:pStyle w:val="Prrafodelista"/>
        <w:numPr>
          <w:ilvl w:val="0"/>
          <w:numId w:val="29"/>
        </w:numPr>
        <w:spacing w:line="240" w:lineRule="auto"/>
        <w:jc w:val="both"/>
        <w:rPr>
          <w:rFonts w:ascii="Arial" w:hAnsi="Arial" w:cs="Arial"/>
        </w:rPr>
      </w:pPr>
      <w:r>
        <w:rPr>
          <w:rFonts w:ascii="Arial" w:hAnsi="Arial" w:cs="Arial"/>
        </w:rPr>
        <w:t xml:space="preserve">Decreto No. </w:t>
      </w:r>
      <w:r w:rsidR="00F76ED1">
        <w:rPr>
          <w:rFonts w:ascii="Arial" w:hAnsi="Arial" w:cs="Arial"/>
        </w:rPr>
        <w:t>2</w:t>
      </w:r>
      <w:r>
        <w:rPr>
          <w:rFonts w:ascii="Arial" w:hAnsi="Arial" w:cs="Arial"/>
        </w:rPr>
        <w:t xml:space="preserve"> de 2019 Por el cual se constituyen las cuentas por pagar del municipio Santiago de Tolú de la vigencia 2018</w:t>
      </w:r>
      <w:r w:rsidR="009D0D20">
        <w:rPr>
          <w:rFonts w:ascii="Arial" w:hAnsi="Arial" w:cs="Arial"/>
        </w:rPr>
        <w:t xml:space="preserve">. </w:t>
      </w:r>
      <w:r w:rsidR="009D0D20" w:rsidRPr="00801FF2">
        <w:rPr>
          <w:rFonts w:ascii="Arial" w:hAnsi="Arial" w:cs="Arial"/>
        </w:rPr>
        <w:t xml:space="preserve">Participación de Propósito General. Municipio de </w:t>
      </w:r>
      <w:r w:rsidR="009D0D20">
        <w:rPr>
          <w:rFonts w:ascii="Arial" w:hAnsi="Arial" w:cs="Arial"/>
        </w:rPr>
        <w:t>Santiago de Tolú</w:t>
      </w:r>
      <w:r w:rsidR="009D0D20" w:rsidRPr="00801FF2">
        <w:rPr>
          <w:rFonts w:ascii="Arial" w:hAnsi="Arial" w:cs="Arial"/>
        </w:rPr>
        <w:t xml:space="preserve"> – Sucre. Serie “</w:t>
      </w:r>
      <w:r w:rsidR="009D0D20" w:rsidRPr="00F4471B">
        <w:rPr>
          <w:rFonts w:ascii="Arial" w:hAnsi="Arial" w:cs="Arial"/>
          <w:i/>
        </w:rPr>
        <w:t>Historial de Seguimiento y Control a los Recursos del Sistema General de Participaciones – Diagnóstico</w:t>
      </w:r>
      <w:r w:rsidR="009D0D20" w:rsidRPr="00801FF2">
        <w:rPr>
          <w:rFonts w:ascii="Arial" w:hAnsi="Arial" w:cs="Arial"/>
        </w:rPr>
        <w:t xml:space="preserve">”. Expediente digital No. </w:t>
      </w:r>
      <w:r w:rsidR="009D0D20">
        <w:rPr>
          <w:rFonts w:ascii="Arial" w:hAnsi="Arial" w:cs="Arial"/>
        </w:rPr>
        <w:t>6</w:t>
      </w:r>
      <w:r w:rsidR="009D0D20" w:rsidRPr="00801FF2">
        <w:rPr>
          <w:rFonts w:ascii="Arial" w:hAnsi="Arial" w:cs="Arial"/>
        </w:rPr>
        <w:t xml:space="preserve">/2021/D028-PREDI </w:t>
      </w:r>
      <w:r w:rsidR="00AC3C61">
        <w:rPr>
          <w:rFonts w:ascii="Arial" w:eastAsia="Arial Narrow" w:hAnsi="Arial" w:cs="Arial"/>
        </w:rPr>
        <w:t>R</w:t>
      </w:r>
      <w:r w:rsidR="00AC3C61" w:rsidRPr="00BE36D3">
        <w:rPr>
          <w:rFonts w:ascii="Arial" w:eastAsia="Arial Narrow" w:hAnsi="Arial" w:cs="Arial"/>
        </w:rPr>
        <w:t>adicado No. 1-2019-079798 del 28 de agosto de 2019</w:t>
      </w:r>
      <w:r w:rsidR="00AC3C61">
        <w:rPr>
          <w:rFonts w:ascii="Arial" w:eastAsia="Arial Narrow" w:hAnsi="Arial" w:cs="Arial"/>
        </w:rPr>
        <w:t>.</w:t>
      </w:r>
      <w:r w:rsidR="00F76ED1">
        <w:rPr>
          <w:rFonts w:ascii="Arial" w:eastAsia="Arial Narrow" w:hAnsi="Arial" w:cs="Arial"/>
        </w:rPr>
        <w:t xml:space="preserve"> </w:t>
      </w:r>
      <w:hyperlink r:id="rId56" w:history="1">
        <w:r w:rsidR="00F76ED1" w:rsidRPr="008756E8">
          <w:rPr>
            <w:rStyle w:val="Hipervnculo"/>
            <w:rFonts w:ascii="Arial" w:eastAsia="Arial Narrow" w:hAnsi="Arial" w:cs="Arial"/>
          </w:rPr>
          <w:t>http://portalgestiondoc.minhacienda.red/PortalEmpleado/viewer.jsp?config=dlipBl7Eeu5k/titi10Y3L3tTpsmM5ZwSRJf2flQaEogJe2npFbHjiR9kEQobrlFAW9qtQJhnd8zK8z+kkTEnE1TaUg8d4tY82pkMlXFIzvrCYvbcKF+YHRqoQq2md4XjtWWA1eKiFywrKmFSZn20vbpaTZaU1usoQ+3eUfMEAcpfq2U/UMNpttP42cdmqAG&amp;guid=4486575917a530a0b111d0&amp;idrepository=879</w:t>
        </w:r>
      </w:hyperlink>
      <w:r w:rsidR="00F76ED1">
        <w:rPr>
          <w:rFonts w:ascii="Arial" w:eastAsia="Arial Narrow" w:hAnsi="Arial" w:cs="Arial"/>
        </w:rPr>
        <w:t xml:space="preserve"> </w:t>
      </w:r>
    </w:p>
    <w:p w:rsidR="00801FF2" w:rsidRPr="00B127EC" w:rsidRDefault="00801FF2">
      <w:pPr>
        <w:pStyle w:val="Prrafodelista"/>
        <w:spacing w:line="240" w:lineRule="auto"/>
        <w:jc w:val="both"/>
        <w:rPr>
          <w:rFonts w:ascii="Arial" w:hAnsi="Arial" w:cs="Arial"/>
        </w:rPr>
      </w:pPr>
    </w:p>
    <w:p w:rsidR="00ED4989" w:rsidRDefault="00ED4989" w:rsidP="00F4471B">
      <w:pPr>
        <w:spacing w:line="240" w:lineRule="auto"/>
        <w:contextualSpacing/>
        <w:jc w:val="both"/>
        <w:rPr>
          <w:rFonts w:ascii="Arial" w:hAnsi="Arial" w:cs="Arial"/>
          <w:b/>
          <w:bCs/>
        </w:rPr>
      </w:pPr>
      <w:r>
        <w:rPr>
          <w:rFonts w:ascii="Arial" w:hAnsi="Arial" w:cs="Arial"/>
          <w:b/>
          <w:bCs/>
        </w:rPr>
        <w:t xml:space="preserve">EVENTO DE RIESGO 9.4 </w:t>
      </w:r>
      <w:r w:rsidR="00F84895">
        <w:rPr>
          <w:rFonts w:ascii="Arial" w:hAnsi="Arial" w:cs="Arial"/>
          <w:b/>
          <w:bCs/>
        </w:rPr>
        <w:t>“</w:t>
      </w:r>
      <w:r w:rsidRPr="00F4471B">
        <w:rPr>
          <w:rFonts w:ascii="Arial" w:hAnsi="Arial" w:cs="Arial"/>
          <w:b/>
          <w:bCs/>
          <w:i/>
        </w:rPr>
        <w:t>Cambio en la destinación de los recursos</w:t>
      </w:r>
      <w:r w:rsidR="00F84895">
        <w:rPr>
          <w:rFonts w:ascii="Arial" w:hAnsi="Arial" w:cs="Arial"/>
          <w:b/>
          <w:bCs/>
        </w:rPr>
        <w:t>”</w:t>
      </w:r>
      <w:r w:rsidRPr="00ED4989">
        <w:rPr>
          <w:rFonts w:ascii="Arial" w:hAnsi="Arial" w:cs="Arial"/>
          <w:b/>
          <w:bCs/>
        </w:rPr>
        <w:t>.</w:t>
      </w:r>
    </w:p>
    <w:p w:rsidR="00F84895" w:rsidRDefault="00F84895" w:rsidP="00F4471B">
      <w:pPr>
        <w:spacing w:line="240" w:lineRule="auto"/>
        <w:contextualSpacing/>
        <w:jc w:val="both"/>
        <w:rPr>
          <w:rFonts w:ascii="Arial" w:hAnsi="Arial" w:cs="Arial"/>
          <w:b/>
          <w:bCs/>
        </w:rPr>
      </w:pPr>
    </w:p>
    <w:p w:rsidR="00413751" w:rsidRDefault="00413751">
      <w:pPr>
        <w:pStyle w:val="Prrafodelista"/>
        <w:numPr>
          <w:ilvl w:val="0"/>
          <w:numId w:val="29"/>
        </w:numPr>
        <w:spacing w:line="240" w:lineRule="auto"/>
        <w:jc w:val="both"/>
        <w:rPr>
          <w:rFonts w:ascii="Arial" w:hAnsi="Arial" w:cs="Arial"/>
          <w:b/>
          <w:bCs/>
        </w:rPr>
      </w:pPr>
      <w:r>
        <w:rPr>
          <w:rFonts w:ascii="Arial" w:hAnsi="Arial" w:cs="Arial"/>
          <w:b/>
          <w:bCs/>
        </w:rPr>
        <w:t>Pago de déficit fiscal con recursos de Libre Inversión</w:t>
      </w:r>
      <w:r w:rsidR="008C2A4C">
        <w:rPr>
          <w:rFonts w:ascii="Arial" w:hAnsi="Arial" w:cs="Arial"/>
          <w:b/>
          <w:bCs/>
        </w:rPr>
        <w:t>.</w:t>
      </w:r>
    </w:p>
    <w:p w:rsidR="00F84895" w:rsidRDefault="00F84895" w:rsidP="00F4471B">
      <w:pPr>
        <w:pStyle w:val="paragraph"/>
        <w:spacing w:before="0" w:beforeAutospacing="0" w:after="0" w:afterAutospacing="0"/>
        <w:contextualSpacing/>
        <w:jc w:val="both"/>
        <w:textAlignment w:val="baseline"/>
        <w:rPr>
          <w:rStyle w:val="normaltextrun"/>
          <w:rFonts w:ascii="Arial" w:eastAsiaTheme="minorHAnsi" w:hAnsi="Arial" w:cs="Arial"/>
          <w:sz w:val="22"/>
          <w:szCs w:val="22"/>
          <w:lang w:val="es-MX" w:eastAsia="en-US"/>
        </w:rPr>
      </w:pPr>
    </w:p>
    <w:p w:rsidR="00654B96" w:rsidRDefault="00654B96" w:rsidP="00F4471B">
      <w:pPr>
        <w:pStyle w:val="paragraph"/>
        <w:spacing w:before="0" w:beforeAutospacing="0" w:after="0" w:afterAutospacing="0"/>
        <w:contextualSpacing/>
        <w:jc w:val="both"/>
        <w:textAlignment w:val="baseline"/>
        <w:rPr>
          <w:rStyle w:val="eop"/>
          <w:rFonts w:ascii="Arial" w:eastAsiaTheme="minorHAnsi" w:hAnsi="Arial" w:cs="Arial"/>
          <w:sz w:val="22"/>
          <w:szCs w:val="22"/>
          <w:lang w:eastAsia="en-US"/>
        </w:rPr>
      </w:pPr>
      <w:r>
        <w:rPr>
          <w:rStyle w:val="normaltextrun"/>
          <w:rFonts w:ascii="Arial" w:hAnsi="Arial" w:cs="Arial"/>
          <w:sz w:val="22"/>
          <w:szCs w:val="22"/>
          <w:lang w:val="es-MX"/>
        </w:rPr>
        <w:t>Respecto a la destinación de recursos de la Participación de Propósito General del Sistema General de Participaciones al saneamiento fiscal de las entidades territoriales como proyecto de fortalecimiento institucional, el artículo 76.14.3. de la Ley 715 de 2001 determin</w:t>
      </w:r>
      <w:r w:rsidR="00F84895">
        <w:rPr>
          <w:rStyle w:val="normaltextrun"/>
          <w:rFonts w:ascii="Arial" w:hAnsi="Arial" w:cs="Arial"/>
          <w:sz w:val="22"/>
          <w:szCs w:val="22"/>
          <w:lang w:val="es-MX"/>
        </w:rPr>
        <w:t>ó</w:t>
      </w:r>
      <w:r>
        <w:rPr>
          <w:rStyle w:val="normaltextrun"/>
          <w:rFonts w:ascii="Arial" w:hAnsi="Arial" w:cs="Arial"/>
          <w:sz w:val="22"/>
          <w:szCs w:val="22"/>
          <w:lang w:val="es-MX"/>
        </w:rPr>
        <w:t xml:space="preserve"> lo siguiente:</w:t>
      </w:r>
    </w:p>
    <w:p w:rsidR="00654B96" w:rsidRPr="00F4471B" w:rsidRDefault="00654B96" w:rsidP="00F4471B">
      <w:pPr>
        <w:pStyle w:val="paragraph"/>
        <w:spacing w:before="0" w:beforeAutospacing="0" w:after="0" w:afterAutospacing="0"/>
        <w:contextualSpacing/>
        <w:jc w:val="both"/>
        <w:textAlignment w:val="baseline"/>
        <w:rPr>
          <w:rFonts w:ascii="Arial" w:hAnsi="Arial" w:cs="Arial"/>
          <w:sz w:val="22"/>
          <w:szCs w:val="22"/>
        </w:rPr>
      </w:pPr>
    </w:p>
    <w:p w:rsidR="00654B96" w:rsidRPr="00654B96" w:rsidRDefault="00654B96" w:rsidP="00F4471B">
      <w:pPr>
        <w:pStyle w:val="paragraph"/>
        <w:spacing w:before="0" w:beforeAutospacing="0" w:after="0" w:afterAutospacing="0"/>
        <w:ind w:left="1416" w:right="49"/>
        <w:contextualSpacing/>
        <w:jc w:val="both"/>
        <w:textAlignment w:val="baseline"/>
        <w:rPr>
          <w:rFonts w:ascii="Segoe UI" w:hAnsi="Segoe UI" w:cs="Segoe UI"/>
          <w:sz w:val="14"/>
          <w:szCs w:val="14"/>
        </w:rPr>
      </w:pPr>
      <w:r w:rsidRPr="00654B96">
        <w:rPr>
          <w:rStyle w:val="normaltextrun"/>
          <w:rFonts w:ascii="Arial" w:hAnsi="Arial" w:cs="Arial"/>
          <w:i/>
          <w:iCs/>
          <w:color w:val="000000"/>
          <w:sz w:val="18"/>
          <w:szCs w:val="18"/>
          <w:lang w:val="es-MX"/>
        </w:rPr>
        <w:t>“76.14.3. Financiar los gastos destinados a cubrir el déficit fiscal, el pasivo laboral y el pasivo prestacional, existentes a 31 de diciembre de 2000, siempre y cuando tales gastos se encuentren contemplados en programas de saneamiento fiscal y financiero, con el cumplimiento de todos los términos y requisitos establecidos en la Ley</w:t>
      </w:r>
      <w:r w:rsidR="00F84895">
        <w:rPr>
          <w:rStyle w:val="normaltextrun"/>
          <w:rFonts w:ascii="Arial" w:hAnsi="Arial" w:cs="Arial"/>
          <w:i/>
          <w:iCs/>
          <w:color w:val="000000"/>
          <w:sz w:val="18"/>
          <w:szCs w:val="18"/>
          <w:lang w:val="es-MX"/>
        </w:rPr>
        <w:t xml:space="preserve"> </w:t>
      </w:r>
      <w:r w:rsidRPr="00F4471B">
        <w:rPr>
          <w:rStyle w:val="normaltextrun"/>
          <w:rFonts w:ascii="Arial" w:hAnsi="Arial" w:cs="Arial"/>
          <w:i/>
          <w:iCs/>
          <w:color w:val="000000"/>
          <w:sz w:val="18"/>
          <w:szCs w:val="18"/>
          <w:lang w:val="es-MX"/>
        </w:rPr>
        <w:t>617</w:t>
      </w:r>
      <w:r w:rsidR="00F84895">
        <w:rPr>
          <w:rStyle w:val="normaltextrun"/>
          <w:rFonts w:ascii="Arial" w:hAnsi="Arial" w:cs="Arial"/>
          <w:i/>
          <w:iCs/>
          <w:color w:val="000000"/>
          <w:sz w:val="18"/>
          <w:szCs w:val="18"/>
          <w:lang w:val="es-MX"/>
        </w:rPr>
        <w:t xml:space="preserve"> </w:t>
      </w:r>
      <w:r w:rsidRPr="00654B96">
        <w:rPr>
          <w:rStyle w:val="normaltextrun"/>
          <w:rFonts w:ascii="Arial" w:hAnsi="Arial" w:cs="Arial"/>
          <w:i/>
          <w:iCs/>
          <w:color w:val="000000"/>
          <w:sz w:val="18"/>
          <w:szCs w:val="18"/>
          <w:lang w:val="es-MX"/>
        </w:rPr>
        <w:t>de 2000 y sus reglamentos”.</w:t>
      </w:r>
    </w:p>
    <w:p w:rsidR="00654B96" w:rsidRPr="00F4471B" w:rsidRDefault="00654B96" w:rsidP="00F4471B">
      <w:pPr>
        <w:pStyle w:val="paragraph"/>
        <w:spacing w:before="0" w:beforeAutospacing="0" w:after="0" w:afterAutospacing="0"/>
        <w:ind w:right="1035"/>
        <w:contextualSpacing/>
        <w:jc w:val="both"/>
        <w:textAlignment w:val="baseline"/>
        <w:rPr>
          <w:rFonts w:ascii="Arial" w:hAnsi="Arial" w:cs="Arial"/>
          <w:sz w:val="22"/>
          <w:szCs w:val="22"/>
        </w:rPr>
      </w:pPr>
    </w:p>
    <w:p w:rsidR="00654B96" w:rsidRPr="00F4471B" w:rsidRDefault="00654B96" w:rsidP="00F4471B">
      <w:pPr>
        <w:pStyle w:val="paragraph"/>
        <w:spacing w:before="0" w:beforeAutospacing="0" w:after="0" w:afterAutospacing="0"/>
        <w:contextualSpacing/>
        <w:jc w:val="both"/>
        <w:textAlignment w:val="baseline"/>
        <w:rPr>
          <w:rFonts w:ascii="Arial" w:hAnsi="Arial" w:cs="Arial"/>
          <w:sz w:val="22"/>
          <w:szCs w:val="22"/>
        </w:rPr>
      </w:pPr>
      <w:r w:rsidRPr="00F84895">
        <w:rPr>
          <w:rStyle w:val="normaltextrun"/>
          <w:rFonts w:ascii="Arial" w:hAnsi="Arial" w:cs="Arial"/>
          <w:sz w:val="22"/>
          <w:szCs w:val="22"/>
        </w:rPr>
        <w:t>De igual manera el Decreto 111 de 1996</w:t>
      </w:r>
      <w:r w:rsidR="00F84895">
        <w:rPr>
          <w:rStyle w:val="normaltextrun"/>
          <w:rFonts w:ascii="Arial" w:hAnsi="Arial" w:cs="Arial"/>
          <w:sz w:val="22"/>
          <w:szCs w:val="22"/>
        </w:rPr>
        <w:t xml:space="preserve"> </w:t>
      </w:r>
      <w:r w:rsidRPr="00F84895">
        <w:rPr>
          <w:rStyle w:val="normaltextrun"/>
          <w:rFonts w:ascii="Arial" w:hAnsi="Arial" w:cs="Arial"/>
          <w:sz w:val="22"/>
          <w:szCs w:val="22"/>
        </w:rPr>
        <w:t>en su artículo 46 establece que:</w:t>
      </w:r>
    </w:p>
    <w:p w:rsidR="00654B96" w:rsidRPr="00F4471B" w:rsidRDefault="00654B96" w:rsidP="00F4471B">
      <w:pPr>
        <w:pStyle w:val="paragraph"/>
        <w:spacing w:before="0" w:beforeAutospacing="0" w:after="0" w:afterAutospacing="0"/>
        <w:contextualSpacing/>
        <w:jc w:val="both"/>
        <w:textAlignment w:val="baseline"/>
        <w:rPr>
          <w:rFonts w:ascii="Arial" w:hAnsi="Arial" w:cs="Arial"/>
          <w:sz w:val="22"/>
          <w:szCs w:val="22"/>
        </w:rPr>
      </w:pPr>
    </w:p>
    <w:p w:rsidR="00654B96" w:rsidRPr="00F4471B" w:rsidRDefault="00F84895" w:rsidP="00F4471B">
      <w:pPr>
        <w:pStyle w:val="paragraph"/>
        <w:spacing w:before="0" w:beforeAutospacing="0" w:after="0" w:afterAutospacing="0"/>
        <w:ind w:left="1416"/>
        <w:contextualSpacing/>
        <w:jc w:val="both"/>
        <w:textAlignment w:val="baseline"/>
        <w:rPr>
          <w:rStyle w:val="eop"/>
          <w:rFonts w:ascii="Arial" w:hAnsi="Arial" w:cs="Arial"/>
          <w:sz w:val="18"/>
          <w:szCs w:val="20"/>
        </w:rPr>
      </w:pPr>
      <w:r w:rsidRPr="00F4471B">
        <w:rPr>
          <w:rStyle w:val="normaltextrun"/>
          <w:rFonts w:ascii="Arial" w:hAnsi="Arial" w:cs="Arial"/>
          <w:iCs/>
          <w:sz w:val="18"/>
          <w:szCs w:val="20"/>
        </w:rPr>
        <w:t>“</w:t>
      </w:r>
      <w:r w:rsidR="00654B96" w:rsidRPr="00F4471B">
        <w:rPr>
          <w:rStyle w:val="normaltextrun"/>
          <w:rFonts w:ascii="Arial" w:hAnsi="Arial" w:cs="Arial"/>
          <w:i/>
          <w:iCs/>
          <w:sz w:val="18"/>
          <w:szCs w:val="20"/>
        </w:rPr>
        <w:t>Cuando en el ejercicio fiscal anterior a aquel en el cual se prepara el proyecto de presupuesto resultare un déficit fiscal, el Ministerio de Hacienda y Crédito Público incluirá forzosamente la partida necesaria para saldarlo. La no inclusión de esta partida será motivo para que la comisión respectiva devuelva el proyecto</w:t>
      </w:r>
      <w:r>
        <w:rPr>
          <w:rStyle w:val="normaltextrun"/>
          <w:rFonts w:ascii="Arial" w:hAnsi="Arial" w:cs="Arial"/>
          <w:i/>
          <w:iCs/>
          <w:sz w:val="18"/>
          <w:szCs w:val="20"/>
        </w:rPr>
        <w:t>”</w:t>
      </w:r>
      <w:r w:rsidRPr="00F4471B">
        <w:rPr>
          <w:rStyle w:val="eop"/>
          <w:rFonts w:ascii="Arial" w:hAnsi="Arial" w:cs="Arial"/>
          <w:sz w:val="18"/>
          <w:szCs w:val="20"/>
        </w:rPr>
        <w:t>.</w:t>
      </w:r>
    </w:p>
    <w:p w:rsidR="00BE20E7" w:rsidRPr="00F4471B" w:rsidRDefault="00BE20E7" w:rsidP="00F4471B">
      <w:pPr>
        <w:pStyle w:val="paragraph"/>
        <w:spacing w:before="0" w:beforeAutospacing="0" w:after="0" w:afterAutospacing="0"/>
        <w:contextualSpacing/>
        <w:jc w:val="both"/>
        <w:textAlignment w:val="baseline"/>
        <w:rPr>
          <w:rFonts w:ascii="Arial" w:hAnsi="Arial" w:cs="Arial"/>
          <w:sz w:val="22"/>
          <w:szCs w:val="22"/>
        </w:rPr>
      </w:pPr>
    </w:p>
    <w:p w:rsidR="00BE20E7" w:rsidRDefault="00BE20E7">
      <w:pPr>
        <w:spacing w:line="240" w:lineRule="auto"/>
        <w:contextualSpacing/>
        <w:jc w:val="both"/>
        <w:rPr>
          <w:rFonts w:ascii="Arial" w:hAnsi="Arial" w:cs="Arial"/>
        </w:rPr>
      </w:pPr>
      <w:r>
        <w:rPr>
          <w:rFonts w:ascii="Arial" w:hAnsi="Arial" w:cs="Arial"/>
        </w:rPr>
        <w:t>A</w:t>
      </w:r>
      <w:r w:rsidRPr="00BE36D3">
        <w:rPr>
          <w:rFonts w:ascii="Arial" w:hAnsi="Arial" w:cs="Arial"/>
        </w:rPr>
        <w:t xml:space="preserve">l respecto, el documento </w:t>
      </w:r>
      <w:r>
        <w:rPr>
          <w:rFonts w:ascii="Arial" w:hAnsi="Arial" w:cs="Arial"/>
        </w:rPr>
        <w:t>“</w:t>
      </w:r>
      <w:r w:rsidRPr="00BE36D3">
        <w:rPr>
          <w:rFonts w:ascii="Arial" w:hAnsi="Arial" w:cs="Arial"/>
          <w:i/>
          <w:iCs/>
        </w:rPr>
        <w:t>Orientaciones para la programación y ejecución de los recursos del Sistema General de Participaciones</w:t>
      </w:r>
      <w:r>
        <w:rPr>
          <w:rFonts w:ascii="Arial" w:hAnsi="Arial" w:cs="Arial"/>
        </w:rPr>
        <w:t>”</w:t>
      </w:r>
      <w:r w:rsidRPr="00BE36D3">
        <w:rPr>
          <w:rFonts w:ascii="Arial" w:hAnsi="Arial" w:cs="Arial"/>
          <w:i/>
          <w:iCs/>
        </w:rPr>
        <w:t xml:space="preserve"> </w:t>
      </w:r>
      <w:r w:rsidRPr="00BE36D3">
        <w:rPr>
          <w:rFonts w:ascii="Arial" w:hAnsi="Arial" w:cs="Arial"/>
        </w:rPr>
        <w:t>del DNP indica que:</w:t>
      </w:r>
    </w:p>
    <w:p w:rsidR="00BE20E7" w:rsidRDefault="00BE20E7">
      <w:pPr>
        <w:spacing w:line="240" w:lineRule="auto"/>
        <w:contextualSpacing/>
        <w:jc w:val="both"/>
        <w:rPr>
          <w:rFonts w:ascii="Arial" w:hAnsi="Arial" w:cs="Arial"/>
        </w:rPr>
      </w:pPr>
    </w:p>
    <w:p w:rsidR="00BE20E7" w:rsidRPr="00BE36D3" w:rsidRDefault="00BE20E7" w:rsidP="00F4471B">
      <w:pPr>
        <w:spacing w:line="240" w:lineRule="auto"/>
        <w:ind w:left="1416"/>
        <w:contextualSpacing/>
        <w:jc w:val="both"/>
        <w:rPr>
          <w:rFonts w:ascii="Arial" w:hAnsi="Arial" w:cs="Arial"/>
          <w:i/>
          <w:iCs/>
          <w:sz w:val="18"/>
          <w:szCs w:val="18"/>
        </w:rPr>
      </w:pPr>
      <w:r w:rsidRPr="00BE36D3">
        <w:rPr>
          <w:rFonts w:ascii="Arial" w:hAnsi="Arial" w:cs="Arial"/>
          <w:i/>
          <w:iCs/>
          <w:sz w:val="18"/>
          <w:szCs w:val="18"/>
        </w:rPr>
        <w:t xml:space="preserve">“Los recursos de la PPG deben ser destinados a la provisión de bienes y servicios públicos de acuerdo con las competencias asignadas a las entidades territoriales por la ley en otros sectores, diferentes a educación, salud y agua potable y saneamiento básico, sin perjuicio de que dichos recursos puedan ser destinados </w:t>
      </w:r>
      <w:r w:rsidRPr="00BE36D3">
        <w:rPr>
          <w:rFonts w:ascii="Arial" w:hAnsi="Arial" w:cs="Arial"/>
          <w:b/>
          <w:bCs/>
          <w:i/>
          <w:iCs/>
          <w:sz w:val="18"/>
          <w:szCs w:val="18"/>
        </w:rPr>
        <w:t>a la financiación de estos servicios</w:t>
      </w:r>
      <w:r w:rsidRPr="00BE36D3">
        <w:rPr>
          <w:rFonts w:ascii="Arial" w:hAnsi="Arial" w:cs="Arial"/>
          <w:i/>
          <w:iCs/>
          <w:sz w:val="18"/>
          <w:szCs w:val="18"/>
        </w:rPr>
        <w:t>”</w:t>
      </w:r>
      <w:r w:rsidR="00F84895">
        <w:rPr>
          <w:rFonts w:ascii="Arial" w:hAnsi="Arial" w:cs="Arial"/>
          <w:i/>
          <w:iCs/>
          <w:sz w:val="18"/>
          <w:szCs w:val="18"/>
        </w:rPr>
        <w:t>.</w:t>
      </w:r>
      <w:r w:rsidRPr="00BE36D3">
        <w:rPr>
          <w:rFonts w:ascii="Arial" w:hAnsi="Arial" w:cs="Arial"/>
          <w:i/>
          <w:iCs/>
          <w:sz w:val="18"/>
          <w:szCs w:val="18"/>
        </w:rPr>
        <w:t xml:space="preserve"> (énfasis fuera del texto)</w:t>
      </w:r>
    </w:p>
    <w:p w:rsidR="00654B96" w:rsidRDefault="00654B96" w:rsidP="00F4471B">
      <w:pPr>
        <w:pStyle w:val="paragraph"/>
        <w:spacing w:before="0" w:beforeAutospacing="0" w:after="0" w:afterAutospacing="0"/>
        <w:contextualSpacing/>
        <w:jc w:val="both"/>
        <w:textAlignment w:val="baseline"/>
        <w:rPr>
          <w:rFonts w:ascii="Arial" w:hAnsi="Arial" w:cs="Arial"/>
        </w:rPr>
      </w:pPr>
    </w:p>
    <w:p w:rsidR="00F84895" w:rsidRDefault="00BE20E7" w:rsidP="00F4471B">
      <w:pPr>
        <w:spacing w:line="240" w:lineRule="auto"/>
        <w:contextualSpacing/>
        <w:jc w:val="both"/>
        <w:rPr>
          <w:rFonts w:ascii="Arial" w:hAnsi="Arial" w:cs="Arial"/>
        </w:rPr>
      </w:pPr>
      <w:r>
        <w:rPr>
          <w:rFonts w:ascii="Arial" w:hAnsi="Arial" w:cs="Arial"/>
        </w:rPr>
        <w:t>D</w:t>
      </w:r>
      <w:r w:rsidR="003145AC">
        <w:rPr>
          <w:rFonts w:ascii="Arial" w:hAnsi="Arial" w:cs="Arial"/>
        </w:rPr>
        <w:t>e acuerdo con la ejecución presupuestal remitida como anexo del Informe de Monitoreo en Campo del DNP, e</w:t>
      </w:r>
      <w:r w:rsidR="003145AC" w:rsidRPr="00BE36D3">
        <w:rPr>
          <w:rFonts w:ascii="Arial" w:hAnsi="Arial" w:cs="Arial"/>
        </w:rPr>
        <w:t>n</w:t>
      </w:r>
      <w:r w:rsidR="003145AC">
        <w:rPr>
          <w:rFonts w:ascii="Arial" w:hAnsi="Arial" w:cs="Arial"/>
        </w:rPr>
        <w:t xml:space="preserve"> el </w:t>
      </w:r>
      <w:r w:rsidR="00F84895">
        <w:rPr>
          <w:rFonts w:ascii="Arial" w:hAnsi="Arial" w:cs="Arial"/>
        </w:rPr>
        <w:t>S</w:t>
      </w:r>
      <w:r w:rsidR="003145AC">
        <w:rPr>
          <w:rFonts w:ascii="Arial" w:hAnsi="Arial" w:cs="Arial"/>
        </w:rPr>
        <w:t>ector de</w:t>
      </w:r>
      <w:r w:rsidR="003145AC" w:rsidRPr="00BE36D3">
        <w:rPr>
          <w:rFonts w:ascii="Arial" w:hAnsi="Arial" w:cs="Arial"/>
        </w:rPr>
        <w:t xml:space="preserve"> Agua Potable y Saneamiento Básico, el rubro con mayor gasto es el de </w:t>
      </w:r>
      <w:r w:rsidR="003145AC">
        <w:rPr>
          <w:rFonts w:ascii="Arial" w:hAnsi="Arial" w:cs="Arial"/>
        </w:rPr>
        <w:t>p</w:t>
      </w:r>
      <w:r w:rsidR="003145AC" w:rsidRPr="00BE36D3">
        <w:rPr>
          <w:rFonts w:ascii="Arial" w:hAnsi="Arial" w:cs="Arial"/>
        </w:rPr>
        <w:t xml:space="preserve">ago de déficit en el </w:t>
      </w:r>
      <w:r w:rsidR="003145AC">
        <w:rPr>
          <w:rFonts w:ascii="Arial" w:hAnsi="Arial" w:cs="Arial"/>
        </w:rPr>
        <w:t>S</w:t>
      </w:r>
      <w:r w:rsidR="003145AC" w:rsidRPr="00BE36D3">
        <w:rPr>
          <w:rFonts w:ascii="Arial" w:hAnsi="Arial" w:cs="Arial"/>
        </w:rPr>
        <w:t xml:space="preserve">ector en la vigencia 2017, el cual, si bien se financió en su mayoría con recursos del componente de Libre Destinación, la ejecución presupuestal </w:t>
      </w:r>
      <w:r w:rsidR="00F97875">
        <w:rPr>
          <w:rFonts w:ascii="Arial" w:hAnsi="Arial" w:cs="Arial"/>
        </w:rPr>
        <w:t xml:space="preserve">y el reporte FUT </w:t>
      </w:r>
      <w:r w:rsidR="003145AC" w:rsidRPr="00BE36D3">
        <w:rPr>
          <w:rFonts w:ascii="Arial" w:hAnsi="Arial" w:cs="Arial"/>
        </w:rPr>
        <w:t>indica</w:t>
      </w:r>
      <w:r w:rsidR="00F97875">
        <w:rPr>
          <w:rFonts w:ascii="Arial" w:hAnsi="Arial" w:cs="Arial"/>
        </w:rPr>
        <w:t>n</w:t>
      </w:r>
      <w:r w:rsidR="003145AC" w:rsidRPr="00BE36D3">
        <w:rPr>
          <w:rFonts w:ascii="Arial" w:hAnsi="Arial" w:cs="Arial"/>
        </w:rPr>
        <w:t xml:space="preserve"> que se financiaron $14.733.039 con cargo a recursos de Libre Inversión</w:t>
      </w:r>
      <w:r w:rsidR="00F97875">
        <w:rPr>
          <w:rFonts w:ascii="Arial" w:hAnsi="Arial" w:cs="Arial"/>
        </w:rPr>
        <w:t xml:space="preserve"> para el rubro </w:t>
      </w:r>
      <w:r w:rsidR="00F84895">
        <w:rPr>
          <w:rFonts w:ascii="Arial" w:hAnsi="Arial" w:cs="Arial"/>
        </w:rPr>
        <w:t>“</w:t>
      </w:r>
      <w:r w:rsidR="00F97875" w:rsidRPr="00F97875">
        <w:rPr>
          <w:rFonts w:ascii="Arial" w:hAnsi="Arial" w:cs="Arial"/>
          <w:i/>
          <w:iCs/>
        </w:rPr>
        <w:t>A.3.17 Pago de déficit de inversión en Agua Potable y Saneamiento Básico</w:t>
      </w:r>
      <w:r w:rsidR="00F84895">
        <w:rPr>
          <w:rFonts w:ascii="Arial" w:hAnsi="Arial" w:cs="Arial"/>
          <w:iCs/>
        </w:rPr>
        <w:t>”</w:t>
      </w:r>
      <w:r w:rsidR="003145AC" w:rsidRPr="00BE36D3">
        <w:rPr>
          <w:rFonts w:ascii="Arial" w:hAnsi="Arial" w:cs="Arial"/>
        </w:rPr>
        <w:t>.</w:t>
      </w:r>
    </w:p>
    <w:p w:rsidR="00FA114E" w:rsidRDefault="00FA114E" w:rsidP="00F4471B">
      <w:pPr>
        <w:spacing w:line="240" w:lineRule="auto"/>
        <w:contextualSpacing/>
        <w:jc w:val="both"/>
        <w:rPr>
          <w:rFonts w:ascii="Arial" w:hAnsi="Arial" w:cs="Arial"/>
        </w:rPr>
      </w:pPr>
    </w:p>
    <w:p w:rsidR="003145AC" w:rsidRDefault="00BE20E7" w:rsidP="00F4471B">
      <w:pPr>
        <w:spacing w:line="240" w:lineRule="auto"/>
        <w:contextualSpacing/>
        <w:jc w:val="both"/>
        <w:rPr>
          <w:rFonts w:ascii="Arial" w:hAnsi="Arial" w:cs="Arial"/>
        </w:rPr>
      </w:pPr>
      <w:r>
        <w:rPr>
          <w:rStyle w:val="normaltextrun"/>
          <w:rFonts w:ascii="Arial" w:hAnsi="Arial" w:cs="Arial"/>
          <w:color w:val="000000"/>
          <w:shd w:val="clear" w:color="auto" w:fill="FFFFFF"/>
        </w:rPr>
        <w:t>Frente a lo anterior, se destaca un escenario de riesgo toda vez que, al incluirse rubros de déficit en un instrumento diseñado para soportar la inversión, el Municipio estaría realizando prácticas orientadas a un saneamiento fiscal con los recursos de la destinación de Libre Inversión.</w:t>
      </w:r>
      <w:r w:rsidR="00FA114E" w:rsidRPr="00BE36D3">
        <w:rPr>
          <w:rFonts w:ascii="Arial" w:hAnsi="Arial" w:cs="Arial"/>
        </w:rPr>
        <w:t xml:space="preserve"> </w:t>
      </w:r>
      <w:r w:rsidR="00FA114E">
        <w:rPr>
          <w:rFonts w:ascii="Arial" w:hAnsi="Arial" w:cs="Arial"/>
        </w:rPr>
        <w:t>S</w:t>
      </w:r>
      <w:r w:rsidR="00FA114E" w:rsidRPr="00BE36D3">
        <w:rPr>
          <w:rFonts w:ascii="Arial" w:hAnsi="Arial" w:cs="Arial"/>
        </w:rPr>
        <w:t xml:space="preserve">i bien se pueden destinar recursos de Propósito General al </w:t>
      </w:r>
      <w:r w:rsidR="00FA114E">
        <w:rPr>
          <w:rFonts w:ascii="Arial" w:hAnsi="Arial" w:cs="Arial"/>
        </w:rPr>
        <w:t>S</w:t>
      </w:r>
      <w:r w:rsidR="00FA114E" w:rsidRPr="00BE36D3">
        <w:rPr>
          <w:rFonts w:ascii="Arial" w:hAnsi="Arial" w:cs="Arial"/>
        </w:rPr>
        <w:t xml:space="preserve">ector de Agua Potable y Saneamiento Básico, estos deben complementar los gastos dirigidos a inversión que mejoren la prestación de los servicios y no a cubrir desequilibrios presupuestales generados en el </w:t>
      </w:r>
      <w:r w:rsidR="00FA114E">
        <w:rPr>
          <w:rFonts w:ascii="Arial" w:hAnsi="Arial" w:cs="Arial"/>
        </w:rPr>
        <w:t>S</w:t>
      </w:r>
      <w:r w:rsidR="00FA114E" w:rsidRPr="00BE36D3">
        <w:rPr>
          <w:rFonts w:ascii="Arial" w:hAnsi="Arial" w:cs="Arial"/>
        </w:rPr>
        <w:t>ector</w:t>
      </w:r>
      <w:r w:rsidR="008C2A4C">
        <w:rPr>
          <w:rFonts w:ascii="Arial" w:hAnsi="Arial" w:cs="Arial"/>
        </w:rPr>
        <w:t xml:space="preserve"> al cierre de la vigencia</w:t>
      </w:r>
      <w:r w:rsidR="00984136">
        <w:rPr>
          <w:rFonts w:ascii="Arial" w:hAnsi="Arial" w:cs="Arial"/>
        </w:rPr>
        <w:t>.</w:t>
      </w:r>
    </w:p>
    <w:p w:rsidR="00F84895" w:rsidRDefault="00F84895" w:rsidP="00F4471B">
      <w:pPr>
        <w:spacing w:line="240" w:lineRule="auto"/>
        <w:contextualSpacing/>
        <w:jc w:val="both"/>
        <w:rPr>
          <w:rFonts w:ascii="Arial" w:hAnsi="Arial" w:cs="Arial"/>
        </w:rPr>
      </w:pPr>
    </w:p>
    <w:p w:rsidR="00984136" w:rsidRDefault="00984136">
      <w:pPr>
        <w:spacing w:line="240" w:lineRule="auto"/>
        <w:contextualSpacing/>
        <w:jc w:val="both"/>
        <w:rPr>
          <w:rFonts w:ascii="Arial" w:hAnsi="Arial" w:cs="Arial"/>
        </w:rPr>
      </w:pPr>
      <w:r w:rsidRPr="00B127EC">
        <w:rPr>
          <w:rFonts w:ascii="Arial" w:hAnsi="Arial" w:cs="Arial"/>
          <w:b/>
          <w:bCs/>
        </w:rPr>
        <w:t xml:space="preserve">Evidencia: </w:t>
      </w:r>
      <w:r w:rsidRPr="00B127EC">
        <w:rPr>
          <w:rFonts w:ascii="Arial" w:hAnsi="Arial" w:cs="Arial"/>
        </w:rPr>
        <w:t> los documentos obran en el expediente digital en el Sistema Electrónico Documental SIED del Ministerio de Hacienda y Crédito Público No. 6/2021/D028-PREDI el siguiente material probatorio:</w:t>
      </w:r>
    </w:p>
    <w:p w:rsidR="00441C57" w:rsidRDefault="00441C57">
      <w:pPr>
        <w:spacing w:line="240" w:lineRule="auto"/>
        <w:contextualSpacing/>
        <w:jc w:val="both"/>
        <w:rPr>
          <w:rFonts w:ascii="Arial" w:hAnsi="Arial" w:cs="Arial"/>
        </w:rPr>
      </w:pPr>
    </w:p>
    <w:p w:rsidR="00325A43" w:rsidRPr="00AC3C61" w:rsidRDefault="00325A43">
      <w:pPr>
        <w:pStyle w:val="Prrafodelista"/>
        <w:numPr>
          <w:ilvl w:val="0"/>
          <w:numId w:val="29"/>
        </w:numPr>
        <w:spacing w:line="240" w:lineRule="auto"/>
        <w:jc w:val="both"/>
        <w:rPr>
          <w:rFonts w:ascii="Arial" w:hAnsi="Arial" w:cs="Arial"/>
        </w:rPr>
      </w:pPr>
      <w:r>
        <w:rPr>
          <w:rFonts w:ascii="Arial" w:hAnsi="Arial" w:cs="Arial"/>
        </w:rPr>
        <w:t xml:space="preserve">Ejecución presupuestal 2017 Tolú versión final. </w:t>
      </w:r>
      <w:r w:rsidRPr="00801FF2">
        <w:rPr>
          <w:rFonts w:ascii="Arial" w:hAnsi="Arial" w:cs="Arial"/>
        </w:rPr>
        <w:t xml:space="preserve">Participación de Propósito General. Municipio de </w:t>
      </w:r>
      <w:r>
        <w:rPr>
          <w:rFonts w:ascii="Arial" w:hAnsi="Arial" w:cs="Arial"/>
        </w:rPr>
        <w:t>Santiago de Tolú</w:t>
      </w:r>
      <w:r w:rsidRPr="00801FF2">
        <w:rPr>
          <w:rFonts w:ascii="Arial" w:hAnsi="Arial" w:cs="Arial"/>
        </w:rPr>
        <w:t xml:space="preserve"> – Sucre. Serie “</w:t>
      </w:r>
      <w:r w:rsidRPr="00F4471B">
        <w:rPr>
          <w:rFonts w:ascii="Arial" w:hAnsi="Arial" w:cs="Arial"/>
          <w:i/>
        </w:rPr>
        <w:t>Historial de Seguimiento y Control a los Recursos del Sistema General de Participaciones – Diagnóstico</w:t>
      </w:r>
      <w:r w:rsidRPr="00801FF2">
        <w:rPr>
          <w:rFonts w:ascii="Arial" w:hAnsi="Arial" w:cs="Arial"/>
        </w:rPr>
        <w:t xml:space="preserve">”. Expediente digital No. </w:t>
      </w:r>
      <w:r>
        <w:rPr>
          <w:rFonts w:ascii="Arial" w:hAnsi="Arial" w:cs="Arial"/>
        </w:rPr>
        <w:t>6</w:t>
      </w:r>
      <w:r w:rsidRPr="00801FF2">
        <w:rPr>
          <w:rFonts w:ascii="Arial" w:hAnsi="Arial" w:cs="Arial"/>
        </w:rPr>
        <w:t xml:space="preserve">/2021/D028-PREDI </w:t>
      </w:r>
      <w:r>
        <w:rPr>
          <w:rFonts w:ascii="Arial" w:eastAsia="Arial Narrow" w:hAnsi="Arial" w:cs="Arial"/>
        </w:rPr>
        <w:t>R</w:t>
      </w:r>
      <w:r w:rsidRPr="00BE36D3">
        <w:rPr>
          <w:rFonts w:ascii="Arial" w:eastAsia="Arial Narrow" w:hAnsi="Arial" w:cs="Arial"/>
        </w:rPr>
        <w:t>adicado No. 1-2019-079798 del 28 de agosto de 2019</w:t>
      </w:r>
      <w:r>
        <w:rPr>
          <w:rFonts w:ascii="Arial" w:eastAsia="Arial Narrow" w:hAnsi="Arial" w:cs="Arial"/>
        </w:rPr>
        <w:t xml:space="preserve">. </w:t>
      </w:r>
      <w:hyperlink r:id="rId57" w:history="1">
        <w:r w:rsidRPr="008756E8">
          <w:rPr>
            <w:rStyle w:val="Hipervnculo"/>
            <w:rFonts w:ascii="Arial" w:eastAsia="Arial Narrow" w:hAnsi="Arial" w:cs="Arial"/>
          </w:rPr>
          <w:t>http://portalgestiondoc.minhacienda.red/PortalEmpleado/viewer.jsp?config=5IT2e2A0t2IYZfm0lLDdOUNV6rFwRUgJ0Q8xEU7Smi8KK/vJ1C1+FO2seY58px4whvWy96C/Bhfv5p+Wjpkv4FxP3iVqwXveQ9n+r0lL/Mg4WEeIRT3Hbgv6tPN+tpTwAnKoS7M+wwyJdQ22Ny5wBQnTL/rUtV5vtvG6CIVYTD2UbfdI51WrviERbgMpa+XG&amp;guid=4486575917a530a0b112e5&amp;idrepository=879</w:t>
        </w:r>
      </w:hyperlink>
      <w:r>
        <w:rPr>
          <w:rFonts w:ascii="Arial" w:eastAsia="Arial Narrow" w:hAnsi="Arial" w:cs="Arial"/>
        </w:rPr>
        <w:t xml:space="preserve"> </w:t>
      </w:r>
    </w:p>
    <w:p w:rsidR="00C970D1" w:rsidRDefault="00325A43">
      <w:pPr>
        <w:pStyle w:val="Prrafodelista"/>
        <w:numPr>
          <w:ilvl w:val="0"/>
          <w:numId w:val="29"/>
        </w:numPr>
        <w:spacing w:line="240" w:lineRule="auto"/>
        <w:jc w:val="both"/>
        <w:rPr>
          <w:rFonts w:ascii="Arial" w:hAnsi="Arial" w:cs="Arial"/>
        </w:rPr>
      </w:pPr>
      <w:r>
        <w:rPr>
          <w:rFonts w:ascii="Arial" w:hAnsi="Arial" w:cs="Arial"/>
        </w:rPr>
        <w:t xml:space="preserve">Fut_Gastos de inversión_Tolú_2017. </w:t>
      </w:r>
      <w:r w:rsidRPr="00801FF2">
        <w:rPr>
          <w:rFonts w:ascii="Arial" w:hAnsi="Arial" w:cs="Arial"/>
        </w:rPr>
        <w:t xml:space="preserve">Participación de Propósito General. Municipio de </w:t>
      </w:r>
      <w:r>
        <w:rPr>
          <w:rFonts w:ascii="Arial" w:hAnsi="Arial" w:cs="Arial"/>
        </w:rPr>
        <w:t>Santiago de Tolú</w:t>
      </w:r>
      <w:r w:rsidRPr="00801FF2">
        <w:rPr>
          <w:rFonts w:ascii="Arial" w:hAnsi="Arial" w:cs="Arial"/>
        </w:rPr>
        <w:t xml:space="preserve"> – Sucre. Serie “</w:t>
      </w:r>
      <w:r w:rsidRPr="00F4471B">
        <w:rPr>
          <w:rFonts w:ascii="Arial" w:hAnsi="Arial" w:cs="Arial"/>
          <w:i/>
        </w:rPr>
        <w:t>Historial de Seguimiento y Control a los Recursos del Sistema General de Participaciones – Diagnóstico</w:t>
      </w:r>
      <w:r w:rsidRPr="00801FF2">
        <w:rPr>
          <w:rFonts w:ascii="Arial" w:hAnsi="Arial" w:cs="Arial"/>
        </w:rPr>
        <w:t xml:space="preserve">”. Expediente digital No. </w:t>
      </w:r>
      <w:r>
        <w:rPr>
          <w:rFonts w:ascii="Arial" w:hAnsi="Arial" w:cs="Arial"/>
        </w:rPr>
        <w:t>6</w:t>
      </w:r>
      <w:r w:rsidRPr="00801FF2">
        <w:rPr>
          <w:rFonts w:ascii="Arial" w:hAnsi="Arial" w:cs="Arial"/>
        </w:rPr>
        <w:t>/2021/D028-PREDI</w:t>
      </w:r>
      <w:r>
        <w:rPr>
          <w:rFonts w:ascii="Arial" w:hAnsi="Arial" w:cs="Arial"/>
        </w:rPr>
        <w:t xml:space="preserve">. </w:t>
      </w:r>
      <w:hyperlink r:id="rId58" w:history="1">
        <w:r w:rsidRPr="008756E8">
          <w:rPr>
            <w:rStyle w:val="Hipervnculo"/>
            <w:rFonts w:ascii="Arial" w:hAnsi="Arial" w:cs="Arial"/>
          </w:rPr>
          <w:t>http://portalgestiondoc.minhacienda.red/PortalEmpleado/viewer.jsp?config=p3IMxzI+wrVZNMrYCBUJ/od++cR5anfo51Nb/tSQZwqkgfYwj9QNQYce073Y/U4Ka7WueH3tgOiM1RFYUihPrY0OTDsQtHk1rhLiTSi8fcTHJG5HL7Co5tPGXJpM9FppU5Y5JKzqYhDrL4D8h/Y497bb+PGrQp/4RT9XuLsUcYk/lp/BrzlI67MOa5BxB2ko&amp;guid=4486575917a39c4b127-17c1&amp;idrepository=879</w:t>
        </w:r>
      </w:hyperlink>
    </w:p>
    <w:p w:rsidR="00325A43" w:rsidRDefault="00325A43">
      <w:pPr>
        <w:pStyle w:val="Prrafodelista"/>
        <w:spacing w:line="240" w:lineRule="auto"/>
        <w:jc w:val="both"/>
        <w:rPr>
          <w:rFonts w:ascii="Arial" w:hAnsi="Arial" w:cs="Arial"/>
        </w:rPr>
      </w:pPr>
    </w:p>
    <w:p w:rsidR="00834A9A" w:rsidRDefault="00834A9A">
      <w:pPr>
        <w:pStyle w:val="Prrafodelista"/>
        <w:numPr>
          <w:ilvl w:val="0"/>
          <w:numId w:val="29"/>
        </w:numPr>
        <w:spacing w:line="240" w:lineRule="auto"/>
        <w:jc w:val="both"/>
        <w:rPr>
          <w:rFonts w:ascii="Arial" w:hAnsi="Arial" w:cs="Arial"/>
          <w:b/>
          <w:bCs/>
        </w:rPr>
      </w:pPr>
      <w:r w:rsidRPr="00834A9A">
        <w:rPr>
          <w:rFonts w:ascii="Arial" w:hAnsi="Arial" w:cs="Arial"/>
          <w:b/>
          <w:bCs/>
        </w:rPr>
        <w:t>Ejecución de recursos en desconocimiento de la normatividad vigente</w:t>
      </w:r>
      <w:r w:rsidR="008C2A4C">
        <w:rPr>
          <w:rFonts w:ascii="Arial" w:hAnsi="Arial" w:cs="Arial"/>
          <w:b/>
          <w:bCs/>
        </w:rPr>
        <w:t>.</w:t>
      </w:r>
    </w:p>
    <w:p w:rsidR="003142B4" w:rsidRDefault="003142B4">
      <w:pPr>
        <w:spacing w:line="240" w:lineRule="auto"/>
        <w:contextualSpacing/>
        <w:jc w:val="both"/>
        <w:rPr>
          <w:rFonts w:ascii="Arial" w:hAnsi="Arial" w:cs="Arial"/>
        </w:rPr>
      </w:pPr>
    </w:p>
    <w:p w:rsidR="006C51BA" w:rsidRDefault="00D97B64">
      <w:pPr>
        <w:spacing w:line="240" w:lineRule="auto"/>
        <w:contextualSpacing/>
        <w:jc w:val="both"/>
        <w:rPr>
          <w:rFonts w:ascii="Arial" w:hAnsi="Arial" w:cs="Arial"/>
          <w:color w:val="000000"/>
          <w:lang w:val="es-ES_tradnl"/>
        </w:rPr>
      </w:pPr>
      <w:r>
        <w:rPr>
          <w:rFonts w:ascii="Arial" w:hAnsi="Arial" w:cs="Arial"/>
        </w:rPr>
        <w:t xml:space="preserve">De acuerdo con la guía </w:t>
      </w:r>
      <w:r w:rsidRPr="00BE36D3">
        <w:rPr>
          <w:rFonts w:ascii="Arial" w:hAnsi="Arial" w:cs="Arial"/>
          <w:color w:val="000000"/>
          <w:lang w:val="es-ES_tradnl"/>
        </w:rPr>
        <w:t>“</w:t>
      </w:r>
      <w:r w:rsidRPr="00BE36D3">
        <w:rPr>
          <w:rFonts w:ascii="Arial" w:hAnsi="Arial" w:cs="Arial"/>
          <w:i/>
          <w:iCs/>
          <w:color w:val="000000"/>
          <w:lang w:val="es-ES_tradnl"/>
        </w:rPr>
        <w:t>Orientaciones para la programación y ejecución de los recursos del Sistema General de Participaciones</w:t>
      </w:r>
      <w:r w:rsidRPr="00BE36D3">
        <w:rPr>
          <w:rFonts w:ascii="Arial" w:hAnsi="Arial" w:cs="Arial"/>
          <w:color w:val="000000"/>
          <w:lang w:val="es-ES_tradnl"/>
        </w:rPr>
        <w:t xml:space="preserve">” del DNP, específicamente el capítulo 6, el cual contiene de manera detallada y específica las disposiciones de las </w:t>
      </w:r>
      <w:r>
        <w:rPr>
          <w:rFonts w:ascii="Arial" w:hAnsi="Arial" w:cs="Arial"/>
          <w:color w:val="000000"/>
          <w:lang w:val="es-ES_tradnl"/>
        </w:rPr>
        <w:t>L</w:t>
      </w:r>
      <w:r w:rsidRPr="00BE36D3">
        <w:rPr>
          <w:rFonts w:ascii="Arial" w:hAnsi="Arial" w:cs="Arial"/>
          <w:color w:val="000000"/>
          <w:lang w:val="es-ES_tradnl"/>
        </w:rPr>
        <w:t>eyes 715 de 2001 y 1176 de 2007 en materia de destinación de los recursos del SGP</w:t>
      </w:r>
      <w:r>
        <w:rPr>
          <w:rFonts w:ascii="Arial" w:hAnsi="Arial" w:cs="Arial"/>
          <w:color w:val="000000"/>
          <w:lang w:val="es-ES_tradnl"/>
        </w:rPr>
        <w:t xml:space="preserve">, se establece como regla general, para la destinación de los recursos de forzosa inversión en otros sectores, incluidos los recursos mínimos para Deporte y Cultura, </w:t>
      </w:r>
      <w:r w:rsidR="008C2A4C">
        <w:rPr>
          <w:rFonts w:ascii="Arial" w:hAnsi="Arial" w:cs="Arial"/>
          <w:color w:val="000000"/>
          <w:lang w:val="es-ES_tradnl"/>
        </w:rPr>
        <w:t xml:space="preserve">que </w:t>
      </w:r>
      <w:r>
        <w:rPr>
          <w:rFonts w:ascii="Arial" w:hAnsi="Arial" w:cs="Arial"/>
          <w:color w:val="000000"/>
          <w:lang w:val="es-ES_tradnl"/>
        </w:rPr>
        <w:t>no se podrán decretar entregas</w:t>
      </w:r>
      <w:r w:rsidR="006C51BA">
        <w:rPr>
          <w:rFonts w:ascii="Arial" w:hAnsi="Arial" w:cs="Arial"/>
          <w:color w:val="000000"/>
          <w:lang w:val="es-ES_tradnl"/>
        </w:rPr>
        <w:t xml:space="preserve"> de implementos</w:t>
      </w:r>
      <w:r>
        <w:rPr>
          <w:rFonts w:ascii="Arial" w:hAnsi="Arial" w:cs="Arial"/>
          <w:color w:val="000000"/>
          <w:lang w:val="es-ES_tradnl"/>
        </w:rPr>
        <w:t>, auxilios o donaciones a favor de personas naturales o jurídicas.</w:t>
      </w:r>
    </w:p>
    <w:p w:rsidR="006C51BA" w:rsidRDefault="006C51BA">
      <w:pPr>
        <w:spacing w:line="240" w:lineRule="auto"/>
        <w:contextualSpacing/>
        <w:jc w:val="both"/>
        <w:rPr>
          <w:rFonts w:ascii="Arial" w:hAnsi="Arial" w:cs="Arial"/>
          <w:color w:val="000000"/>
          <w:lang w:val="es-ES_tradnl"/>
        </w:rPr>
      </w:pPr>
    </w:p>
    <w:p w:rsidR="006C51BA" w:rsidRPr="006C51BA" w:rsidRDefault="006C51BA" w:rsidP="00F4471B">
      <w:pPr>
        <w:spacing w:line="240" w:lineRule="auto"/>
        <w:ind w:left="1416"/>
        <w:contextualSpacing/>
        <w:jc w:val="both"/>
        <w:rPr>
          <w:rFonts w:ascii="Arial" w:hAnsi="Arial" w:cs="Arial"/>
          <w:i/>
          <w:iCs/>
          <w:color w:val="000000"/>
          <w:sz w:val="18"/>
          <w:szCs w:val="18"/>
          <w:lang w:val="es-ES_tradnl"/>
        </w:rPr>
      </w:pPr>
      <w:r>
        <w:rPr>
          <w:rFonts w:ascii="Arial" w:hAnsi="Arial" w:cs="Arial"/>
          <w:i/>
          <w:iCs/>
          <w:color w:val="000000"/>
          <w:sz w:val="18"/>
          <w:szCs w:val="18"/>
          <w:lang w:val="es-ES_tradnl"/>
        </w:rPr>
        <w:t>“</w:t>
      </w:r>
      <w:r w:rsidRPr="006C51BA">
        <w:rPr>
          <w:rFonts w:ascii="Arial" w:hAnsi="Arial" w:cs="Arial"/>
          <w:i/>
          <w:iCs/>
          <w:color w:val="000000"/>
          <w:sz w:val="18"/>
          <w:szCs w:val="18"/>
          <w:lang w:val="es-ES_tradnl"/>
        </w:rPr>
        <w:t>En todo caso, en desarrollo de una competencia cuando se entreguen subsidios estos deberán asignarse considerando criterios de focalización hacia la población más pobre, evitando que en cualquier momento se configuren auxilios, los cuales están prohibidos por el artículo 355 de la Constitución Política.</w:t>
      </w:r>
      <w:r>
        <w:rPr>
          <w:rFonts w:ascii="Arial" w:hAnsi="Arial" w:cs="Arial"/>
          <w:i/>
          <w:iCs/>
          <w:color w:val="000000"/>
          <w:sz w:val="18"/>
          <w:szCs w:val="18"/>
          <w:lang w:val="es-ES_tradnl"/>
        </w:rPr>
        <w:t>”</w:t>
      </w:r>
    </w:p>
    <w:p w:rsidR="006C51BA" w:rsidRDefault="006C51BA">
      <w:pPr>
        <w:spacing w:line="240" w:lineRule="auto"/>
        <w:contextualSpacing/>
        <w:jc w:val="both"/>
        <w:rPr>
          <w:rFonts w:ascii="Arial" w:hAnsi="Arial" w:cs="Arial"/>
          <w:color w:val="000000"/>
          <w:lang w:val="es-ES_tradnl"/>
        </w:rPr>
      </w:pPr>
    </w:p>
    <w:p w:rsidR="003142B4" w:rsidRDefault="00D97B64">
      <w:pPr>
        <w:spacing w:line="240" w:lineRule="auto"/>
        <w:contextualSpacing/>
        <w:jc w:val="both"/>
        <w:rPr>
          <w:rFonts w:ascii="Arial" w:hAnsi="Arial" w:cs="Arial"/>
          <w:color w:val="000000"/>
          <w:lang w:val="es-ES_tradnl"/>
        </w:rPr>
      </w:pPr>
      <w:r>
        <w:rPr>
          <w:rFonts w:ascii="Arial" w:hAnsi="Arial" w:cs="Arial"/>
          <w:color w:val="000000"/>
          <w:lang w:val="es-ES_tradnl"/>
        </w:rPr>
        <w:t>Además</w:t>
      </w:r>
      <w:r w:rsidR="003142B4">
        <w:rPr>
          <w:rFonts w:ascii="Arial" w:hAnsi="Arial" w:cs="Arial"/>
          <w:color w:val="000000"/>
          <w:lang w:val="es-ES_tradnl"/>
        </w:rPr>
        <w:t xml:space="preserve"> de lo anterior</w:t>
      </w:r>
      <w:r>
        <w:rPr>
          <w:rFonts w:ascii="Arial" w:hAnsi="Arial" w:cs="Arial"/>
          <w:color w:val="000000"/>
          <w:lang w:val="es-ES_tradnl"/>
        </w:rPr>
        <w:t>, se establece que aquellos elementos que sean adquiridos por la</w:t>
      </w:r>
      <w:r w:rsidR="003142B4">
        <w:rPr>
          <w:rFonts w:ascii="Arial" w:hAnsi="Arial" w:cs="Arial"/>
          <w:color w:val="000000"/>
          <w:lang w:val="es-ES_tradnl"/>
        </w:rPr>
        <w:t>s</w:t>
      </w:r>
      <w:r>
        <w:rPr>
          <w:rFonts w:ascii="Arial" w:hAnsi="Arial" w:cs="Arial"/>
          <w:color w:val="000000"/>
          <w:lang w:val="es-ES_tradnl"/>
        </w:rPr>
        <w:t xml:space="preserve"> entidad</w:t>
      </w:r>
      <w:r w:rsidR="003142B4">
        <w:rPr>
          <w:rFonts w:ascii="Arial" w:hAnsi="Arial" w:cs="Arial"/>
          <w:color w:val="000000"/>
          <w:lang w:val="es-ES_tradnl"/>
        </w:rPr>
        <w:t>es</w:t>
      </w:r>
      <w:r>
        <w:rPr>
          <w:rFonts w:ascii="Arial" w:hAnsi="Arial" w:cs="Arial"/>
          <w:color w:val="000000"/>
          <w:lang w:val="es-ES_tradnl"/>
        </w:rPr>
        <w:t xml:space="preserve"> territorial</w:t>
      </w:r>
      <w:r w:rsidR="003142B4">
        <w:rPr>
          <w:rFonts w:ascii="Arial" w:hAnsi="Arial" w:cs="Arial"/>
          <w:color w:val="000000"/>
          <w:lang w:val="es-ES_tradnl"/>
        </w:rPr>
        <w:t>es</w:t>
      </w:r>
      <w:r>
        <w:rPr>
          <w:rFonts w:ascii="Arial" w:hAnsi="Arial" w:cs="Arial"/>
          <w:color w:val="000000"/>
          <w:lang w:val="es-ES_tradnl"/>
        </w:rPr>
        <w:t xml:space="preserve"> tales como implementos </w:t>
      </w:r>
      <w:r w:rsidR="00011C08">
        <w:rPr>
          <w:rFonts w:ascii="Arial" w:hAnsi="Arial" w:cs="Arial"/>
          <w:color w:val="000000"/>
          <w:lang w:val="es-ES_tradnl"/>
        </w:rPr>
        <w:t xml:space="preserve">o bienes </w:t>
      </w:r>
      <w:r>
        <w:rPr>
          <w:rFonts w:ascii="Arial" w:hAnsi="Arial" w:cs="Arial"/>
          <w:color w:val="000000"/>
          <w:lang w:val="es-ES_tradnl"/>
        </w:rPr>
        <w:t xml:space="preserve">para las actividades deportivas o culturales, elementos que </w:t>
      </w:r>
      <w:r w:rsidR="00100557">
        <w:rPr>
          <w:rFonts w:ascii="Arial" w:hAnsi="Arial" w:cs="Arial"/>
          <w:color w:val="000000"/>
          <w:lang w:val="es-ES_tradnl"/>
        </w:rPr>
        <w:t>no se consumen con el desarrollo de los proyectos, no pueden ser entregados a terceros y deberán quedar bajo la custodia de la entidad.</w:t>
      </w:r>
    </w:p>
    <w:p w:rsidR="00011C08" w:rsidRDefault="00011C08">
      <w:pPr>
        <w:spacing w:line="240" w:lineRule="auto"/>
        <w:contextualSpacing/>
        <w:jc w:val="both"/>
        <w:rPr>
          <w:rFonts w:ascii="Arial" w:hAnsi="Arial" w:cs="Arial"/>
        </w:rPr>
      </w:pPr>
    </w:p>
    <w:p w:rsidR="003142B4" w:rsidRDefault="00D97B64">
      <w:pPr>
        <w:spacing w:line="240" w:lineRule="auto"/>
        <w:contextualSpacing/>
        <w:jc w:val="both"/>
        <w:rPr>
          <w:rFonts w:ascii="Arial" w:hAnsi="Arial" w:cs="Arial"/>
        </w:rPr>
      </w:pPr>
      <w:r>
        <w:rPr>
          <w:rFonts w:ascii="Arial" w:hAnsi="Arial" w:cs="Arial"/>
        </w:rPr>
        <w:t>En este caso s</w:t>
      </w:r>
      <w:r w:rsidR="008D5B03">
        <w:rPr>
          <w:rFonts w:ascii="Arial" w:hAnsi="Arial" w:cs="Arial"/>
        </w:rPr>
        <w:t>e destacan</w:t>
      </w:r>
      <w:r w:rsidR="008D5B03" w:rsidRPr="00BE36D3">
        <w:rPr>
          <w:rFonts w:ascii="Arial" w:hAnsi="Arial" w:cs="Arial"/>
        </w:rPr>
        <w:t xml:space="preserve"> los</w:t>
      </w:r>
      <w:r w:rsidR="008D5B03">
        <w:rPr>
          <w:rFonts w:ascii="Arial" w:hAnsi="Arial" w:cs="Arial"/>
        </w:rPr>
        <w:t xml:space="preserve"> siguientes </w:t>
      </w:r>
      <w:r w:rsidR="003142B4">
        <w:rPr>
          <w:rFonts w:ascii="Arial" w:hAnsi="Arial" w:cs="Arial"/>
        </w:rPr>
        <w:t>C</w:t>
      </w:r>
      <w:r w:rsidR="008D5B03" w:rsidRPr="00BE36D3">
        <w:rPr>
          <w:rFonts w:ascii="Arial" w:hAnsi="Arial" w:cs="Arial"/>
        </w:rPr>
        <w:t>ontratos relacionados en la vigencia 2018</w:t>
      </w:r>
      <w:r w:rsidR="008D5B03">
        <w:rPr>
          <w:rFonts w:ascii="Arial" w:hAnsi="Arial" w:cs="Arial"/>
        </w:rPr>
        <w:t xml:space="preserve"> por el Informe de Monitoreo en Campo:</w:t>
      </w:r>
    </w:p>
    <w:p w:rsidR="008D5B03" w:rsidRDefault="008D5B03">
      <w:pPr>
        <w:spacing w:line="240" w:lineRule="auto"/>
        <w:contextualSpacing/>
        <w:jc w:val="both"/>
        <w:rPr>
          <w:rFonts w:ascii="Arial" w:hAnsi="Arial" w:cs="Arial"/>
        </w:rPr>
      </w:pPr>
    </w:p>
    <w:p w:rsidR="008D5B03" w:rsidRDefault="008D5B03">
      <w:pPr>
        <w:pStyle w:val="Prrafodelista"/>
        <w:numPr>
          <w:ilvl w:val="0"/>
          <w:numId w:val="28"/>
        </w:numPr>
        <w:spacing w:line="240" w:lineRule="auto"/>
        <w:jc w:val="both"/>
        <w:rPr>
          <w:rFonts w:ascii="Arial" w:hAnsi="Arial" w:cs="Arial"/>
        </w:rPr>
      </w:pPr>
      <w:r w:rsidRPr="009E313F">
        <w:rPr>
          <w:rFonts w:ascii="Arial" w:hAnsi="Arial" w:cs="Arial"/>
        </w:rPr>
        <w:t>MST-MIN-019-2018 cuyo objeto fue “</w:t>
      </w:r>
      <w:r w:rsidRPr="009E313F">
        <w:rPr>
          <w:rFonts w:ascii="Arial" w:hAnsi="Arial" w:cs="Arial"/>
          <w:i/>
          <w:iCs/>
        </w:rPr>
        <w:t>Prestación de servicios de apoyo logístico para el desarrollo de actividades deportivas dirigida a las mujeres del Municipio de Santiago de Tolú, vigencia 2018</w:t>
      </w:r>
      <w:r>
        <w:rPr>
          <w:rFonts w:ascii="Arial" w:hAnsi="Arial" w:cs="Arial"/>
          <w:i/>
          <w:iCs/>
        </w:rPr>
        <w:t>”</w:t>
      </w:r>
      <w:r w:rsidR="003142B4">
        <w:rPr>
          <w:rFonts w:ascii="Arial" w:hAnsi="Arial" w:cs="Arial"/>
          <w:i/>
          <w:iCs/>
        </w:rPr>
        <w:t>.</w:t>
      </w:r>
    </w:p>
    <w:p w:rsidR="008D5B03" w:rsidRDefault="008D5B03">
      <w:pPr>
        <w:pStyle w:val="Prrafodelista"/>
        <w:numPr>
          <w:ilvl w:val="0"/>
          <w:numId w:val="28"/>
        </w:numPr>
        <w:spacing w:line="240" w:lineRule="auto"/>
        <w:jc w:val="both"/>
        <w:rPr>
          <w:rFonts w:ascii="Arial" w:hAnsi="Arial" w:cs="Arial"/>
        </w:rPr>
      </w:pPr>
      <w:r w:rsidRPr="009E313F">
        <w:rPr>
          <w:rFonts w:ascii="Arial" w:hAnsi="Arial" w:cs="Arial"/>
        </w:rPr>
        <w:t>MST-MIN-065-2018 con objeto “</w:t>
      </w:r>
      <w:r w:rsidRPr="009E313F">
        <w:rPr>
          <w:rFonts w:ascii="Arial" w:hAnsi="Arial" w:cs="Arial"/>
          <w:i/>
          <w:iCs/>
        </w:rPr>
        <w:t>Prestación de servicio para la implementación de campaña preventiva contra el uso de pólvora durante el mes de diciembre en el Municipio de Santiago de Tolú</w:t>
      </w:r>
      <w:r w:rsidRPr="009E313F">
        <w:rPr>
          <w:rFonts w:ascii="Arial" w:hAnsi="Arial" w:cs="Arial"/>
        </w:rPr>
        <w:t>”</w:t>
      </w:r>
      <w:r w:rsidR="003142B4">
        <w:rPr>
          <w:rFonts w:ascii="Arial" w:hAnsi="Arial" w:cs="Arial"/>
        </w:rPr>
        <w:t>.</w:t>
      </w:r>
    </w:p>
    <w:p w:rsidR="008D5B03" w:rsidRPr="004840A5" w:rsidRDefault="008D5B03">
      <w:pPr>
        <w:pStyle w:val="Prrafodelista"/>
        <w:numPr>
          <w:ilvl w:val="0"/>
          <w:numId w:val="28"/>
        </w:numPr>
        <w:spacing w:line="240" w:lineRule="auto"/>
        <w:jc w:val="both"/>
        <w:rPr>
          <w:rFonts w:ascii="Arial" w:hAnsi="Arial" w:cs="Arial"/>
        </w:rPr>
      </w:pPr>
      <w:r w:rsidRPr="009E313F">
        <w:rPr>
          <w:rFonts w:ascii="Arial" w:hAnsi="Arial" w:cs="Arial"/>
        </w:rPr>
        <w:t>MST-MIN-001-2018 para la “</w:t>
      </w:r>
      <w:r w:rsidRPr="009E313F">
        <w:rPr>
          <w:rFonts w:ascii="Arial" w:eastAsia="Arial" w:hAnsi="Arial" w:cs="Arial"/>
          <w:i/>
          <w:iCs/>
          <w:color w:val="000000" w:themeColor="text1"/>
        </w:rPr>
        <w:t>Prestación de servicios de apoyo logístico que permita garantizar la realización de las regatas de veleros artesanales durante la temporada de vacaciones del mes de enero de 2018, a fin de promover los atractivos turísticos del Municipio Santiago de Tolú-vigencia 2018”</w:t>
      </w:r>
      <w:r w:rsidR="003142B4">
        <w:rPr>
          <w:rFonts w:ascii="Arial" w:eastAsia="Arial" w:hAnsi="Arial" w:cs="Arial"/>
          <w:i/>
          <w:iCs/>
          <w:color w:val="000000" w:themeColor="text1"/>
        </w:rPr>
        <w:t>.</w:t>
      </w:r>
    </w:p>
    <w:p w:rsidR="004840A5" w:rsidRPr="008D5B03" w:rsidRDefault="004840A5">
      <w:pPr>
        <w:pStyle w:val="Prrafodelista"/>
        <w:numPr>
          <w:ilvl w:val="0"/>
          <w:numId w:val="28"/>
        </w:numPr>
        <w:spacing w:line="240" w:lineRule="auto"/>
        <w:jc w:val="both"/>
        <w:rPr>
          <w:rFonts w:ascii="Arial" w:eastAsia="Arial Narrow" w:hAnsi="Arial" w:cs="Arial"/>
          <w:b/>
          <w:bCs/>
        </w:rPr>
      </w:pPr>
      <w:r w:rsidRPr="004840A5">
        <w:rPr>
          <w:rFonts w:ascii="Arial" w:hAnsi="Arial" w:cs="Arial"/>
        </w:rPr>
        <w:t>ST-CPS-002-2020</w:t>
      </w:r>
      <w:r>
        <w:rPr>
          <w:rFonts w:ascii="Arial" w:hAnsi="Arial" w:cs="Arial"/>
        </w:rPr>
        <w:t xml:space="preserve"> con objeto “</w:t>
      </w:r>
      <w:r w:rsidRPr="009E313F">
        <w:rPr>
          <w:rFonts w:ascii="Arial" w:eastAsia="Arial" w:hAnsi="Arial" w:cs="Arial"/>
          <w:i/>
          <w:iCs/>
          <w:color w:val="000000" w:themeColor="text1"/>
        </w:rPr>
        <w:t>Prestación de servicios de apoyo logístico que permita garantizar la realización de las regatas de veleros artesanales</w:t>
      </w:r>
      <w:r>
        <w:rPr>
          <w:rFonts w:ascii="Arial" w:eastAsia="Arial" w:hAnsi="Arial" w:cs="Arial"/>
          <w:i/>
          <w:iCs/>
          <w:color w:val="000000" w:themeColor="text1"/>
        </w:rPr>
        <w:t xml:space="preserve"> a fin de promover esta actividad como atracción turística en el municipio de Santiago de Tolú – Sucre”</w:t>
      </w:r>
      <w:r w:rsidR="003142B4">
        <w:rPr>
          <w:rFonts w:ascii="Arial" w:eastAsia="Arial" w:hAnsi="Arial" w:cs="Arial"/>
          <w:i/>
          <w:iCs/>
          <w:color w:val="000000" w:themeColor="text1"/>
        </w:rPr>
        <w:t>.</w:t>
      </w:r>
    </w:p>
    <w:p w:rsidR="003142B4" w:rsidRDefault="003142B4">
      <w:pPr>
        <w:spacing w:line="240" w:lineRule="auto"/>
        <w:contextualSpacing/>
        <w:jc w:val="both"/>
        <w:rPr>
          <w:rFonts w:ascii="Arial" w:hAnsi="Arial" w:cs="Arial"/>
        </w:rPr>
      </w:pPr>
    </w:p>
    <w:p w:rsidR="008D5B03" w:rsidRDefault="008D5B03">
      <w:pPr>
        <w:spacing w:line="240" w:lineRule="auto"/>
        <w:contextualSpacing/>
        <w:jc w:val="both"/>
        <w:rPr>
          <w:rFonts w:ascii="Arial" w:hAnsi="Arial" w:cs="Arial"/>
        </w:rPr>
      </w:pPr>
      <w:r>
        <w:rPr>
          <w:rFonts w:ascii="Arial" w:hAnsi="Arial" w:cs="Arial"/>
        </w:rPr>
        <w:t>Esta Dirección pudo</w:t>
      </w:r>
      <w:r w:rsidRPr="00BE36D3">
        <w:rPr>
          <w:rFonts w:ascii="Arial" w:hAnsi="Arial" w:cs="Arial"/>
        </w:rPr>
        <w:t xml:space="preserve"> evidenciar que</w:t>
      </w:r>
      <w:r>
        <w:rPr>
          <w:rFonts w:ascii="Arial" w:hAnsi="Arial" w:cs="Arial"/>
        </w:rPr>
        <w:t xml:space="preserve"> a través de estos </w:t>
      </w:r>
      <w:r w:rsidR="003142B4">
        <w:rPr>
          <w:rFonts w:ascii="Arial" w:hAnsi="Arial" w:cs="Arial"/>
        </w:rPr>
        <w:t>C</w:t>
      </w:r>
      <w:r>
        <w:rPr>
          <w:rFonts w:ascii="Arial" w:hAnsi="Arial" w:cs="Arial"/>
        </w:rPr>
        <w:t>ontratos</w:t>
      </w:r>
      <w:r w:rsidRPr="00BE36D3">
        <w:rPr>
          <w:rFonts w:ascii="Arial" w:hAnsi="Arial" w:cs="Arial"/>
        </w:rPr>
        <w:t xml:space="preserve"> </w:t>
      </w:r>
      <w:r>
        <w:rPr>
          <w:rFonts w:ascii="Arial" w:hAnsi="Arial" w:cs="Arial"/>
        </w:rPr>
        <w:t xml:space="preserve">se </w:t>
      </w:r>
      <w:r w:rsidR="003142B4">
        <w:rPr>
          <w:rFonts w:ascii="Arial" w:hAnsi="Arial" w:cs="Arial"/>
        </w:rPr>
        <w:t xml:space="preserve">adquirieron </w:t>
      </w:r>
      <w:r>
        <w:rPr>
          <w:rFonts w:ascii="Arial" w:hAnsi="Arial" w:cs="Arial"/>
        </w:rPr>
        <w:t xml:space="preserve">dos tipos de bienes: el primer tipo corresponde a los bienes que son inherentes a la logística y organización de los eventos, los cuales se consumen en su totalidad con la realización del objeto contractual. El segundo tipo de elementos que se adquieren corresponde a bienes que no se consumen con la realización del evento. Estos últimos, son bienes que no quedan a disposición de la </w:t>
      </w:r>
      <w:r w:rsidR="003142B4">
        <w:rPr>
          <w:rFonts w:ascii="Arial" w:hAnsi="Arial" w:cs="Arial"/>
        </w:rPr>
        <w:t>E</w:t>
      </w:r>
      <w:r>
        <w:rPr>
          <w:rFonts w:ascii="Arial" w:hAnsi="Arial" w:cs="Arial"/>
        </w:rPr>
        <w:t xml:space="preserve">ntidad </w:t>
      </w:r>
      <w:r w:rsidR="003142B4">
        <w:rPr>
          <w:rFonts w:ascii="Arial" w:hAnsi="Arial" w:cs="Arial"/>
        </w:rPr>
        <w:t>T</w:t>
      </w:r>
      <w:r>
        <w:rPr>
          <w:rFonts w:ascii="Arial" w:hAnsi="Arial" w:cs="Arial"/>
        </w:rPr>
        <w:t xml:space="preserve">erritorial bajo su custodia, sino que </w:t>
      </w:r>
      <w:r w:rsidR="008C2A4C">
        <w:rPr>
          <w:rFonts w:ascii="Arial" w:hAnsi="Arial" w:cs="Arial"/>
        </w:rPr>
        <w:t>fueron</w:t>
      </w:r>
      <w:r>
        <w:rPr>
          <w:rFonts w:ascii="Arial" w:hAnsi="Arial" w:cs="Arial"/>
        </w:rPr>
        <w:t xml:space="preserve"> entregados a los ciudadanos en contravía de la normatividad</w:t>
      </w:r>
      <w:r w:rsidR="003142B4">
        <w:rPr>
          <w:rFonts w:ascii="Arial" w:hAnsi="Arial" w:cs="Arial"/>
        </w:rPr>
        <w:t>.</w:t>
      </w:r>
    </w:p>
    <w:p w:rsidR="008D5B03" w:rsidRDefault="008D5B03">
      <w:pPr>
        <w:spacing w:line="240" w:lineRule="auto"/>
        <w:contextualSpacing/>
        <w:jc w:val="both"/>
        <w:rPr>
          <w:rFonts w:ascii="Arial" w:hAnsi="Arial" w:cs="Arial"/>
        </w:rPr>
      </w:pPr>
    </w:p>
    <w:p w:rsidR="008D5B03" w:rsidRDefault="008D5B03">
      <w:pPr>
        <w:spacing w:line="240" w:lineRule="auto"/>
        <w:contextualSpacing/>
        <w:jc w:val="both"/>
        <w:rPr>
          <w:rFonts w:ascii="Arial" w:eastAsia="Arial Narrow" w:hAnsi="Arial" w:cs="Arial"/>
        </w:rPr>
      </w:pPr>
      <w:r w:rsidRPr="00BE36D3">
        <w:rPr>
          <w:rFonts w:ascii="Arial" w:hAnsi="Arial" w:cs="Arial"/>
        </w:rPr>
        <w:t xml:space="preserve">Al respecto, el DNP resaltó que la entrega de </w:t>
      </w:r>
      <w:r w:rsidRPr="00BE36D3">
        <w:rPr>
          <w:rFonts w:ascii="Arial" w:hAnsi="Arial" w:cs="Arial"/>
          <w:i/>
          <w:iCs/>
        </w:rPr>
        <w:t>kits</w:t>
      </w:r>
      <w:r>
        <w:rPr>
          <w:rFonts w:ascii="Arial" w:hAnsi="Arial" w:cs="Arial"/>
        </w:rPr>
        <w:t xml:space="preserve"> y</w:t>
      </w:r>
      <w:r w:rsidRPr="00BE36D3">
        <w:rPr>
          <w:rFonts w:ascii="Arial" w:hAnsi="Arial" w:cs="Arial"/>
        </w:rPr>
        <w:t xml:space="preserve"> elementos </w:t>
      </w:r>
      <w:r>
        <w:rPr>
          <w:rFonts w:ascii="Arial" w:hAnsi="Arial" w:cs="Arial"/>
        </w:rPr>
        <w:t xml:space="preserve">de uso </w:t>
      </w:r>
      <w:r w:rsidRPr="00BE36D3">
        <w:rPr>
          <w:rFonts w:ascii="Arial" w:hAnsi="Arial" w:cs="Arial"/>
        </w:rPr>
        <w:t>personal</w:t>
      </w:r>
      <w:r>
        <w:rPr>
          <w:rFonts w:ascii="Arial" w:hAnsi="Arial" w:cs="Arial"/>
        </w:rPr>
        <w:t>, como por</w:t>
      </w:r>
      <w:r w:rsidRPr="00BE36D3">
        <w:rPr>
          <w:rFonts w:ascii="Arial" w:hAnsi="Arial" w:cs="Arial"/>
        </w:rPr>
        <w:t xml:space="preserve"> ejemplo</w:t>
      </w:r>
      <w:r>
        <w:rPr>
          <w:rFonts w:ascii="Arial" w:hAnsi="Arial" w:cs="Arial"/>
        </w:rPr>
        <w:t xml:space="preserve"> </w:t>
      </w:r>
      <w:r w:rsidRPr="00BE36D3">
        <w:rPr>
          <w:rFonts w:ascii="Arial" w:hAnsi="Arial" w:cs="Arial"/>
        </w:rPr>
        <w:t>camisetas, termos, tulas</w:t>
      </w:r>
      <w:r>
        <w:rPr>
          <w:rFonts w:ascii="Arial" w:hAnsi="Arial" w:cs="Arial"/>
        </w:rPr>
        <w:t xml:space="preserve">, </w:t>
      </w:r>
      <w:r w:rsidRPr="00BE36D3">
        <w:rPr>
          <w:rFonts w:ascii="Arial" w:hAnsi="Arial" w:cs="Arial"/>
        </w:rPr>
        <w:t>gorra</w:t>
      </w:r>
      <w:r>
        <w:rPr>
          <w:rFonts w:ascii="Arial" w:hAnsi="Arial" w:cs="Arial"/>
        </w:rPr>
        <w:t>s</w:t>
      </w:r>
      <w:r>
        <w:rPr>
          <w:rFonts w:ascii="Arial" w:eastAsia="Arial Narrow" w:hAnsi="Arial" w:cs="Arial"/>
        </w:rPr>
        <w:t xml:space="preserve"> y </w:t>
      </w:r>
      <w:r w:rsidRPr="00BE36D3">
        <w:rPr>
          <w:rFonts w:ascii="Arial" w:eastAsia="Arial Narrow" w:hAnsi="Arial" w:cs="Arial"/>
          <w:i/>
          <w:iCs/>
        </w:rPr>
        <w:t>kit</w:t>
      </w:r>
      <w:r>
        <w:rPr>
          <w:rFonts w:ascii="Arial" w:eastAsia="Arial Narrow" w:hAnsi="Arial" w:cs="Arial"/>
          <w:i/>
          <w:iCs/>
        </w:rPr>
        <w:t>s</w:t>
      </w:r>
      <w:r w:rsidRPr="00BE36D3">
        <w:rPr>
          <w:rFonts w:ascii="Arial" w:eastAsia="Arial Narrow" w:hAnsi="Arial" w:cs="Arial"/>
        </w:rPr>
        <w:t xml:space="preserve"> para participantes (juguetes), </w:t>
      </w:r>
      <w:r>
        <w:rPr>
          <w:rFonts w:ascii="Arial" w:eastAsia="Arial Narrow" w:hAnsi="Arial" w:cs="Arial"/>
        </w:rPr>
        <w:t>entre otros, no está permitida. Además,</w:t>
      </w:r>
      <w:r w:rsidRPr="00BE36D3">
        <w:rPr>
          <w:rFonts w:ascii="Arial" w:eastAsia="Arial Narrow" w:hAnsi="Arial" w:cs="Arial"/>
        </w:rPr>
        <w:t xml:space="preserve"> estos gastos no se enmarcan en un proyecto de inversión orientado al cumplimiento de unas metas previamente definidas</w:t>
      </w:r>
      <w:r>
        <w:rPr>
          <w:rFonts w:ascii="Arial" w:eastAsia="Arial Narrow" w:hAnsi="Arial" w:cs="Arial"/>
        </w:rPr>
        <w:t xml:space="preserve"> que justifiquen la necesidad de su adquisición para el desarrollo de las actividades realizadas.</w:t>
      </w:r>
    </w:p>
    <w:p w:rsidR="008D5B03" w:rsidRPr="00BE36D3" w:rsidRDefault="008D5B03">
      <w:pPr>
        <w:spacing w:line="240" w:lineRule="auto"/>
        <w:contextualSpacing/>
        <w:jc w:val="both"/>
        <w:rPr>
          <w:rFonts w:ascii="Arial" w:eastAsia="Arial Narrow" w:hAnsi="Arial" w:cs="Arial"/>
        </w:rPr>
      </w:pPr>
    </w:p>
    <w:p w:rsidR="008D5B03" w:rsidRDefault="008D5B03">
      <w:pPr>
        <w:spacing w:line="240" w:lineRule="auto"/>
        <w:contextualSpacing/>
        <w:jc w:val="both"/>
        <w:rPr>
          <w:rFonts w:ascii="Arial" w:eastAsia="Arial Narrow" w:hAnsi="Arial" w:cs="Arial"/>
        </w:rPr>
      </w:pPr>
      <w:r w:rsidRPr="00BE36D3">
        <w:rPr>
          <w:rFonts w:ascii="Arial" w:eastAsia="Arial Narrow" w:hAnsi="Arial" w:cs="Arial"/>
        </w:rPr>
        <w:t xml:space="preserve">En cuanto a los </w:t>
      </w:r>
      <w:r>
        <w:rPr>
          <w:rFonts w:ascii="Arial" w:eastAsia="Arial Narrow" w:hAnsi="Arial" w:cs="Arial"/>
        </w:rPr>
        <w:t>C</w:t>
      </w:r>
      <w:r w:rsidRPr="00BE36D3">
        <w:rPr>
          <w:rFonts w:ascii="Arial" w:eastAsia="Arial Narrow" w:hAnsi="Arial" w:cs="Arial"/>
        </w:rPr>
        <w:t>ontratos MST-MC-AL-001-2019 y ST-CPS-002-2020 cuyo objeto en las vigencias</w:t>
      </w:r>
      <w:r w:rsidR="003142B4">
        <w:rPr>
          <w:rFonts w:ascii="Arial" w:eastAsia="Arial Narrow" w:hAnsi="Arial" w:cs="Arial"/>
        </w:rPr>
        <w:t xml:space="preserve"> 2019 y 2020</w:t>
      </w:r>
      <w:r w:rsidRPr="00BE36D3">
        <w:rPr>
          <w:rFonts w:ascii="Arial" w:eastAsia="Arial Narrow" w:hAnsi="Arial" w:cs="Arial"/>
        </w:rPr>
        <w:t xml:space="preserve"> fue la “</w:t>
      </w:r>
      <w:r w:rsidRPr="00C5770E">
        <w:rPr>
          <w:rFonts w:ascii="Arial" w:eastAsia="Arial Narrow" w:hAnsi="Arial" w:cs="Arial"/>
          <w:i/>
          <w:iCs/>
        </w:rPr>
        <w:t>Prestación de servicios de apoyo logístico que permita garantizar la realización de las regatas de veleros artesanales, a fin de promover esta actividad como atracción turística en el Municipio de Santiago de Tolú – Sucre</w:t>
      </w:r>
      <w:r w:rsidRPr="00BE36D3">
        <w:rPr>
          <w:rFonts w:ascii="Arial" w:eastAsia="Arial Narrow" w:hAnsi="Arial" w:cs="Arial"/>
        </w:rPr>
        <w:t xml:space="preserve">” se puede evidenciar que el objeto es recurrente pues el evento para el que se contrata el apoyo logístico se realiza una vez cada año en la temporada vacacional. Se observa que cada año las actividades del </w:t>
      </w:r>
      <w:r>
        <w:rPr>
          <w:rFonts w:ascii="Arial" w:eastAsia="Arial Narrow" w:hAnsi="Arial" w:cs="Arial"/>
        </w:rPr>
        <w:t>C</w:t>
      </w:r>
      <w:r w:rsidRPr="00BE36D3">
        <w:rPr>
          <w:rFonts w:ascii="Arial" w:eastAsia="Arial Narrow" w:hAnsi="Arial" w:cs="Arial"/>
        </w:rPr>
        <w:t xml:space="preserve">ontrato son muy similares, </w:t>
      </w:r>
      <w:r>
        <w:rPr>
          <w:rFonts w:ascii="Arial" w:eastAsia="Arial Narrow" w:hAnsi="Arial" w:cs="Arial"/>
        </w:rPr>
        <w:t>las cuales, aparte de la organización logística del evento, se relacionan con la entrega</w:t>
      </w:r>
      <w:r w:rsidRPr="00BE36D3">
        <w:rPr>
          <w:rFonts w:ascii="Arial" w:eastAsia="Arial Narrow" w:hAnsi="Arial" w:cs="Arial"/>
        </w:rPr>
        <w:t xml:space="preserve"> de elementos a la población como gorras, bu</w:t>
      </w:r>
      <w:r>
        <w:rPr>
          <w:rFonts w:ascii="Arial" w:eastAsia="Arial Narrow" w:hAnsi="Arial" w:cs="Arial"/>
        </w:rPr>
        <w:t>z</w:t>
      </w:r>
      <w:r w:rsidRPr="00BE36D3">
        <w:rPr>
          <w:rFonts w:ascii="Arial" w:eastAsia="Arial Narrow" w:hAnsi="Arial" w:cs="Arial"/>
        </w:rPr>
        <w:t>os o camisetas.</w:t>
      </w:r>
    </w:p>
    <w:p w:rsidR="008D5B03" w:rsidRPr="00BE36D3" w:rsidRDefault="008D5B03">
      <w:pPr>
        <w:spacing w:line="240" w:lineRule="auto"/>
        <w:contextualSpacing/>
        <w:jc w:val="both"/>
        <w:rPr>
          <w:rFonts w:ascii="Arial" w:eastAsia="Arial Narrow" w:hAnsi="Arial" w:cs="Arial"/>
        </w:rPr>
      </w:pPr>
    </w:p>
    <w:p w:rsidR="00E27144" w:rsidRDefault="008D5B03">
      <w:pPr>
        <w:spacing w:line="240" w:lineRule="auto"/>
        <w:contextualSpacing/>
        <w:jc w:val="both"/>
        <w:rPr>
          <w:rFonts w:ascii="Arial" w:eastAsia="Arial Narrow" w:hAnsi="Arial" w:cs="Arial"/>
        </w:rPr>
      </w:pPr>
      <w:r w:rsidRPr="00BE36D3">
        <w:rPr>
          <w:rFonts w:ascii="Arial" w:eastAsia="Arial Narrow" w:hAnsi="Arial" w:cs="Arial"/>
        </w:rPr>
        <w:t xml:space="preserve">De igual manera, este gasto no se relaciona con un proyecto de inversión </w:t>
      </w:r>
      <w:r>
        <w:rPr>
          <w:rFonts w:ascii="Arial" w:eastAsia="Arial Narrow" w:hAnsi="Arial" w:cs="Arial"/>
        </w:rPr>
        <w:t xml:space="preserve">previamente </w:t>
      </w:r>
      <w:r w:rsidRPr="00BE36D3">
        <w:rPr>
          <w:rFonts w:ascii="Arial" w:eastAsia="Arial Narrow" w:hAnsi="Arial" w:cs="Arial"/>
        </w:rPr>
        <w:t xml:space="preserve">definido, </w:t>
      </w:r>
      <w:r>
        <w:rPr>
          <w:rFonts w:ascii="Arial" w:eastAsia="Arial Narrow" w:hAnsi="Arial" w:cs="Arial"/>
        </w:rPr>
        <w:t>aunque podría argumentarse</w:t>
      </w:r>
      <w:r w:rsidRPr="00BE36D3">
        <w:rPr>
          <w:rFonts w:ascii="Arial" w:eastAsia="Arial Narrow" w:hAnsi="Arial" w:cs="Arial"/>
        </w:rPr>
        <w:t xml:space="preserve"> que busca potenciar el atractivo turístico del Municipio </w:t>
      </w:r>
      <w:r>
        <w:rPr>
          <w:rFonts w:ascii="Arial" w:eastAsia="Arial Narrow" w:hAnsi="Arial" w:cs="Arial"/>
        </w:rPr>
        <w:t xml:space="preserve">y </w:t>
      </w:r>
      <w:r w:rsidRPr="00BE36D3">
        <w:rPr>
          <w:rFonts w:ascii="Arial" w:eastAsia="Arial Narrow" w:hAnsi="Arial" w:cs="Arial"/>
        </w:rPr>
        <w:t>su estructura no se orienta al cumplimiento de unos resultados, sino que se limita a la entrega de elementos que no están estrechamente vinculados con el alcance de unos objetivos definidos previamente.</w:t>
      </w:r>
      <w:r>
        <w:rPr>
          <w:rFonts w:ascii="Arial" w:eastAsia="Arial Narrow" w:hAnsi="Arial" w:cs="Arial"/>
        </w:rPr>
        <w:t xml:space="preserve"> En síntesis, e</w:t>
      </w:r>
      <w:r w:rsidRPr="006F2DC0">
        <w:rPr>
          <w:rFonts w:ascii="Arial" w:eastAsia="Arial Narrow" w:hAnsi="Arial" w:cs="Arial"/>
        </w:rPr>
        <w:t xml:space="preserve">n los contratos relacionados anteriormente, se puede evidenciar que el objeto y alcance </w:t>
      </w:r>
      <w:r>
        <w:rPr>
          <w:rFonts w:ascii="Arial" w:eastAsia="Arial Narrow" w:hAnsi="Arial" w:cs="Arial"/>
        </w:rPr>
        <w:t xml:space="preserve">de </w:t>
      </w:r>
      <w:r w:rsidRPr="006F2DC0">
        <w:rPr>
          <w:rFonts w:ascii="Arial" w:eastAsia="Arial Narrow" w:hAnsi="Arial" w:cs="Arial"/>
        </w:rPr>
        <w:t>estos</w:t>
      </w:r>
      <w:r>
        <w:rPr>
          <w:rFonts w:ascii="Arial" w:eastAsia="Arial Narrow" w:hAnsi="Arial" w:cs="Arial"/>
        </w:rPr>
        <w:t xml:space="preserve">, </w:t>
      </w:r>
      <w:r w:rsidRPr="006F2DC0">
        <w:rPr>
          <w:rFonts w:ascii="Arial" w:eastAsia="Arial Narrow" w:hAnsi="Arial" w:cs="Arial"/>
        </w:rPr>
        <w:t xml:space="preserve">al entregar directamente a la población estos elementos, incumple la </w:t>
      </w:r>
      <w:r>
        <w:rPr>
          <w:rFonts w:ascii="Arial" w:eastAsia="Arial Narrow" w:hAnsi="Arial" w:cs="Arial"/>
        </w:rPr>
        <w:t xml:space="preserve">normatividad vigente relacionada con el uso de los recursos del Sistema General de Participaciones Propósito General. En todo caso, los bienes que no se utilizan y consumen en su totalidad durante la realización de los eventos deben quedar en custodia de la </w:t>
      </w:r>
      <w:r w:rsidR="00441C57">
        <w:rPr>
          <w:rFonts w:ascii="Arial" w:eastAsia="Arial Narrow" w:hAnsi="Arial" w:cs="Arial"/>
        </w:rPr>
        <w:t>E</w:t>
      </w:r>
      <w:r>
        <w:rPr>
          <w:rFonts w:ascii="Arial" w:eastAsia="Arial Narrow" w:hAnsi="Arial" w:cs="Arial"/>
        </w:rPr>
        <w:t xml:space="preserve">ntidad </w:t>
      </w:r>
      <w:r w:rsidR="00441C57">
        <w:rPr>
          <w:rFonts w:ascii="Arial" w:eastAsia="Arial Narrow" w:hAnsi="Arial" w:cs="Arial"/>
        </w:rPr>
        <w:t>T</w:t>
      </w:r>
      <w:r>
        <w:rPr>
          <w:rFonts w:ascii="Arial" w:eastAsia="Arial Narrow" w:hAnsi="Arial" w:cs="Arial"/>
        </w:rPr>
        <w:t>erritorial.</w:t>
      </w:r>
    </w:p>
    <w:p w:rsidR="00AC3C61" w:rsidRDefault="00AC3C61">
      <w:pPr>
        <w:spacing w:line="240" w:lineRule="auto"/>
        <w:contextualSpacing/>
        <w:jc w:val="both"/>
        <w:rPr>
          <w:rFonts w:ascii="Arial" w:eastAsia="Arial Narrow" w:hAnsi="Arial" w:cs="Arial"/>
        </w:rPr>
      </w:pPr>
    </w:p>
    <w:p w:rsidR="008D5B03" w:rsidRDefault="008D5B03">
      <w:pPr>
        <w:spacing w:line="240" w:lineRule="auto"/>
        <w:contextualSpacing/>
        <w:jc w:val="both"/>
        <w:rPr>
          <w:rFonts w:ascii="Arial" w:hAnsi="Arial" w:cs="Arial"/>
        </w:rPr>
      </w:pPr>
      <w:r>
        <w:rPr>
          <w:rFonts w:ascii="Arial" w:eastAsia="Arial Narrow" w:hAnsi="Arial" w:cs="Arial"/>
          <w:b/>
          <w:bCs/>
        </w:rPr>
        <w:t xml:space="preserve">Evidencia: </w:t>
      </w:r>
      <w:r w:rsidR="00E65E29" w:rsidRPr="00893C8F">
        <w:rPr>
          <w:rFonts w:ascii="Arial" w:hAnsi="Arial" w:cs="Arial"/>
        </w:rPr>
        <w:t> los documentos obran en el expediente digital en el Sistema Electrónico Documental SIED del Ministerio de Hacienda y Crédito Público No. 6/2021/D028-PREDI el siguiente material probatorio:</w:t>
      </w:r>
    </w:p>
    <w:p w:rsidR="00441C57" w:rsidRDefault="00441C57">
      <w:pPr>
        <w:spacing w:line="240" w:lineRule="auto"/>
        <w:contextualSpacing/>
        <w:jc w:val="both"/>
        <w:rPr>
          <w:rFonts w:ascii="Arial" w:eastAsia="Arial Narrow" w:hAnsi="Arial" w:cs="Arial"/>
          <w:b/>
          <w:bCs/>
        </w:rPr>
      </w:pPr>
    </w:p>
    <w:p w:rsidR="008D5B03" w:rsidRPr="00AC3C61" w:rsidRDefault="008D5B03">
      <w:pPr>
        <w:pStyle w:val="Prrafodelista"/>
        <w:numPr>
          <w:ilvl w:val="0"/>
          <w:numId w:val="29"/>
        </w:numPr>
        <w:spacing w:line="240" w:lineRule="auto"/>
        <w:jc w:val="both"/>
        <w:rPr>
          <w:rFonts w:ascii="Arial" w:hAnsi="Arial" w:cs="Arial"/>
        </w:rPr>
      </w:pPr>
      <w:r>
        <w:rPr>
          <w:rFonts w:ascii="Arial" w:eastAsia="Arial Narrow" w:hAnsi="Arial" w:cs="Arial"/>
        </w:rPr>
        <w:t xml:space="preserve">Contrato </w:t>
      </w:r>
      <w:r w:rsidRPr="008D5B03">
        <w:rPr>
          <w:rFonts w:ascii="Arial" w:eastAsia="Arial Narrow" w:hAnsi="Arial" w:cs="Arial"/>
        </w:rPr>
        <w:t>MST-MIN-019-2018</w:t>
      </w:r>
      <w:r w:rsidR="001F08AA">
        <w:rPr>
          <w:rFonts w:ascii="Arial" w:eastAsia="Arial Narrow" w:hAnsi="Arial" w:cs="Arial"/>
        </w:rPr>
        <w:t xml:space="preserve"> Fundación Mamá Roque.</w:t>
      </w:r>
      <w:r w:rsidR="00E65E29">
        <w:rPr>
          <w:rFonts w:ascii="Arial" w:eastAsia="Arial Narrow" w:hAnsi="Arial" w:cs="Arial"/>
        </w:rPr>
        <w:t xml:space="preserve"> </w:t>
      </w:r>
      <w:r w:rsidR="00E65E29" w:rsidRPr="00A2630F">
        <w:rPr>
          <w:rFonts w:ascii="Arial" w:hAnsi="Arial" w:cs="Arial"/>
        </w:rPr>
        <w:t>Participación de Propósito General. Municipio de Santiago de Tolú – Sucre. Serie “</w:t>
      </w:r>
      <w:r w:rsidR="00E65E29" w:rsidRPr="00F4471B">
        <w:rPr>
          <w:rFonts w:ascii="Arial" w:hAnsi="Arial" w:cs="Arial"/>
          <w:i/>
          <w:iCs/>
        </w:rPr>
        <w:t>Historial de Seguimiento y Control a los Recursos del Sistema General de Participaciones – Diagnóstico</w:t>
      </w:r>
      <w:r w:rsidR="00E65E29" w:rsidRPr="00A2630F">
        <w:rPr>
          <w:rFonts w:ascii="Arial" w:hAnsi="Arial" w:cs="Arial"/>
        </w:rPr>
        <w:t xml:space="preserve">”. Expediente digital No. 6/2021/D028-PREDI. </w:t>
      </w:r>
      <w:r w:rsidR="00AC3C61">
        <w:rPr>
          <w:rFonts w:ascii="Arial" w:eastAsia="Arial Narrow" w:hAnsi="Arial" w:cs="Arial"/>
        </w:rPr>
        <w:t>R</w:t>
      </w:r>
      <w:r w:rsidR="00AC3C61" w:rsidRPr="00BE36D3">
        <w:rPr>
          <w:rFonts w:ascii="Arial" w:eastAsia="Arial Narrow" w:hAnsi="Arial" w:cs="Arial"/>
        </w:rPr>
        <w:t>adicado No. 1-2019-079798 del 28 de agosto de 2019</w:t>
      </w:r>
      <w:r w:rsidR="00AC3C61">
        <w:rPr>
          <w:rFonts w:ascii="Arial" w:eastAsia="Arial Narrow" w:hAnsi="Arial" w:cs="Arial"/>
        </w:rPr>
        <w:t>.</w:t>
      </w:r>
      <w:r w:rsidR="00EA5971">
        <w:rPr>
          <w:rFonts w:ascii="Arial" w:eastAsia="Arial Narrow" w:hAnsi="Arial" w:cs="Arial"/>
        </w:rPr>
        <w:t xml:space="preserve"> </w:t>
      </w:r>
      <w:hyperlink r:id="rId59" w:history="1">
        <w:r w:rsidR="00EA5971" w:rsidRPr="008756E8">
          <w:rPr>
            <w:rStyle w:val="Hipervnculo"/>
            <w:rFonts w:ascii="Arial" w:eastAsia="Arial Narrow" w:hAnsi="Arial" w:cs="Arial"/>
          </w:rPr>
          <w:t>http://portalgestiondoc.minhacienda.red/PortalEmpleado/viewer.jsp?config=zOszJWJuOLZcBGbunQP2q73ylWGwgzVdx2iw2cLbatYbzKc2KmjSW0cRIsJcQ3FJJ+R7ZFhXru1Pl+WQxvC+1PULga/sYUfdSc2XjC6HhbZ6wkHBTPHnPd0UkurGvuQ26ap+iHFwB10bnjEBgUkALIJkbQXquLsLLHLEObv0A2FDf7b3fZKSjYJ2xwrQu1sl&amp;guid=4486575917a53fd55cf154a&amp;idrepository=879</w:t>
        </w:r>
      </w:hyperlink>
      <w:r w:rsidR="00EA5971">
        <w:rPr>
          <w:rFonts w:ascii="Arial" w:eastAsia="Arial Narrow" w:hAnsi="Arial" w:cs="Arial"/>
        </w:rPr>
        <w:t xml:space="preserve"> </w:t>
      </w:r>
    </w:p>
    <w:p w:rsidR="008D5B03" w:rsidRPr="00AC3C61" w:rsidRDefault="008D5B03">
      <w:pPr>
        <w:pStyle w:val="Prrafodelista"/>
        <w:numPr>
          <w:ilvl w:val="0"/>
          <w:numId w:val="29"/>
        </w:numPr>
        <w:spacing w:line="240" w:lineRule="auto"/>
        <w:jc w:val="both"/>
        <w:rPr>
          <w:rFonts w:ascii="Arial" w:hAnsi="Arial" w:cs="Arial"/>
        </w:rPr>
      </w:pPr>
      <w:r>
        <w:rPr>
          <w:rFonts w:ascii="Arial" w:eastAsia="Arial Narrow" w:hAnsi="Arial" w:cs="Arial"/>
        </w:rPr>
        <w:t>Contrato</w:t>
      </w:r>
      <w:r w:rsidR="004840A5">
        <w:rPr>
          <w:rFonts w:ascii="Arial" w:eastAsia="Arial Narrow" w:hAnsi="Arial" w:cs="Arial"/>
        </w:rPr>
        <w:t xml:space="preserve"> </w:t>
      </w:r>
      <w:r w:rsidR="004840A5" w:rsidRPr="009E313F">
        <w:rPr>
          <w:rFonts w:ascii="Arial" w:hAnsi="Arial" w:cs="Arial"/>
        </w:rPr>
        <w:t>MST-MIN-065-2018</w:t>
      </w:r>
      <w:r w:rsidR="004840A5">
        <w:rPr>
          <w:rFonts w:ascii="Arial" w:hAnsi="Arial" w:cs="Arial"/>
        </w:rPr>
        <w:t xml:space="preserve"> Eventos Tera</w:t>
      </w:r>
      <w:r w:rsidR="001F08AA">
        <w:rPr>
          <w:rFonts w:ascii="Arial" w:hAnsi="Arial" w:cs="Arial"/>
        </w:rPr>
        <w:t xml:space="preserve">. </w:t>
      </w:r>
      <w:r w:rsidR="00E65E29" w:rsidRPr="00A2630F">
        <w:rPr>
          <w:rFonts w:ascii="Arial" w:hAnsi="Arial" w:cs="Arial"/>
        </w:rPr>
        <w:t>Participación de Propósito General. Municipio de Santiago de Tolú – Sucre. Serie “</w:t>
      </w:r>
      <w:r w:rsidR="00E65E29" w:rsidRPr="00F4471B">
        <w:rPr>
          <w:rFonts w:ascii="Arial" w:hAnsi="Arial" w:cs="Arial"/>
          <w:i/>
          <w:iCs/>
        </w:rPr>
        <w:t>Historial de Seguimiento y Control a los Recursos del Sistema General de Participaciones – Diagnóstico</w:t>
      </w:r>
      <w:r w:rsidR="00E65E29" w:rsidRPr="00A2630F">
        <w:rPr>
          <w:rFonts w:ascii="Arial" w:hAnsi="Arial" w:cs="Arial"/>
        </w:rPr>
        <w:t xml:space="preserve">”. Expediente digital No. 6/2021/D028-PREDI. </w:t>
      </w:r>
      <w:r w:rsidR="00AC3C61">
        <w:rPr>
          <w:rFonts w:ascii="Arial" w:eastAsia="Arial Narrow" w:hAnsi="Arial" w:cs="Arial"/>
        </w:rPr>
        <w:t>R</w:t>
      </w:r>
      <w:r w:rsidR="00AC3C61" w:rsidRPr="00BE36D3">
        <w:rPr>
          <w:rFonts w:ascii="Arial" w:eastAsia="Arial Narrow" w:hAnsi="Arial" w:cs="Arial"/>
        </w:rPr>
        <w:t xml:space="preserve">adicado No. 1-2019-079798 del 28 de agosto de </w:t>
      </w:r>
      <w:r w:rsidR="00AC3C61" w:rsidRPr="00BE36D3">
        <w:rPr>
          <w:rFonts w:ascii="Arial" w:eastAsia="Arial Narrow" w:hAnsi="Arial" w:cs="Arial"/>
        </w:rPr>
        <w:lastRenderedPageBreak/>
        <w:t>2019</w:t>
      </w:r>
      <w:r w:rsidR="00AC3C61">
        <w:rPr>
          <w:rFonts w:ascii="Arial" w:eastAsia="Arial Narrow" w:hAnsi="Arial" w:cs="Arial"/>
        </w:rPr>
        <w:t>.</w:t>
      </w:r>
      <w:r w:rsidR="00EA5971">
        <w:rPr>
          <w:rFonts w:ascii="Arial" w:eastAsia="Arial Narrow" w:hAnsi="Arial" w:cs="Arial"/>
        </w:rPr>
        <w:t xml:space="preserve"> </w:t>
      </w:r>
      <w:hyperlink r:id="rId60" w:history="1">
        <w:r w:rsidR="00EA5971" w:rsidRPr="008756E8">
          <w:rPr>
            <w:rStyle w:val="Hipervnculo"/>
            <w:rFonts w:ascii="Arial" w:eastAsia="Arial Narrow" w:hAnsi="Arial" w:cs="Arial"/>
          </w:rPr>
          <w:t>http://portalgestiondoc.minhacienda.red/PortalEmpleado/viewer.jsp?config=0HnpFvQDMi5Yx3dkfdJ0pAtdx2YqT51dWtnLRR+PVFqWrhWtS1amAgfjGie033oG3pMJzl4QtdC30uylxQUrr/Kdgj6AaLLbj6LABE9VuolW1S0i62SHB6NXQBEUKaS1Cd2ZWE1CktvehIiYybaWMbmQK6mItzWawTl5TRk8DRmFmwpD2B8DEhXYKD04enUC&amp;guid=4486575917a53fd55cf160d&amp;idrepository=879</w:t>
        </w:r>
      </w:hyperlink>
      <w:r w:rsidR="00EA5971">
        <w:rPr>
          <w:rFonts w:ascii="Arial" w:eastAsia="Arial Narrow" w:hAnsi="Arial" w:cs="Arial"/>
        </w:rPr>
        <w:t xml:space="preserve"> </w:t>
      </w:r>
    </w:p>
    <w:p w:rsidR="008D5B03" w:rsidRPr="00AC3C61" w:rsidRDefault="008D5B03">
      <w:pPr>
        <w:pStyle w:val="Prrafodelista"/>
        <w:numPr>
          <w:ilvl w:val="0"/>
          <w:numId w:val="29"/>
        </w:numPr>
        <w:spacing w:line="240" w:lineRule="auto"/>
        <w:jc w:val="both"/>
        <w:rPr>
          <w:rFonts w:ascii="Arial" w:hAnsi="Arial" w:cs="Arial"/>
        </w:rPr>
      </w:pPr>
      <w:r>
        <w:rPr>
          <w:rFonts w:ascii="Arial" w:eastAsia="Arial Narrow" w:hAnsi="Arial" w:cs="Arial"/>
        </w:rPr>
        <w:t>Contrato</w:t>
      </w:r>
      <w:r w:rsidR="004840A5">
        <w:rPr>
          <w:rFonts w:ascii="Arial" w:eastAsia="Arial Narrow" w:hAnsi="Arial" w:cs="Arial"/>
        </w:rPr>
        <w:t xml:space="preserve"> </w:t>
      </w:r>
      <w:r w:rsidR="004840A5" w:rsidRPr="009E313F">
        <w:rPr>
          <w:rFonts w:ascii="Arial" w:hAnsi="Arial" w:cs="Arial"/>
        </w:rPr>
        <w:t>MST-MIN-001-2018</w:t>
      </w:r>
      <w:r w:rsidR="004840A5">
        <w:rPr>
          <w:rFonts w:ascii="Arial" w:hAnsi="Arial" w:cs="Arial"/>
        </w:rPr>
        <w:t xml:space="preserve"> Turismo del Siglo XXI S.A.S. </w:t>
      </w:r>
      <w:r w:rsidR="00E65E29" w:rsidRPr="00A2630F">
        <w:rPr>
          <w:rFonts w:ascii="Arial" w:hAnsi="Arial" w:cs="Arial"/>
        </w:rPr>
        <w:t>Participación de Propósito General. Municipio de Santiago de Tolú – Sucre. Serie “</w:t>
      </w:r>
      <w:r w:rsidR="00E65E29" w:rsidRPr="00F4471B">
        <w:rPr>
          <w:rFonts w:ascii="Arial" w:hAnsi="Arial" w:cs="Arial"/>
          <w:i/>
          <w:iCs/>
        </w:rPr>
        <w:t>Historial de Seguimiento y Control a los Recursos del Sistema General de Participaciones – Diagnóstico</w:t>
      </w:r>
      <w:r w:rsidR="00E65E29" w:rsidRPr="00A2630F">
        <w:rPr>
          <w:rFonts w:ascii="Arial" w:hAnsi="Arial" w:cs="Arial"/>
        </w:rPr>
        <w:t xml:space="preserve">”. Expediente digital No. 6/2021/D028-PREDI. </w:t>
      </w:r>
      <w:r w:rsidR="00AC3C61">
        <w:rPr>
          <w:rFonts w:ascii="Arial" w:eastAsia="Arial Narrow" w:hAnsi="Arial" w:cs="Arial"/>
        </w:rPr>
        <w:t>R</w:t>
      </w:r>
      <w:r w:rsidR="00AC3C61" w:rsidRPr="00BE36D3">
        <w:rPr>
          <w:rFonts w:ascii="Arial" w:eastAsia="Arial Narrow" w:hAnsi="Arial" w:cs="Arial"/>
        </w:rPr>
        <w:t>adicado No. 1-2019-079798 del 28 de agosto de 2019</w:t>
      </w:r>
      <w:r w:rsidR="00AC3C61">
        <w:rPr>
          <w:rFonts w:ascii="Arial" w:eastAsia="Arial Narrow" w:hAnsi="Arial" w:cs="Arial"/>
        </w:rPr>
        <w:t>.</w:t>
      </w:r>
      <w:r w:rsidR="00EA5971" w:rsidRPr="00EA5971">
        <w:t xml:space="preserve"> </w:t>
      </w:r>
      <w:hyperlink r:id="rId61" w:history="1">
        <w:r w:rsidR="00EA5971" w:rsidRPr="008756E8">
          <w:rPr>
            <w:rStyle w:val="Hipervnculo"/>
            <w:rFonts w:ascii="Arial" w:eastAsia="Arial Narrow" w:hAnsi="Arial" w:cs="Arial"/>
          </w:rPr>
          <w:t>http://portalgestiondoc.minhacienda.red/PortalEmpleado/viewer.jsp?config=4dcyGJlaZl5RzU5jzOqmON02jFuJWXNedX2/Z4N/McI5cDpxD8g5zSsafIqY0puGljha1KvGPFCYcoQiLEX3nkpiw8+ed8HQuesvDMp9SvqXJ93n47ViJBpixW0OzNr0ZZcob1uuqfTFbGAd0ohty+y7IKCuGhSsC7/wyJlcRosBJKA2imgVHBqYGa3+pmcB&amp;guid=4486575917a53fd55cf1548&amp;idrepository=879</w:t>
        </w:r>
      </w:hyperlink>
      <w:r w:rsidR="00EA5971">
        <w:rPr>
          <w:rFonts w:ascii="Arial" w:eastAsia="Arial Narrow" w:hAnsi="Arial" w:cs="Arial"/>
        </w:rPr>
        <w:t xml:space="preserve"> </w:t>
      </w:r>
    </w:p>
    <w:p w:rsidR="00426D65" w:rsidRPr="00AC3C61" w:rsidRDefault="004840A5">
      <w:pPr>
        <w:pStyle w:val="Prrafodelista"/>
        <w:numPr>
          <w:ilvl w:val="0"/>
          <w:numId w:val="29"/>
        </w:numPr>
        <w:spacing w:line="240" w:lineRule="auto"/>
        <w:jc w:val="both"/>
        <w:rPr>
          <w:rFonts w:ascii="Arial" w:hAnsi="Arial" w:cs="Arial"/>
        </w:rPr>
      </w:pPr>
      <w:r w:rsidRPr="00E65E29">
        <w:rPr>
          <w:rFonts w:ascii="Arial" w:hAnsi="Arial" w:cs="Arial"/>
        </w:rPr>
        <w:t xml:space="preserve">Contrato ST-CPS-002-2020 </w:t>
      </w:r>
      <w:r w:rsidR="00A2542F" w:rsidRPr="00A2542F">
        <w:rPr>
          <w:rFonts w:ascii="Arial" w:hAnsi="Arial" w:cs="Arial"/>
        </w:rPr>
        <w:tab/>
        <w:t>JOSE DAVID DE JESUS DORADO DORIA</w:t>
      </w:r>
      <w:r w:rsidR="001F08AA" w:rsidRPr="00E65E29">
        <w:rPr>
          <w:rFonts w:ascii="Arial" w:hAnsi="Arial" w:cs="Arial"/>
        </w:rPr>
        <w:t xml:space="preserve">. </w:t>
      </w:r>
      <w:r w:rsidR="00E65E29" w:rsidRPr="00E65E29">
        <w:rPr>
          <w:rFonts w:ascii="Arial" w:hAnsi="Arial" w:cs="Arial"/>
        </w:rPr>
        <w:t>Participación de Propósito General. Municipio de Santiago de Tolú – Sucre. Serie “</w:t>
      </w:r>
      <w:r w:rsidR="00E65E29" w:rsidRPr="00F4471B">
        <w:rPr>
          <w:rFonts w:ascii="Arial" w:hAnsi="Arial" w:cs="Arial"/>
          <w:i/>
          <w:iCs/>
        </w:rPr>
        <w:t>Historial de Seguimiento y Control a los Recursos del Sistema General de Participaciones – Diagnóstico</w:t>
      </w:r>
      <w:r w:rsidR="00E65E29" w:rsidRPr="00E65E29">
        <w:rPr>
          <w:rFonts w:ascii="Arial" w:hAnsi="Arial" w:cs="Arial"/>
        </w:rPr>
        <w:t xml:space="preserve">”. Expediente digital No. 6/2021/D028-PREDI. </w:t>
      </w:r>
      <w:r w:rsidR="00AC3C61">
        <w:rPr>
          <w:rFonts w:ascii="Arial" w:eastAsia="Arial Narrow" w:hAnsi="Arial" w:cs="Arial"/>
        </w:rPr>
        <w:t>R</w:t>
      </w:r>
      <w:r w:rsidR="00AC3C61" w:rsidRPr="00BE36D3">
        <w:rPr>
          <w:rFonts w:ascii="Arial" w:eastAsia="Arial Narrow" w:hAnsi="Arial" w:cs="Arial"/>
        </w:rPr>
        <w:t>adicado No. 1-2019-079798 del 28 de agosto de 2019</w:t>
      </w:r>
      <w:r w:rsidR="00AC3C61">
        <w:rPr>
          <w:rFonts w:ascii="Arial" w:eastAsia="Arial Narrow" w:hAnsi="Arial" w:cs="Arial"/>
        </w:rPr>
        <w:t>.</w:t>
      </w:r>
      <w:r w:rsidR="00EA5971">
        <w:rPr>
          <w:rFonts w:ascii="Arial" w:eastAsia="Arial Narrow" w:hAnsi="Arial" w:cs="Arial"/>
        </w:rPr>
        <w:t xml:space="preserve"> </w:t>
      </w:r>
      <w:hyperlink r:id="rId62" w:history="1">
        <w:r w:rsidR="00EA5971" w:rsidRPr="008756E8">
          <w:rPr>
            <w:rStyle w:val="Hipervnculo"/>
            <w:rFonts w:ascii="Arial" w:eastAsia="Arial Narrow" w:hAnsi="Arial" w:cs="Arial"/>
          </w:rPr>
          <w:t>http://portalgestiondoc.minhacienda.red/PortalEmpleado/viewer.jsp?config=ZM7JTAPmwRYAkWrpMJNxXgupIgMx5p8ljYcIjRk1iJ/2mXOSLYvpVLqudjJXEPZdOa3MR7hwyA7QmyfbJ+sYpLuR3UDrKmoKp/+MTdpnPAjVgagKd/AIm4eDTginsxaXJUthf+u+35Vo0j8IwbF27T3sXxX0zlyBVLYaXZNGCG68Kwx/+idXxxuZmX7stp+2&amp;guid=4486575917a53fd55cf1623&amp;idrepository=879</w:t>
        </w:r>
      </w:hyperlink>
      <w:r w:rsidR="00EA5971">
        <w:rPr>
          <w:rFonts w:ascii="Arial" w:eastAsia="Arial Narrow" w:hAnsi="Arial" w:cs="Arial"/>
        </w:rPr>
        <w:t xml:space="preserve"> </w:t>
      </w:r>
    </w:p>
    <w:p w:rsidR="00441C57" w:rsidRDefault="00441C57">
      <w:pPr>
        <w:spacing w:line="240" w:lineRule="auto"/>
        <w:contextualSpacing/>
        <w:jc w:val="both"/>
        <w:rPr>
          <w:rFonts w:ascii="Arial" w:hAnsi="Arial" w:cs="Arial"/>
          <w:b/>
          <w:bCs/>
        </w:rPr>
      </w:pPr>
    </w:p>
    <w:p w:rsidR="00ED4989" w:rsidRDefault="00ED4989">
      <w:pPr>
        <w:spacing w:line="240" w:lineRule="auto"/>
        <w:contextualSpacing/>
        <w:jc w:val="both"/>
        <w:rPr>
          <w:rFonts w:ascii="Arial" w:hAnsi="Arial" w:cs="Arial"/>
          <w:b/>
          <w:bCs/>
        </w:rPr>
      </w:pPr>
      <w:r>
        <w:rPr>
          <w:rFonts w:ascii="Arial" w:hAnsi="Arial" w:cs="Arial"/>
          <w:b/>
          <w:bCs/>
        </w:rPr>
        <w:t xml:space="preserve">EVENTO DE RIESGO </w:t>
      </w:r>
      <w:r w:rsidRPr="00ED4989">
        <w:rPr>
          <w:rFonts w:ascii="Arial" w:hAnsi="Arial" w:cs="Arial"/>
          <w:b/>
          <w:bCs/>
        </w:rPr>
        <w:t xml:space="preserve">9.5. </w:t>
      </w:r>
      <w:r w:rsidR="00441C57">
        <w:rPr>
          <w:rFonts w:ascii="Arial" w:hAnsi="Arial" w:cs="Arial"/>
          <w:b/>
          <w:bCs/>
        </w:rPr>
        <w:t>“</w:t>
      </w:r>
      <w:r w:rsidRPr="00F4471B">
        <w:rPr>
          <w:rFonts w:ascii="Arial" w:hAnsi="Arial" w:cs="Arial"/>
          <w:b/>
          <w:bCs/>
          <w:i/>
          <w:iCs/>
        </w:rPr>
        <w:t>Administración de los recursos en cuentas no autorizadas para su manejo o no registradas ante el Ministerio del sector al que correspondan los recursos</w:t>
      </w:r>
      <w:r w:rsidR="00441C57">
        <w:rPr>
          <w:rFonts w:ascii="Arial" w:hAnsi="Arial" w:cs="Arial"/>
          <w:b/>
          <w:bCs/>
        </w:rPr>
        <w:t>”</w:t>
      </w:r>
      <w:r w:rsidRPr="00ED4989">
        <w:rPr>
          <w:rFonts w:ascii="Arial" w:hAnsi="Arial" w:cs="Arial"/>
          <w:b/>
          <w:bCs/>
        </w:rPr>
        <w:t>.</w:t>
      </w:r>
    </w:p>
    <w:p w:rsidR="00441C57" w:rsidRDefault="00441C57" w:rsidP="00F4471B">
      <w:pPr>
        <w:spacing w:line="240" w:lineRule="auto"/>
        <w:contextualSpacing/>
        <w:jc w:val="both"/>
        <w:rPr>
          <w:rFonts w:ascii="Arial" w:hAnsi="Arial" w:cs="Arial"/>
          <w:b/>
          <w:bCs/>
        </w:rPr>
      </w:pPr>
    </w:p>
    <w:p w:rsidR="007704D3" w:rsidRPr="007704D3" w:rsidRDefault="007704D3">
      <w:pPr>
        <w:pStyle w:val="Prrafodelista"/>
        <w:numPr>
          <w:ilvl w:val="0"/>
          <w:numId w:val="29"/>
        </w:numPr>
        <w:spacing w:after="0" w:line="240" w:lineRule="auto"/>
        <w:jc w:val="both"/>
        <w:textAlignment w:val="baseline"/>
        <w:rPr>
          <w:rFonts w:ascii="Arial" w:eastAsia="Times New Roman" w:hAnsi="Arial" w:cs="Arial"/>
          <w:sz w:val="24"/>
          <w:szCs w:val="24"/>
          <w:lang w:eastAsia="es-CO"/>
        </w:rPr>
      </w:pPr>
      <w:r w:rsidRPr="007704D3">
        <w:rPr>
          <w:rFonts w:ascii="Arial" w:eastAsia="Times New Roman" w:hAnsi="Arial" w:cs="Arial"/>
          <w:b/>
          <w:bCs/>
          <w:lang w:eastAsia="es-CO"/>
        </w:rPr>
        <w:t>Traslado de los recursos de la Participación del Propósito General a cuentas no autorizadas</w:t>
      </w:r>
      <w:r w:rsidR="00441C57">
        <w:rPr>
          <w:rFonts w:ascii="Arial" w:eastAsia="Times New Roman" w:hAnsi="Arial" w:cs="Arial"/>
          <w:b/>
          <w:bCs/>
          <w:lang w:eastAsia="es-CO"/>
        </w:rPr>
        <w:t>.</w:t>
      </w:r>
    </w:p>
    <w:p w:rsidR="007704D3" w:rsidRPr="00F4471B" w:rsidRDefault="007704D3" w:rsidP="00F4471B">
      <w:pPr>
        <w:spacing w:after="0" w:line="240" w:lineRule="auto"/>
        <w:jc w:val="both"/>
        <w:textAlignment w:val="baseline"/>
        <w:rPr>
          <w:rFonts w:ascii="Arial" w:eastAsia="Times New Roman" w:hAnsi="Arial" w:cs="Arial"/>
          <w:sz w:val="24"/>
          <w:szCs w:val="24"/>
          <w:lang w:eastAsia="es-CO"/>
        </w:rPr>
      </w:pPr>
    </w:p>
    <w:p w:rsidR="007704D3" w:rsidRPr="007704D3" w:rsidRDefault="007704D3" w:rsidP="00F4471B">
      <w:pPr>
        <w:spacing w:after="0" w:line="240" w:lineRule="auto"/>
        <w:contextualSpacing/>
        <w:jc w:val="both"/>
        <w:textAlignment w:val="baseline"/>
        <w:rPr>
          <w:rFonts w:ascii="Segoe UI" w:eastAsia="Times New Roman" w:hAnsi="Segoe UI" w:cs="Segoe UI"/>
          <w:sz w:val="18"/>
          <w:szCs w:val="18"/>
          <w:lang w:eastAsia="es-CO"/>
        </w:rPr>
      </w:pPr>
      <w:r w:rsidRPr="007704D3">
        <w:rPr>
          <w:rFonts w:ascii="Arial" w:eastAsia="Times New Roman" w:hAnsi="Arial" w:cs="Arial"/>
          <w:lang w:val="es-ES" w:eastAsia="es-CO"/>
        </w:rPr>
        <w:t>Es importante recordar que e</w:t>
      </w:r>
      <w:r w:rsidRPr="007704D3">
        <w:rPr>
          <w:rFonts w:ascii="Arial" w:eastAsia="Times New Roman" w:hAnsi="Arial" w:cs="Arial"/>
          <w:color w:val="000000"/>
          <w:lang w:val="es-ES" w:eastAsia="es-CO"/>
        </w:rPr>
        <w:t>n virtud de lo establecido por el artículo 140 de la Ley 1753 de 2015, que ordenó a las entidades territoriales que la administración de los recursos del Sistema General de Participaciones se efectúe a través de Cuentas Maestras reglamentadas por cada ministerio que realiza el giro de estos recursos, el Ministerio de Hacienda y Crédito Público, como el encargado de realizar los giros de los recursos de la Participación de Propósito General, las Asignaciones Especiales y la Asignación para la Atención Integral a la Primera Infancia, reglamentó dicho mecanismo mediante la Resolución 4835 de 2015; la cual en su artículo 3° señaló que</w:t>
      </w:r>
      <w:r w:rsidR="00441C57">
        <w:rPr>
          <w:rFonts w:ascii="Arial" w:eastAsia="Times New Roman" w:hAnsi="Arial" w:cs="Arial"/>
          <w:color w:val="000000"/>
          <w:lang w:val="es-ES" w:eastAsia="es-CO"/>
        </w:rPr>
        <w:t xml:space="preserve"> </w:t>
      </w:r>
      <w:r w:rsidRPr="007704D3">
        <w:rPr>
          <w:rFonts w:ascii="Arial" w:eastAsia="Times New Roman" w:hAnsi="Arial" w:cs="Arial"/>
          <w:i/>
          <w:iCs/>
          <w:color w:val="000000"/>
          <w:lang w:val="es-ES" w:eastAsia="es-CO"/>
        </w:rPr>
        <w:t>“La entidad territorial según sea el caso, deberá</w:t>
      </w:r>
      <w:r w:rsidR="00441C57">
        <w:rPr>
          <w:rFonts w:ascii="Arial" w:eastAsia="Times New Roman" w:hAnsi="Arial" w:cs="Arial"/>
          <w:i/>
          <w:iCs/>
          <w:color w:val="000000"/>
          <w:lang w:val="es-ES" w:eastAsia="es-CO"/>
        </w:rPr>
        <w:t xml:space="preserve"> </w:t>
      </w:r>
      <w:r w:rsidRPr="007704D3">
        <w:rPr>
          <w:rFonts w:ascii="Arial" w:eastAsia="Times New Roman" w:hAnsi="Arial" w:cs="Arial"/>
          <w:i/>
          <w:iCs/>
          <w:color w:val="000000"/>
          <w:lang w:val="es-ES" w:eastAsia="es-CO"/>
        </w:rPr>
        <w:t>aperturar</w:t>
      </w:r>
      <w:r w:rsidR="00441C57">
        <w:rPr>
          <w:rFonts w:ascii="Arial" w:eastAsia="Times New Roman" w:hAnsi="Arial" w:cs="Arial"/>
          <w:i/>
          <w:iCs/>
          <w:color w:val="000000"/>
          <w:lang w:val="es-ES" w:eastAsia="es-CO"/>
        </w:rPr>
        <w:t xml:space="preserve"> </w:t>
      </w:r>
      <w:r w:rsidRPr="007704D3">
        <w:rPr>
          <w:rFonts w:ascii="Arial" w:eastAsia="Times New Roman" w:hAnsi="Arial" w:cs="Arial"/>
          <w:b/>
          <w:bCs/>
          <w:i/>
          <w:iCs/>
          <w:color w:val="000000"/>
          <w:lang w:val="es-ES" w:eastAsia="es-CO"/>
        </w:rPr>
        <w:t>una</w:t>
      </w:r>
      <w:r w:rsidR="00441C57">
        <w:rPr>
          <w:rFonts w:ascii="Arial" w:eastAsia="Times New Roman" w:hAnsi="Arial" w:cs="Arial"/>
          <w:b/>
          <w:bCs/>
          <w:i/>
          <w:iCs/>
          <w:color w:val="000000"/>
          <w:lang w:val="es-ES" w:eastAsia="es-CO"/>
        </w:rPr>
        <w:t xml:space="preserve"> </w:t>
      </w:r>
      <w:r w:rsidRPr="007704D3">
        <w:rPr>
          <w:rFonts w:ascii="Arial" w:eastAsia="Times New Roman" w:hAnsi="Arial" w:cs="Arial"/>
          <w:i/>
          <w:iCs/>
          <w:color w:val="000000"/>
          <w:lang w:val="es-ES" w:eastAsia="es-CO"/>
        </w:rPr>
        <w:t>Cuenta Maestra para la administración de los recursos del Sistema General de Participaciones, así:</w:t>
      </w:r>
      <w:r w:rsidR="00441C57">
        <w:rPr>
          <w:rFonts w:ascii="Arial" w:eastAsia="Times New Roman" w:hAnsi="Arial" w:cs="Arial"/>
          <w:i/>
          <w:iCs/>
          <w:color w:val="000000"/>
          <w:lang w:val="es-ES" w:eastAsia="es-CO"/>
        </w:rPr>
        <w:t xml:space="preserve"> </w:t>
      </w:r>
      <w:r w:rsidRPr="007704D3">
        <w:rPr>
          <w:rFonts w:ascii="Arial" w:eastAsia="Times New Roman" w:hAnsi="Arial" w:cs="Arial"/>
          <w:b/>
          <w:bCs/>
          <w:i/>
          <w:iCs/>
          <w:color w:val="000000"/>
          <w:lang w:val="es-ES" w:eastAsia="es-CO"/>
        </w:rPr>
        <w:t>1. Una cuenta maestra para la Participación de Propósito General […]</w:t>
      </w:r>
      <w:r w:rsidRPr="007704D3">
        <w:rPr>
          <w:rFonts w:ascii="Arial" w:eastAsia="Times New Roman" w:hAnsi="Arial" w:cs="Arial"/>
          <w:i/>
          <w:iCs/>
          <w:color w:val="000000"/>
          <w:lang w:val="es-ES" w:eastAsia="es-CO"/>
        </w:rPr>
        <w:t>”</w:t>
      </w:r>
      <w:r w:rsidR="00441C57">
        <w:rPr>
          <w:rFonts w:ascii="Arial" w:eastAsia="Times New Roman" w:hAnsi="Arial" w:cs="Arial"/>
          <w:i/>
          <w:iCs/>
          <w:color w:val="000000"/>
          <w:lang w:val="es-ES" w:eastAsia="es-CO"/>
        </w:rPr>
        <w:t xml:space="preserve"> </w:t>
      </w:r>
      <w:r w:rsidRPr="007704D3">
        <w:rPr>
          <w:rFonts w:ascii="Arial" w:eastAsia="Times New Roman" w:hAnsi="Arial" w:cs="Arial"/>
          <w:color w:val="000000"/>
          <w:lang w:val="es-ES" w:eastAsia="es-CO"/>
        </w:rPr>
        <w:t xml:space="preserve">(negrita fuera del texto) y que adicionalmente en el parágrafo </w:t>
      </w:r>
      <w:r w:rsidRPr="007704D3">
        <w:rPr>
          <w:rFonts w:ascii="Arial" w:eastAsia="Times New Roman" w:hAnsi="Arial" w:cs="Arial"/>
          <w:color w:val="000000"/>
          <w:lang w:val="es-ES" w:eastAsia="es-CO"/>
        </w:rPr>
        <w:lastRenderedPageBreak/>
        <w:t>del artículo 12 de la mencionada Resolución indicó que</w:t>
      </w:r>
      <w:r w:rsidR="00441C57">
        <w:rPr>
          <w:rFonts w:ascii="Arial" w:eastAsia="Times New Roman" w:hAnsi="Arial" w:cs="Arial"/>
          <w:color w:val="000000"/>
          <w:lang w:val="es-ES" w:eastAsia="es-CO"/>
        </w:rPr>
        <w:t xml:space="preserve"> </w:t>
      </w:r>
      <w:r w:rsidRPr="007704D3">
        <w:rPr>
          <w:rFonts w:ascii="Arial" w:eastAsia="Times New Roman" w:hAnsi="Arial" w:cs="Arial"/>
          <w:i/>
          <w:iCs/>
          <w:color w:val="000000"/>
          <w:lang w:val="es-ES" w:eastAsia="es-CO"/>
        </w:rPr>
        <w:t>“Las entidades territoriales en ningún caso podrán tener registrada más de una Cuenta Maestra para la administración de los recursos de cada una de las participaciones y asignaciones del Sistema General de Participaciones […]”.</w:t>
      </w:r>
    </w:p>
    <w:p w:rsidR="007704D3" w:rsidRPr="00F4471B" w:rsidRDefault="007704D3" w:rsidP="00F4471B">
      <w:pPr>
        <w:spacing w:after="0" w:line="240" w:lineRule="auto"/>
        <w:contextualSpacing/>
        <w:jc w:val="both"/>
        <w:textAlignment w:val="baseline"/>
        <w:rPr>
          <w:rFonts w:ascii="Arial" w:eastAsia="Times New Roman" w:hAnsi="Arial" w:cs="Arial"/>
          <w:lang w:eastAsia="es-CO"/>
        </w:rPr>
      </w:pPr>
    </w:p>
    <w:p w:rsidR="00426D65" w:rsidRDefault="007704D3" w:rsidP="00F4471B">
      <w:pPr>
        <w:spacing w:after="0" w:line="240" w:lineRule="auto"/>
        <w:contextualSpacing/>
        <w:jc w:val="both"/>
        <w:textAlignment w:val="baseline"/>
        <w:rPr>
          <w:rFonts w:ascii="Arial" w:hAnsi="Arial" w:cs="Arial"/>
          <w:bCs/>
          <w:iCs/>
        </w:rPr>
      </w:pPr>
      <w:r w:rsidRPr="007704D3">
        <w:rPr>
          <w:rFonts w:ascii="Arial" w:eastAsia="Times New Roman" w:hAnsi="Arial" w:cs="Arial"/>
          <w:color w:val="000000"/>
          <w:lang w:eastAsia="es-CO"/>
        </w:rPr>
        <w:t>Aunado a esto, la Resolución 4835 de 2015 en concordancia con el artículo 140 de la Ley 1753 del mismo año, indicó en su artículo 8 que</w:t>
      </w:r>
      <w:r w:rsidR="00441C57">
        <w:rPr>
          <w:rFonts w:ascii="Arial" w:eastAsia="Times New Roman" w:hAnsi="Arial" w:cs="Arial"/>
          <w:color w:val="000000"/>
          <w:lang w:eastAsia="es-CO"/>
        </w:rPr>
        <w:t xml:space="preserve"> </w:t>
      </w:r>
      <w:r w:rsidRPr="007704D3">
        <w:rPr>
          <w:rFonts w:ascii="Arial" w:eastAsia="Times New Roman" w:hAnsi="Arial" w:cs="Arial"/>
          <w:i/>
          <w:iCs/>
          <w:color w:val="000000"/>
          <w:lang w:eastAsia="es-CO"/>
        </w:rPr>
        <w:t>“Serán beneficiarias de las Cuentas Maestras aquellas</w:t>
      </w:r>
      <w:r w:rsidR="00441C57">
        <w:rPr>
          <w:rFonts w:ascii="Arial" w:eastAsia="Times New Roman" w:hAnsi="Arial" w:cs="Arial"/>
          <w:i/>
          <w:iCs/>
          <w:color w:val="000000"/>
          <w:lang w:eastAsia="es-CO"/>
        </w:rPr>
        <w:t xml:space="preserve"> </w:t>
      </w:r>
      <w:r w:rsidRPr="007704D3">
        <w:rPr>
          <w:rFonts w:ascii="Arial" w:eastAsia="Times New Roman" w:hAnsi="Arial" w:cs="Arial"/>
          <w:b/>
          <w:bCs/>
          <w:i/>
          <w:iCs/>
          <w:color w:val="000000"/>
          <w:lang w:eastAsia="es-CO"/>
        </w:rPr>
        <w:t>personas naturales o jurídicas de derecho público o privado que presten o suministren bienes y/o servicios</w:t>
      </w:r>
      <w:r w:rsidR="00441C57">
        <w:rPr>
          <w:rFonts w:ascii="Arial" w:eastAsia="Times New Roman" w:hAnsi="Arial" w:cs="Arial"/>
          <w:b/>
          <w:bCs/>
          <w:i/>
          <w:iCs/>
          <w:color w:val="000000"/>
          <w:lang w:eastAsia="es-CO"/>
        </w:rPr>
        <w:t xml:space="preserve"> </w:t>
      </w:r>
      <w:r w:rsidRPr="007704D3">
        <w:rPr>
          <w:rFonts w:ascii="Arial" w:eastAsia="Times New Roman" w:hAnsi="Arial" w:cs="Arial"/>
          <w:i/>
          <w:iCs/>
          <w:color w:val="000000"/>
          <w:lang w:eastAsia="es-CO"/>
        </w:rPr>
        <w:t>en atención a lo dispuesto en las Leyes 715 de 2001 y 1176 de 2007”</w:t>
      </w:r>
      <w:r w:rsidR="00441C57">
        <w:rPr>
          <w:rFonts w:ascii="Arial" w:eastAsia="Times New Roman" w:hAnsi="Arial" w:cs="Arial"/>
          <w:i/>
          <w:iCs/>
          <w:color w:val="000000"/>
          <w:lang w:eastAsia="es-CO"/>
        </w:rPr>
        <w:t xml:space="preserve"> </w:t>
      </w:r>
      <w:r w:rsidRPr="007704D3">
        <w:rPr>
          <w:rFonts w:ascii="Arial" w:eastAsia="Times New Roman" w:hAnsi="Arial" w:cs="Arial"/>
          <w:color w:val="000000"/>
          <w:lang w:eastAsia="es-CO"/>
        </w:rPr>
        <w:t>(</w:t>
      </w:r>
      <w:r w:rsidR="00893C8F">
        <w:rPr>
          <w:rFonts w:ascii="Arial" w:eastAsia="Times New Roman" w:hAnsi="Arial" w:cs="Arial"/>
          <w:color w:val="000000"/>
          <w:lang w:eastAsia="es-CO"/>
        </w:rPr>
        <w:t>énfasis</w:t>
      </w:r>
      <w:r w:rsidRPr="007704D3">
        <w:rPr>
          <w:rFonts w:ascii="Arial" w:eastAsia="Times New Roman" w:hAnsi="Arial" w:cs="Arial"/>
          <w:color w:val="000000"/>
          <w:lang w:eastAsia="es-CO"/>
        </w:rPr>
        <w:t xml:space="preserve"> fuera del texto) a quienes solo se les podrá realizar transacciones de pago por vía electrónica previa inscripción en la Cuenta Maestra.</w:t>
      </w:r>
      <w:r w:rsidR="00893C8F">
        <w:rPr>
          <w:rFonts w:ascii="Arial" w:eastAsia="Times New Roman" w:hAnsi="Arial" w:cs="Arial"/>
          <w:color w:val="000000"/>
          <w:lang w:eastAsia="es-CO"/>
        </w:rPr>
        <w:t xml:space="preserve"> </w:t>
      </w:r>
      <w:r w:rsidR="00893C8F">
        <w:rPr>
          <w:rFonts w:ascii="Arial" w:hAnsi="Arial" w:cs="Arial"/>
          <w:bCs/>
          <w:iCs/>
        </w:rPr>
        <w:t>Adicionalmente, dicho artículo menciona que los beneficiarios también</w:t>
      </w:r>
      <w:r w:rsidR="00426D65" w:rsidRPr="00C07F8B">
        <w:rPr>
          <w:rFonts w:ascii="Arial" w:hAnsi="Arial" w:cs="Arial"/>
          <w:bCs/>
          <w:iCs/>
        </w:rPr>
        <w:t xml:space="preserve"> “</w:t>
      </w:r>
      <w:r w:rsidR="00426D65" w:rsidRPr="009E313F">
        <w:rPr>
          <w:rFonts w:ascii="Arial" w:hAnsi="Arial" w:cs="Arial"/>
          <w:bCs/>
          <w:i/>
        </w:rPr>
        <w:t xml:space="preserve">Serán </w:t>
      </w:r>
      <w:r w:rsidR="00426D65">
        <w:rPr>
          <w:rFonts w:ascii="Arial" w:hAnsi="Arial" w:cs="Arial"/>
          <w:bCs/>
          <w:i/>
        </w:rPr>
        <w:t>[…]</w:t>
      </w:r>
      <w:r w:rsidR="00426D65" w:rsidRPr="009E313F">
        <w:rPr>
          <w:rFonts w:ascii="Arial" w:hAnsi="Arial" w:cs="Arial"/>
          <w:bCs/>
          <w:i/>
        </w:rPr>
        <w:t xml:space="preserve"> </w:t>
      </w:r>
      <w:r w:rsidR="00426D65" w:rsidRPr="009E313F">
        <w:rPr>
          <w:rFonts w:ascii="Arial" w:hAnsi="Arial" w:cs="Arial"/>
          <w:b/>
          <w:i/>
        </w:rPr>
        <w:t>los titulares de tributos nacionales, departamentales y municipales asociados a la ejecución de los recursos del Sistema</w:t>
      </w:r>
      <w:r w:rsidR="00426D65">
        <w:rPr>
          <w:rFonts w:ascii="Arial" w:hAnsi="Arial" w:cs="Arial"/>
          <w:b/>
          <w:i/>
        </w:rPr>
        <w:t xml:space="preserve"> </w:t>
      </w:r>
      <w:r w:rsidR="00426D65" w:rsidRPr="009E313F">
        <w:rPr>
          <w:rFonts w:ascii="Arial" w:hAnsi="Arial" w:cs="Arial"/>
          <w:b/>
          <w:i/>
        </w:rPr>
        <w:t>General de Participaciones de Propósito General</w:t>
      </w:r>
      <w:r w:rsidR="00426D65">
        <w:rPr>
          <w:rFonts w:ascii="Arial" w:hAnsi="Arial" w:cs="Arial"/>
          <w:b/>
          <w:i/>
        </w:rPr>
        <w:t xml:space="preserve"> </w:t>
      </w:r>
      <w:r w:rsidR="00426D65" w:rsidRPr="009E313F">
        <w:rPr>
          <w:rFonts w:ascii="Arial" w:hAnsi="Arial" w:cs="Arial"/>
          <w:bCs/>
          <w:i/>
        </w:rPr>
        <w:t>[...]”</w:t>
      </w:r>
      <w:r w:rsidR="00426D65" w:rsidRPr="00C07F8B">
        <w:rPr>
          <w:rFonts w:ascii="Arial" w:hAnsi="Arial" w:cs="Arial"/>
          <w:bCs/>
          <w:iCs/>
        </w:rPr>
        <w:t xml:space="preserve"> (</w:t>
      </w:r>
      <w:r w:rsidR="00426D65">
        <w:rPr>
          <w:rFonts w:ascii="Arial" w:hAnsi="Arial" w:cs="Arial"/>
          <w:bCs/>
          <w:iCs/>
        </w:rPr>
        <w:t>énfasis</w:t>
      </w:r>
      <w:r w:rsidR="00426D65" w:rsidRPr="00C07F8B">
        <w:rPr>
          <w:rFonts w:ascii="Arial" w:hAnsi="Arial" w:cs="Arial"/>
          <w:bCs/>
          <w:iCs/>
        </w:rPr>
        <w:t xml:space="preserve"> fuera de texto).</w:t>
      </w:r>
    </w:p>
    <w:p w:rsidR="00426D65" w:rsidRDefault="00426D65">
      <w:pPr>
        <w:spacing w:line="240" w:lineRule="auto"/>
        <w:contextualSpacing/>
        <w:jc w:val="both"/>
        <w:rPr>
          <w:rFonts w:ascii="Arial" w:hAnsi="Arial" w:cs="Arial"/>
          <w:bCs/>
          <w:iCs/>
        </w:rPr>
      </w:pPr>
    </w:p>
    <w:p w:rsidR="00426D65" w:rsidRDefault="00426D65">
      <w:pPr>
        <w:spacing w:line="240" w:lineRule="auto"/>
        <w:contextualSpacing/>
        <w:jc w:val="both"/>
        <w:rPr>
          <w:rFonts w:ascii="Arial" w:hAnsi="Arial" w:cs="Arial"/>
          <w:bCs/>
          <w:iCs/>
        </w:rPr>
      </w:pPr>
      <w:r w:rsidRPr="00C07F8B">
        <w:rPr>
          <w:rFonts w:ascii="Arial" w:hAnsi="Arial" w:cs="Arial"/>
          <w:bCs/>
          <w:iCs/>
        </w:rPr>
        <w:t xml:space="preserve">En ese orden de ideas, todo pago por concepto de tributo que deban realizar las entidades territoriales con cargo a los recursos del Sistema General de Participaciones de Propósito General, a terceros o a cuentas de la misma entidad son permitidas. Sin embargo, como lo aclara el parágrafo del artículo 9 de </w:t>
      </w:r>
      <w:r>
        <w:rPr>
          <w:rFonts w:ascii="Arial" w:hAnsi="Arial" w:cs="Arial"/>
          <w:bCs/>
          <w:iCs/>
        </w:rPr>
        <w:t>l</w:t>
      </w:r>
      <w:r w:rsidRPr="00C07F8B">
        <w:rPr>
          <w:rFonts w:ascii="Arial" w:hAnsi="Arial" w:cs="Arial"/>
          <w:bCs/>
          <w:iCs/>
        </w:rPr>
        <w:t xml:space="preserve">a misma Resolución </w:t>
      </w:r>
      <w:r w:rsidRPr="009E313F">
        <w:rPr>
          <w:rFonts w:ascii="Arial" w:hAnsi="Arial" w:cs="Arial"/>
          <w:bCs/>
          <w:i/>
        </w:rPr>
        <w:t>“</w:t>
      </w:r>
      <w:r w:rsidRPr="009E313F">
        <w:rPr>
          <w:rFonts w:ascii="Arial" w:hAnsi="Arial" w:cs="Arial"/>
          <w:b/>
          <w:i/>
        </w:rPr>
        <w:t>Las entidades territoriales tendrán la obligación de realizar la inscripción de estos beneficiarios</w:t>
      </w:r>
      <w:r w:rsidRPr="009E313F">
        <w:rPr>
          <w:rFonts w:ascii="Arial" w:hAnsi="Arial" w:cs="Arial"/>
          <w:bCs/>
          <w:i/>
        </w:rPr>
        <w:t xml:space="preserve"> a través del portal bancario de la entidad bancaria en donde se encuentra aperturada la Cuenta Maestra y </w:t>
      </w:r>
      <w:r w:rsidRPr="009E313F">
        <w:rPr>
          <w:rFonts w:ascii="Arial" w:hAnsi="Arial" w:cs="Arial"/>
          <w:b/>
          <w:i/>
        </w:rPr>
        <w:t>serán responsables de la calidad y veracidad de la información documental aportada en dicho proceso</w:t>
      </w:r>
      <w:r w:rsidR="00441C57">
        <w:rPr>
          <w:rFonts w:ascii="Arial" w:hAnsi="Arial" w:cs="Arial"/>
          <w:b/>
          <w:i/>
        </w:rPr>
        <w:t xml:space="preserve"> </w:t>
      </w:r>
      <w:r w:rsidRPr="009E313F">
        <w:rPr>
          <w:rFonts w:ascii="Arial" w:hAnsi="Arial" w:cs="Arial"/>
          <w:bCs/>
          <w:i/>
        </w:rPr>
        <w:t>[...]”</w:t>
      </w:r>
      <w:r w:rsidRPr="00C07F8B">
        <w:rPr>
          <w:rFonts w:ascii="Arial" w:hAnsi="Arial" w:cs="Arial"/>
          <w:bCs/>
          <w:iCs/>
        </w:rPr>
        <w:t xml:space="preserve"> (</w:t>
      </w:r>
      <w:r>
        <w:rPr>
          <w:rFonts w:ascii="Arial" w:hAnsi="Arial" w:cs="Arial"/>
          <w:bCs/>
          <w:iCs/>
        </w:rPr>
        <w:t>énfasis</w:t>
      </w:r>
      <w:r w:rsidRPr="00C07F8B">
        <w:rPr>
          <w:rFonts w:ascii="Arial" w:hAnsi="Arial" w:cs="Arial"/>
          <w:bCs/>
          <w:iCs/>
        </w:rPr>
        <w:t xml:space="preserve"> fuera de texto).</w:t>
      </w:r>
    </w:p>
    <w:p w:rsidR="00441C57" w:rsidRDefault="00441C57" w:rsidP="00F4471B">
      <w:pPr>
        <w:spacing w:line="240" w:lineRule="auto"/>
        <w:contextualSpacing/>
        <w:jc w:val="both"/>
        <w:rPr>
          <w:rFonts w:ascii="Arial" w:hAnsi="Arial" w:cs="Arial"/>
          <w:b/>
          <w:bCs/>
        </w:rPr>
      </w:pPr>
    </w:p>
    <w:p w:rsidR="00426D65" w:rsidRPr="00485D0A" w:rsidRDefault="00426D65">
      <w:pPr>
        <w:spacing w:after="0" w:line="240" w:lineRule="auto"/>
        <w:contextualSpacing/>
        <w:jc w:val="center"/>
        <w:rPr>
          <w:rFonts w:ascii="Arial" w:hAnsi="Arial" w:cs="Arial"/>
          <w:b/>
          <w:bCs/>
          <w:iCs/>
          <w:sz w:val="20"/>
          <w:szCs w:val="24"/>
        </w:rPr>
      </w:pPr>
      <w:r w:rsidRPr="00485D0A">
        <w:rPr>
          <w:rFonts w:ascii="Arial" w:hAnsi="Arial" w:cs="Arial"/>
          <w:b/>
          <w:bCs/>
          <w:iCs/>
          <w:sz w:val="20"/>
          <w:szCs w:val="24"/>
        </w:rPr>
        <w:t>Cuadro No. 8</w:t>
      </w:r>
    </w:p>
    <w:p w:rsidR="00426D65" w:rsidRPr="00485D0A" w:rsidRDefault="00426D65">
      <w:pPr>
        <w:spacing w:after="0" w:line="240" w:lineRule="auto"/>
        <w:contextualSpacing/>
        <w:jc w:val="center"/>
        <w:rPr>
          <w:rFonts w:ascii="Arial" w:hAnsi="Arial" w:cs="Arial"/>
          <w:bCs/>
          <w:iCs/>
          <w:sz w:val="20"/>
          <w:szCs w:val="24"/>
        </w:rPr>
      </w:pPr>
      <w:r w:rsidRPr="00485D0A">
        <w:rPr>
          <w:rFonts w:ascii="Arial" w:hAnsi="Arial" w:cs="Arial"/>
          <w:bCs/>
          <w:iCs/>
          <w:sz w:val="20"/>
          <w:szCs w:val="24"/>
        </w:rPr>
        <w:t>Municipio de Santiago de Tolú - Sucre</w:t>
      </w:r>
    </w:p>
    <w:p w:rsidR="00426D65" w:rsidRPr="00485D0A" w:rsidRDefault="00426D65">
      <w:pPr>
        <w:spacing w:line="240" w:lineRule="auto"/>
        <w:contextualSpacing/>
        <w:jc w:val="center"/>
        <w:rPr>
          <w:rFonts w:ascii="Arial" w:hAnsi="Arial" w:cs="Arial"/>
          <w:bCs/>
          <w:iCs/>
          <w:sz w:val="20"/>
          <w:szCs w:val="24"/>
        </w:rPr>
      </w:pPr>
      <w:r w:rsidRPr="00485D0A">
        <w:rPr>
          <w:rFonts w:ascii="Arial" w:hAnsi="Arial" w:cs="Arial"/>
          <w:bCs/>
          <w:iCs/>
          <w:sz w:val="20"/>
          <w:szCs w:val="24"/>
        </w:rPr>
        <w:t>Egresos Cuenta Maestra Propósito General a cuentas del mismo Municipio – diciembre 2019 a enero de 2021</w:t>
      </w:r>
    </w:p>
    <w:tbl>
      <w:tblPr>
        <w:tblW w:w="5592" w:type="pct"/>
        <w:jc w:val="center"/>
        <w:tblCellMar>
          <w:left w:w="70" w:type="dxa"/>
          <w:right w:w="70" w:type="dxa"/>
        </w:tblCellMar>
        <w:tblLook w:val="04A0" w:firstRow="1" w:lastRow="0" w:firstColumn="1" w:lastColumn="0" w:noHBand="0" w:noVBand="1"/>
      </w:tblPr>
      <w:tblGrid>
        <w:gridCol w:w="2973"/>
        <w:gridCol w:w="1380"/>
        <w:gridCol w:w="2976"/>
        <w:gridCol w:w="1432"/>
        <w:gridCol w:w="1112"/>
      </w:tblGrid>
      <w:tr w:rsidR="00426D65" w:rsidRPr="00485D0A" w:rsidTr="00F4471B">
        <w:trPr>
          <w:trHeight w:val="652"/>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666699"/>
            <w:vAlign w:val="center"/>
            <w:hideMark/>
          </w:tcPr>
          <w:p w:rsidR="00426D65" w:rsidRPr="00485D0A" w:rsidRDefault="00426D65">
            <w:pPr>
              <w:spacing w:after="0" w:line="240" w:lineRule="auto"/>
              <w:contextualSpacing/>
              <w:jc w:val="center"/>
              <w:rPr>
                <w:rFonts w:ascii="Arial" w:eastAsia="Times New Roman" w:hAnsi="Arial" w:cs="Arial"/>
                <w:b/>
                <w:bCs/>
                <w:color w:val="FFFFFF"/>
                <w:sz w:val="16"/>
                <w:szCs w:val="16"/>
                <w:lang w:eastAsia="es-CO"/>
              </w:rPr>
            </w:pPr>
            <w:r w:rsidRPr="00485D0A">
              <w:rPr>
                <w:rFonts w:ascii="Arial" w:eastAsia="Times New Roman" w:hAnsi="Arial" w:cs="Arial"/>
                <w:b/>
                <w:bCs/>
                <w:color w:val="FFFFFF"/>
                <w:sz w:val="16"/>
                <w:szCs w:val="16"/>
                <w:lang w:eastAsia="es-CO"/>
              </w:rPr>
              <w:t>INFORMACIÓN DISCRIMINADA DE EGRESOS</w:t>
            </w:r>
          </w:p>
        </w:tc>
      </w:tr>
      <w:tr w:rsidR="00426D65" w:rsidRPr="00485D0A" w:rsidTr="00F4471B">
        <w:trPr>
          <w:trHeight w:val="288"/>
          <w:tblHeader/>
          <w:jc w:val="center"/>
        </w:trPr>
        <w:tc>
          <w:tcPr>
            <w:tcW w:w="1506" w:type="pct"/>
            <w:tcBorders>
              <w:top w:val="nil"/>
              <w:left w:val="single" w:sz="4" w:space="0" w:color="auto"/>
              <w:bottom w:val="single" w:sz="4" w:space="0" w:color="auto"/>
              <w:right w:val="single" w:sz="4" w:space="0" w:color="auto"/>
            </w:tcBorders>
            <w:shd w:val="clear" w:color="000000" w:fill="E5E5FF"/>
            <w:vAlign w:val="center"/>
            <w:hideMark/>
          </w:tcPr>
          <w:p w:rsidR="00426D65" w:rsidRPr="00485D0A" w:rsidRDefault="00426D65">
            <w:pPr>
              <w:spacing w:after="0" w:line="240" w:lineRule="auto"/>
              <w:contextualSpacing/>
              <w:jc w:val="center"/>
              <w:rPr>
                <w:rFonts w:ascii="Arial" w:eastAsia="Times New Roman" w:hAnsi="Arial" w:cs="Arial"/>
                <w:b/>
                <w:bCs/>
                <w:color w:val="000000"/>
                <w:sz w:val="16"/>
                <w:szCs w:val="16"/>
                <w:lang w:eastAsia="es-CO"/>
              </w:rPr>
            </w:pPr>
            <w:r w:rsidRPr="00485D0A">
              <w:rPr>
                <w:rFonts w:ascii="Arial" w:eastAsia="Times New Roman" w:hAnsi="Arial" w:cs="Arial"/>
                <w:b/>
                <w:bCs/>
                <w:color w:val="000000"/>
                <w:sz w:val="16"/>
                <w:szCs w:val="16"/>
                <w:lang w:eastAsia="es-CO"/>
              </w:rPr>
              <w:t xml:space="preserve">Nombre o Razón Social </w:t>
            </w:r>
          </w:p>
        </w:tc>
        <w:tc>
          <w:tcPr>
            <w:tcW w:w="699" w:type="pct"/>
            <w:tcBorders>
              <w:top w:val="nil"/>
              <w:left w:val="nil"/>
              <w:bottom w:val="single" w:sz="4" w:space="0" w:color="auto"/>
              <w:right w:val="single" w:sz="4" w:space="0" w:color="auto"/>
            </w:tcBorders>
            <w:shd w:val="clear" w:color="000000" w:fill="E5E5FF"/>
            <w:vAlign w:val="center"/>
            <w:hideMark/>
          </w:tcPr>
          <w:p w:rsidR="00426D65" w:rsidRPr="00485D0A" w:rsidRDefault="00426D65">
            <w:pPr>
              <w:spacing w:after="0" w:line="240" w:lineRule="auto"/>
              <w:contextualSpacing/>
              <w:jc w:val="center"/>
              <w:rPr>
                <w:rFonts w:ascii="Arial" w:eastAsia="Times New Roman" w:hAnsi="Arial" w:cs="Arial"/>
                <w:b/>
                <w:bCs/>
                <w:color w:val="000000"/>
                <w:sz w:val="16"/>
                <w:szCs w:val="16"/>
                <w:lang w:eastAsia="es-CO"/>
              </w:rPr>
            </w:pPr>
            <w:r w:rsidRPr="00485D0A">
              <w:rPr>
                <w:rFonts w:ascii="Arial" w:eastAsia="Times New Roman" w:hAnsi="Arial" w:cs="Arial"/>
                <w:b/>
                <w:bCs/>
                <w:color w:val="000000"/>
                <w:sz w:val="16"/>
                <w:szCs w:val="16"/>
                <w:lang w:eastAsia="es-CO"/>
              </w:rPr>
              <w:t xml:space="preserve">No. de Cuenta </w:t>
            </w:r>
          </w:p>
        </w:tc>
        <w:tc>
          <w:tcPr>
            <w:tcW w:w="1507" w:type="pct"/>
            <w:tcBorders>
              <w:top w:val="nil"/>
              <w:left w:val="nil"/>
              <w:bottom w:val="single" w:sz="4" w:space="0" w:color="auto"/>
              <w:right w:val="single" w:sz="4" w:space="0" w:color="auto"/>
            </w:tcBorders>
            <w:shd w:val="clear" w:color="000000" w:fill="E5E5FF"/>
            <w:vAlign w:val="center"/>
            <w:hideMark/>
          </w:tcPr>
          <w:p w:rsidR="00426D65" w:rsidRPr="00485D0A" w:rsidRDefault="00426D65">
            <w:pPr>
              <w:spacing w:after="0" w:line="240" w:lineRule="auto"/>
              <w:contextualSpacing/>
              <w:jc w:val="center"/>
              <w:rPr>
                <w:rFonts w:ascii="Arial" w:eastAsia="Times New Roman" w:hAnsi="Arial" w:cs="Arial"/>
                <w:b/>
                <w:bCs/>
                <w:color w:val="000000"/>
                <w:sz w:val="16"/>
                <w:szCs w:val="16"/>
                <w:lang w:eastAsia="es-CO"/>
              </w:rPr>
            </w:pPr>
            <w:r w:rsidRPr="00485D0A">
              <w:rPr>
                <w:rFonts w:ascii="Arial" w:eastAsia="Times New Roman" w:hAnsi="Arial" w:cs="Arial"/>
                <w:b/>
                <w:bCs/>
                <w:color w:val="000000"/>
                <w:sz w:val="16"/>
                <w:szCs w:val="16"/>
                <w:lang w:eastAsia="es-CO"/>
              </w:rPr>
              <w:t xml:space="preserve">Establecimiento Bancario </w:t>
            </w:r>
          </w:p>
        </w:tc>
        <w:tc>
          <w:tcPr>
            <w:tcW w:w="725" w:type="pct"/>
            <w:tcBorders>
              <w:top w:val="nil"/>
              <w:left w:val="nil"/>
              <w:bottom w:val="single" w:sz="4" w:space="0" w:color="auto"/>
              <w:right w:val="single" w:sz="4" w:space="0" w:color="auto"/>
            </w:tcBorders>
            <w:shd w:val="clear" w:color="000000" w:fill="E5E5FF"/>
            <w:vAlign w:val="center"/>
            <w:hideMark/>
          </w:tcPr>
          <w:p w:rsidR="00426D65" w:rsidRPr="00485D0A" w:rsidRDefault="00426D65">
            <w:pPr>
              <w:spacing w:after="0" w:line="240" w:lineRule="auto"/>
              <w:contextualSpacing/>
              <w:jc w:val="center"/>
              <w:rPr>
                <w:rFonts w:ascii="Arial" w:eastAsia="Times New Roman" w:hAnsi="Arial" w:cs="Arial"/>
                <w:b/>
                <w:bCs/>
                <w:color w:val="000000"/>
                <w:sz w:val="16"/>
                <w:szCs w:val="16"/>
                <w:lang w:eastAsia="es-CO"/>
              </w:rPr>
            </w:pPr>
            <w:r w:rsidRPr="00485D0A">
              <w:rPr>
                <w:rFonts w:ascii="Arial" w:eastAsia="Times New Roman" w:hAnsi="Arial" w:cs="Arial"/>
                <w:b/>
                <w:bCs/>
                <w:color w:val="000000"/>
                <w:sz w:val="16"/>
                <w:szCs w:val="16"/>
                <w:lang w:eastAsia="es-CO"/>
              </w:rPr>
              <w:t xml:space="preserve">Valor Abonado </w:t>
            </w:r>
          </w:p>
        </w:tc>
        <w:tc>
          <w:tcPr>
            <w:tcW w:w="563" w:type="pct"/>
            <w:tcBorders>
              <w:top w:val="nil"/>
              <w:left w:val="nil"/>
              <w:bottom w:val="single" w:sz="4" w:space="0" w:color="auto"/>
              <w:right w:val="single" w:sz="4" w:space="0" w:color="auto"/>
            </w:tcBorders>
            <w:shd w:val="clear" w:color="000000" w:fill="E5E5FF"/>
            <w:vAlign w:val="center"/>
            <w:hideMark/>
          </w:tcPr>
          <w:p w:rsidR="00426D65" w:rsidRPr="00485D0A" w:rsidRDefault="00426D65">
            <w:pPr>
              <w:spacing w:after="0" w:line="240" w:lineRule="auto"/>
              <w:contextualSpacing/>
              <w:jc w:val="center"/>
              <w:rPr>
                <w:rFonts w:ascii="Arial" w:eastAsia="Times New Roman" w:hAnsi="Arial" w:cs="Arial"/>
                <w:b/>
                <w:bCs/>
                <w:color w:val="000000"/>
                <w:sz w:val="16"/>
                <w:szCs w:val="16"/>
                <w:lang w:eastAsia="es-CO"/>
              </w:rPr>
            </w:pPr>
            <w:r w:rsidRPr="00485D0A">
              <w:rPr>
                <w:rFonts w:ascii="Arial" w:eastAsia="Times New Roman" w:hAnsi="Arial" w:cs="Arial"/>
                <w:b/>
                <w:bCs/>
                <w:color w:val="000000"/>
                <w:sz w:val="16"/>
                <w:szCs w:val="16"/>
                <w:lang w:eastAsia="es-CO"/>
              </w:rPr>
              <w:t xml:space="preserve">No. de Abonos </w:t>
            </w:r>
          </w:p>
        </w:tc>
      </w:tr>
      <w:tr w:rsidR="00426D65" w:rsidRPr="00485D0A" w:rsidTr="001F08AA">
        <w:trPr>
          <w:trHeight w:val="288"/>
          <w:jc w:val="center"/>
        </w:trPr>
        <w:tc>
          <w:tcPr>
            <w:tcW w:w="1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463803003165</w:t>
            </w:r>
          </w:p>
        </w:tc>
        <w:tc>
          <w:tcPr>
            <w:tcW w:w="1507" w:type="pct"/>
            <w:tcBorders>
              <w:top w:val="single" w:sz="4" w:space="0" w:color="auto"/>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 xml:space="preserve">BANCO AGRARIO DE COLOMBIA S.A. </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$14.184.010</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3</w:t>
            </w:r>
          </w:p>
        </w:tc>
      </w:tr>
      <w:tr w:rsidR="00426D65" w:rsidRPr="00485D0A" w:rsidTr="001F08AA">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426D65" w:rsidRPr="00535CFD"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426D65" w:rsidRPr="00AD45EC" w:rsidRDefault="00426D65">
            <w:pPr>
              <w:spacing w:after="0" w:line="240" w:lineRule="auto"/>
              <w:contextualSpacing/>
              <w:rPr>
                <w:rFonts w:ascii="Arial" w:eastAsia="Times New Roman" w:hAnsi="Arial" w:cs="Arial"/>
                <w:color w:val="000000"/>
                <w:sz w:val="16"/>
                <w:szCs w:val="16"/>
                <w:lang w:eastAsia="es-CO"/>
              </w:rPr>
            </w:pPr>
            <w:r w:rsidRPr="00AD45EC">
              <w:rPr>
                <w:rFonts w:ascii="Arial" w:eastAsia="Times New Roman" w:hAnsi="Arial" w:cs="Arial"/>
                <w:color w:val="000000"/>
                <w:sz w:val="16"/>
                <w:szCs w:val="16"/>
                <w:lang w:eastAsia="es-CO"/>
              </w:rPr>
              <w:t>463803003191</w:t>
            </w:r>
          </w:p>
        </w:tc>
        <w:tc>
          <w:tcPr>
            <w:tcW w:w="1507"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6F2DC0">
              <w:rPr>
                <w:rFonts w:ascii="Arial" w:eastAsia="Times New Roman" w:hAnsi="Arial" w:cs="Arial"/>
                <w:color w:val="000000"/>
                <w:sz w:val="16"/>
                <w:szCs w:val="16"/>
                <w:lang w:eastAsia="es-CO"/>
              </w:rPr>
              <w:t xml:space="preserve">BANCO AGRARIO DE COLOMBIA S.A. </w:t>
            </w:r>
          </w:p>
        </w:tc>
        <w:tc>
          <w:tcPr>
            <w:tcW w:w="725"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$129.914.618</w:t>
            </w:r>
          </w:p>
        </w:tc>
        <w:tc>
          <w:tcPr>
            <w:tcW w:w="563"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14</w:t>
            </w:r>
          </w:p>
        </w:tc>
      </w:tr>
      <w:tr w:rsidR="00426D65" w:rsidRPr="00485D0A" w:rsidTr="001F08AA">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463803003203</w:t>
            </w:r>
          </w:p>
        </w:tc>
        <w:tc>
          <w:tcPr>
            <w:tcW w:w="1507"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 xml:space="preserve">BANCO AGRARIO DE COLOMBIA S.A. </w:t>
            </w:r>
          </w:p>
        </w:tc>
        <w:tc>
          <w:tcPr>
            <w:tcW w:w="725"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$189.000</w:t>
            </w:r>
          </w:p>
        </w:tc>
        <w:tc>
          <w:tcPr>
            <w:tcW w:w="563"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3</w:t>
            </w:r>
          </w:p>
        </w:tc>
      </w:tr>
      <w:tr w:rsidR="00426D65" w:rsidRPr="00485D0A" w:rsidTr="001F08AA">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463803003572</w:t>
            </w:r>
          </w:p>
        </w:tc>
        <w:tc>
          <w:tcPr>
            <w:tcW w:w="1507"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 xml:space="preserve">BANCO AGRARIO DE COLOMBIA S.A. </w:t>
            </w:r>
          </w:p>
        </w:tc>
        <w:tc>
          <w:tcPr>
            <w:tcW w:w="725"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$9.692.571</w:t>
            </w:r>
          </w:p>
        </w:tc>
        <w:tc>
          <w:tcPr>
            <w:tcW w:w="563"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10</w:t>
            </w:r>
          </w:p>
        </w:tc>
      </w:tr>
      <w:tr w:rsidR="00426D65" w:rsidRPr="00485D0A" w:rsidTr="001F08AA">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50700000239</w:t>
            </w:r>
          </w:p>
        </w:tc>
        <w:tc>
          <w:tcPr>
            <w:tcW w:w="1507"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BANCOLOMBIA</w:t>
            </w:r>
          </w:p>
        </w:tc>
        <w:tc>
          <w:tcPr>
            <w:tcW w:w="725"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$21.243.164</w:t>
            </w:r>
          </w:p>
        </w:tc>
        <w:tc>
          <w:tcPr>
            <w:tcW w:w="563"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8</w:t>
            </w:r>
          </w:p>
        </w:tc>
      </w:tr>
      <w:tr w:rsidR="00426D65" w:rsidRPr="00485D0A" w:rsidTr="001F08AA">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50700013771</w:t>
            </w:r>
          </w:p>
        </w:tc>
        <w:tc>
          <w:tcPr>
            <w:tcW w:w="1507"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BANCOLOMBIA</w:t>
            </w:r>
          </w:p>
        </w:tc>
        <w:tc>
          <w:tcPr>
            <w:tcW w:w="725"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$202.114.384</w:t>
            </w:r>
          </w:p>
        </w:tc>
        <w:tc>
          <w:tcPr>
            <w:tcW w:w="563"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w:t>
            </w:r>
          </w:p>
        </w:tc>
      </w:tr>
      <w:tr w:rsidR="00426D65" w:rsidRPr="00485D0A" w:rsidTr="001F08AA">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50700017891</w:t>
            </w:r>
          </w:p>
        </w:tc>
        <w:tc>
          <w:tcPr>
            <w:tcW w:w="1507"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BANCOLOMBIA</w:t>
            </w:r>
          </w:p>
        </w:tc>
        <w:tc>
          <w:tcPr>
            <w:tcW w:w="725"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$2.864.406</w:t>
            </w:r>
          </w:p>
        </w:tc>
        <w:tc>
          <w:tcPr>
            <w:tcW w:w="563"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2</w:t>
            </w:r>
          </w:p>
        </w:tc>
      </w:tr>
      <w:tr w:rsidR="00426D65" w:rsidRPr="00485D0A" w:rsidTr="001F08AA">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50781220288</w:t>
            </w:r>
          </w:p>
        </w:tc>
        <w:tc>
          <w:tcPr>
            <w:tcW w:w="1507"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BANCOLOMBIA</w:t>
            </w:r>
          </w:p>
        </w:tc>
        <w:tc>
          <w:tcPr>
            <w:tcW w:w="725"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$2.045.935</w:t>
            </w:r>
          </w:p>
        </w:tc>
        <w:tc>
          <w:tcPr>
            <w:tcW w:w="563"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w:t>
            </w:r>
          </w:p>
        </w:tc>
      </w:tr>
      <w:tr w:rsidR="00426D65" w:rsidRPr="00485D0A" w:rsidTr="001F08AA">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50781221110</w:t>
            </w:r>
          </w:p>
        </w:tc>
        <w:tc>
          <w:tcPr>
            <w:tcW w:w="1507"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BANCOLOMBIA</w:t>
            </w:r>
          </w:p>
        </w:tc>
        <w:tc>
          <w:tcPr>
            <w:tcW w:w="725"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$182.000</w:t>
            </w:r>
          </w:p>
        </w:tc>
        <w:tc>
          <w:tcPr>
            <w:tcW w:w="563"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7</w:t>
            </w:r>
          </w:p>
        </w:tc>
      </w:tr>
      <w:tr w:rsidR="00426D65" w:rsidRPr="00485D0A" w:rsidTr="001F08AA">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50794451246</w:t>
            </w:r>
          </w:p>
        </w:tc>
        <w:tc>
          <w:tcPr>
            <w:tcW w:w="1507"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BANCOLOMBIA</w:t>
            </w:r>
          </w:p>
        </w:tc>
        <w:tc>
          <w:tcPr>
            <w:tcW w:w="725"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$691.218.497</w:t>
            </w:r>
          </w:p>
        </w:tc>
        <w:tc>
          <w:tcPr>
            <w:tcW w:w="563"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70</w:t>
            </w:r>
          </w:p>
        </w:tc>
      </w:tr>
      <w:tr w:rsidR="00426D65" w:rsidRPr="00485D0A" w:rsidTr="001F08AA">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592607071</w:t>
            </w:r>
          </w:p>
        </w:tc>
        <w:tc>
          <w:tcPr>
            <w:tcW w:w="1507"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BANCO DE BOGOTÁ</w:t>
            </w:r>
          </w:p>
        </w:tc>
        <w:tc>
          <w:tcPr>
            <w:tcW w:w="725"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$19.642.985</w:t>
            </w:r>
          </w:p>
        </w:tc>
        <w:tc>
          <w:tcPr>
            <w:tcW w:w="563"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2</w:t>
            </w:r>
          </w:p>
        </w:tc>
      </w:tr>
      <w:tr w:rsidR="00426D65" w:rsidRPr="00485D0A" w:rsidTr="001F08AA">
        <w:trPr>
          <w:trHeight w:val="288"/>
          <w:jc w:val="center"/>
        </w:trPr>
        <w:tc>
          <w:tcPr>
            <w:tcW w:w="1506" w:type="pct"/>
            <w:tcBorders>
              <w:top w:val="nil"/>
              <w:left w:val="single" w:sz="4" w:space="0" w:color="auto"/>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lastRenderedPageBreak/>
              <w:t>MUNICIPIO SANTIAGO DE TOLU</w:t>
            </w:r>
          </w:p>
        </w:tc>
        <w:tc>
          <w:tcPr>
            <w:tcW w:w="699"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63800015107</w:t>
            </w:r>
          </w:p>
        </w:tc>
        <w:tc>
          <w:tcPr>
            <w:tcW w:w="1507"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 xml:space="preserve">BANCO AGRARIO DE COLOMBIA S.A. </w:t>
            </w:r>
          </w:p>
        </w:tc>
        <w:tc>
          <w:tcPr>
            <w:tcW w:w="725"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$43.176.750</w:t>
            </w:r>
          </w:p>
        </w:tc>
        <w:tc>
          <w:tcPr>
            <w:tcW w:w="563" w:type="pct"/>
            <w:tcBorders>
              <w:top w:val="nil"/>
              <w:left w:val="nil"/>
              <w:bottom w:val="single" w:sz="4" w:space="0" w:color="auto"/>
              <w:right w:val="single" w:sz="4" w:space="0" w:color="auto"/>
            </w:tcBorders>
            <w:shd w:val="clear" w:color="auto" w:fill="auto"/>
            <w:vAlign w:val="center"/>
            <w:hideMark/>
          </w:tcPr>
          <w:p w:rsidR="00426D65" w:rsidRPr="00485D0A" w:rsidRDefault="00426D65">
            <w:pPr>
              <w:spacing w:after="0" w:line="240" w:lineRule="auto"/>
              <w:contextualSpacing/>
              <w:jc w:val="right"/>
              <w:rPr>
                <w:rFonts w:ascii="Arial" w:eastAsia="Times New Roman" w:hAnsi="Arial" w:cs="Arial"/>
                <w:color w:val="000000"/>
                <w:sz w:val="16"/>
                <w:szCs w:val="16"/>
                <w:lang w:eastAsia="es-CO"/>
              </w:rPr>
            </w:pPr>
            <w:r w:rsidRPr="00485D0A">
              <w:rPr>
                <w:rFonts w:ascii="Arial" w:eastAsia="Times New Roman" w:hAnsi="Arial" w:cs="Arial"/>
                <w:color w:val="000000"/>
                <w:sz w:val="16"/>
                <w:szCs w:val="16"/>
                <w:lang w:eastAsia="es-CO"/>
              </w:rPr>
              <w:t>19</w:t>
            </w:r>
          </w:p>
        </w:tc>
      </w:tr>
    </w:tbl>
    <w:p w:rsidR="00426D65" w:rsidRPr="00BE36D3" w:rsidRDefault="00426D65">
      <w:pPr>
        <w:spacing w:line="240" w:lineRule="auto"/>
        <w:contextualSpacing/>
        <w:jc w:val="center"/>
        <w:rPr>
          <w:rFonts w:ascii="Arial" w:hAnsi="Arial" w:cs="Arial"/>
          <w:bCs/>
          <w:i/>
          <w:iCs/>
          <w:sz w:val="24"/>
          <w:szCs w:val="24"/>
        </w:rPr>
      </w:pPr>
      <w:r w:rsidRPr="00485D0A">
        <w:rPr>
          <w:rFonts w:ascii="Arial" w:hAnsi="Arial" w:cs="Arial"/>
          <w:b/>
          <w:sz w:val="20"/>
          <w:szCs w:val="20"/>
          <w:lang w:val="es-ES_tradnl"/>
        </w:rPr>
        <w:t xml:space="preserve">Fuente: </w:t>
      </w:r>
      <w:r w:rsidRPr="00485D0A">
        <w:rPr>
          <w:rFonts w:ascii="Arial" w:hAnsi="Arial" w:cs="Arial"/>
          <w:sz w:val="20"/>
          <w:szCs w:val="20"/>
          <w:lang w:val="es-ES_tradnl"/>
        </w:rPr>
        <w:t>Elaboración DAF con información reportada en el Sistema PISIS.</w:t>
      </w:r>
    </w:p>
    <w:p w:rsidR="00426D65" w:rsidRDefault="00426D65">
      <w:pPr>
        <w:spacing w:line="240" w:lineRule="auto"/>
        <w:contextualSpacing/>
        <w:jc w:val="both"/>
        <w:rPr>
          <w:rFonts w:ascii="Arial" w:hAnsi="Arial" w:cs="Arial"/>
          <w:bCs/>
          <w:iCs/>
        </w:rPr>
      </w:pPr>
    </w:p>
    <w:p w:rsidR="00426D65" w:rsidRDefault="00426D65">
      <w:pPr>
        <w:spacing w:line="240" w:lineRule="auto"/>
        <w:contextualSpacing/>
        <w:jc w:val="both"/>
        <w:rPr>
          <w:rFonts w:ascii="Arial" w:hAnsi="Arial" w:cs="Arial"/>
          <w:bCs/>
          <w:iCs/>
        </w:rPr>
      </w:pPr>
      <w:r w:rsidRPr="00485D0A">
        <w:rPr>
          <w:rFonts w:ascii="Arial" w:hAnsi="Arial" w:cs="Arial"/>
          <w:bCs/>
          <w:iCs/>
        </w:rPr>
        <w:t>Respecto a los egresos, se evidencian traslados a doce (12) cuentas diferentes a nombre del Municipio de Santiago de Tolú por un valor de $1.275.806.637</w:t>
      </w:r>
      <w:r>
        <w:rPr>
          <w:rFonts w:ascii="Arial" w:hAnsi="Arial" w:cs="Arial"/>
          <w:bCs/>
          <w:iCs/>
        </w:rPr>
        <w:t xml:space="preserve"> como se evidencia en el </w:t>
      </w:r>
      <w:r w:rsidR="00441C57">
        <w:rPr>
          <w:rFonts w:ascii="Arial" w:hAnsi="Arial" w:cs="Arial"/>
          <w:bCs/>
          <w:iCs/>
        </w:rPr>
        <w:t>C</w:t>
      </w:r>
      <w:r>
        <w:rPr>
          <w:rFonts w:ascii="Arial" w:hAnsi="Arial" w:cs="Arial"/>
          <w:bCs/>
          <w:iCs/>
        </w:rPr>
        <w:t>uadro No. 8</w:t>
      </w:r>
      <w:r w:rsidRPr="00485D0A">
        <w:rPr>
          <w:rFonts w:ascii="Arial" w:hAnsi="Arial" w:cs="Arial"/>
          <w:bCs/>
          <w:iCs/>
        </w:rPr>
        <w:t>, de las cuales, una</w:t>
      </w:r>
      <w:r w:rsidR="00893C8F">
        <w:rPr>
          <w:rFonts w:ascii="Arial" w:hAnsi="Arial" w:cs="Arial"/>
          <w:bCs/>
          <w:iCs/>
        </w:rPr>
        <w:t xml:space="preserve"> cuenta</w:t>
      </w:r>
      <w:r w:rsidRPr="00485D0A">
        <w:rPr>
          <w:rFonts w:ascii="Arial" w:hAnsi="Arial" w:cs="Arial"/>
          <w:bCs/>
          <w:iCs/>
        </w:rPr>
        <w:t xml:space="preserve"> corresponde a la Cuenta Maestra Pagadora de Propósito General del Municipio No. 50794451246. </w:t>
      </w:r>
      <w:r w:rsidR="00893C8F">
        <w:rPr>
          <w:rFonts w:ascii="Arial" w:hAnsi="Arial" w:cs="Arial"/>
          <w:bCs/>
          <w:iCs/>
        </w:rPr>
        <w:t>Los</w:t>
      </w:r>
      <w:r w:rsidRPr="00485D0A">
        <w:rPr>
          <w:rFonts w:ascii="Arial" w:hAnsi="Arial" w:cs="Arial"/>
          <w:bCs/>
          <w:iCs/>
        </w:rPr>
        <w:t xml:space="preserve"> movimientos de las cuentas restantes </w:t>
      </w:r>
      <w:r w:rsidR="00893C8F">
        <w:rPr>
          <w:rFonts w:ascii="Arial" w:hAnsi="Arial" w:cs="Arial"/>
          <w:bCs/>
          <w:iCs/>
        </w:rPr>
        <w:t xml:space="preserve">no </w:t>
      </w:r>
      <w:r>
        <w:rPr>
          <w:rFonts w:ascii="Arial" w:hAnsi="Arial" w:cs="Arial"/>
          <w:bCs/>
          <w:iCs/>
        </w:rPr>
        <w:t xml:space="preserve">se ajustan a las operaciones débito autorizadas desde las </w:t>
      </w:r>
      <w:r w:rsidR="00953EC0">
        <w:rPr>
          <w:rFonts w:ascii="Arial" w:hAnsi="Arial" w:cs="Arial"/>
          <w:bCs/>
          <w:iCs/>
        </w:rPr>
        <w:t>C</w:t>
      </w:r>
      <w:r>
        <w:rPr>
          <w:rFonts w:ascii="Arial" w:hAnsi="Arial" w:cs="Arial"/>
          <w:bCs/>
          <w:iCs/>
        </w:rPr>
        <w:t xml:space="preserve">uentas </w:t>
      </w:r>
      <w:r w:rsidR="00953EC0">
        <w:rPr>
          <w:rFonts w:ascii="Arial" w:hAnsi="Arial" w:cs="Arial"/>
          <w:bCs/>
          <w:iCs/>
        </w:rPr>
        <w:t>M</w:t>
      </w:r>
      <w:r>
        <w:rPr>
          <w:rFonts w:ascii="Arial" w:hAnsi="Arial" w:cs="Arial"/>
          <w:bCs/>
          <w:iCs/>
        </w:rPr>
        <w:t>aestras y</w:t>
      </w:r>
      <w:r w:rsidR="00893C8F">
        <w:rPr>
          <w:rFonts w:ascii="Arial" w:hAnsi="Arial" w:cs="Arial"/>
          <w:bCs/>
          <w:iCs/>
        </w:rPr>
        <w:t>,</w:t>
      </w:r>
      <w:r>
        <w:rPr>
          <w:rFonts w:ascii="Arial" w:hAnsi="Arial" w:cs="Arial"/>
          <w:bCs/>
          <w:iCs/>
        </w:rPr>
        <w:t xml:space="preserve"> si </w:t>
      </w:r>
      <w:r w:rsidRPr="00485D0A">
        <w:rPr>
          <w:rFonts w:ascii="Arial" w:hAnsi="Arial" w:cs="Arial"/>
          <w:bCs/>
          <w:iCs/>
        </w:rPr>
        <w:t xml:space="preserve">se trata de traslados por conceptos de impuestos municipales y/o traslados para pago de impuestos </w:t>
      </w:r>
      <w:r>
        <w:rPr>
          <w:rFonts w:ascii="Arial" w:hAnsi="Arial" w:cs="Arial"/>
          <w:bCs/>
          <w:iCs/>
        </w:rPr>
        <w:t>n</w:t>
      </w:r>
      <w:r w:rsidRPr="00485D0A">
        <w:rPr>
          <w:rFonts w:ascii="Arial" w:hAnsi="Arial" w:cs="Arial"/>
          <w:bCs/>
          <w:iCs/>
        </w:rPr>
        <w:t>acionales, estos deberían realizarse a través de la Cuenta Maestra Pagadora conforme lo dispuesto en el literal del artículo 7 de la Resolución 0660 de 2018.</w:t>
      </w:r>
    </w:p>
    <w:p w:rsidR="00426D65" w:rsidRDefault="00426D65">
      <w:pPr>
        <w:spacing w:line="240" w:lineRule="auto"/>
        <w:contextualSpacing/>
        <w:jc w:val="both"/>
        <w:rPr>
          <w:rFonts w:ascii="Arial" w:hAnsi="Arial" w:cs="Arial"/>
          <w:bCs/>
          <w:iCs/>
        </w:rPr>
      </w:pPr>
    </w:p>
    <w:p w:rsidR="00426D65" w:rsidRDefault="00426D65">
      <w:pPr>
        <w:spacing w:line="240" w:lineRule="auto"/>
        <w:contextualSpacing/>
        <w:jc w:val="both"/>
        <w:rPr>
          <w:rFonts w:ascii="Arial" w:hAnsi="Arial" w:cs="Arial"/>
          <w:bCs/>
          <w:iCs/>
        </w:rPr>
      </w:pPr>
      <w:r w:rsidRPr="00485D0A">
        <w:rPr>
          <w:rFonts w:ascii="Arial" w:hAnsi="Arial" w:cs="Arial"/>
          <w:bCs/>
          <w:iCs/>
        </w:rPr>
        <w:t>Esta situación refleja</w:t>
      </w:r>
      <w:r>
        <w:rPr>
          <w:rFonts w:ascii="Arial" w:hAnsi="Arial" w:cs="Arial"/>
          <w:bCs/>
          <w:iCs/>
        </w:rPr>
        <w:t xml:space="preserve"> que</w:t>
      </w:r>
      <w:r w:rsidRPr="00DA5EBC">
        <w:rPr>
          <w:rFonts w:ascii="Arial" w:hAnsi="Arial" w:cs="Arial"/>
          <w:bCs/>
          <w:iCs/>
        </w:rPr>
        <w:t xml:space="preserve"> las cuentas inscritas como beneficiaras no permiten identificar de manera clara la función de cada una de ellas y a su vez, tampoco</w:t>
      </w:r>
      <w:r>
        <w:rPr>
          <w:rFonts w:ascii="Arial" w:hAnsi="Arial" w:cs="Arial"/>
          <w:bCs/>
          <w:iCs/>
        </w:rPr>
        <w:t xml:space="preserve"> </w:t>
      </w:r>
      <w:r w:rsidRPr="00DA5EBC">
        <w:rPr>
          <w:rFonts w:ascii="Arial" w:hAnsi="Arial" w:cs="Arial"/>
          <w:bCs/>
          <w:iCs/>
        </w:rPr>
        <w:t>permiten realizar un adecuado seguimiento de la trazabilidad de los recursos de Propósito General.</w:t>
      </w:r>
      <w:r>
        <w:rPr>
          <w:rFonts w:ascii="Arial" w:hAnsi="Arial" w:cs="Arial"/>
          <w:bCs/>
          <w:iCs/>
        </w:rPr>
        <w:t xml:space="preserve"> </w:t>
      </w:r>
      <w:r w:rsidRPr="00DA5EBC">
        <w:rPr>
          <w:rFonts w:ascii="Arial" w:hAnsi="Arial" w:cs="Arial"/>
          <w:bCs/>
          <w:iCs/>
        </w:rPr>
        <w:t>La situación descrita también refleja un inadecuado manejo de los recursos de Propósito General, ya que no es posible realizar el adecuado control de estos</w:t>
      </w:r>
      <w:r>
        <w:rPr>
          <w:rFonts w:ascii="Arial" w:hAnsi="Arial" w:cs="Arial"/>
          <w:bCs/>
          <w:iCs/>
        </w:rPr>
        <w:t xml:space="preserve"> e </w:t>
      </w:r>
      <w:r w:rsidRPr="00DA5EBC">
        <w:rPr>
          <w:rFonts w:ascii="Arial" w:hAnsi="Arial" w:cs="Arial"/>
          <w:bCs/>
          <w:iCs/>
        </w:rPr>
        <w:t>identificar los beneficiarios finales de los pagos</w:t>
      </w:r>
      <w:r>
        <w:rPr>
          <w:rFonts w:ascii="Arial" w:hAnsi="Arial" w:cs="Arial"/>
          <w:bCs/>
          <w:iCs/>
        </w:rPr>
        <w:t>.</w:t>
      </w:r>
      <w:r w:rsidR="00893C8F">
        <w:rPr>
          <w:rFonts w:ascii="Arial" w:hAnsi="Arial" w:cs="Arial"/>
          <w:bCs/>
          <w:iCs/>
        </w:rPr>
        <w:t xml:space="preserve"> Además, el</w:t>
      </w:r>
      <w:r>
        <w:rPr>
          <w:rFonts w:ascii="Arial" w:hAnsi="Arial" w:cs="Arial"/>
          <w:bCs/>
          <w:iCs/>
        </w:rPr>
        <w:t xml:space="preserve"> Municipio no aplica a estas cuentas una nomenclatura que permita identificar claramente el objeto de gasto que soporta la transferencia a dichas cuentas.</w:t>
      </w:r>
    </w:p>
    <w:p w:rsidR="00426D65" w:rsidRPr="00485D0A" w:rsidRDefault="00426D65">
      <w:pPr>
        <w:spacing w:after="0" w:line="240" w:lineRule="auto"/>
        <w:contextualSpacing/>
        <w:rPr>
          <w:rFonts w:ascii="Arial" w:hAnsi="Arial" w:cs="Arial"/>
          <w:b/>
          <w:bCs/>
          <w:iCs/>
          <w:szCs w:val="28"/>
        </w:rPr>
      </w:pPr>
    </w:p>
    <w:p w:rsidR="00426D65" w:rsidRPr="00485D0A" w:rsidRDefault="00426D65">
      <w:pPr>
        <w:spacing w:line="240" w:lineRule="auto"/>
        <w:contextualSpacing/>
        <w:jc w:val="both"/>
        <w:rPr>
          <w:rFonts w:ascii="Arial" w:hAnsi="Arial" w:cs="Arial"/>
          <w:bCs/>
          <w:iCs/>
        </w:rPr>
      </w:pPr>
      <w:r w:rsidRPr="00485D0A">
        <w:rPr>
          <w:rFonts w:ascii="Arial" w:hAnsi="Arial" w:cs="Arial"/>
          <w:bCs/>
          <w:iCs/>
        </w:rPr>
        <w:t>De igual forma se puede evidenciar que no se identifican correctamente los Número de Identificación Tributaria - NIT de los beneficiarios, puesto que existen varias razones sociales para un mismo NIT como es el caso de: NIT No. 800219940 con razón social “</w:t>
      </w:r>
      <w:r w:rsidRPr="00485D0A">
        <w:rPr>
          <w:rFonts w:ascii="Arial" w:hAnsi="Arial" w:cs="Arial"/>
          <w:bCs/>
          <w:i/>
        </w:rPr>
        <w:t>CORPECAT</w:t>
      </w:r>
      <w:r w:rsidRPr="00485D0A">
        <w:rPr>
          <w:rFonts w:ascii="Arial" w:hAnsi="Arial" w:cs="Arial"/>
          <w:bCs/>
          <w:iCs/>
        </w:rPr>
        <w:t>” y “</w:t>
      </w:r>
      <w:r w:rsidRPr="00485D0A">
        <w:rPr>
          <w:rFonts w:ascii="Arial" w:hAnsi="Arial" w:cs="Arial"/>
          <w:bCs/>
          <w:i/>
        </w:rPr>
        <w:t>Corporación Proyectos Estudios Consultoría y Asistencia Técnica CORPECAT</w:t>
      </w:r>
      <w:r w:rsidRPr="00485D0A">
        <w:rPr>
          <w:rFonts w:ascii="Arial" w:hAnsi="Arial" w:cs="Arial"/>
          <w:bCs/>
          <w:iCs/>
        </w:rPr>
        <w:t>,” NIT No. 892200839 con razón social “Municipio de Tolú” y “</w:t>
      </w:r>
      <w:r w:rsidRPr="00485D0A">
        <w:rPr>
          <w:rFonts w:ascii="Arial" w:hAnsi="Arial" w:cs="Arial"/>
          <w:bCs/>
          <w:i/>
        </w:rPr>
        <w:t>Municipio Santiago de Tolú</w:t>
      </w:r>
      <w:r w:rsidRPr="00485D0A">
        <w:rPr>
          <w:rFonts w:ascii="Arial" w:hAnsi="Arial" w:cs="Arial"/>
          <w:bCs/>
          <w:iCs/>
        </w:rPr>
        <w:t>”, NIT No 900162522 con razón social “</w:t>
      </w:r>
      <w:r w:rsidRPr="00485D0A">
        <w:rPr>
          <w:rFonts w:ascii="Arial" w:hAnsi="Arial" w:cs="Arial"/>
          <w:bCs/>
          <w:i/>
        </w:rPr>
        <w:t>Sindicato de Trabajadores Oficiales y Empleados Públicos al Servicio del Municipio de Santiago de To</w:t>
      </w:r>
      <w:r w:rsidRPr="00485D0A">
        <w:rPr>
          <w:rFonts w:ascii="Arial" w:hAnsi="Arial" w:cs="Arial"/>
          <w:bCs/>
          <w:iCs/>
        </w:rPr>
        <w:t>”, “</w:t>
      </w:r>
      <w:r w:rsidRPr="00485D0A">
        <w:rPr>
          <w:rFonts w:ascii="Arial" w:hAnsi="Arial" w:cs="Arial"/>
          <w:bCs/>
          <w:i/>
        </w:rPr>
        <w:t>Sindicato Empleados Públicos</w:t>
      </w:r>
      <w:r w:rsidRPr="00485D0A">
        <w:rPr>
          <w:rFonts w:ascii="Arial" w:hAnsi="Arial" w:cs="Arial"/>
          <w:bCs/>
          <w:iCs/>
        </w:rPr>
        <w:t>”, “</w:t>
      </w:r>
      <w:r w:rsidRPr="00485D0A">
        <w:rPr>
          <w:rFonts w:ascii="Arial" w:hAnsi="Arial" w:cs="Arial"/>
          <w:bCs/>
          <w:i/>
        </w:rPr>
        <w:t>Aguas del Morrosquillo S A E S P</w:t>
      </w:r>
      <w:r w:rsidRPr="00485D0A">
        <w:rPr>
          <w:rFonts w:ascii="Arial" w:hAnsi="Arial" w:cs="Arial"/>
          <w:bCs/>
          <w:iCs/>
        </w:rPr>
        <w:t>” y “</w:t>
      </w:r>
      <w:r w:rsidRPr="00485D0A">
        <w:rPr>
          <w:rFonts w:ascii="Arial" w:hAnsi="Arial" w:cs="Arial"/>
          <w:bCs/>
          <w:i/>
        </w:rPr>
        <w:t>Aguas del Morrosquillo SA</w:t>
      </w:r>
      <w:r w:rsidRPr="00485D0A">
        <w:rPr>
          <w:rFonts w:ascii="Arial" w:hAnsi="Arial" w:cs="Arial"/>
          <w:bCs/>
          <w:iCs/>
        </w:rPr>
        <w:t>”, NIT No. 900688066 con razón social “</w:t>
      </w:r>
      <w:r w:rsidRPr="00F4471B">
        <w:rPr>
          <w:rFonts w:ascii="Arial" w:hAnsi="Arial" w:cs="Arial"/>
          <w:bCs/>
          <w:i/>
        </w:rPr>
        <w:t>Financiera JURISCOOP SA</w:t>
      </w:r>
      <w:r w:rsidRPr="00485D0A">
        <w:rPr>
          <w:rFonts w:ascii="Arial" w:hAnsi="Arial" w:cs="Arial"/>
          <w:bCs/>
          <w:iCs/>
        </w:rPr>
        <w:t>” y “</w:t>
      </w:r>
      <w:r w:rsidRPr="00485D0A">
        <w:rPr>
          <w:rFonts w:ascii="Arial" w:hAnsi="Arial" w:cs="Arial"/>
          <w:bCs/>
          <w:i/>
        </w:rPr>
        <w:t>Financiera JURISCOOP SA Compañía de Financiamiento</w:t>
      </w:r>
      <w:r w:rsidRPr="00485D0A">
        <w:rPr>
          <w:rFonts w:ascii="Arial" w:hAnsi="Arial" w:cs="Arial"/>
          <w:bCs/>
          <w:iCs/>
        </w:rPr>
        <w:t>” y el NIT No. 900815285 con razón social “</w:t>
      </w:r>
      <w:r w:rsidRPr="00485D0A">
        <w:rPr>
          <w:rFonts w:ascii="Arial" w:hAnsi="Arial" w:cs="Arial"/>
          <w:bCs/>
          <w:i/>
        </w:rPr>
        <w:t>Inversiones del Caribe COOCAR</w:t>
      </w:r>
      <w:r w:rsidRPr="00485D0A">
        <w:rPr>
          <w:rFonts w:ascii="Arial" w:hAnsi="Arial" w:cs="Arial"/>
          <w:bCs/>
          <w:iCs/>
        </w:rPr>
        <w:t>” y “</w:t>
      </w:r>
      <w:r w:rsidRPr="00485D0A">
        <w:rPr>
          <w:rFonts w:ascii="Arial" w:hAnsi="Arial" w:cs="Arial"/>
          <w:bCs/>
          <w:i/>
        </w:rPr>
        <w:t>Inversiones del Caribe COOCARIBE S A S</w:t>
      </w:r>
      <w:r w:rsidRPr="00485D0A">
        <w:rPr>
          <w:rFonts w:ascii="Arial" w:hAnsi="Arial" w:cs="Arial"/>
          <w:bCs/>
          <w:iCs/>
        </w:rPr>
        <w:t>”. Esto representa un riesgo grave y deriva en el incumplimiento del artículo 9 de la Resolución No. 4835 de 2015 sobre la inscripción adecuada de los beneficiarios para los pagos desde las Cuentas Maestras.</w:t>
      </w:r>
    </w:p>
    <w:p w:rsidR="00426D65" w:rsidRPr="00485D0A" w:rsidRDefault="00426D65">
      <w:pPr>
        <w:spacing w:line="240" w:lineRule="auto"/>
        <w:contextualSpacing/>
        <w:jc w:val="both"/>
        <w:rPr>
          <w:rFonts w:ascii="Arial" w:hAnsi="Arial" w:cs="Arial"/>
          <w:bCs/>
          <w:iCs/>
        </w:rPr>
      </w:pPr>
    </w:p>
    <w:p w:rsidR="00426D65" w:rsidRDefault="00426D65">
      <w:pPr>
        <w:spacing w:line="240" w:lineRule="auto"/>
        <w:contextualSpacing/>
        <w:jc w:val="both"/>
        <w:rPr>
          <w:rFonts w:ascii="Arial" w:hAnsi="Arial" w:cs="Arial"/>
          <w:bCs/>
          <w:iCs/>
        </w:rPr>
      </w:pPr>
      <w:r w:rsidRPr="00485D0A">
        <w:rPr>
          <w:rFonts w:ascii="Arial" w:hAnsi="Arial" w:cs="Arial"/>
          <w:bCs/>
          <w:iCs/>
        </w:rPr>
        <w:t>En cuanto a los movimientos de la Cuenta Maestra Pagadora, se evidencian pagos a través del portal bancario a favor de “</w:t>
      </w:r>
      <w:r w:rsidRPr="00485D0A">
        <w:rPr>
          <w:rFonts w:ascii="Arial" w:hAnsi="Arial" w:cs="Arial"/>
          <w:bCs/>
          <w:i/>
        </w:rPr>
        <w:t>ASOPAGOS</w:t>
      </w:r>
      <w:r w:rsidRPr="00485D0A">
        <w:rPr>
          <w:rFonts w:ascii="Arial" w:hAnsi="Arial" w:cs="Arial"/>
          <w:bCs/>
          <w:iCs/>
        </w:rPr>
        <w:t xml:space="preserve">”, lo cual incumple el artículo 2 de la Resolución No. 0660 de 2018 que indica que los pagos desde las Cuentas Maestra Pagadoras solo pueden efectuarse por medio del Botón de Pago Electrónico Seguro en Línea – PSE; </w:t>
      </w:r>
      <w:r>
        <w:rPr>
          <w:rFonts w:ascii="Arial" w:hAnsi="Arial" w:cs="Arial"/>
          <w:bCs/>
          <w:iCs/>
        </w:rPr>
        <w:t xml:space="preserve">al respecto, </w:t>
      </w:r>
      <w:r w:rsidRPr="00485D0A">
        <w:rPr>
          <w:rFonts w:ascii="Arial" w:hAnsi="Arial" w:cs="Arial"/>
          <w:bCs/>
          <w:iCs/>
        </w:rPr>
        <w:t>Bancolombia informó a este Ministerio en el alcance a la comunicación del 26 de febrero de 2021 que los pagos realizados a través del portal “</w:t>
      </w:r>
      <w:r w:rsidRPr="00F4471B">
        <w:rPr>
          <w:rFonts w:ascii="Arial" w:hAnsi="Arial" w:cs="Arial"/>
          <w:bCs/>
          <w:i/>
        </w:rPr>
        <w:t>ASOPAGOS</w:t>
      </w:r>
      <w:r w:rsidRPr="00485D0A">
        <w:rPr>
          <w:rFonts w:ascii="Arial" w:hAnsi="Arial" w:cs="Arial"/>
          <w:bCs/>
          <w:iCs/>
        </w:rPr>
        <w:t>” no eran pagos realizados por el portal PSE.</w:t>
      </w:r>
      <w:r w:rsidR="00893C8F">
        <w:rPr>
          <w:rFonts w:ascii="Arial" w:hAnsi="Arial" w:cs="Arial"/>
          <w:bCs/>
          <w:iCs/>
        </w:rPr>
        <w:t xml:space="preserve"> Por lo tanto, dichos movimientos desconocen la normatividad </w:t>
      </w:r>
      <w:r w:rsidR="00893C8F" w:rsidRPr="00893C8F">
        <w:rPr>
          <w:rFonts w:ascii="Arial" w:hAnsi="Arial" w:cs="Arial"/>
          <w:bCs/>
          <w:iCs/>
        </w:rPr>
        <w:t>vigente.</w:t>
      </w:r>
    </w:p>
    <w:p w:rsidR="001933D5" w:rsidRPr="00893C8F" w:rsidRDefault="001933D5" w:rsidP="00F4471B">
      <w:pPr>
        <w:spacing w:line="240" w:lineRule="auto"/>
        <w:contextualSpacing/>
        <w:jc w:val="both"/>
        <w:rPr>
          <w:rFonts w:ascii="Arial" w:hAnsi="Arial" w:cs="Arial"/>
          <w:bCs/>
          <w:iCs/>
        </w:rPr>
      </w:pPr>
    </w:p>
    <w:p w:rsidR="00893C8F" w:rsidRDefault="00893C8F">
      <w:pPr>
        <w:spacing w:line="240" w:lineRule="auto"/>
        <w:contextualSpacing/>
        <w:jc w:val="both"/>
        <w:rPr>
          <w:rFonts w:ascii="Arial" w:hAnsi="Arial" w:cs="Arial"/>
        </w:rPr>
      </w:pPr>
      <w:r w:rsidRPr="00893C8F">
        <w:rPr>
          <w:rFonts w:ascii="Arial" w:hAnsi="Arial" w:cs="Arial"/>
          <w:b/>
          <w:bCs/>
        </w:rPr>
        <w:t xml:space="preserve">Evidencia: </w:t>
      </w:r>
      <w:r w:rsidRPr="00893C8F">
        <w:rPr>
          <w:rFonts w:ascii="Arial" w:hAnsi="Arial" w:cs="Arial"/>
        </w:rPr>
        <w:t> los documentos obran en el expediente digital en el Sistema Electrónico Documental SIED del Ministerio de Hacienda y Crédito Público No. 6/2021/D028-PREDI el siguiente material probatorio:</w:t>
      </w:r>
    </w:p>
    <w:p w:rsidR="00F4471B" w:rsidRDefault="00F4471B">
      <w:pPr>
        <w:spacing w:line="240" w:lineRule="auto"/>
        <w:contextualSpacing/>
        <w:jc w:val="both"/>
        <w:rPr>
          <w:rFonts w:ascii="Arial" w:hAnsi="Arial" w:cs="Arial"/>
        </w:rPr>
      </w:pPr>
    </w:p>
    <w:p w:rsidR="00150346" w:rsidRPr="00150346" w:rsidRDefault="00893C8F">
      <w:pPr>
        <w:pStyle w:val="Prrafodelista"/>
        <w:numPr>
          <w:ilvl w:val="0"/>
          <w:numId w:val="29"/>
        </w:numPr>
        <w:spacing w:line="240" w:lineRule="auto"/>
        <w:jc w:val="both"/>
        <w:rPr>
          <w:rFonts w:ascii="Arial" w:hAnsi="Arial" w:cs="Arial"/>
          <w:b/>
          <w:bCs/>
        </w:rPr>
      </w:pPr>
      <w:r w:rsidRPr="00150346">
        <w:rPr>
          <w:rFonts w:ascii="Arial" w:hAnsi="Arial" w:cs="Arial"/>
        </w:rPr>
        <w:t>Consolidado_CM_PG_Santiago de Tolú_Sucre_Ene_21. Participación de Propósito General. Municipio de Santiago de Tolú – Sucre. Serie “</w:t>
      </w:r>
      <w:r w:rsidR="00150346" w:rsidRPr="00F4471B">
        <w:rPr>
          <w:rFonts w:ascii="Arial" w:hAnsi="Arial" w:cs="Arial"/>
          <w:i/>
          <w:iCs/>
        </w:rPr>
        <w:t>Informes Cuentas Maestras</w:t>
      </w:r>
      <w:r w:rsidRPr="00150346">
        <w:rPr>
          <w:rFonts w:ascii="Arial" w:hAnsi="Arial" w:cs="Arial"/>
        </w:rPr>
        <w:t xml:space="preserve">”. Expediente digital No. 6/2021/D028-PREDI. </w:t>
      </w:r>
      <w:hyperlink r:id="rId63" w:history="1">
        <w:r w:rsidR="00B53784" w:rsidRPr="008756E8">
          <w:rPr>
            <w:rStyle w:val="Hipervnculo"/>
            <w:rFonts w:ascii="Arial" w:hAnsi="Arial" w:cs="Arial"/>
          </w:rPr>
          <w:t>http://portalgestiondoc.minhacienda.red/PortalEmpleado/viewer.jsp?config=JgSCQmxNmnyYYzBkRxHn6cJzwkbBlCEDwkWC3qYFn8waR3uODaXnK5bRFVMtJFT2jK2zA5giavxMBvVy8lA20DQO1J9ig+nqyzMElSP7KSQJN6io9vLLMAbJ9bNEkwkrimwoSq4UUS58fcGlNxnhjCrSe4/ACieB8jVXWF1zwJcPIMtc3C1It39cJIQLsrT9&amp;guid=4486575917a39c4b127-17cb&amp;idrepository=879</w:t>
        </w:r>
      </w:hyperlink>
      <w:r w:rsidR="00B53784">
        <w:rPr>
          <w:rFonts w:ascii="Arial" w:hAnsi="Arial" w:cs="Arial"/>
        </w:rPr>
        <w:t xml:space="preserve"> </w:t>
      </w:r>
    </w:p>
    <w:p w:rsidR="001933D5" w:rsidRDefault="001933D5">
      <w:pPr>
        <w:spacing w:line="240" w:lineRule="auto"/>
        <w:contextualSpacing/>
        <w:jc w:val="both"/>
        <w:rPr>
          <w:rFonts w:ascii="Arial" w:hAnsi="Arial" w:cs="Arial"/>
          <w:b/>
          <w:bCs/>
        </w:rPr>
      </w:pPr>
    </w:p>
    <w:p w:rsidR="00ED4989" w:rsidRDefault="00ED4989">
      <w:pPr>
        <w:spacing w:line="240" w:lineRule="auto"/>
        <w:contextualSpacing/>
        <w:jc w:val="both"/>
        <w:rPr>
          <w:rFonts w:ascii="Arial" w:hAnsi="Arial" w:cs="Arial"/>
          <w:b/>
          <w:bCs/>
        </w:rPr>
      </w:pPr>
      <w:r w:rsidRPr="00150346">
        <w:rPr>
          <w:rFonts w:ascii="Arial" w:hAnsi="Arial" w:cs="Arial"/>
          <w:b/>
          <w:bCs/>
        </w:rPr>
        <w:t xml:space="preserve">EVENTO DE RIESGO 9.9 </w:t>
      </w:r>
      <w:r w:rsidR="001933D5">
        <w:rPr>
          <w:rFonts w:ascii="Arial" w:hAnsi="Arial" w:cs="Arial"/>
          <w:b/>
          <w:bCs/>
        </w:rPr>
        <w:t>“</w:t>
      </w:r>
      <w:r w:rsidRPr="00F4471B">
        <w:rPr>
          <w:rFonts w:ascii="Arial" w:hAnsi="Arial" w:cs="Arial"/>
          <w:b/>
          <w:bCs/>
          <w:i/>
          <w:iCs/>
        </w:rPr>
        <w:t>No disponer de interventores o supervisores de contratos y convenios y/o de un proceso de evaluación de informes de los interventores y supervisores</w:t>
      </w:r>
      <w:r w:rsidR="001933D5">
        <w:rPr>
          <w:rFonts w:ascii="Arial" w:hAnsi="Arial" w:cs="Arial"/>
          <w:b/>
          <w:bCs/>
        </w:rPr>
        <w:t>”</w:t>
      </w:r>
      <w:r w:rsidRPr="00150346">
        <w:rPr>
          <w:rFonts w:ascii="Arial" w:hAnsi="Arial" w:cs="Arial"/>
          <w:b/>
          <w:bCs/>
        </w:rPr>
        <w:t>.</w:t>
      </w:r>
    </w:p>
    <w:p w:rsidR="001933D5" w:rsidRPr="00150346" w:rsidRDefault="001933D5" w:rsidP="00F4471B">
      <w:pPr>
        <w:spacing w:line="240" w:lineRule="auto"/>
        <w:contextualSpacing/>
        <w:jc w:val="both"/>
        <w:rPr>
          <w:rFonts w:ascii="Arial" w:hAnsi="Arial" w:cs="Arial"/>
          <w:b/>
          <w:bCs/>
        </w:rPr>
      </w:pPr>
    </w:p>
    <w:p w:rsidR="007C6215" w:rsidRPr="007C6215" w:rsidRDefault="007C6215">
      <w:pPr>
        <w:pStyle w:val="Prrafodelista"/>
        <w:numPr>
          <w:ilvl w:val="0"/>
          <w:numId w:val="29"/>
        </w:numPr>
        <w:spacing w:line="240" w:lineRule="auto"/>
        <w:jc w:val="both"/>
        <w:rPr>
          <w:rFonts w:ascii="Arial" w:eastAsia="Arial Narrow" w:hAnsi="Arial" w:cs="Arial"/>
          <w:b/>
          <w:bCs/>
          <w:i/>
          <w:iCs/>
        </w:rPr>
      </w:pPr>
      <w:r w:rsidRPr="007C6215">
        <w:rPr>
          <w:rFonts w:ascii="Arial" w:eastAsia="Arial Narrow" w:hAnsi="Arial" w:cs="Arial"/>
          <w:b/>
          <w:bCs/>
        </w:rPr>
        <w:t>Deficiencias en el seguimiento y supervisión al cumplimiento del objeto contractual (etapa poscontractual).</w:t>
      </w:r>
    </w:p>
    <w:p w:rsidR="001933D5" w:rsidRDefault="001933D5">
      <w:pPr>
        <w:spacing w:line="240" w:lineRule="auto"/>
        <w:contextualSpacing/>
        <w:jc w:val="both"/>
        <w:rPr>
          <w:rFonts w:ascii="Arial" w:eastAsia="Arial Narrow" w:hAnsi="Arial" w:cs="Arial"/>
        </w:rPr>
      </w:pPr>
    </w:p>
    <w:p w:rsidR="007C6215" w:rsidRDefault="007C6215">
      <w:pPr>
        <w:spacing w:line="240" w:lineRule="auto"/>
        <w:contextualSpacing/>
        <w:jc w:val="both"/>
        <w:rPr>
          <w:rFonts w:ascii="Arial" w:eastAsia="Arial Narrow" w:hAnsi="Arial" w:cs="Arial"/>
        </w:rPr>
      </w:pPr>
      <w:r w:rsidRPr="007C6215">
        <w:rPr>
          <w:rFonts w:ascii="Arial" w:eastAsia="Arial Narrow" w:hAnsi="Arial" w:cs="Arial"/>
        </w:rPr>
        <w:t>C</w:t>
      </w:r>
      <w:r>
        <w:rPr>
          <w:rFonts w:ascii="Arial" w:eastAsia="Arial Narrow" w:hAnsi="Arial" w:cs="Arial"/>
        </w:rPr>
        <w:t>on</w:t>
      </w:r>
      <w:r w:rsidRPr="007C6215">
        <w:rPr>
          <w:rFonts w:ascii="Arial" w:eastAsia="Arial Narrow" w:hAnsi="Arial" w:cs="Arial"/>
        </w:rPr>
        <w:t xml:space="preserve"> el fin de garantizar la vigilancia y control de los recursos públicos, los contratos deben tener un supervisor o interventor que debe cumplir con unas funciones específicas en relación con la inspección y seguimiento desde los aspectos técnicos, contables, jurídicos, administrativos, fiscales y financieros del contrato, en concordancia del artículo 83 de la Ley 1474 de 2011.</w:t>
      </w:r>
      <w:r w:rsidR="003C7528">
        <w:rPr>
          <w:rFonts w:ascii="Arial" w:eastAsia="Arial Narrow" w:hAnsi="Arial" w:cs="Arial"/>
        </w:rPr>
        <w:t xml:space="preserve"> Adicionalmente, el art</w:t>
      </w:r>
      <w:r w:rsidR="008C2A4C">
        <w:rPr>
          <w:rFonts w:ascii="Arial" w:eastAsia="Arial Narrow" w:hAnsi="Arial" w:cs="Arial"/>
        </w:rPr>
        <w:t>í</w:t>
      </w:r>
      <w:r w:rsidR="003C7528">
        <w:rPr>
          <w:rFonts w:ascii="Arial" w:eastAsia="Arial Narrow" w:hAnsi="Arial" w:cs="Arial"/>
        </w:rPr>
        <w:t>culo 84 de la mencionada Ley determina las facultades y deberes de los supervisores e interventores de los contratos:</w:t>
      </w:r>
    </w:p>
    <w:p w:rsidR="001933D5" w:rsidRDefault="001933D5" w:rsidP="00F4471B">
      <w:pPr>
        <w:spacing w:line="240" w:lineRule="auto"/>
        <w:contextualSpacing/>
        <w:jc w:val="both"/>
        <w:rPr>
          <w:rFonts w:ascii="Arial" w:eastAsia="Arial Narrow" w:hAnsi="Arial" w:cs="Arial"/>
        </w:rPr>
      </w:pPr>
    </w:p>
    <w:p w:rsidR="003C7528" w:rsidRDefault="003C7528">
      <w:pPr>
        <w:spacing w:line="240" w:lineRule="auto"/>
        <w:ind w:left="708"/>
        <w:contextualSpacing/>
        <w:jc w:val="both"/>
        <w:rPr>
          <w:rFonts w:ascii="Arial" w:eastAsia="Arial Narrow" w:hAnsi="Arial" w:cs="Arial"/>
          <w:i/>
          <w:iCs/>
          <w:sz w:val="18"/>
          <w:szCs w:val="18"/>
        </w:rPr>
      </w:pPr>
      <w:r w:rsidRPr="00654B96">
        <w:rPr>
          <w:rFonts w:ascii="Arial" w:eastAsia="Arial Narrow" w:hAnsi="Arial" w:cs="Arial"/>
          <w:i/>
          <w:iCs/>
          <w:sz w:val="18"/>
          <w:szCs w:val="18"/>
        </w:rPr>
        <w:t>La supervisión e interventoría contractual implica el seguimiento al ejercicio del cumplimiento obligacional por la entidad contratante sobre las obligaciones a cargo del contratista.</w:t>
      </w:r>
    </w:p>
    <w:p w:rsidR="001933D5" w:rsidRPr="00654B96" w:rsidRDefault="001933D5" w:rsidP="00F4471B">
      <w:pPr>
        <w:spacing w:line="240" w:lineRule="auto"/>
        <w:ind w:left="708"/>
        <w:contextualSpacing/>
        <w:jc w:val="both"/>
        <w:rPr>
          <w:rFonts w:ascii="Arial" w:eastAsia="Arial Narrow" w:hAnsi="Arial" w:cs="Arial"/>
          <w:i/>
          <w:iCs/>
          <w:sz w:val="18"/>
          <w:szCs w:val="18"/>
        </w:rPr>
      </w:pPr>
    </w:p>
    <w:p w:rsidR="003C7528" w:rsidRDefault="003C7528">
      <w:pPr>
        <w:spacing w:line="240" w:lineRule="auto"/>
        <w:ind w:left="708"/>
        <w:contextualSpacing/>
        <w:jc w:val="both"/>
        <w:rPr>
          <w:rFonts w:ascii="Arial" w:eastAsia="Arial Narrow" w:hAnsi="Arial" w:cs="Arial"/>
          <w:i/>
          <w:iCs/>
          <w:sz w:val="18"/>
          <w:szCs w:val="18"/>
        </w:rPr>
      </w:pPr>
      <w:r w:rsidRPr="00654B96">
        <w:rPr>
          <w:rFonts w:ascii="Arial" w:eastAsia="Arial Narrow" w:hAnsi="Arial" w:cs="Arial"/>
          <w:i/>
          <w:iCs/>
          <w:sz w:val="18"/>
          <w:szCs w:val="18"/>
        </w:rPr>
        <w:t>Los interventores y supervisores están facultados para solicitar informes, aclaraciones y explicaciones sobre el desarrollo de la ejecución contractual, y serán responsables por mantener informada a la entidad contratante de los hechos o circunstancias que puedan constituir actos de corrupción tipificados como conductas punibles, o que puedan poner o pongan en riesgo el cumplimiento del contrato, o cuando tal incumplimiento se presente.</w:t>
      </w:r>
    </w:p>
    <w:p w:rsidR="001933D5" w:rsidRPr="00654B96" w:rsidRDefault="001933D5" w:rsidP="00F4471B">
      <w:pPr>
        <w:spacing w:line="240" w:lineRule="auto"/>
        <w:ind w:left="708"/>
        <w:contextualSpacing/>
        <w:jc w:val="both"/>
        <w:rPr>
          <w:rFonts w:ascii="Arial" w:eastAsia="Arial Narrow" w:hAnsi="Arial" w:cs="Arial"/>
          <w:i/>
          <w:iCs/>
          <w:sz w:val="18"/>
          <w:szCs w:val="18"/>
        </w:rPr>
      </w:pPr>
    </w:p>
    <w:p w:rsidR="007C6215" w:rsidRPr="00654B96" w:rsidRDefault="007C6215" w:rsidP="00F4471B">
      <w:pPr>
        <w:spacing w:line="240" w:lineRule="auto"/>
        <w:ind w:left="708"/>
        <w:contextualSpacing/>
        <w:jc w:val="both"/>
        <w:rPr>
          <w:rFonts w:ascii="Arial" w:eastAsia="Arial Narrow" w:hAnsi="Arial" w:cs="Arial"/>
          <w:i/>
          <w:iCs/>
          <w:sz w:val="18"/>
          <w:szCs w:val="18"/>
        </w:rPr>
      </w:pPr>
      <w:r w:rsidRPr="00654B96">
        <w:rPr>
          <w:rFonts w:ascii="Arial" w:eastAsia="Arial Narrow" w:hAnsi="Arial" w:cs="Arial"/>
          <w:i/>
          <w:iCs/>
          <w:sz w:val="18"/>
          <w:szCs w:val="18"/>
        </w:rPr>
        <w:t>Lo anterior, debe realizarse durante la ejecución del contrato asegurando que se cumpla su propósito. Se aclara</w:t>
      </w:r>
      <w:r w:rsidR="003C7528" w:rsidRPr="00654B96">
        <w:rPr>
          <w:rFonts w:ascii="Arial" w:eastAsia="Arial Narrow" w:hAnsi="Arial" w:cs="Arial"/>
          <w:i/>
          <w:iCs/>
          <w:sz w:val="18"/>
          <w:szCs w:val="18"/>
        </w:rPr>
        <w:t xml:space="preserve"> </w:t>
      </w:r>
      <w:r w:rsidRPr="00654B96">
        <w:rPr>
          <w:rFonts w:ascii="Arial" w:eastAsia="Arial Narrow" w:hAnsi="Arial" w:cs="Arial"/>
          <w:i/>
          <w:iCs/>
          <w:sz w:val="18"/>
          <w:szCs w:val="18"/>
        </w:rPr>
        <w:t>que comúnmente para el rol de supervisor, se encarga a un servidor público de la entidad territorial y en el caso en el cual no haya un funcionario que tenga los conocimientos especializados, se debe contratar a un interventor</w:t>
      </w:r>
      <w:r w:rsidR="003C7528" w:rsidRPr="00654B96">
        <w:rPr>
          <w:rFonts w:ascii="Arial" w:eastAsia="Arial Narrow" w:hAnsi="Arial" w:cs="Arial"/>
          <w:i/>
          <w:iCs/>
          <w:sz w:val="18"/>
          <w:szCs w:val="18"/>
        </w:rPr>
        <w:t xml:space="preserve"> […]</w:t>
      </w:r>
      <w:r w:rsidR="001933D5">
        <w:rPr>
          <w:rFonts w:ascii="Arial" w:eastAsia="Arial Narrow" w:hAnsi="Arial" w:cs="Arial"/>
          <w:sz w:val="18"/>
          <w:szCs w:val="18"/>
        </w:rPr>
        <w:t>”.</w:t>
      </w:r>
    </w:p>
    <w:p w:rsidR="001933D5" w:rsidRDefault="001933D5">
      <w:pPr>
        <w:spacing w:line="240" w:lineRule="auto"/>
        <w:contextualSpacing/>
        <w:jc w:val="both"/>
        <w:rPr>
          <w:rFonts w:ascii="Arial" w:hAnsi="Arial" w:cs="Arial"/>
        </w:rPr>
      </w:pPr>
    </w:p>
    <w:p w:rsidR="00975C59" w:rsidRDefault="001933D5">
      <w:pPr>
        <w:spacing w:line="240" w:lineRule="auto"/>
        <w:contextualSpacing/>
        <w:jc w:val="both"/>
        <w:rPr>
          <w:rFonts w:ascii="Arial" w:hAnsi="Arial" w:cs="Arial"/>
        </w:rPr>
      </w:pPr>
      <w:r>
        <w:rPr>
          <w:rFonts w:ascii="Arial" w:hAnsi="Arial" w:cs="Arial"/>
        </w:rPr>
        <w:t>Así las cosas, e</w:t>
      </w:r>
      <w:r w:rsidR="00975C59" w:rsidRPr="00BE36D3">
        <w:rPr>
          <w:rFonts w:ascii="Arial" w:hAnsi="Arial" w:cs="Arial"/>
        </w:rPr>
        <w:t xml:space="preserve">n el </w:t>
      </w:r>
      <w:r w:rsidR="00975C59">
        <w:rPr>
          <w:rFonts w:ascii="Arial" w:hAnsi="Arial" w:cs="Arial"/>
        </w:rPr>
        <w:t>C</w:t>
      </w:r>
      <w:r w:rsidR="00975C59" w:rsidRPr="00BE36D3">
        <w:rPr>
          <w:rFonts w:ascii="Arial" w:hAnsi="Arial" w:cs="Arial"/>
        </w:rPr>
        <w:t>ontrato MST-CD-CA-003-2017 cuyo objeto fue “</w:t>
      </w:r>
      <w:r w:rsidR="00975C59" w:rsidRPr="00C5770E">
        <w:rPr>
          <w:rFonts w:ascii="Arial" w:hAnsi="Arial" w:cs="Arial"/>
          <w:i/>
          <w:iCs/>
        </w:rPr>
        <w:t>Unión de esfuerzos administrativos y económicos para la ejecución del proyecto social denominado atención integral de los grupos vulnerables (niños, niñas y jóvenes, mujer y género, discapacitados, adulto mayor) del Municipio Santiago de Tolú, vigencia 2017</w:t>
      </w:r>
      <w:r w:rsidR="00975C59" w:rsidRPr="00BE36D3">
        <w:rPr>
          <w:rFonts w:ascii="Arial" w:hAnsi="Arial" w:cs="Arial"/>
        </w:rPr>
        <w:t>”</w:t>
      </w:r>
      <w:r w:rsidR="00975C59">
        <w:rPr>
          <w:rFonts w:ascii="Arial" w:hAnsi="Arial" w:cs="Arial"/>
        </w:rPr>
        <w:t xml:space="preserve"> se evidenció </w:t>
      </w:r>
      <w:r w:rsidR="00975C59" w:rsidRPr="00BE36D3">
        <w:rPr>
          <w:rFonts w:ascii="Arial" w:hAnsi="Arial" w:cs="Arial"/>
        </w:rPr>
        <w:t xml:space="preserve">la falta de informes de supervisión </w:t>
      </w:r>
      <w:r w:rsidR="00975C59">
        <w:rPr>
          <w:rFonts w:ascii="Arial" w:hAnsi="Arial" w:cs="Arial"/>
        </w:rPr>
        <w:t xml:space="preserve">en el expediente allegado </w:t>
      </w:r>
      <w:r w:rsidR="008C2A4C">
        <w:rPr>
          <w:rFonts w:ascii="Arial" w:hAnsi="Arial" w:cs="Arial"/>
        </w:rPr>
        <w:t>al</w:t>
      </w:r>
      <w:r w:rsidR="00975C59">
        <w:rPr>
          <w:rFonts w:ascii="Arial" w:hAnsi="Arial" w:cs="Arial"/>
        </w:rPr>
        <w:t xml:space="preserve"> DNP</w:t>
      </w:r>
      <w:r w:rsidR="00FE2D32">
        <w:rPr>
          <w:rFonts w:ascii="Arial" w:hAnsi="Arial" w:cs="Arial"/>
        </w:rPr>
        <w:t xml:space="preserve">, solamente se cuenta con </w:t>
      </w:r>
      <w:r w:rsidR="00FE2D32">
        <w:rPr>
          <w:rFonts w:ascii="Arial" w:hAnsi="Arial" w:cs="Arial"/>
        </w:rPr>
        <w:lastRenderedPageBreak/>
        <w:t>certificaciones mensuales que mencionan el cumplimiento del objeto, sin adjuntar soportes o evidencias claras de dicha ejecución</w:t>
      </w:r>
      <w:r w:rsidR="0061492B">
        <w:rPr>
          <w:rFonts w:ascii="Arial" w:hAnsi="Arial" w:cs="Arial"/>
        </w:rPr>
        <w:t>.</w:t>
      </w:r>
    </w:p>
    <w:p w:rsidR="001933D5" w:rsidRDefault="001933D5" w:rsidP="00F4471B">
      <w:pPr>
        <w:spacing w:line="240" w:lineRule="auto"/>
        <w:contextualSpacing/>
        <w:jc w:val="both"/>
        <w:rPr>
          <w:rFonts w:ascii="Arial" w:hAnsi="Arial" w:cs="Arial"/>
        </w:rPr>
      </w:pPr>
    </w:p>
    <w:p w:rsidR="0061492B" w:rsidRDefault="0061492B">
      <w:pPr>
        <w:spacing w:after="0" w:line="240" w:lineRule="auto"/>
        <w:contextualSpacing/>
        <w:jc w:val="both"/>
        <w:rPr>
          <w:rFonts w:ascii="Arial" w:hAnsi="Arial" w:cs="Arial"/>
        </w:rPr>
      </w:pPr>
      <w:r w:rsidRPr="00BE36D3">
        <w:rPr>
          <w:rFonts w:ascii="Arial" w:hAnsi="Arial" w:cs="Arial"/>
        </w:rPr>
        <w:t xml:space="preserve">En los documentos de la ejecución del </w:t>
      </w:r>
      <w:r>
        <w:rPr>
          <w:rFonts w:ascii="Arial" w:hAnsi="Arial" w:cs="Arial"/>
        </w:rPr>
        <w:t>C</w:t>
      </w:r>
      <w:r w:rsidRPr="00BE36D3">
        <w:rPr>
          <w:rFonts w:ascii="Arial" w:hAnsi="Arial" w:cs="Arial"/>
        </w:rPr>
        <w:t>ontrato MST-MIN-043-2017 para realizar la “</w:t>
      </w:r>
      <w:r w:rsidRPr="00BE36D3">
        <w:rPr>
          <w:rFonts w:ascii="Arial" w:hAnsi="Arial" w:cs="Arial"/>
          <w:i/>
          <w:iCs/>
        </w:rPr>
        <w:t>Caracterización de la oferta de servicios turísticos, complementarios y de apoyo; que se ofrecen en el casco urbano del Municipio de Santiago de Tolú, Sucre</w:t>
      </w:r>
      <w:r w:rsidRPr="00BE36D3">
        <w:rPr>
          <w:rFonts w:ascii="Arial" w:hAnsi="Arial" w:cs="Arial"/>
        </w:rPr>
        <w:t xml:space="preserve">”, se evidencia que el contratista </w:t>
      </w:r>
      <w:r>
        <w:rPr>
          <w:rFonts w:ascii="Arial" w:hAnsi="Arial" w:cs="Arial"/>
        </w:rPr>
        <w:t>proporcionó</w:t>
      </w:r>
      <w:r w:rsidRPr="00BE36D3">
        <w:rPr>
          <w:rFonts w:ascii="Arial" w:hAnsi="Arial" w:cs="Arial"/>
        </w:rPr>
        <w:t xml:space="preserve"> los encuestadores para que se encargaran de: levantamiento de información de campo mediante encuestas, llenado de la ficha de encuestas, participación de la sistematización de la información y las demás actividades que se le asignara por el </w:t>
      </w:r>
      <w:r w:rsidR="001933D5">
        <w:rPr>
          <w:rFonts w:ascii="Arial" w:hAnsi="Arial" w:cs="Arial"/>
        </w:rPr>
        <w:t>D</w:t>
      </w:r>
      <w:r w:rsidRPr="00BE36D3">
        <w:rPr>
          <w:rFonts w:ascii="Arial" w:hAnsi="Arial" w:cs="Arial"/>
        </w:rPr>
        <w:t xml:space="preserve">irector del </w:t>
      </w:r>
      <w:r w:rsidR="001933D5">
        <w:rPr>
          <w:rFonts w:ascii="Arial" w:hAnsi="Arial" w:cs="Arial"/>
        </w:rPr>
        <w:t>P</w:t>
      </w:r>
      <w:r w:rsidRPr="00BE36D3">
        <w:rPr>
          <w:rFonts w:ascii="Arial" w:hAnsi="Arial" w:cs="Arial"/>
        </w:rPr>
        <w:t xml:space="preserve">royecto, el cual en este caso era el </w:t>
      </w:r>
      <w:r w:rsidR="001933D5">
        <w:rPr>
          <w:rFonts w:ascii="Arial" w:hAnsi="Arial" w:cs="Arial"/>
        </w:rPr>
        <w:t>D</w:t>
      </w:r>
      <w:r w:rsidRPr="00BE36D3">
        <w:rPr>
          <w:rFonts w:ascii="Arial" w:hAnsi="Arial" w:cs="Arial"/>
        </w:rPr>
        <w:t xml:space="preserve">irector y </w:t>
      </w:r>
      <w:r w:rsidR="001933D5">
        <w:rPr>
          <w:rFonts w:ascii="Arial" w:hAnsi="Arial" w:cs="Arial"/>
        </w:rPr>
        <w:t>R</w:t>
      </w:r>
      <w:r w:rsidRPr="00BE36D3">
        <w:rPr>
          <w:rFonts w:ascii="Arial" w:hAnsi="Arial" w:cs="Arial"/>
        </w:rPr>
        <w:t xml:space="preserve">epresentante </w:t>
      </w:r>
      <w:r w:rsidR="001933D5">
        <w:rPr>
          <w:rFonts w:ascii="Arial" w:hAnsi="Arial" w:cs="Arial"/>
        </w:rPr>
        <w:t>L</w:t>
      </w:r>
      <w:r w:rsidRPr="00BE36D3">
        <w:rPr>
          <w:rFonts w:ascii="Arial" w:hAnsi="Arial" w:cs="Arial"/>
        </w:rPr>
        <w:t xml:space="preserve">egal de la </w:t>
      </w:r>
      <w:r w:rsidR="001933D5">
        <w:rPr>
          <w:rFonts w:ascii="Arial" w:hAnsi="Arial" w:cs="Arial"/>
        </w:rPr>
        <w:t>E</w:t>
      </w:r>
      <w:r w:rsidRPr="00BE36D3">
        <w:rPr>
          <w:rFonts w:ascii="Arial" w:hAnsi="Arial" w:cs="Arial"/>
        </w:rPr>
        <w:t xml:space="preserve">mpresa </w:t>
      </w:r>
      <w:r w:rsidRPr="00C5770E">
        <w:rPr>
          <w:rFonts w:ascii="Arial" w:hAnsi="Arial" w:cs="Arial"/>
        </w:rPr>
        <w:t xml:space="preserve">Turismo </w:t>
      </w:r>
      <w:r>
        <w:rPr>
          <w:rFonts w:ascii="Arial" w:hAnsi="Arial" w:cs="Arial"/>
        </w:rPr>
        <w:t>d</w:t>
      </w:r>
      <w:r w:rsidRPr="00C5770E">
        <w:rPr>
          <w:rFonts w:ascii="Arial" w:hAnsi="Arial" w:cs="Arial"/>
        </w:rPr>
        <w:t xml:space="preserve">el Siglo </w:t>
      </w:r>
      <w:r w:rsidRPr="00BE36D3">
        <w:rPr>
          <w:rFonts w:ascii="Arial" w:hAnsi="Arial" w:cs="Arial"/>
        </w:rPr>
        <w:t>XXI S.A.S., pero en ningún momento se registran los resultados de dichas encuestas ni la entrega de dicha caracterización. Esto evidencia fallas en la supervisión del objeto contractual y un deficiente seguimiento al cumplimiento del objet</w:t>
      </w:r>
      <w:r>
        <w:rPr>
          <w:rFonts w:ascii="Arial" w:hAnsi="Arial" w:cs="Arial"/>
        </w:rPr>
        <w:t xml:space="preserve">o y supone una afectación grave en la ejecución de los recursos, porque en términos estrictos se presentó un incumplimiento al objeto contractual por parte del contratista ante </w:t>
      </w:r>
      <w:r w:rsidR="008C2A4C">
        <w:rPr>
          <w:rFonts w:ascii="Arial" w:hAnsi="Arial" w:cs="Arial"/>
        </w:rPr>
        <w:t>lo</w:t>
      </w:r>
      <w:r>
        <w:rPr>
          <w:rFonts w:ascii="Arial" w:hAnsi="Arial" w:cs="Arial"/>
        </w:rPr>
        <w:t xml:space="preserve"> cual el Municipio de Santiago de Tolú – Sucre avaló la situación sin contemplar la no entrega de los productos solicitados en el </w:t>
      </w:r>
      <w:r w:rsidR="001933D5">
        <w:rPr>
          <w:rFonts w:ascii="Arial" w:hAnsi="Arial" w:cs="Arial"/>
        </w:rPr>
        <w:t>C</w:t>
      </w:r>
      <w:r>
        <w:rPr>
          <w:rFonts w:ascii="Arial" w:hAnsi="Arial" w:cs="Arial"/>
        </w:rPr>
        <w:t>ontrato.</w:t>
      </w:r>
    </w:p>
    <w:p w:rsidR="009F41E5" w:rsidRPr="00BE36D3" w:rsidRDefault="009F41E5">
      <w:pPr>
        <w:spacing w:after="0" w:line="240" w:lineRule="auto"/>
        <w:contextualSpacing/>
        <w:jc w:val="both"/>
        <w:rPr>
          <w:rFonts w:ascii="Arial" w:hAnsi="Arial" w:cs="Arial"/>
        </w:rPr>
      </w:pPr>
    </w:p>
    <w:p w:rsidR="0061492B" w:rsidRDefault="0061492B">
      <w:pPr>
        <w:spacing w:line="240" w:lineRule="auto"/>
        <w:contextualSpacing/>
        <w:jc w:val="both"/>
        <w:rPr>
          <w:rFonts w:ascii="Arial" w:eastAsia="Arial Narrow" w:hAnsi="Arial" w:cs="Arial"/>
        </w:rPr>
      </w:pPr>
      <w:r w:rsidRPr="00BE36D3">
        <w:rPr>
          <w:rFonts w:ascii="Arial" w:eastAsia="Arial Narrow" w:hAnsi="Arial" w:cs="Arial"/>
        </w:rPr>
        <w:t xml:space="preserve">Además, es una situación recurrente en las vigencias analizadas. En el </w:t>
      </w:r>
      <w:r>
        <w:rPr>
          <w:rFonts w:ascii="Arial" w:eastAsia="Arial Narrow" w:hAnsi="Arial" w:cs="Arial"/>
        </w:rPr>
        <w:t>C</w:t>
      </w:r>
      <w:r w:rsidRPr="00BE36D3">
        <w:rPr>
          <w:rFonts w:ascii="Arial" w:eastAsia="Arial Narrow" w:hAnsi="Arial" w:cs="Arial"/>
        </w:rPr>
        <w:t>ontrato No. MST-SAMC-ALT-005-2019 con objeto “</w:t>
      </w:r>
      <w:r w:rsidRPr="00BE36D3">
        <w:rPr>
          <w:rFonts w:ascii="Arial" w:eastAsia="Arial Narrow" w:hAnsi="Arial" w:cs="Arial"/>
          <w:i/>
          <w:iCs/>
        </w:rPr>
        <w:t>Prestación de servicios para el desarrollo de las actividades del Convenio fntc-024-2018, en relación al proyecto denominado “diseño de producto turístico y la ruta turística de la Ciénaga de La Leche del Municipio de Santiago de Tolú – Sucre</w:t>
      </w:r>
      <w:r w:rsidRPr="00BE36D3">
        <w:rPr>
          <w:rFonts w:ascii="Arial" w:eastAsia="Arial Narrow" w:hAnsi="Arial" w:cs="Arial"/>
        </w:rPr>
        <w:t xml:space="preserve">", a pesar de que se designa a la Secretaría de Turismo como la encargada de realizar la supervisión de la ejecución del </w:t>
      </w:r>
      <w:r>
        <w:rPr>
          <w:rFonts w:ascii="Arial" w:eastAsia="Arial Narrow" w:hAnsi="Arial" w:cs="Arial"/>
        </w:rPr>
        <w:t>C</w:t>
      </w:r>
      <w:r w:rsidRPr="00BE36D3">
        <w:rPr>
          <w:rFonts w:ascii="Arial" w:eastAsia="Arial Narrow" w:hAnsi="Arial" w:cs="Arial"/>
        </w:rPr>
        <w:t xml:space="preserve">ontrato, en el SECOP no se encuentran publicados los informes y tampoco se encuentra la evidencia que soporta el cumplimiento de las actividades estipuladas en el </w:t>
      </w:r>
      <w:r w:rsidR="001933D5">
        <w:rPr>
          <w:rFonts w:ascii="Arial" w:eastAsia="Arial Narrow" w:hAnsi="Arial" w:cs="Arial"/>
        </w:rPr>
        <w:t>C</w:t>
      </w:r>
      <w:r w:rsidRPr="00BE36D3">
        <w:rPr>
          <w:rFonts w:ascii="Arial" w:eastAsia="Arial Narrow" w:hAnsi="Arial" w:cs="Arial"/>
        </w:rPr>
        <w:t>ontrato. Es decir, no se encuentran las evidencias fotográficas de las mesas realizadas, los informes documentales ni los productos relacionados con los objetivos del proyecto.</w:t>
      </w:r>
    </w:p>
    <w:p w:rsidR="00C823C7" w:rsidRDefault="00C823C7">
      <w:pPr>
        <w:spacing w:line="240" w:lineRule="auto"/>
        <w:contextualSpacing/>
        <w:jc w:val="both"/>
        <w:rPr>
          <w:rFonts w:ascii="Arial" w:eastAsia="Arial Narrow" w:hAnsi="Arial" w:cs="Arial"/>
        </w:rPr>
      </w:pPr>
    </w:p>
    <w:p w:rsidR="0061492B" w:rsidRDefault="00FE2D32">
      <w:pPr>
        <w:spacing w:line="240" w:lineRule="auto"/>
        <w:contextualSpacing/>
        <w:jc w:val="both"/>
        <w:rPr>
          <w:rFonts w:ascii="Arial" w:hAnsi="Arial" w:cs="Arial"/>
        </w:rPr>
      </w:pPr>
      <w:r>
        <w:rPr>
          <w:rFonts w:ascii="Arial" w:hAnsi="Arial" w:cs="Arial"/>
        </w:rPr>
        <w:t>L</w:t>
      </w:r>
      <w:r w:rsidR="0061492B">
        <w:rPr>
          <w:rFonts w:ascii="Arial" w:hAnsi="Arial" w:cs="Arial"/>
        </w:rPr>
        <w:t>o anterior evidencia una deficiente actividad de supervisión por parte del Municipio de Santiago de Tolú – Sucre, razón por la cual se incumple con lo establecido en los artículos 83 y 84 de la ley 1474 de 2011 en materia de supervisión y funciones de los supervisores</w:t>
      </w:r>
      <w:r w:rsidR="00033D69">
        <w:rPr>
          <w:rFonts w:ascii="Arial" w:hAnsi="Arial" w:cs="Arial"/>
        </w:rPr>
        <w:t xml:space="preserve"> de la actividad contractual para garantizar el adecuado cumplimiento de las obligaciones a cargo de las partes contratantes.</w:t>
      </w:r>
    </w:p>
    <w:p w:rsidR="001933D5" w:rsidRDefault="001933D5" w:rsidP="00F4471B">
      <w:pPr>
        <w:spacing w:line="240" w:lineRule="auto"/>
        <w:contextualSpacing/>
        <w:jc w:val="both"/>
        <w:rPr>
          <w:rFonts w:ascii="Arial" w:hAnsi="Arial" w:cs="Arial"/>
        </w:rPr>
      </w:pPr>
    </w:p>
    <w:p w:rsidR="00033D69" w:rsidRDefault="00033D69">
      <w:pPr>
        <w:spacing w:line="240" w:lineRule="auto"/>
        <w:contextualSpacing/>
        <w:jc w:val="both"/>
        <w:rPr>
          <w:rFonts w:ascii="Arial" w:hAnsi="Arial" w:cs="Arial"/>
        </w:rPr>
      </w:pPr>
      <w:r w:rsidRPr="00893C8F">
        <w:rPr>
          <w:rFonts w:ascii="Arial" w:hAnsi="Arial" w:cs="Arial"/>
          <w:b/>
          <w:bCs/>
        </w:rPr>
        <w:t xml:space="preserve">Evidencia: </w:t>
      </w:r>
      <w:r w:rsidRPr="00893C8F">
        <w:rPr>
          <w:rFonts w:ascii="Arial" w:hAnsi="Arial" w:cs="Arial"/>
        </w:rPr>
        <w:t> los documentos obran en el expediente digital en el Sistema Electrónico Documental SIED del Ministerio de Hacienda y Crédito Público No. 6/2021/D028-PREDI el siguiente material probatorio:</w:t>
      </w:r>
    </w:p>
    <w:p w:rsidR="001933D5" w:rsidRDefault="001933D5">
      <w:pPr>
        <w:spacing w:line="240" w:lineRule="auto"/>
        <w:contextualSpacing/>
        <w:jc w:val="both"/>
        <w:rPr>
          <w:rFonts w:ascii="Arial" w:hAnsi="Arial" w:cs="Arial"/>
        </w:rPr>
      </w:pPr>
    </w:p>
    <w:p w:rsidR="00033D69" w:rsidRPr="000F27A0" w:rsidRDefault="005613E7">
      <w:pPr>
        <w:pStyle w:val="Prrafodelista"/>
        <w:numPr>
          <w:ilvl w:val="0"/>
          <w:numId w:val="29"/>
        </w:numPr>
        <w:spacing w:line="240" w:lineRule="auto"/>
        <w:jc w:val="both"/>
        <w:rPr>
          <w:rFonts w:ascii="Arial" w:hAnsi="Arial" w:cs="Arial"/>
        </w:rPr>
      </w:pPr>
      <w:r w:rsidRPr="00A2630F">
        <w:rPr>
          <w:rFonts w:ascii="Arial" w:hAnsi="Arial" w:cs="Arial"/>
        </w:rPr>
        <w:t>Contrato MST-CD-CA-003-2017 Fundación Surgir</w:t>
      </w:r>
      <w:r w:rsidR="00A2630F">
        <w:t xml:space="preserve">. </w:t>
      </w:r>
      <w:r w:rsidR="00A2630F" w:rsidRPr="00A2630F">
        <w:rPr>
          <w:rFonts w:ascii="Arial" w:hAnsi="Arial" w:cs="Arial"/>
        </w:rPr>
        <w:t>Participación de Propósito General. Municipio de Santiago de Tolú – Sucre. Serie “</w:t>
      </w:r>
      <w:r w:rsidR="00A2630F" w:rsidRPr="00F4471B">
        <w:rPr>
          <w:rFonts w:ascii="Arial" w:hAnsi="Arial" w:cs="Arial"/>
          <w:i/>
          <w:iCs/>
        </w:rPr>
        <w:t>Historial de Seguimiento y Control a los Recursos del Sistema General de Participaciones – Diagnóstico</w:t>
      </w:r>
      <w:r w:rsidR="00A2630F" w:rsidRPr="00A2630F">
        <w:rPr>
          <w:rFonts w:ascii="Arial" w:hAnsi="Arial" w:cs="Arial"/>
        </w:rPr>
        <w:t xml:space="preserve">”. Expediente digital No. 6/2021/D028-PREDI. </w:t>
      </w:r>
      <w:r w:rsidR="00E132D3">
        <w:rPr>
          <w:rFonts w:ascii="Arial" w:eastAsia="Arial Narrow" w:hAnsi="Arial" w:cs="Arial"/>
        </w:rPr>
        <w:t>R</w:t>
      </w:r>
      <w:r w:rsidR="00E132D3" w:rsidRPr="00BE36D3">
        <w:rPr>
          <w:rFonts w:ascii="Arial" w:eastAsia="Arial Narrow" w:hAnsi="Arial" w:cs="Arial"/>
        </w:rPr>
        <w:t>adicado No. 1-2019-079798 del 28 de agosto de 2019</w:t>
      </w:r>
      <w:r w:rsidR="00E132D3">
        <w:rPr>
          <w:rFonts w:ascii="Arial" w:eastAsia="Arial Narrow" w:hAnsi="Arial" w:cs="Arial"/>
        </w:rPr>
        <w:t>.</w:t>
      </w:r>
      <w:r w:rsidR="000F27A0">
        <w:rPr>
          <w:rFonts w:ascii="Arial" w:eastAsia="Arial Narrow" w:hAnsi="Arial" w:cs="Arial"/>
        </w:rPr>
        <w:t xml:space="preserve">  </w:t>
      </w:r>
      <w:hyperlink r:id="rId64" w:history="1">
        <w:r w:rsidR="000F27A0" w:rsidRPr="008756E8">
          <w:rPr>
            <w:rStyle w:val="Hipervnculo"/>
            <w:rFonts w:ascii="Arial" w:eastAsia="Arial Narrow" w:hAnsi="Arial" w:cs="Arial"/>
          </w:rPr>
          <w:t>http://portalgestiondoc.minhacienda.red/PortalEmpleado/viewer.jsp?config=JG2+NdzHsjCRwt/qFWqjEuYeVfmfZoNRkdBOkH79qdxpKFZtV6fl8/UlWJttkmBchU3+ElG</w:t>
        </w:r>
        <w:r w:rsidR="000F27A0" w:rsidRPr="008756E8">
          <w:rPr>
            <w:rStyle w:val="Hipervnculo"/>
            <w:rFonts w:ascii="Arial" w:eastAsia="Arial Narrow" w:hAnsi="Arial" w:cs="Arial"/>
          </w:rPr>
          <w:lastRenderedPageBreak/>
          <w:t>RVHxfW3yHlopqMSf7ztcHpSTl704gxIhAaXuMwcbzfm77LVuf2eTQPOZJtbymfLfKCRo7L7aNLFeRmL4uSv6l/tKW9UoOjtZxNq8Jd5u96xcgSWDgdlkTcGsv&amp;guid=4486575917a53fd55cf1544&amp;idrepository=879</w:t>
        </w:r>
      </w:hyperlink>
      <w:r w:rsidR="000F27A0">
        <w:rPr>
          <w:rFonts w:ascii="Arial" w:eastAsia="Arial Narrow" w:hAnsi="Arial" w:cs="Arial"/>
        </w:rPr>
        <w:t xml:space="preserve"> </w:t>
      </w:r>
    </w:p>
    <w:p w:rsidR="000F27A0" w:rsidRPr="00E132D3" w:rsidRDefault="000F27A0">
      <w:pPr>
        <w:pStyle w:val="Prrafodelista"/>
        <w:numPr>
          <w:ilvl w:val="0"/>
          <w:numId w:val="29"/>
        </w:numPr>
        <w:spacing w:line="240" w:lineRule="auto"/>
        <w:jc w:val="both"/>
        <w:rPr>
          <w:rFonts w:ascii="Arial" w:hAnsi="Arial" w:cs="Arial"/>
        </w:rPr>
      </w:pPr>
      <w:r w:rsidRPr="00A2630F">
        <w:rPr>
          <w:rFonts w:ascii="Arial" w:hAnsi="Arial" w:cs="Arial"/>
        </w:rPr>
        <w:t>Contrato MST-CD-CA-003-2017 Fundación Surgir</w:t>
      </w:r>
      <w:r>
        <w:t xml:space="preserve">. </w:t>
      </w:r>
      <w:r w:rsidRPr="00A2630F">
        <w:rPr>
          <w:rFonts w:ascii="Arial" w:hAnsi="Arial" w:cs="Arial"/>
        </w:rPr>
        <w:t>Participación de Propósito General. Municipio de Santiago de Tolú – Sucre. Serie “</w:t>
      </w:r>
      <w:r w:rsidRPr="00F4471B">
        <w:rPr>
          <w:rFonts w:ascii="Arial" w:hAnsi="Arial" w:cs="Arial"/>
          <w:i/>
          <w:iCs/>
        </w:rPr>
        <w:t>Historial de Seguimiento y Control a los Recursos del Sistema General de Participaciones – Diagnóstico</w:t>
      </w:r>
      <w:r w:rsidRPr="00A2630F">
        <w:rPr>
          <w:rFonts w:ascii="Arial" w:hAnsi="Arial" w:cs="Arial"/>
        </w:rPr>
        <w:t xml:space="preserve">”. Expediente digital No. 6/2021/D028-PREDI. </w:t>
      </w:r>
      <w:r>
        <w:rPr>
          <w:rFonts w:ascii="Arial" w:eastAsia="Arial Narrow" w:hAnsi="Arial" w:cs="Arial"/>
        </w:rPr>
        <w:t>R</w:t>
      </w:r>
      <w:r w:rsidRPr="00BE36D3">
        <w:rPr>
          <w:rFonts w:ascii="Arial" w:eastAsia="Arial Narrow" w:hAnsi="Arial" w:cs="Arial"/>
        </w:rPr>
        <w:t>adicado No. 1-2019-079798 del 28 de agosto de 2019</w:t>
      </w:r>
      <w:r>
        <w:rPr>
          <w:rFonts w:ascii="Arial" w:eastAsia="Arial Narrow" w:hAnsi="Arial" w:cs="Arial"/>
        </w:rPr>
        <w:t xml:space="preserve">.  </w:t>
      </w:r>
      <w:hyperlink r:id="rId65" w:history="1">
        <w:r w:rsidRPr="008756E8">
          <w:rPr>
            <w:rStyle w:val="Hipervnculo"/>
            <w:rFonts w:ascii="Arial" w:eastAsia="Arial Narrow" w:hAnsi="Arial" w:cs="Arial"/>
          </w:rPr>
          <w:t>http://portalgestiondoc.minhacienda.red/PortalEmpleado/viewer.jsp?config=baYzSKIE0+t4q3Yl9auGr/Azz0hQ/0UisOy7Pmq9LXGOOOjeUTc1kQDmLoLemLcGZNvMw1DzTAXVrcFJhHE39DrLY7Os23qys6lCU+r3/HGLujYUWzYWcCqs0v6FpREajRm/wyub2SoLuwS8IIqa/6DLXtqccaycE7wZaxKVUOh5tH6J5AceZLU6AkeVlPm7&amp;guid=4486575917a53fd55cf1546&amp;idrepository=879</w:t>
        </w:r>
      </w:hyperlink>
      <w:r>
        <w:rPr>
          <w:rFonts w:ascii="Arial" w:eastAsia="Arial Narrow" w:hAnsi="Arial" w:cs="Arial"/>
        </w:rPr>
        <w:t xml:space="preserve"> </w:t>
      </w:r>
    </w:p>
    <w:p w:rsidR="005613E7" w:rsidRPr="00E132D3" w:rsidRDefault="005613E7">
      <w:pPr>
        <w:pStyle w:val="Prrafodelista"/>
        <w:numPr>
          <w:ilvl w:val="0"/>
          <w:numId w:val="29"/>
        </w:numPr>
        <w:spacing w:line="240" w:lineRule="auto"/>
        <w:jc w:val="both"/>
        <w:rPr>
          <w:rFonts w:ascii="Arial" w:hAnsi="Arial" w:cs="Arial"/>
        </w:rPr>
      </w:pPr>
      <w:r>
        <w:rPr>
          <w:rFonts w:ascii="Arial" w:hAnsi="Arial" w:cs="Arial"/>
        </w:rPr>
        <w:t xml:space="preserve">Contrato </w:t>
      </w:r>
      <w:r w:rsidRPr="00BE36D3">
        <w:rPr>
          <w:rFonts w:ascii="Arial" w:hAnsi="Arial" w:cs="Arial"/>
        </w:rPr>
        <w:t>MST-MIN-043-2017</w:t>
      </w:r>
      <w:r w:rsidR="00AE5EF1">
        <w:rPr>
          <w:rFonts w:ascii="Arial" w:hAnsi="Arial" w:cs="Arial"/>
        </w:rPr>
        <w:t xml:space="preserve"> Turismo del Siglo XXI S.A.S.</w:t>
      </w:r>
      <w:r w:rsidR="00FE109B">
        <w:rPr>
          <w:rFonts w:ascii="Arial" w:hAnsi="Arial" w:cs="Arial"/>
        </w:rPr>
        <w:t xml:space="preserve"> </w:t>
      </w:r>
      <w:r w:rsidR="00A2630F" w:rsidRPr="00A2630F">
        <w:rPr>
          <w:rFonts w:ascii="Arial" w:hAnsi="Arial" w:cs="Arial"/>
        </w:rPr>
        <w:t>Participación de Propósito General. Municipio de Santiago de Tolú – Sucre. Serie “</w:t>
      </w:r>
      <w:r w:rsidR="00A2630F" w:rsidRPr="00F4471B">
        <w:rPr>
          <w:rFonts w:ascii="Arial" w:hAnsi="Arial" w:cs="Arial"/>
          <w:i/>
          <w:iCs/>
        </w:rPr>
        <w:t>Historial de Seguimiento y Control a los Recursos del Sistema General de Participaciones – Diagnóstico</w:t>
      </w:r>
      <w:r w:rsidR="00A2630F" w:rsidRPr="00A2630F">
        <w:rPr>
          <w:rFonts w:ascii="Arial" w:hAnsi="Arial" w:cs="Arial"/>
        </w:rPr>
        <w:t>”. Expediente digital No. 6/2021/D028-PREDI.</w:t>
      </w:r>
      <w:r w:rsidR="009F41E5">
        <w:rPr>
          <w:rFonts w:ascii="Arial" w:hAnsi="Arial" w:cs="Arial"/>
        </w:rPr>
        <w:t xml:space="preserve"> </w:t>
      </w:r>
      <w:r w:rsidR="00E132D3">
        <w:rPr>
          <w:rFonts w:ascii="Arial" w:eastAsia="Arial Narrow" w:hAnsi="Arial" w:cs="Arial"/>
        </w:rPr>
        <w:t>R</w:t>
      </w:r>
      <w:r w:rsidR="00E132D3" w:rsidRPr="00BE36D3">
        <w:rPr>
          <w:rFonts w:ascii="Arial" w:eastAsia="Arial Narrow" w:hAnsi="Arial" w:cs="Arial"/>
        </w:rPr>
        <w:t>adicado No. 1-2019-079798 del 28 de agosto de 2019</w:t>
      </w:r>
      <w:r w:rsidR="00E132D3">
        <w:rPr>
          <w:rFonts w:ascii="Arial" w:eastAsia="Arial Narrow" w:hAnsi="Arial" w:cs="Arial"/>
        </w:rPr>
        <w:t>.</w:t>
      </w:r>
      <w:r w:rsidR="00460DEB">
        <w:rPr>
          <w:rFonts w:ascii="Arial" w:eastAsia="Arial Narrow" w:hAnsi="Arial" w:cs="Arial"/>
        </w:rPr>
        <w:t xml:space="preserve"> </w:t>
      </w:r>
      <w:hyperlink r:id="rId66" w:history="1">
        <w:r w:rsidR="00460DEB" w:rsidRPr="008756E8">
          <w:rPr>
            <w:rStyle w:val="Hipervnculo"/>
            <w:rFonts w:ascii="Arial" w:eastAsia="Arial Narrow" w:hAnsi="Arial" w:cs="Arial"/>
          </w:rPr>
          <w:t>http://portalgestiondoc.minhacienda.red/PortalEmpleado/viewer.jsp?config=ba1+nX6eXSWUKkBWZDFhGVYKgQl3an3hyxWobZ+fTIRgR0IzXmlEH0zJvt2mVTDDnN2zbfOz61WiESnwZMCclNXqFo64Ih/MT/VI6XjitXI1w7fpjytSs5uLSAmwPfGYd3qO9TXHI8Wnchu3M7k/4xqkJ8YC6nCN/Y+KW5pwlNxq3xuJyQ7C4v5h8S7j2Mde&amp;guid=4486575917a53fd55cf160b&amp;idrepository=879</w:t>
        </w:r>
      </w:hyperlink>
      <w:r w:rsidR="00460DEB">
        <w:rPr>
          <w:rFonts w:ascii="Arial" w:eastAsia="Arial Narrow" w:hAnsi="Arial" w:cs="Arial"/>
        </w:rPr>
        <w:t xml:space="preserve"> </w:t>
      </w:r>
    </w:p>
    <w:p w:rsidR="005613E7" w:rsidRPr="00460DEB" w:rsidRDefault="005613E7">
      <w:pPr>
        <w:pStyle w:val="Prrafodelista"/>
        <w:numPr>
          <w:ilvl w:val="0"/>
          <w:numId w:val="29"/>
        </w:numPr>
        <w:spacing w:line="240" w:lineRule="auto"/>
        <w:jc w:val="both"/>
        <w:rPr>
          <w:rFonts w:ascii="Arial" w:hAnsi="Arial" w:cs="Arial"/>
        </w:rPr>
      </w:pPr>
      <w:r>
        <w:rPr>
          <w:rFonts w:ascii="Arial" w:eastAsia="Arial Narrow" w:hAnsi="Arial" w:cs="Arial"/>
        </w:rPr>
        <w:t xml:space="preserve">Contrato </w:t>
      </w:r>
      <w:r w:rsidRPr="00BE36D3">
        <w:rPr>
          <w:rFonts w:ascii="Arial" w:eastAsia="Arial Narrow" w:hAnsi="Arial" w:cs="Arial"/>
        </w:rPr>
        <w:t>MST-SAMC-ALT-005-2019</w:t>
      </w:r>
      <w:r w:rsidR="00AE5EF1">
        <w:rPr>
          <w:rFonts w:ascii="Arial" w:eastAsia="Arial Narrow" w:hAnsi="Arial" w:cs="Arial"/>
        </w:rPr>
        <w:t xml:space="preserve"> Unión temporal Ciénaga de la Leche</w:t>
      </w:r>
      <w:r w:rsidR="00FE109B">
        <w:rPr>
          <w:rFonts w:ascii="Arial" w:eastAsia="Arial Narrow" w:hAnsi="Arial" w:cs="Arial"/>
        </w:rPr>
        <w:t xml:space="preserve">. </w:t>
      </w:r>
      <w:r w:rsidR="00FE109B" w:rsidRPr="00A2630F">
        <w:rPr>
          <w:rFonts w:ascii="Arial" w:hAnsi="Arial" w:cs="Arial"/>
        </w:rPr>
        <w:t>Participación de Propósito General. Municipio de Santiago de Tolú – Sucre. Serie “</w:t>
      </w:r>
      <w:r w:rsidR="00FE109B" w:rsidRPr="00F4471B">
        <w:rPr>
          <w:rFonts w:ascii="Arial" w:hAnsi="Arial" w:cs="Arial"/>
          <w:i/>
          <w:iCs/>
        </w:rPr>
        <w:t>Historial de Seguimiento y Control a los Recursos del Sistema General de Participaciones – Diagnóstico</w:t>
      </w:r>
      <w:r w:rsidR="00FE109B" w:rsidRPr="00A2630F">
        <w:rPr>
          <w:rFonts w:ascii="Arial" w:hAnsi="Arial" w:cs="Arial"/>
        </w:rPr>
        <w:t>”. Expediente digital No. 6/2021/D028-PREDI.</w:t>
      </w:r>
      <w:r w:rsidR="00E65E29">
        <w:rPr>
          <w:rFonts w:ascii="Arial" w:hAnsi="Arial" w:cs="Arial"/>
        </w:rPr>
        <w:t xml:space="preserve"> </w:t>
      </w:r>
      <w:r w:rsidR="00E132D3">
        <w:rPr>
          <w:rFonts w:ascii="Arial" w:eastAsia="Arial Narrow" w:hAnsi="Arial" w:cs="Arial"/>
        </w:rPr>
        <w:t>R</w:t>
      </w:r>
      <w:r w:rsidR="00E132D3" w:rsidRPr="00BE36D3">
        <w:rPr>
          <w:rFonts w:ascii="Arial" w:eastAsia="Arial Narrow" w:hAnsi="Arial" w:cs="Arial"/>
        </w:rPr>
        <w:t>adicado No. 1-2019-079798 del 28 de agosto de 2019</w:t>
      </w:r>
      <w:r w:rsidR="00E132D3">
        <w:rPr>
          <w:rFonts w:ascii="Arial" w:eastAsia="Arial Narrow" w:hAnsi="Arial" w:cs="Arial"/>
        </w:rPr>
        <w:t>.</w:t>
      </w:r>
      <w:r w:rsidR="00460DEB" w:rsidRPr="00460DEB">
        <w:t xml:space="preserve"> </w:t>
      </w:r>
      <w:hyperlink r:id="rId67" w:history="1">
        <w:r w:rsidR="00460DEB" w:rsidRPr="008756E8">
          <w:rPr>
            <w:rStyle w:val="Hipervnculo"/>
            <w:rFonts w:ascii="Arial" w:eastAsia="Arial Narrow" w:hAnsi="Arial" w:cs="Arial"/>
          </w:rPr>
          <w:t>http://portalgestiondoc.minhacienda.red/PortalEmpleado/viewer.jsp?config=xmEgxRF77MsEO32gOifVR7ULV80xbcFSuzYlcfILPxcC2amE07fDHLp/RzDUlNf6Bu36PYLD9i2tqF/8VFitVM8ugMXqjCrQPPqN+GJAAR+Ei+HaE7r/iamUKGMThzeNLuE2x2LNTMivHRuIVzuRAwC3PNEGzzZzN5fFiqymRIxa+rjCVdHuEs9u6tAtD3ZB&amp;guid=4486575917a53fd55cf161f&amp;idrepository=879</w:t>
        </w:r>
      </w:hyperlink>
      <w:r w:rsidR="00460DEB">
        <w:rPr>
          <w:rFonts w:ascii="Arial" w:eastAsia="Arial Narrow" w:hAnsi="Arial" w:cs="Arial"/>
        </w:rPr>
        <w:t xml:space="preserve"> </w:t>
      </w:r>
    </w:p>
    <w:p w:rsidR="00460DEB" w:rsidRPr="00E132D3" w:rsidRDefault="00460DEB">
      <w:pPr>
        <w:pStyle w:val="Prrafodelista"/>
        <w:numPr>
          <w:ilvl w:val="0"/>
          <w:numId w:val="29"/>
        </w:numPr>
        <w:spacing w:line="240" w:lineRule="auto"/>
        <w:jc w:val="both"/>
        <w:rPr>
          <w:rFonts w:ascii="Arial" w:hAnsi="Arial" w:cs="Arial"/>
        </w:rPr>
      </w:pPr>
      <w:r>
        <w:rPr>
          <w:rFonts w:ascii="Arial" w:hAnsi="Arial" w:cs="Arial"/>
        </w:rPr>
        <w:t xml:space="preserve">Pantallazo SECOP </w:t>
      </w:r>
      <w:r w:rsidRPr="00960BFC">
        <w:rPr>
          <w:rFonts w:ascii="Arial" w:hAnsi="Arial" w:cs="Arial"/>
        </w:rPr>
        <w:t xml:space="preserve">Detalle del proceso_ </w:t>
      </w:r>
      <w:r w:rsidRPr="00BE36D3">
        <w:rPr>
          <w:rFonts w:ascii="Arial" w:eastAsia="Arial Narrow" w:hAnsi="Arial" w:cs="Arial"/>
        </w:rPr>
        <w:t>MST-SAMC-ALT-005-2019</w:t>
      </w:r>
      <w:r>
        <w:rPr>
          <w:rFonts w:ascii="Arial" w:hAnsi="Arial" w:cs="Arial"/>
        </w:rPr>
        <w:t>.</w:t>
      </w:r>
      <w:r w:rsidRPr="00F47325">
        <w:rPr>
          <w:rFonts w:ascii="Arial" w:hAnsi="Arial" w:cs="Arial"/>
        </w:rPr>
        <w:t xml:space="preserve"> </w:t>
      </w:r>
      <w:r w:rsidRPr="00893C8F">
        <w:rPr>
          <w:rFonts w:ascii="Arial" w:hAnsi="Arial" w:cs="Arial"/>
        </w:rPr>
        <w:t xml:space="preserve">Participación de Propósito General. Municipio de </w:t>
      </w:r>
      <w:r>
        <w:rPr>
          <w:rFonts w:ascii="Arial" w:hAnsi="Arial" w:cs="Arial"/>
        </w:rPr>
        <w:t>Santiago de Tolú</w:t>
      </w:r>
      <w:r w:rsidRPr="00893C8F">
        <w:rPr>
          <w:rFonts w:ascii="Arial" w:hAnsi="Arial" w:cs="Arial"/>
        </w:rPr>
        <w:t xml:space="preserve"> – Sucre. Serie “</w:t>
      </w:r>
      <w:r w:rsidRPr="00F4471B">
        <w:rPr>
          <w:rFonts w:ascii="Arial" w:hAnsi="Arial" w:cs="Arial"/>
          <w:i/>
          <w:iCs/>
        </w:rPr>
        <w:t>Historial de Seguimiento y Control a los Recursos del Sistema General de Participaciones – Diagnóstico</w:t>
      </w:r>
      <w:r w:rsidRPr="00893C8F">
        <w:rPr>
          <w:rFonts w:ascii="Arial" w:hAnsi="Arial" w:cs="Arial"/>
        </w:rPr>
        <w:t xml:space="preserve">”. Expediente digital No. </w:t>
      </w:r>
      <w:r>
        <w:rPr>
          <w:rFonts w:ascii="Arial" w:hAnsi="Arial" w:cs="Arial"/>
        </w:rPr>
        <w:t>6</w:t>
      </w:r>
      <w:r w:rsidRPr="00893C8F">
        <w:rPr>
          <w:rFonts w:ascii="Arial" w:hAnsi="Arial" w:cs="Arial"/>
        </w:rPr>
        <w:t>/2021/D028-PREDI</w:t>
      </w:r>
      <w:r>
        <w:rPr>
          <w:rFonts w:ascii="Arial" w:hAnsi="Arial" w:cs="Arial"/>
        </w:rPr>
        <w:t xml:space="preserve">. </w:t>
      </w:r>
      <w:hyperlink r:id="rId68" w:history="1">
        <w:r w:rsidRPr="008756E8">
          <w:rPr>
            <w:rStyle w:val="Hipervnculo"/>
            <w:rFonts w:ascii="Arial" w:hAnsi="Arial" w:cs="Arial"/>
          </w:rPr>
          <w:t>http://portalgestiondoc.minhacienda.red/PortalEmpleado/viewer.jsp?config=0D8k5jZ2fevDusLFsJBA5oDcWcJq6pNfhND0+qyA5GI+xomSnreyd/S2te8RG2j/rkRpPPiC6/RNkNP0zKf2QPdjrxRDKcmcfq6XDxDtkXZL6ofif5YJPCuM5ym6GXSLbCt+l1q4uEqYjairjJ5z5GjeAya5sCoVYlGz5BI8OBq+BF4rTWR0bOnT8r+cjBJi&amp;guid=4486575917a53fd55cf153d&amp;idrepository=879</w:t>
        </w:r>
      </w:hyperlink>
      <w:r>
        <w:rPr>
          <w:rFonts w:ascii="Arial" w:hAnsi="Arial" w:cs="Arial"/>
        </w:rPr>
        <w:t xml:space="preserve"> </w:t>
      </w:r>
    </w:p>
    <w:p w:rsidR="001933D5" w:rsidRDefault="001933D5">
      <w:pPr>
        <w:spacing w:line="240" w:lineRule="auto"/>
        <w:contextualSpacing/>
        <w:jc w:val="both"/>
        <w:rPr>
          <w:rFonts w:ascii="Arial" w:hAnsi="Arial" w:cs="Arial"/>
          <w:b/>
          <w:bCs/>
        </w:rPr>
      </w:pPr>
    </w:p>
    <w:p w:rsidR="00ED4989" w:rsidRDefault="00ED4989" w:rsidP="00F4471B">
      <w:pPr>
        <w:spacing w:line="240" w:lineRule="auto"/>
        <w:contextualSpacing/>
        <w:jc w:val="both"/>
        <w:rPr>
          <w:rFonts w:ascii="Arial" w:hAnsi="Arial" w:cs="Arial"/>
          <w:b/>
          <w:bCs/>
        </w:rPr>
      </w:pPr>
      <w:r>
        <w:rPr>
          <w:rFonts w:ascii="Arial" w:hAnsi="Arial" w:cs="Arial"/>
          <w:b/>
          <w:bCs/>
        </w:rPr>
        <w:t>EVENTO DE RIESGO 9.10</w:t>
      </w:r>
      <w:r w:rsidR="00AF45D2">
        <w:rPr>
          <w:rFonts w:ascii="Arial" w:hAnsi="Arial" w:cs="Arial"/>
          <w:b/>
          <w:bCs/>
        </w:rPr>
        <w:t>.</w:t>
      </w:r>
      <w:r>
        <w:rPr>
          <w:rFonts w:ascii="Arial" w:hAnsi="Arial" w:cs="Arial"/>
          <w:b/>
          <w:bCs/>
        </w:rPr>
        <w:t xml:space="preserve"> </w:t>
      </w:r>
      <w:r w:rsidR="001933D5">
        <w:rPr>
          <w:rFonts w:ascii="Arial" w:hAnsi="Arial" w:cs="Arial"/>
          <w:b/>
          <w:bCs/>
        </w:rPr>
        <w:t>“</w:t>
      </w:r>
      <w:r w:rsidRPr="00F4471B">
        <w:rPr>
          <w:rFonts w:ascii="Arial" w:hAnsi="Arial" w:cs="Arial"/>
          <w:b/>
          <w:bCs/>
          <w:i/>
          <w:iCs/>
        </w:rPr>
        <w:t>No publicar los actos administrativos, contratos, convenios e informes, cuando la ley lo exija</w:t>
      </w:r>
      <w:r w:rsidR="001933D5">
        <w:rPr>
          <w:rFonts w:ascii="Arial" w:hAnsi="Arial" w:cs="Arial"/>
          <w:b/>
          <w:bCs/>
        </w:rPr>
        <w:t>”</w:t>
      </w:r>
      <w:r w:rsidRPr="00ED4989">
        <w:rPr>
          <w:rFonts w:ascii="Arial" w:hAnsi="Arial" w:cs="Arial"/>
          <w:b/>
          <w:bCs/>
        </w:rPr>
        <w:t>.</w:t>
      </w:r>
    </w:p>
    <w:p w:rsidR="002234D3" w:rsidRDefault="002234D3">
      <w:pPr>
        <w:pStyle w:val="Prrafodelista"/>
        <w:numPr>
          <w:ilvl w:val="0"/>
          <w:numId w:val="29"/>
        </w:numPr>
        <w:spacing w:line="240" w:lineRule="auto"/>
        <w:jc w:val="both"/>
        <w:rPr>
          <w:rFonts w:ascii="Arial" w:hAnsi="Arial" w:cs="Arial"/>
          <w:b/>
          <w:bCs/>
        </w:rPr>
      </w:pPr>
      <w:r w:rsidRPr="002234D3">
        <w:rPr>
          <w:rFonts w:ascii="Arial" w:hAnsi="Arial" w:cs="Arial"/>
          <w:b/>
          <w:bCs/>
        </w:rPr>
        <w:lastRenderedPageBreak/>
        <w:t>No publicación de documentos contractuales en la plataforma SECOP</w:t>
      </w:r>
      <w:r w:rsidR="001933D5">
        <w:rPr>
          <w:rFonts w:ascii="Arial" w:hAnsi="Arial" w:cs="Arial"/>
          <w:b/>
          <w:bCs/>
        </w:rPr>
        <w:t>.</w:t>
      </w:r>
    </w:p>
    <w:p w:rsidR="001933D5" w:rsidRDefault="001933D5">
      <w:pPr>
        <w:pStyle w:val="paragraph"/>
        <w:spacing w:before="0" w:beforeAutospacing="0" w:after="0" w:afterAutospacing="0"/>
        <w:contextualSpacing/>
        <w:jc w:val="both"/>
        <w:textAlignment w:val="baseline"/>
        <w:rPr>
          <w:rStyle w:val="normaltextrun"/>
          <w:rFonts w:ascii="Arial" w:hAnsi="Arial" w:cs="Arial"/>
          <w:sz w:val="22"/>
          <w:szCs w:val="22"/>
        </w:rPr>
      </w:pPr>
    </w:p>
    <w:p w:rsidR="002234D3" w:rsidRDefault="002234D3" w:rsidP="00F4471B">
      <w:pPr>
        <w:pStyle w:val="paragraph"/>
        <w:spacing w:before="0" w:beforeAutospacing="0" w:after="0" w:afterAutospacing="0"/>
        <w:contextualSpacing/>
        <w:jc w:val="both"/>
        <w:textAlignment w:val="baseline"/>
        <w:rPr>
          <w:rStyle w:val="eop"/>
          <w:rFonts w:ascii="Arial" w:eastAsiaTheme="minorHAnsi" w:hAnsi="Arial" w:cs="Arial"/>
          <w:sz w:val="22"/>
          <w:szCs w:val="22"/>
          <w:lang w:eastAsia="en-US"/>
        </w:rPr>
      </w:pPr>
      <w:r>
        <w:rPr>
          <w:rStyle w:val="normaltextrun"/>
          <w:rFonts w:ascii="Arial" w:hAnsi="Arial" w:cs="Arial"/>
          <w:sz w:val="22"/>
          <w:szCs w:val="22"/>
        </w:rPr>
        <w:t>El artículo 2.1.1.2.1.7 del Decreto 1081 de 2015, referente a la publicación de la información contractual, establece que “</w:t>
      </w:r>
      <w:r>
        <w:rPr>
          <w:rStyle w:val="normaltextrun"/>
          <w:rFonts w:ascii="Arial" w:hAnsi="Arial" w:cs="Arial"/>
          <w:i/>
          <w:iCs/>
          <w:sz w:val="22"/>
          <w:szCs w:val="22"/>
        </w:rPr>
        <w:t>de conformidad con el literal (c) del artículo 3° de la Ley 1150 de 2007, el sistema de información del Estado en el cual los sujetos obligados que contratan con cargo a recursos públicos deben cumplir la obligación de publicar la información de su gestión contractual es el Sistema Electrónico para la Contratación Pública (SECOP). Los sujetos obligados que contratan con cargo a recursos públicos deben publicar la información de su gestión contractual en el plazo previsto en el artículo 19 del Decreto 1510 de 2013, o el que lo modifique, sustituya o adicione [artículo 2.2.1.1.1.7.1 del Decreto 1082 de 2015]. Los sujetos obligados que contratan con recursos públicos y recursos privados deben publicar la información de su gestión contractual con cargo a recursos públicos en el Sistema Electrónico para la Contratación Pública (SECOP</w:t>
      </w:r>
      <w:r>
        <w:rPr>
          <w:rStyle w:val="normaltextrun"/>
          <w:rFonts w:ascii="Arial" w:hAnsi="Arial" w:cs="Arial"/>
          <w:sz w:val="22"/>
          <w:szCs w:val="22"/>
        </w:rPr>
        <w:t>)”.</w:t>
      </w:r>
    </w:p>
    <w:p w:rsidR="002234D3" w:rsidRPr="00F4471B" w:rsidRDefault="002234D3" w:rsidP="00F4471B">
      <w:pPr>
        <w:pStyle w:val="paragraph"/>
        <w:spacing w:before="0" w:beforeAutospacing="0" w:after="0" w:afterAutospacing="0"/>
        <w:contextualSpacing/>
        <w:jc w:val="both"/>
        <w:textAlignment w:val="baseline"/>
        <w:rPr>
          <w:rFonts w:ascii="Arial" w:hAnsi="Arial" w:cs="Arial"/>
          <w:sz w:val="22"/>
          <w:szCs w:val="22"/>
        </w:rPr>
      </w:pPr>
    </w:p>
    <w:p w:rsidR="002234D3" w:rsidRPr="00F4471B" w:rsidRDefault="002234D3" w:rsidP="00F4471B">
      <w:pPr>
        <w:pStyle w:val="paragraph"/>
        <w:spacing w:before="0" w:beforeAutospacing="0" w:after="0" w:afterAutospacing="0"/>
        <w:contextualSpacing/>
        <w:jc w:val="both"/>
        <w:textAlignment w:val="baseline"/>
        <w:rPr>
          <w:rFonts w:ascii="Arial" w:hAnsi="Arial" w:cs="Arial"/>
          <w:sz w:val="22"/>
          <w:szCs w:val="22"/>
        </w:rPr>
      </w:pPr>
      <w:r>
        <w:rPr>
          <w:rStyle w:val="normaltextrun"/>
          <w:rFonts w:ascii="Arial" w:hAnsi="Arial" w:cs="Arial"/>
          <w:sz w:val="22"/>
          <w:szCs w:val="22"/>
        </w:rPr>
        <w:t>De la misma forma, el artículo 2.1.1.2.1.8 del Decreto 1081 de 2015 demanda que “</w:t>
      </w:r>
      <w:r>
        <w:rPr>
          <w:rStyle w:val="normaltextrun"/>
          <w:rFonts w:ascii="Arial" w:hAnsi="Arial" w:cs="Arial"/>
          <w:i/>
          <w:iCs/>
          <w:sz w:val="22"/>
          <w:szCs w:val="22"/>
        </w:rPr>
        <w:t xml:space="preserve">para efectos del cumplimiento de la obligación contenida en el literal g) del artículo 11 de la Ley 1712 de 2014, relativa a la información sobre la ejecución de contratos, el sujeto obligado debe publicar las aprobaciones, autorizaciones, requerimientos o informes del supervisor o del interventor, que prueben la ejecución del </w:t>
      </w:r>
      <w:r w:rsidRPr="001933D5">
        <w:rPr>
          <w:rStyle w:val="normaltextrun"/>
          <w:rFonts w:ascii="Arial" w:hAnsi="Arial" w:cs="Arial"/>
          <w:i/>
          <w:iCs/>
          <w:sz w:val="22"/>
          <w:szCs w:val="22"/>
        </w:rPr>
        <w:t>contrato</w:t>
      </w:r>
      <w:r w:rsidRPr="001933D5">
        <w:rPr>
          <w:rStyle w:val="normaltextrun"/>
          <w:rFonts w:ascii="Arial" w:hAnsi="Arial" w:cs="Arial"/>
          <w:sz w:val="22"/>
          <w:szCs w:val="22"/>
        </w:rPr>
        <w:t>”.</w:t>
      </w:r>
    </w:p>
    <w:p w:rsidR="002234D3" w:rsidRPr="00F4471B" w:rsidRDefault="002234D3" w:rsidP="00F4471B">
      <w:pPr>
        <w:pStyle w:val="paragraph"/>
        <w:spacing w:before="0" w:beforeAutospacing="0" w:after="0" w:afterAutospacing="0"/>
        <w:contextualSpacing/>
        <w:jc w:val="both"/>
        <w:textAlignment w:val="baseline"/>
        <w:rPr>
          <w:rFonts w:ascii="Arial" w:hAnsi="Arial" w:cs="Arial"/>
          <w:sz w:val="22"/>
          <w:szCs w:val="22"/>
        </w:rPr>
      </w:pPr>
    </w:p>
    <w:p w:rsidR="002234D3" w:rsidRDefault="002234D3" w:rsidP="00F4471B">
      <w:pPr>
        <w:pStyle w:val="paragraph"/>
        <w:spacing w:before="0" w:beforeAutospacing="0" w:after="0" w:afterAutospacing="0"/>
        <w:contextualSpacing/>
        <w:jc w:val="both"/>
        <w:textAlignment w:val="baseline"/>
        <w:rPr>
          <w:rFonts w:ascii="Segoe UI" w:hAnsi="Segoe UI" w:cs="Segoe UI"/>
          <w:sz w:val="18"/>
          <w:szCs w:val="18"/>
        </w:rPr>
      </w:pPr>
      <w:r>
        <w:rPr>
          <w:rStyle w:val="normaltextrun"/>
          <w:rFonts w:ascii="Arial" w:hAnsi="Arial" w:cs="Arial"/>
          <w:sz w:val="22"/>
          <w:szCs w:val="22"/>
        </w:rPr>
        <w:t>En relación con la publicación de las actuaciones contractuales en el Sistema Electrónico de Contratación Pública - SECOP, el Decreto 1082 de 2015 establece en el artículo 2.2.1.1.1.7.1. que:</w:t>
      </w:r>
      <w:r w:rsidR="001933D5">
        <w:rPr>
          <w:rStyle w:val="normaltextrun"/>
          <w:rFonts w:ascii="Arial" w:hAnsi="Arial" w:cs="Arial"/>
          <w:sz w:val="22"/>
          <w:szCs w:val="22"/>
        </w:rPr>
        <w:t xml:space="preserve"> </w:t>
      </w:r>
      <w:r>
        <w:rPr>
          <w:rStyle w:val="normaltextrun"/>
          <w:rFonts w:ascii="Arial" w:hAnsi="Arial" w:cs="Arial"/>
          <w:i/>
          <w:iCs/>
          <w:sz w:val="22"/>
          <w:szCs w:val="22"/>
        </w:rPr>
        <w:t>“La Entidad Estatal está obligada a publicar en el SECOP los Documentos del Proceso y los actos administrativos del Proceso de Contratación, dentro de los tres (3) días siguientes a su expedición […]</w:t>
      </w:r>
      <w:r>
        <w:rPr>
          <w:rStyle w:val="normaltextrun"/>
          <w:rFonts w:ascii="Arial" w:hAnsi="Arial" w:cs="Arial"/>
          <w:sz w:val="22"/>
          <w:szCs w:val="22"/>
        </w:rPr>
        <w:t>”.</w:t>
      </w:r>
    </w:p>
    <w:p w:rsidR="002234D3" w:rsidRDefault="002234D3" w:rsidP="00F4471B">
      <w:pPr>
        <w:spacing w:after="0" w:line="240" w:lineRule="auto"/>
        <w:contextualSpacing/>
        <w:jc w:val="both"/>
        <w:rPr>
          <w:rFonts w:ascii="Arial" w:hAnsi="Arial" w:cs="Arial"/>
        </w:rPr>
      </w:pPr>
    </w:p>
    <w:p w:rsidR="002234D3" w:rsidRPr="002234D3" w:rsidRDefault="002234D3" w:rsidP="00F4471B">
      <w:pPr>
        <w:spacing w:after="0" w:line="240" w:lineRule="auto"/>
        <w:contextualSpacing/>
        <w:jc w:val="both"/>
        <w:rPr>
          <w:rFonts w:ascii="Arial" w:hAnsi="Arial" w:cs="Arial"/>
        </w:rPr>
      </w:pPr>
      <w:r w:rsidRPr="002234D3">
        <w:rPr>
          <w:rFonts w:ascii="Arial" w:hAnsi="Arial" w:cs="Arial"/>
        </w:rPr>
        <w:t>Al revisar el Contrato Interadministrativo No. MT-CD-CI-001-2017 cuyo objeto fue</w:t>
      </w:r>
      <w:r w:rsidR="001933D5">
        <w:rPr>
          <w:rFonts w:ascii="Arial" w:hAnsi="Arial" w:cs="Arial"/>
        </w:rPr>
        <w:t xml:space="preserve"> la</w:t>
      </w:r>
      <w:r w:rsidRPr="002234D3">
        <w:rPr>
          <w:rFonts w:ascii="Arial" w:hAnsi="Arial" w:cs="Arial"/>
        </w:rPr>
        <w:t xml:space="preserve"> “</w:t>
      </w:r>
      <w:r w:rsidRPr="002234D3">
        <w:rPr>
          <w:rFonts w:ascii="Arial" w:eastAsia="Arial" w:hAnsi="Arial" w:cs="Arial"/>
          <w:i/>
          <w:iCs/>
          <w:color w:val="000000" w:themeColor="text1"/>
        </w:rPr>
        <w:t xml:space="preserve">Prestación de servicios de salud para el desarrollo de las actividades colectivas en salud publica establecidas en el Plan de Acción en Salud del Municipio de Santiago de Tolú- Departamento de Sucre”, </w:t>
      </w:r>
      <w:r w:rsidRPr="002234D3">
        <w:rPr>
          <w:rFonts w:ascii="Arial" w:hAnsi="Arial" w:cs="Arial"/>
        </w:rPr>
        <w:t xml:space="preserve">financiado con cargo a la Participación de Propósito General de Libre Inversión, suscrito entre el Municipio de Santiago de Tolú - Sucre y </w:t>
      </w:r>
      <w:r w:rsidR="001933D5">
        <w:rPr>
          <w:rFonts w:ascii="Arial" w:hAnsi="Arial" w:cs="Arial"/>
        </w:rPr>
        <w:t>la</w:t>
      </w:r>
      <w:r w:rsidR="001933D5" w:rsidRPr="002234D3">
        <w:rPr>
          <w:rFonts w:ascii="Arial" w:hAnsi="Arial" w:cs="Arial"/>
        </w:rPr>
        <w:t xml:space="preserve"> </w:t>
      </w:r>
      <w:r w:rsidR="001933D5" w:rsidRPr="001933D5">
        <w:rPr>
          <w:rFonts w:ascii="Arial" w:hAnsi="Arial" w:cs="Arial"/>
        </w:rPr>
        <w:t xml:space="preserve">ESE. Hospital Local </w:t>
      </w:r>
      <w:r w:rsidR="001933D5">
        <w:rPr>
          <w:rFonts w:ascii="Arial" w:hAnsi="Arial" w:cs="Arial"/>
        </w:rPr>
        <w:t>d</w:t>
      </w:r>
      <w:r w:rsidR="001933D5" w:rsidRPr="001933D5">
        <w:rPr>
          <w:rFonts w:ascii="Arial" w:hAnsi="Arial" w:cs="Arial"/>
        </w:rPr>
        <w:t xml:space="preserve">e Santiago </w:t>
      </w:r>
      <w:r w:rsidR="001933D5">
        <w:rPr>
          <w:rFonts w:ascii="Arial" w:hAnsi="Arial" w:cs="Arial"/>
        </w:rPr>
        <w:t>d</w:t>
      </w:r>
      <w:r w:rsidR="001933D5" w:rsidRPr="001933D5">
        <w:rPr>
          <w:rFonts w:ascii="Arial" w:hAnsi="Arial" w:cs="Arial"/>
        </w:rPr>
        <w:t>e Tolú</w:t>
      </w:r>
      <w:r w:rsidRPr="002234D3">
        <w:rPr>
          <w:rFonts w:ascii="Arial" w:hAnsi="Arial" w:cs="Arial"/>
        </w:rPr>
        <w:t>, esta Dirección pudo constatar que no fue publicado en la plataforma SECOP, así como sus respectivos documentos contractuales asociados.</w:t>
      </w:r>
    </w:p>
    <w:p w:rsidR="002234D3" w:rsidRPr="002234D3" w:rsidRDefault="002234D3" w:rsidP="00F4471B">
      <w:pPr>
        <w:spacing w:after="0" w:line="240" w:lineRule="auto"/>
        <w:contextualSpacing/>
        <w:jc w:val="both"/>
        <w:rPr>
          <w:rFonts w:ascii="Arial" w:hAnsi="Arial" w:cs="Arial"/>
        </w:rPr>
      </w:pPr>
    </w:p>
    <w:p w:rsidR="002234D3" w:rsidRDefault="002234D3" w:rsidP="00F4471B">
      <w:pPr>
        <w:spacing w:after="0" w:line="240" w:lineRule="auto"/>
        <w:contextualSpacing/>
        <w:jc w:val="both"/>
        <w:rPr>
          <w:rFonts w:ascii="Arial" w:hAnsi="Arial" w:cs="Arial"/>
        </w:rPr>
      </w:pPr>
      <w:r w:rsidRPr="002234D3">
        <w:rPr>
          <w:rFonts w:ascii="Arial" w:hAnsi="Arial" w:cs="Arial"/>
        </w:rPr>
        <w:t>Por otra parte, en el Contrato MST-CD-CA-005-2017, cuyo objeto fue “</w:t>
      </w:r>
      <w:r w:rsidRPr="002234D3">
        <w:rPr>
          <w:rFonts w:ascii="Arial" w:hAnsi="Arial" w:cs="Arial"/>
          <w:i/>
          <w:iCs/>
        </w:rPr>
        <w:t>Aunar esfuerzos humanos, económicos y operativos para apoyo a la selección de para atletismo municipal en el primer abierto nacional paraolímpico categoría juvenil y mayores en Cali, en representación del Municipio Santiago de Tolú, vigencia 2017</w:t>
      </w:r>
      <w:r w:rsidRPr="002234D3">
        <w:rPr>
          <w:rFonts w:ascii="Arial" w:hAnsi="Arial" w:cs="Arial"/>
        </w:rPr>
        <w:t>” se pudo observar que en el SECOP no se encuentran informes de supervisión y demás soportes de la ejecución del contrato</w:t>
      </w:r>
      <w:r w:rsidR="008C7333">
        <w:rPr>
          <w:rFonts w:ascii="Arial" w:hAnsi="Arial" w:cs="Arial"/>
        </w:rPr>
        <w:t xml:space="preserve">, a pesar de que se realizó la designación </w:t>
      </w:r>
      <w:r w:rsidR="008C2A4C">
        <w:rPr>
          <w:rFonts w:ascii="Arial" w:hAnsi="Arial" w:cs="Arial"/>
        </w:rPr>
        <w:t>como</w:t>
      </w:r>
      <w:r w:rsidR="008C7333">
        <w:rPr>
          <w:rFonts w:ascii="Arial" w:hAnsi="Arial" w:cs="Arial"/>
        </w:rPr>
        <w:t xml:space="preserve"> supervisor al Secretario de Desarrollo Social y Económico</w:t>
      </w:r>
      <w:r w:rsidRPr="002234D3">
        <w:rPr>
          <w:rFonts w:ascii="Arial" w:hAnsi="Arial" w:cs="Arial"/>
        </w:rPr>
        <w:t>.</w:t>
      </w:r>
    </w:p>
    <w:p w:rsidR="002234D3" w:rsidRPr="002234D3" w:rsidRDefault="002234D3" w:rsidP="00F4471B">
      <w:pPr>
        <w:spacing w:after="0" w:line="240" w:lineRule="auto"/>
        <w:contextualSpacing/>
        <w:jc w:val="both"/>
        <w:rPr>
          <w:rFonts w:ascii="Arial" w:hAnsi="Arial" w:cs="Arial"/>
        </w:rPr>
      </w:pPr>
    </w:p>
    <w:p w:rsidR="002234D3" w:rsidRDefault="002234D3">
      <w:pPr>
        <w:spacing w:line="240" w:lineRule="auto"/>
        <w:contextualSpacing/>
        <w:jc w:val="both"/>
        <w:rPr>
          <w:rFonts w:ascii="Arial" w:hAnsi="Arial" w:cs="Arial"/>
        </w:rPr>
      </w:pPr>
      <w:r w:rsidRPr="002234D3">
        <w:rPr>
          <w:rFonts w:ascii="Arial" w:hAnsi="Arial" w:cs="Arial"/>
        </w:rPr>
        <w:t>De igual manera, de acuerdo con el Informe de Monitoreo en Campo, en el SECOP (única fuente de información utilizada debido a que no se suministró el expediente), no se identifica documentación asociada a las etapas contractual y poscontractual: CDP, RP, pagos, informes de supervisión, actas de liquidación</w:t>
      </w:r>
      <w:r w:rsidR="001933D5">
        <w:rPr>
          <w:rFonts w:ascii="Arial" w:hAnsi="Arial" w:cs="Arial"/>
        </w:rPr>
        <w:t xml:space="preserve"> (cuando estas apliquen)</w:t>
      </w:r>
      <w:r w:rsidRPr="002234D3">
        <w:rPr>
          <w:rFonts w:ascii="Arial" w:hAnsi="Arial" w:cs="Arial"/>
        </w:rPr>
        <w:t>, entre otros</w:t>
      </w:r>
      <w:r w:rsidR="00E2748E">
        <w:rPr>
          <w:rFonts w:ascii="Arial" w:hAnsi="Arial" w:cs="Arial"/>
        </w:rPr>
        <w:t>,</w:t>
      </w:r>
      <w:r w:rsidRPr="002234D3">
        <w:rPr>
          <w:rFonts w:ascii="Arial" w:hAnsi="Arial" w:cs="Arial"/>
        </w:rPr>
        <w:t xml:space="preserve"> </w:t>
      </w:r>
      <w:r w:rsidR="00E2748E">
        <w:rPr>
          <w:rFonts w:ascii="Arial" w:hAnsi="Arial" w:cs="Arial"/>
        </w:rPr>
        <w:t>e</w:t>
      </w:r>
      <w:r w:rsidRPr="002234D3">
        <w:rPr>
          <w:rFonts w:ascii="Arial" w:hAnsi="Arial" w:cs="Arial"/>
        </w:rPr>
        <w:t xml:space="preserve">n el </w:t>
      </w:r>
      <w:r w:rsidRPr="002234D3">
        <w:rPr>
          <w:rFonts w:ascii="Arial" w:hAnsi="Arial" w:cs="Arial"/>
        </w:rPr>
        <w:lastRenderedPageBreak/>
        <w:t>Contrato MST-CD-CA-003-2017 con objeto “</w:t>
      </w:r>
      <w:r w:rsidRPr="002234D3">
        <w:rPr>
          <w:rFonts w:ascii="Arial" w:hAnsi="Arial" w:cs="Arial"/>
          <w:i/>
          <w:iCs/>
        </w:rPr>
        <w:t>Unión de esfuerzos administrativos y económicos para la ejecución del proyecto social denominado atención integral de los grupos vulnerables (niños, niñas y jóvenes, mujer y género, discapacitados, adulto mayor) del Municipio Santiago de Tolú, vigencia 2017</w:t>
      </w:r>
      <w:r w:rsidRPr="002234D3">
        <w:rPr>
          <w:rFonts w:ascii="Arial" w:hAnsi="Arial" w:cs="Arial"/>
        </w:rPr>
        <w:t>”.</w:t>
      </w:r>
    </w:p>
    <w:p w:rsidR="00E2748E" w:rsidRDefault="00E2748E" w:rsidP="00F4471B">
      <w:pPr>
        <w:spacing w:line="240" w:lineRule="auto"/>
        <w:contextualSpacing/>
        <w:jc w:val="both"/>
        <w:rPr>
          <w:rFonts w:ascii="Arial" w:hAnsi="Arial" w:cs="Arial"/>
        </w:rPr>
      </w:pPr>
    </w:p>
    <w:p w:rsidR="00224E4D" w:rsidRDefault="00224E4D">
      <w:pPr>
        <w:spacing w:after="0" w:line="240" w:lineRule="auto"/>
        <w:contextualSpacing/>
        <w:jc w:val="both"/>
        <w:rPr>
          <w:rFonts w:ascii="Arial" w:hAnsi="Arial" w:cs="Arial"/>
        </w:rPr>
      </w:pPr>
      <w:r>
        <w:rPr>
          <w:rFonts w:ascii="Arial" w:hAnsi="Arial" w:cs="Arial"/>
        </w:rPr>
        <w:t xml:space="preserve">Asimismo, en los </w:t>
      </w:r>
      <w:r w:rsidR="00E2748E">
        <w:rPr>
          <w:rFonts w:ascii="Arial" w:hAnsi="Arial" w:cs="Arial"/>
        </w:rPr>
        <w:t>C</w:t>
      </w:r>
      <w:r>
        <w:rPr>
          <w:rFonts w:ascii="Arial" w:hAnsi="Arial" w:cs="Arial"/>
        </w:rPr>
        <w:t xml:space="preserve">ontratos </w:t>
      </w:r>
      <w:r w:rsidRPr="00224E4D">
        <w:rPr>
          <w:rFonts w:ascii="Arial" w:hAnsi="Arial" w:cs="Arial"/>
        </w:rPr>
        <w:t>MST-MIN-019-2018</w:t>
      </w:r>
      <w:r>
        <w:rPr>
          <w:rFonts w:ascii="Arial" w:hAnsi="Arial" w:cs="Arial"/>
        </w:rPr>
        <w:t xml:space="preserve"> “</w:t>
      </w:r>
      <w:r w:rsidRPr="00224E4D">
        <w:rPr>
          <w:rFonts w:ascii="Arial" w:hAnsi="Arial" w:cs="Arial"/>
          <w:i/>
          <w:iCs/>
        </w:rPr>
        <w:t>Prestación de servicios de apoyo logístico para el desarrollo de actividades deportivas dirigida a las mujeres del municipio de Santiago de Tolú en marco de la celebración del día de la mujer 2018”</w:t>
      </w:r>
      <w:r>
        <w:rPr>
          <w:rFonts w:ascii="Arial" w:hAnsi="Arial" w:cs="Arial"/>
        </w:rPr>
        <w:t xml:space="preserve"> y </w:t>
      </w:r>
      <w:r w:rsidRPr="00224E4D">
        <w:rPr>
          <w:rFonts w:ascii="Arial" w:hAnsi="Arial" w:cs="Arial"/>
        </w:rPr>
        <w:t>MST-MIN-065-2018</w:t>
      </w:r>
      <w:r>
        <w:rPr>
          <w:rFonts w:ascii="Arial" w:hAnsi="Arial" w:cs="Arial"/>
        </w:rPr>
        <w:t xml:space="preserve"> “</w:t>
      </w:r>
      <w:r>
        <w:rPr>
          <w:rFonts w:ascii="Arial" w:hAnsi="Arial" w:cs="Arial"/>
          <w:i/>
          <w:iCs/>
        </w:rPr>
        <w:t>P</w:t>
      </w:r>
      <w:r w:rsidRPr="00224E4D">
        <w:rPr>
          <w:rFonts w:ascii="Arial" w:hAnsi="Arial" w:cs="Arial"/>
          <w:i/>
          <w:iCs/>
        </w:rPr>
        <w:t xml:space="preserve">restación de servicio para la implementación de campaña preventiva contra el uso de pólvora durante el mes de diciembre en el municipio de </w:t>
      </w:r>
      <w:r>
        <w:rPr>
          <w:rFonts w:ascii="Arial" w:hAnsi="Arial" w:cs="Arial"/>
          <w:i/>
          <w:iCs/>
        </w:rPr>
        <w:t>S</w:t>
      </w:r>
      <w:r w:rsidRPr="00224E4D">
        <w:rPr>
          <w:rFonts w:ascii="Arial" w:hAnsi="Arial" w:cs="Arial"/>
          <w:i/>
          <w:iCs/>
        </w:rPr>
        <w:t xml:space="preserve">antiago de </w:t>
      </w:r>
      <w:r>
        <w:rPr>
          <w:rFonts w:ascii="Arial" w:hAnsi="Arial" w:cs="Arial"/>
          <w:i/>
          <w:iCs/>
        </w:rPr>
        <w:t>T</w:t>
      </w:r>
      <w:r w:rsidRPr="00224E4D">
        <w:rPr>
          <w:rFonts w:ascii="Arial" w:hAnsi="Arial" w:cs="Arial"/>
          <w:i/>
          <w:iCs/>
        </w:rPr>
        <w:t>ol</w:t>
      </w:r>
      <w:r>
        <w:rPr>
          <w:rFonts w:ascii="Arial" w:hAnsi="Arial" w:cs="Arial"/>
          <w:i/>
          <w:iCs/>
        </w:rPr>
        <w:t>ú”</w:t>
      </w:r>
      <w:r w:rsidR="00E2748E">
        <w:rPr>
          <w:rFonts w:ascii="Arial" w:hAnsi="Arial" w:cs="Arial"/>
          <w:b/>
          <w:bCs/>
        </w:rPr>
        <w:t xml:space="preserve"> </w:t>
      </w:r>
      <w:r>
        <w:rPr>
          <w:rFonts w:ascii="Arial" w:hAnsi="Arial" w:cs="Arial"/>
        </w:rPr>
        <w:t xml:space="preserve">no se encuentran publicados los documentos de la etapa </w:t>
      </w:r>
      <w:r w:rsidR="00FD5006">
        <w:rPr>
          <w:rFonts w:ascii="Arial" w:hAnsi="Arial" w:cs="Arial"/>
        </w:rPr>
        <w:t>contractual</w:t>
      </w:r>
      <w:r>
        <w:rPr>
          <w:rFonts w:ascii="Arial" w:hAnsi="Arial" w:cs="Arial"/>
        </w:rPr>
        <w:t xml:space="preserve"> (informes de ejecución, </w:t>
      </w:r>
      <w:r w:rsidR="00FD5006">
        <w:rPr>
          <w:rFonts w:ascii="Arial" w:hAnsi="Arial" w:cs="Arial"/>
        </w:rPr>
        <w:t xml:space="preserve">informes de </w:t>
      </w:r>
      <w:r>
        <w:rPr>
          <w:rFonts w:ascii="Arial" w:hAnsi="Arial" w:cs="Arial"/>
        </w:rPr>
        <w:t>supervisión</w:t>
      </w:r>
      <w:r w:rsidR="00FD5006">
        <w:rPr>
          <w:rFonts w:ascii="Arial" w:hAnsi="Arial" w:cs="Arial"/>
        </w:rPr>
        <w:t>, evidencias de la ejecución del contrato</w:t>
      </w:r>
      <w:r>
        <w:rPr>
          <w:rFonts w:ascii="Arial" w:hAnsi="Arial" w:cs="Arial"/>
        </w:rPr>
        <w:t>)</w:t>
      </w:r>
      <w:r w:rsidR="00FD5006">
        <w:rPr>
          <w:rFonts w:ascii="Arial" w:hAnsi="Arial" w:cs="Arial"/>
        </w:rPr>
        <w:t>.</w:t>
      </w:r>
    </w:p>
    <w:p w:rsidR="00654B96" w:rsidRDefault="00654B96" w:rsidP="00F4471B">
      <w:pPr>
        <w:spacing w:after="0" w:line="240" w:lineRule="auto"/>
        <w:contextualSpacing/>
        <w:jc w:val="both"/>
        <w:rPr>
          <w:rFonts w:ascii="Arial" w:hAnsi="Arial" w:cs="Arial"/>
        </w:rPr>
      </w:pPr>
    </w:p>
    <w:p w:rsidR="00003F10" w:rsidRDefault="002234D3" w:rsidP="00F4471B">
      <w:pPr>
        <w:spacing w:after="0" w:line="240" w:lineRule="auto"/>
        <w:contextualSpacing/>
        <w:jc w:val="both"/>
        <w:rPr>
          <w:rFonts w:ascii="Arial" w:hAnsi="Arial" w:cs="Arial"/>
        </w:rPr>
      </w:pPr>
      <w:r w:rsidRPr="002234D3">
        <w:rPr>
          <w:rFonts w:ascii="Arial" w:hAnsi="Arial" w:cs="Arial"/>
        </w:rPr>
        <w:t xml:space="preserve">Lo anterior incumple las normas que buscan garantizar el </w:t>
      </w:r>
      <w:r w:rsidR="00E2748E">
        <w:rPr>
          <w:rFonts w:ascii="Arial" w:hAnsi="Arial" w:cs="Arial"/>
        </w:rPr>
        <w:t>P</w:t>
      </w:r>
      <w:r w:rsidRPr="002234D3">
        <w:rPr>
          <w:rFonts w:ascii="Arial" w:hAnsi="Arial" w:cs="Arial"/>
        </w:rPr>
        <w:t xml:space="preserve">rincipio de </w:t>
      </w:r>
      <w:r w:rsidR="00E2748E">
        <w:rPr>
          <w:rFonts w:ascii="Arial" w:hAnsi="Arial" w:cs="Arial"/>
        </w:rPr>
        <w:t>P</w:t>
      </w:r>
      <w:r w:rsidRPr="002234D3">
        <w:rPr>
          <w:rFonts w:ascii="Arial" w:hAnsi="Arial" w:cs="Arial"/>
        </w:rPr>
        <w:t xml:space="preserve">ublicidad en la contratación pública, contenidos en </w:t>
      </w:r>
      <w:r w:rsidR="00E2748E">
        <w:rPr>
          <w:rFonts w:ascii="Arial" w:hAnsi="Arial" w:cs="Arial"/>
        </w:rPr>
        <w:t xml:space="preserve">las Leyes 80 de 1993 y 1150 del 2007, así como en </w:t>
      </w:r>
      <w:r w:rsidRPr="002234D3">
        <w:rPr>
          <w:rFonts w:ascii="Arial" w:hAnsi="Arial" w:cs="Arial"/>
        </w:rPr>
        <w:t>los artículos 2.1.1.2.1.7 y 2.1.1.2.1.8 del Decreto 1081 de 2015 y los artículos 2.2.1.1.1.7.1 y 2.2.2.1.8.3 del Decreto 1082 de 2015 en lo relacionado con “</w:t>
      </w:r>
      <w:r w:rsidRPr="002234D3">
        <w:rPr>
          <w:rFonts w:ascii="Arial" w:hAnsi="Arial" w:cs="Arial"/>
          <w:i/>
          <w:iCs/>
        </w:rPr>
        <w:t>la publicidad de los procedimientos, documentos y actos asociados a los procesos de contratación</w:t>
      </w:r>
      <w:r w:rsidRPr="002234D3">
        <w:rPr>
          <w:rFonts w:ascii="Arial" w:hAnsi="Arial" w:cs="Arial"/>
        </w:rPr>
        <w:t>”.</w:t>
      </w:r>
    </w:p>
    <w:p w:rsidR="00654B96" w:rsidRDefault="00654B96" w:rsidP="00F4471B">
      <w:pPr>
        <w:spacing w:after="0" w:line="240" w:lineRule="auto"/>
        <w:contextualSpacing/>
        <w:jc w:val="both"/>
        <w:rPr>
          <w:rFonts w:ascii="Arial" w:hAnsi="Arial" w:cs="Arial"/>
        </w:rPr>
      </w:pPr>
    </w:p>
    <w:p w:rsidR="00003F10" w:rsidRDefault="00003F10">
      <w:pPr>
        <w:spacing w:line="240" w:lineRule="auto"/>
        <w:contextualSpacing/>
        <w:jc w:val="both"/>
        <w:rPr>
          <w:rFonts w:ascii="Arial" w:hAnsi="Arial" w:cs="Arial"/>
        </w:rPr>
      </w:pPr>
      <w:r>
        <w:rPr>
          <w:rFonts w:ascii="Arial" w:hAnsi="Arial" w:cs="Arial"/>
          <w:b/>
          <w:bCs/>
        </w:rPr>
        <w:t xml:space="preserve">Evidencia: </w:t>
      </w:r>
      <w:r w:rsidRPr="00893C8F">
        <w:rPr>
          <w:rFonts w:ascii="Arial" w:hAnsi="Arial" w:cs="Arial"/>
        </w:rPr>
        <w:t> los documentos obran en el expediente digital en el Sistema Electrónico Documental SIED del Ministerio de Hacienda y Crédito Público No. 6/2021/D028-PREDI el siguiente material probatorio:</w:t>
      </w:r>
    </w:p>
    <w:p w:rsidR="00E2748E" w:rsidRDefault="00E2748E" w:rsidP="00F4471B">
      <w:pPr>
        <w:spacing w:line="240" w:lineRule="auto"/>
        <w:contextualSpacing/>
        <w:jc w:val="both"/>
        <w:rPr>
          <w:rFonts w:ascii="Arial" w:hAnsi="Arial" w:cs="Arial"/>
        </w:rPr>
      </w:pPr>
    </w:p>
    <w:p w:rsidR="00AC31F9" w:rsidRPr="00F47325" w:rsidRDefault="00AC31F9" w:rsidP="00F4471B">
      <w:pPr>
        <w:pStyle w:val="Prrafodelista"/>
        <w:numPr>
          <w:ilvl w:val="0"/>
          <w:numId w:val="29"/>
        </w:numPr>
        <w:spacing w:line="240" w:lineRule="auto"/>
        <w:jc w:val="both"/>
        <w:rPr>
          <w:rFonts w:ascii="Arial" w:hAnsi="Arial" w:cs="Arial"/>
        </w:rPr>
      </w:pPr>
      <w:r w:rsidRPr="00F47325">
        <w:rPr>
          <w:rFonts w:ascii="Arial" w:hAnsi="Arial" w:cs="Arial"/>
        </w:rPr>
        <w:t>Pantallazo SECOP</w:t>
      </w:r>
      <w:r w:rsidR="008C7333" w:rsidRPr="00F47325">
        <w:rPr>
          <w:rFonts w:ascii="Arial" w:hAnsi="Arial" w:cs="Arial"/>
        </w:rPr>
        <w:t xml:space="preserve"> </w:t>
      </w:r>
      <w:r w:rsidR="00960BFC" w:rsidRPr="00F47325">
        <w:rPr>
          <w:rFonts w:ascii="Arial" w:hAnsi="Arial" w:cs="Arial"/>
        </w:rPr>
        <w:t xml:space="preserve">Detalle del proceso_ </w:t>
      </w:r>
      <w:r w:rsidR="008C7333" w:rsidRPr="00F47325">
        <w:rPr>
          <w:rFonts w:ascii="Arial" w:hAnsi="Arial" w:cs="Arial"/>
        </w:rPr>
        <w:t>MT-CD-CI-001-2017</w:t>
      </w:r>
      <w:r w:rsidR="00F47325">
        <w:rPr>
          <w:rFonts w:ascii="Arial" w:hAnsi="Arial" w:cs="Arial"/>
        </w:rPr>
        <w:t>.</w:t>
      </w:r>
      <w:r w:rsidR="00F47325" w:rsidRPr="00F47325">
        <w:t xml:space="preserve"> </w:t>
      </w:r>
      <w:r w:rsidR="00F47325" w:rsidRPr="00F47325">
        <w:rPr>
          <w:rFonts w:ascii="Arial" w:hAnsi="Arial" w:cs="Arial"/>
        </w:rPr>
        <w:t>Participación de Propósito General. Municipio de Santiago de Tolú – Sucre. Serie “</w:t>
      </w:r>
      <w:r w:rsidR="00F47325" w:rsidRPr="00F4471B">
        <w:rPr>
          <w:rFonts w:ascii="Arial" w:hAnsi="Arial" w:cs="Arial"/>
          <w:i/>
          <w:iCs/>
        </w:rPr>
        <w:t>Historial de Seguimiento y Control a los Recursos del Sistema General de Participaciones – Diagnóstico</w:t>
      </w:r>
      <w:r w:rsidR="00F47325" w:rsidRPr="00F47325">
        <w:rPr>
          <w:rFonts w:ascii="Arial" w:hAnsi="Arial" w:cs="Arial"/>
        </w:rPr>
        <w:t xml:space="preserve">”. Expediente digital No. 6/2021/D028-PREDI. </w:t>
      </w:r>
      <w:hyperlink r:id="rId69" w:history="1">
        <w:r w:rsidR="00F05D80" w:rsidRPr="008756E8">
          <w:rPr>
            <w:rStyle w:val="Hipervnculo"/>
            <w:rFonts w:ascii="Arial" w:hAnsi="Arial" w:cs="Arial"/>
          </w:rPr>
          <w:t>http://portalgestiondoc.minhacienda.red/PortalEmpleado/viewer.jsp?config=dWdmvg2C2KmXmlmzHRGYsWJpSjKEF2YXkgU3VILhl9EMts/HQN3KZ8KADN1oGbduoVvWJs7oHcky8so5dNWHZDwtx6jkuEJSwQlCeHsgCoLnMIGQYrth7Xwa+wCYXzXHFPGm3Uxnmzol9gHR4ACVQuhqTYQkn4bowOU6EL3WSpiygmSUFF7xNaIrtZH0QHld&amp;guid=4486575917a3a705b1a719d&amp;idrepository=879</w:t>
        </w:r>
      </w:hyperlink>
      <w:r w:rsidR="00F05D80">
        <w:rPr>
          <w:rFonts w:ascii="Arial" w:hAnsi="Arial" w:cs="Arial"/>
        </w:rPr>
        <w:t xml:space="preserve"> </w:t>
      </w:r>
    </w:p>
    <w:p w:rsidR="00AC31F9" w:rsidRPr="00F47325" w:rsidRDefault="00AC31F9">
      <w:pPr>
        <w:pStyle w:val="Prrafodelista"/>
        <w:numPr>
          <w:ilvl w:val="0"/>
          <w:numId w:val="29"/>
        </w:numPr>
        <w:spacing w:line="240" w:lineRule="auto"/>
        <w:jc w:val="both"/>
        <w:rPr>
          <w:rFonts w:ascii="Arial" w:hAnsi="Arial" w:cs="Arial"/>
          <w:b/>
          <w:bCs/>
        </w:rPr>
      </w:pPr>
      <w:r>
        <w:rPr>
          <w:rFonts w:ascii="Arial" w:hAnsi="Arial" w:cs="Arial"/>
        </w:rPr>
        <w:t>Pantallazo SECOP</w:t>
      </w:r>
      <w:r w:rsidR="008C7333">
        <w:rPr>
          <w:rFonts w:ascii="Arial" w:hAnsi="Arial" w:cs="Arial"/>
        </w:rPr>
        <w:t xml:space="preserve"> </w:t>
      </w:r>
      <w:r w:rsidR="00960BFC" w:rsidRPr="00960BFC">
        <w:rPr>
          <w:rFonts w:ascii="Arial" w:hAnsi="Arial" w:cs="Arial"/>
        </w:rPr>
        <w:t xml:space="preserve">Detalle del proceso_ MST-CD-CA- 005 </w:t>
      </w:r>
      <w:r w:rsidR="00F47325">
        <w:rPr>
          <w:rFonts w:ascii="Arial" w:hAnsi="Arial" w:cs="Arial"/>
        </w:rPr>
        <w:t>–</w:t>
      </w:r>
      <w:r w:rsidR="00960BFC" w:rsidRPr="00960BFC">
        <w:rPr>
          <w:rFonts w:ascii="Arial" w:hAnsi="Arial" w:cs="Arial"/>
        </w:rPr>
        <w:t xml:space="preserve"> 2017</w:t>
      </w:r>
      <w:r w:rsidR="00F47325">
        <w:rPr>
          <w:rFonts w:ascii="Arial" w:hAnsi="Arial" w:cs="Arial"/>
        </w:rPr>
        <w:t>.</w:t>
      </w:r>
      <w:r w:rsidR="00F47325" w:rsidRPr="00F47325">
        <w:rPr>
          <w:rFonts w:ascii="Arial" w:hAnsi="Arial" w:cs="Arial"/>
        </w:rPr>
        <w:t xml:space="preserve"> </w:t>
      </w:r>
      <w:r w:rsidR="00F47325" w:rsidRPr="00893C8F">
        <w:rPr>
          <w:rFonts w:ascii="Arial" w:hAnsi="Arial" w:cs="Arial"/>
        </w:rPr>
        <w:t xml:space="preserve">Participación de Propósito General. Municipio de </w:t>
      </w:r>
      <w:r w:rsidR="00F47325">
        <w:rPr>
          <w:rFonts w:ascii="Arial" w:hAnsi="Arial" w:cs="Arial"/>
        </w:rPr>
        <w:t>Santiago de Tolú</w:t>
      </w:r>
      <w:r w:rsidR="00F47325" w:rsidRPr="00893C8F">
        <w:rPr>
          <w:rFonts w:ascii="Arial" w:hAnsi="Arial" w:cs="Arial"/>
        </w:rPr>
        <w:t xml:space="preserve"> – Sucre. Serie “</w:t>
      </w:r>
      <w:r w:rsidR="00F47325" w:rsidRPr="00F4471B">
        <w:rPr>
          <w:rFonts w:ascii="Arial" w:hAnsi="Arial" w:cs="Arial"/>
          <w:i/>
          <w:iCs/>
        </w:rPr>
        <w:t>Historial de Seguimiento y Control a los Recursos del Sistema General de Participaciones – Diagnóstico</w:t>
      </w:r>
      <w:r w:rsidR="00F47325" w:rsidRPr="00893C8F">
        <w:rPr>
          <w:rFonts w:ascii="Arial" w:hAnsi="Arial" w:cs="Arial"/>
        </w:rPr>
        <w:t xml:space="preserve">”. Expediente digital No. </w:t>
      </w:r>
      <w:r w:rsidR="00F47325">
        <w:rPr>
          <w:rFonts w:ascii="Arial" w:hAnsi="Arial" w:cs="Arial"/>
        </w:rPr>
        <w:t>6</w:t>
      </w:r>
      <w:r w:rsidR="00F47325" w:rsidRPr="00893C8F">
        <w:rPr>
          <w:rFonts w:ascii="Arial" w:hAnsi="Arial" w:cs="Arial"/>
        </w:rPr>
        <w:t>/2021/D028-PREDI</w:t>
      </w:r>
      <w:r w:rsidR="00F47325">
        <w:rPr>
          <w:rFonts w:ascii="Arial" w:hAnsi="Arial" w:cs="Arial"/>
        </w:rPr>
        <w:t xml:space="preserve">. </w:t>
      </w:r>
      <w:hyperlink r:id="rId70" w:history="1">
        <w:r w:rsidR="00F05D80" w:rsidRPr="008756E8">
          <w:rPr>
            <w:rStyle w:val="Hipervnculo"/>
            <w:rFonts w:ascii="Arial" w:hAnsi="Arial" w:cs="Arial"/>
          </w:rPr>
          <w:t>http://portalgestiondoc.minhacienda.red/PortalEmpleado/viewer.jsp?config=o34kF2mmBPQUfYHHp8krEntzYoug43YQujTPwvH7lXUOrFQlqEVEKqxJV11CGCgSvzzMA2Gob0c/L7r/GBFzfzC7/6Uw3m+b+rmiWS0ARkqKYOdu4rtHfESIehl9CAcmqgQmqIcjH/Zq2/2cfxVPwhrIxVp434cH7WCLljTd3N7kpTZ+dRobVurF6MLGxiD7&amp;guid=4486575917a3a705b1a7197&amp;idrepository=879</w:t>
        </w:r>
      </w:hyperlink>
      <w:r w:rsidR="00F05D80">
        <w:rPr>
          <w:rFonts w:ascii="Arial" w:hAnsi="Arial" w:cs="Arial"/>
        </w:rPr>
        <w:t xml:space="preserve"> </w:t>
      </w:r>
    </w:p>
    <w:p w:rsidR="00AC31F9" w:rsidRPr="00F47325" w:rsidRDefault="00AC31F9">
      <w:pPr>
        <w:pStyle w:val="Prrafodelista"/>
        <w:numPr>
          <w:ilvl w:val="0"/>
          <w:numId w:val="29"/>
        </w:numPr>
        <w:spacing w:line="240" w:lineRule="auto"/>
        <w:jc w:val="both"/>
        <w:rPr>
          <w:rFonts w:ascii="Arial" w:hAnsi="Arial" w:cs="Arial"/>
          <w:b/>
          <w:bCs/>
        </w:rPr>
      </w:pPr>
      <w:r>
        <w:rPr>
          <w:rFonts w:ascii="Arial" w:hAnsi="Arial" w:cs="Arial"/>
        </w:rPr>
        <w:t>Pantallazo SECOP</w:t>
      </w:r>
      <w:r w:rsidR="008C7333">
        <w:rPr>
          <w:rFonts w:ascii="Arial" w:hAnsi="Arial" w:cs="Arial"/>
        </w:rPr>
        <w:t xml:space="preserve"> </w:t>
      </w:r>
      <w:r w:rsidR="00224E4D" w:rsidRPr="00224E4D">
        <w:rPr>
          <w:rFonts w:ascii="Arial" w:hAnsi="Arial" w:cs="Arial"/>
        </w:rPr>
        <w:t xml:space="preserve">Detalle del proceso_ MST-CD-CA- 003 </w:t>
      </w:r>
      <w:r w:rsidR="00224E4D">
        <w:rPr>
          <w:rFonts w:ascii="Arial" w:hAnsi="Arial" w:cs="Arial"/>
        </w:rPr>
        <w:t>–</w:t>
      </w:r>
      <w:r w:rsidR="00224E4D" w:rsidRPr="00224E4D">
        <w:rPr>
          <w:rFonts w:ascii="Arial" w:hAnsi="Arial" w:cs="Arial"/>
        </w:rPr>
        <w:t xml:space="preserve"> 2017</w:t>
      </w:r>
      <w:r w:rsidR="00F47325">
        <w:rPr>
          <w:rFonts w:ascii="Arial" w:hAnsi="Arial" w:cs="Arial"/>
        </w:rPr>
        <w:t xml:space="preserve">. </w:t>
      </w:r>
      <w:r w:rsidR="00F47325" w:rsidRPr="00893C8F">
        <w:rPr>
          <w:rFonts w:ascii="Arial" w:hAnsi="Arial" w:cs="Arial"/>
        </w:rPr>
        <w:t xml:space="preserve">Participación de Propósito General. Municipio de </w:t>
      </w:r>
      <w:r w:rsidR="00F47325">
        <w:rPr>
          <w:rFonts w:ascii="Arial" w:hAnsi="Arial" w:cs="Arial"/>
        </w:rPr>
        <w:t>Santiago de Tolú</w:t>
      </w:r>
      <w:r w:rsidR="00F47325" w:rsidRPr="00893C8F">
        <w:rPr>
          <w:rFonts w:ascii="Arial" w:hAnsi="Arial" w:cs="Arial"/>
        </w:rPr>
        <w:t xml:space="preserve"> – Sucre. Serie “</w:t>
      </w:r>
      <w:r w:rsidR="00F47325" w:rsidRPr="00F4471B">
        <w:rPr>
          <w:rFonts w:ascii="Arial" w:hAnsi="Arial" w:cs="Arial"/>
          <w:i/>
          <w:iCs/>
        </w:rPr>
        <w:t>Historial de Seguimiento y Control a los Recursos del Sistema General de Participaciones – Diagnóstico</w:t>
      </w:r>
      <w:r w:rsidR="00F47325" w:rsidRPr="00893C8F">
        <w:rPr>
          <w:rFonts w:ascii="Arial" w:hAnsi="Arial" w:cs="Arial"/>
        </w:rPr>
        <w:t xml:space="preserve">”. Expediente digital No. </w:t>
      </w:r>
      <w:r w:rsidR="00F47325">
        <w:rPr>
          <w:rFonts w:ascii="Arial" w:hAnsi="Arial" w:cs="Arial"/>
        </w:rPr>
        <w:t>6</w:t>
      </w:r>
      <w:r w:rsidR="00F47325" w:rsidRPr="00893C8F">
        <w:rPr>
          <w:rFonts w:ascii="Arial" w:hAnsi="Arial" w:cs="Arial"/>
        </w:rPr>
        <w:t>/2021/D028-PREDI</w:t>
      </w:r>
      <w:r w:rsidR="00F47325">
        <w:rPr>
          <w:rFonts w:ascii="Arial" w:hAnsi="Arial" w:cs="Arial"/>
        </w:rPr>
        <w:t xml:space="preserve">. </w:t>
      </w:r>
      <w:hyperlink r:id="rId71" w:history="1">
        <w:r w:rsidR="00F05D80" w:rsidRPr="008756E8">
          <w:rPr>
            <w:rStyle w:val="Hipervnculo"/>
            <w:rFonts w:ascii="Arial" w:hAnsi="Arial" w:cs="Arial"/>
          </w:rPr>
          <w:t>http://portalgestiondoc.minhacienda.red/PortalEmpleado/viewer.jsp?config=mjhrYB</w:t>
        </w:r>
        <w:r w:rsidR="00F05D80" w:rsidRPr="008756E8">
          <w:rPr>
            <w:rStyle w:val="Hipervnculo"/>
            <w:rFonts w:ascii="Arial" w:hAnsi="Arial" w:cs="Arial"/>
          </w:rPr>
          <w:lastRenderedPageBreak/>
          <w:t>pKLJjvwxopqxtJOlrYXogx5tWhg3B5VeNfEOifUtlX6tJc1b5BNwRyyBaor/0S8cv8e8+4QGm38y/Lk2M17EX5qFju+MDMyfqMds8HcemVLc28Ii3uK2BXMp3mLD9rIK2cekf6LPsO1OLn8+Muvxk99HLkNMfBCh3EMJ2Gg9tnmfMIc2Z85qR78N5b&amp;guid=4486575917a3a705b1a7195&amp;idrepository=879</w:t>
        </w:r>
      </w:hyperlink>
      <w:r w:rsidR="00F05D80">
        <w:rPr>
          <w:rFonts w:ascii="Arial" w:hAnsi="Arial" w:cs="Arial"/>
        </w:rPr>
        <w:t xml:space="preserve"> </w:t>
      </w:r>
    </w:p>
    <w:p w:rsidR="009A59F3" w:rsidRPr="00F47325" w:rsidRDefault="009A59F3">
      <w:pPr>
        <w:pStyle w:val="Prrafodelista"/>
        <w:numPr>
          <w:ilvl w:val="0"/>
          <w:numId w:val="29"/>
        </w:numPr>
        <w:spacing w:line="240" w:lineRule="auto"/>
        <w:jc w:val="both"/>
        <w:rPr>
          <w:rFonts w:ascii="Arial" w:hAnsi="Arial" w:cs="Arial"/>
          <w:b/>
          <w:bCs/>
        </w:rPr>
      </w:pPr>
      <w:r>
        <w:rPr>
          <w:rFonts w:ascii="Arial" w:hAnsi="Arial" w:cs="Arial"/>
        </w:rPr>
        <w:t xml:space="preserve">Pantallazo SECOP </w:t>
      </w:r>
      <w:r w:rsidRPr="009A59F3">
        <w:rPr>
          <w:rFonts w:ascii="Arial" w:hAnsi="Arial" w:cs="Arial"/>
        </w:rPr>
        <w:t>Detalle del proceso_ MST-MIN-019-2018</w:t>
      </w:r>
      <w:r w:rsidR="00F47325">
        <w:rPr>
          <w:rFonts w:ascii="Arial" w:hAnsi="Arial" w:cs="Arial"/>
        </w:rPr>
        <w:t xml:space="preserve">. </w:t>
      </w:r>
      <w:r w:rsidR="00F47325" w:rsidRPr="00893C8F">
        <w:rPr>
          <w:rFonts w:ascii="Arial" w:hAnsi="Arial" w:cs="Arial"/>
        </w:rPr>
        <w:t xml:space="preserve">Participación de Propósito General. Municipio de </w:t>
      </w:r>
      <w:r w:rsidR="00F47325">
        <w:rPr>
          <w:rFonts w:ascii="Arial" w:hAnsi="Arial" w:cs="Arial"/>
        </w:rPr>
        <w:t>Santiago de Tolú</w:t>
      </w:r>
      <w:r w:rsidR="00F47325" w:rsidRPr="00893C8F">
        <w:rPr>
          <w:rFonts w:ascii="Arial" w:hAnsi="Arial" w:cs="Arial"/>
        </w:rPr>
        <w:t xml:space="preserve"> – Sucre. Serie “</w:t>
      </w:r>
      <w:r w:rsidR="00F47325" w:rsidRPr="00F4471B">
        <w:rPr>
          <w:rFonts w:ascii="Arial" w:hAnsi="Arial" w:cs="Arial"/>
          <w:i/>
          <w:iCs/>
        </w:rPr>
        <w:t>Historial de Seguimiento y Control a los Recursos del Sistema General de Participaciones – Diagnóstico</w:t>
      </w:r>
      <w:r w:rsidR="00F47325" w:rsidRPr="00893C8F">
        <w:rPr>
          <w:rFonts w:ascii="Arial" w:hAnsi="Arial" w:cs="Arial"/>
        </w:rPr>
        <w:t xml:space="preserve">”. Expediente digital No. </w:t>
      </w:r>
      <w:r w:rsidR="00F47325">
        <w:rPr>
          <w:rFonts w:ascii="Arial" w:hAnsi="Arial" w:cs="Arial"/>
        </w:rPr>
        <w:t>6</w:t>
      </w:r>
      <w:r w:rsidR="00F47325" w:rsidRPr="00893C8F">
        <w:rPr>
          <w:rFonts w:ascii="Arial" w:hAnsi="Arial" w:cs="Arial"/>
        </w:rPr>
        <w:t>/2021/D028-PREDI</w:t>
      </w:r>
      <w:r w:rsidR="00F47325">
        <w:rPr>
          <w:rFonts w:ascii="Arial" w:hAnsi="Arial" w:cs="Arial"/>
        </w:rPr>
        <w:t xml:space="preserve">. </w:t>
      </w:r>
      <w:hyperlink r:id="rId72" w:history="1">
        <w:r w:rsidR="00F05D80" w:rsidRPr="008756E8">
          <w:rPr>
            <w:rStyle w:val="Hipervnculo"/>
            <w:rFonts w:ascii="Arial" w:hAnsi="Arial" w:cs="Arial"/>
          </w:rPr>
          <w:t>http://portalgestiondoc.minhacienda.red/PortalEmpleado/viewer.jsp?config=ImCm01Vkl55wifGnrnbopKxHP9gPP8fVRFz+fvIfAq9orPLvo+w9/Ojrbl8yLdySMDzbgMNDQDSnfnZYFSjOowFQmxM2ao7/uNSNBTRpYKAC0R/kw+xrqzqCcAqtymscmsxRxxlbsdNmpLRqYmbNyvouv8rPhwDT6WArnNUL5RRofb/aKfqAGqIkxtQfnwuB&amp;guid=4486575917a3a705b1a7199&amp;idrepository=879</w:t>
        </w:r>
      </w:hyperlink>
      <w:r w:rsidR="00F05D80">
        <w:rPr>
          <w:rFonts w:ascii="Arial" w:hAnsi="Arial" w:cs="Arial"/>
        </w:rPr>
        <w:t xml:space="preserve"> </w:t>
      </w:r>
    </w:p>
    <w:p w:rsidR="00224E4D" w:rsidRPr="00E132D3" w:rsidRDefault="00224E4D">
      <w:pPr>
        <w:pStyle w:val="Prrafodelista"/>
        <w:numPr>
          <w:ilvl w:val="0"/>
          <w:numId w:val="29"/>
        </w:numPr>
        <w:spacing w:line="240" w:lineRule="auto"/>
        <w:jc w:val="both"/>
        <w:rPr>
          <w:rFonts w:ascii="Arial" w:hAnsi="Arial" w:cs="Arial"/>
          <w:b/>
          <w:bCs/>
        </w:rPr>
      </w:pPr>
      <w:r w:rsidRPr="00E132D3">
        <w:rPr>
          <w:rFonts w:ascii="Arial" w:hAnsi="Arial" w:cs="Arial"/>
        </w:rPr>
        <w:t xml:space="preserve">Pantallazo SECOP </w:t>
      </w:r>
      <w:r w:rsidR="009A59F3" w:rsidRPr="00E132D3">
        <w:rPr>
          <w:rFonts w:ascii="Arial" w:hAnsi="Arial" w:cs="Arial"/>
        </w:rPr>
        <w:t>Detalle del proceso_ MST-MIN-065-2018</w:t>
      </w:r>
      <w:r w:rsidR="00F47325" w:rsidRPr="00E132D3">
        <w:rPr>
          <w:rFonts w:ascii="Arial" w:hAnsi="Arial" w:cs="Arial"/>
        </w:rPr>
        <w:t>. Participación de Propósito General. Municipio de Santiago de Tolú – Sucre. Serie “</w:t>
      </w:r>
      <w:r w:rsidR="00F47325" w:rsidRPr="00F4471B">
        <w:rPr>
          <w:rFonts w:ascii="Arial" w:hAnsi="Arial" w:cs="Arial"/>
          <w:i/>
          <w:iCs/>
        </w:rPr>
        <w:t>Historial de Seguimiento y Control a los Recursos del Sistema General de Participaciones – Diagnóstico</w:t>
      </w:r>
      <w:r w:rsidR="00F47325" w:rsidRPr="00E132D3">
        <w:rPr>
          <w:rFonts w:ascii="Arial" w:hAnsi="Arial" w:cs="Arial"/>
        </w:rPr>
        <w:t xml:space="preserve">”. Expediente digital No. 6/2021/D028-PREDI. </w:t>
      </w:r>
      <w:hyperlink r:id="rId73" w:history="1">
        <w:r w:rsidR="00F05D80" w:rsidRPr="008756E8">
          <w:rPr>
            <w:rStyle w:val="Hipervnculo"/>
            <w:rFonts w:ascii="Arial" w:hAnsi="Arial" w:cs="Arial"/>
          </w:rPr>
          <w:t>http://portalgestiondoc.minhacienda.red/PortalEmpleado/viewer.jsp?config=navoEXDqUae/WYJ/IKMSXP2HlQQMC0OiaTjbVONsG59ObtIh6AX62G/qqu/v1uMPSpMy0FcCNEY2Faw7XJRh7ZpjHyGqvbFN23SXqq6suL9q4seRz5wP8VVl7357jXhTvo+y/Gp4vebDN7ciQbNGkoby3astUawf97O5j0BE+Iy4/hIBf6wqX7NeLN+aKhKm&amp;guid=4486575917a3a705b1a719b&amp;idrepository=879</w:t>
        </w:r>
      </w:hyperlink>
      <w:r w:rsidR="00F05D80">
        <w:rPr>
          <w:rFonts w:ascii="Arial" w:hAnsi="Arial" w:cs="Arial"/>
        </w:rPr>
        <w:t xml:space="preserve"> </w:t>
      </w:r>
    </w:p>
    <w:p w:rsidR="00E2748E" w:rsidRDefault="00E2748E">
      <w:pPr>
        <w:spacing w:line="240" w:lineRule="auto"/>
        <w:contextualSpacing/>
        <w:jc w:val="both"/>
        <w:rPr>
          <w:rFonts w:ascii="Arial" w:hAnsi="Arial" w:cs="Arial"/>
          <w:b/>
          <w:bCs/>
        </w:rPr>
      </w:pPr>
    </w:p>
    <w:p w:rsidR="00ED4989" w:rsidRDefault="00ED4989">
      <w:pPr>
        <w:spacing w:line="240" w:lineRule="auto"/>
        <w:contextualSpacing/>
        <w:jc w:val="both"/>
        <w:rPr>
          <w:rFonts w:ascii="Arial" w:hAnsi="Arial" w:cs="Arial"/>
          <w:b/>
          <w:bCs/>
        </w:rPr>
      </w:pPr>
      <w:r>
        <w:rPr>
          <w:rFonts w:ascii="Arial" w:hAnsi="Arial" w:cs="Arial"/>
          <w:b/>
          <w:bCs/>
        </w:rPr>
        <w:t xml:space="preserve">EVENTO DE RIESGO 9.18 </w:t>
      </w:r>
      <w:r w:rsidR="00E2748E">
        <w:rPr>
          <w:rFonts w:ascii="Arial" w:hAnsi="Arial" w:cs="Arial"/>
          <w:b/>
          <w:bCs/>
        </w:rPr>
        <w:t>“</w:t>
      </w:r>
      <w:r w:rsidRPr="00F4471B">
        <w:rPr>
          <w:rFonts w:ascii="Arial" w:hAnsi="Arial" w:cs="Arial"/>
          <w:b/>
          <w:bCs/>
          <w:i/>
          <w:iCs/>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sidR="00E2748E">
        <w:rPr>
          <w:rFonts w:ascii="Arial" w:hAnsi="Arial" w:cs="Arial"/>
          <w:b/>
          <w:bCs/>
        </w:rPr>
        <w:t>”</w:t>
      </w:r>
      <w:r w:rsidRPr="00ED4989">
        <w:rPr>
          <w:rFonts w:ascii="Arial" w:hAnsi="Arial" w:cs="Arial"/>
          <w:b/>
          <w:bCs/>
        </w:rPr>
        <w:t>.</w:t>
      </w:r>
    </w:p>
    <w:p w:rsidR="00E2748E" w:rsidRDefault="00E2748E" w:rsidP="00F4471B">
      <w:pPr>
        <w:spacing w:line="240" w:lineRule="auto"/>
        <w:contextualSpacing/>
        <w:jc w:val="both"/>
        <w:rPr>
          <w:rFonts w:ascii="Arial" w:hAnsi="Arial" w:cs="Arial"/>
          <w:b/>
          <w:bCs/>
        </w:rPr>
      </w:pPr>
    </w:p>
    <w:p w:rsidR="004159C6" w:rsidRPr="004159C6" w:rsidRDefault="004159C6">
      <w:pPr>
        <w:pStyle w:val="Prrafodelista"/>
        <w:numPr>
          <w:ilvl w:val="0"/>
          <w:numId w:val="31"/>
        </w:numPr>
        <w:spacing w:line="240" w:lineRule="auto"/>
        <w:jc w:val="both"/>
        <w:rPr>
          <w:rFonts w:ascii="Arial" w:hAnsi="Arial" w:cs="Arial"/>
        </w:rPr>
      </w:pPr>
      <w:r w:rsidRPr="009E313F">
        <w:rPr>
          <w:rFonts w:ascii="Arial" w:eastAsia="Arial Narrow" w:hAnsi="Arial" w:cs="Arial"/>
          <w:b/>
          <w:bCs/>
        </w:rPr>
        <w:t>Incumplimiento del régimen de inhabilidades</w:t>
      </w:r>
    </w:p>
    <w:p w:rsidR="00E2748E" w:rsidRDefault="00E2748E">
      <w:pPr>
        <w:spacing w:line="240" w:lineRule="auto"/>
        <w:contextualSpacing/>
        <w:jc w:val="both"/>
        <w:rPr>
          <w:rFonts w:ascii="Arial" w:hAnsi="Arial" w:cs="Arial"/>
        </w:rPr>
      </w:pPr>
    </w:p>
    <w:p w:rsidR="00472AB4" w:rsidRDefault="00472AB4">
      <w:pPr>
        <w:spacing w:line="240" w:lineRule="auto"/>
        <w:contextualSpacing/>
        <w:jc w:val="both"/>
        <w:rPr>
          <w:rFonts w:ascii="Arial" w:hAnsi="Arial" w:cs="Arial"/>
        </w:rPr>
      </w:pPr>
      <w:r>
        <w:rPr>
          <w:rFonts w:ascii="Arial" w:hAnsi="Arial" w:cs="Arial"/>
        </w:rPr>
        <w:t>De acuerdo con Colombia Compra Eficiente</w:t>
      </w:r>
      <w:r w:rsidR="00654B96">
        <w:rPr>
          <w:rStyle w:val="Refdenotaalpie"/>
          <w:rFonts w:ascii="Arial" w:hAnsi="Arial" w:cs="Arial"/>
        </w:rPr>
        <w:footnoteReference w:id="6"/>
      </w:r>
      <w:r w:rsidR="00E2748E">
        <w:rPr>
          <w:rFonts w:ascii="Arial" w:hAnsi="Arial" w:cs="Arial"/>
        </w:rPr>
        <w:t>:</w:t>
      </w:r>
    </w:p>
    <w:p w:rsidR="00472AB4" w:rsidRDefault="00472AB4">
      <w:pPr>
        <w:spacing w:line="240" w:lineRule="auto"/>
        <w:contextualSpacing/>
        <w:jc w:val="both"/>
        <w:rPr>
          <w:rFonts w:ascii="Arial" w:hAnsi="Arial" w:cs="Arial"/>
        </w:rPr>
      </w:pPr>
    </w:p>
    <w:p w:rsidR="00472AB4" w:rsidRPr="00654B96" w:rsidRDefault="00472AB4" w:rsidP="00F4471B">
      <w:pPr>
        <w:spacing w:line="240" w:lineRule="auto"/>
        <w:ind w:left="1416"/>
        <w:contextualSpacing/>
        <w:jc w:val="both"/>
        <w:rPr>
          <w:rFonts w:ascii="Arial" w:hAnsi="Arial" w:cs="Arial"/>
          <w:b/>
          <w:bCs/>
          <w:i/>
          <w:iCs/>
          <w:sz w:val="18"/>
          <w:szCs w:val="18"/>
        </w:rPr>
      </w:pPr>
      <w:r w:rsidRPr="00654B96">
        <w:rPr>
          <w:rFonts w:ascii="Arial" w:hAnsi="Arial" w:cs="Arial"/>
          <w:i/>
          <w:iCs/>
          <w:sz w:val="18"/>
          <w:szCs w:val="18"/>
        </w:rPr>
        <w:t>“</w:t>
      </w:r>
      <w:r w:rsidR="00AF45D2">
        <w:rPr>
          <w:rFonts w:ascii="Arial" w:hAnsi="Arial" w:cs="Arial"/>
          <w:i/>
          <w:iCs/>
          <w:sz w:val="18"/>
          <w:szCs w:val="18"/>
        </w:rPr>
        <w:t>L</w:t>
      </w:r>
      <w:r w:rsidRPr="00654B96">
        <w:rPr>
          <w:rFonts w:ascii="Arial" w:hAnsi="Arial" w:cs="Arial"/>
          <w:i/>
          <w:iCs/>
          <w:sz w:val="18"/>
          <w:szCs w:val="18"/>
        </w:rPr>
        <w:t xml:space="preserve">as inhabilidades e incompatibilidades son aquellas circunstancias creadas por la Constitución o la ley que constituyen limitaciones a la capacidad para contratar con las entidades estatales y obedecen a la falta de aptitud o a la carencia de una cualidad, calidad o requisito del sujeto </w:t>
      </w:r>
      <w:r w:rsidRPr="00654B96">
        <w:rPr>
          <w:rFonts w:ascii="Arial" w:hAnsi="Arial" w:cs="Arial"/>
          <w:b/>
          <w:bCs/>
          <w:i/>
          <w:iCs/>
          <w:sz w:val="18"/>
          <w:szCs w:val="18"/>
        </w:rPr>
        <w:t>que lo incapacita para poder ser parte en una relación contractual con dichas entidades</w:t>
      </w:r>
      <w:r w:rsidRPr="00654B96">
        <w:rPr>
          <w:rFonts w:ascii="Arial" w:hAnsi="Arial" w:cs="Arial"/>
          <w:i/>
          <w:iCs/>
          <w:sz w:val="18"/>
          <w:szCs w:val="18"/>
        </w:rPr>
        <w:t>, por razones vinculadas con los altos intereses públicos envueltos en las operaciones contractuales que exigen que éstas se realicen con arreglo a criterios de imparcialidad, eficacia, eficiencia, moralidad y transparencia”</w:t>
      </w:r>
      <w:r w:rsidR="00E2748E">
        <w:rPr>
          <w:rFonts w:ascii="Arial" w:hAnsi="Arial" w:cs="Arial"/>
          <w:i/>
          <w:iCs/>
          <w:sz w:val="18"/>
          <w:szCs w:val="18"/>
        </w:rPr>
        <w:t>.</w:t>
      </w:r>
      <w:r w:rsidRPr="00654B96">
        <w:rPr>
          <w:rFonts w:ascii="Arial" w:hAnsi="Arial" w:cs="Arial"/>
          <w:i/>
          <w:iCs/>
          <w:sz w:val="18"/>
          <w:szCs w:val="18"/>
        </w:rPr>
        <w:t xml:space="preserve"> </w:t>
      </w:r>
      <w:r w:rsidRPr="00654B96">
        <w:rPr>
          <w:rFonts w:ascii="Arial" w:hAnsi="Arial" w:cs="Arial"/>
          <w:b/>
          <w:bCs/>
          <w:i/>
          <w:iCs/>
          <w:sz w:val="18"/>
          <w:szCs w:val="18"/>
        </w:rPr>
        <w:t>(Énfasis fuera del texto)</w:t>
      </w:r>
    </w:p>
    <w:p w:rsidR="00472AB4" w:rsidRDefault="00472AB4" w:rsidP="00F4471B">
      <w:pPr>
        <w:spacing w:line="240" w:lineRule="auto"/>
        <w:contextualSpacing/>
        <w:jc w:val="both"/>
        <w:rPr>
          <w:rFonts w:ascii="Arial" w:hAnsi="Arial" w:cs="Arial"/>
        </w:rPr>
      </w:pPr>
    </w:p>
    <w:p w:rsidR="004159C6" w:rsidRPr="00BE36D3" w:rsidRDefault="004159C6">
      <w:pPr>
        <w:spacing w:line="240" w:lineRule="auto"/>
        <w:contextualSpacing/>
        <w:jc w:val="both"/>
        <w:rPr>
          <w:rFonts w:ascii="Arial" w:hAnsi="Arial" w:cs="Arial"/>
        </w:rPr>
      </w:pPr>
      <w:r>
        <w:rPr>
          <w:rFonts w:ascii="Arial" w:hAnsi="Arial" w:cs="Arial"/>
        </w:rPr>
        <w:lastRenderedPageBreak/>
        <w:t>E</w:t>
      </w:r>
      <w:r w:rsidR="00F4471B">
        <w:rPr>
          <w:rFonts w:ascii="Arial" w:hAnsi="Arial" w:cs="Arial"/>
        </w:rPr>
        <w:t>n el artículo 8</w:t>
      </w:r>
      <w:r w:rsidRPr="00BE36D3">
        <w:rPr>
          <w:rFonts w:ascii="Arial" w:hAnsi="Arial" w:cs="Arial"/>
        </w:rPr>
        <w:t xml:space="preserve"> de la Ley 80 de 1993, literal f, se inhabilita para celebrar contratos con las entidades estatales a los servidores públicos. De igual manera, el artículo 9° de la mencionada norma establece que:</w:t>
      </w:r>
    </w:p>
    <w:p w:rsidR="004159C6" w:rsidRPr="00BE36D3" w:rsidRDefault="004159C6">
      <w:pPr>
        <w:spacing w:line="240" w:lineRule="auto"/>
        <w:contextualSpacing/>
        <w:jc w:val="both"/>
        <w:rPr>
          <w:rFonts w:ascii="Arial" w:hAnsi="Arial" w:cs="Arial"/>
        </w:rPr>
      </w:pPr>
    </w:p>
    <w:p w:rsidR="004159C6" w:rsidRPr="00BE36D3" w:rsidRDefault="004159C6">
      <w:pPr>
        <w:spacing w:line="240" w:lineRule="auto"/>
        <w:ind w:left="1416"/>
        <w:contextualSpacing/>
        <w:jc w:val="both"/>
        <w:rPr>
          <w:rFonts w:ascii="Arial" w:hAnsi="Arial" w:cs="Arial"/>
          <w:i/>
          <w:iCs/>
          <w:sz w:val="18"/>
          <w:szCs w:val="18"/>
        </w:rPr>
      </w:pPr>
      <w:r w:rsidRPr="00BE36D3">
        <w:rPr>
          <w:rFonts w:ascii="Arial" w:hAnsi="Arial" w:cs="Arial"/>
          <w:b/>
          <w:bCs/>
          <w:sz w:val="18"/>
          <w:szCs w:val="18"/>
        </w:rPr>
        <w:t>“</w:t>
      </w:r>
      <w:r w:rsidRPr="00BE36D3">
        <w:rPr>
          <w:rFonts w:ascii="Arial" w:hAnsi="Arial" w:cs="Arial"/>
          <w:b/>
          <w:bCs/>
          <w:i/>
          <w:iCs/>
          <w:sz w:val="18"/>
          <w:szCs w:val="18"/>
        </w:rPr>
        <w:t>Artículo 9º. De las inhabilidades e incompatibilidades sobrevinientes</w:t>
      </w:r>
      <w:r w:rsidRPr="00BE36D3">
        <w:rPr>
          <w:rFonts w:ascii="Arial" w:hAnsi="Arial" w:cs="Arial"/>
          <w:i/>
          <w:iCs/>
          <w:sz w:val="18"/>
          <w:szCs w:val="18"/>
        </w:rPr>
        <w:t>. Si llegare a sobrevenir inhabilidad o incompatibilidad en el contratista, este cederá el contrato previa autorización escrita de la entidad contratante o, si ello no fuere posible, renunciará a su ejecución.</w:t>
      </w:r>
    </w:p>
    <w:p w:rsidR="004159C6" w:rsidRPr="00BE36D3" w:rsidRDefault="004159C6">
      <w:pPr>
        <w:spacing w:line="240" w:lineRule="auto"/>
        <w:ind w:left="1416"/>
        <w:contextualSpacing/>
        <w:jc w:val="both"/>
        <w:rPr>
          <w:rFonts w:ascii="Arial" w:hAnsi="Arial" w:cs="Arial"/>
          <w:i/>
          <w:iCs/>
          <w:sz w:val="18"/>
          <w:szCs w:val="18"/>
        </w:rPr>
      </w:pPr>
    </w:p>
    <w:p w:rsidR="004159C6" w:rsidRPr="00BE36D3" w:rsidRDefault="004159C6">
      <w:pPr>
        <w:spacing w:line="240" w:lineRule="auto"/>
        <w:ind w:left="1416"/>
        <w:contextualSpacing/>
        <w:jc w:val="both"/>
        <w:rPr>
          <w:rFonts w:ascii="Arial" w:hAnsi="Arial" w:cs="Arial"/>
          <w:i/>
          <w:iCs/>
          <w:sz w:val="18"/>
          <w:szCs w:val="18"/>
        </w:rPr>
      </w:pPr>
      <w:r w:rsidRPr="00BE36D3">
        <w:rPr>
          <w:rFonts w:ascii="Arial" w:hAnsi="Arial" w:cs="Arial"/>
          <w:i/>
          <w:iCs/>
          <w:sz w:val="18"/>
          <w:szCs w:val="18"/>
        </w:rPr>
        <w:t>Cuando la inhabilidad o incompatibilidad sobrevenga en un proponente dentro de un proceso de selección, se entenderá que renuncia a la participación en el proceso de selección y a los derechos surgidos del mismo.</w:t>
      </w:r>
    </w:p>
    <w:p w:rsidR="004159C6" w:rsidRPr="00BE36D3" w:rsidRDefault="004159C6">
      <w:pPr>
        <w:spacing w:line="240" w:lineRule="auto"/>
        <w:ind w:left="1416"/>
        <w:contextualSpacing/>
        <w:jc w:val="both"/>
        <w:rPr>
          <w:rFonts w:ascii="Arial" w:hAnsi="Arial" w:cs="Arial"/>
          <w:i/>
          <w:iCs/>
          <w:sz w:val="18"/>
          <w:szCs w:val="18"/>
        </w:rPr>
      </w:pPr>
    </w:p>
    <w:p w:rsidR="004159C6" w:rsidRDefault="004159C6">
      <w:pPr>
        <w:spacing w:line="240" w:lineRule="auto"/>
        <w:ind w:left="1416"/>
        <w:contextualSpacing/>
        <w:jc w:val="both"/>
        <w:rPr>
          <w:rFonts w:ascii="Arial" w:hAnsi="Arial" w:cs="Arial"/>
          <w:sz w:val="18"/>
          <w:szCs w:val="18"/>
        </w:rPr>
      </w:pPr>
      <w:r w:rsidRPr="00BE36D3">
        <w:rPr>
          <w:rFonts w:ascii="Arial" w:hAnsi="Arial" w:cs="Arial"/>
          <w:i/>
          <w:iCs/>
          <w:sz w:val="18"/>
          <w:szCs w:val="18"/>
        </w:rPr>
        <w:t>Si la inhabilidad o incompatibilidad sobreviene en uno de los miembros de un consorcio o unión temporal, este cederá su participación a un tercero previa autorización escrita de la entidad contratante. En ningún caso podrá haber cesión del contrato entre quienes integran el consorcio o unión temporal</w:t>
      </w:r>
      <w:r w:rsidRPr="00BE36D3">
        <w:rPr>
          <w:rFonts w:ascii="Arial" w:hAnsi="Arial" w:cs="Arial"/>
          <w:sz w:val="18"/>
          <w:szCs w:val="18"/>
        </w:rPr>
        <w:t>”.</w:t>
      </w:r>
    </w:p>
    <w:p w:rsidR="00E132D3" w:rsidRPr="00F4471B" w:rsidRDefault="00E132D3" w:rsidP="00F4471B">
      <w:pPr>
        <w:spacing w:line="240" w:lineRule="auto"/>
        <w:contextualSpacing/>
        <w:jc w:val="both"/>
        <w:rPr>
          <w:rFonts w:ascii="Arial" w:hAnsi="Arial" w:cs="Arial"/>
          <w:i/>
          <w:iCs/>
        </w:rPr>
      </w:pPr>
    </w:p>
    <w:p w:rsidR="00E132D3" w:rsidRDefault="004159C6">
      <w:pPr>
        <w:spacing w:line="240" w:lineRule="auto"/>
        <w:contextualSpacing/>
        <w:jc w:val="both"/>
        <w:rPr>
          <w:rFonts w:ascii="Arial" w:hAnsi="Arial" w:cs="Arial"/>
        </w:rPr>
      </w:pPr>
      <w:r>
        <w:rPr>
          <w:rFonts w:ascii="Arial" w:hAnsi="Arial" w:cs="Arial"/>
        </w:rPr>
        <w:t>E</w:t>
      </w:r>
      <w:r w:rsidRPr="00BE36D3">
        <w:rPr>
          <w:rFonts w:ascii="Arial" w:hAnsi="Arial" w:cs="Arial"/>
        </w:rPr>
        <w:t xml:space="preserve">n el </w:t>
      </w:r>
      <w:r>
        <w:rPr>
          <w:rFonts w:ascii="Arial" w:hAnsi="Arial" w:cs="Arial"/>
        </w:rPr>
        <w:t>C</w:t>
      </w:r>
      <w:r w:rsidRPr="00BE36D3">
        <w:rPr>
          <w:rFonts w:ascii="Arial" w:hAnsi="Arial" w:cs="Arial"/>
        </w:rPr>
        <w:t xml:space="preserve">ontrato No. MST-CD-CA-003-2017 para la Atención Integral de los grupos vulnerables del Municipio de Santiago de Tolú – Sucre </w:t>
      </w:r>
      <w:r>
        <w:rPr>
          <w:rFonts w:ascii="Arial" w:hAnsi="Arial" w:cs="Arial"/>
        </w:rPr>
        <w:t>se identificó una situación</w:t>
      </w:r>
      <w:r w:rsidRPr="00BE36D3">
        <w:rPr>
          <w:rFonts w:ascii="Arial" w:hAnsi="Arial" w:cs="Arial"/>
        </w:rPr>
        <w:t xml:space="preserve"> </w:t>
      </w:r>
      <w:r>
        <w:rPr>
          <w:rFonts w:ascii="Arial" w:hAnsi="Arial" w:cs="Arial"/>
        </w:rPr>
        <w:t xml:space="preserve">que evidencia una inhabilidad sobreviniente en el proceso contractual por parte de la </w:t>
      </w:r>
      <w:r w:rsidR="00E2748E">
        <w:rPr>
          <w:rFonts w:ascii="Arial" w:hAnsi="Arial" w:cs="Arial"/>
        </w:rPr>
        <w:t>R</w:t>
      </w:r>
      <w:r>
        <w:rPr>
          <w:rFonts w:ascii="Arial" w:hAnsi="Arial" w:cs="Arial"/>
        </w:rPr>
        <w:t xml:space="preserve">epresentante </w:t>
      </w:r>
      <w:r w:rsidR="00E2748E">
        <w:rPr>
          <w:rFonts w:ascii="Arial" w:hAnsi="Arial" w:cs="Arial"/>
        </w:rPr>
        <w:t>L</w:t>
      </w:r>
      <w:r>
        <w:rPr>
          <w:rFonts w:ascii="Arial" w:hAnsi="Arial" w:cs="Arial"/>
        </w:rPr>
        <w:t>egal de la Fundación Surgir</w:t>
      </w:r>
      <w:r w:rsidRPr="00BE36D3">
        <w:rPr>
          <w:rFonts w:ascii="Arial" w:hAnsi="Arial" w:cs="Arial"/>
        </w:rPr>
        <w:t xml:space="preserve">. En todo el expediente contractual publicado en la plataforma SECOP se menciona que la </w:t>
      </w:r>
      <w:r>
        <w:rPr>
          <w:rFonts w:ascii="Arial" w:hAnsi="Arial" w:cs="Arial"/>
        </w:rPr>
        <w:t>R</w:t>
      </w:r>
      <w:r w:rsidRPr="00BE36D3">
        <w:rPr>
          <w:rFonts w:ascii="Arial" w:hAnsi="Arial" w:cs="Arial"/>
        </w:rPr>
        <w:t xml:space="preserve">epresentante </w:t>
      </w:r>
      <w:r>
        <w:rPr>
          <w:rFonts w:ascii="Arial" w:hAnsi="Arial" w:cs="Arial"/>
        </w:rPr>
        <w:t>L</w:t>
      </w:r>
      <w:r w:rsidRPr="00BE36D3">
        <w:rPr>
          <w:rFonts w:ascii="Arial" w:hAnsi="Arial" w:cs="Arial"/>
        </w:rPr>
        <w:t xml:space="preserve">egal de la </w:t>
      </w:r>
      <w:r w:rsidRPr="00C5770E">
        <w:rPr>
          <w:rFonts w:ascii="Arial" w:hAnsi="Arial" w:cs="Arial"/>
        </w:rPr>
        <w:t xml:space="preserve">Fundación Surgir </w:t>
      </w:r>
      <w:r w:rsidRPr="00BE36D3">
        <w:rPr>
          <w:rFonts w:ascii="Arial" w:hAnsi="Arial" w:cs="Arial"/>
        </w:rPr>
        <w:t xml:space="preserve">es la </w:t>
      </w:r>
      <w:r>
        <w:rPr>
          <w:rFonts w:ascii="Arial" w:hAnsi="Arial" w:cs="Arial"/>
        </w:rPr>
        <w:t>S</w:t>
      </w:r>
      <w:r w:rsidRPr="00BE36D3">
        <w:rPr>
          <w:rFonts w:ascii="Arial" w:hAnsi="Arial" w:cs="Arial"/>
        </w:rPr>
        <w:t xml:space="preserve">eñora Suad Elena Banque Guevara, ella suscribió el </w:t>
      </w:r>
      <w:r>
        <w:rPr>
          <w:rFonts w:ascii="Arial" w:hAnsi="Arial" w:cs="Arial"/>
        </w:rPr>
        <w:t>C</w:t>
      </w:r>
      <w:r w:rsidRPr="00BE36D3">
        <w:rPr>
          <w:rFonts w:ascii="Arial" w:hAnsi="Arial" w:cs="Arial"/>
        </w:rPr>
        <w:t xml:space="preserve">ontrato el 6 de abril de 2017, el cual al tener un plazo de 7 meses iría hasta el mes de noviembre de esa vigencia. Además, firmó el segundo </w:t>
      </w:r>
      <w:r>
        <w:rPr>
          <w:rFonts w:ascii="Arial" w:hAnsi="Arial" w:cs="Arial"/>
        </w:rPr>
        <w:t>Otrosí</w:t>
      </w:r>
      <w:r w:rsidRPr="00BE36D3">
        <w:rPr>
          <w:rFonts w:ascii="Arial" w:hAnsi="Arial" w:cs="Arial"/>
        </w:rPr>
        <w:t xml:space="preserve"> por un mes más, el 17 de agosto del mismo año</w:t>
      </w:r>
      <w:r w:rsidR="00E2748E">
        <w:rPr>
          <w:rFonts w:ascii="Arial" w:hAnsi="Arial" w:cs="Arial"/>
        </w:rPr>
        <w:t>;</w:t>
      </w:r>
      <w:r w:rsidRPr="00BE36D3">
        <w:rPr>
          <w:rFonts w:ascii="Arial" w:hAnsi="Arial" w:cs="Arial"/>
        </w:rPr>
        <w:t xml:space="preserve"> es decir, el </w:t>
      </w:r>
      <w:r>
        <w:rPr>
          <w:rFonts w:ascii="Arial" w:hAnsi="Arial" w:cs="Arial"/>
        </w:rPr>
        <w:t>C</w:t>
      </w:r>
      <w:r w:rsidRPr="00BE36D3">
        <w:rPr>
          <w:rFonts w:ascii="Arial" w:hAnsi="Arial" w:cs="Arial"/>
        </w:rPr>
        <w:t xml:space="preserve">ontrato finalizaría en el mes de diciembre. Sin embargo, la </w:t>
      </w:r>
      <w:r>
        <w:rPr>
          <w:rFonts w:ascii="Arial" w:hAnsi="Arial" w:cs="Arial"/>
        </w:rPr>
        <w:t>S</w:t>
      </w:r>
      <w:r w:rsidRPr="00BE36D3">
        <w:rPr>
          <w:rFonts w:ascii="Arial" w:hAnsi="Arial" w:cs="Arial"/>
        </w:rPr>
        <w:t xml:space="preserve">eñora Suad Elena Banque Guevara aparece registrada en el SIGEP como servidora pública de la Alcaldía de Sincelejo en el periodo entre el 2 de junio de 2016 y 6 de septiembre de 2016 y posteriormente entre el 9 de septiembre de 2017 y el 31 de diciembre de 2019. Igualmente, en la experiencia reportada por la </w:t>
      </w:r>
      <w:r>
        <w:rPr>
          <w:rFonts w:ascii="Arial" w:hAnsi="Arial" w:cs="Arial"/>
        </w:rPr>
        <w:t>S</w:t>
      </w:r>
      <w:r w:rsidRPr="00BE36D3">
        <w:rPr>
          <w:rFonts w:ascii="Arial" w:hAnsi="Arial" w:cs="Arial"/>
        </w:rPr>
        <w:t>eñora Suad Elena Banque Guevara en el SIGEP demuestra que efectivamente se desempeñó como contratista de la Fundación Surgir, pero como se muestra a continuación, su labor allí finalizó el 31 de mayo de 2016.</w:t>
      </w:r>
    </w:p>
    <w:p w:rsidR="00E2748E" w:rsidRDefault="00E2748E">
      <w:pPr>
        <w:rPr>
          <w:rFonts w:ascii="Arial" w:hAnsi="Arial" w:cs="Arial"/>
        </w:rPr>
      </w:pPr>
      <w:r>
        <w:rPr>
          <w:rFonts w:ascii="Arial" w:hAnsi="Arial" w:cs="Arial"/>
        </w:rPr>
        <w:br w:type="page"/>
      </w:r>
    </w:p>
    <w:p w:rsidR="004159C6" w:rsidRPr="00BE36D3" w:rsidRDefault="004159C6">
      <w:pPr>
        <w:spacing w:line="240" w:lineRule="auto"/>
        <w:contextualSpacing/>
        <w:jc w:val="both"/>
        <w:rPr>
          <w:rFonts w:ascii="Arial" w:hAnsi="Arial" w:cs="Arial"/>
        </w:rPr>
      </w:pPr>
    </w:p>
    <w:p w:rsidR="004159C6" w:rsidRPr="00BE36D3" w:rsidRDefault="004159C6">
      <w:pPr>
        <w:spacing w:line="240" w:lineRule="auto"/>
        <w:contextualSpacing/>
        <w:jc w:val="center"/>
        <w:rPr>
          <w:rFonts w:ascii="Arial" w:hAnsi="Arial" w:cs="Arial"/>
          <w:b/>
          <w:bCs/>
          <w:sz w:val="20"/>
          <w:szCs w:val="20"/>
        </w:rPr>
      </w:pPr>
      <w:r w:rsidRPr="00BE36D3">
        <w:rPr>
          <w:rFonts w:ascii="Arial" w:hAnsi="Arial" w:cs="Arial"/>
          <w:b/>
          <w:bCs/>
          <w:sz w:val="20"/>
          <w:szCs w:val="20"/>
        </w:rPr>
        <w:t>Imagen 1. Experiencia laboral de la representante legal Fundación Surgir</w:t>
      </w:r>
    </w:p>
    <w:p w:rsidR="004159C6" w:rsidRPr="00BE36D3" w:rsidRDefault="004159C6">
      <w:pPr>
        <w:spacing w:line="240" w:lineRule="auto"/>
        <w:contextualSpacing/>
        <w:jc w:val="both"/>
        <w:rPr>
          <w:rFonts w:ascii="Arial" w:hAnsi="Arial" w:cs="Arial"/>
          <w:sz w:val="24"/>
          <w:szCs w:val="24"/>
        </w:rPr>
      </w:pPr>
      <w:r w:rsidRPr="00BE36D3">
        <w:rPr>
          <w:rFonts w:ascii="Arial" w:hAnsi="Arial" w:cs="Arial"/>
          <w:noProof/>
          <w:lang w:eastAsia="es-CO"/>
        </w:rPr>
        <w:drawing>
          <wp:inline distT="0" distB="0" distL="0" distR="0">
            <wp:extent cx="5612130" cy="2707005"/>
            <wp:effectExtent l="0" t="0" r="7620" b="0"/>
            <wp:docPr id="1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 descr="Tabl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5612130" cy="2707005"/>
                    </a:xfrm>
                    <a:prstGeom prst="rect">
                      <a:avLst/>
                    </a:prstGeom>
                  </pic:spPr>
                </pic:pic>
              </a:graphicData>
            </a:graphic>
          </wp:inline>
        </w:drawing>
      </w:r>
    </w:p>
    <w:p w:rsidR="004159C6" w:rsidRDefault="004159C6">
      <w:pPr>
        <w:spacing w:line="240" w:lineRule="auto"/>
        <w:contextualSpacing/>
        <w:jc w:val="center"/>
        <w:rPr>
          <w:rFonts w:ascii="Arial" w:hAnsi="Arial" w:cs="Arial"/>
          <w:sz w:val="20"/>
          <w:szCs w:val="20"/>
        </w:rPr>
      </w:pPr>
      <w:r w:rsidRPr="00BE36D3">
        <w:rPr>
          <w:rFonts w:ascii="Arial" w:hAnsi="Arial" w:cs="Arial"/>
          <w:b/>
          <w:bCs/>
          <w:sz w:val="20"/>
          <w:szCs w:val="20"/>
        </w:rPr>
        <w:t xml:space="preserve">Fuente: </w:t>
      </w:r>
      <w:r w:rsidRPr="00BE36D3">
        <w:rPr>
          <w:rFonts w:ascii="Arial" w:hAnsi="Arial" w:cs="Arial"/>
          <w:sz w:val="20"/>
          <w:szCs w:val="20"/>
        </w:rPr>
        <w:t xml:space="preserve">Sistema de Información y Gestión del Empleo Público (SIGEP). </w:t>
      </w:r>
    </w:p>
    <w:p w:rsidR="004159C6" w:rsidRPr="00F4471B" w:rsidRDefault="004159C6" w:rsidP="00F4471B">
      <w:pPr>
        <w:spacing w:line="240" w:lineRule="auto"/>
        <w:contextualSpacing/>
        <w:rPr>
          <w:rFonts w:ascii="Arial" w:hAnsi="Arial" w:cs="Arial"/>
        </w:rPr>
      </w:pPr>
    </w:p>
    <w:p w:rsidR="004159C6" w:rsidRDefault="004159C6">
      <w:pPr>
        <w:spacing w:line="240" w:lineRule="auto"/>
        <w:contextualSpacing/>
        <w:jc w:val="both"/>
        <w:rPr>
          <w:rFonts w:ascii="Arial" w:hAnsi="Arial" w:cs="Arial"/>
        </w:rPr>
      </w:pPr>
      <w:r>
        <w:rPr>
          <w:rFonts w:ascii="Arial" w:hAnsi="Arial" w:cs="Arial"/>
        </w:rPr>
        <w:t xml:space="preserve">A pesar de que en el SIGEP se registra que su labor como </w:t>
      </w:r>
      <w:r w:rsidR="00E2748E">
        <w:rPr>
          <w:rFonts w:ascii="Arial" w:hAnsi="Arial" w:cs="Arial"/>
        </w:rPr>
        <w:t>R</w:t>
      </w:r>
      <w:r>
        <w:rPr>
          <w:rFonts w:ascii="Arial" w:hAnsi="Arial" w:cs="Arial"/>
        </w:rPr>
        <w:t xml:space="preserve">epresentante </w:t>
      </w:r>
      <w:r w:rsidR="00E2748E">
        <w:rPr>
          <w:rFonts w:ascii="Arial" w:hAnsi="Arial" w:cs="Arial"/>
        </w:rPr>
        <w:t>L</w:t>
      </w:r>
      <w:r>
        <w:rPr>
          <w:rFonts w:ascii="Arial" w:hAnsi="Arial" w:cs="Arial"/>
        </w:rPr>
        <w:t>egal de la Fundación acabó en el año 2016,</w:t>
      </w:r>
      <w:r w:rsidRPr="00BE36D3">
        <w:rPr>
          <w:rFonts w:ascii="Arial" w:hAnsi="Arial" w:cs="Arial"/>
        </w:rPr>
        <w:t xml:space="preserve"> en los documentos contractuales aparece la </w:t>
      </w:r>
      <w:r>
        <w:rPr>
          <w:rFonts w:ascii="Arial" w:hAnsi="Arial" w:cs="Arial"/>
        </w:rPr>
        <w:t>S</w:t>
      </w:r>
      <w:r w:rsidRPr="00BE36D3">
        <w:rPr>
          <w:rFonts w:ascii="Arial" w:hAnsi="Arial" w:cs="Arial"/>
        </w:rPr>
        <w:t>eñora Suad Elena Banque Guevara</w:t>
      </w:r>
      <w:r>
        <w:rPr>
          <w:rFonts w:ascii="Arial" w:hAnsi="Arial" w:cs="Arial"/>
        </w:rPr>
        <w:t xml:space="preserve"> en la firma de los documentos contractuales, incluso después de haber sido nombrada funcionaria pública. </w:t>
      </w:r>
      <w:r w:rsidRPr="00BE36D3">
        <w:rPr>
          <w:rFonts w:ascii="Arial" w:hAnsi="Arial" w:cs="Arial"/>
        </w:rPr>
        <w:t xml:space="preserve">A pesar de que en el acta de finalización y el acta de liquidación del </w:t>
      </w:r>
      <w:r>
        <w:rPr>
          <w:rFonts w:ascii="Arial" w:hAnsi="Arial" w:cs="Arial"/>
        </w:rPr>
        <w:t>C</w:t>
      </w:r>
      <w:r w:rsidRPr="00BE36D3">
        <w:rPr>
          <w:rFonts w:ascii="Arial" w:hAnsi="Arial" w:cs="Arial"/>
        </w:rPr>
        <w:t xml:space="preserve">onvenio, suscritas el 29 de diciembre de 2017 y el 2 de abril de 2018 respectivamente, aparece como </w:t>
      </w:r>
      <w:r w:rsidR="00E2748E">
        <w:rPr>
          <w:rFonts w:ascii="Arial" w:hAnsi="Arial" w:cs="Arial"/>
        </w:rPr>
        <w:t>R</w:t>
      </w:r>
      <w:r w:rsidRPr="00BE36D3">
        <w:rPr>
          <w:rFonts w:ascii="Arial" w:hAnsi="Arial" w:cs="Arial"/>
        </w:rPr>
        <w:t xml:space="preserve">epresentante </w:t>
      </w:r>
      <w:r w:rsidR="00E2748E">
        <w:rPr>
          <w:rFonts w:ascii="Arial" w:hAnsi="Arial" w:cs="Arial"/>
        </w:rPr>
        <w:t>L</w:t>
      </w:r>
      <w:r w:rsidRPr="00BE36D3">
        <w:rPr>
          <w:rFonts w:ascii="Arial" w:hAnsi="Arial" w:cs="Arial"/>
        </w:rPr>
        <w:t xml:space="preserve">egal el </w:t>
      </w:r>
      <w:r>
        <w:rPr>
          <w:rFonts w:ascii="Arial" w:hAnsi="Arial" w:cs="Arial"/>
        </w:rPr>
        <w:t>S</w:t>
      </w:r>
      <w:r w:rsidRPr="00BE36D3">
        <w:rPr>
          <w:rFonts w:ascii="Arial" w:hAnsi="Arial" w:cs="Arial"/>
        </w:rPr>
        <w:t xml:space="preserve">eñor Will Herrera Bohórquez, se ha podido identificar que en las órdenes de pago parciales emitidas en la vigencia 2017 firmadas entre los meses de septiembre y diciembre de 2017, el Municipio de Santiago de </w:t>
      </w:r>
      <w:r>
        <w:rPr>
          <w:rFonts w:ascii="Arial" w:hAnsi="Arial" w:cs="Arial"/>
        </w:rPr>
        <w:t>Tolú - Sucre</w:t>
      </w:r>
      <w:r w:rsidRPr="00BE36D3">
        <w:rPr>
          <w:rFonts w:ascii="Arial" w:hAnsi="Arial" w:cs="Arial"/>
        </w:rPr>
        <w:t xml:space="preserve"> sigue </w:t>
      </w:r>
      <w:r>
        <w:rPr>
          <w:rFonts w:ascii="Arial" w:hAnsi="Arial" w:cs="Arial"/>
        </w:rPr>
        <w:t>registrándose</w:t>
      </w:r>
      <w:r w:rsidRPr="00BE36D3">
        <w:rPr>
          <w:rFonts w:ascii="Arial" w:hAnsi="Arial" w:cs="Arial"/>
        </w:rPr>
        <w:t xml:space="preserve"> la </w:t>
      </w:r>
      <w:r>
        <w:rPr>
          <w:rFonts w:ascii="Arial" w:hAnsi="Arial" w:cs="Arial"/>
        </w:rPr>
        <w:t>S</w:t>
      </w:r>
      <w:r w:rsidRPr="00BE36D3">
        <w:rPr>
          <w:rFonts w:ascii="Arial" w:hAnsi="Arial" w:cs="Arial"/>
        </w:rPr>
        <w:t xml:space="preserve">eñora Suad Elena Banque Guevara como la </w:t>
      </w:r>
      <w:r w:rsidR="00E2748E">
        <w:rPr>
          <w:rFonts w:ascii="Arial" w:hAnsi="Arial" w:cs="Arial"/>
        </w:rPr>
        <w:t>R</w:t>
      </w:r>
      <w:r w:rsidRPr="00BE36D3">
        <w:rPr>
          <w:rFonts w:ascii="Arial" w:hAnsi="Arial" w:cs="Arial"/>
        </w:rPr>
        <w:t xml:space="preserve">epresentante </w:t>
      </w:r>
      <w:r w:rsidR="00E2748E">
        <w:rPr>
          <w:rFonts w:ascii="Arial" w:hAnsi="Arial" w:cs="Arial"/>
        </w:rPr>
        <w:t>L</w:t>
      </w:r>
      <w:r w:rsidRPr="00BE36D3">
        <w:rPr>
          <w:rFonts w:ascii="Arial" w:hAnsi="Arial" w:cs="Arial"/>
        </w:rPr>
        <w:t>egal de la Fundación aun cuando ya ejercía funciones como servidora pública. Así mismo, la</w:t>
      </w:r>
      <w:r w:rsidR="00E2748E">
        <w:rPr>
          <w:rFonts w:ascii="Arial" w:hAnsi="Arial" w:cs="Arial"/>
        </w:rPr>
        <w:t>s</w:t>
      </w:r>
      <w:r w:rsidRPr="00BE36D3">
        <w:rPr>
          <w:rFonts w:ascii="Arial" w:hAnsi="Arial" w:cs="Arial"/>
        </w:rPr>
        <w:t xml:space="preserve"> </w:t>
      </w:r>
      <w:r w:rsidR="00E2748E">
        <w:rPr>
          <w:rFonts w:ascii="Arial" w:hAnsi="Arial" w:cs="Arial"/>
        </w:rPr>
        <w:t>F</w:t>
      </w:r>
      <w:r w:rsidRPr="00BE36D3">
        <w:rPr>
          <w:rFonts w:ascii="Arial" w:hAnsi="Arial" w:cs="Arial"/>
        </w:rPr>
        <w:t>actura</w:t>
      </w:r>
      <w:r w:rsidR="00E2748E">
        <w:rPr>
          <w:rFonts w:ascii="Arial" w:hAnsi="Arial" w:cs="Arial"/>
        </w:rPr>
        <w:t>s</w:t>
      </w:r>
      <w:r w:rsidRPr="00BE36D3">
        <w:rPr>
          <w:rFonts w:ascii="Arial" w:hAnsi="Arial" w:cs="Arial"/>
        </w:rPr>
        <w:t xml:space="preserve"> de </w:t>
      </w:r>
      <w:r w:rsidR="00E2748E">
        <w:rPr>
          <w:rFonts w:ascii="Arial" w:hAnsi="Arial" w:cs="Arial"/>
        </w:rPr>
        <w:t>V</w:t>
      </w:r>
      <w:r w:rsidRPr="00BE36D3">
        <w:rPr>
          <w:rFonts w:ascii="Arial" w:hAnsi="Arial" w:cs="Arial"/>
        </w:rPr>
        <w:t xml:space="preserve">enta No. 97 y No. 99 con fecha del 4 de septiembre y 3 de noviembre de 2017 están firmadas por la </w:t>
      </w:r>
      <w:r w:rsidR="00E2748E">
        <w:rPr>
          <w:rFonts w:ascii="Arial" w:hAnsi="Arial" w:cs="Arial"/>
        </w:rPr>
        <w:t>S</w:t>
      </w:r>
      <w:r w:rsidRPr="00BE36D3">
        <w:rPr>
          <w:rFonts w:ascii="Arial" w:hAnsi="Arial" w:cs="Arial"/>
        </w:rPr>
        <w:t>eñora Suad Elena Banque Guevara</w:t>
      </w:r>
      <w:r>
        <w:rPr>
          <w:rFonts w:ascii="Arial" w:hAnsi="Arial" w:cs="Arial"/>
        </w:rPr>
        <w:t>, como se evidencia a continuación:</w:t>
      </w:r>
    </w:p>
    <w:p w:rsidR="00E2748E" w:rsidRDefault="00E2748E">
      <w:pPr>
        <w:rPr>
          <w:rFonts w:ascii="Arial" w:hAnsi="Arial" w:cs="Arial"/>
        </w:rPr>
      </w:pPr>
      <w:r>
        <w:rPr>
          <w:rFonts w:ascii="Arial" w:hAnsi="Arial" w:cs="Arial"/>
        </w:rPr>
        <w:br w:type="page"/>
      </w:r>
    </w:p>
    <w:p w:rsidR="00E132D3" w:rsidRDefault="00E132D3">
      <w:pPr>
        <w:spacing w:line="240" w:lineRule="auto"/>
        <w:contextualSpacing/>
        <w:jc w:val="both"/>
        <w:rPr>
          <w:rFonts w:ascii="Arial" w:hAnsi="Arial" w:cs="Arial"/>
        </w:rPr>
      </w:pPr>
    </w:p>
    <w:p w:rsidR="004159C6" w:rsidRPr="00BE36D3" w:rsidRDefault="004159C6">
      <w:pPr>
        <w:spacing w:line="240" w:lineRule="auto"/>
        <w:contextualSpacing/>
        <w:jc w:val="center"/>
        <w:rPr>
          <w:rFonts w:ascii="Arial" w:hAnsi="Arial" w:cs="Arial"/>
          <w:b/>
          <w:bCs/>
          <w:sz w:val="20"/>
          <w:szCs w:val="20"/>
        </w:rPr>
      </w:pPr>
      <w:r w:rsidRPr="00BE36D3">
        <w:rPr>
          <w:rFonts w:ascii="Arial" w:hAnsi="Arial" w:cs="Arial"/>
          <w:b/>
          <w:bCs/>
          <w:sz w:val="20"/>
          <w:szCs w:val="20"/>
        </w:rPr>
        <w:t xml:space="preserve">Imagen </w:t>
      </w:r>
      <w:r>
        <w:rPr>
          <w:rFonts w:ascii="Arial" w:hAnsi="Arial" w:cs="Arial"/>
          <w:b/>
          <w:bCs/>
          <w:sz w:val="20"/>
          <w:szCs w:val="20"/>
        </w:rPr>
        <w:t>2</w:t>
      </w:r>
      <w:r w:rsidRPr="00BE36D3">
        <w:rPr>
          <w:rFonts w:ascii="Arial" w:hAnsi="Arial" w:cs="Arial"/>
          <w:b/>
          <w:bCs/>
          <w:sz w:val="20"/>
          <w:szCs w:val="20"/>
        </w:rPr>
        <w:t xml:space="preserve">. </w:t>
      </w:r>
      <w:r>
        <w:rPr>
          <w:rFonts w:ascii="Arial" w:hAnsi="Arial" w:cs="Arial"/>
          <w:b/>
          <w:bCs/>
          <w:sz w:val="20"/>
          <w:szCs w:val="20"/>
        </w:rPr>
        <w:t xml:space="preserve">Certificación del supervisor del </w:t>
      </w:r>
      <w:r w:rsidR="00E2748E">
        <w:rPr>
          <w:rFonts w:ascii="Arial" w:hAnsi="Arial" w:cs="Arial"/>
          <w:b/>
          <w:bCs/>
          <w:sz w:val="20"/>
          <w:szCs w:val="20"/>
        </w:rPr>
        <w:t>C</w:t>
      </w:r>
      <w:r>
        <w:rPr>
          <w:rFonts w:ascii="Arial" w:hAnsi="Arial" w:cs="Arial"/>
          <w:b/>
          <w:bCs/>
          <w:sz w:val="20"/>
          <w:szCs w:val="20"/>
        </w:rPr>
        <w:t>ontrato sobre el cumplimiento para pago</w:t>
      </w:r>
      <w:r w:rsidR="00E2748E">
        <w:rPr>
          <w:rFonts w:ascii="Arial" w:hAnsi="Arial" w:cs="Arial"/>
          <w:b/>
          <w:bCs/>
          <w:sz w:val="20"/>
          <w:szCs w:val="20"/>
        </w:rPr>
        <w:t>.</w:t>
      </w:r>
    </w:p>
    <w:p w:rsidR="004159C6" w:rsidRDefault="004159C6">
      <w:pPr>
        <w:spacing w:line="240" w:lineRule="auto"/>
        <w:contextualSpacing/>
        <w:jc w:val="center"/>
        <w:rPr>
          <w:rFonts w:ascii="Arial" w:hAnsi="Arial" w:cs="Arial"/>
        </w:rPr>
      </w:pPr>
      <w:r>
        <w:rPr>
          <w:noProof/>
          <w:lang w:eastAsia="es-CO"/>
        </w:rPr>
        <w:drawing>
          <wp:inline distT="0" distB="0" distL="0" distR="0">
            <wp:extent cx="4054415" cy="5176824"/>
            <wp:effectExtent l="0" t="0" r="3810" b="5080"/>
            <wp:docPr id="16" name="Imagen 1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Descripción generada automáticamente"/>
                    <pic:cNvPicPr/>
                  </pic:nvPicPr>
                  <pic:blipFill>
                    <a:blip r:embed="rId31"/>
                    <a:stretch>
                      <a:fillRect/>
                    </a:stretch>
                  </pic:blipFill>
                  <pic:spPr>
                    <a:xfrm>
                      <a:off x="0" y="0"/>
                      <a:ext cx="4069703" cy="5196344"/>
                    </a:xfrm>
                    <a:prstGeom prst="rect">
                      <a:avLst/>
                    </a:prstGeom>
                  </pic:spPr>
                </pic:pic>
              </a:graphicData>
            </a:graphic>
          </wp:inline>
        </w:drawing>
      </w:r>
    </w:p>
    <w:p w:rsidR="004159C6" w:rsidRDefault="004159C6">
      <w:pPr>
        <w:spacing w:line="240" w:lineRule="auto"/>
        <w:contextualSpacing/>
        <w:jc w:val="center"/>
        <w:rPr>
          <w:rFonts w:ascii="Arial" w:hAnsi="Arial" w:cs="Arial"/>
          <w:sz w:val="20"/>
          <w:szCs w:val="20"/>
        </w:rPr>
      </w:pPr>
      <w:r w:rsidRPr="009E313F">
        <w:rPr>
          <w:rFonts w:ascii="Arial" w:hAnsi="Arial" w:cs="Arial"/>
          <w:b/>
          <w:bCs/>
          <w:sz w:val="20"/>
          <w:szCs w:val="20"/>
        </w:rPr>
        <w:t xml:space="preserve">Fuente: </w:t>
      </w:r>
      <w:r w:rsidRPr="009E313F">
        <w:rPr>
          <w:rFonts w:ascii="Arial" w:hAnsi="Arial" w:cs="Arial"/>
          <w:sz w:val="20"/>
          <w:szCs w:val="20"/>
        </w:rPr>
        <w:t>Documentos del expediente contractual.</w:t>
      </w:r>
    </w:p>
    <w:p w:rsidR="004159C6" w:rsidRPr="00BE36D3" w:rsidRDefault="004159C6">
      <w:pPr>
        <w:spacing w:line="240" w:lineRule="auto"/>
        <w:contextualSpacing/>
        <w:jc w:val="center"/>
        <w:rPr>
          <w:rFonts w:ascii="Arial" w:hAnsi="Arial" w:cs="Arial"/>
          <w:b/>
          <w:bCs/>
          <w:sz w:val="20"/>
          <w:szCs w:val="20"/>
        </w:rPr>
      </w:pPr>
      <w:r>
        <w:rPr>
          <w:noProof/>
          <w:lang w:eastAsia="es-CO"/>
        </w:rPr>
        <w:lastRenderedPageBreak/>
        <w:drawing>
          <wp:anchor distT="0" distB="0" distL="114300" distR="114300" simplePos="0" relativeHeight="251668482" behindDoc="0" locked="0" layoutInCell="1" allowOverlap="1">
            <wp:simplePos x="0" y="0"/>
            <wp:positionH relativeFrom="page">
              <wp:posOffset>4032885</wp:posOffset>
            </wp:positionH>
            <wp:positionV relativeFrom="paragraph">
              <wp:posOffset>174625</wp:posOffset>
            </wp:positionV>
            <wp:extent cx="3500120" cy="3766185"/>
            <wp:effectExtent l="0" t="0" r="5080" b="5715"/>
            <wp:wrapThrough wrapText="bothSides">
              <wp:wrapPolygon edited="0">
                <wp:start x="0" y="0"/>
                <wp:lineTo x="0" y="21524"/>
                <wp:lineTo x="21514" y="21524"/>
                <wp:lineTo x="21514"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00120" cy="3766185"/>
                    </a:xfrm>
                    <a:prstGeom prst="rect">
                      <a:avLst/>
                    </a:prstGeom>
                  </pic:spPr>
                </pic:pic>
              </a:graphicData>
            </a:graphic>
          </wp:anchor>
        </w:drawing>
      </w:r>
      <w:r>
        <w:rPr>
          <w:noProof/>
          <w:lang w:eastAsia="es-CO"/>
        </w:rPr>
        <w:drawing>
          <wp:anchor distT="0" distB="0" distL="114300" distR="114300" simplePos="0" relativeHeight="251667458" behindDoc="0" locked="0" layoutInCell="1" allowOverlap="1">
            <wp:simplePos x="0" y="0"/>
            <wp:positionH relativeFrom="column">
              <wp:posOffset>-780415</wp:posOffset>
            </wp:positionH>
            <wp:positionV relativeFrom="paragraph">
              <wp:posOffset>147320</wp:posOffset>
            </wp:positionV>
            <wp:extent cx="3502025" cy="3844290"/>
            <wp:effectExtent l="0" t="0" r="3175" b="3810"/>
            <wp:wrapThrough wrapText="bothSides">
              <wp:wrapPolygon edited="0">
                <wp:start x="0" y="0"/>
                <wp:lineTo x="0" y="21514"/>
                <wp:lineTo x="21502" y="21514"/>
                <wp:lineTo x="21502" y="0"/>
                <wp:lineTo x="0" y="0"/>
              </wp:wrapPolygon>
            </wp:wrapThrough>
            <wp:docPr id="18" name="Imagen 18"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Tabla&#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3502025" cy="3844290"/>
                    </a:xfrm>
                    <a:prstGeom prst="rect">
                      <a:avLst/>
                    </a:prstGeom>
                  </pic:spPr>
                </pic:pic>
              </a:graphicData>
            </a:graphic>
          </wp:anchor>
        </w:drawing>
      </w:r>
      <w:r w:rsidRPr="00BE36D3">
        <w:rPr>
          <w:rFonts w:ascii="Arial" w:hAnsi="Arial" w:cs="Arial"/>
          <w:b/>
          <w:bCs/>
          <w:sz w:val="20"/>
          <w:szCs w:val="20"/>
        </w:rPr>
        <w:t xml:space="preserve">Imagen </w:t>
      </w:r>
      <w:r>
        <w:rPr>
          <w:rFonts w:ascii="Arial" w:hAnsi="Arial" w:cs="Arial"/>
          <w:b/>
          <w:bCs/>
          <w:sz w:val="20"/>
          <w:szCs w:val="20"/>
        </w:rPr>
        <w:t>3</w:t>
      </w:r>
      <w:r w:rsidRPr="00BE36D3">
        <w:rPr>
          <w:rFonts w:ascii="Arial" w:hAnsi="Arial" w:cs="Arial"/>
          <w:b/>
          <w:bCs/>
          <w:sz w:val="20"/>
          <w:szCs w:val="20"/>
        </w:rPr>
        <w:t>.</w:t>
      </w:r>
      <w:r>
        <w:rPr>
          <w:rFonts w:ascii="Arial" w:hAnsi="Arial" w:cs="Arial"/>
          <w:b/>
          <w:bCs/>
          <w:sz w:val="20"/>
          <w:szCs w:val="20"/>
        </w:rPr>
        <w:t xml:space="preserve"> Facturas de venta 97 y 99.</w:t>
      </w:r>
    </w:p>
    <w:p w:rsidR="00E2748E" w:rsidRDefault="00E2748E" w:rsidP="00E2748E">
      <w:pPr>
        <w:spacing w:line="240" w:lineRule="auto"/>
        <w:contextualSpacing/>
        <w:jc w:val="center"/>
        <w:rPr>
          <w:rFonts w:ascii="Arial" w:hAnsi="Arial" w:cs="Arial"/>
          <w:b/>
          <w:bCs/>
          <w:sz w:val="20"/>
          <w:szCs w:val="20"/>
        </w:rPr>
      </w:pPr>
    </w:p>
    <w:p w:rsidR="004159C6" w:rsidRDefault="004159C6">
      <w:pPr>
        <w:spacing w:line="240" w:lineRule="auto"/>
        <w:contextualSpacing/>
        <w:jc w:val="center"/>
        <w:rPr>
          <w:rFonts w:ascii="Arial" w:hAnsi="Arial" w:cs="Arial"/>
          <w:sz w:val="20"/>
          <w:szCs w:val="20"/>
        </w:rPr>
      </w:pPr>
      <w:r w:rsidRPr="00F46784">
        <w:rPr>
          <w:rFonts w:ascii="Arial" w:hAnsi="Arial" w:cs="Arial"/>
          <w:b/>
          <w:bCs/>
          <w:sz w:val="20"/>
          <w:szCs w:val="20"/>
        </w:rPr>
        <w:t xml:space="preserve">Fuente: </w:t>
      </w:r>
      <w:r w:rsidRPr="00F46784">
        <w:rPr>
          <w:rFonts w:ascii="Arial" w:hAnsi="Arial" w:cs="Arial"/>
          <w:sz w:val="20"/>
          <w:szCs w:val="20"/>
        </w:rPr>
        <w:t>Documentos del expediente contractual.</w:t>
      </w:r>
    </w:p>
    <w:p w:rsidR="004159C6" w:rsidRDefault="004159C6">
      <w:pPr>
        <w:spacing w:line="240" w:lineRule="auto"/>
        <w:contextualSpacing/>
        <w:jc w:val="both"/>
        <w:rPr>
          <w:rFonts w:ascii="Arial" w:hAnsi="Arial" w:cs="Arial"/>
        </w:rPr>
      </w:pPr>
    </w:p>
    <w:p w:rsidR="004159C6" w:rsidRDefault="004159C6">
      <w:pPr>
        <w:spacing w:line="240" w:lineRule="auto"/>
        <w:contextualSpacing/>
        <w:jc w:val="both"/>
        <w:rPr>
          <w:rFonts w:ascii="Arial" w:hAnsi="Arial" w:cs="Arial"/>
        </w:rPr>
      </w:pPr>
      <w:r w:rsidRPr="00BE36D3">
        <w:rPr>
          <w:rFonts w:ascii="Arial" w:hAnsi="Arial" w:cs="Arial"/>
        </w:rPr>
        <w:t xml:space="preserve">Lo anterior es una situación que evidencia </w:t>
      </w:r>
      <w:r>
        <w:rPr>
          <w:rFonts w:ascii="Arial" w:hAnsi="Arial" w:cs="Arial"/>
        </w:rPr>
        <w:t xml:space="preserve">una inhabilidad sobreviniente en el proceso contractual por parte del contratista, en un documento contractual que fue aprobado por el </w:t>
      </w:r>
      <w:r w:rsidR="00E2748E">
        <w:rPr>
          <w:rFonts w:ascii="Arial" w:hAnsi="Arial" w:cs="Arial"/>
        </w:rPr>
        <w:t>M</w:t>
      </w:r>
      <w:r>
        <w:rPr>
          <w:rFonts w:ascii="Arial" w:hAnsi="Arial" w:cs="Arial"/>
        </w:rPr>
        <w:t xml:space="preserve">unicipio de Santiago de Tolú – Sucre. Esta situación se refuerza en el hecho de que la Fundación cambió al </w:t>
      </w:r>
      <w:r w:rsidR="00E2748E">
        <w:rPr>
          <w:rFonts w:ascii="Arial" w:hAnsi="Arial" w:cs="Arial"/>
        </w:rPr>
        <w:t>R</w:t>
      </w:r>
      <w:r>
        <w:rPr>
          <w:rFonts w:ascii="Arial" w:hAnsi="Arial" w:cs="Arial"/>
        </w:rPr>
        <w:t xml:space="preserve">epresentante </w:t>
      </w:r>
      <w:r w:rsidR="00E2748E">
        <w:rPr>
          <w:rFonts w:ascii="Arial" w:hAnsi="Arial" w:cs="Arial"/>
        </w:rPr>
        <w:t>L</w:t>
      </w:r>
      <w:r>
        <w:rPr>
          <w:rFonts w:ascii="Arial" w:hAnsi="Arial" w:cs="Arial"/>
        </w:rPr>
        <w:t xml:space="preserve">egal tiempo después, lo cual indica que tenía pleno conocimiento de la situación de inhabilidad en la que se encontraba cuando su </w:t>
      </w:r>
      <w:r w:rsidR="00E2748E">
        <w:rPr>
          <w:rFonts w:ascii="Arial" w:hAnsi="Arial" w:cs="Arial"/>
        </w:rPr>
        <w:t>R</w:t>
      </w:r>
      <w:r>
        <w:rPr>
          <w:rFonts w:ascii="Arial" w:hAnsi="Arial" w:cs="Arial"/>
        </w:rPr>
        <w:t xml:space="preserve">epresentante </w:t>
      </w:r>
      <w:r w:rsidR="00E2748E">
        <w:rPr>
          <w:rFonts w:ascii="Arial" w:hAnsi="Arial" w:cs="Arial"/>
        </w:rPr>
        <w:t>L</w:t>
      </w:r>
      <w:r>
        <w:rPr>
          <w:rFonts w:ascii="Arial" w:hAnsi="Arial" w:cs="Arial"/>
        </w:rPr>
        <w:t>egal fue nombrada funcionaria pública. Por lo tanto, se</w:t>
      </w:r>
      <w:r w:rsidRPr="00BE36D3">
        <w:rPr>
          <w:rFonts w:ascii="Arial" w:hAnsi="Arial" w:cs="Arial"/>
        </w:rPr>
        <w:t xml:space="preserve"> vulneró el régimen de inhabilidades y compatibilidades para la celebración de contratos públicos</w:t>
      </w:r>
      <w:r>
        <w:rPr>
          <w:rFonts w:ascii="Arial" w:hAnsi="Arial" w:cs="Arial"/>
        </w:rPr>
        <w:t xml:space="preserve"> al incurrir en una inhabilidad sobreviniente</w:t>
      </w:r>
      <w:r w:rsidRPr="00BE36D3">
        <w:rPr>
          <w:rFonts w:ascii="Arial" w:hAnsi="Arial" w:cs="Arial"/>
        </w:rPr>
        <w:t>.</w:t>
      </w:r>
    </w:p>
    <w:p w:rsidR="004159C6" w:rsidRDefault="004159C6">
      <w:pPr>
        <w:spacing w:line="240" w:lineRule="auto"/>
        <w:contextualSpacing/>
        <w:jc w:val="both"/>
        <w:rPr>
          <w:rFonts w:ascii="Arial" w:hAnsi="Arial" w:cs="Arial"/>
        </w:rPr>
      </w:pPr>
    </w:p>
    <w:p w:rsidR="004159C6" w:rsidRDefault="004159C6">
      <w:pPr>
        <w:spacing w:line="240" w:lineRule="auto"/>
        <w:contextualSpacing/>
        <w:jc w:val="both"/>
        <w:rPr>
          <w:rFonts w:ascii="Arial" w:hAnsi="Arial" w:cs="Arial"/>
        </w:rPr>
      </w:pPr>
      <w:r w:rsidRPr="00893C8F">
        <w:rPr>
          <w:rFonts w:ascii="Arial" w:hAnsi="Arial" w:cs="Arial"/>
          <w:b/>
          <w:bCs/>
        </w:rPr>
        <w:t xml:space="preserve">Evidencia: </w:t>
      </w:r>
      <w:r w:rsidRPr="00893C8F">
        <w:rPr>
          <w:rFonts w:ascii="Arial" w:hAnsi="Arial" w:cs="Arial"/>
        </w:rPr>
        <w:t> los documentos obran en el expediente digital en el Sistema Electrónico Documental SIED del Ministerio de Hacienda y Crédito Público No. 6/2021/D028-PREDI el siguiente material probatorio:</w:t>
      </w:r>
    </w:p>
    <w:p w:rsidR="00E2748E" w:rsidRDefault="00E2748E">
      <w:pPr>
        <w:spacing w:line="240" w:lineRule="auto"/>
        <w:contextualSpacing/>
        <w:jc w:val="both"/>
        <w:rPr>
          <w:rFonts w:ascii="Arial" w:hAnsi="Arial" w:cs="Arial"/>
        </w:rPr>
      </w:pPr>
    </w:p>
    <w:p w:rsidR="004159C6" w:rsidRPr="009A47C6" w:rsidRDefault="004159C6">
      <w:pPr>
        <w:pStyle w:val="Prrafodelista"/>
        <w:numPr>
          <w:ilvl w:val="0"/>
          <w:numId w:val="29"/>
        </w:numPr>
        <w:spacing w:line="240" w:lineRule="auto"/>
        <w:jc w:val="both"/>
        <w:rPr>
          <w:rFonts w:ascii="Arial" w:hAnsi="Arial" w:cs="Arial"/>
        </w:rPr>
      </w:pPr>
      <w:r w:rsidRPr="00A2630F">
        <w:rPr>
          <w:rFonts w:ascii="Arial" w:hAnsi="Arial" w:cs="Arial"/>
        </w:rPr>
        <w:t>Contrato MST-CD-CA-003-2017 Fundación Surgir</w:t>
      </w:r>
      <w:r>
        <w:t xml:space="preserve">. </w:t>
      </w:r>
      <w:r w:rsidRPr="00A2630F">
        <w:rPr>
          <w:rFonts w:ascii="Arial" w:hAnsi="Arial" w:cs="Arial"/>
        </w:rPr>
        <w:t>Participación de Propósito General. Municipio de Santiago de Tolú – Sucre. Serie “</w:t>
      </w:r>
      <w:r w:rsidRPr="00F4471B">
        <w:rPr>
          <w:rFonts w:ascii="Arial" w:hAnsi="Arial" w:cs="Arial"/>
          <w:i/>
          <w:iCs/>
        </w:rPr>
        <w:t>Historial de Seguimiento y Control a los Recursos del Sistema General de Participaciones – Diagnóstico</w:t>
      </w:r>
      <w:r w:rsidRPr="00A2630F">
        <w:rPr>
          <w:rFonts w:ascii="Arial" w:hAnsi="Arial" w:cs="Arial"/>
        </w:rPr>
        <w:t xml:space="preserve">”. Expediente digital No. 6/2021/D028-PREDI. </w:t>
      </w:r>
      <w:r w:rsidR="00E132D3">
        <w:rPr>
          <w:rFonts w:ascii="Arial" w:eastAsia="Arial Narrow" w:hAnsi="Arial" w:cs="Arial"/>
        </w:rPr>
        <w:t>R</w:t>
      </w:r>
      <w:r w:rsidR="00E132D3" w:rsidRPr="00BE36D3">
        <w:rPr>
          <w:rFonts w:ascii="Arial" w:eastAsia="Arial Narrow" w:hAnsi="Arial" w:cs="Arial"/>
        </w:rPr>
        <w:t>adicado No. 1-2019-079798 del 28 de agosto de 2019</w:t>
      </w:r>
      <w:r w:rsidR="00E132D3">
        <w:rPr>
          <w:rFonts w:ascii="Arial" w:eastAsia="Arial Narrow" w:hAnsi="Arial" w:cs="Arial"/>
        </w:rPr>
        <w:t>.</w:t>
      </w:r>
      <w:r w:rsidR="009A47C6" w:rsidRPr="009A47C6">
        <w:rPr>
          <w:rFonts w:ascii="Arial" w:hAnsi="Arial" w:cs="Arial"/>
        </w:rPr>
        <w:t xml:space="preserve"> </w:t>
      </w:r>
      <w:hyperlink r:id="rId74" w:history="1">
        <w:r w:rsidR="009A47C6" w:rsidRPr="008756E8">
          <w:rPr>
            <w:rStyle w:val="Hipervnculo"/>
            <w:rFonts w:ascii="Arial" w:eastAsia="Arial Narrow" w:hAnsi="Arial" w:cs="Arial"/>
          </w:rPr>
          <w:t>http://portalgestiondoc.minhacienda.red/PortalEmpleado/viewer.jsp?config=baYzS</w:t>
        </w:r>
        <w:r w:rsidR="009A47C6" w:rsidRPr="008756E8">
          <w:rPr>
            <w:rStyle w:val="Hipervnculo"/>
            <w:rFonts w:ascii="Arial" w:eastAsia="Arial Narrow" w:hAnsi="Arial" w:cs="Arial"/>
          </w:rPr>
          <w:lastRenderedPageBreak/>
          <w:t>KIE0+t4q3Yl9auGr/Azz0hQ/0UisOy7Pmq9LXGOOOjeUTc1kQDmLoLemLcGZNvMw1DzTAXVrcFJhHE39DrLY7Os23qys6lCU+r3/HGLujYUWzYWcCqs0v6FpREajRm/wyub2SoLuwS8IIqa/6DLXtqccaycE7wZaxKVUOh5tH6J5AceZLU6AkeVlPm7&amp;guid=4486575917a53fd55cf1546&amp;idrepository=879</w:t>
        </w:r>
      </w:hyperlink>
      <w:r w:rsidR="009A47C6">
        <w:rPr>
          <w:rFonts w:ascii="Arial" w:eastAsia="Arial Narrow" w:hAnsi="Arial" w:cs="Arial"/>
        </w:rPr>
        <w:t xml:space="preserve"> </w:t>
      </w:r>
    </w:p>
    <w:p w:rsidR="004C53F3" w:rsidRDefault="004C53F3" w:rsidP="00F4471B">
      <w:pPr>
        <w:pStyle w:val="Prrafodelista"/>
        <w:spacing w:line="240" w:lineRule="auto"/>
        <w:jc w:val="both"/>
        <w:rPr>
          <w:rFonts w:ascii="Arial" w:hAnsi="Arial" w:cs="Arial"/>
          <w:b/>
          <w:bCs/>
        </w:rPr>
      </w:pPr>
    </w:p>
    <w:p w:rsidR="008010C6" w:rsidRPr="008010C6" w:rsidRDefault="004C53F3">
      <w:pPr>
        <w:pStyle w:val="Prrafodelista"/>
        <w:numPr>
          <w:ilvl w:val="0"/>
          <w:numId w:val="29"/>
        </w:numPr>
        <w:spacing w:line="240" w:lineRule="auto"/>
        <w:jc w:val="both"/>
        <w:rPr>
          <w:rFonts w:ascii="Arial" w:eastAsia="Arial Narrow" w:hAnsi="Arial" w:cs="Arial"/>
          <w:b/>
          <w:bCs/>
          <w:i/>
          <w:iCs/>
        </w:rPr>
      </w:pPr>
      <w:r w:rsidRPr="004C53F3">
        <w:rPr>
          <w:rFonts w:ascii="Arial" w:eastAsia="Arial Narrow" w:hAnsi="Arial" w:cs="Arial"/>
          <w:b/>
          <w:bCs/>
        </w:rPr>
        <w:t xml:space="preserve">Deficiencias en el proceso de formulación de proyectos que soportan </w:t>
      </w:r>
      <w:r w:rsidR="003875EA">
        <w:rPr>
          <w:rFonts w:ascii="Arial" w:eastAsia="Arial Narrow" w:hAnsi="Arial" w:cs="Arial"/>
          <w:b/>
          <w:bCs/>
        </w:rPr>
        <w:t>la inversión y los instrumentos para articular la planeación con la ejecución presupuestal</w:t>
      </w:r>
    </w:p>
    <w:p w:rsidR="00E2748E" w:rsidRDefault="00E2748E">
      <w:pPr>
        <w:spacing w:line="240" w:lineRule="auto"/>
        <w:contextualSpacing/>
        <w:jc w:val="both"/>
        <w:rPr>
          <w:rFonts w:ascii="Arial" w:hAnsi="Arial" w:cs="Arial"/>
          <w:color w:val="000000"/>
          <w:shd w:val="clear" w:color="auto" w:fill="FFFFFF"/>
        </w:rPr>
      </w:pPr>
    </w:p>
    <w:p w:rsidR="00EA0E7D" w:rsidRDefault="00EA0E7D">
      <w:pPr>
        <w:spacing w:line="240" w:lineRule="auto"/>
        <w:contextualSpacing/>
        <w:jc w:val="both"/>
        <w:rPr>
          <w:rFonts w:ascii="Arial" w:hAnsi="Arial" w:cs="Arial"/>
          <w:color w:val="000000"/>
          <w:shd w:val="clear" w:color="auto" w:fill="FFFFFF"/>
        </w:rPr>
      </w:pPr>
      <w:r w:rsidRPr="00EA0E7D">
        <w:rPr>
          <w:rFonts w:ascii="Arial" w:hAnsi="Arial" w:cs="Arial"/>
          <w:color w:val="000000"/>
          <w:shd w:val="clear" w:color="auto" w:fill="FFFFFF"/>
        </w:rPr>
        <w:t xml:space="preserve">El presupuesto de las </w:t>
      </w:r>
      <w:r w:rsidR="00E2748E">
        <w:rPr>
          <w:rFonts w:ascii="Arial" w:hAnsi="Arial" w:cs="Arial"/>
          <w:color w:val="000000"/>
          <w:shd w:val="clear" w:color="auto" w:fill="FFFFFF"/>
        </w:rPr>
        <w:t>e</w:t>
      </w:r>
      <w:r w:rsidRPr="00EA0E7D">
        <w:rPr>
          <w:rFonts w:ascii="Arial" w:hAnsi="Arial" w:cs="Arial"/>
          <w:color w:val="000000"/>
          <w:shd w:val="clear" w:color="auto" w:fill="FFFFFF"/>
        </w:rPr>
        <w:t xml:space="preserve">ntidades </w:t>
      </w:r>
      <w:r w:rsidR="00E2748E">
        <w:rPr>
          <w:rFonts w:ascii="Arial" w:hAnsi="Arial" w:cs="Arial"/>
          <w:color w:val="000000"/>
          <w:shd w:val="clear" w:color="auto" w:fill="FFFFFF"/>
        </w:rPr>
        <w:t>t</w:t>
      </w:r>
      <w:r w:rsidRPr="00EA0E7D">
        <w:rPr>
          <w:rFonts w:ascii="Arial" w:hAnsi="Arial" w:cs="Arial"/>
          <w:color w:val="000000"/>
          <w:shd w:val="clear" w:color="auto" w:fill="FFFFFF"/>
        </w:rPr>
        <w:t xml:space="preserve">erritoriales deberá seguir el </w:t>
      </w:r>
      <w:r w:rsidR="00E2748E">
        <w:rPr>
          <w:rFonts w:ascii="Arial" w:hAnsi="Arial" w:cs="Arial"/>
          <w:color w:val="000000"/>
          <w:shd w:val="clear" w:color="auto" w:fill="FFFFFF"/>
        </w:rPr>
        <w:t>P</w:t>
      </w:r>
      <w:r w:rsidRPr="00EA0E7D">
        <w:rPr>
          <w:rFonts w:ascii="Arial" w:hAnsi="Arial" w:cs="Arial"/>
          <w:color w:val="000000"/>
          <w:shd w:val="clear" w:color="auto" w:fill="FFFFFF"/>
        </w:rPr>
        <w:t xml:space="preserve">rincipio </w:t>
      </w:r>
      <w:r w:rsidR="00E2748E">
        <w:rPr>
          <w:rFonts w:ascii="Arial" w:hAnsi="Arial" w:cs="Arial"/>
          <w:color w:val="000000"/>
          <w:shd w:val="clear" w:color="auto" w:fill="FFFFFF"/>
        </w:rPr>
        <w:t>G</w:t>
      </w:r>
      <w:r w:rsidRPr="00EA0E7D">
        <w:rPr>
          <w:rFonts w:ascii="Arial" w:hAnsi="Arial" w:cs="Arial"/>
          <w:color w:val="000000"/>
          <w:shd w:val="clear" w:color="auto" w:fill="FFFFFF"/>
        </w:rPr>
        <w:t>eneral de Planificación</w:t>
      </w:r>
      <w:r w:rsidR="00E2748E" w:rsidRPr="00E2748E">
        <w:rPr>
          <w:rFonts w:ascii="Arial" w:hAnsi="Arial" w:cs="Arial"/>
          <w:color w:val="000000"/>
          <w:shd w:val="clear" w:color="auto" w:fill="FFFFFF"/>
        </w:rPr>
        <w:t xml:space="preserve"> </w:t>
      </w:r>
      <w:r w:rsidR="00E2748E" w:rsidRPr="00EA0E7D">
        <w:rPr>
          <w:rFonts w:ascii="Arial" w:hAnsi="Arial" w:cs="Arial"/>
          <w:color w:val="000000"/>
          <w:shd w:val="clear" w:color="auto" w:fill="FFFFFF"/>
        </w:rPr>
        <w:t>del Estatuto Orgánico de Presupuesto</w:t>
      </w:r>
      <w:r w:rsidRPr="00EA0E7D">
        <w:rPr>
          <w:rFonts w:ascii="Arial" w:hAnsi="Arial" w:cs="Arial"/>
          <w:color w:val="000000"/>
          <w:shd w:val="clear" w:color="auto" w:fill="FFFFFF"/>
        </w:rPr>
        <w:t>, el cual, según el artículo 13 se define como la articulación de este instrumento con las demás herramientas de planeación: “</w:t>
      </w:r>
      <w:r w:rsidRPr="00EA0E7D">
        <w:rPr>
          <w:rFonts w:ascii="Arial" w:hAnsi="Arial" w:cs="Arial"/>
          <w:i/>
          <w:iCs/>
          <w:color w:val="000000"/>
          <w:shd w:val="clear" w:color="auto" w:fill="FFFFFF"/>
        </w:rPr>
        <w:t>El Presupuesto General de la Nación deberá guardar concordancia con los contenidos del Plan Nacional de Desarrollo, del Plan Nacional de Inversiones, del Plan Financiero y del Plan Operativo Anual de Inversiones"</w:t>
      </w:r>
      <w:r w:rsidRPr="00EA0E7D">
        <w:rPr>
          <w:rFonts w:ascii="Arial" w:hAnsi="Arial" w:cs="Arial"/>
          <w:color w:val="000000"/>
          <w:shd w:val="clear" w:color="auto" w:fill="FFFFFF"/>
        </w:rPr>
        <w:t>. Adicionalmente, de conformidad con el artículo 6° del Decreto 111 de 1996, el Sistema Presupuestal está constituido por un Plan Financiero, por un Plan Operativo Anual de Inversiones y por el Presupuesto Anual de Rentas y Gastos.</w:t>
      </w:r>
    </w:p>
    <w:p w:rsidR="00E2748E" w:rsidRPr="00EA0E7D" w:rsidRDefault="00E2748E" w:rsidP="00F4471B">
      <w:pPr>
        <w:spacing w:line="240" w:lineRule="auto"/>
        <w:contextualSpacing/>
        <w:jc w:val="both"/>
        <w:rPr>
          <w:rFonts w:ascii="Arial" w:hAnsi="Arial" w:cs="Arial"/>
          <w:color w:val="000000"/>
          <w:shd w:val="clear" w:color="auto" w:fill="FFFFFF"/>
        </w:rPr>
      </w:pPr>
    </w:p>
    <w:p w:rsidR="004361AA" w:rsidRDefault="00EA0E7D">
      <w:pPr>
        <w:spacing w:line="240" w:lineRule="auto"/>
        <w:contextualSpacing/>
        <w:jc w:val="both"/>
        <w:rPr>
          <w:rFonts w:ascii="Arial" w:eastAsia="Arial Narrow" w:hAnsi="Arial" w:cs="Arial"/>
        </w:rPr>
      </w:pPr>
      <w:r w:rsidRPr="00EA0E7D">
        <w:rPr>
          <w:rFonts w:ascii="Arial" w:hAnsi="Arial" w:cs="Arial"/>
          <w:color w:val="000000"/>
          <w:shd w:val="clear" w:color="auto" w:fill="FFFFFF"/>
        </w:rPr>
        <w:t xml:space="preserve">Frente al Plan Operativo Anual de Inversiones, el artículo 8° del Decreto 111 de 1996 establece que </w:t>
      </w:r>
      <w:r w:rsidRPr="00EA0E7D">
        <w:rPr>
          <w:rFonts w:ascii="Arial" w:hAnsi="Arial" w:cs="Arial"/>
          <w:i/>
          <w:iCs/>
          <w:color w:val="000000"/>
          <w:shd w:val="clear" w:color="auto" w:fill="FFFFFF"/>
        </w:rPr>
        <w:t>“El plan operativo anual de inversiones señalará los proyectos de inversión clasificados por sectores, órganos y programas. Este plan guardará concordancia con el plan nacional de inversiones […]”</w:t>
      </w:r>
      <w:r w:rsidRPr="00EA0E7D">
        <w:rPr>
          <w:rFonts w:ascii="Arial" w:hAnsi="Arial" w:cs="Arial"/>
          <w:color w:val="000000"/>
          <w:shd w:val="clear" w:color="auto" w:fill="FFFFFF"/>
        </w:rPr>
        <w:t xml:space="preserve">, lo anterior en el marco de cada vigencia fiscal. En esta línea, y con el propósito de contribuir al fortalecimiento del proceso de planeación y de gestión pública en las entidades territoriales, el artículo 29 de la Ley 152 de 1994 establece que </w:t>
      </w:r>
      <w:r w:rsidRPr="00EA0E7D">
        <w:rPr>
          <w:rFonts w:ascii="Arial" w:hAnsi="Arial" w:cs="Arial"/>
          <w:i/>
          <w:iCs/>
          <w:color w:val="000000"/>
          <w:shd w:val="clear" w:color="auto" w:fill="FFFFFF"/>
        </w:rPr>
        <w:t xml:space="preserve">“[…] todos los organismos de la administración pública nacional deberán elaborar, con base en los lineamientos del Plan Nacional de Desarrollo y de las funciones que le señale la ley, un plan indicativo cuatrienal con planes de acción anuales que se constituirá en la base para la posterior evaluación de resultados”. </w:t>
      </w:r>
      <w:r w:rsidR="009B2673">
        <w:rPr>
          <w:rFonts w:ascii="Arial" w:eastAsia="Arial Narrow" w:hAnsi="Arial" w:cs="Arial"/>
        </w:rPr>
        <w:t>Por lo tanto, se entiende que como unidad fundamental de ejecución de los recursos de inversión, los proyectos deberán estar previamente definidos y deben guardar concordancia con el Plan de Desarrollo Territorial.</w:t>
      </w:r>
    </w:p>
    <w:p w:rsidR="00E2748E" w:rsidRPr="004361AA" w:rsidRDefault="00E2748E" w:rsidP="00F4471B">
      <w:pPr>
        <w:spacing w:line="240" w:lineRule="auto"/>
        <w:contextualSpacing/>
        <w:jc w:val="both"/>
        <w:rPr>
          <w:rFonts w:ascii="Arial" w:eastAsia="Arial Narrow" w:hAnsi="Arial" w:cs="Arial"/>
          <w:b/>
          <w:bCs/>
          <w:i/>
          <w:iCs/>
        </w:rPr>
      </w:pPr>
    </w:p>
    <w:p w:rsidR="004361AA" w:rsidRDefault="004361AA">
      <w:pPr>
        <w:spacing w:line="240" w:lineRule="auto"/>
        <w:contextualSpacing/>
        <w:jc w:val="both"/>
        <w:rPr>
          <w:rFonts w:ascii="Arial" w:hAnsi="Arial" w:cs="Arial"/>
        </w:rPr>
      </w:pPr>
      <w:r w:rsidRPr="004C53F3">
        <w:rPr>
          <w:rFonts w:ascii="Arial" w:hAnsi="Arial" w:cs="Arial"/>
        </w:rPr>
        <w:t>Al respecto, en el documento “</w:t>
      </w:r>
      <w:r w:rsidRPr="004C53F3">
        <w:rPr>
          <w:rFonts w:ascii="Arial" w:hAnsi="Arial" w:cs="Arial"/>
          <w:i/>
          <w:iCs/>
        </w:rPr>
        <w:t>Orientaciones para la programación y ejecución de los recursos del Sistema General de Participaciones (SGP)</w:t>
      </w:r>
      <w:r w:rsidRPr="004C53F3">
        <w:rPr>
          <w:rFonts w:ascii="Arial" w:hAnsi="Arial" w:cs="Arial"/>
        </w:rPr>
        <w:t>”</w:t>
      </w:r>
      <w:r w:rsidRPr="004C53F3">
        <w:rPr>
          <w:rFonts w:ascii="Arial" w:hAnsi="Arial" w:cs="Arial"/>
          <w:i/>
          <w:iCs/>
        </w:rPr>
        <w:t xml:space="preserve">; </w:t>
      </w:r>
      <w:r w:rsidRPr="004C53F3">
        <w:rPr>
          <w:rFonts w:ascii="Arial" w:hAnsi="Arial" w:cs="Arial"/>
        </w:rPr>
        <w:t>Capítulo 6, Participación de Propósito General se determina, entre otros aspectos, que:</w:t>
      </w:r>
    </w:p>
    <w:p w:rsidR="00E2748E" w:rsidRPr="004C53F3" w:rsidRDefault="00E2748E" w:rsidP="00F4471B">
      <w:pPr>
        <w:spacing w:line="240" w:lineRule="auto"/>
        <w:contextualSpacing/>
        <w:jc w:val="both"/>
        <w:rPr>
          <w:rFonts w:ascii="Arial" w:hAnsi="Arial" w:cs="Arial"/>
        </w:rPr>
      </w:pPr>
    </w:p>
    <w:p w:rsidR="004361AA" w:rsidRPr="00BE36D3" w:rsidRDefault="004361AA">
      <w:pPr>
        <w:pStyle w:val="Default"/>
        <w:ind w:left="708"/>
        <w:contextualSpacing/>
        <w:jc w:val="both"/>
        <w:rPr>
          <w:sz w:val="18"/>
          <w:szCs w:val="18"/>
        </w:rPr>
      </w:pPr>
      <w:r w:rsidRPr="00BE36D3">
        <w:rPr>
          <w:i/>
          <w:iCs/>
          <w:sz w:val="18"/>
          <w:szCs w:val="18"/>
        </w:rPr>
        <w:t>“Para la programación y ejecución de los recursos de la participación de propósito general de forzosa inversión es necesario tener en cuenta las siguientes consideraciones: […]</w:t>
      </w:r>
      <w:r>
        <w:rPr>
          <w:i/>
          <w:iCs/>
          <w:sz w:val="18"/>
          <w:szCs w:val="18"/>
        </w:rPr>
        <w:t>.</w:t>
      </w:r>
    </w:p>
    <w:p w:rsidR="004361AA" w:rsidRPr="00BE36D3" w:rsidRDefault="004361AA">
      <w:pPr>
        <w:pStyle w:val="Default"/>
        <w:ind w:left="708"/>
        <w:contextualSpacing/>
        <w:jc w:val="both"/>
        <w:rPr>
          <w:i/>
          <w:iCs/>
          <w:sz w:val="18"/>
          <w:szCs w:val="18"/>
        </w:rPr>
      </w:pPr>
    </w:p>
    <w:p w:rsidR="004361AA" w:rsidRDefault="004361AA" w:rsidP="00F4471B">
      <w:pPr>
        <w:spacing w:line="240" w:lineRule="auto"/>
        <w:ind w:left="708"/>
        <w:contextualSpacing/>
        <w:jc w:val="both"/>
        <w:rPr>
          <w:rFonts w:ascii="Arial" w:hAnsi="Arial" w:cs="Arial"/>
          <w:i/>
          <w:iCs/>
          <w:color w:val="000000"/>
          <w:sz w:val="18"/>
          <w:szCs w:val="18"/>
        </w:rPr>
      </w:pPr>
      <w:r w:rsidRPr="004C53F3">
        <w:rPr>
          <w:rFonts w:ascii="Arial" w:hAnsi="Arial" w:cs="Arial"/>
          <w:i/>
          <w:iCs/>
          <w:color w:val="000000"/>
          <w:sz w:val="18"/>
          <w:szCs w:val="18"/>
        </w:rPr>
        <w:t>Los recursos deben ejecutarse conforme a programas y proyectos viables. En este sentido se recuerda el objeto y sentido de la planeación, en la medida en que el proyecto se constituye en la unidad básica de dicho proceso, que debe contener objetivos acordes con las políticas generales de desarrollo de la entidad territorial”.</w:t>
      </w:r>
    </w:p>
    <w:p w:rsidR="00E2748E" w:rsidRDefault="00E2748E">
      <w:pPr>
        <w:spacing w:line="240" w:lineRule="auto"/>
        <w:contextualSpacing/>
        <w:jc w:val="both"/>
        <w:rPr>
          <w:rFonts w:ascii="Arial" w:hAnsi="Arial" w:cs="Arial"/>
        </w:rPr>
      </w:pPr>
    </w:p>
    <w:p w:rsidR="00DB1870" w:rsidRDefault="00DB1870">
      <w:pPr>
        <w:spacing w:line="240" w:lineRule="auto"/>
        <w:contextualSpacing/>
        <w:jc w:val="both"/>
        <w:rPr>
          <w:rFonts w:ascii="Arial" w:hAnsi="Arial" w:cs="Arial"/>
        </w:rPr>
      </w:pPr>
      <w:r w:rsidRPr="00BE36D3">
        <w:rPr>
          <w:rFonts w:ascii="Arial" w:hAnsi="Arial" w:cs="Arial"/>
        </w:rPr>
        <w:t xml:space="preserve">A pesar de que en el Plan de Desarrollo Territorial se establecen estas metas y se programan recursos en el Plan de Inversiones, el Municipio de Santiago de </w:t>
      </w:r>
      <w:r>
        <w:rPr>
          <w:rFonts w:ascii="Arial" w:hAnsi="Arial" w:cs="Arial"/>
        </w:rPr>
        <w:t>Tolú - Sucre</w:t>
      </w:r>
      <w:r w:rsidRPr="00BE36D3">
        <w:rPr>
          <w:rFonts w:ascii="Arial" w:hAnsi="Arial" w:cs="Arial"/>
        </w:rPr>
        <w:t xml:space="preserve"> no refleja esta planificación en el Plan Indicativo, ya que es un instrumento que no se usa </w:t>
      </w:r>
      <w:r w:rsidRPr="00BE36D3">
        <w:rPr>
          <w:rFonts w:ascii="Arial" w:hAnsi="Arial" w:cs="Arial"/>
        </w:rPr>
        <w:lastRenderedPageBreak/>
        <w:t>según la información recopilada por el DNP durante la visita y por lo tanto tampoco se reporta de manera adecuada en el Sistema de Evaluación de la Eficacia</w:t>
      </w:r>
      <w:r>
        <w:rPr>
          <w:rFonts w:ascii="Arial" w:hAnsi="Arial" w:cs="Arial"/>
        </w:rPr>
        <w:t>.</w:t>
      </w:r>
    </w:p>
    <w:p w:rsidR="0084155B" w:rsidRPr="004C53F3" w:rsidRDefault="0084155B" w:rsidP="00F4471B">
      <w:pPr>
        <w:spacing w:line="240" w:lineRule="auto"/>
        <w:contextualSpacing/>
        <w:jc w:val="both"/>
        <w:rPr>
          <w:rFonts w:ascii="Arial" w:hAnsi="Arial" w:cs="Arial"/>
          <w:i/>
          <w:iCs/>
          <w:color w:val="000000"/>
          <w:sz w:val="18"/>
          <w:szCs w:val="18"/>
        </w:rPr>
      </w:pPr>
    </w:p>
    <w:p w:rsidR="004C53F3" w:rsidRDefault="0014157E">
      <w:pPr>
        <w:spacing w:line="240" w:lineRule="auto"/>
        <w:contextualSpacing/>
        <w:jc w:val="both"/>
        <w:rPr>
          <w:rFonts w:ascii="Arial" w:hAnsi="Arial" w:cs="Arial"/>
        </w:rPr>
      </w:pPr>
      <w:r w:rsidRPr="00BE36D3">
        <w:rPr>
          <w:rFonts w:ascii="Arial" w:hAnsi="Arial" w:cs="Arial"/>
        </w:rPr>
        <w:t>Con respecto al Plan Operativo Anual de Inversiones, el cual es el instrumento que permite la priorización de los proyectos de inversión que se van a financiar durante cada vigencia, el Departamento Nacional de Planeación evidenció que: “</w:t>
      </w:r>
      <w:r w:rsidRPr="00BE36D3">
        <w:rPr>
          <w:rFonts w:ascii="Arial" w:hAnsi="Arial" w:cs="Arial"/>
          <w:i/>
          <w:iCs/>
        </w:rPr>
        <w:t>El POAI es un instrumento muy débil. No hay un inventario de proyectos priorizados en la vigencia donde se evidencie la apropiación de acuerdo con el Presupuesto Aprobado. No se encuentra la conexión con las Metas del Plan de Desarrollo municipal. No hay desagregación de las fuentes de financiación SGP. Formulan los proyectos conforme se va a realizar el gasto durante la vigencia fiscal</w:t>
      </w:r>
      <w:r w:rsidRPr="00BE36D3">
        <w:rPr>
          <w:rFonts w:ascii="Arial" w:hAnsi="Arial" w:cs="Arial"/>
        </w:rPr>
        <w:t>”</w:t>
      </w:r>
      <w:r>
        <w:rPr>
          <w:rFonts w:ascii="Arial" w:hAnsi="Arial" w:cs="Arial"/>
        </w:rPr>
        <w:t>.</w:t>
      </w:r>
      <w:r w:rsidRPr="00BE36D3">
        <w:rPr>
          <w:rFonts w:ascii="Arial" w:hAnsi="Arial" w:cs="Arial"/>
        </w:rPr>
        <w:t xml:space="preserve"> (Informe de Monitoreo en Campo, 2019).</w:t>
      </w:r>
    </w:p>
    <w:p w:rsidR="0084155B" w:rsidRPr="004C53F3" w:rsidRDefault="0084155B" w:rsidP="00F4471B">
      <w:pPr>
        <w:spacing w:line="240" w:lineRule="auto"/>
        <w:contextualSpacing/>
        <w:jc w:val="both"/>
        <w:rPr>
          <w:rFonts w:ascii="Arial" w:eastAsia="Arial Narrow" w:hAnsi="Arial" w:cs="Arial"/>
          <w:b/>
          <w:bCs/>
        </w:rPr>
      </w:pPr>
    </w:p>
    <w:p w:rsidR="000E7813" w:rsidRDefault="004361AA">
      <w:pPr>
        <w:spacing w:line="240" w:lineRule="auto"/>
        <w:contextualSpacing/>
        <w:jc w:val="both"/>
        <w:rPr>
          <w:rFonts w:ascii="Arial" w:hAnsi="Arial" w:cs="Arial"/>
        </w:rPr>
      </w:pPr>
      <w:r>
        <w:rPr>
          <w:rFonts w:ascii="Arial" w:hAnsi="Arial" w:cs="Arial"/>
        </w:rPr>
        <w:t>Esta desarticulación se evidencia en las debilidades en la planificación que soportan la actividad contractual, por ejemplo, e</w:t>
      </w:r>
      <w:r w:rsidR="000E7813" w:rsidRPr="00BE36D3">
        <w:rPr>
          <w:rFonts w:ascii="Arial" w:hAnsi="Arial" w:cs="Arial"/>
        </w:rPr>
        <w:t xml:space="preserve">n el </w:t>
      </w:r>
      <w:r w:rsidR="000E7813">
        <w:rPr>
          <w:rFonts w:ascii="Arial" w:hAnsi="Arial" w:cs="Arial"/>
        </w:rPr>
        <w:t>C</w:t>
      </w:r>
      <w:r w:rsidR="000E7813" w:rsidRPr="00BE36D3">
        <w:rPr>
          <w:rFonts w:ascii="Arial" w:hAnsi="Arial" w:cs="Arial"/>
        </w:rPr>
        <w:t>ontrato MST-CD-CA-003-2017 cuyo objeto fue “</w:t>
      </w:r>
      <w:r w:rsidR="000E7813" w:rsidRPr="00C5770E">
        <w:rPr>
          <w:rFonts w:ascii="Arial" w:hAnsi="Arial" w:cs="Arial"/>
          <w:i/>
          <w:iCs/>
        </w:rPr>
        <w:t>Unión de esfuerzos administrativos y económicos para la ejecución del proyecto social denominado atención integral de los grupos vulnerables (niños, niñas y jóvenes, mujer y género, discapacitados, adulto mayor) del Municipio Santiago de Tolú, vigencia 2017</w:t>
      </w:r>
      <w:r w:rsidR="000E7813" w:rsidRPr="00BE36D3">
        <w:rPr>
          <w:rFonts w:ascii="Arial" w:hAnsi="Arial" w:cs="Arial"/>
        </w:rPr>
        <w:t xml:space="preserve">”, se puede evidenciar que el análisis de diagnóstico y la determinación de los objetivos se hace dentro de los estudios previos del </w:t>
      </w:r>
      <w:r w:rsidR="000E7813">
        <w:rPr>
          <w:rFonts w:ascii="Arial" w:hAnsi="Arial" w:cs="Arial"/>
        </w:rPr>
        <w:t>C</w:t>
      </w:r>
      <w:r w:rsidR="000E7813" w:rsidRPr="00BE36D3">
        <w:rPr>
          <w:rFonts w:ascii="Arial" w:hAnsi="Arial" w:cs="Arial"/>
        </w:rPr>
        <w:t>ontrato y no en una etapa previa de planeación de un proyecto definido y estructurado, que guarde concordancia con el Plan de Desarrollo Territorial; el cual, además, materialice la política pública de atención a grupos vulnerables en el Municipio. Adicionalmente, para cada grupo de atención el objetivo general se determina como una cobertura, por lo cual se trata más de una meta específica de individuos atendidos que del fin que busca la intervención. Esto demuestra que no hay una programación estratégica de la inversión pública que se financia con cargo a los recursos de la Participación de Propósito General.</w:t>
      </w:r>
    </w:p>
    <w:p w:rsidR="000E7813" w:rsidRPr="00BE36D3" w:rsidRDefault="000E7813">
      <w:pPr>
        <w:spacing w:line="240" w:lineRule="auto"/>
        <w:contextualSpacing/>
        <w:jc w:val="both"/>
        <w:rPr>
          <w:rFonts w:ascii="Arial" w:hAnsi="Arial" w:cs="Arial"/>
        </w:rPr>
      </w:pPr>
    </w:p>
    <w:p w:rsidR="000E7813" w:rsidRDefault="000E7813">
      <w:pPr>
        <w:spacing w:line="240" w:lineRule="auto"/>
        <w:contextualSpacing/>
        <w:jc w:val="both"/>
        <w:rPr>
          <w:rFonts w:ascii="Arial" w:hAnsi="Arial" w:cs="Arial"/>
        </w:rPr>
      </w:pPr>
      <w:r w:rsidRPr="00BE36D3">
        <w:rPr>
          <w:rFonts w:ascii="Arial" w:hAnsi="Arial" w:cs="Arial"/>
        </w:rPr>
        <w:t xml:space="preserve">Otro aspecto que evidencia la deficiente planeación que soporta los procesos contractuales, es el hecho de que al </w:t>
      </w:r>
      <w:r>
        <w:rPr>
          <w:rFonts w:ascii="Arial" w:hAnsi="Arial" w:cs="Arial"/>
        </w:rPr>
        <w:t>Contrato</w:t>
      </w:r>
      <w:r w:rsidRPr="00BE36D3">
        <w:rPr>
          <w:rFonts w:ascii="Arial" w:hAnsi="Arial" w:cs="Arial"/>
        </w:rPr>
        <w:t xml:space="preserve"> se le hicieron dos adiciones</w:t>
      </w:r>
      <w:r>
        <w:rPr>
          <w:rFonts w:ascii="Arial" w:hAnsi="Arial" w:cs="Arial"/>
        </w:rPr>
        <w:t xml:space="preserve"> sin una justificación amplia</w:t>
      </w:r>
      <w:r w:rsidRPr="00BE36D3">
        <w:rPr>
          <w:rFonts w:ascii="Arial" w:hAnsi="Arial" w:cs="Arial"/>
        </w:rPr>
        <w:t xml:space="preserve"> durante su ejecución. La primera, se realizó el 18 de abril, apenas unos días después de suscrito el </w:t>
      </w:r>
      <w:r>
        <w:rPr>
          <w:rFonts w:ascii="Arial" w:hAnsi="Arial" w:cs="Arial"/>
        </w:rPr>
        <w:t>C</w:t>
      </w:r>
      <w:r w:rsidRPr="00BE36D3">
        <w:rPr>
          <w:rFonts w:ascii="Arial" w:hAnsi="Arial" w:cs="Arial"/>
        </w:rPr>
        <w:t>ontrato, en donde no se soportó debidamente la adición en valor de $17.919.000. En el documento se menciona que es para ampliar el alcance y la cobertura de la celebración del día del niño</w:t>
      </w:r>
      <w:r>
        <w:rPr>
          <w:rFonts w:ascii="Arial" w:hAnsi="Arial" w:cs="Arial"/>
        </w:rPr>
        <w:t xml:space="preserve">, esto a pesar de que en el documento de estudios previos se desarrollaron los respectivos análisis de las actividades a desarrollar en cada componente, así como la duración y los insumos requeridos para llevarlos a cabo. De igual manera, en las líneas 3 y 4, que tienen que ver con actividades enfocadas en la atención integral a la primera infancia, la niñez y los adolescentes, se realizó el proceso de identificación del alcance y beneficiarios de la intervención, razón por la cual no se explica que a 12 días de haberse suscrito el </w:t>
      </w:r>
      <w:r w:rsidR="0084155B">
        <w:rPr>
          <w:rFonts w:ascii="Arial" w:hAnsi="Arial" w:cs="Arial"/>
        </w:rPr>
        <w:t>C</w:t>
      </w:r>
      <w:r>
        <w:rPr>
          <w:rFonts w:ascii="Arial" w:hAnsi="Arial" w:cs="Arial"/>
        </w:rPr>
        <w:t>ontrato se modifique para incluir la celebración del día del niño, actividad que debió haber sido incluida en el momento de llevar a cabo la identificación de la necesidad y su alcance.</w:t>
      </w:r>
    </w:p>
    <w:p w:rsidR="000E7813" w:rsidRDefault="000E7813">
      <w:pPr>
        <w:spacing w:line="240" w:lineRule="auto"/>
        <w:contextualSpacing/>
        <w:jc w:val="both"/>
        <w:rPr>
          <w:rFonts w:ascii="Arial" w:hAnsi="Arial" w:cs="Arial"/>
        </w:rPr>
      </w:pPr>
    </w:p>
    <w:p w:rsidR="000E7813" w:rsidRDefault="000E7813">
      <w:pPr>
        <w:spacing w:line="240" w:lineRule="auto"/>
        <w:contextualSpacing/>
        <w:jc w:val="both"/>
        <w:rPr>
          <w:rFonts w:ascii="Arial" w:hAnsi="Arial" w:cs="Arial"/>
        </w:rPr>
      </w:pPr>
      <w:r w:rsidRPr="00BE36D3">
        <w:rPr>
          <w:rFonts w:ascii="Arial" w:hAnsi="Arial" w:cs="Arial"/>
        </w:rPr>
        <w:t xml:space="preserve">La segunda adición se realizó el 17 de agosto de la misma vigencia. Allí se adicionó tanto en valor ($248.712.000) como en plazo (un mes). En este documento la justificación </w:t>
      </w:r>
      <w:r>
        <w:rPr>
          <w:rFonts w:ascii="Arial" w:hAnsi="Arial" w:cs="Arial"/>
        </w:rPr>
        <w:t>indica</w:t>
      </w:r>
      <w:r w:rsidRPr="00BE36D3">
        <w:rPr>
          <w:rFonts w:ascii="Arial" w:hAnsi="Arial" w:cs="Arial"/>
        </w:rPr>
        <w:t xml:space="preserve"> que el alcance temporal de cada línea de atención debe ampliarse, lo cual demuestra </w:t>
      </w:r>
      <w:r>
        <w:rPr>
          <w:rFonts w:ascii="Arial" w:hAnsi="Arial" w:cs="Arial"/>
        </w:rPr>
        <w:t>la insuficiencia del</w:t>
      </w:r>
      <w:r w:rsidRPr="00BE36D3">
        <w:rPr>
          <w:rFonts w:ascii="Arial" w:hAnsi="Arial" w:cs="Arial"/>
        </w:rPr>
        <w:t xml:space="preserve"> análisis de costos y </w:t>
      </w:r>
      <w:r>
        <w:rPr>
          <w:rFonts w:ascii="Arial" w:hAnsi="Arial" w:cs="Arial"/>
        </w:rPr>
        <w:t>d</w:t>
      </w:r>
      <w:r w:rsidRPr="00BE36D3">
        <w:rPr>
          <w:rFonts w:ascii="Arial" w:hAnsi="Arial" w:cs="Arial"/>
        </w:rPr>
        <w:t>el proceso de planeación del programa</w:t>
      </w:r>
      <w:r>
        <w:rPr>
          <w:rFonts w:ascii="Arial" w:hAnsi="Arial" w:cs="Arial"/>
        </w:rPr>
        <w:t xml:space="preserve">, </w:t>
      </w:r>
      <w:r w:rsidRPr="00BE36D3">
        <w:rPr>
          <w:rFonts w:ascii="Arial" w:hAnsi="Arial" w:cs="Arial"/>
        </w:rPr>
        <w:t>ya</w:t>
      </w:r>
      <w:r>
        <w:rPr>
          <w:rFonts w:ascii="Arial" w:hAnsi="Arial" w:cs="Arial"/>
        </w:rPr>
        <w:t xml:space="preserve"> que en el plan de acción</w:t>
      </w:r>
      <w:r w:rsidRPr="00BE36D3">
        <w:rPr>
          <w:rFonts w:ascii="Arial" w:hAnsi="Arial" w:cs="Arial"/>
        </w:rPr>
        <w:t xml:space="preserve"> se realizó un ejercicio </w:t>
      </w:r>
      <w:r>
        <w:rPr>
          <w:rFonts w:ascii="Arial" w:hAnsi="Arial" w:cs="Arial"/>
        </w:rPr>
        <w:t xml:space="preserve">incompleto </w:t>
      </w:r>
      <w:r w:rsidRPr="00BE36D3">
        <w:rPr>
          <w:rFonts w:ascii="Arial" w:hAnsi="Arial" w:cs="Arial"/>
        </w:rPr>
        <w:t xml:space="preserve">de determinación de beneficiarios y de la </w:t>
      </w:r>
      <w:r w:rsidRPr="00BE36D3">
        <w:rPr>
          <w:rFonts w:ascii="Arial" w:hAnsi="Arial" w:cs="Arial"/>
        </w:rPr>
        <w:lastRenderedPageBreak/>
        <w:t xml:space="preserve">duración de las actividades planteadas en el cronograma para el logro de </w:t>
      </w:r>
      <w:r>
        <w:rPr>
          <w:rFonts w:ascii="Arial" w:hAnsi="Arial" w:cs="Arial"/>
        </w:rPr>
        <w:t xml:space="preserve">los </w:t>
      </w:r>
      <w:r w:rsidRPr="00BE36D3">
        <w:rPr>
          <w:rFonts w:ascii="Arial" w:hAnsi="Arial" w:cs="Arial"/>
        </w:rPr>
        <w:t>objetivo</w:t>
      </w:r>
      <w:r>
        <w:rPr>
          <w:rFonts w:ascii="Arial" w:hAnsi="Arial" w:cs="Arial"/>
        </w:rPr>
        <w:t>s</w:t>
      </w:r>
      <w:r w:rsidRPr="00BE36D3">
        <w:rPr>
          <w:rFonts w:ascii="Arial" w:hAnsi="Arial" w:cs="Arial"/>
        </w:rPr>
        <w:t xml:space="preserve"> específico</w:t>
      </w:r>
      <w:r>
        <w:rPr>
          <w:rFonts w:ascii="Arial" w:hAnsi="Arial" w:cs="Arial"/>
        </w:rPr>
        <w:t>s</w:t>
      </w:r>
      <w:r w:rsidRPr="00BE36D3">
        <w:rPr>
          <w:rFonts w:ascii="Arial" w:hAnsi="Arial" w:cs="Arial"/>
        </w:rPr>
        <w:t xml:space="preserve">. </w:t>
      </w:r>
      <w:r>
        <w:rPr>
          <w:rFonts w:ascii="Arial" w:hAnsi="Arial" w:cs="Arial"/>
        </w:rPr>
        <w:t>Esto derivó en la necesidad de generar un Otrosí por aproximadamente el 37</w:t>
      </w:r>
      <w:r w:rsidR="0084155B">
        <w:rPr>
          <w:rFonts w:ascii="Arial" w:hAnsi="Arial" w:cs="Arial"/>
        </w:rPr>
        <w:t xml:space="preserve"> </w:t>
      </w:r>
      <w:r>
        <w:rPr>
          <w:rFonts w:ascii="Arial" w:hAnsi="Arial" w:cs="Arial"/>
        </w:rPr>
        <w:t>% del valor inicial, para cubrir un plazo adicional de ejecución que representa tan solo el 14</w:t>
      </w:r>
      <w:r w:rsidR="0084155B">
        <w:rPr>
          <w:rFonts w:ascii="Arial" w:hAnsi="Arial" w:cs="Arial"/>
        </w:rPr>
        <w:t xml:space="preserve"> </w:t>
      </w:r>
      <w:r>
        <w:rPr>
          <w:rFonts w:ascii="Arial" w:hAnsi="Arial" w:cs="Arial"/>
        </w:rPr>
        <w:t>% frente al alcance temporal planteado inicialmente.</w:t>
      </w:r>
    </w:p>
    <w:p w:rsidR="00F36B11" w:rsidRDefault="00F36B11">
      <w:pPr>
        <w:spacing w:line="240" w:lineRule="auto"/>
        <w:contextualSpacing/>
        <w:jc w:val="both"/>
        <w:rPr>
          <w:rFonts w:ascii="Arial" w:hAnsi="Arial" w:cs="Arial"/>
        </w:rPr>
      </w:pPr>
    </w:p>
    <w:p w:rsidR="00F36B11" w:rsidRDefault="00F36B11">
      <w:pPr>
        <w:spacing w:line="240" w:lineRule="auto"/>
        <w:contextualSpacing/>
        <w:jc w:val="both"/>
        <w:rPr>
          <w:rFonts w:ascii="Arial" w:hAnsi="Arial" w:cs="Arial"/>
        </w:rPr>
      </w:pPr>
      <w:r>
        <w:rPr>
          <w:rFonts w:ascii="Arial" w:hAnsi="Arial" w:cs="Arial"/>
        </w:rPr>
        <w:t xml:space="preserve">Otro caso es el del </w:t>
      </w:r>
      <w:r w:rsidR="0084155B">
        <w:rPr>
          <w:rFonts w:ascii="Arial" w:hAnsi="Arial" w:cs="Arial"/>
        </w:rPr>
        <w:t>C</w:t>
      </w:r>
      <w:r>
        <w:rPr>
          <w:rFonts w:ascii="Arial" w:hAnsi="Arial" w:cs="Arial"/>
        </w:rPr>
        <w:t xml:space="preserve">ontrato </w:t>
      </w:r>
      <w:r w:rsidRPr="00BE36D3">
        <w:rPr>
          <w:rFonts w:ascii="Arial" w:hAnsi="Arial" w:cs="Arial"/>
        </w:rPr>
        <w:t>No. MST-MIN-043-2017</w:t>
      </w:r>
      <w:r>
        <w:rPr>
          <w:rFonts w:ascii="Arial" w:hAnsi="Arial" w:cs="Arial"/>
        </w:rPr>
        <w:t xml:space="preserve">, </w:t>
      </w:r>
      <w:r w:rsidRPr="00BE36D3">
        <w:rPr>
          <w:rFonts w:ascii="Arial" w:hAnsi="Arial" w:cs="Arial"/>
        </w:rPr>
        <w:t>cuyo objeto fue la “</w:t>
      </w:r>
      <w:r w:rsidRPr="00C5770E">
        <w:rPr>
          <w:rFonts w:ascii="Arial" w:hAnsi="Arial" w:cs="Arial"/>
          <w:i/>
          <w:iCs/>
        </w:rPr>
        <w:t xml:space="preserve">Caracterización de la oferta de servicios turísticos, complementarios y de apoyo; que se ofrecen en el casco urbano del Municipio de Santiago de Tolú, </w:t>
      </w:r>
      <w:r>
        <w:rPr>
          <w:rFonts w:ascii="Arial" w:hAnsi="Arial" w:cs="Arial"/>
          <w:i/>
          <w:iCs/>
        </w:rPr>
        <w:t>S</w:t>
      </w:r>
      <w:r w:rsidRPr="00C5770E">
        <w:rPr>
          <w:rFonts w:ascii="Arial" w:hAnsi="Arial" w:cs="Arial"/>
          <w:i/>
          <w:iCs/>
        </w:rPr>
        <w:t>ucre</w:t>
      </w:r>
      <w:r w:rsidRPr="00BE36D3">
        <w:rPr>
          <w:rFonts w:ascii="Arial" w:hAnsi="Arial" w:cs="Arial"/>
        </w:rPr>
        <w:t>”</w:t>
      </w:r>
      <w:r w:rsidR="00930836">
        <w:rPr>
          <w:rFonts w:ascii="Arial" w:hAnsi="Arial" w:cs="Arial"/>
        </w:rPr>
        <w:t>.</w:t>
      </w:r>
      <w:r w:rsidRPr="00BE36D3">
        <w:rPr>
          <w:rFonts w:ascii="Arial" w:hAnsi="Arial" w:cs="Arial"/>
        </w:rPr>
        <w:t xml:space="preserve"> </w:t>
      </w:r>
      <w:r w:rsidR="00930836">
        <w:rPr>
          <w:rFonts w:ascii="Arial" w:hAnsi="Arial" w:cs="Arial"/>
        </w:rPr>
        <w:t>E</w:t>
      </w:r>
      <w:r w:rsidRPr="00BE36D3">
        <w:rPr>
          <w:rFonts w:ascii="Arial" w:hAnsi="Arial" w:cs="Arial"/>
        </w:rPr>
        <w:t xml:space="preserve">l DNP resaltó una evidente falla en la etapa de planeación del </w:t>
      </w:r>
      <w:r>
        <w:rPr>
          <w:rFonts w:ascii="Arial" w:hAnsi="Arial" w:cs="Arial"/>
        </w:rPr>
        <w:t>C</w:t>
      </w:r>
      <w:r w:rsidRPr="00BE36D3">
        <w:rPr>
          <w:rFonts w:ascii="Arial" w:hAnsi="Arial" w:cs="Arial"/>
        </w:rPr>
        <w:t>ontrato</w:t>
      </w:r>
      <w:r>
        <w:rPr>
          <w:rFonts w:ascii="Arial" w:hAnsi="Arial" w:cs="Arial"/>
        </w:rPr>
        <w:t xml:space="preserve"> al indicar que el </w:t>
      </w:r>
      <w:r w:rsidRPr="00BE36D3">
        <w:rPr>
          <w:rFonts w:ascii="Arial" w:hAnsi="Arial" w:cs="Arial"/>
        </w:rPr>
        <w:t>“</w:t>
      </w:r>
      <w:r w:rsidRPr="00BE36D3">
        <w:rPr>
          <w:rFonts w:ascii="Arial" w:hAnsi="Arial" w:cs="Arial"/>
          <w:i/>
          <w:iCs/>
        </w:rPr>
        <w:t>Proyecto de inversión y contrato con alcances idénticos, es claro que el proceso de formulación de proyectos no es oportuno y carecen de alcances estratégicos, en este caso lo acota a la contratación de un diagnóstico en términos estrictos debe hacer parte de un proyecto que apunte a lo relacionado en los artículos 76.10.1 y 76.10.2 de la Ley 715 de 2001</w:t>
      </w:r>
      <w:r w:rsidRPr="00BE36D3">
        <w:rPr>
          <w:rFonts w:ascii="Arial" w:hAnsi="Arial" w:cs="Arial"/>
        </w:rPr>
        <w:t>”</w:t>
      </w:r>
      <w:r>
        <w:rPr>
          <w:rFonts w:ascii="Arial" w:hAnsi="Arial" w:cs="Arial"/>
        </w:rPr>
        <w:t>.</w:t>
      </w:r>
    </w:p>
    <w:p w:rsidR="0014157E" w:rsidRDefault="0014157E">
      <w:pPr>
        <w:spacing w:line="240" w:lineRule="auto"/>
        <w:contextualSpacing/>
        <w:jc w:val="both"/>
        <w:rPr>
          <w:rFonts w:ascii="Arial" w:hAnsi="Arial" w:cs="Arial"/>
        </w:rPr>
      </w:pPr>
    </w:p>
    <w:p w:rsidR="0014157E" w:rsidRDefault="000E7813">
      <w:pPr>
        <w:spacing w:line="240" w:lineRule="auto"/>
        <w:contextualSpacing/>
        <w:jc w:val="both"/>
        <w:rPr>
          <w:rFonts w:ascii="Arial" w:hAnsi="Arial" w:cs="Arial"/>
        </w:rPr>
      </w:pPr>
      <w:r w:rsidRPr="00BE36D3">
        <w:rPr>
          <w:rFonts w:ascii="Arial" w:eastAsia="Arial Narrow" w:hAnsi="Arial" w:cs="Arial"/>
        </w:rPr>
        <w:t xml:space="preserve">A esto se suma que la formulación en la MGA </w:t>
      </w:r>
      <w:r w:rsidRPr="00F4471B">
        <w:rPr>
          <w:rFonts w:ascii="Arial" w:eastAsia="Arial Narrow" w:hAnsi="Arial" w:cs="Arial"/>
          <w:i/>
          <w:iCs/>
        </w:rPr>
        <w:t>Web</w:t>
      </w:r>
      <w:r w:rsidRPr="00BE36D3">
        <w:rPr>
          <w:rFonts w:ascii="Arial" w:eastAsia="Arial Narrow" w:hAnsi="Arial" w:cs="Arial"/>
        </w:rPr>
        <w:t xml:space="preserve"> de los proyectos asociados a los </w:t>
      </w:r>
      <w:r w:rsidR="0084155B">
        <w:rPr>
          <w:rFonts w:ascii="Arial" w:eastAsia="Arial Narrow" w:hAnsi="Arial" w:cs="Arial"/>
        </w:rPr>
        <w:t>c</w:t>
      </w:r>
      <w:r w:rsidRPr="00BE36D3">
        <w:rPr>
          <w:rFonts w:ascii="Arial" w:eastAsia="Arial Narrow" w:hAnsi="Arial" w:cs="Arial"/>
        </w:rPr>
        <w:t xml:space="preserve">ontratos se hace días previos a la contratación, lo cual indica que no tienen una etapa previa de programación </w:t>
      </w:r>
      <w:r>
        <w:rPr>
          <w:rFonts w:ascii="Arial" w:eastAsia="Arial Narrow" w:hAnsi="Arial" w:cs="Arial"/>
        </w:rPr>
        <w:t xml:space="preserve">integral </w:t>
      </w:r>
      <w:r w:rsidRPr="00BE36D3">
        <w:rPr>
          <w:rFonts w:ascii="Arial" w:eastAsia="Arial Narrow" w:hAnsi="Arial" w:cs="Arial"/>
        </w:rPr>
        <w:t>de la inversión, sino que se hace simultáneamente cuando se va a realizar la ejecución del recurso.</w:t>
      </w:r>
      <w:r w:rsidR="0014157E">
        <w:rPr>
          <w:rFonts w:ascii="Arial" w:eastAsia="Arial Narrow" w:hAnsi="Arial" w:cs="Arial"/>
        </w:rPr>
        <w:t xml:space="preserve"> </w:t>
      </w:r>
      <w:r w:rsidR="0014157E" w:rsidRPr="00BE36D3">
        <w:rPr>
          <w:rFonts w:ascii="Arial" w:hAnsi="Arial" w:cs="Arial"/>
        </w:rPr>
        <w:t>Esta desarticulación permite concluir que el Municipio no realiza la debida programación de la inversión haciendo uso de las herramientas legales dispuestas para este fin, específicamente, se incumplen los artículos 8 y 37 del Decreto 111 de 1996</w:t>
      </w:r>
      <w:r w:rsidR="0014157E" w:rsidRPr="00BE36D3">
        <w:rPr>
          <w:rStyle w:val="Refdenotaalpie"/>
          <w:rFonts w:ascii="Arial" w:hAnsi="Arial" w:cs="Arial"/>
        </w:rPr>
        <w:footnoteReference w:id="7"/>
      </w:r>
      <w:r w:rsidR="0014157E" w:rsidRPr="00BE36D3">
        <w:rPr>
          <w:rFonts w:ascii="Arial" w:hAnsi="Arial" w:cs="Arial"/>
        </w:rPr>
        <w:t xml:space="preserve"> en cuanto a la planeación del presupuesto de gastos en el componente de inversión</w:t>
      </w:r>
      <w:r w:rsidR="00930836">
        <w:rPr>
          <w:rFonts w:ascii="Arial" w:hAnsi="Arial" w:cs="Arial"/>
        </w:rPr>
        <w:t>, a</w:t>
      </w:r>
      <w:r w:rsidR="00DB1870">
        <w:rPr>
          <w:rFonts w:ascii="Arial" w:hAnsi="Arial" w:cs="Arial"/>
        </w:rPr>
        <w:t xml:space="preserve">sí como los artículos 29 y </w:t>
      </w:r>
      <w:r w:rsidR="006269DB">
        <w:rPr>
          <w:rFonts w:ascii="Arial" w:hAnsi="Arial" w:cs="Arial"/>
        </w:rPr>
        <w:t>3</w:t>
      </w:r>
      <w:r w:rsidR="00DB1870">
        <w:rPr>
          <w:rFonts w:ascii="Arial" w:hAnsi="Arial" w:cs="Arial"/>
        </w:rPr>
        <w:t>6 de la Ley 152 de 1994.</w:t>
      </w:r>
    </w:p>
    <w:p w:rsidR="001130E0" w:rsidRDefault="001130E0">
      <w:pPr>
        <w:spacing w:line="240" w:lineRule="auto"/>
        <w:contextualSpacing/>
        <w:jc w:val="both"/>
        <w:rPr>
          <w:rFonts w:ascii="Arial" w:hAnsi="Arial" w:cs="Arial"/>
        </w:rPr>
      </w:pPr>
    </w:p>
    <w:p w:rsidR="001130E0" w:rsidRDefault="001130E0">
      <w:pPr>
        <w:spacing w:line="240" w:lineRule="auto"/>
        <w:contextualSpacing/>
        <w:jc w:val="both"/>
        <w:rPr>
          <w:rFonts w:ascii="Arial" w:hAnsi="Arial" w:cs="Arial"/>
        </w:rPr>
      </w:pPr>
      <w:r w:rsidRPr="00B127EC">
        <w:rPr>
          <w:rFonts w:ascii="Arial" w:hAnsi="Arial" w:cs="Arial"/>
          <w:b/>
          <w:bCs/>
        </w:rPr>
        <w:t xml:space="preserve">Evidencia: </w:t>
      </w:r>
      <w:r w:rsidRPr="00B127EC">
        <w:rPr>
          <w:rFonts w:ascii="Arial" w:hAnsi="Arial" w:cs="Arial"/>
        </w:rPr>
        <w:t> los documentos obran en el expediente digital en el Sistema Electrónico Documental SIED del Ministerio de Hacienda y Crédito Público No. 6/2021/D028-PREDI el siguiente material probatorio:</w:t>
      </w:r>
    </w:p>
    <w:p w:rsidR="0084155B" w:rsidRPr="00BE36D3" w:rsidRDefault="0084155B">
      <w:pPr>
        <w:spacing w:line="240" w:lineRule="auto"/>
        <w:contextualSpacing/>
        <w:jc w:val="both"/>
        <w:rPr>
          <w:rFonts w:ascii="Arial" w:hAnsi="Arial" w:cs="Arial"/>
        </w:rPr>
      </w:pPr>
    </w:p>
    <w:p w:rsidR="00DE11A7" w:rsidRDefault="00DE11A7">
      <w:pPr>
        <w:pStyle w:val="Prrafodelista"/>
        <w:numPr>
          <w:ilvl w:val="0"/>
          <w:numId w:val="29"/>
        </w:numPr>
        <w:spacing w:line="240" w:lineRule="auto"/>
        <w:jc w:val="both"/>
        <w:rPr>
          <w:rFonts w:ascii="Arial" w:hAnsi="Arial" w:cs="Arial"/>
        </w:rPr>
      </w:pPr>
      <w:r w:rsidRPr="009D0D20">
        <w:rPr>
          <w:rFonts w:ascii="Arial" w:hAnsi="Arial" w:cs="Arial"/>
        </w:rPr>
        <w:t xml:space="preserve">Informe de monitoreo de campo, </w:t>
      </w:r>
      <w:r>
        <w:rPr>
          <w:rFonts w:ascii="Arial" w:hAnsi="Arial" w:cs="Arial"/>
        </w:rPr>
        <w:t>Santiago de Tolú</w:t>
      </w:r>
      <w:r w:rsidRPr="009D0D20">
        <w:rPr>
          <w:rFonts w:ascii="Arial" w:hAnsi="Arial" w:cs="Arial"/>
        </w:rPr>
        <w:t xml:space="preserve"> - Sucre, Vigencias 201</w:t>
      </w:r>
      <w:r>
        <w:rPr>
          <w:rFonts w:ascii="Arial" w:hAnsi="Arial" w:cs="Arial"/>
        </w:rPr>
        <w:t>7</w:t>
      </w:r>
      <w:r w:rsidRPr="009D0D20">
        <w:rPr>
          <w:rFonts w:ascii="Arial" w:hAnsi="Arial" w:cs="Arial"/>
        </w:rPr>
        <w:t xml:space="preserve"> y 201</w:t>
      </w:r>
      <w:r>
        <w:rPr>
          <w:rFonts w:ascii="Arial" w:hAnsi="Arial" w:cs="Arial"/>
        </w:rPr>
        <w:t>8</w:t>
      </w:r>
      <w:r w:rsidRPr="009D0D20">
        <w:rPr>
          <w:rFonts w:ascii="Arial" w:hAnsi="Arial" w:cs="Arial"/>
        </w:rPr>
        <w:t xml:space="preserve"> Radicado No. 1-</w:t>
      </w:r>
      <w:r w:rsidRPr="00BE36D3">
        <w:rPr>
          <w:rFonts w:ascii="Arial" w:eastAsia="Arial Narrow" w:hAnsi="Arial" w:cs="Arial"/>
        </w:rPr>
        <w:t>2019-079798</w:t>
      </w:r>
      <w:r w:rsidRPr="009D0D20">
        <w:rPr>
          <w:rFonts w:ascii="Arial" w:hAnsi="Arial" w:cs="Arial"/>
        </w:rPr>
        <w:t>. Municipio de</w:t>
      </w:r>
      <w:r>
        <w:rPr>
          <w:rFonts w:ascii="Arial" w:hAnsi="Arial" w:cs="Arial"/>
        </w:rPr>
        <w:t xml:space="preserve"> Santiago de Tolú</w:t>
      </w:r>
      <w:r w:rsidRPr="009D0D20">
        <w:rPr>
          <w:rFonts w:ascii="Arial" w:hAnsi="Arial" w:cs="Arial"/>
        </w:rPr>
        <w:t xml:space="preserve"> – Sucre. Serie “</w:t>
      </w:r>
      <w:r w:rsidRPr="00F4471B">
        <w:rPr>
          <w:rFonts w:ascii="Arial" w:hAnsi="Arial" w:cs="Arial"/>
          <w:i/>
          <w:iCs/>
        </w:rPr>
        <w:t>Historial de Seguimiento y Control a los Recursos del Sistema General de Participaciones – Diagnóstico</w:t>
      </w:r>
      <w:r w:rsidRPr="009D0D20">
        <w:rPr>
          <w:rFonts w:ascii="Arial" w:hAnsi="Arial" w:cs="Arial"/>
        </w:rPr>
        <w:t xml:space="preserve">”. Expediente digital No. </w:t>
      </w:r>
      <w:r>
        <w:rPr>
          <w:rFonts w:ascii="Arial" w:hAnsi="Arial" w:cs="Arial"/>
        </w:rPr>
        <w:t>6</w:t>
      </w:r>
      <w:r w:rsidRPr="009D0D20">
        <w:rPr>
          <w:rFonts w:ascii="Arial" w:hAnsi="Arial" w:cs="Arial"/>
        </w:rPr>
        <w:t>/2021/D028-PREDI</w:t>
      </w:r>
      <w:r>
        <w:rPr>
          <w:rFonts w:ascii="Arial" w:hAnsi="Arial" w:cs="Arial"/>
        </w:rPr>
        <w:t>.</w:t>
      </w:r>
      <w:r w:rsidR="00E132D3">
        <w:rPr>
          <w:rFonts w:ascii="Arial" w:hAnsi="Arial" w:cs="Arial"/>
        </w:rPr>
        <w:t xml:space="preserve"> </w:t>
      </w:r>
      <w:r w:rsidR="00E132D3">
        <w:rPr>
          <w:rFonts w:ascii="Arial" w:eastAsia="Arial Narrow" w:hAnsi="Arial" w:cs="Arial"/>
        </w:rPr>
        <w:t>R</w:t>
      </w:r>
      <w:r w:rsidR="00E132D3" w:rsidRPr="00BE36D3">
        <w:rPr>
          <w:rFonts w:ascii="Arial" w:eastAsia="Arial Narrow" w:hAnsi="Arial" w:cs="Arial"/>
        </w:rPr>
        <w:t>adicado No. 1-2019-079798 del 28 de agosto de 2019</w:t>
      </w:r>
      <w:r w:rsidR="00E132D3">
        <w:rPr>
          <w:rFonts w:ascii="Arial" w:eastAsia="Arial Narrow" w:hAnsi="Arial" w:cs="Arial"/>
        </w:rPr>
        <w:t>.</w:t>
      </w:r>
      <w:r w:rsidR="002B2CAE">
        <w:rPr>
          <w:rFonts w:ascii="Arial" w:eastAsia="Arial Narrow" w:hAnsi="Arial" w:cs="Arial"/>
        </w:rPr>
        <w:t xml:space="preserve"> </w:t>
      </w:r>
      <w:hyperlink r:id="rId75" w:history="1">
        <w:r w:rsidR="002B2CAE" w:rsidRPr="008756E8">
          <w:rPr>
            <w:rStyle w:val="Hipervnculo"/>
            <w:rFonts w:ascii="Arial" w:eastAsia="Arial Narrow" w:hAnsi="Arial" w:cs="Arial"/>
          </w:rPr>
          <w:t>http://portalgestiondoc.minhacienda.red/PortalEmpleado/viewer.jsp?config=oWBoJsdWqwJLKExlS1Gn/HPCbG04WT8GZbEPuZDYF+aPiqVjQoOnb62/duAC8vKGFYz6L58ALrA4Vi3gqJ09FnDd5iVBdJmGrQe/hF4VacwqOBVLDinYINQApi6Ae/AmoqcHo9wYR4+ijDbmZ8w2V8jCoyevQR1SAJJ3SeLD/9KUWDA4+nlhZ4mXjPGmwsOp&amp;guid=4486575917a39a63e4461c1&amp;idrepository=879</w:t>
        </w:r>
      </w:hyperlink>
      <w:r w:rsidR="002B2CAE">
        <w:rPr>
          <w:rFonts w:ascii="Arial" w:eastAsia="Arial Narrow" w:hAnsi="Arial" w:cs="Arial"/>
        </w:rPr>
        <w:t xml:space="preserve"> </w:t>
      </w:r>
    </w:p>
    <w:p w:rsidR="00435AEF" w:rsidRPr="00830B77" w:rsidRDefault="00830B77">
      <w:pPr>
        <w:pStyle w:val="Prrafodelista"/>
        <w:numPr>
          <w:ilvl w:val="0"/>
          <w:numId w:val="29"/>
        </w:numPr>
        <w:spacing w:line="240" w:lineRule="auto"/>
        <w:jc w:val="both"/>
        <w:rPr>
          <w:rFonts w:ascii="Arial" w:hAnsi="Arial" w:cs="Arial"/>
        </w:rPr>
      </w:pPr>
      <w:r w:rsidRPr="00A2630F">
        <w:rPr>
          <w:rFonts w:ascii="Arial" w:hAnsi="Arial" w:cs="Arial"/>
        </w:rPr>
        <w:t>Contrato MST-CD-CA-003-2017 Fundación Surgir</w:t>
      </w:r>
      <w:r>
        <w:t xml:space="preserve">. </w:t>
      </w:r>
      <w:r w:rsidRPr="00A2630F">
        <w:rPr>
          <w:rFonts w:ascii="Arial" w:hAnsi="Arial" w:cs="Arial"/>
        </w:rPr>
        <w:t>Participación de Propósito General. Municipio de Santiago de Tolú – Sucre. Serie “</w:t>
      </w:r>
      <w:r w:rsidRPr="00F4471B">
        <w:rPr>
          <w:rFonts w:ascii="Arial" w:hAnsi="Arial" w:cs="Arial"/>
          <w:i/>
          <w:iCs/>
        </w:rPr>
        <w:t>Historial de Seguimiento y Control a los Recursos del Sistema General de Participaciones – Diagnóstico</w:t>
      </w:r>
      <w:r w:rsidRPr="00A2630F">
        <w:rPr>
          <w:rFonts w:ascii="Arial" w:hAnsi="Arial" w:cs="Arial"/>
        </w:rPr>
        <w:t xml:space="preserve">”. Expediente digital No. 6/2021/D028-PREDI. </w:t>
      </w:r>
      <w:r>
        <w:rPr>
          <w:rFonts w:ascii="Arial" w:eastAsia="Arial Narrow" w:hAnsi="Arial" w:cs="Arial"/>
        </w:rPr>
        <w:t>R</w:t>
      </w:r>
      <w:r w:rsidRPr="00BE36D3">
        <w:rPr>
          <w:rFonts w:ascii="Arial" w:eastAsia="Arial Narrow" w:hAnsi="Arial" w:cs="Arial"/>
        </w:rPr>
        <w:t>adicado No. 1-2019-079798 del 28 de agosto de 2019</w:t>
      </w:r>
      <w:r>
        <w:rPr>
          <w:rFonts w:ascii="Arial" w:eastAsia="Arial Narrow" w:hAnsi="Arial" w:cs="Arial"/>
        </w:rPr>
        <w:t xml:space="preserve">.  </w:t>
      </w:r>
      <w:hyperlink r:id="rId76" w:history="1">
        <w:r w:rsidRPr="008756E8">
          <w:rPr>
            <w:rStyle w:val="Hipervnculo"/>
            <w:rFonts w:ascii="Arial" w:eastAsia="Arial Narrow" w:hAnsi="Arial" w:cs="Arial"/>
          </w:rPr>
          <w:t>http://portalgestiondoc.minhacienda.red/PortalEmpleado/viewer.jsp?config=baYzSKIE0+t4q3Yl9auGr/Azz0hQ/0UisOy7Pmq9LXGOOOjeUTc1kQDmLoLemLcGZNvM</w:t>
        </w:r>
        <w:r w:rsidRPr="008756E8">
          <w:rPr>
            <w:rStyle w:val="Hipervnculo"/>
            <w:rFonts w:ascii="Arial" w:eastAsia="Arial Narrow" w:hAnsi="Arial" w:cs="Arial"/>
          </w:rPr>
          <w:lastRenderedPageBreak/>
          <w:t>w1DzTAXVrcFJhHE39DrLY7Os23qys6lCU+r3/HGLujYUWzYWcCqs0v6FpREajRm/wyub2SoLuwS8IIqa/6DLXtqccaycE7wZaxKVUOh5tH6J5AceZLU6AkeVlPm7&amp;guid=4486575917a53fd55cf1546&amp;idrepository=879</w:t>
        </w:r>
      </w:hyperlink>
      <w:r>
        <w:rPr>
          <w:rFonts w:ascii="Arial" w:eastAsia="Arial Narrow" w:hAnsi="Arial" w:cs="Arial"/>
        </w:rPr>
        <w:t xml:space="preserve"> </w:t>
      </w:r>
    </w:p>
    <w:p w:rsidR="000F2AC5" w:rsidRPr="009F41E5" w:rsidRDefault="000F2AC5" w:rsidP="00F4471B">
      <w:pPr>
        <w:pStyle w:val="Prrafodelista"/>
        <w:numPr>
          <w:ilvl w:val="0"/>
          <w:numId w:val="29"/>
        </w:numPr>
        <w:spacing w:line="240" w:lineRule="auto"/>
        <w:jc w:val="both"/>
        <w:rPr>
          <w:rFonts w:ascii="Arial" w:hAnsi="Arial" w:cs="Arial"/>
        </w:rPr>
      </w:pPr>
      <w:r>
        <w:rPr>
          <w:rFonts w:ascii="Arial" w:hAnsi="Arial" w:cs="Arial"/>
        </w:rPr>
        <w:t xml:space="preserve">Contrato </w:t>
      </w:r>
      <w:r w:rsidRPr="00BE36D3">
        <w:rPr>
          <w:rFonts w:ascii="Arial" w:hAnsi="Arial" w:cs="Arial"/>
        </w:rPr>
        <w:t>MST-MIN-043-2017</w:t>
      </w:r>
      <w:r>
        <w:rPr>
          <w:rFonts w:ascii="Arial" w:hAnsi="Arial" w:cs="Arial"/>
        </w:rPr>
        <w:t xml:space="preserve"> Turismo del Siglo XXI S.A.S. </w:t>
      </w:r>
      <w:r w:rsidRPr="00A2630F">
        <w:rPr>
          <w:rFonts w:ascii="Arial" w:hAnsi="Arial" w:cs="Arial"/>
        </w:rPr>
        <w:t>Participación de Propósito General. Municipio de Santiago de Tolú – Sucre. Serie “</w:t>
      </w:r>
      <w:r w:rsidRPr="00F4471B">
        <w:rPr>
          <w:rFonts w:ascii="Arial" w:hAnsi="Arial" w:cs="Arial"/>
          <w:i/>
          <w:iCs/>
        </w:rPr>
        <w:t>Historial de Seguimiento y Control a los Recursos del Sistema General de Participaciones – Diagnóstico</w:t>
      </w:r>
      <w:r w:rsidRPr="00A2630F">
        <w:rPr>
          <w:rFonts w:ascii="Arial" w:hAnsi="Arial" w:cs="Arial"/>
        </w:rPr>
        <w:t>”. Expediente digital No. 6/2021/D028-PREDI.</w:t>
      </w:r>
      <w:r>
        <w:rPr>
          <w:rFonts w:ascii="Arial" w:hAnsi="Arial" w:cs="Arial"/>
        </w:rPr>
        <w:t xml:space="preserve"> Carpeta “Anexo 2. Evaluación Contractual”.</w:t>
      </w:r>
      <w:r w:rsidR="00E132D3">
        <w:rPr>
          <w:rFonts w:ascii="Arial" w:hAnsi="Arial" w:cs="Arial"/>
        </w:rPr>
        <w:t xml:space="preserve"> </w:t>
      </w:r>
      <w:r w:rsidR="00E132D3">
        <w:rPr>
          <w:rFonts w:ascii="Arial" w:eastAsia="Arial Narrow" w:hAnsi="Arial" w:cs="Arial"/>
        </w:rPr>
        <w:t>R</w:t>
      </w:r>
      <w:r w:rsidR="00E132D3" w:rsidRPr="00BE36D3">
        <w:rPr>
          <w:rFonts w:ascii="Arial" w:eastAsia="Arial Narrow" w:hAnsi="Arial" w:cs="Arial"/>
        </w:rPr>
        <w:t>adicado No. 1-2019-079798 del 28 de agosto de 2019</w:t>
      </w:r>
      <w:r w:rsidR="00E132D3">
        <w:rPr>
          <w:rFonts w:ascii="Arial" w:eastAsia="Arial Narrow" w:hAnsi="Arial" w:cs="Arial"/>
        </w:rPr>
        <w:t>.</w:t>
      </w:r>
      <w:r w:rsidR="007412C2">
        <w:rPr>
          <w:rFonts w:ascii="Arial" w:eastAsia="Arial Narrow" w:hAnsi="Arial" w:cs="Arial"/>
        </w:rPr>
        <w:t xml:space="preserve"> </w:t>
      </w:r>
      <w:hyperlink r:id="rId77" w:history="1">
        <w:r w:rsidR="007412C2" w:rsidRPr="008756E8">
          <w:rPr>
            <w:rStyle w:val="Hipervnculo"/>
            <w:rFonts w:ascii="Arial" w:eastAsia="Arial Narrow" w:hAnsi="Arial" w:cs="Arial"/>
          </w:rPr>
          <w:t>http://portalgestiondoc.minhacienda.red/PortalEmpleado/viewer.jsp?config=ba1+nX6eXSWUKkBWZDFhGVYKgQl3an3hyxWobZ+fTIRgR0IzXmlEH0zJvt2mVTDDnN2zbfOz61WiESnwZMCclNXqFo64Ih/MT/VI6XjitXI1w7fpjytSs5uLSAmwPfGYd3qO9TXHI8Wnchu3M7k/4xqkJ8YC6nCN/Y+KW5pwlNxq3xuJyQ7C4v5h8S7j2Mde&amp;guid=4486575917a53fd55cf160b&amp;idrepository=879</w:t>
        </w:r>
      </w:hyperlink>
    </w:p>
    <w:p w:rsidR="00435AEF" w:rsidRPr="00435AEF" w:rsidRDefault="00435AEF">
      <w:pPr>
        <w:pStyle w:val="Prrafodelista"/>
        <w:spacing w:line="240" w:lineRule="auto"/>
        <w:jc w:val="both"/>
        <w:rPr>
          <w:rFonts w:ascii="Arial" w:hAnsi="Arial" w:cs="Arial"/>
        </w:rPr>
      </w:pPr>
    </w:p>
    <w:p w:rsidR="00C5770E" w:rsidRPr="004159C6" w:rsidRDefault="00A771C9">
      <w:pPr>
        <w:pStyle w:val="Prrafodelista"/>
        <w:numPr>
          <w:ilvl w:val="0"/>
          <w:numId w:val="2"/>
        </w:numPr>
        <w:spacing w:line="240" w:lineRule="auto"/>
        <w:jc w:val="both"/>
        <w:rPr>
          <w:rFonts w:ascii="Arial" w:hAnsi="Arial" w:cs="Arial"/>
          <w:b/>
          <w:bCs/>
        </w:rPr>
      </w:pPr>
      <w:r w:rsidRPr="00BE36D3">
        <w:rPr>
          <w:rFonts w:ascii="Arial" w:hAnsi="Arial" w:cs="Arial"/>
          <w:b/>
          <w:bCs/>
        </w:rPr>
        <w:t>CONCLUSIONES</w:t>
      </w:r>
      <w:r w:rsidR="0084155B">
        <w:rPr>
          <w:rFonts w:ascii="Arial" w:hAnsi="Arial" w:cs="Arial"/>
          <w:b/>
          <w:bCs/>
        </w:rPr>
        <w:t>.</w:t>
      </w:r>
    </w:p>
    <w:p w:rsidR="0084155B" w:rsidRDefault="0084155B">
      <w:pPr>
        <w:spacing w:line="240" w:lineRule="auto"/>
        <w:contextualSpacing/>
        <w:jc w:val="both"/>
        <w:rPr>
          <w:rFonts w:ascii="Arial" w:hAnsi="Arial" w:cs="Arial"/>
        </w:rPr>
      </w:pPr>
    </w:p>
    <w:p w:rsidR="006140B1" w:rsidRDefault="00F457A4">
      <w:pPr>
        <w:spacing w:line="240" w:lineRule="auto"/>
        <w:contextualSpacing/>
        <w:jc w:val="both"/>
        <w:rPr>
          <w:rFonts w:ascii="Arial" w:hAnsi="Arial" w:cs="Arial"/>
        </w:rPr>
      </w:pPr>
      <w:r w:rsidRPr="00BE36D3">
        <w:rPr>
          <w:rFonts w:ascii="Arial" w:hAnsi="Arial" w:cs="Arial"/>
        </w:rPr>
        <w:t>A partir del análisis y la descripción del “</w:t>
      </w:r>
      <w:r w:rsidRPr="00BE36D3">
        <w:rPr>
          <w:rFonts w:ascii="Arial" w:hAnsi="Arial" w:cs="Arial"/>
          <w:i/>
          <w:iCs/>
        </w:rPr>
        <w:t>Informe</w:t>
      </w:r>
      <w:r w:rsidR="009D6B3F" w:rsidRPr="00BE36D3">
        <w:rPr>
          <w:rFonts w:ascii="Arial" w:hAnsi="Arial" w:cs="Arial"/>
          <w:i/>
          <w:iCs/>
        </w:rPr>
        <w:t xml:space="preserve"> </w:t>
      </w:r>
      <w:r w:rsidRPr="00BE36D3">
        <w:rPr>
          <w:rFonts w:ascii="Arial" w:hAnsi="Arial" w:cs="Arial"/>
          <w:i/>
          <w:iCs/>
        </w:rPr>
        <w:t>de Monitoreo</w:t>
      </w:r>
      <w:r w:rsidR="0047429D" w:rsidRPr="00BE36D3">
        <w:rPr>
          <w:rFonts w:ascii="Arial" w:hAnsi="Arial" w:cs="Arial"/>
          <w:i/>
          <w:iCs/>
        </w:rPr>
        <w:t xml:space="preserve"> </w:t>
      </w:r>
      <w:r w:rsidRPr="00BE36D3">
        <w:rPr>
          <w:rFonts w:ascii="Arial" w:hAnsi="Arial" w:cs="Arial"/>
          <w:i/>
          <w:iCs/>
        </w:rPr>
        <w:t>de</w:t>
      </w:r>
      <w:r w:rsidR="0047429D" w:rsidRPr="00BE36D3">
        <w:rPr>
          <w:rFonts w:ascii="Arial" w:hAnsi="Arial" w:cs="Arial"/>
          <w:i/>
          <w:iCs/>
        </w:rPr>
        <w:t xml:space="preserve"> </w:t>
      </w:r>
      <w:r w:rsidRPr="00BE36D3">
        <w:rPr>
          <w:rFonts w:ascii="Arial" w:hAnsi="Arial" w:cs="Arial"/>
          <w:i/>
          <w:iCs/>
        </w:rPr>
        <w:t>campo,</w:t>
      </w:r>
      <w:r w:rsidR="0047429D" w:rsidRPr="00BE36D3">
        <w:rPr>
          <w:rFonts w:ascii="Arial" w:hAnsi="Arial" w:cs="Arial"/>
          <w:i/>
          <w:iCs/>
        </w:rPr>
        <w:t xml:space="preserve"> </w:t>
      </w:r>
      <w:r w:rsidRPr="00BE36D3">
        <w:rPr>
          <w:rFonts w:ascii="Arial" w:hAnsi="Arial" w:cs="Arial"/>
          <w:i/>
          <w:iCs/>
        </w:rPr>
        <w:t xml:space="preserve">Santiago de </w:t>
      </w:r>
      <w:r w:rsidR="000966E6" w:rsidRPr="00BE36D3">
        <w:rPr>
          <w:rFonts w:ascii="Arial" w:hAnsi="Arial" w:cs="Arial"/>
          <w:i/>
          <w:iCs/>
        </w:rPr>
        <w:t>Tolú - Sucre</w:t>
      </w:r>
      <w:r w:rsidRPr="00BE36D3">
        <w:rPr>
          <w:rFonts w:ascii="Arial" w:hAnsi="Arial" w:cs="Arial"/>
          <w:i/>
          <w:iCs/>
        </w:rPr>
        <w:t>, Vigencias</w:t>
      </w:r>
      <w:r w:rsidR="0047429D" w:rsidRPr="00BE36D3">
        <w:rPr>
          <w:rFonts w:ascii="Arial" w:hAnsi="Arial" w:cs="Arial"/>
          <w:i/>
          <w:iCs/>
        </w:rPr>
        <w:t xml:space="preserve"> </w:t>
      </w:r>
      <w:r w:rsidRPr="00BE36D3">
        <w:rPr>
          <w:rFonts w:ascii="Arial" w:hAnsi="Arial" w:cs="Arial"/>
          <w:i/>
          <w:iCs/>
        </w:rPr>
        <w:t>2017 y 2018</w:t>
      </w:r>
      <w:r w:rsidRPr="00BE36D3">
        <w:rPr>
          <w:rFonts w:ascii="Arial" w:hAnsi="Arial" w:cs="Arial"/>
        </w:rPr>
        <w:t>”, el Acta de Visita y los respectivos anexos, se identifica que el Municipio d</w:t>
      </w:r>
      <w:r w:rsidR="0047429D" w:rsidRPr="00BE36D3">
        <w:rPr>
          <w:rFonts w:ascii="Arial" w:hAnsi="Arial" w:cs="Arial"/>
        </w:rPr>
        <w:t>e</w:t>
      </w:r>
      <w:r w:rsidR="005F4751" w:rsidRPr="00BE36D3">
        <w:rPr>
          <w:rFonts w:ascii="Arial" w:hAnsi="Arial" w:cs="Arial"/>
        </w:rPr>
        <w:t xml:space="preserve"> </w:t>
      </w:r>
      <w:r w:rsidR="0047429D" w:rsidRPr="00BE36D3">
        <w:rPr>
          <w:rFonts w:ascii="Arial" w:hAnsi="Arial" w:cs="Arial"/>
        </w:rPr>
        <w:t xml:space="preserve">Santiago de </w:t>
      </w:r>
      <w:r w:rsidR="000966E6">
        <w:rPr>
          <w:rFonts w:ascii="Arial" w:hAnsi="Arial" w:cs="Arial"/>
        </w:rPr>
        <w:t>Tolú - Sucre</w:t>
      </w:r>
      <w:r w:rsidRPr="00BE36D3">
        <w:rPr>
          <w:rFonts w:ascii="Arial" w:hAnsi="Arial" w:cs="Arial"/>
        </w:rPr>
        <w:t xml:space="preserve"> </w:t>
      </w:r>
      <w:r w:rsidR="009D6B3F" w:rsidRPr="00BE36D3">
        <w:rPr>
          <w:rFonts w:ascii="Arial" w:hAnsi="Arial" w:cs="Arial"/>
        </w:rPr>
        <w:t xml:space="preserve">presenta </w:t>
      </w:r>
      <w:r w:rsidR="0029439B">
        <w:rPr>
          <w:rFonts w:ascii="Arial" w:hAnsi="Arial" w:cs="Arial"/>
        </w:rPr>
        <w:t xml:space="preserve">un uso inadecuado de </w:t>
      </w:r>
      <w:r w:rsidR="009D6B3F" w:rsidRPr="00BE36D3">
        <w:rPr>
          <w:rFonts w:ascii="Arial" w:hAnsi="Arial" w:cs="Arial"/>
        </w:rPr>
        <w:t xml:space="preserve">los recursos de la Participación de Propósito General del Sistema General de Participaciones </w:t>
      </w:r>
      <w:r w:rsidR="00A03529" w:rsidRPr="00BE36D3">
        <w:rPr>
          <w:rFonts w:ascii="Arial" w:hAnsi="Arial" w:cs="Arial"/>
        </w:rPr>
        <w:t xml:space="preserve">que </w:t>
      </w:r>
      <w:r w:rsidR="005F4751" w:rsidRPr="00BE36D3">
        <w:rPr>
          <w:rFonts w:ascii="Arial" w:hAnsi="Arial" w:cs="Arial"/>
        </w:rPr>
        <w:t>deben ser corregidas para garantizar que se cumplan con las metas planteadas por la Entidad Territorial</w:t>
      </w:r>
      <w:r w:rsidR="00271B0D" w:rsidRPr="00BE36D3">
        <w:rPr>
          <w:rFonts w:ascii="Arial" w:hAnsi="Arial" w:cs="Arial"/>
        </w:rPr>
        <w:t xml:space="preserve"> y no se </w:t>
      </w:r>
      <w:r w:rsidR="005B6782" w:rsidRPr="00BE36D3">
        <w:rPr>
          <w:rFonts w:ascii="Arial" w:hAnsi="Arial" w:cs="Arial"/>
        </w:rPr>
        <w:t>afecte el cumplimiento de las competencias asignadas</w:t>
      </w:r>
      <w:r w:rsidR="005F4751" w:rsidRPr="00BE36D3">
        <w:rPr>
          <w:rFonts w:ascii="Arial" w:hAnsi="Arial" w:cs="Arial"/>
        </w:rPr>
        <w:t xml:space="preserve">. </w:t>
      </w:r>
      <w:r w:rsidR="006140B1" w:rsidRPr="00BE36D3">
        <w:rPr>
          <w:rFonts w:ascii="Arial" w:hAnsi="Arial" w:cs="Arial"/>
        </w:rPr>
        <w:t xml:space="preserve">Las </w:t>
      </w:r>
      <w:r w:rsidR="0029439B">
        <w:rPr>
          <w:rFonts w:ascii="Arial" w:hAnsi="Arial" w:cs="Arial"/>
        </w:rPr>
        <w:t xml:space="preserve">problemáticas evidenciadas </w:t>
      </w:r>
      <w:r w:rsidR="006140B1" w:rsidRPr="00BE36D3">
        <w:rPr>
          <w:rFonts w:ascii="Arial" w:hAnsi="Arial" w:cs="Arial"/>
        </w:rPr>
        <w:t>son:</w:t>
      </w:r>
    </w:p>
    <w:p w:rsidR="0084155B" w:rsidRDefault="0084155B">
      <w:pPr>
        <w:spacing w:line="240" w:lineRule="auto"/>
        <w:contextualSpacing/>
        <w:jc w:val="both"/>
        <w:rPr>
          <w:rFonts w:ascii="Arial" w:hAnsi="Arial" w:cs="Arial"/>
        </w:rPr>
      </w:pPr>
    </w:p>
    <w:p w:rsidR="00EC579E" w:rsidRPr="00BE36D3" w:rsidRDefault="00EC579E">
      <w:pPr>
        <w:pStyle w:val="Prrafodelista"/>
        <w:numPr>
          <w:ilvl w:val="0"/>
          <w:numId w:val="12"/>
        </w:numPr>
        <w:spacing w:line="240" w:lineRule="auto"/>
        <w:jc w:val="both"/>
        <w:rPr>
          <w:rFonts w:ascii="Arial" w:hAnsi="Arial" w:cs="Arial"/>
        </w:rPr>
      </w:pPr>
      <w:r w:rsidRPr="00BE36D3">
        <w:rPr>
          <w:rFonts w:ascii="Arial" w:hAnsi="Arial" w:cs="Arial"/>
        </w:rPr>
        <w:t>La no entrega de la información</w:t>
      </w:r>
      <w:r w:rsidR="008A4847" w:rsidRPr="00BE36D3">
        <w:rPr>
          <w:rFonts w:ascii="Arial" w:hAnsi="Arial" w:cs="Arial"/>
        </w:rPr>
        <w:t xml:space="preserve"> completa y</w:t>
      </w:r>
      <w:r w:rsidR="00E64643" w:rsidRPr="00BE36D3">
        <w:rPr>
          <w:rFonts w:ascii="Arial" w:hAnsi="Arial" w:cs="Arial"/>
        </w:rPr>
        <w:t xml:space="preserve"> </w:t>
      </w:r>
      <w:r w:rsidR="008A4847" w:rsidRPr="00BE36D3">
        <w:rPr>
          <w:rFonts w:ascii="Arial" w:hAnsi="Arial" w:cs="Arial"/>
        </w:rPr>
        <w:t>en los términos solicitados por</w:t>
      </w:r>
      <w:r w:rsidRPr="00BE36D3">
        <w:rPr>
          <w:rFonts w:ascii="Arial" w:hAnsi="Arial" w:cs="Arial"/>
        </w:rPr>
        <w:t xml:space="preserve"> los </w:t>
      </w:r>
      <w:r w:rsidR="00E64643" w:rsidRPr="00BE36D3">
        <w:rPr>
          <w:rFonts w:ascii="Arial" w:hAnsi="Arial" w:cs="Arial"/>
        </w:rPr>
        <w:t>responsables de las auditorías</w:t>
      </w:r>
      <w:r w:rsidR="00334594" w:rsidRPr="00BE36D3">
        <w:rPr>
          <w:rFonts w:ascii="Arial" w:hAnsi="Arial" w:cs="Arial"/>
        </w:rPr>
        <w:t>, limitó el alcance de la activid</w:t>
      </w:r>
      <w:r w:rsidR="00CF3AED" w:rsidRPr="00BE36D3">
        <w:rPr>
          <w:rFonts w:ascii="Arial" w:hAnsi="Arial" w:cs="Arial"/>
        </w:rPr>
        <w:t>a</w:t>
      </w:r>
      <w:r w:rsidR="00334594" w:rsidRPr="00BE36D3">
        <w:rPr>
          <w:rFonts w:ascii="Arial" w:hAnsi="Arial" w:cs="Arial"/>
        </w:rPr>
        <w:t>d de monitoreo realizada por</w:t>
      </w:r>
      <w:r w:rsidR="0026526C" w:rsidRPr="00BE36D3">
        <w:rPr>
          <w:rFonts w:ascii="Arial" w:hAnsi="Arial" w:cs="Arial"/>
        </w:rPr>
        <w:t xml:space="preserve"> DNP en visita de monitoreo en campo.</w:t>
      </w:r>
    </w:p>
    <w:p w:rsidR="0084155B" w:rsidRDefault="0084155B">
      <w:pPr>
        <w:spacing w:line="240" w:lineRule="auto"/>
        <w:contextualSpacing/>
        <w:jc w:val="both"/>
        <w:rPr>
          <w:rFonts w:ascii="Arial" w:hAnsi="Arial" w:cs="Arial"/>
        </w:rPr>
      </w:pPr>
    </w:p>
    <w:p w:rsidR="006140B1" w:rsidRDefault="006140B1">
      <w:pPr>
        <w:spacing w:line="240" w:lineRule="auto"/>
        <w:contextualSpacing/>
        <w:jc w:val="both"/>
        <w:rPr>
          <w:rFonts w:ascii="Arial" w:hAnsi="Arial" w:cs="Arial"/>
        </w:rPr>
      </w:pPr>
      <w:r w:rsidRPr="00BE36D3">
        <w:rPr>
          <w:rFonts w:ascii="Arial" w:hAnsi="Arial" w:cs="Arial"/>
        </w:rPr>
        <w:t>En materia presupuestal:</w:t>
      </w:r>
    </w:p>
    <w:p w:rsidR="0084155B" w:rsidRDefault="0084155B">
      <w:pPr>
        <w:spacing w:line="240" w:lineRule="auto"/>
        <w:contextualSpacing/>
        <w:jc w:val="both"/>
        <w:rPr>
          <w:rFonts w:ascii="Arial" w:hAnsi="Arial" w:cs="Arial"/>
        </w:rPr>
      </w:pPr>
    </w:p>
    <w:p w:rsidR="00EB0894" w:rsidRPr="00BE36D3" w:rsidRDefault="00424375">
      <w:pPr>
        <w:pStyle w:val="Prrafodelista"/>
        <w:numPr>
          <w:ilvl w:val="0"/>
          <w:numId w:val="12"/>
        </w:numPr>
        <w:spacing w:line="240" w:lineRule="auto"/>
        <w:jc w:val="both"/>
        <w:rPr>
          <w:rFonts w:ascii="Arial" w:hAnsi="Arial" w:cs="Arial"/>
        </w:rPr>
      </w:pPr>
      <w:r w:rsidRPr="00BE36D3">
        <w:rPr>
          <w:rFonts w:ascii="Arial" w:hAnsi="Arial" w:cs="Arial"/>
        </w:rPr>
        <w:t>Inadecuado manejo presupuestal de los recursos de capital,</w:t>
      </w:r>
      <w:r w:rsidR="00A2116C" w:rsidRPr="00BE36D3">
        <w:rPr>
          <w:rFonts w:ascii="Arial" w:hAnsi="Arial" w:cs="Arial"/>
        </w:rPr>
        <w:t xml:space="preserve"> puesto que no se desagregan por fuentes los recursos del balance </w:t>
      </w:r>
      <w:r w:rsidR="00D01814" w:rsidRPr="00BE36D3">
        <w:rPr>
          <w:rFonts w:ascii="Arial" w:hAnsi="Arial" w:cs="Arial"/>
        </w:rPr>
        <w:t>y se presentan</w:t>
      </w:r>
      <w:r w:rsidR="00425639" w:rsidRPr="00BE36D3">
        <w:rPr>
          <w:rFonts w:ascii="Arial" w:hAnsi="Arial" w:cs="Arial"/>
        </w:rPr>
        <w:t xml:space="preserve"> inconsistencias entre la información del cierre fiscal y lo incorporado en las vigencias siguientes</w:t>
      </w:r>
      <w:r w:rsidR="00D01814" w:rsidRPr="00BE36D3">
        <w:rPr>
          <w:rFonts w:ascii="Arial" w:hAnsi="Arial" w:cs="Arial"/>
        </w:rPr>
        <w:t xml:space="preserve"> como superávit fiscal</w:t>
      </w:r>
      <w:r w:rsidR="00425639" w:rsidRPr="00BE36D3">
        <w:rPr>
          <w:rFonts w:ascii="Arial" w:hAnsi="Arial" w:cs="Arial"/>
        </w:rPr>
        <w:t>.</w:t>
      </w:r>
    </w:p>
    <w:p w:rsidR="008A4847" w:rsidRPr="00BE36D3" w:rsidRDefault="00EB0894">
      <w:pPr>
        <w:pStyle w:val="Prrafodelista"/>
        <w:numPr>
          <w:ilvl w:val="0"/>
          <w:numId w:val="12"/>
        </w:numPr>
        <w:spacing w:line="240" w:lineRule="auto"/>
        <w:jc w:val="both"/>
        <w:rPr>
          <w:rFonts w:ascii="Arial" w:hAnsi="Arial" w:cs="Arial"/>
        </w:rPr>
      </w:pPr>
      <w:r w:rsidRPr="00BE36D3">
        <w:rPr>
          <w:rFonts w:ascii="Arial" w:hAnsi="Arial" w:cs="Arial"/>
        </w:rPr>
        <w:t xml:space="preserve">No </w:t>
      </w:r>
      <w:r w:rsidR="00A2116C" w:rsidRPr="00BE36D3">
        <w:rPr>
          <w:rFonts w:ascii="Arial" w:hAnsi="Arial" w:cs="Arial"/>
        </w:rPr>
        <w:t>hay reconocimiento en algunas vigencias de los rendimientos financieros derivados de la Cuenta Maestra en donde se administran</w:t>
      </w:r>
      <w:r w:rsidR="002B6421" w:rsidRPr="00BE36D3">
        <w:rPr>
          <w:rFonts w:ascii="Arial" w:hAnsi="Arial" w:cs="Arial"/>
        </w:rPr>
        <w:t xml:space="preserve"> las transferencias de SGP</w:t>
      </w:r>
      <w:r w:rsidR="005567A9">
        <w:rPr>
          <w:rFonts w:ascii="Arial" w:hAnsi="Arial" w:cs="Arial"/>
        </w:rPr>
        <w:t xml:space="preserve"> </w:t>
      </w:r>
      <w:r w:rsidR="002B6421" w:rsidRPr="00BE36D3">
        <w:rPr>
          <w:rFonts w:ascii="Arial" w:hAnsi="Arial" w:cs="Arial"/>
        </w:rPr>
        <w:t>-</w:t>
      </w:r>
      <w:r w:rsidR="005567A9">
        <w:rPr>
          <w:rFonts w:ascii="Arial" w:hAnsi="Arial" w:cs="Arial"/>
        </w:rPr>
        <w:t xml:space="preserve"> </w:t>
      </w:r>
      <w:r w:rsidR="002B6421" w:rsidRPr="00BE36D3">
        <w:rPr>
          <w:rFonts w:ascii="Arial" w:hAnsi="Arial" w:cs="Arial"/>
        </w:rPr>
        <w:t>Propósito General</w:t>
      </w:r>
      <w:r w:rsidR="00A2116C" w:rsidRPr="00BE36D3">
        <w:rPr>
          <w:rFonts w:ascii="Arial" w:hAnsi="Arial" w:cs="Arial"/>
        </w:rPr>
        <w:t>.</w:t>
      </w:r>
    </w:p>
    <w:p w:rsidR="00EF00F6" w:rsidRPr="00BE36D3" w:rsidRDefault="002E2185">
      <w:pPr>
        <w:pStyle w:val="Prrafodelista"/>
        <w:numPr>
          <w:ilvl w:val="0"/>
          <w:numId w:val="12"/>
        </w:numPr>
        <w:spacing w:line="240" w:lineRule="auto"/>
        <w:jc w:val="both"/>
        <w:rPr>
          <w:rFonts w:ascii="Arial" w:hAnsi="Arial" w:cs="Arial"/>
        </w:rPr>
      </w:pPr>
      <w:r w:rsidRPr="00BE36D3">
        <w:rPr>
          <w:rFonts w:ascii="Arial" w:hAnsi="Arial" w:cs="Arial"/>
        </w:rPr>
        <w:t xml:space="preserve">En la vigencia 2019 se reportó en la </w:t>
      </w:r>
      <w:r w:rsidR="005567A9">
        <w:rPr>
          <w:rFonts w:ascii="Arial" w:hAnsi="Arial" w:cs="Arial"/>
        </w:rPr>
        <w:t>C</w:t>
      </w:r>
      <w:r w:rsidRPr="00BE36D3">
        <w:rPr>
          <w:rFonts w:ascii="Arial" w:hAnsi="Arial" w:cs="Arial"/>
        </w:rPr>
        <w:t>ategoría FUT</w:t>
      </w:r>
      <w:r w:rsidR="005567A9">
        <w:rPr>
          <w:rFonts w:ascii="Arial" w:hAnsi="Arial" w:cs="Arial"/>
        </w:rPr>
        <w:t xml:space="preserve"> </w:t>
      </w:r>
      <w:r w:rsidRPr="00BE36D3">
        <w:rPr>
          <w:rFonts w:ascii="Arial" w:hAnsi="Arial" w:cs="Arial"/>
        </w:rPr>
        <w:t>-</w:t>
      </w:r>
      <w:r w:rsidR="005567A9">
        <w:rPr>
          <w:rFonts w:ascii="Arial" w:hAnsi="Arial" w:cs="Arial"/>
        </w:rPr>
        <w:t xml:space="preserve"> </w:t>
      </w:r>
      <w:r w:rsidRPr="00BE36D3">
        <w:rPr>
          <w:rFonts w:ascii="Arial" w:hAnsi="Arial" w:cs="Arial"/>
        </w:rPr>
        <w:t xml:space="preserve">Cierre Fiscal un déficit en Libre Destinación por valor de $390.790.753, valor que no es consistente de acuerdo con los cálculos realizados por esta Dirección con base en las ejecuciones presupuestales de la </w:t>
      </w:r>
      <w:r w:rsidR="005567A9">
        <w:rPr>
          <w:rFonts w:ascii="Arial" w:hAnsi="Arial" w:cs="Arial"/>
        </w:rPr>
        <w:t>E</w:t>
      </w:r>
      <w:r w:rsidRPr="00BE36D3">
        <w:rPr>
          <w:rFonts w:ascii="Arial" w:hAnsi="Arial" w:cs="Arial"/>
        </w:rPr>
        <w:t xml:space="preserve">ntidad </w:t>
      </w:r>
      <w:r w:rsidR="005567A9">
        <w:rPr>
          <w:rFonts w:ascii="Arial" w:hAnsi="Arial" w:cs="Arial"/>
        </w:rPr>
        <w:t>T</w:t>
      </w:r>
      <w:r w:rsidRPr="00BE36D3">
        <w:rPr>
          <w:rFonts w:ascii="Arial" w:hAnsi="Arial" w:cs="Arial"/>
        </w:rPr>
        <w:t>erritorial. Se debe indagar si esta situación se debe a un error</w:t>
      </w:r>
      <w:r w:rsidR="00334594" w:rsidRPr="00BE36D3">
        <w:rPr>
          <w:rFonts w:ascii="Arial" w:hAnsi="Arial" w:cs="Arial"/>
        </w:rPr>
        <w:t xml:space="preserve"> de reporte</w:t>
      </w:r>
      <w:r w:rsidRPr="00BE36D3">
        <w:rPr>
          <w:rFonts w:ascii="Arial" w:hAnsi="Arial" w:cs="Arial"/>
        </w:rPr>
        <w:t xml:space="preserve">, o si efectivamente el Municipio presenta dicho faltante en las cuentas bancarias, lo cual constituiría una situación de </w:t>
      </w:r>
      <w:r w:rsidR="0029439B">
        <w:rPr>
          <w:rFonts w:ascii="Arial" w:hAnsi="Arial" w:cs="Arial"/>
        </w:rPr>
        <w:t xml:space="preserve">problemática </w:t>
      </w:r>
      <w:r w:rsidRPr="00BE36D3">
        <w:rPr>
          <w:rFonts w:ascii="Arial" w:hAnsi="Arial" w:cs="Arial"/>
        </w:rPr>
        <w:t>en cuanto que se realizaron operaciones de caja sin el respaldo presupuestal.</w:t>
      </w:r>
    </w:p>
    <w:p w:rsidR="002B6421" w:rsidRDefault="00D861C0">
      <w:pPr>
        <w:pStyle w:val="Prrafodelista"/>
        <w:numPr>
          <w:ilvl w:val="0"/>
          <w:numId w:val="12"/>
        </w:numPr>
        <w:spacing w:line="240" w:lineRule="auto"/>
        <w:jc w:val="both"/>
        <w:rPr>
          <w:rFonts w:ascii="Arial" w:hAnsi="Arial" w:cs="Arial"/>
        </w:rPr>
      </w:pPr>
      <w:r w:rsidRPr="00BE36D3">
        <w:rPr>
          <w:rFonts w:ascii="Arial" w:hAnsi="Arial" w:cs="Arial"/>
        </w:rPr>
        <w:lastRenderedPageBreak/>
        <w:t xml:space="preserve">Errores en el reporte de información presupuestal en el </w:t>
      </w:r>
      <w:r w:rsidR="0084155B">
        <w:rPr>
          <w:rFonts w:ascii="Arial" w:hAnsi="Arial" w:cs="Arial"/>
        </w:rPr>
        <w:t>S</w:t>
      </w:r>
      <w:r w:rsidRPr="00BE36D3">
        <w:rPr>
          <w:rFonts w:ascii="Arial" w:hAnsi="Arial" w:cs="Arial"/>
        </w:rPr>
        <w:t xml:space="preserve">istema FUT, específicamente porque el Municipio presentó </w:t>
      </w:r>
      <w:r w:rsidR="00344C42" w:rsidRPr="00BE36D3">
        <w:rPr>
          <w:rFonts w:ascii="Arial" w:hAnsi="Arial" w:cs="Arial"/>
        </w:rPr>
        <w:t xml:space="preserve">el reporte de la vigencia 2019 </w:t>
      </w:r>
      <w:r w:rsidR="000519B5" w:rsidRPr="00BE36D3">
        <w:rPr>
          <w:rFonts w:ascii="Arial" w:hAnsi="Arial" w:cs="Arial"/>
        </w:rPr>
        <w:t xml:space="preserve">de ingresos </w:t>
      </w:r>
      <w:r w:rsidR="00344C42" w:rsidRPr="00BE36D3">
        <w:rPr>
          <w:rFonts w:ascii="Arial" w:hAnsi="Arial" w:cs="Arial"/>
        </w:rPr>
        <w:t>en miles y no en pesos. Así mismo, hay inconsistencias en el reporte de la</w:t>
      </w:r>
      <w:r w:rsidR="00BB2B5C" w:rsidRPr="00BE36D3">
        <w:rPr>
          <w:rFonts w:ascii="Arial" w:hAnsi="Arial" w:cs="Arial"/>
        </w:rPr>
        <w:t xml:space="preserve">s </w:t>
      </w:r>
      <w:r w:rsidR="005567A9">
        <w:rPr>
          <w:rFonts w:ascii="Arial" w:hAnsi="Arial" w:cs="Arial"/>
        </w:rPr>
        <w:t>C</w:t>
      </w:r>
      <w:r w:rsidR="00344C42" w:rsidRPr="00BE36D3">
        <w:rPr>
          <w:rFonts w:ascii="Arial" w:hAnsi="Arial" w:cs="Arial"/>
        </w:rPr>
        <w:t>ategoría</w:t>
      </w:r>
      <w:r w:rsidR="00BB2B5C" w:rsidRPr="00BE36D3">
        <w:rPr>
          <w:rFonts w:ascii="Arial" w:hAnsi="Arial" w:cs="Arial"/>
        </w:rPr>
        <w:t xml:space="preserve">s </w:t>
      </w:r>
      <w:r w:rsidR="00344C42" w:rsidRPr="00BE36D3">
        <w:rPr>
          <w:rFonts w:ascii="Arial" w:hAnsi="Arial" w:cs="Arial"/>
        </w:rPr>
        <w:t xml:space="preserve">de </w:t>
      </w:r>
      <w:r w:rsidR="005567A9">
        <w:rPr>
          <w:rFonts w:ascii="Arial" w:hAnsi="Arial" w:cs="Arial"/>
        </w:rPr>
        <w:t>G</w:t>
      </w:r>
      <w:r w:rsidR="00344C42" w:rsidRPr="00BE36D3">
        <w:rPr>
          <w:rFonts w:ascii="Arial" w:hAnsi="Arial" w:cs="Arial"/>
        </w:rPr>
        <w:t xml:space="preserve">astos </w:t>
      </w:r>
      <w:r w:rsidR="00BB2B5C" w:rsidRPr="00BE36D3">
        <w:rPr>
          <w:rFonts w:ascii="Arial" w:hAnsi="Arial" w:cs="Arial"/>
        </w:rPr>
        <w:t xml:space="preserve">y </w:t>
      </w:r>
      <w:r w:rsidR="005567A9">
        <w:rPr>
          <w:rFonts w:ascii="Arial" w:hAnsi="Arial" w:cs="Arial"/>
        </w:rPr>
        <w:t>C</w:t>
      </w:r>
      <w:r w:rsidR="00BB2B5C" w:rsidRPr="00BE36D3">
        <w:rPr>
          <w:rFonts w:ascii="Arial" w:hAnsi="Arial" w:cs="Arial"/>
        </w:rPr>
        <w:t xml:space="preserve">ierre </w:t>
      </w:r>
      <w:r w:rsidR="005567A9">
        <w:rPr>
          <w:rFonts w:ascii="Arial" w:hAnsi="Arial" w:cs="Arial"/>
        </w:rPr>
        <w:t>F</w:t>
      </w:r>
      <w:r w:rsidR="00BB2B5C" w:rsidRPr="00BE36D3">
        <w:rPr>
          <w:rFonts w:ascii="Arial" w:hAnsi="Arial" w:cs="Arial"/>
        </w:rPr>
        <w:t>iscal.</w:t>
      </w:r>
    </w:p>
    <w:p w:rsidR="0084155B" w:rsidRPr="00BE36D3" w:rsidRDefault="0084155B">
      <w:pPr>
        <w:pStyle w:val="Prrafodelista"/>
        <w:numPr>
          <w:ilvl w:val="0"/>
          <w:numId w:val="12"/>
        </w:numPr>
        <w:spacing w:line="240" w:lineRule="auto"/>
        <w:jc w:val="both"/>
        <w:rPr>
          <w:rFonts w:ascii="Arial" w:hAnsi="Arial" w:cs="Arial"/>
        </w:rPr>
      </w:pPr>
    </w:p>
    <w:p w:rsidR="000474FC" w:rsidRDefault="000474FC">
      <w:pPr>
        <w:spacing w:line="240" w:lineRule="auto"/>
        <w:contextualSpacing/>
        <w:jc w:val="both"/>
        <w:rPr>
          <w:rFonts w:ascii="Arial" w:hAnsi="Arial" w:cs="Arial"/>
        </w:rPr>
      </w:pPr>
      <w:r w:rsidRPr="00BE36D3">
        <w:rPr>
          <w:rFonts w:ascii="Arial" w:hAnsi="Arial" w:cs="Arial"/>
        </w:rPr>
        <w:t>En materia contractual:</w:t>
      </w:r>
    </w:p>
    <w:p w:rsidR="0084155B" w:rsidRDefault="0084155B">
      <w:pPr>
        <w:spacing w:line="240" w:lineRule="auto"/>
        <w:contextualSpacing/>
        <w:jc w:val="both"/>
        <w:rPr>
          <w:rFonts w:ascii="Arial" w:hAnsi="Arial" w:cs="Arial"/>
        </w:rPr>
      </w:pPr>
    </w:p>
    <w:p w:rsidR="000474FC" w:rsidRPr="00BE36D3" w:rsidRDefault="00B55DC1">
      <w:pPr>
        <w:pStyle w:val="Prrafodelista"/>
        <w:numPr>
          <w:ilvl w:val="0"/>
          <w:numId w:val="13"/>
        </w:numPr>
        <w:spacing w:line="240" w:lineRule="auto"/>
        <w:jc w:val="both"/>
        <w:rPr>
          <w:rFonts w:ascii="Arial" w:hAnsi="Arial" w:cs="Arial"/>
        </w:rPr>
      </w:pPr>
      <w:r w:rsidRPr="00BE36D3">
        <w:rPr>
          <w:rFonts w:ascii="Arial" w:hAnsi="Arial" w:cs="Arial"/>
        </w:rPr>
        <w:t xml:space="preserve">Deficiente manejo de </w:t>
      </w:r>
      <w:r w:rsidR="00B94A3D" w:rsidRPr="00BE36D3">
        <w:rPr>
          <w:rFonts w:ascii="Arial" w:hAnsi="Arial" w:cs="Arial"/>
        </w:rPr>
        <w:t>la información contractual</w:t>
      </w:r>
      <w:r w:rsidR="008E00F2" w:rsidRPr="00BE36D3">
        <w:rPr>
          <w:rFonts w:ascii="Arial" w:hAnsi="Arial" w:cs="Arial"/>
        </w:rPr>
        <w:t xml:space="preserve"> que además se refleja en la no publicación </w:t>
      </w:r>
      <w:r w:rsidR="00334594" w:rsidRPr="00BE36D3">
        <w:rPr>
          <w:rFonts w:ascii="Arial" w:hAnsi="Arial" w:cs="Arial"/>
        </w:rPr>
        <w:t xml:space="preserve">en SECOP </w:t>
      </w:r>
      <w:r w:rsidR="008E00F2" w:rsidRPr="00BE36D3">
        <w:rPr>
          <w:rFonts w:ascii="Arial" w:hAnsi="Arial" w:cs="Arial"/>
        </w:rPr>
        <w:t>de varios documentos importantes dentro de todo el proceso contractual</w:t>
      </w:r>
      <w:r w:rsidR="00334594" w:rsidRPr="00BE36D3">
        <w:rPr>
          <w:rFonts w:ascii="Arial" w:hAnsi="Arial" w:cs="Arial"/>
        </w:rPr>
        <w:t>, e</w:t>
      </w:r>
      <w:r w:rsidR="000519B5" w:rsidRPr="00BE36D3">
        <w:rPr>
          <w:rFonts w:ascii="Arial" w:hAnsi="Arial" w:cs="Arial"/>
        </w:rPr>
        <w:t>specialmente de la etapa post-contractual.</w:t>
      </w:r>
    </w:p>
    <w:p w:rsidR="0005722D" w:rsidRDefault="005069F9">
      <w:pPr>
        <w:pStyle w:val="Prrafodelista"/>
        <w:numPr>
          <w:ilvl w:val="0"/>
          <w:numId w:val="13"/>
        </w:numPr>
        <w:spacing w:line="240" w:lineRule="auto"/>
        <w:jc w:val="both"/>
        <w:rPr>
          <w:rFonts w:ascii="Arial" w:hAnsi="Arial" w:cs="Arial"/>
        </w:rPr>
      </w:pPr>
      <w:r w:rsidRPr="00BE36D3">
        <w:rPr>
          <w:rFonts w:ascii="Arial" w:hAnsi="Arial" w:cs="Arial"/>
        </w:rPr>
        <w:t xml:space="preserve">Fallas en la etapa </w:t>
      </w:r>
      <w:r w:rsidR="00F637BB" w:rsidRPr="00BE36D3">
        <w:rPr>
          <w:rFonts w:ascii="Arial" w:hAnsi="Arial" w:cs="Arial"/>
        </w:rPr>
        <w:t xml:space="preserve">precontractual de planeación </w:t>
      </w:r>
      <w:r w:rsidR="008B73B0" w:rsidRPr="00BE36D3">
        <w:rPr>
          <w:rFonts w:ascii="Arial" w:hAnsi="Arial" w:cs="Arial"/>
        </w:rPr>
        <w:t>que soporta</w:t>
      </w:r>
      <w:r w:rsidR="00F637BB" w:rsidRPr="00BE36D3">
        <w:rPr>
          <w:rFonts w:ascii="Arial" w:hAnsi="Arial" w:cs="Arial"/>
        </w:rPr>
        <w:t xml:space="preserve"> la contratación.</w:t>
      </w:r>
      <w:r w:rsidR="0005722D" w:rsidRPr="00BE36D3">
        <w:rPr>
          <w:rFonts w:ascii="Arial" w:hAnsi="Arial" w:cs="Arial"/>
        </w:rPr>
        <w:t xml:space="preserve"> Se evidencian contratos no ejecutados bajo el amparo de proyectos de inversión </w:t>
      </w:r>
      <w:r w:rsidR="00E31804" w:rsidRPr="00BE36D3">
        <w:rPr>
          <w:rFonts w:ascii="Arial" w:hAnsi="Arial" w:cs="Arial"/>
        </w:rPr>
        <w:t>con metas definidas.</w:t>
      </w:r>
    </w:p>
    <w:p w:rsidR="002B2554" w:rsidRPr="009E313F" w:rsidRDefault="002B2554">
      <w:pPr>
        <w:pStyle w:val="Prrafodelista"/>
        <w:numPr>
          <w:ilvl w:val="0"/>
          <w:numId w:val="13"/>
        </w:numPr>
        <w:spacing w:line="240" w:lineRule="auto"/>
        <w:jc w:val="both"/>
        <w:rPr>
          <w:rFonts w:ascii="Arial" w:hAnsi="Arial" w:cs="Arial"/>
        </w:rPr>
      </w:pPr>
      <w:r w:rsidRPr="009E313F">
        <w:rPr>
          <w:rFonts w:ascii="Arial" w:hAnsi="Arial" w:cs="Arial"/>
        </w:rPr>
        <w:t>Ejecución de recursos en desconocimiento de la normatividad vigente</w:t>
      </w:r>
      <w:r>
        <w:rPr>
          <w:rFonts w:ascii="Arial" w:hAnsi="Arial" w:cs="Arial"/>
        </w:rPr>
        <w:t xml:space="preserve"> debido a que se entregan elementos materiales </w:t>
      </w:r>
      <w:r w:rsidR="00BB5475">
        <w:rPr>
          <w:rFonts w:ascii="Arial" w:hAnsi="Arial" w:cs="Arial"/>
        </w:rPr>
        <w:t xml:space="preserve">de uso personal </w:t>
      </w:r>
      <w:r>
        <w:rPr>
          <w:rFonts w:ascii="Arial" w:hAnsi="Arial" w:cs="Arial"/>
        </w:rPr>
        <w:t xml:space="preserve">directamente a la población como camisetas, gorras, </w:t>
      </w:r>
      <w:r w:rsidRPr="00F4471B">
        <w:rPr>
          <w:rFonts w:ascii="Arial" w:hAnsi="Arial" w:cs="Arial"/>
          <w:i/>
          <w:iCs/>
        </w:rPr>
        <w:t>kits</w:t>
      </w:r>
      <w:r w:rsidR="009D25CE">
        <w:rPr>
          <w:rFonts w:ascii="Arial" w:hAnsi="Arial" w:cs="Arial"/>
        </w:rPr>
        <w:t xml:space="preserve">, buzos y otros elementos que no quedan a disposición de la </w:t>
      </w:r>
      <w:r w:rsidR="0084155B">
        <w:rPr>
          <w:rFonts w:ascii="Arial" w:hAnsi="Arial" w:cs="Arial"/>
        </w:rPr>
        <w:t>E</w:t>
      </w:r>
      <w:r w:rsidR="009D25CE">
        <w:rPr>
          <w:rFonts w:ascii="Arial" w:hAnsi="Arial" w:cs="Arial"/>
        </w:rPr>
        <w:t xml:space="preserve">ntidad </w:t>
      </w:r>
      <w:r w:rsidR="0084155B">
        <w:rPr>
          <w:rFonts w:ascii="Arial" w:hAnsi="Arial" w:cs="Arial"/>
        </w:rPr>
        <w:t>T</w:t>
      </w:r>
      <w:r w:rsidR="009D25CE">
        <w:rPr>
          <w:rFonts w:ascii="Arial" w:hAnsi="Arial" w:cs="Arial"/>
        </w:rPr>
        <w:t>erritorial</w:t>
      </w:r>
      <w:r>
        <w:rPr>
          <w:rFonts w:ascii="Arial" w:hAnsi="Arial" w:cs="Arial"/>
        </w:rPr>
        <w:t>.</w:t>
      </w:r>
    </w:p>
    <w:p w:rsidR="005069F9" w:rsidRPr="00BE36D3" w:rsidRDefault="00E31804">
      <w:pPr>
        <w:pStyle w:val="Prrafodelista"/>
        <w:numPr>
          <w:ilvl w:val="0"/>
          <w:numId w:val="13"/>
        </w:numPr>
        <w:spacing w:line="240" w:lineRule="auto"/>
        <w:jc w:val="both"/>
        <w:rPr>
          <w:rFonts w:ascii="Arial" w:hAnsi="Arial" w:cs="Arial"/>
        </w:rPr>
      </w:pPr>
      <w:r w:rsidRPr="00BE36D3">
        <w:rPr>
          <w:rFonts w:ascii="Arial" w:hAnsi="Arial" w:cs="Arial"/>
        </w:rPr>
        <w:t>Falencias en la selección de contratistas</w:t>
      </w:r>
      <w:r w:rsidR="007974D4" w:rsidRPr="00BE36D3">
        <w:rPr>
          <w:rFonts w:ascii="Arial" w:hAnsi="Arial" w:cs="Arial"/>
        </w:rPr>
        <w:t xml:space="preserve">. </w:t>
      </w:r>
      <w:r w:rsidR="00B75AE9" w:rsidRPr="00BE36D3">
        <w:rPr>
          <w:rFonts w:ascii="Arial" w:hAnsi="Arial" w:cs="Arial"/>
        </w:rPr>
        <w:t xml:space="preserve">Se evidencian contratos adjudicados a contratistas que no soportan de manera clara la experiencia solicitada </w:t>
      </w:r>
      <w:r w:rsidR="00740C9B">
        <w:rPr>
          <w:rFonts w:ascii="Arial" w:hAnsi="Arial" w:cs="Arial"/>
        </w:rPr>
        <w:t>para la atención diferencial de distintos grupos poblacionales</w:t>
      </w:r>
      <w:r w:rsidR="00BB5475" w:rsidRPr="00BB5475">
        <w:rPr>
          <w:rFonts w:ascii="Arial" w:hAnsi="Arial" w:cs="Arial"/>
        </w:rPr>
        <w:t xml:space="preserve"> </w:t>
      </w:r>
      <w:r w:rsidR="00BB5475">
        <w:rPr>
          <w:rFonts w:ascii="Arial" w:hAnsi="Arial" w:cs="Arial"/>
        </w:rPr>
        <w:t>con características particulares</w:t>
      </w:r>
      <w:r w:rsidR="00740C9B">
        <w:rPr>
          <w:rFonts w:ascii="Arial" w:hAnsi="Arial" w:cs="Arial"/>
        </w:rPr>
        <w:t>.</w:t>
      </w:r>
    </w:p>
    <w:p w:rsidR="001F0AF7" w:rsidRPr="00F4471B" w:rsidRDefault="008E36BB">
      <w:pPr>
        <w:pStyle w:val="Prrafodelista"/>
        <w:numPr>
          <w:ilvl w:val="0"/>
          <w:numId w:val="13"/>
        </w:numPr>
        <w:spacing w:line="240" w:lineRule="auto"/>
        <w:jc w:val="both"/>
        <w:rPr>
          <w:rFonts w:ascii="Arial" w:eastAsiaTheme="minorEastAsia" w:hAnsi="Arial" w:cs="Arial"/>
        </w:rPr>
      </w:pPr>
      <w:r w:rsidRPr="00BE36D3">
        <w:rPr>
          <w:rFonts w:ascii="Arial" w:hAnsi="Arial" w:cs="Arial"/>
        </w:rPr>
        <w:t xml:space="preserve">Incumplimiento del régimen de inhabilidades. </w:t>
      </w:r>
      <w:r w:rsidR="00B92C68" w:rsidRPr="00BE36D3">
        <w:rPr>
          <w:rFonts w:ascii="Arial" w:hAnsi="Arial" w:cs="Arial"/>
        </w:rPr>
        <w:t xml:space="preserve">Se identificó que, en uno de los contratos de mayor cuantía, realizado con la Fundación Surgir, la </w:t>
      </w:r>
      <w:r w:rsidR="0084155B">
        <w:rPr>
          <w:rFonts w:ascii="Arial" w:hAnsi="Arial" w:cs="Arial"/>
        </w:rPr>
        <w:t>R</w:t>
      </w:r>
      <w:r w:rsidR="00B92C68" w:rsidRPr="00BE36D3">
        <w:rPr>
          <w:rFonts w:ascii="Arial" w:hAnsi="Arial" w:cs="Arial"/>
        </w:rPr>
        <w:t xml:space="preserve">epresentante </w:t>
      </w:r>
      <w:r w:rsidR="0084155B">
        <w:rPr>
          <w:rFonts w:ascii="Arial" w:hAnsi="Arial" w:cs="Arial"/>
        </w:rPr>
        <w:t>L</w:t>
      </w:r>
      <w:r w:rsidR="00B92C68" w:rsidRPr="00BE36D3">
        <w:rPr>
          <w:rFonts w:ascii="Arial" w:hAnsi="Arial" w:cs="Arial"/>
        </w:rPr>
        <w:t>egal de esta fundación se encontró en una situación de inhabilidad sobreviniente para contratar con entidades públicas</w:t>
      </w:r>
      <w:r w:rsidR="00B402D5">
        <w:rPr>
          <w:rFonts w:ascii="Arial" w:hAnsi="Arial" w:cs="Arial"/>
        </w:rPr>
        <w:t xml:space="preserve"> al suscribir dos cuentas de cobro aprobadas por el Municipio de Santiago de Tolú – Sucre cuando se desempeñaba como funcionaria pública de la Alcaldía de Sincelejo</w:t>
      </w:r>
      <w:r w:rsidR="00B92C68" w:rsidRPr="00BE36D3">
        <w:rPr>
          <w:rFonts w:ascii="Arial" w:hAnsi="Arial" w:cs="Arial"/>
        </w:rPr>
        <w:t>.</w:t>
      </w:r>
      <w:r w:rsidR="007362C9">
        <w:rPr>
          <w:rFonts w:ascii="Arial" w:hAnsi="Arial" w:cs="Arial"/>
        </w:rPr>
        <w:t xml:space="preserve"> </w:t>
      </w:r>
      <w:r w:rsidR="001F0AF7" w:rsidRPr="00BE36D3">
        <w:rPr>
          <w:rFonts w:ascii="Arial" w:eastAsia="Arial Narrow" w:hAnsi="Arial" w:cs="Arial"/>
        </w:rPr>
        <w:t>Deficiencias en el seguimiento y supervisión al cumplimiento del objeto contractual (etapa pos</w:t>
      </w:r>
      <w:r w:rsidR="00BF7FD5" w:rsidRPr="00BE36D3">
        <w:rPr>
          <w:rFonts w:ascii="Arial" w:eastAsia="Arial Narrow" w:hAnsi="Arial" w:cs="Arial"/>
        </w:rPr>
        <w:t>t-</w:t>
      </w:r>
      <w:r w:rsidR="001F0AF7" w:rsidRPr="00BE36D3">
        <w:rPr>
          <w:rFonts w:ascii="Arial" w:eastAsia="Arial Narrow" w:hAnsi="Arial" w:cs="Arial"/>
        </w:rPr>
        <w:t>contractual)</w:t>
      </w:r>
      <w:r w:rsidR="005949AA" w:rsidRPr="00BE36D3">
        <w:rPr>
          <w:rFonts w:ascii="Arial" w:eastAsia="Arial Narrow" w:hAnsi="Arial" w:cs="Arial"/>
        </w:rPr>
        <w:t>.</w:t>
      </w:r>
    </w:p>
    <w:p w:rsidR="0084155B" w:rsidRPr="00BE36D3" w:rsidRDefault="0084155B" w:rsidP="00F4471B">
      <w:pPr>
        <w:pStyle w:val="Prrafodelista"/>
        <w:spacing w:line="240" w:lineRule="auto"/>
        <w:jc w:val="both"/>
        <w:rPr>
          <w:rFonts w:ascii="Arial" w:eastAsiaTheme="minorEastAsia" w:hAnsi="Arial" w:cs="Arial"/>
        </w:rPr>
      </w:pPr>
    </w:p>
    <w:p w:rsidR="001F0AF7" w:rsidRDefault="00A9738F">
      <w:pPr>
        <w:spacing w:line="240" w:lineRule="auto"/>
        <w:contextualSpacing/>
        <w:jc w:val="both"/>
        <w:rPr>
          <w:rFonts w:ascii="Arial" w:hAnsi="Arial" w:cs="Arial"/>
        </w:rPr>
      </w:pPr>
      <w:r w:rsidRPr="00BE36D3">
        <w:rPr>
          <w:rFonts w:ascii="Arial" w:hAnsi="Arial" w:cs="Arial"/>
        </w:rPr>
        <w:t>En materia institucional y de planeación:</w:t>
      </w:r>
    </w:p>
    <w:p w:rsidR="0084155B" w:rsidRDefault="0084155B">
      <w:pPr>
        <w:spacing w:line="240" w:lineRule="auto"/>
        <w:contextualSpacing/>
        <w:jc w:val="both"/>
        <w:rPr>
          <w:rFonts w:ascii="Arial" w:hAnsi="Arial" w:cs="Arial"/>
        </w:rPr>
      </w:pPr>
    </w:p>
    <w:p w:rsidR="00A9738F" w:rsidRPr="00BE36D3" w:rsidRDefault="005D673A">
      <w:pPr>
        <w:pStyle w:val="Prrafodelista"/>
        <w:numPr>
          <w:ilvl w:val="0"/>
          <w:numId w:val="14"/>
        </w:numPr>
        <w:spacing w:line="240" w:lineRule="auto"/>
        <w:jc w:val="both"/>
        <w:rPr>
          <w:rFonts w:ascii="Arial" w:hAnsi="Arial" w:cs="Arial"/>
        </w:rPr>
      </w:pPr>
      <w:r w:rsidRPr="00BE36D3">
        <w:rPr>
          <w:rFonts w:ascii="Arial" w:hAnsi="Arial" w:cs="Arial"/>
        </w:rPr>
        <w:t>El Municipio no cuenta con Plan Indicativo y por lo tanto tampoco realiza el reporte adecuado de este instrumento en el Sistema de Evaluación de la Eficacia para el seguimiento.</w:t>
      </w:r>
    </w:p>
    <w:p w:rsidR="005D673A" w:rsidRPr="00BE36D3" w:rsidRDefault="005D673A">
      <w:pPr>
        <w:pStyle w:val="Prrafodelista"/>
        <w:numPr>
          <w:ilvl w:val="0"/>
          <w:numId w:val="14"/>
        </w:numPr>
        <w:spacing w:line="240" w:lineRule="auto"/>
        <w:jc w:val="both"/>
        <w:rPr>
          <w:rFonts w:ascii="Arial" w:hAnsi="Arial" w:cs="Arial"/>
        </w:rPr>
      </w:pPr>
      <w:r w:rsidRPr="00BE36D3">
        <w:rPr>
          <w:rFonts w:ascii="Arial" w:hAnsi="Arial" w:cs="Arial"/>
        </w:rPr>
        <w:t xml:space="preserve">Inexistencia de un inventario de proyectos para ser priorizados anualmente en el Plan Operativo Anual de Inversiones. </w:t>
      </w:r>
      <w:r w:rsidR="00FC7CA9" w:rsidRPr="00BE36D3">
        <w:rPr>
          <w:rFonts w:ascii="Arial" w:hAnsi="Arial" w:cs="Arial"/>
        </w:rPr>
        <w:t>Lo anterior refleja las deficiencias existentes en cuanto a los procesos de formulación, viabilización</w:t>
      </w:r>
      <w:r w:rsidR="008B73B0" w:rsidRPr="00BE36D3">
        <w:rPr>
          <w:rFonts w:ascii="Arial" w:hAnsi="Arial" w:cs="Arial"/>
        </w:rPr>
        <w:t>, registro</w:t>
      </w:r>
      <w:r w:rsidR="00CF3AED" w:rsidRPr="00BE36D3">
        <w:rPr>
          <w:rFonts w:ascii="Arial" w:hAnsi="Arial" w:cs="Arial"/>
        </w:rPr>
        <w:t xml:space="preserve"> </w:t>
      </w:r>
      <w:r w:rsidR="00FC7CA9" w:rsidRPr="00BE36D3">
        <w:rPr>
          <w:rFonts w:ascii="Arial" w:hAnsi="Arial" w:cs="Arial"/>
        </w:rPr>
        <w:t>y priorización de proyectos de inversión a través de un Banco de Proyectos de Inversión Municipal.</w:t>
      </w:r>
    </w:p>
    <w:p w:rsidR="00F93E65" w:rsidRPr="00BE36D3" w:rsidRDefault="005D673A">
      <w:pPr>
        <w:pStyle w:val="Prrafodelista"/>
        <w:numPr>
          <w:ilvl w:val="0"/>
          <w:numId w:val="14"/>
        </w:numPr>
        <w:spacing w:line="240" w:lineRule="auto"/>
        <w:jc w:val="both"/>
        <w:rPr>
          <w:rFonts w:ascii="Arial" w:hAnsi="Arial" w:cs="Arial"/>
        </w:rPr>
      </w:pPr>
      <w:r w:rsidRPr="00BE36D3">
        <w:rPr>
          <w:rFonts w:ascii="Arial" w:hAnsi="Arial" w:cs="Arial"/>
        </w:rPr>
        <w:t xml:space="preserve">Desarticulación entre los procesos de planeación y la ejecución presupuestal. </w:t>
      </w:r>
      <w:r w:rsidR="00284BB4" w:rsidRPr="00BE36D3">
        <w:rPr>
          <w:rFonts w:ascii="Arial" w:hAnsi="Arial" w:cs="Arial"/>
        </w:rPr>
        <w:t>La elaboración de los proyectos se realiza de manera simultánea con la ejecución presupuestal y la contratación.</w:t>
      </w:r>
    </w:p>
    <w:p w:rsidR="00C5770E" w:rsidRDefault="00C5770E">
      <w:pPr>
        <w:spacing w:line="240" w:lineRule="auto"/>
        <w:contextualSpacing/>
        <w:jc w:val="both"/>
        <w:rPr>
          <w:rFonts w:ascii="Arial" w:hAnsi="Arial" w:cs="Arial"/>
        </w:rPr>
      </w:pPr>
    </w:p>
    <w:p w:rsidR="00A364F6" w:rsidRPr="00A364F6" w:rsidRDefault="00A364F6" w:rsidP="00F4471B">
      <w:pPr>
        <w:pStyle w:val="paragraph"/>
        <w:numPr>
          <w:ilvl w:val="0"/>
          <w:numId w:val="2"/>
        </w:numPr>
        <w:spacing w:before="0" w:beforeAutospacing="0" w:after="0" w:afterAutospacing="0"/>
        <w:contextualSpacing/>
        <w:jc w:val="both"/>
        <w:textAlignment w:val="baseline"/>
        <w:rPr>
          <w:rStyle w:val="normaltextrun"/>
          <w:rFonts w:ascii="Arial" w:eastAsiaTheme="minorHAnsi" w:hAnsi="Arial" w:cs="Arial"/>
          <w:b/>
          <w:bCs/>
          <w:sz w:val="22"/>
          <w:szCs w:val="22"/>
          <w:lang w:eastAsia="en-US"/>
        </w:rPr>
      </w:pPr>
      <w:r w:rsidRPr="00A364F6">
        <w:rPr>
          <w:rStyle w:val="normaltextrun"/>
          <w:rFonts w:ascii="Arial" w:hAnsi="Arial" w:cs="Arial"/>
          <w:b/>
          <w:bCs/>
          <w:sz w:val="22"/>
          <w:szCs w:val="22"/>
        </w:rPr>
        <w:t>RECOMENDACIÓN</w:t>
      </w:r>
      <w:r w:rsidR="0084155B">
        <w:rPr>
          <w:rStyle w:val="normaltextrun"/>
          <w:rFonts w:ascii="Arial" w:hAnsi="Arial" w:cs="Arial"/>
          <w:b/>
          <w:bCs/>
          <w:sz w:val="22"/>
          <w:szCs w:val="22"/>
        </w:rPr>
        <w:t>.</w:t>
      </w:r>
    </w:p>
    <w:p w:rsidR="00A364F6" w:rsidRDefault="00A364F6" w:rsidP="00F4471B">
      <w:pPr>
        <w:pStyle w:val="paragraph"/>
        <w:spacing w:before="0" w:beforeAutospacing="0" w:after="0" w:afterAutospacing="0"/>
        <w:contextualSpacing/>
        <w:jc w:val="both"/>
        <w:textAlignment w:val="baseline"/>
        <w:rPr>
          <w:rStyle w:val="normaltextrun"/>
          <w:rFonts w:ascii="Arial" w:eastAsiaTheme="minorHAnsi" w:hAnsi="Arial" w:cs="Arial"/>
          <w:b/>
          <w:bCs/>
          <w:sz w:val="22"/>
          <w:szCs w:val="22"/>
          <w:lang w:val="es-MX" w:eastAsia="en-US"/>
        </w:rPr>
      </w:pPr>
    </w:p>
    <w:p w:rsidR="00DB5610" w:rsidRDefault="00DB5610" w:rsidP="00F4471B">
      <w:pPr>
        <w:pStyle w:val="paragraph"/>
        <w:spacing w:before="0" w:beforeAutospacing="0" w:after="0" w:afterAutospacing="0"/>
        <w:contextualSpacing/>
        <w:jc w:val="both"/>
        <w:textAlignment w:val="baseline"/>
        <w:rPr>
          <w:rStyle w:val="eop"/>
          <w:rFonts w:ascii="Arial" w:eastAsiaTheme="minorHAnsi" w:hAnsi="Arial" w:cs="Arial"/>
          <w:sz w:val="22"/>
          <w:szCs w:val="22"/>
          <w:lang w:eastAsia="en-US"/>
        </w:rPr>
      </w:pPr>
      <w:r>
        <w:rPr>
          <w:rStyle w:val="normaltextrun"/>
          <w:rFonts w:ascii="Arial" w:hAnsi="Arial" w:cs="Arial"/>
          <w:sz w:val="22"/>
          <w:szCs w:val="22"/>
          <w:lang w:val="es-MX"/>
        </w:rPr>
        <w:t xml:space="preserve">A partir el análisis de la información del Informe de Monitoreo en Campo realizado por el DNP y sus respectivos anexos, así como la información reportada a los diferentes sistemas de información por el </w:t>
      </w:r>
      <w:r w:rsidR="0084155B">
        <w:rPr>
          <w:rStyle w:val="normaltextrun"/>
          <w:rFonts w:ascii="Arial" w:hAnsi="Arial" w:cs="Arial"/>
          <w:sz w:val="22"/>
          <w:szCs w:val="22"/>
          <w:lang w:val="es-MX"/>
        </w:rPr>
        <w:t>M</w:t>
      </w:r>
      <w:r>
        <w:rPr>
          <w:rStyle w:val="normaltextrun"/>
          <w:rFonts w:ascii="Arial" w:hAnsi="Arial" w:cs="Arial"/>
          <w:sz w:val="22"/>
          <w:szCs w:val="22"/>
          <w:lang w:val="es-MX"/>
        </w:rPr>
        <w:t xml:space="preserve">unicipio, se puede evidenciar la existencia de los </w:t>
      </w:r>
      <w:r w:rsidR="0084155B">
        <w:rPr>
          <w:rStyle w:val="normaltextrun"/>
          <w:rFonts w:ascii="Arial" w:hAnsi="Arial" w:cs="Arial"/>
          <w:sz w:val="22"/>
          <w:szCs w:val="22"/>
          <w:lang w:val="es-MX"/>
        </w:rPr>
        <w:t>E</w:t>
      </w:r>
      <w:r>
        <w:rPr>
          <w:rStyle w:val="normaltextrun"/>
          <w:rFonts w:ascii="Arial" w:hAnsi="Arial" w:cs="Arial"/>
          <w:sz w:val="22"/>
          <w:szCs w:val="22"/>
          <w:lang w:val="es-MX"/>
        </w:rPr>
        <w:t xml:space="preserve">ventos de </w:t>
      </w:r>
      <w:r w:rsidR="0084155B">
        <w:rPr>
          <w:rStyle w:val="normaltextrun"/>
          <w:rFonts w:ascii="Arial" w:hAnsi="Arial" w:cs="Arial"/>
          <w:sz w:val="22"/>
          <w:szCs w:val="22"/>
          <w:lang w:val="es-MX"/>
        </w:rPr>
        <w:t>R</w:t>
      </w:r>
      <w:r>
        <w:rPr>
          <w:rStyle w:val="normaltextrun"/>
          <w:rFonts w:ascii="Arial" w:hAnsi="Arial" w:cs="Arial"/>
          <w:sz w:val="22"/>
          <w:szCs w:val="22"/>
          <w:lang w:val="es-MX"/>
        </w:rPr>
        <w:t xml:space="preserve">iesgo 9.1, 9.4, 9.5, </w:t>
      </w:r>
      <w:r w:rsidR="000D1577">
        <w:rPr>
          <w:rStyle w:val="normaltextrun"/>
          <w:rFonts w:ascii="Arial" w:hAnsi="Arial" w:cs="Arial"/>
          <w:sz w:val="22"/>
          <w:szCs w:val="22"/>
          <w:lang w:val="es-MX"/>
        </w:rPr>
        <w:t xml:space="preserve">9.9, </w:t>
      </w:r>
      <w:r>
        <w:rPr>
          <w:rStyle w:val="normaltextrun"/>
          <w:rFonts w:ascii="Arial" w:hAnsi="Arial" w:cs="Arial"/>
          <w:sz w:val="22"/>
          <w:szCs w:val="22"/>
          <w:lang w:val="es-MX"/>
        </w:rPr>
        <w:t>9.10 y 9.18 definidos en el artículo 9 del Decreto 028 de 2008, relacionados con el</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inadecuado</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uso</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de</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los</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recursos</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del</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Sistema</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General</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de</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Participaciones</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de</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Propósito</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General.</w:t>
      </w:r>
      <w:r w:rsidR="0084155B">
        <w:rPr>
          <w:rStyle w:val="normaltextrun"/>
          <w:rFonts w:ascii="Arial" w:hAnsi="Arial" w:cs="Arial"/>
          <w:sz w:val="22"/>
          <w:szCs w:val="22"/>
          <w:lang w:val="es-MX"/>
        </w:rPr>
        <w:t xml:space="preserve"> </w:t>
      </w:r>
    </w:p>
    <w:p w:rsidR="00DB5610" w:rsidRPr="00F4471B" w:rsidRDefault="00DB5610" w:rsidP="00F4471B">
      <w:pPr>
        <w:pStyle w:val="paragraph"/>
        <w:spacing w:before="0" w:beforeAutospacing="0" w:after="0" w:afterAutospacing="0"/>
        <w:contextualSpacing/>
        <w:jc w:val="both"/>
        <w:textAlignment w:val="baseline"/>
        <w:rPr>
          <w:rFonts w:ascii="Arial" w:hAnsi="Arial" w:cs="Arial"/>
          <w:sz w:val="22"/>
          <w:szCs w:val="22"/>
        </w:rPr>
      </w:pPr>
    </w:p>
    <w:p w:rsidR="00DB5610" w:rsidRPr="00F4471B" w:rsidRDefault="00DB5610" w:rsidP="00F4471B">
      <w:pPr>
        <w:pStyle w:val="paragraph"/>
        <w:spacing w:before="0" w:beforeAutospacing="0" w:after="0" w:afterAutospacing="0"/>
        <w:contextualSpacing/>
        <w:jc w:val="both"/>
        <w:textAlignment w:val="baseline"/>
        <w:rPr>
          <w:rFonts w:ascii="Arial" w:hAnsi="Arial" w:cs="Arial"/>
          <w:sz w:val="22"/>
          <w:szCs w:val="22"/>
        </w:rPr>
      </w:pPr>
      <w:r>
        <w:rPr>
          <w:rStyle w:val="normaltextrun"/>
          <w:rFonts w:ascii="Arial" w:hAnsi="Arial" w:cs="Arial"/>
          <w:sz w:val="22"/>
          <w:szCs w:val="22"/>
          <w:lang w:val="es-MX"/>
        </w:rPr>
        <w:t>Por lo anterior,</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enmarcados en las funciones contenidas en el artículo 11 del Decreto 028 de 2008 y los artículos 2.6.3.4.1 y 2.6.3.4.1.1 del Decreto 1068 de 2015,</w:t>
      </w:r>
      <w:r w:rsidR="0084155B">
        <w:rPr>
          <w:rStyle w:val="normaltextrun"/>
          <w:rFonts w:ascii="Arial" w:hAnsi="Arial" w:cs="Arial"/>
          <w:sz w:val="22"/>
          <w:szCs w:val="22"/>
          <w:lang w:val="es-MX"/>
        </w:rPr>
        <w:t xml:space="preserve"> </w:t>
      </w:r>
      <w:r>
        <w:rPr>
          <w:rStyle w:val="normaltextrun"/>
          <w:rFonts w:ascii="Arial" w:hAnsi="Arial" w:cs="Arial"/>
          <w:b/>
          <w:bCs/>
          <w:sz w:val="22"/>
          <w:szCs w:val="22"/>
          <w:lang w:val="es-MX"/>
        </w:rPr>
        <w:t>se recomienda la adopción de una Medida Preventiva de Plan de Desempeño en la</w:t>
      </w:r>
      <w:r w:rsidR="0084155B">
        <w:rPr>
          <w:rStyle w:val="normaltextrun"/>
          <w:rFonts w:ascii="Arial" w:hAnsi="Arial" w:cs="Arial"/>
          <w:b/>
          <w:bCs/>
          <w:sz w:val="22"/>
          <w:szCs w:val="22"/>
          <w:lang w:val="es-MX"/>
        </w:rPr>
        <w:t xml:space="preserve"> </w:t>
      </w:r>
      <w:r>
        <w:rPr>
          <w:rStyle w:val="normaltextrun"/>
          <w:rFonts w:ascii="Arial" w:hAnsi="Arial" w:cs="Arial"/>
          <w:b/>
          <w:bCs/>
          <w:sz w:val="22"/>
          <w:szCs w:val="22"/>
          <w:lang w:val="es-MX"/>
        </w:rPr>
        <w:t>Participación de Propósito General del Sistema General de Participaciones</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para el Municipio de</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Santiago de Tolú</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 Sucre.</w:t>
      </w:r>
      <w:r w:rsidR="0084155B">
        <w:rPr>
          <w:rStyle w:val="normaltextrun"/>
          <w:rFonts w:ascii="Arial" w:hAnsi="Arial" w:cs="Arial"/>
          <w:sz w:val="22"/>
          <w:szCs w:val="22"/>
          <w:lang w:val="es-MX"/>
        </w:rPr>
        <w:t xml:space="preserve"> </w:t>
      </w:r>
      <w:r>
        <w:rPr>
          <w:rStyle w:val="normaltextrun"/>
          <w:rFonts w:ascii="Arial" w:hAnsi="Arial" w:cs="Arial"/>
          <w:sz w:val="22"/>
          <w:szCs w:val="22"/>
          <w:lang w:val="es-MX"/>
        </w:rPr>
        <w:t xml:space="preserve">Esta Medida Preventiva tiene como objetivo corregir las situaciones que ponen en riesgo el uso de los recursos, la prestación de los servicios financiados con el SGP y la calidad del gasto realizado por la </w:t>
      </w:r>
      <w:r w:rsidR="0084155B" w:rsidRPr="00F4471B">
        <w:rPr>
          <w:rStyle w:val="normaltextrun"/>
          <w:rFonts w:ascii="Arial" w:hAnsi="Arial" w:cs="Arial"/>
          <w:sz w:val="22"/>
          <w:szCs w:val="22"/>
          <w:lang w:val="es-MX"/>
        </w:rPr>
        <w:t>E</w:t>
      </w:r>
      <w:r w:rsidRPr="00F4471B">
        <w:rPr>
          <w:rStyle w:val="normaltextrun"/>
          <w:rFonts w:ascii="Arial" w:hAnsi="Arial" w:cs="Arial"/>
          <w:sz w:val="22"/>
          <w:szCs w:val="22"/>
          <w:lang w:val="es-MX"/>
        </w:rPr>
        <w:t>ntidad.</w:t>
      </w:r>
    </w:p>
    <w:p w:rsidR="006140B1" w:rsidRDefault="006140B1">
      <w:pPr>
        <w:spacing w:line="240" w:lineRule="auto"/>
        <w:contextualSpacing/>
        <w:jc w:val="both"/>
        <w:rPr>
          <w:rFonts w:ascii="Arial" w:hAnsi="Arial" w:cs="Arial"/>
        </w:rPr>
      </w:pPr>
    </w:p>
    <w:p w:rsidR="00930836" w:rsidRPr="00BE36D3" w:rsidRDefault="00930836">
      <w:pPr>
        <w:spacing w:line="240" w:lineRule="auto"/>
        <w:contextualSpacing/>
        <w:jc w:val="both"/>
        <w:rPr>
          <w:rFonts w:ascii="Arial" w:hAnsi="Arial" w:cs="Arial"/>
        </w:rPr>
      </w:pPr>
    </w:p>
    <w:p w:rsidR="00097F44" w:rsidRPr="00BE36D3" w:rsidRDefault="00E851BA">
      <w:pPr>
        <w:spacing w:after="0" w:line="240" w:lineRule="auto"/>
        <w:contextualSpacing/>
        <w:jc w:val="both"/>
        <w:rPr>
          <w:rFonts w:ascii="Arial" w:hAnsi="Arial" w:cs="Arial"/>
          <w:sz w:val="16"/>
          <w:szCs w:val="16"/>
        </w:rPr>
      </w:pPr>
      <w:r w:rsidRPr="00BE36D3">
        <w:rPr>
          <w:rFonts w:ascii="Arial" w:hAnsi="Arial" w:cs="Arial"/>
          <w:b/>
          <w:bCs/>
          <w:sz w:val="16"/>
          <w:szCs w:val="16"/>
        </w:rPr>
        <w:t xml:space="preserve">Aprobó: </w:t>
      </w:r>
      <w:r w:rsidRPr="00BE36D3">
        <w:rPr>
          <w:rFonts w:ascii="Arial" w:hAnsi="Arial" w:cs="Arial"/>
          <w:sz w:val="16"/>
          <w:szCs w:val="16"/>
        </w:rPr>
        <w:t>Fernando Olivera</w:t>
      </w:r>
    </w:p>
    <w:p w:rsidR="00123E5C" w:rsidRPr="00BE36D3" w:rsidRDefault="00E851BA">
      <w:pPr>
        <w:spacing w:after="0" w:line="240" w:lineRule="auto"/>
        <w:contextualSpacing/>
        <w:jc w:val="both"/>
        <w:rPr>
          <w:rFonts w:ascii="Arial" w:hAnsi="Arial" w:cs="Arial"/>
          <w:sz w:val="16"/>
          <w:szCs w:val="16"/>
        </w:rPr>
      </w:pPr>
      <w:r w:rsidRPr="00BE36D3">
        <w:rPr>
          <w:rFonts w:ascii="Arial" w:hAnsi="Arial" w:cs="Arial"/>
          <w:b/>
          <w:bCs/>
          <w:sz w:val="16"/>
          <w:szCs w:val="16"/>
        </w:rPr>
        <w:t xml:space="preserve">Revisión Jurídica: </w:t>
      </w:r>
      <w:r w:rsidRPr="00BE36D3">
        <w:rPr>
          <w:rFonts w:ascii="Arial" w:hAnsi="Arial" w:cs="Arial"/>
          <w:sz w:val="16"/>
          <w:szCs w:val="16"/>
        </w:rPr>
        <w:t>Carlos Barona</w:t>
      </w:r>
    </w:p>
    <w:p w:rsidR="00E851BA" w:rsidRPr="00BE36D3" w:rsidRDefault="00123E5C">
      <w:pPr>
        <w:spacing w:after="0" w:line="240" w:lineRule="auto"/>
        <w:contextualSpacing/>
        <w:jc w:val="both"/>
        <w:rPr>
          <w:rFonts w:ascii="Arial" w:hAnsi="Arial" w:cs="Arial"/>
          <w:sz w:val="16"/>
          <w:szCs w:val="16"/>
        </w:rPr>
      </w:pPr>
      <w:r w:rsidRPr="00BE36D3">
        <w:rPr>
          <w:rFonts w:ascii="Arial" w:hAnsi="Arial" w:cs="Arial"/>
          <w:b/>
          <w:bCs/>
          <w:sz w:val="16"/>
          <w:szCs w:val="16"/>
        </w:rPr>
        <w:t xml:space="preserve">Revisión Técnica: </w:t>
      </w:r>
      <w:r w:rsidRPr="00BE36D3">
        <w:rPr>
          <w:rFonts w:ascii="Arial" w:hAnsi="Arial" w:cs="Arial"/>
          <w:sz w:val="16"/>
          <w:szCs w:val="16"/>
        </w:rPr>
        <w:t>Carlos Mendoza</w:t>
      </w:r>
    </w:p>
    <w:p w:rsidR="003416AE" w:rsidRPr="00BE36D3" w:rsidRDefault="00E851BA">
      <w:pPr>
        <w:spacing w:line="240" w:lineRule="auto"/>
        <w:contextualSpacing/>
        <w:rPr>
          <w:rFonts w:ascii="Arial" w:hAnsi="Arial" w:cs="Arial"/>
          <w:b/>
          <w:bCs/>
          <w:sz w:val="24"/>
          <w:szCs w:val="24"/>
        </w:rPr>
      </w:pPr>
      <w:r w:rsidRPr="00BE36D3">
        <w:rPr>
          <w:rFonts w:ascii="Arial" w:hAnsi="Arial" w:cs="Arial"/>
          <w:b/>
          <w:bCs/>
          <w:sz w:val="16"/>
          <w:szCs w:val="16"/>
        </w:rPr>
        <w:t xml:space="preserve">Elaboró: </w:t>
      </w:r>
      <w:r w:rsidRPr="00BE36D3">
        <w:rPr>
          <w:rFonts w:ascii="Arial" w:hAnsi="Arial" w:cs="Arial"/>
          <w:sz w:val="16"/>
          <w:szCs w:val="16"/>
        </w:rPr>
        <w:t>Cristian Bastidas/Jessica Sarmiento</w:t>
      </w:r>
      <w:r w:rsidR="003416AE" w:rsidRPr="00BE36D3">
        <w:rPr>
          <w:rFonts w:ascii="Arial" w:hAnsi="Arial" w:cs="Arial"/>
          <w:b/>
          <w:bCs/>
          <w:sz w:val="24"/>
          <w:szCs w:val="24"/>
        </w:rPr>
        <w:br w:type="page"/>
      </w:r>
    </w:p>
    <w:p w:rsidR="003416AE" w:rsidRPr="00BE36D3" w:rsidRDefault="003416AE">
      <w:pPr>
        <w:spacing w:after="0" w:line="240" w:lineRule="auto"/>
        <w:contextualSpacing/>
        <w:jc w:val="both"/>
        <w:rPr>
          <w:rFonts w:ascii="Arial" w:hAnsi="Arial" w:cs="Arial"/>
          <w:b/>
          <w:bCs/>
        </w:rPr>
      </w:pPr>
      <w:r w:rsidRPr="00BE36D3">
        <w:rPr>
          <w:rFonts w:ascii="Arial" w:hAnsi="Arial" w:cs="Arial"/>
          <w:b/>
          <w:bCs/>
        </w:rPr>
        <w:lastRenderedPageBreak/>
        <w:t>Anexo 1: Análisis detallado del reporte FUT por vigencias:</w:t>
      </w:r>
    </w:p>
    <w:p w:rsidR="003416AE" w:rsidRPr="00BE36D3" w:rsidRDefault="003416AE">
      <w:pPr>
        <w:spacing w:after="0" w:line="240" w:lineRule="auto"/>
        <w:contextualSpacing/>
        <w:jc w:val="both"/>
        <w:rPr>
          <w:rFonts w:ascii="Arial" w:hAnsi="Arial" w:cs="Arial"/>
          <w:b/>
          <w:bCs/>
        </w:rPr>
      </w:pPr>
    </w:p>
    <w:p w:rsidR="003416AE" w:rsidRDefault="003416AE">
      <w:pPr>
        <w:pStyle w:val="Prrafodelista"/>
        <w:numPr>
          <w:ilvl w:val="0"/>
          <w:numId w:val="20"/>
        </w:numPr>
        <w:spacing w:line="240" w:lineRule="auto"/>
        <w:jc w:val="both"/>
        <w:rPr>
          <w:rFonts w:ascii="Arial" w:hAnsi="Arial" w:cs="Arial"/>
          <w:b/>
          <w:bCs/>
        </w:rPr>
      </w:pPr>
      <w:r w:rsidRPr="00BE36D3">
        <w:rPr>
          <w:rFonts w:ascii="Arial" w:hAnsi="Arial" w:cs="Arial"/>
          <w:b/>
          <w:bCs/>
        </w:rPr>
        <w:t>Ingresos</w:t>
      </w:r>
    </w:p>
    <w:p w:rsidR="00506FD1" w:rsidRPr="00BE36D3" w:rsidRDefault="00506FD1">
      <w:pPr>
        <w:pStyle w:val="Prrafodelista"/>
        <w:spacing w:line="240" w:lineRule="auto"/>
        <w:jc w:val="both"/>
        <w:rPr>
          <w:rFonts w:ascii="Arial" w:hAnsi="Arial" w:cs="Arial"/>
          <w:b/>
          <w:bCs/>
        </w:rPr>
      </w:pPr>
    </w:p>
    <w:p w:rsidR="003416AE" w:rsidRPr="00BE36D3" w:rsidRDefault="003416AE">
      <w:pPr>
        <w:pStyle w:val="Prrafodelista"/>
        <w:spacing w:after="0" w:line="240" w:lineRule="auto"/>
        <w:jc w:val="center"/>
        <w:rPr>
          <w:rFonts w:ascii="Arial" w:eastAsia="Arial Narrow" w:hAnsi="Arial" w:cs="Arial"/>
          <w:b/>
          <w:bCs/>
          <w:sz w:val="20"/>
          <w:szCs w:val="20"/>
        </w:rPr>
      </w:pPr>
      <w:r w:rsidRPr="00BE36D3">
        <w:rPr>
          <w:rFonts w:ascii="Arial" w:eastAsia="Arial Narrow" w:hAnsi="Arial" w:cs="Arial"/>
          <w:b/>
          <w:bCs/>
          <w:sz w:val="20"/>
          <w:szCs w:val="20"/>
        </w:rPr>
        <w:t xml:space="preserve">Cuadro No. </w:t>
      </w:r>
      <w:r w:rsidR="002A09FB" w:rsidRPr="00BE36D3">
        <w:rPr>
          <w:rFonts w:ascii="Arial" w:eastAsia="Arial Narrow" w:hAnsi="Arial" w:cs="Arial"/>
          <w:b/>
          <w:bCs/>
          <w:sz w:val="20"/>
          <w:szCs w:val="20"/>
        </w:rPr>
        <w:t>1</w:t>
      </w:r>
    </w:p>
    <w:p w:rsidR="003416AE" w:rsidRPr="00BE36D3" w:rsidRDefault="003416AE">
      <w:pPr>
        <w:pStyle w:val="Prrafodelista"/>
        <w:spacing w:after="0" w:line="240" w:lineRule="auto"/>
        <w:jc w:val="center"/>
        <w:rPr>
          <w:rFonts w:ascii="Arial" w:hAnsi="Arial" w:cs="Arial"/>
          <w:sz w:val="20"/>
          <w:szCs w:val="20"/>
        </w:rPr>
      </w:pPr>
      <w:r w:rsidRPr="00BE36D3">
        <w:rPr>
          <w:rFonts w:ascii="Arial" w:hAnsi="Arial" w:cs="Arial"/>
          <w:sz w:val="20"/>
          <w:szCs w:val="20"/>
        </w:rPr>
        <w:t>Reporte de Ingresos Participación de Propósito General vigencia 2017</w:t>
      </w:r>
    </w:p>
    <w:p w:rsidR="003416AE" w:rsidRPr="00BE36D3" w:rsidRDefault="003416AE">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3416AE" w:rsidRPr="00BE36D3" w:rsidRDefault="003416AE">
      <w:pPr>
        <w:pStyle w:val="Prrafodelista"/>
        <w:spacing w:after="0" w:line="240" w:lineRule="auto"/>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tbl>
      <w:tblPr>
        <w:tblW w:w="3250" w:type="pct"/>
        <w:jc w:val="center"/>
        <w:tblCellMar>
          <w:left w:w="70" w:type="dxa"/>
          <w:right w:w="70" w:type="dxa"/>
        </w:tblCellMar>
        <w:tblLook w:val="04A0" w:firstRow="1" w:lastRow="0" w:firstColumn="1" w:lastColumn="0" w:noHBand="0" w:noVBand="1"/>
      </w:tblPr>
      <w:tblGrid>
        <w:gridCol w:w="1999"/>
        <w:gridCol w:w="1164"/>
        <w:gridCol w:w="1164"/>
        <w:gridCol w:w="914"/>
        <w:gridCol w:w="1164"/>
        <w:gridCol w:w="1164"/>
        <w:gridCol w:w="914"/>
      </w:tblGrid>
      <w:tr w:rsidR="003416AE" w:rsidRPr="00506FD1" w:rsidTr="00D6687C">
        <w:trPr>
          <w:trHeight w:val="177"/>
          <w:jc w:val="center"/>
        </w:trPr>
        <w:tc>
          <w:tcPr>
            <w:tcW w:w="1160" w:type="pct"/>
            <w:tcBorders>
              <w:top w:val="single" w:sz="8" w:space="0" w:color="auto"/>
              <w:left w:val="single" w:sz="8" w:space="0" w:color="auto"/>
              <w:bottom w:val="single" w:sz="4" w:space="0" w:color="auto"/>
              <w:right w:val="single" w:sz="8" w:space="0" w:color="auto"/>
            </w:tcBorders>
            <w:shd w:val="clear" w:color="000000" w:fill="E5E5FF"/>
            <w:noWrap/>
            <w:vAlign w:val="bottom"/>
            <w:hideMark/>
          </w:tcPr>
          <w:p w:rsidR="003416AE" w:rsidRPr="00BE36D3" w:rsidRDefault="003416A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 </w:t>
            </w:r>
          </w:p>
        </w:tc>
        <w:tc>
          <w:tcPr>
            <w:tcW w:w="3840" w:type="pct"/>
            <w:gridSpan w:val="6"/>
            <w:tcBorders>
              <w:top w:val="single" w:sz="8" w:space="0" w:color="auto"/>
              <w:left w:val="nil"/>
              <w:bottom w:val="single" w:sz="4" w:space="0" w:color="auto"/>
              <w:right w:val="single" w:sz="8" w:space="0" w:color="000000"/>
            </w:tcBorders>
            <w:shd w:val="clear" w:color="000000" w:fill="E5E5FF"/>
            <w:noWrap/>
            <w:vAlign w:val="bottom"/>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2017</w:t>
            </w:r>
          </w:p>
        </w:tc>
      </w:tr>
      <w:tr w:rsidR="003416AE" w:rsidRPr="00506FD1" w:rsidTr="00D6687C">
        <w:trPr>
          <w:trHeight w:val="186"/>
          <w:jc w:val="center"/>
        </w:trPr>
        <w:tc>
          <w:tcPr>
            <w:tcW w:w="1160" w:type="pct"/>
            <w:vMerge w:val="restart"/>
            <w:tcBorders>
              <w:top w:val="nil"/>
              <w:left w:val="single" w:sz="8" w:space="0" w:color="auto"/>
              <w:bottom w:val="single" w:sz="4" w:space="0" w:color="000000"/>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Concepto</w:t>
            </w:r>
          </w:p>
        </w:tc>
        <w:tc>
          <w:tcPr>
            <w:tcW w:w="1962" w:type="pct"/>
            <w:gridSpan w:val="3"/>
            <w:tcBorders>
              <w:top w:val="single" w:sz="4" w:space="0" w:color="auto"/>
              <w:left w:val="nil"/>
              <w:bottom w:val="single" w:sz="4" w:space="0" w:color="auto"/>
              <w:right w:val="single" w:sz="4" w:space="0" w:color="000000"/>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Presupuesto Definitivo</w:t>
            </w:r>
          </w:p>
        </w:tc>
        <w:tc>
          <w:tcPr>
            <w:tcW w:w="1877" w:type="pct"/>
            <w:gridSpan w:val="3"/>
            <w:tcBorders>
              <w:top w:val="single" w:sz="4" w:space="0" w:color="auto"/>
              <w:left w:val="nil"/>
              <w:bottom w:val="single" w:sz="4" w:space="0" w:color="auto"/>
              <w:right w:val="single" w:sz="8" w:space="0" w:color="000000"/>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Recaudo</w:t>
            </w:r>
          </w:p>
        </w:tc>
      </w:tr>
      <w:tr w:rsidR="003416AE" w:rsidRPr="00506FD1" w:rsidTr="00D6687C">
        <w:trPr>
          <w:trHeight w:val="506"/>
          <w:jc w:val="center"/>
        </w:trPr>
        <w:tc>
          <w:tcPr>
            <w:tcW w:w="1160" w:type="pct"/>
            <w:vMerge/>
            <w:tcBorders>
              <w:top w:val="nil"/>
              <w:left w:val="single" w:sz="8" w:space="0" w:color="auto"/>
              <w:bottom w:val="single" w:sz="4" w:space="0" w:color="000000"/>
              <w:right w:val="single" w:sz="8" w:space="0" w:color="auto"/>
            </w:tcBorders>
            <w:vAlign w:val="center"/>
            <w:hideMark/>
          </w:tcPr>
          <w:p w:rsidR="003416AE" w:rsidRPr="00BE36D3" w:rsidRDefault="003416AE">
            <w:pPr>
              <w:spacing w:after="0" w:line="240" w:lineRule="auto"/>
              <w:contextualSpacing/>
              <w:rPr>
                <w:rFonts w:ascii="Arial" w:eastAsia="Times New Roman" w:hAnsi="Arial" w:cs="Arial"/>
                <w:b/>
                <w:bCs/>
                <w:color w:val="FFFFFF"/>
                <w:sz w:val="16"/>
                <w:szCs w:val="16"/>
                <w:lang w:eastAsia="es-CO"/>
              </w:rPr>
            </w:pPr>
          </w:p>
        </w:tc>
        <w:tc>
          <w:tcPr>
            <w:tcW w:w="692" w:type="pct"/>
            <w:tcBorders>
              <w:top w:val="nil"/>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Ejecución presupuestal</w:t>
            </w:r>
          </w:p>
        </w:tc>
        <w:tc>
          <w:tcPr>
            <w:tcW w:w="707" w:type="pct"/>
            <w:tcBorders>
              <w:top w:val="nil"/>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Reporte FUT</w:t>
            </w:r>
          </w:p>
        </w:tc>
        <w:tc>
          <w:tcPr>
            <w:tcW w:w="563" w:type="pct"/>
            <w:tcBorders>
              <w:top w:val="nil"/>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Diferencia</w:t>
            </w:r>
          </w:p>
        </w:tc>
        <w:tc>
          <w:tcPr>
            <w:tcW w:w="673" w:type="pct"/>
            <w:tcBorders>
              <w:top w:val="nil"/>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Ejecución presupuestal</w:t>
            </w:r>
          </w:p>
        </w:tc>
        <w:tc>
          <w:tcPr>
            <w:tcW w:w="673" w:type="pct"/>
            <w:tcBorders>
              <w:top w:val="nil"/>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Reporte FUT </w:t>
            </w:r>
          </w:p>
        </w:tc>
        <w:tc>
          <w:tcPr>
            <w:tcW w:w="529" w:type="pct"/>
            <w:tcBorders>
              <w:top w:val="nil"/>
              <w:left w:val="nil"/>
              <w:bottom w:val="single" w:sz="4"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Diferencia </w:t>
            </w:r>
          </w:p>
        </w:tc>
      </w:tr>
      <w:tr w:rsidR="003416AE" w:rsidRPr="00506FD1" w:rsidTr="00D6687C">
        <w:trPr>
          <w:trHeight w:val="186"/>
          <w:jc w:val="center"/>
        </w:trPr>
        <w:tc>
          <w:tcPr>
            <w:tcW w:w="1160" w:type="pct"/>
            <w:tcBorders>
              <w:top w:val="nil"/>
              <w:left w:val="single" w:sz="8" w:space="0" w:color="auto"/>
              <w:bottom w:val="single" w:sz="4"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Total</w:t>
            </w:r>
          </w:p>
        </w:tc>
        <w:tc>
          <w:tcPr>
            <w:tcW w:w="692" w:type="pct"/>
            <w:tcBorders>
              <w:top w:val="nil"/>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2.868.287.720</w:t>
            </w:r>
          </w:p>
        </w:tc>
        <w:tc>
          <w:tcPr>
            <w:tcW w:w="707" w:type="pct"/>
            <w:tcBorders>
              <w:top w:val="nil"/>
              <w:left w:val="single" w:sz="8" w:space="0" w:color="auto"/>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2.868.287.720</w:t>
            </w:r>
          </w:p>
        </w:tc>
        <w:tc>
          <w:tcPr>
            <w:tcW w:w="563" w:type="pct"/>
            <w:tcBorders>
              <w:top w:val="nil"/>
              <w:left w:val="single" w:sz="8" w:space="0" w:color="auto"/>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673" w:type="pct"/>
            <w:tcBorders>
              <w:top w:val="nil"/>
              <w:left w:val="single" w:sz="8" w:space="0" w:color="auto"/>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2.868.287.720</w:t>
            </w:r>
          </w:p>
        </w:tc>
        <w:tc>
          <w:tcPr>
            <w:tcW w:w="673" w:type="pct"/>
            <w:tcBorders>
              <w:top w:val="nil"/>
              <w:left w:val="single" w:sz="8" w:space="0" w:color="auto"/>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2.868.287.720</w:t>
            </w:r>
          </w:p>
        </w:tc>
        <w:tc>
          <w:tcPr>
            <w:tcW w:w="529" w:type="pct"/>
            <w:tcBorders>
              <w:top w:val="nil"/>
              <w:left w:val="single" w:sz="8" w:space="0" w:color="auto"/>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r>
      <w:tr w:rsidR="003416AE" w:rsidRPr="00506FD1" w:rsidTr="00D6687C">
        <w:trPr>
          <w:trHeight w:val="489"/>
          <w:jc w:val="center"/>
        </w:trPr>
        <w:tc>
          <w:tcPr>
            <w:tcW w:w="1160" w:type="pct"/>
            <w:tcBorders>
              <w:top w:val="nil"/>
              <w:left w:val="single" w:sz="8" w:space="0" w:color="auto"/>
              <w:bottom w:val="single" w:sz="4" w:space="0" w:color="auto"/>
              <w:right w:val="single" w:sz="8" w:space="0" w:color="auto"/>
            </w:tcBorders>
            <w:shd w:val="clear" w:color="000000" w:fill="CCCC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1. Ingresos Corrientes</w:t>
            </w:r>
          </w:p>
        </w:tc>
        <w:tc>
          <w:tcPr>
            <w:tcW w:w="692" w:type="pct"/>
            <w:tcBorders>
              <w:top w:val="nil"/>
              <w:left w:val="nil"/>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2.628.092.630</w:t>
            </w:r>
          </w:p>
        </w:tc>
        <w:tc>
          <w:tcPr>
            <w:tcW w:w="707" w:type="pct"/>
            <w:tcBorders>
              <w:top w:val="nil"/>
              <w:left w:val="nil"/>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2.628.092.630</w:t>
            </w:r>
          </w:p>
        </w:tc>
        <w:tc>
          <w:tcPr>
            <w:tcW w:w="563" w:type="pct"/>
            <w:tcBorders>
              <w:top w:val="nil"/>
              <w:left w:val="nil"/>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c>
          <w:tcPr>
            <w:tcW w:w="673" w:type="pct"/>
            <w:tcBorders>
              <w:top w:val="nil"/>
              <w:left w:val="nil"/>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2.628.092.630</w:t>
            </w:r>
          </w:p>
        </w:tc>
        <w:tc>
          <w:tcPr>
            <w:tcW w:w="673" w:type="pct"/>
            <w:tcBorders>
              <w:top w:val="nil"/>
              <w:left w:val="nil"/>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2.628.092.630</w:t>
            </w:r>
          </w:p>
        </w:tc>
        <w:tc>
          <w:tcPr>
            <w:tcW w:w="529" w:type="pct"/>
            <w:tcBorders>
              <w:top w:val="nil"/>
              <w:left w:val="nil"/>
              <w:bottom w:val="single" w:sz="4" w:space="0" w:color="auto"/>
              <w:right w:val="single" w:sz="8"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r>
      <w:tr w:rsidR="003416AE" w:rsidRPr="00506FD1" w:rsidTr="00D6687C">
        <w:trPr>
          <w:trHeight w:val="328"/>
          <w:jc w:val="center"/>
        </w:trPr>
        <w:tc>
          <w:tcPr>
            <w:tcW w:w="1160" w:type="pct"/>
            <w:tcBorders>
              <w:top w:val="nil"/>
              <w:left w:val="single" w:sz="8" w:space="0" w:color="auto"/>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 xml:space="preserve">1.1. Libre Destinación </w:t>
            </w:r>
          </w:p>
        </w:tc>
        <w:tc>
          <w:tcPr>
            <w:tcW w:w="692"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1.103.798.904</w:t>
            </w:r>
          </w:p>
        </w:tc>
        <w:tc>
          <w:tcPr>
            <w:tcW w:w="707"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1.103.798.904</w:t>
            </w:r>
          </w:p>
        </w:tc>
        <w:tc>
          <w:tcPr>
            <w:tcW w:w="56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7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1.103.798.904</w:t>
            </w:r>
          </w:p>
        </w:tc>
        <w:tc>
          <w:tcPr>
            <w:tcW w:w="67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1.103.798.904</w:t>
            </w:r>
          </w:p>
        </w:tc>
        <w:tc>
          <w:tcPr>
            <w:tcW w:w="529" w:type="pct"/>
            <w:tcBorders>
              <w:top w:val="nil"/>
              <w:left w:val="nil"/>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3416AE" w:rsidRPr="00506FD1" w:rsidTr="00D6687C">
        <w:trPr>
          <w:trHeight w:val="186"/>
          <w:jc w:val="center"/>
        </w:trPr>
        <w:tc>
          <w:tcPr>
            <w:tcW w:w="1160" w:type="pct"/>
            <w:tcBorders>
              <w:top w:val="nil"/>
              <w:left w:val="single" w:sz="8" w:space="0" w:color="auto"/>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1.2. Libre Inversión</w:t>
            </w:r>
          </w:p>
        </w:tc>
        <w:tc>
          <w:tcPr>
            <w:tcW w:w="692"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1.310.892.604</w:t>
            </w:r>
          </w:p>
        </w:tc>
        <w:tc>
          <w:tcPr>
            <w:tcW w:w="707"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1.310.892.604</w:t>
            </w:r>
          </w:p>
        </w:tc>
        <w:tc>
          <w:tcPr>
            <w:tcW w:w="56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7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1.310.892.604</w:t>
            </w:r>
          </w:p>
        </w:tc>
        <w:tc>
          <w:tcPr>
            <w:tcW w:w="67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1.310.892.604</w:t>
            </w:r>
          </w:p>
        </w:tc>
        <w:tc>
          <w:tcPr>
            <w:tcW w:w="529" w:type="pct"/>
            <w:tcBorders>
              <w:top w:val="nil"/>
              <w:left w:val="nil"/>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3416AE" w:rsidRPr="00506FD1" w:rsidTr="00D6687C">
        <w:trPr>
          <w:trHeight w:val="328"/>
          <w:jc w:val="center"/>
        </w:trPr>
        <w:tc>
          <w:tcPr>
            <w:tcW w:w="1160" w:type="pct"/>
            <w:tcBorders>
              <w:top w:val="nil"/>
              <w:left w:val="single" w:sz="8" w:space="0" w:color="auto"/>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1.3. Deporte y Recreación</w:t>
            </w:r>
          </w:p>
        </w:tc>
        <w:tc>
          <w:tcPr>
            <w:tcW w:w="692"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121.943.498</w:t>
            </w:r>
          </w:p>
        </w:tc>
        <w:tc>
          <w:tcPr>
            <w:tcW w:w="707"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121.943.498</w:t>
            </w:r>
          </w:p>
        </w:tc>
        <w:tc>
          <w:tcPr>
            <w:tcW w:w="56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7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121.943.498</w:t>
            </w:r>
          </w:p>
        </w:tc>
        <w:tc>
          <w:tcPr>
            <w:tcW w:w="67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121.943.498</w:t>
            </w:r>
          </w:p>
        </w:tc>
        <w:tc>
          <w:tcPr>
            <w:tcW w:w="529" w:type="pct"/>
            <w:tcBorders>
              <w:top w:val="nil"/>
              <w:left w:val="nil"/>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3416AE" w:rsidRPr="00506FD1" w:rsidTr="00D6687C">
        <w:trPr>
          <w:trHeight w:val="328"/>
          <w:jc w:val="center"/>
        </w:trPr>
        <w:tc>
          <w:tcPr>
            <w:tcW w:w="1160" w:type="pct"/>
            <w:tcBorders>
              <w:top w:val="nil"/>
              <w:left w:val="single" w:sz="8" w:space="0" w:color="auto"/>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1.4. Cultura</w:t>
            </w:r>
          </w:p>
        </w:tc>
        <w:tc>
          <w:tcPr>
            <w:tcW w:w="692"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91.457.624</w:t>
            </w:r>
          </w:p>
        </w:tc>
        <w:tc>
          <w:tcPr>
            <w:tcW w:w="707"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91.457.624</w:t>
            </w:r>
          </w:p>
        </w:tc>
        <w:tc>
          <w:tcPr>
            <w:tcW w:w="56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7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91.457.624</w:t>
            </w:r>
          </w:p>
        </w:tc>
        <w:tc>
          <w:tcPr>
            <w:tcW w:w="67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91.457.624</w:t>
            </w:r>
          </w:p>
        </w:tc>
        <w:tc>
          <w:tcPr>
            <w:tcW w:w="529" w:type="pct"/>
            <w:tcBorders>
              <w:top w:val="nil"/>
              <w:left w:val="nil"/>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3416AE" w:rsidRPr="00506FD1" w:rsidTr="00D6687C">
        <w:trPr>
          <w:trHeight w:val="186"/>
          <w:jc w:val="center"/>
        </w:trPr>
        <w:tc>
          <w:tcPr>
            <w:tcW w:w="1160" w:type="pct"/>
            <w:tcBorders>
              <w:top w:val="nil"/>
              <w:left w:val="single" w:sz="8" w:space="0" w:color="auto"/>
              <w:bottom w:val="single" w:sz="4" w:space="0" w:color="auto"/>
              <w:right w:val="single" w:sz="8" w:space="0" w:color="auto"/>
            </w:tcBorders>
            <w:shd w:val="clear" w:color="000000" w:fill="CCCC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 xml:space="preserve">2. Recursos de Capital </w:t>
            </w:r>
          </w:p>
        </w:tc>
        <w:tc>
          <w:tcPr>
            <w:tcW w:w="692" w:type="pct"/>
            <w:tcBorders>
              <w:top w:val="nil"/>
              <w:left w:val="nil"/>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240.195.090</w:t>
            </w:r>
          </w:p>
        </w:tc>
        <w:tc>
          <w:tcPr>
            <w:tcW w:w="707" w:type="pct"/>
            <w:tcBorders>
              <w:top w:val="nil"/>
              <w:left w:val="single" w:sz="8" w:space="0" w:color="auto"/>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240.195.090</w:t>
            </w:r>
          </w:p>
        </w:tc>
        <w:tc>
          <w:tcPr>
            <w:tcW w:w="563" w:type="pct"/>
            <w:tcBorders>
              <w:top w:val="nil"/>
              <w:left w:val="single" w:sz="8" w:space="0" w:color="auto"/>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c>
          <w:tcPr>
            <w:tcW w:w="673" w:type="pct"/>
            <w:tcBorders>
              <w:top w:val="nil"/>
              <w:left w:val="single" w:sz="8" w:space="0" w:color="auto"/>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240.195.090</w:t>
            </w:r>
          </w:p>
        </w:tc>
        <w:tc>
          <w:tcPr>
            <w:tcW w:w="673" w:type="pct"/>
            <w:tcBorders>
              <w:top w:val="nil"/>
              <w:left w:val="single" w:sz="8" w:space="0" w:color="auto"/>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240.195.090</w:t>
            </w:r>
          </w:p>
        </w:tc>
        <w:tc>
          <w:tcPr>
            <w:tcW w:w="529" w:type="pct"/>
            <w:tcBorders>
              <w:top w:val="nil"/>
              <w:left w:val="single" w:sz="8" w:space="0" w:color="auto"/>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r>
      <w:tr w:rsidR="003416AE" w:rsidRPr="00506FD1" w:rsidTr="00D6687C">
        <w:trPr>
          <w:trHeight w:val="328"/>
          <w:jc w:val="center"/>
        </w:trPr>
        <w:tc>
          <w:tcPr>
            <w:tcW w:w="1160" w:type="pct"/>
            <w:tcBorders>
              <w:top w:val="nil"/>
              <w:left w:val="single" w:sz="8" w:space="0" w:color="auto"/>
              <w:bottom w:val="single" w:sz="4" w:space="0" w:color="auto"/>
              <w:right w:val="single" w:sz="8" w:space="0" w:color="auto"/>
            </w:tcBorders>
            <w:shd w:val="clear" w:color="000000" w:fill="E5E5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2.1 Superávit fiscal</w:t>
            </w:r>
          </w:p>
        </w:tc>
        <w:tc>
          <w:tcPr>
            <w:tcW w:w="692" w:type="pct"/>
            <w:tcBorders>
              <w:top w:val="nil"/>
              <w:left w:val="nil"/>
              <w:bottom w:val="single" w:sz="4" w:space="0" w:color="auto"/>
              <w:right w:val="single" w:sz="4" w:space="0" w:color="auto"/>
            </w:tcBorders>
            <w:shd w:val="clear" w:color="000000" w:fill="E5E5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240.195.090</w:t>
            </w:r>
          </w:p>
        </w:tc>
        <w:tc>
          <w:tcPr>
            <w:tcW w:w="707" w:type="pct"/>
            <w:tcBorders>
              <w:top w:val="nil"/>
              <w:left w:val="nil"/>
              <w:bottom w:val="single" w:sz="4" w:space="0" w:color="auto"/>
              <w:right w:val="single" w:sz="4" w:space="0" w:color="auto"/>
            </w:tcBorders>
            <w:shd w:val="clear" w:color="000000" w:fill="E5E5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240.195.090</w:t>
            </w:r>
          </w:p>
        </w:tc>
        <w:tc>
          <w:tcPr>
            <w:tcW w:w="563" w:type="pct"/>
            <w:tcBorders>
              <w:top w:val="nil"/>
              <w:left w:val="nil"/>
              <w:bottom w:val="single" w:sz="4" w:space="0" w:color="auto"/>
              <w:right w:val="single" w:sz="4" w:space="0" w:color="auto"/>
            </w:tcBorders>
            <w:shd w:val="clear" w:color="000000" w:fill="E5E5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c>
          <w:tcPr>
            <w:tcW w:w="673" w:type="pct"/>
            <w:tcBorders>
              <w:top w:val="nil"/>
              <w:left w:val="nil"/>
              <w:bottom w:val="single" w:sz="4" w:space="0" w:color="auto"/>
              <w:right w:val="single" w:sz="4" w:space="0" w:color="auto"/>
            </w:tcBorders>
            <w:shd w:val="clear" w:color="000000" w:fill="E5E5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240.195.090</w:t>
            </w:r>
          </w:p>
        </w:tc>
        <w:tc>
          <w:tcPr>
            <w:tcW w:w="673" w:type="pct"/>
            <w:tcBorders>
              <w:top w:val="nil"/>
              <w:left w:val="nil"/>
              <w:bottom w:val="single" w:sz="4" w:space="0" w:color="auto"/>
              <w:right w:val="single" w:sz="4" w:space="0" w:color="auto"/>
            </w:tcBorders>
            <w:shd w:val="clear" w:color="000000" w:fill="E5E5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240.195.090</w:t>
            </w:r>
          </w:p>
        </w:tc>
        <w:tc>
          <w:tcPr>
            <w:tcW w:w="529" w:type="pct"/>
            <w:tcBorders>
              <w:top w:val="nil"/>
              <w:left w:val="nil"/>
              <w:bottom w:val="single" w:sz="4" w:space="0" w:color="auto"/>
              <w:right w:val="single" w:sz="8" w:space="0" w:color="auto"/>
            </w:tcBorders>
            <w:shd w:val="clear" w:color="000000" w:fill="E5E5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r>
      <w:tr w:rsidR="003416AE" w:rsidRPr="00506FD1" w:rsidTr="00D6687C">
        <w:trPr>
          <w:trHeight w:val="328"/>
          <w:jc w:val="center"/>
        </w:trPr>
        <w:tc>
          <w:tcPr>
            <w:tcW w:w="1160" w:type="pct"/>
            <w:tcBorders>
              <w:top w:val="nil"/>
              <w:left w:val="single" w:sz="8" w:space="0" w:color="auto"/>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 xml:space="preserve">2.1.1. Libre Destinación </w:t>
            </w:r>
          </w:p>
        </w:tc>
        <w:tc>
          <w:tcPr>
            <w:tcW w:w="692"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65.135.090</w:t>
            </w:r>
          </w:p>
        </w:tc>
        <w:tc>
          <w:tcPr>
            <w:tcW w:w="707"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65.135.090</w:t>
            </w:r>
          </w:p>
        </w:tc>
        <w:tc>
          <w:tcPr>
            <w:tcW w:w="563"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73"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65.135.090</w:t>
            </w:r>
          </w:p>
        </w:tc>
        <w:tc>
          <w:tcPr>
            <w:tcW w:w="67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65.135.090</w:t>
            </w:r>
          </w:p>
        </w:tc>
        <w:tc>
          <w:tcPr>
            <w:tcW w:w="529" w:type="pct"/>
            <w:tcBorders>
              <w:top w:val="nil"/>
              <w:left w:val="nil"/>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3416AE" w:rsidRPr="00506FD1" w:rsidTr="00D6687C">
        <w:trPr>
          <w:trHeight w:val="186"/>
          <w:jc w:val="center"/>
        </w:trPr>
        <w:tc>
          <w:tcPr>
            <w:tcW w:w="1160" w:type="pct"/>
            <w:tcBorders>
              <w:top w:val="nil"/>
              <w:left w:val="single" w:sz="8" w:space="0" w:color="auto"/>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2.1.2. Libre Inversión</w:t>
            </w:r>
          </w:p>
        </w:tc>
        <w:tc>
          <w:tcPr>
            <w:tcW w:w="692"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138.425.904</w:t>
            </w:r>
          </w:p>
        </w:tc>
        <w:tc>
          <w:tcPr>
            <w:tcW w:w="707"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138.425.904</w:t>
            </w:r>
          </w:p>
        </w:tc>
        <w:tc>
          <w:tcPr>
            <w:tcW w:w="563"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73"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138.425.904</w:t>
            </w:r>
          </w:p>
        </w:tc>
        <w:tc>
          <w:tcPr>
            <w:tcW w:w="67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138.425.904</w:t>
            </w:r>
          </w:p>
        </w:tc>
        <w:tc>
          <w:tcPr>
            <w:tcW w:w="529" w:type="pct"/>
            <w:tcBorders>
              <w:top w:val="nil"/>
              <w:left w:val="nil"/>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3416AE" w:rsidRPr="00506FD1" w:rsidTr="00D6687C">
        <w:trPr>
          <w:trHeight w:val="328"/>
          <w:jc w:val="center"/>
        </w:trPr>
        <w:tc>
          <w:tcPr>
            <w:tcW w:w="1160" w:type="pct"/>
            <w:tcBorders>
              <w:top w:val="nil"/>
              <w:left w:val="single" w:sz="8" w:space="0" w:color="auto"/>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2.1.3. Deporte y Recreación</w:t>
            </w:r>
          </w:p>
        </w:tc>
        <w:tc>
          <w:tcPr>
            <w:tcW w:w="692"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5.566.887</w:t>
            </w:r>
          </w:p>
        </w:tc>
        <w:tc>
          <w:tcPr>
            <w:tcW w:w="707"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5.566.887</w:t>
            </w:r>
          </w:p>
        </w:tc>
        <w:tc>
          <w:tcPr>
            <w:tcW w:w="563"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73"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5.566.887</w:t>
            </w:r>
          </w:p>
        </w:tc>
        <w:tc>
          <w:tcPr>
            <w:tcW w:w="67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5.566.887</w:t>
            </w:r>
          </w:p>
        </w:tc>
        <w:tc>
          <w:tcPr>
            <w:tcW w:w="529" w:type="pct"/>
            <w:tcBorders>
              <w:top w:val="nil"/>
              <w:left w:val="nil"/>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3416AE" w:rsidRPr="00506FD1" w:rsidTr="00D6687C">
        <w:trPr>
          <w:trHeight w:val="186"/>
          <w:jc w:val="center"/>
        </w:trPr>
        <w:tc>
          <w:tcPr>
            <w:tcW w:w="1160" w:type="pct"/>
            <w:tcBorders>
              <w:top w:val="nil"/>
              <w:left w:val="single" w:sz="8" w:space="0" w:color="auto"/>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2.1.4. Cultura</w:t>
            </w:r>
          </w:p>
        </w:tc>
        <w:tc>
          <w:tcPr>
            <w:tcW w:w="692"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31.067.209</w:t>
            </w:r>
          </w:p>
        </w:tc>
        <w:tc>
          <w:tcPr>
            <w:tcW w:w="707"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31.067.209</w:t>
            </w:r>
          </w:p>
        </w:tc>
        <w:tc>
          <w:tcPr>
            <w:tcW w:w="563"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73"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31.067.209</w:t>
            </w:r>
          </w:p>
        </w:tc>
        <w:tc>
          <w:tcPr>
            <w:tcW w:w="673"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31.067.209</w:t>
            </w:r>
          </w:p>
        </w:tc>
        <w:tc>
          <w:tcPr>
            <w:tcW w:w="529" w:type="pct"/>
            <w:tcBorders>
              <w:top w:val="nil"/>
              <w:left w:val="nil"/>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bl>
    <w:p w:rsidR="003416AE" w:rsidRPr="00BE36D3" w:rsidRDefault="003416AE">
      <w:pPr>
        <w:spacing w:line="240" w:lineRule="auto"/>
        <w:contextualSpacing/>
        <w:jc w:val="center"/>
        <w:rPr>
          <w:rFonts w:ascii="Arial" w:eastAsia="Times New Roman" w:hAnsi="Arial" w:cs="Arial"/>
          <w:sz w:val="20"/>
          <w:szCs w:val="20"/>
          <w:lang w:eastAsia="es-CO"/>
        </w:rPr>
      </w:pPr>
      <w:r w:rsidRPr="00BE36D3">
        <w:rPr>
          <w:rFonts w:ascii="Arial" w:eastAsia="Times New Roman" w:hAnsi="Arial" w:cs="Arial"/>
          <w:b/>
          <w:sz w:val="20"/>
          <w:szCs w:val="20"/>
          <w:lang w:eastAsia="es-CO"/>
        </w:rPr>
        <w:t xml:space="preserve">Fuente: </w:t>
      </w:r>
      <w:r w:rsidRPr="00BE36D3">
        <w:rPr>
          <w:rFonts w:ascii="Arial" w:eastAsia="Times New Roman" w:hAnsi="Arial" w:cs="Arial"/>
          <w:sz w:val="20"/>
          <w:szCs w:val="20"/>
          <w:lang w:eastAsia="es-CO"/>
        </w:rPr>
        <w:t xml:space="preserve">Cálculos DAF con información de la ejecución presupuestal e información FUT </w:t>
      </w:r>
      <w:r w:rsidR="00891C21">
        <w:rPr>
          <w:rFonts w:ascii="Arial" w:eastAsia="Times New Roman" w:hAnsi="Arial" w:cs="Arial"/>
          <w:sz w:val="20"/>
          <w:szCs w:val="20"/>
          <w:lang w:eastAsia="es-CO"/>
        </w:rPr>
        <w:t>C</w:t>
      </w:r>
      <w:r w:rsidRPr="00BE36D3">
        <w:rPr>
          <w:rFonts w:ascii="Arial" w:eastAsia="Times New Roman" w:hAnsi="Arial" w:cs="Arial"/>
          <w:sz w:val="20"/>
          <w:szCs w:val="20"/>
          <w:lang w:eastAsia="es-CO"/>
        </w:rPr>
        <w:t xml:space="preserve">ategoría </w:t>
      </w:r>
      <w:r w:rsidR="00891C21">
        <w:rPr>
          <w:rFonts w:ascii="Arial" w:eastAsia="Times New Roman" w:hAnsi="Arial" w:cs="Arial"/>
          <w:sz w:val="20"/>
          <w:szCs w:val="20"/>
          <w:lang w:eastAsia="es-CO"/>
        </w:rPr>
        <w:t>I</w:t>
      </w:r>
      <w:r w:rsidRPr="00BE36D3">
        <w:rPr>
          <w:rFonts w:ascii="Arial" w:eastAsia="Times New Roman" w:hAnsi="Arial" w:cs="Arial"/>
          <w:sz w:val="20"/>
          <w:szCs w:val="20"/>
          <w:lang w:eastAsia="es-CO"/>
        </w:rPr>
        <w:t>ngresos 2017.</w:t>
      </w:r>
    </w:p>
    <w:p w:rsidR="00506FD1" w:rsidRPr="00BE36D3" w:rsidRDefault="00506FD1">
      <w:pPr>
        <w:spacing w:line="240" w:lineRule="auto"/>
        <w:contextualSpacing/>
        <w:jc w:val="both"/>
        <w:rPr>
          <w:rFonts w:ascii="Arial" w:eastAsia="Times New Roman" w:hAnsi="Arial" w:cs="Arial"/>
          <w:lang w:eastAsia="es-CO"/>
        </w:rPr>
      </w:pPr>
    </w:p>
    <w:p w:rsidR="003416AE" w:rsidRPr="00BE36D3" w:rsidRDefault="003416AE">
      <w:pPr>
        <w:spacing w:line="240" w:lineRule="auto"/>
        <w:contextualSpacing/>
        <w:jc w:val="both"/>
        <w:rPr>
          <w:rFonts w:ascii="Arial" w:eastAsia="Times New Roman" w:hAnsi="Arial" w:cs="Arial"/>
          <w:lang w:eastAsia="es-CO"/>
        </w:rPr>
      </w:pPr>
      <w:r w:rsidRPr="00BE36D3">
        <w:rPr>
          <w:rFonts w:ascii="Arial" w:eastAsia="Times New Roman" w:hAnsi="Arial" w:cs="Arial"/>
          <w:lang w:eastAsia="es-CO"/>
        </w:rPr>
        <w:t xml:space="preserve">En la vigencia 2017 el Municipio de Santiago de </w:t>
      </w:r>
      <w:r w:rsidR="000966E6">
        <w:rPr>
          <w:rFonts w:ascii="Arial" w:eastAsia="Times New Roman" w:hAnsi="Arial" w:cs="Arial"/>
          <w:lang w:eastAsia="es-CO"/>
        </w:rPr>
        <w:t>Tolú - Sucre</w:t>
      </w:r>
      <w:r w:rsidRPr="00BE36D3">
        <w:rPr>
          <w:rFonts w:ascii="Arial" w:eastAsia="Times New Roman" w:hAnsi="Arial" w:cs="Arial"/>
          <w:lang w:eastAsia="es-CO"/>
        </w:rPr>
        <w:t xml:space="preserve"> no evidenció ninguna diferencia en el reporte FUT de los ingresos, tanto en el componente de presupuesto definitivo como en el recaudo. No obstante, </w:t>
      </w:r>
      <w:r w:rsidR="00C743E3" w:rsidRPr="00BE36D3">
        <w:rPr>
          <w:rFonts w:ascii="Arial" w:eastAsia="Times New Roman" w:hAnsi="Arial" w:cs="Arial"/>
          <w:lang w:eastAsia="es-CO"/>
        </w:rPr>
        <w:t>se evidencia</w:t>
      </w:r>
      <w:r w:rsidRPr="00BE36D3">
        <w:rPr>
          <w:rFonts w:ascii="Arial" w:eastAsia="Times New Roman" w:hAnsi="Arial" w:cs="Arial"/>
          <w:lang w:eastAsia="es-CO"/>
        </w:rPr>
        <w:t xml:space="preserve"> la ausencia de los rendimientos financieros que se reconocen </w:t>
      </w:r>
      <w:r w:rsidR="00C743E3" w:rsidRPr="00BE36D3">
        <w:rPr>
          <w:rFonts w:ascii="Arial" w:eastAsia="Times New Roman" w:hAnsi="Arial" w:cs="Arial"/>
          <w:lang w:eastAsia="es-CO"/>
        </w:rPr>
        <w:t>en</w:t>
      </w:r>
      <w:r w:rsidRPr="00BE36D3">
        <w:rPr>
          <w:rFonts w:ascii="Arial" w:eastAsia="Times New Roman" w:hAnsi="Arial" w:cs="Arial"/>
          <w:lang w:eastAsia="es-CO"/>
        </w:rPr>
        <w:t xml:space="preserve"> la </w:t>
      </w:r>
      <w:r w:rsidR="00891C21">
        <w:rPr>
          <w:rFonts w:ascii="Arial" w:eastAsia="Times New Roman" w:hAnsi="Arial" w:cs="Arial"/>
          <w:lang w:eastAsia="es-CO"/>
        </w:rPr>
        <w:t>C</w:t>
      </w:r>
      <w:r w:rsidRPr="00BE36D3">
        <w:rPr>
          <w:rFonts w:ascii="Arial" w:eastAsia="Times New Roman" w:hAnsi="Arial" w:cs="Arial"/>
          <w:lang w:eastAsia="es-CO"/>
        </w:rPr>
        <w:t xml:space="preserve">uenta </w:t>
      </w:r>
      <w:r w:rsidR="00891C21">
        <w:rPr>
          <w:rFonts w:ascii="Arial" w:eastAsia="Times New Roman" w:hAnsi="Arial" w:cs="Arial"/>
          <w:lang w:eastAsia="es-CO"/>
        </w:rPr>
        <w:t>M</w:t>
      </w:r>
      <w:r w:rsidRPr="00BE36D3">
        <w:rPr>
          <w:rFonts w:ascii="Arial" w:eastAsia="Times New Roman" w:hAnsi="Arial" w:cs="Arial"/>
          <w:lang w:eastAsia="es-CO"/>
        </w:rPr>
        <w:t xml:space="preserve">aestra y que se evidencian en los extractos bancarios remitidos por la </w:t>
      </w:r>
      <w:r w:rsidR="00891C21">
        <w:rPr>
          <w:rFonts w:ascii="Arial" w:eastAsia="Times New Roman" w:hAnsi="Arial" w:cs="Arial"/>
          <w:lang w:eastAsia="es-CO"/>
        </w:rPr>
        <w:t>E</w:t>
      </w:r>
      <w:r w:rsidRPr="00BE36D3">
        <w:rPr>
          <w:rFonts w:ascii="Arial" w:eastAsia="Times New Roman" w:hAnsi="Arial" w:cs="Arial"/>
          <w:lang w:eastAsia="es-CO"/>
        </w:rPr>
        <w:t xml:space="preserve">ntidad </w:t>
      </w:r>
      <w:r w:rsidR="00891C21">
        <w:rPr>
          <w:rFonts w:ascii="Arial" w:eastAsia="Times New Roman" w:hAnsi="Arial" w:cs="Arial"/>
          <w:lang w:eastAsia="es-CO"/>
        </w:rPr>
        <w:t>T</w:t>
      </w:r>
      <w:r w:rsidRPr="00BE36D3">
        <w:rPr>
          <w:rFonts w:ascii="Arial" w:eastAsia="Times New Roman" w:hAnsi="Arial" w:cs="Arial"/>
          <w:lang w:eastAsia="es-CO"/>
        </w:rPr>
        <w:t>erritorial.</w:t>
      </w:r>
    </w:p>
    <w:p w:rsidR="00506FD1" w:rsidRPr="00BE36D3" w:rsidRDefault="00506FD1">
      <w:pPr>
        <w:spacing w:line="240" w:lineRule="auto"/>
        <w:contextualSpacing/>
        <w:jc w:val="both"/>
        <w:rPr>
          <w:rFonts w:ascii="Arial" w:eastAsia="Times New Roman" w:hAnsi="Arial" w:cs="Arial"/>
          <w:lang w:eastAsia="es-CO"/>
        </w:rPr>
      </w:pPr>
    </w:p>
    <w:p w:rsidR="003416AE" w:rsidRPr="00BE36D3" w:rsidRDefault="003416AE">
      <w:pPr>
        <w:pStyle w:val="Prrafodelista"/>
        <w:spacing w:after="0" w:line="240" w:lineRule="auto"/>
        <w:jc w:val="center"/>
        <w:rPr>
          <w:rFonts w:ascii="Arial" w:eastAsia="Arial Narrow" w:hAnsi="Arial" w:cs="Arial"/>
          <w:b/>
          <w:bCs/>
          <w:sz w:val="20"/>
          <w:szCs w:val="20"/>
        </w:rPr>
      </w:pPr>
      <w:r w:rsidRPr="00BE36D3">
        <w:rPr>
          <w:rFonts w:ascii="Arial" w:eastAsia="Arial Narrow" w:hAnsi="Arial" w:cs="Arial"/>
          <w:b/>
          <w:bCs/>
          <w:sz w:val="20"/>
          <w:szCs w:val="20"/>
        </w:rPr>
        <w:t xml:space="preserve">Cuadro No. </w:t>
      </w:r>
      <w:r w:rsidR="002A09FB" w:rsidRPr="00BE36D3">
        <w:rPr>
          <w:rFonts w:ascii="Arial" w:eastAsia="Arial Narrow" w:hAnsi="Arial" w:cs="Arial"/>
          <w:b/>
          <w:bCs/>
          <w:sz w:val="20"/>
          <w:szCs w:val="20"/>
        </w:rPr>
        <w:t>2</w:t>
      </w:r>
    </w:p>
    <w:p w:rsidR="003416AE" w:rsidRPr="00BE36D3" w:rsidRDefault="003416AE">
      <w:pPr>
        <w:pStyle w:val="Prrafodelista"/>
        <w:spacing w:after="0" w:line="240" w:lineRule="auto"/>
        <w:jc w:val="center"/>
        <w:rPr>
          <w:rFonts w:ascii="Arial" w:hAnsi="Arial" w:cs="Arial"/>
          <w:sz w:val="20"/>
          <w:szCs w:val="20"/>
        </w:rPr>
      </w:pPr>
      <w:r w:rsidRPr="00BE36D3">
        <w:rPr>
          <w:rFonts w:ascii="Arial" w:hAnsi="Arial" w:cs="Arial"/>
          <w:sz w:val="20"/>
          <w:szCs w:val="20"/>
        </w:rPr>
        <w:t>Reporte de Ingresos Participación de Propósito General vigencia 2018</w:t>
      </w:r>
    </w:p>
    <w:p w:rsidR="003416AE" w:rsidRPr="00BE36D3" w:rsidRDefault="003416AE">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3416AE" w:rsidRPr="00BE36D3" w:rsidRDefault="003416AE">
      <w:pPr>
        <w:pStyle w:val="Prrafodelista"/>
        <w:spacing w:after="0" w:line="240" w:lineRule="auto"/>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tbl>
      <w:tblPr>
        <w:tblW w:w="4512" w:type="pct"/>
        <w:jc w:val="center"/>
        <w:tblCellMar>
          <w:left w:w="70" w:type="dxa"/>
          <w:right w:w="70" w:type="dxa"/>
        </w:tblCellMar>
        <w:tblLook w:val="04A0" w:firstRow="1" w:lastRow="0" w:firstColumn="1" w:lastColumn="0" w:noHBand="0" w:noVBand="1"/>
      </w:tblPr>
      <w:tblGrid>
        <w:gridCol w:w="1999"/>
        <w:gridCol w:w="1164"/>
        <w:gridCol w:w="1164"/>
        <w:gridCol w:w="914"/>
        <w:gridCol w:w="1164"/>
        <w:gridCol w:w="1164"/>
        <w:gridCol w:w="914"/>
      </w:tblGrid>
      <w:tr w:rsidR="003416AE" w:rsidRPr="00506FD1" w:rsidTr="00F4471B">
        <w:trPr>
          <w:trHeight w:val="185"/>
          <w:tblHeader/>
          <w:jc w:val="center"/>
        </w:trPr>
        <w:tc>
          <w:tcPr>
            <w:tcW w:w="1180" w:type="pct"/>
            <w:tcBorders>
              <w:top w:val="single" w:sz="8" w:space="0" w:color="auto"/>
              <w:left w:val="single" w:sz="8" w:space="0" w:color="auto"/>
              <w:bottom w:val="single" w:sz="4" w:space="0" w:color="auto"/>
              <w:right w:val="single" w:sz="8" w:space="0" w:color="auto"/>
            </w:tcBorders>
            <w:shd w:val="clear" w:color="000000" w:fill="E5E5FF"/>
            <w:noWrap/>
            <w:vAlign w:val="bottom"/>
            <w:hideMark/>
          </w:tcPr>
          <w:p w:rsidR="003416AE" w:rsidRPr="00BE36D3" w:rsidRDefault="003416A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 </w:t>
            </w:r>
          </w:p>
        </w:tc>
        <w:tc>
          <w:tcPr>
            <w:tcW w:w="3820" w:type="pct"/>
            <w:gridSpan w:val="6"/>
            <w:tcBorders>
              <w:top w:val="single" w:sz="8" w:space="0" w:color="auto"/>
              <w:left w:val="nil"/>
              <w:bottom w:val="single" w:sz="4" w:space="0" w:color="auto"/>
              <w:right w:val="single" w:sz="8" w:space="0" w:color="000000"/>
            </w:tcBorders>
            <w:shd w:val="clear" w:color="000000" w:fill="E5E5FF"/>
            <w:noWrap/>
            <w:vAlign w:val="bottom"/>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2018</w:t>
            </w:r>
          </w:p>
        </w:tc>
      </w:tr>
      <w:tr w:rsidR="003416AE" w:rsidRPr="00506FD1" w:rsidTr="00F4471B">
        <w:trPr>
          <w:trHeight w:val="195"/>
          <w:tblHeader/>
          <w:jc w:val="center"/>
        </w:trPr>
        <w:tc>
          <w:tcPr>
            <w:tcW w:w="1180" w:type="pct"/>
            <w:vMerge w:val="restart"/>
            <w:tcBorders>
              <w:top w:val="nil"/>
              <w:left w:val="single" w:sz="8" w:space="0" w:color="auto"/>
              <w:bottom w:val="single" w:sz="4" w:space="0" w:color="000000"/>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Concepto</w:t>
            </w:r>
          </w:p>
        </w:tc>
        <w:tc>
          <w:tcPr>
            <w:tcW w:w="1910" w:type="pct"/>
            <w:gridSpan w:val="3"/>
            <w:tcBorders>
              <w:top w:val="single" w:sz="4" w:space="0" w:color="auto"/>
              <w:left w:val="nil"/>
              <w:bottom w:val="single" w:sz="4" w:space="0" w:color="auto"/>
              <w:right w:val="single" w:sz="4" w:space="0" w:color="000000"/>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Presupuesto Definitivo</w:t>
            </w:r>
          </w:p>
        </w:tc>
        <w:tc>
          <w:tcPr>
            <w:tcW w:w="1910" w:type="pct"/>
            <w:gridSpan w:val="3"/>
            <w:tcBorders>
              <w:top w:val="single" w:sz="4" w:space="0" w:color="auto"/>
              <w:left w:val="nil"/>
              <w:bottom w:val="single" w:sz="4" w:space="0" w:color="auto"/>
              <w:right w:val="single" w:sz="8" w:space="0" w:color="000000"/>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Recaudo</w:t>
            </w:r>
          </w:p>
        </w:tc>
      </w:tr>
      <w:tr w:rsidR="00C743E3" w:rsidRPr="00506FD1" w:rsidTr="00F4471B">
        <w:trPr>
          <w:trHeight w:val="530"/>
          <w:tblHeader/>
          <w:jc w:val="center"/>
        </w:trPr>
        <w:tc>
          <w:tcPr>
            <w:tcW w:w="1180" w:type="pct"/>
            <w:vMerge/>
            <w:tcBorders>
              <w:top w:val="nil"/>
              <w:left w:val="single" w:sz="8" w:space="0" w:color="auto"/>
              <w:bottom w:val="single" w:sz="4" w:space="0" w:color="000000"/>
              <w:right w:val="single" w:sz="8" w:space="0" w:color="auto"/>
            </w:tcBorders>
            <w:vAlign w:val="center"/>
            <w:hideMark/>
          </w:tcPr>
          <w:p w:rsidR="003416AE" w:rsidRPr="00BE36D3" w:rsidRDefault="003416AE">
            <w:pPr>
              <w:spacing w:after="0" w:line="240" w:lineRule="auto"/>
              <w:contextualSpacing/>
              <w:rPr>
                <w:rFonts w:ascii="Arial" w:eastAsia="Times New Roman" w:hAnsi="Arial" w:cs="Arial"/>
                <w:b/>
                <w:bCs/>
                <w:color w:val="FFFFFF"/>
                <w:sz w:val="16"/>
                <w:szCs w:val="16"/>
                <w:lang w:eastAsia="es-CO"/>
              </w:rPr>
            </w:pPr>
          </w:p>
        </w:tc>
        <w:tc>
          <w:tcPr>
            <w:tcW w:w="685" w:type="pct"/>
            <w:tcBorders>
              <w:top w:val="nil"/>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Ejecución presupuestal</w:t>
            </w:r>
          </w:p>
        </w:tc>
        <w:tc>
          <w:tcPr>
            <w:tcW w:w="685" w:type="pct"/>
            <w:tcBorders>
              <w:top w:val="nil"/>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Reporte FUT</w:t>
            </w:r>
          </w:p>
        </w:tc>
        <w:tc>
          <w:tcPr>
            <w:tcW w:w="538" w:type="pct"/>
            <w:tcBorders>
              <w:top w:val="nil"/>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Diferencia</w:t>
            </w:r>
          </w:p>
        </w:tc>
        <w:tc>
          <w:tcPr>
            <w:tcW w:w="685" w:type="pct"/>
            <w:tcBorders>
              <w:top w:val="nil"/>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Ejecución presupuestal</w:t>
            </w:r>
          </w:p>
        </w:tc>
        <w:tc>
          <w:tcPr>
            <w:tcW w:w="685" w:type="pct"/>
            <w:tcBorders>
              <w:top w:val="nil"/>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Reporte FUT </w:t>
            </w:r>
          </w:p>
        </w:tc>
        <w:tc>
          <w:tcPr>
            <w:tcW w:w="538" w:type="pct"/>
            <w:tcBorders>
              <w:top w:val="nil"/>
              <w:left w:val="nil"/>
              <w:bottom w:val="single" w:sz="4"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Diferencia </w:t>
            </w:r>
          </w:p>
        </w:tc>
      </w:tr>
      <w:tr w:rsidR="00C743E3" w:rsidRPr="00506FD1" w:rsidTr="00C743E3">
        <w:trPr>
          <w:trHeight w:val="195"/>
          <w:jc w:val="center"/>
        </w:trPr>
        <w:tc>
          <w:tcPr>
            <w:tcW w:w="1180" w:type="pct"/>
            <w:tcBorders>
              <w:top w:val="nil"/>
              <w:left w:val="single" w:sz="8" w:space="0" w:color="auto"/>
              <w:bottom w:val="single" w:sz="4"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Total</w:t>
            </w:r>
          </w:p>
        </w:tc>
        <w:tc>
          <w:tcPr>
            <w:tcW w:w="685" w:type="pct"/>
            <w:tcBorders>
              <w:top w:val="nil"/>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3.019.664.464</w:t>
            </w:r>
          </w:p>
        </w:tc>
        <w:tc>
          <w:tcPr>
            <w:tcW w:w="685" w:type="pct"/>
            <w:tcBorders>
              <w:top w:val="nil"/>
              <w:left w:val="single" w:sz="8" w:space="0" w:color="auto"/>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3.019.664.464</w:t>
            </w:r>
          </w:p>
        </w:tc>
        <w:tc>
          <w:tcPr>
            <w:tcW w:w="538" w:type="pct"/>
            <w:tcBorders>
              <w:top w:val="nil"/>
              <w:left w:val="single" w:sz="8" w:space="0" w:color="auto"/>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685" w:type="pct"/>
            <w:tcBorders>
              <w:top w:val="nil"/>
              <w:left w:val="single" w:sz="8" w:space="0" w:color="auto"/>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3.019.664.464</w:t>
            </w:r>
          </w:p>
        </w:tc>
        <w:tc>
          <w:tcPr>
            <w:tcW w:w="685" w:type="pct"/>
            <w:tcBorders>
              <w:top w:val="nil"/>
              <w:left w:val="single" w:sz="8" w:space="0" w:color="auto"/>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3.019.664.464</w:t>
            </w:r>
          </w:p>
        </w:tc>
        <w:tc>
          <w:tcPr>
            <w:tcW w:w="538" w:type="pct"/>
            <w:tcBorders>
              <w:top w:val="nil"/>
              <w:left w:val="single" w:sz="8" w:space="0" w:color="auto"/>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r>
      <w:tr w:rsidR="00C743E3" w:rsidRPr="00506FD1" w:rsidTr="00C743E3">
        <w:trPr>
          <w:trHeight w:val="513"/>
          <w:jc w:val="center"/>
        </w:trPr>
        <w:tc>
          <w:tcPr>
            <w:tcW w:w="1180" w:type="pct"/>
            <w:tcBorders>
              <w:top w:val="nil"/>
              <w:left w:val="single" w:sz="8" w:space="0" w:color="auto"/>
              <w:bottom w:val="single" w:sz="4" w:space="0" w:color="auto"/>
              <w:right w:val="single" w:sz="8" w:space="0" w:color="auto"/>
            </w:tcBorders>
            <w:shd w:val="clear" w:color="000000" w:fill="CCCC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1. Ingresos Corrientes</w:t>
            </w:r>
          </w:p>
        </w:tc>
        <w:tc>
          <w:tcPr>
            <w:tcW w:w="685" w:type="pct"/>
            <w:tcBorders>
              <w:top w:val="nil"/>
              <w:left w:val="nil"/>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2.644.498.612</w:t>
            </w:r>
          </w:p>
        </w:tc>
        <w:tc>
          <w:tcPr>
            <w:tcW w:w="685" w:type="pct"/>
            <w:tcBorders>
              <w:top w:val="nil"/>
              <w:left w:val="nil"/>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2.644.498.612</w:t>
            </w:r>
          </w:p>
        </w:tc>
        <w:tc>
          <w:tcPr>
            <w:tcW w:w="538" w:type="pct"/>
            <w:tcBorders>
              <w:top w:val="nil"/>
              <w:left w:val="nil"/>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c>
          <w:tcPr>
            <w:tcW w:w="685" w:type="pct"/>
            <w:tcBorders>
              <w:top w:val="nil"/>
              <w:left w:val="nil"/>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2.644.498.612</w:t>
            </w:r>
          </w:p>
        </w:tc>
        <w:tc>
          <w:tcPr>
            <w:tcW w:w="685" w:type="pct"/>
            <w:tcBorders>
              <w:top w:val="nil"/>
              <w:left w:val="nil"/>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2.644.498.612</w:t>
            </w:r>
          </w:p>
        </w:tc>
        <w:tc>
          <w:tcPr>
            <w:tcW w:w="538" w:type="pct"/>
            <w:tcBorders>
              <w:top w:val="nil"/>
              <w:left w:val="nil"/>
              <w:bottom w:val="single" w:sz="4" w:space="0" w:color="auto"/>
              <w:right w:val="single" w:sz="8"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r>
      <w:tr w:rsidR="00C743E3" w:rsidRPr="00506FD1" w:rsidTr="00C743E3">
        <w:trPr>
          <w:trHeight w:val="344"/>
          <w:jc w:val="center"/>
        </w:trPr>
        <w:tc>
          <w:tcPr>
            <w:tcW w:w="1180" w:type="pct"/>
            <w:tcBorders>
              <w:top w:val="nil"/>
              <w:left w:val="single" w:sz="8" w:space="0" w:color="auto"/>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 xml:space="preserve">1.1. Libre Destinación </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538"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538" w:type="pct"/>
            <w:tcBorders>
              <w:top w:val="nil"/>
              <w:left w:val="nil"/>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C743E3" w:rsidRPr="00506FD1" w:rsidTr="00C743E3">
        <w:trPr>
          <w:trHeight w:val="195"/>
          <w:jc w:val="center"/>
        </w:trPr>
        <w:tc>
          <w:tcPr>
            <w:tcW w:w="1180" w:type="pct"/>
            <w:tcBorders>
              <w:top w:val="nil"/>
              <w:left w:val="single" w:sz="8" w:space="0" w:color="auto"/>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1.2. Libre Inversión</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1.319.075.906</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1.319.075.906</w:t>
            </w:r>
          </w:p>
        </w:tc>
        <w:tc>
          <w:tcPr>
            <w:tcW w:w="538"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1.319.075.906</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1.319.075.906</w:t>
            </w:r>
          </w:p>
        </w:tc>
        <w:tc>
          <w:tcPr>
            <w:tcW w:w="538" w:type="pct"/>
            <w:tcBorders>
              <w:top w:val="nil"/>
              <w:left w:val="nil"/>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C743E3" w:rsidRPr="00506FD1" w:rsidTr="00C743E3">
        <w:trPr>
          <w:trHeight w:val="344"/>
          <w:jc w:val="center"/>
        </w:trPr>
        <w:tc>
          <w:tcPr>
            <w:tcW w:w="1180" w:type="pct"/>
            <w:tcBorders>
              <w:top w:val="nil"/>
              <w:left w:val="single" w:sz="8" w:space="0" w:color="auto"/>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lastRenderedPageBreak/>
              <w:t>1.3. Deporte y Recreación</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122.704.736</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122.704.736</w:t>
            </w:r>
          </w:p>
        </w:tc>
        <w:tc>
          <w:tcPr>
            <w:tcW w:w="538"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122.704.736</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122.704.736</w:t>
            </w:r>
          </w:p>
        </w:tc>
        <w:tc>
          <w:tcPr>
            <w:tcW w:w="538" w:type="pct"/>
            <w:tcBorders>
              <w:top w:val="nil"/>
              <w:left w:val="nil"/>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C743E3" w:rsidRPr="00506FD1" w:rsidTr="00C743E3">
        <w:trPr>
          <w:trHeight w:val="344"/>
          <w:jc w:val="center"/>
        </w:trPr>
        <w:tc>
          <w:tcPr>
            <w:tcW w:w="1180" w:type="pct"/>
            <w:tcBorders>
              <w:top w:val="nil"/>
              <w:left w:val="single" w:sz="8" w:space="0" w:color="auto"/>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1.4. Cultura</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92.028.552</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92.028.552</w:t>
            </w:r>
          </w:p>
        </w:tc>
        <w:tc>
          <w:tcPr>
            <w:tcW w:w="538"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92.028.552</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92.028.552</w:t>
            </w:r>
          </w:p>
        </w:tc>
        <w:tc>
          <w:tcPr>
            <w:tcW w:w="538" w:type="pct"/>
            <w:tcBorders>
              <w:top w:val="nil"/>
              <w:left w:val="nil"/>
              <w:bottom w:val="single" w:sz="4"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C743E3" w:rsidRPr="00506FD1" w:rsidTr="00C743E3">
        <w:trPr>
          <w:trHeight w:val="195"/>
          <w:jc w:val="center"/>
        </w:trPr>
        <w:tc>
          <w:tcPr>
            <w:tcW w:w="1180" w:type="pct"/>
            <w:tcBorders>
              <w:top w:val="nil"/>
              <w:left w:val="single" w:sz="8" w:space="0" w:color="auto"/>
              <w:bottom w:val="single" w:sz="4" w:space="0" w:color="auto"/>
              <w:right w:val="single" w:sz="8" w:space="0" w:color="auto"/>
            </w:tcBorders>
            <w:shd w:val="clear" w:color="000000" w:fill="CCCC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 xml:space="preserve">2. Recursos de Capital </w:t>
            </w:r>
          </w:p>
        </w:tc>
        <w:tc>
          <w:tcPr>
            <w:tcW w:w="685" w:type="pct"/>
            <w:tcBorders>
              <w:top w:val="nil"/>
              <w:left w:val="nil"/>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375.165.852</w:t>
            </w:r>
          </w:p>
        </w:tc>
        <w:tc>
          <w:tcPr>
            <w:tcW w:w="685" w:type="pct"/>
            <w:tcBorders>
              <w:top w:val="nil"/>
              <w:left w:val="single" w:sz="8" w:space="0" w:color="auto"/>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375.165.852</w:t>
            </w:r>
          </w:p>
        </w:tc>
        <w:tc>
          <w:tcPr>
            <w:tcW w:w="538" w:type="pct"/>
            <w:tcBorders>
              <w:top w:val="nil"/>
              <w:left w:val="single" w:sz="8" w:space="0" w:color="auto"/>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c>
          <w:tcPr>
            <w:tcW w:w="685" w:type="pct"/>
            <w:tcBorders>
              <w:top w:val="nil"/>
              <w:left w:val="single" w:sz="8" w:space="0" w:color="auto"/>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375.165.852</w:t>
            </w:r>
          </w:p>
        </w:tc>
        <w:tc>
          <w:tcPr>
            <w:tcW w:w="685" w:type="pct"/>
            <w:tcBorders>
              <w:top w:val="nil"/>
              <w:left w:val="single" w:sz="8" w:space="0" w:color="auto"/>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375.165.852</w:t>
            </w:r>
          </w:p>
        </w:tc>
        <w:tc>
          <w:tcPr>
            <w:tcW w:w="538" w:type="pct"/>
            <w:tcBorders>
              <w:top w:val="nil"/>
              <w:left w:val="single" w:sz="8" w:space="0" w:color="auto"/>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r>
      <w:tr w:rsidR="00C743E3" w:rsidRPr="00506FD1" w:rsidTr="00C743E3">
        <w:trPr>
          <w:trHeight w:val="344"/>
          <w:jc w:val="center"/>
        </w:trPr>
        <w:tc>
          <w:tcPr>
            <w:tcW w:w="1180" w:type="pct"/>
            <w:tcBorders>
              <w:top w:val="nil"/>
              <w:left w:val="single" w:sz="8" w:space="0" w:color="auto"/>
              <w:bottom w:val="single" w:sz="4" w:space="0" w:color="auto"/>
              <w:right w:val="single" w:sz="8" w:space="0" w:color="auto"/>
            </w:tcBorders>
            <w:shd w:val="clear" w:color="000000" w:fill="E5E5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2.1 Superávit fiscal</w:t>
            </w:r>
          </w:p>
        </w:tc>
        <w:tc>
          <w:tcPr>
            <w:tcW w:w="685" w:type="pct"/>
            <w:tcBorders>
              <w:top w:val="nil"/>
              <w:left w:val="nil"/>
              <w:bottom w:val="single" w:sz="4" w:space="0" w:color="auto"/>
              <w:right w:val="single" w:sz="4" w:space="0" w:color="auto"/>
            </w:tcBorders>
            <w:shd w:val="clear" w:color="000000" w:fill="E5E5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375.165.852</w:t>
            </w:r>
          </w:p>
        </w:tc>
        <w:tc>
          <w:tcPr>
            <w:tcW w:w="685" w:type="pct"/>
            <w:tcBorders>
              <w:top w:val="nil"/>
              <w:left w:val="nil"/>
              <w:bottom w:val="single" w:sz="4" w:space="0" w:color="auto"/>
              <w:right w:val="single" w:sz="4" w:space="0" w:color="auto"/>
            </w:tcBorders>
            <w:shd w:val="clear" w:color="000000" w:fill="E5E5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375.165.852</w:t>
            </w:r>
          </w:p>
        </w:tc>
        <w:tc>
          <w:tcPr>
            <w:tcW w:w="538" w:type="pct"/>
            <w:tcBorders>
              <w:top w:val="nil"/>
              <w:left w:val="nil"/>
              <w:bottom w:val="single" w:sz="4" w:space="0" w:color="auto"/>
              <w:right w:val="single" w:sz="4" w:space="0" w:color="auto"/>
            </w:tcBorders>
            <w:shd w:val="clear" w:color="000000" w:fill="E5E5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c>
          <w:tcPr>
            <w:tcW w:w="685" w:type="pct"/>
            <w:tcBorders>
              <w:top w:val="nil"/>
              <w:left w:val="nil"/>
              <w:bottom w:val="single" w:sz="4" w:space="0" w:color="auto"/>
              <w:right w:val="single" w:sz="4" w:space="0" w:color="auto"/>
            </w:tcBorders>
            <w:shd w:val="clear" w:color="000000" w:fill="E5E5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375.165.852</w:t>
            </w:r>
          </w:p>
        </w:tc>
        <w:tc>
          <w:tcPr>
            <w:tcW w:w="685" w:type="pct"/>
            <w:tcBorders>
              <w:top w:val="nil"/>
              <w:left w:val="nil"/>
              <w:bottom w:val="single" w:sz="4" w:space="0" w:color="auto"/>
              <w:right w:val="single" w:sz="4" w:space="0" w:color="auto"/>
            </w:tcBorders>
            <w:shd w:val="clear" w:color="000000" w:fill="E5E5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375.165.852</w:t>
            </w:r>
          </w:p>
        </w:tc>
        <w:tc>
          <w:tcPr>
            <w:tcW w:w="538" w:type="pct"/>
            <w:tcBorders>
              <w:top w:val="nil"/>
              <w:left w:val="nil"/>
              <w:bottom w:val="single" w:sz="4" w:space="0" w:color="auto"/>
              <w:right w:val="single" w:sz="8" w:space="0" w:color="auto"/>
            </w:tcBorders>
            <w:shd w:val="clear" w:color="000000" w:fill="E5E5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r>
      <w:tr w:rsidR="00C743E3" w:rsidRPr="00506FD1" w:rsidTr="00C743E3">
        <w:trPr>
          <w:trHeight w:val="344"/>
          <w:jc w:val="center"/>
        </w:trPr>
        <w:tc>
          <w:tcPr>
            <w:tcW w:w="1180" w:type="pct"/>
            <w:tcBorders>
              <w:top w:val="nil"/>
              <w:left w:val="single" w:sz="8" w:space="0" w:color="auto"/>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 xml:space="preserve">2.1.1. Libre Destinación </w:t>
            </w:r>
          </w:p>
        </w:tc>
        <w:tc>
          <w:tcPr>
            <w:tcW w:w="685"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538"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 </w:t>
            </w:r>
          </w:p>
        </w:tc>
        <w:tc>
          <w:tcPr>
            <w:tcW w:w="685"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538" w:type="pct"/>
            <w:tcBorders>
              <w:top w:val="nil"/>
              <w:left w:val="nil"/>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 </w:t>
            </w:r>
          </w:p>
        </w:tc>
      </w:tr>
      <w:tr w:rsidR="00C743E3" w:rsidRPr="00506FD1" w:rsidTr="00C743E3">
        <w:trPr>
          <w:trHeight w:val="195"/>
          <w:jc w:val="center"/>
        </w:trPr>
        <w:tc>
          <w:tcPr>
            <w:tcW w:w="1180" w:type="pct"/>
            <w:tcBorders>
              <w:top w:val="nil"/>
              <w:left w:val="single" w:sz="8" w:space="0" w:color="auto"/>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2.1.2. Libre Inversión</w:t>
            </w:r>
          </w:p>
        </w:tc>
        <w:tc>
          <w:tcPr>
            <w:tcW w:w="685"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375.165.852</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375.165.852</w:t>
            </w:r>
          </w:p>
        </w:tc>
        <w:tc>
          <w:tcPr>
            <w:tcW w:w="538"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85"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375.165.852</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375.165.852</w:t>
            </w:r>
          </w:p>
        </w:tc>
        <w:tc>
          <w:tcPr>
            <w:tcW w:w="538" w:type="pct"/>
            <w:tcBorders>
              <w:top w:val="nil"/>
              <w:left w:val="nil"/>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r w:rsidR="00C743E3" w:rsidRPr="00506FD1" w:rsidTr="00C743E3">
        <w:trPr>
          <w:trHeight w:val="344"/>
          <w:jc w:val="center"/>
        </w:trPr>
        <w:tc>
          <w:tcPr>
            <w:tcW w:w="1180" w:type="pct"/>
            <w:tcBorders>
              <w:top w:val="nil"/>
              <w:left w:val="single" w:sz="8" w:space="0" w:color="auto"/>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2.1.3. Deporte y Recreación</w:t>
            </w:r>
          </w:p>
        </w:tc>
        <w:tc>
          <w:tcPr>
            <w:tcW w:w="685"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538"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 </w:t>
            </w:r>
          </w:p>
        </w:tc>
        <w:tc>
          <w:tcPr>
            <w:tcW w:w="685"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538" w:type="pct"/>
            <w:tcBorders>
              <w:top w:val="nil"/>
              <w:left w:val="nil"/>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 </w:t>
            </w:r>
          </w:p>
        </w:tc>
      </w:tr>
      <w:tr w:rsidR="00C743E3" w:rsidRPr="00506FD1" w:rsidTr="00C743E3">
        <w:trPr>
          <w:trHeight w:val="195"/>
          <w:jc w:val="center"/>
        </w:trPr>
        <w:tc>
          <w:tcPr>
            <w:tcW w:w="1180" w:type="pct"/>
            <w:tcBorders>
              <w:top w:val="nil"/>
              <w:left w:val="single" w:sz="8" w:space="0" w:color="auto"/>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rPr>
                <w:rFonts w:ascii="Arial" w:eastAsia="Times New Roman" w:hAnsi="Arial" w:cs="Arial"/>
                <w:sz w:val="16"/>
                <w:szCs w:val="16"/>
                <w:lang w:eastAsia="es-CO"/>
              </w:rPr>
            </w:pPr>
            <w:r w:rsidRPr="00BE36D3">
              <w:rPr>
                <w:rFonts w:ascii="Arial" w:eastAsia="Times New Roman" w:hAnsi="Arial" w:cs="Arial"/>
                <w:sz w:val="16"/>
                <w:szCs w:val="16"/>
                <w:lang w:eastAsia="es-CO"/>
              </w:rPr>
              <w:t>2.1.4. Cultura</w:t>
            </w:r>
          </w:p>
        </w:tc>
        <w:tc>
          <w:tcPr>
            <w:tcW w:w="685"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538"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85" w:type="pct"/>
            <w:tcBorders>
              <w:top w:val="nil"/>
              <w:left w:val="nil"/>
              <w:bottom w:val="single" w:sz="4" w:space="0" w:color="auto"/>
              <w:right w:val="single" w:sz="4"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685" w:type="pct"/>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538" w:type="pct"/>
            <w:tcBorders>
              <w:top w:val="nil"/>
              <w:left w:val="nil"/>
              <w:bottom w:val="single" w:sz="4" w:space="0" w:color="auto"/>
              <w:right w:val="single" w:sz="8"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r>
    </w:tbl>
    <w:p w:rsidR="003416AE" w:rsidRDefault="003416AE">
      <w:pPr>
        <w:spacing w:line="240" w:lineRule="auto"/>
        <w:contextualSpacing/>
        <w:jc w:val="center"/>
        <w:rPr>
          <w:rFonts w:ascii="Arial" w:eastAsia="Times New Roman" w:hAnsi="Arial" w:cs="Arial"/>
          <w:sz w:val="20"/>
          <w:szCs w:val="20"/>
          <w:lang w:eastAsia="es-CO"/>
        </w:rPr>
      </w:pPr>
      <w:r w:rsidRPr="00BE36D3">
        <w:rPr>
          <w:rFonts w:ascii="Arial" w:eastAsia="Times New Roman" w:hAnsi="Arial" w:cs="Arial"/>
          <w:b/>
          <w:sz w:val="20"/>
          <w:szCs w:val="20"/>
          <w:lang w:eastAsia="es-CO"/>
        </w:rPr>
        <w:t xml:space="preserve">Fuente: </w:t>
      </w:r>
      <w:r w:rsidRPr="00BE36D3">
        <w:rPr>
          <w:rFonts w:ascii="Arial" w:eastAsia="Times New Roman" w:hAnsi="Arial" w:cs="Arial"/>
          <w:sz w:val="20"/>
          <w:szCs w:val="20"/>
          <w:lang w:eastAsia="es-CO"/>
        </w:rPr>
        <w:t xml:space="preserve">Cálculos DAF con información de la ejecución presupuestal e información FUT </w:t>
      </w:r>
      <w:r w:rsidR="00891C21">
        <w:rPr>
          <w:rFonts w:ascii="Arial" w:eastAsia="Times New Roman" w:hAnsi="Arial" w:cs="Arial"/>
          <w:sz w:val="20"/>
          <w:szCs w:val="20"/>
          <w:lang w:eastAsia="es-CO"/>
        </w:rPr>
        <w:t>C</w:t>
      </w:r>
      <w:r w:rsidRPr="00BE36D3">
        <w:rPr>
          <w:rFonts w:ascii="Arial" w:eastAsia="Times New Roman" w:hAnsi="Arial" w:cs="Arial"/>
          <w:sz w:val="20"/>
          <w:szCs w:val="20"/>
          <w:lang w:eastAsia="es-CO"/>
        </w:rPr>
        <w:t xml:space="preserve">ategoría </w:t>
      </w:r>
      <w:r w:rsidR="00891C21">
        <w:rPr>
          <w:rFonts w:ascii="Arial" w:eastAsia="Times New Roman" w:hAnsi="Arial" w:cs="Arial"/>
          <w:sz w:val="20"/>
          <w:szCs w:val="20"/>
          <w:lang w:eastAsia="es-CO"/>
        </w:rPr>
        <w:t>I</w:t>
      </w:r>
      <w:r w:rsidRPr="00BE36D3">
        <w:rPr>
          <w:rFonts w:ascii="Arial" w:eastAsia="Times New Roman" w:hAnsi="Arial" w:cs="Arial"/>
          <w:sz w:val="20"/>
          <w:szCs w:val="20"/>
          <w:lang w:eastAsia="es-CO"/>
        </w:rPr>
        <w:t>ngresos 2018.</w:t>
      </w:r>
    </w:p>
    <w:p w:rsidR="00506FD1" w:rsidRPr="00BE36D3" w:rsidRDefault="00506FD1">
      <w:pPr>
        <w:spacing w:line="240" w:lineRule="auto"/>
        <w:contextualSpacing/>
        <w:rPr>
          <w:rFonts w:ascii="Arial" w:eastAsia="Times New Roman" w:hAnsi="Arial" w:cs="Arial"/>
          <w:lang w:eastAsia="es-CO"/>
        </w:rPr>
      </w:pPr>
    </w:p>
    <w:p w:rsidR="003416AE" w:rsidRPr="00BE36D3" w:rsidRDefault="003416AE" w:rsidP="00F4471B">
      <w:pPr>
        <w:spacing w:line="240" w:lineRule="auto"/>
        <w:contextualSpacing/>
        <w:jc w:val="both"/>
        <w:rPr>
          <w:rFonts w:ascii="Arial" w:eastAsia="Times New Roman" w:hAnsi="Arial" w:cs="Arial"/>
          <w:b/>
          <w:lang w:eastAsia="es-CO"/>
        </w:rPr>
      </w:pPr>
      <w:r w:rsidRPr="00BE36D3">
        <w:rPr>
          <w:rFonts w:ascii="Arial" w:eastAsia="Times New Roman" w:hAnsi="Arial" w:cs="Arial"/>
          <w:lang w:eastAsia="es-CO"/>
        </w:rPr>
        <w:t xml:space="preserve">En la vigencia 2018, el Municipio reportó adecuadamente todos los componentes de los ingresos que se encuentran relacionados en la ejecución presupuestal. No obstante, la </w:t>
      </w:r>
      <w:r w:rsidR="00891C21" w:rsidRPr="00BE36D3">
        <w:rPr>
          <w:rFonts w:ascii="Arial" w:eastAsia="Times New Roman" w:hAnsi="Arial" w:cs="Arial"/>
          <w:lang w:eastAsia="es-CO"/>
        </w:rPr>
        <w:t>E</w:t>
      </w:r>
      <w:r w:rsidRPr="00BE36D3">
        <w:rPr>
          <w:rFonts w:ascii="Arial" w:eastAsia="Times New Roman" w:hAnsi="Arial" w:cs="Arial"/>
          <w:lang w:eastAsia="es-CO"/>
        </w:rPr>
        <w:t>ntidad sigue sin reportar los ingresos de rendimientos financieros ni en el presupuesto definitivo ni en el recaudo.</w:t>
      </w:r>
    </w:p>
    <w:p w:rsidR="00506FD1" w:rsidRDefault="00506FD1">
      <w:pPr>
        <w:spacing w:line="240" w:lineRule="auto"/>
        <w:ind w:left="360"/>
        <w:contextualSpacing/>
        <w:jc w:val="both"/>
        <w:rPr>
          <w:rFonts w:ascii="Arial" w:eastAsia="Times New Roman" w:hAnsi="Arial" w:cs="Arial"/>
          <w:b/>
          <w:lang w:eastAsia="es-CO"/>
        </w:rPr>
      </w:pPr>
    </w:p>
    <w:p w:rsidR="00891C21" w:rsidRDefault="00891C21">
      <w:pPr>
        <w:pStyle w:val="Prrafodelista"/>
        <w:numPr>
          <w:ilvl w:val="0"/>
          <w:numId w:val="20"/>
        </w:numPr>
        <w:spacing w:line="240" w:lineRule="auto"/>
        <w:jc w:val="both"/>
        <w:rPr>
          <w:rFonts w:ascii="Arial" w:hAnsi="Arial" w:cs="Arial"/>
          <w:b/>
          <w:bCs/>
        </w:rPr>
      </w:pPr>
      <w:r>
        <w:rPr>
          <w:rFonts w:ascii="Arial" w:hAnsi="Arial" w:cs="Arial"/>
          <w:b/>
          <w:bCs/>
        </w:rPr>
        <w:t>Gastos.</w:t>
      </w:r>
    </w:p>
    <w:p w:rsidR="00891C21" w:rsidRPr="00BE36D3" w:rsidRDefault="00891C21">
      <w:pPr>
        <w:spacing w:line="240" w:lineRule="auto"/>
        <w:ind w:left="360"/>
        <w:contextualSpacing/>
        <w:jc w:val="both"/>
        <w:rPr>
          <w:rFonts w:ascii="Arial" w:eastAsia="Times New Roman" w:hAnsi="Arial" w:cs="Arial"/>
          <w:b/>
          <w:lang w:eastAsia="es-CO"/>
        </w:rPr>
      </w:pPr>
    </w:p>
    <w:p w:rsidR="003416AE" w:rsidRPr="00BE36D3" w:rsidRDefault="003416AE">
      <w:pPr>
        <w:pStyle w:val="Prrafodelista"/>
        <w:spacing w:after="0" w:line="240" w:lineRule="auto"/>
        <w:jc w:val="center"/>
        <w:rPr>
          <w:rFonts w:ascii="Arial" w:eastAsia="Arial Narrow" w:hAnsi="Arial" w:cs="Arial"/>
          <w:b/>
          <w:bCs/>
          <w:sz w:val="20"/>
          <w:szCs w:val="20"/>
        </w:rPr>
      </w:pPr>
      <w:r w:rsidRPr="00BE36D3">
        <w:rPr>
          <w:rFonts w:ascii="Arial" w:eastAsia="Arial Narrow" w:hAnsi="Arial" w:cs="Arial"/>
          <w:b/>
          <w:bCs/>
          <w:sz w:val="20"/>
          <w:szCs w:val="20"/>
        </w:rPr>
        <w:t xml:space="preserve">Cuadro No. </w:t>
      </w:r>
      <w:r w:rsidR="002A09FB" w:rsidRPr="00BE36D3">
        <w:rPr>
          <w:rFonts w:ascii="Arial" w:eastAsia="Arial Narrow" w:hAnsi="Arial" w:cs="Arial"/>
          <w:b/>
          <w:bCs/>
          <w:sz w:val="20"/>
          <w:szCs w:val="20"/>
        </w:rPr>
        <w:t>3</w:t>
      </w:r>
    </w:p>
    <w:p w:rsidR="003416AE" w:rsidRPr="00BE36D3" w:rsidRDefault="003416AE">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Reporte de Gastos Participación de Propósito General vigencia 2017 y 2018 </w:t>
      </w:r>
    </w:p>
    <w:p w:rsidR="003416AE" w:rsidRPr="00BE36D3" w:rsidRDefault="003416AE">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3416AE" w:rsidRPr="00BE36D3" w:rsidRDefault="003416AE">
      <w:pPr>
        <w:pStyle w:val="Prrafodelista"/>
        <w:spacing w:after="0" w:line="240" w:lineRule="auto"/>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tbl>
      <w:tblPr>
        <w:tblW w:w="9979" w:type="dxa"/>
        <w:jc w:val="center"/>
        <w:tblCellMar>
          <w:left w:w="70" w:type="dxa"/>
          <w:right w:w="70" w:type="dxa"/>
        </w:tblCellMar>
        <w:tblLook w:val="04A0" w:firstRow="1" w:lastRow="0" w:firstColumn="1" w:lastColumn="0" w:noHBand="0" w:noVBand="1"/>
      </w:tblPr>
      <w:tblGrid>
        <w:gridCol w:w="1216"/>
        <w:gridCol w:w="1164"/>
        <w:gridCol w:w="1164"/>
        <w:gridCol w:w="1164"/>
        <w:gridCol w:w="1164"/>
        <w:gridCol w:w="1074"/>
        <w:gridCol w:w="1074"/>
        <w:gridCol w:w="1074"/>
        <w:gridCol w:w="1031"/>
      </w:tblGrid>
      <w:tr w:rsidR="003416AE" w:rsidRPr="00506FD1" w:rsidTr="00F4471B">
        <w:trPr>
          <w:trHeight w:val="450"/>
          <w:tblHeader/>
          <w:jc w:val="center"/>
        </w:trPr>
        <w:tc>
          <w:tcPr>
            <w:tcW w:w="1166" w:type="dxa"/>
            <w:vMerge w:val="restart"/>
            <w:tcBorders>
              <w:top w:val="nil"/>
              <w:left w:val="single" w:sz="8" w:space="0" w:color="auto"/>
              <w:bottom w:val="single" w:sz="8" w:space="0" w:color="000000"/>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Gastos Totales</w:t>
            </w:r>
          </w:p>
        </w:tc>
        <w:tc>
          <w:tcPr>
            <w:tcW w:w="2279" w:type="dxa"/>
            <w:gridSpan w:val="2"/>
            <w:vMerge w:val="restart"/>
            <w:tcBorders>
              <w:top w:val="single" w:sz="8" w:space="0" w:color="auto"/>
              <w:left w:val="single" w:sz="8" w:space="0" w:color="auto"/>
              <w:bottom w:val="nil"/>
              <w:right w:val="single" w:sz="8" w:space="0" w:color="000000"/>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1.1. Libre Destinación</w:t>
            </w:r>
          </w:p>
        </w:tc>
        <w:tc>
          <w:tcPr>
            <w:tcW w:w="2279" w:type="dxa"/>
            <w:gridSpan w:val="2"/>
            <w:vMerge w:val="restart"/>
            <w:tcBorders>
              <w:top w:val="single" w:sz="8" w:space="0" w:color="auto"/>
              <w:left w:val="single" w:sz="8" w:space="0" w:color="auto"/>
              <w:bottom w:val="single" w:sz="8" w:space="0" w:color="000000"/>
              <w:right w:val="nil"/>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1.2 Libre inversión</w:t>
            </w:r>
          </w:p>
        </w:tc>
        <w:tc>
          <w:tcPr>
            <w:tcW w:w="2149" w:type="dxa"/>
            <w:gridSpan w:val="2"/>
            <w:vMerge w:val="restart"/>
            <w:tcBorders>
              <w:top w:val="single" w:sz="8" w:space="0" w:color="auto"/>
              <w:left w:val="single" w:sz="8" w:space="0" w:color="auto"/>
              <w:bottom w:val="single" w:sz="8" w:space="0" w:color="000000"/>
              <w:right w:val="nil"/>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1.3. Deporte y Recreación</w:t>
            </w:r>
          </w:p>
        </w:tc>
        <w:tc>
          <w:tcPr>
            <w:tcW w:w="2106" w:type="dxa"/>
            <w:gridSpan w:val="2"/>
            <w:vMerge w:val="restart"/>
            <w:tcBorders>
              <w:top w:val="single" w:sz="8" w:space="0" w:color="auto"/>
              <w:left w:val="single" w:sz="8" w:space="0" w:color="auto"/>
              <w:bottom w:val="single" w:sz="8" w:space="0" w:color="000000"/>
              <w:right w:val="nil"/>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1.4. Cultura</w:t>
            </w:r>
          </w:p>
        </w:tc>
      </w:tr>
      <w:tr w:rsidR="003416AE" w:rsidRPr="00506FD1" w:rsidTr="00F4471B">
        <w:trPr>
          <w:trHeight w:val="739"/>
          <w:tblHeader/>
          <w:jc w:val="center"/>
        </w:trPr>
        <w:tc>
          <w:tcPr>
            <w:tcW w:w="1166" w:type="dxa"/>
            <w:vMerge/>
            <w:tcBorders>
              <w:top w:val="nil"/>
              <w:left w:val="single" w:sz="8" w:space="0" w:color="auto"/>
              <w:bottom w:val="single" w:sz="8" w:space="0" w:color="000000"/>
              <w:right w:val="single" w:sz="8" w:space="0" w:color="auto"/>
            </w:tcBorders>
            <w:vAlign w:val="center"/>
            <w:hideMark/>
          </w:tcPr>
          <w:p w:rsidR="003416AE" w:rsidRPr="00BE36D3" w:rsidRDefault="003416AE">
            <w:pPr>
              <w:spacing w:after="0" w:line="240" w:lineRule="auto"/>
              <w:contextualSpacing/>
              <w:rPr>
                <w:rFonts w:ascii="Arial" w:eastAsia="Times New Roman" w:hAnsi="Arial" w:cs="Arial"/>
                <w:b/>
                <w:bCs/>
                <w:color w:val="FFFFFF"/>
                <w:sz w:val="16"/>
                <w:szCs w:val="16"/>
                <w:lang w:eastAsia="es-CO"/>
              </w:rPr>
            </w:pPr>
          </w:p>
        </w:tc>
        <w:tc>
          <w:tcPr>
            <w:tcW w:w="2279" w:type="dxa"/>
            <w:gridSpan w:val="2"/>
            <w:vMerge/>
            <w:tcBorders>
              <w:top w:val="single" w:sz="8" w:space="0" w:color="auto"/>
              <w:left w:val="single" w:sz="8" w:space="0" w:color="auto"/>
              <w:bottom w:val="nil"/>
              <w:right w:val="single" w:sz="8" w:space="0" w:color="000000"/>
            </w:tcBorders>
            <w:vAlign w:val="center"/>
            <w:hideMark/>
          </w:tcPr>
          <w:p w:rsidR="003416AE" w:rsidRPr="00BE36D3" w:rsidRDefault="003416AE">
            <w:pPr>
              <w:spacing w:after="0" w:line="240" w:lineRule="auto"/>
              <w:contextualSpacing/>
              <w:rPr>
                <w:rFonts w:ascii="Arial" w:eastAsia="Times New Roman" w:hAnsi="Arial" w:cs="Arial"/>
                <w:b/>
                <w:bCs/>
                <w:color w:val="FFFFFF"/>
                <w:sz w:val="16"/>
                <w:szCs w:val="16"/>
                <w:lang w:eastAsia="es-CO"/>
              </w:rPr>
            </w:pPr>
          </w:p>
        </w:tc>
        <w:tc>
          <w:tcPr>
            <w:tcW w:w="2279" w:type="dxa"/>
            <w:gridSpan w:val="2"/>
            <w:vMerge/>
            <w:tcBorders>
              <w:top w:val="single" w:sz="8" w:space="0" w:color="auto"/>
              <w:left w:val="single" w:sz="8" w:space="0" w:color="auto"/>
              <w:bottom w:val="single" w:sz="8" w:space="0" w:color="000000"/>
              <w:right w:val="nil"/>
            </w:tcBorders>
            <w:vAlign w:val="center"/>
            <w:hideMark/>
          </w:tcPr>
          <w:p w:rsidR="003416AE" w:rsidRPr="00BE36D3" w:rsidRDefault="003416AE">
            <w:pPr>
              <w:spacing w:after="0" w:line="240" w:lineRule="auto"/>
              <w:contextualSpacing/>
              <w:rPr>
                <w:rFonts w:ascii="Arial" w:eastAsia="Times New Roman" w:hAnsi="Arial" w:cs="Arial"/>
                <w:b/>
                <w:bCs/>
                <w:color w:val="FFFFFF"/>
                <w:sz w:val="16"/>
                <w:szCs w:val="16"/>
                <w:lang w:eastAsia="es-CO"/>
              </w:rPr>
            </w:pPr>
          </w:p>
        </w:tc>
        <w:tc>
          <w:tcPr>
            <w:tcW w:w="2149" w:type="dxa"/>
            <w:gridSpan w:val="2"/>
            <w:vMerge/>
            <w:tcBorders>
              <w:top w:val="single" w:sz="8" w:space="0" w:color="auto"/>
              <w:left w:val="single" w:sz="8" w:space="0" w:color="auto"/>
              <w:bottom w:val="single" w:sz="8" w:space="0" w:color="000000"/>
              <w:right w:val="nil"/>
            </w:tcBorders>
            <w:vAlign w:val="center"/>
            <w:hideMark/>
          </w:tcPr>
          <w:p w:rsidR="003416AE" w:rsidRPr="00BE36D3" w:rsidRDefault="003416AE">
            <w:pPr>
              <w:spacing w:after="0" w:line="240" w:lineRule="auto"/>
              <w:contextualSpacing/>
              <w:rPr>
                <w:rFonts w:ascii="Arial" w:eastAsia="Times New Roman" w:hAnsi="Arial" w:cs="Arial"/>
                <w:b/>
                <w:bCs/>
                <w:color w:val="FFFFFF"/>
                <w:sz w:val="16"/>
                <w:szCs w:val="16"/>
                <w:lang w:eastAsia="es-CO"/>
              </w:rPr>
            </w:pPr>
          </w:p>
        </w:tc>
        <w:tc>
          <w:tcPr>
            <w:tcW w:w="2106" w:type="dxa"/>
            <w:gridSpan w:val="2"/>
            <w:vMerge/>
            <w:tcBorders>
              <w:top w:val="single" w:sz="8" w:space="0" w:color="auto"/>
              <w:left w:val="single" w:sz="8" w:space="0" w:color="auto"/>
              <w:bottom w:val="single" w:sz="8" w:space="0" w:color="000000"/>
              <w:right w:val="nil"/>
            </w:tcBorders>
            <w:vAlign w:val="center"/>
            <w:hideMark/>
          </w:tcPr>
          <w:p w:rsidR="003416AE" w:rsidRPr="00BE36D3" w:rsidRDefault="003416AE">
            <w:pPr>
              <w:spacing w:after="0" w:line="240" w:lineRule="auto"/>
              <w:contextualSpacing/>
              <w:rPr>
                <w:rFonts w:ascii="Arial" w:eastAsia="Times New Roman" w:hAnsi="Arial" w:cs="Arial"/>
                <w:b/>
                <w:bCs/>
                <w:color w:val="FFFFFF"/>
                <w:sz w:val="16"/>
                <w:szCs w:val="16"/>
                <w:lang w:eastAsia="es-CO"/>
              </w:rPr>
            </w:pPr>
          </w:p>
        </w:tc>
      </w:tr>
      <w:tr w:rsidR="003416AE" w:rsidRPr="00506FD1" w:rsidTr="00F4471B">
        <w:trPr>
          <w:trHeight w:val="272"/>
          <w:tblHeader/>
          <w:jc w:val="center"/>
        </w:trPr>
        <w:tc>
          <w:tcPr>
            <w:tcW w:w="1166" w:type="dxa"/>
            <w:vMerge/>
            <w:tcBorders>
              <w:top w:val="nil"/>
              <w:left w:val="single" w:sz="8" w:space="0" w:color="auto"/>
              <w:bottom w:val="single" w:sz="8" w:space="0" w:color="000000"/>
              <w:right w:val="single" w:sz="8" w:space="0" w:color="auto"/>
            </w:tcBorders>
            <w:vAlign w:val="center"/>
            <w:hideMark/>
          </w:tcPr>
          <w:p w:rsidR="003416AE" w:rsidRPr="00BE36D3" w:rsidRDefault="003416AE">
            <w:pPr>
              <w:spacing w:after="0" w:line="240" w:lineRule="auto"/>
              <w:contextualSpacing/>
              <w:rPr>
                <w:rFonts w:ascii="Arial" w:eastAsia="Times New Roman" w:hAnsi="Arial" w:cs="Arial"/>
                <w:b/>
                <w:bCs/>
                <w:color w:val="FFFFFF"/>
                <w:sz w:val="16"/>
                <w:szCs w:val="16"/>
                <w:lang w:eastAsia="es-CO"/>
              </w:rPr>
            </w:pPr>
          </w:p>
        </w:tc>
        <w:tc>
          <w:tcPr>
            <w:tcW w:w="1139" w:type="dxa"/>
            <w:tcBorders>
              <w:top w:val="single" w:sz="8" w:space="0" w:color="auto"/>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2017</w:t>
            </w:r>
          </w:p>
        </w:tc>
        <w:tc>
          <w:tcPr>
            <w:tcW w:w="1139" w:type="dxa"/>
            <w:tcBorders>
              <w:top w:val="single" w:sz="8" w:space="0" w:color="auto"/>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2018</w:t>
            </w:r>
          </w:p>
        </w:tc>
        <w:tc>
          <w:tcPr>
            <w:tcW w:w="1139" w:type="dxa"/>
            <w:tcBorders>
              <w:top w:val="nil"/>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2017</w:t>
            </w:r>
          </w:p>
        </w:tc>
        <w:tc>
          <w:tcPr>
            <w:tcW w:w="1139" w:type="dxa"/>
            <w:tcBorders>
              <w:top w:val="nil"/>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2018</w:t>
            </w:r>
          </w:p>
        </w:tc>
        <w:tc>
          <w:tcPr>
            <w:tcW w:w="1074" w:type="dxa"/>
            <w:tcBorders>
              <w:top w:val="nil"/>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2017</w:t>
            </w:r>
          </w:p>
        </w:tc>
        <w:tc>
          <w:tcPr>
            <w:tcW w:w="1074" w:type="dxa"/>
            <w:tcBorders>
              <w:top w:val="nil"/>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2018</w:t>
            </w:r>
          </w:p>
        </w:tc>
        <w:tc>
          <w:tcPr>
            <w:tcW w:w="1074" w:type="dxa"/>
            <w:tcBorders>
              <w:top w:val="nil"/>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2017</w:t>
            </w:r>
          </w:p>
        </w:tc>
        <w:tc>
          <w:tcPr>
            <w:tcW w:w="1031" w:type="dxa"/>
            <w:tcBorders>
              <w:top w:val="nil"/>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2018</w:t>
            </w:r>
          </w:p>
        </w:tc>
      </w:tr>
      <w:tr w:rsidR="003416AE" w:rsidRPr="00506FD1" w:rsidTr="00D6687C">
        <w:trPr>
          <w:trHeight w:val="713"/>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PPTO Definitivo (Ejecución)</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1.168.933.994</w:t>
            </w:r>
          </w:p>
        </w:tc>
        <w:tc>
          <w:tcPr>
            <w:tcW w:w="1139"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1.110.689.418</w:t>
            </w:r>
          </w:p>
        </w:tc>
        <w:tc>
          <w:tcPr>
            <w:tcW w:w="1139"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1.449.318.508</w:t>
            </w:r>
          </w:p>
        </w:tc>
        <w:tc>
          <w:tcPr>
            <w:tcW w:w="1139"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1.674.241.758</w:t>
            </w:r>
          </w:p>
        </w:tc>
        <w:tc>
          <w:tcPr>
            <w:tcW w:w="1074"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127.510.385</w:t>
            </w:r>
          </w:p>
        </w:tc>
        <w:tc>
          <w:tcPr>
            <w:tcW w:w="1074"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122.704.736</w:t>
            </w:r>
          </w:p>
        </w:tc>
        <w:tc>
          <w:tcPr>
            <w:tcW w:w="1074"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122.524.833</w:t>
            </w:r>
          </w:p>
        </w:tc>
        <w:tc>
          <w:tcPr>
            <w:tcW w:w="1031"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92.028.552</w:t>
            </w:r>
          </w:p>
        </w:tc>
      </w:tr>
      <w:tr w:rsidR="003416AE" w:rsidRPr="00506FD1" w:rsidTr="00D6687C">
        <w:trPr>
          <w:trHeight w:val="479"/>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PPTO Definitivo FUT</w:t>
            </w:r>
          </w:p>
        </w:tc>
        <w:tc>
          <w:tcPr>
            <w:tcW w:w="1139" w:type="dxa"/>
            <w:tcBorders>
              <w:top w:val="nil"/>
              <w:left w:val="single" w:sz="4" w:space="0" w:color="000000"/>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1.168.933.994</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1.085.981.812</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1.674.241.758</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127.510.385</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122704736</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122.524.833</w:t>
            </w:r>
          </w:p>
        </w:tc>
        <w:tc>
          <w:tcPr>
            <w:tcW w:w="1031"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92.028.552</w:t>
            </w:r>
          </w:p>
        </w:tc>
      </w:tr>
      <w:tr w:rsidR="003416AE" w:rsidRPr="00506FD1" w:rsidTr="00D6687C">
        <w:trPr>
          <w:trHeight w:val="272"/>
          <w:jc w:val="center"/>
        </w:trPr>
        <w:tc>
          <w:tcPr>
            <w:tcW w:w="1166" w:type="dxa"/>
            <w:tcBorders>
              <w:top w:val="nil"/>
              <w:left w:val="single" w:sz="8" w:space="0" w:color="auto"/>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Diferencia</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363.336.696</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31"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r>
      <w:tr w:rsidR="003416AE" w:rsidRPr="00506FD1" w:rsidTr="00D6687C">
        <w:trPr>
          <w:trHeight w:val="479"/>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Compromisos (Ejecución)</w:t>
            </w:r>
          </w:p>
        </w:tc>
        <w:tc>
          <w:tcPr>
            <w:tcW w:w="1139" w:type="dxa"/>
            <w:tcBorders>
              <w:top w:val="nil"/>
              <w:left w:val="nil"/>
              <w:bottom w:val="single" w:sz="8" w:space="0" w:color="auto"/>
              <w:right w:val="single" w:sz="8"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1.167.538.943</w:t>
            </w:r>
          </w:p>
        </w:tc>
        <w:tc>
          <w:tcPr>
            <w:tcW w:w="1139"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1.110.689.418</w:t>
            </w:r>
          </w:p>
        </w:tc>
        <w:tc>
          <w:tcPr>
            <w:tcW w:w="1139"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1.449.317.014</w:t>
            </w:r>
          </w:p>
        </w:tc>
        <w:tc>
          <w:tcPr>
            <w:tcW w:w="1139"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1.378.935.727</w:t>
            </w:r>
          </w:p>
        </w:tc>
        <w:tc>
          <w:tcPr>
            <w:tcW w:w="1074"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88.065.698</w:t>
            </w:r>
          </w:p>
        </w:tc>
        <w:tc>
          <w:tcPr>
            <w:tcW w:w="1074"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67.747.532</w:t>
            </w:r>
          </w:p>
        </w:tc>
        <w:tc>
          <w:tcPr>
            <w:tcW w:w="1074"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57.250.000</w:t>
            </w:r>
          </w:p>
        </w:tc>
        <w:tc>
          <w:tcPr>
            <w:tcW w:w="1031"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80.209.900</w:t>
            </w:r>
          </w:p>
        </w:tc>
      </w:tr>
      <w:tr w:rsidR="003416AE" w:rsidRPr="00506FD1" w:rsidTr="00D6687C">
        <w:trPr>
          <w:trHeight w:val="479"/>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Compromisos FUT</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1.167.538.943</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1.085.980.318</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1.378.935.727</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88.065.698</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67747532</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57.250.000</w:t>
            </w:r>
          </w:p>
        </w:tc>
        <w:tc>
          <w:tcPr>
            <w:tcW w:w="1031"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80.209.900</w:t>
            </w:r>
          </w:p>
        </w:tc>
      </w:tr>
      <w:tr w:rsidR="003416AE" w:rsidRPr="00506FD1" w:rsidTr="00D6687C">
        <w:trPr>
          <w:trHeight w:val="272"/>
          <w:jc w:val="center"/>
        </w:trPr>
        <w:tc>
          <w:tcPr>
            <w:tcW w:w="1166" w:type="dxa"/>
            <w:tcBorders>
              <w:top w:val="nil"/>
              <w:left w:val="single" w:sz="8" w:space="0" w:color="auto"/>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Diferencia </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363.336.696</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31"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r>
      <w:tr w:rsidR="003416AE" w:rsidRPr="00506FD1" w:rsidTr="00D6687C">
        <w:trPr>
          <w:trHeight w:val="479"/>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lastRenderedPageBreak/>
              <w:t>Obligaciones (Ejecución)</w:t>
            </w:r>
          </w:p>
        </w:tc>
        <w:tc>
          <w:tcPr>
            <w:tcW w:w="1139" w:type="dxa"/>
            <w:tcBorders>
              <w:top w:val="nil"/>
              <w:left w:val="nil"/>
              <w:bottom w:val="single" w:sz="8" w:space="0" w:color="auto"/>
              <w:right w:val="single" w:sz="8"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1.167.538.943</w:t>
            </w:r>
          </w:p>
        </w:tc>
        <w:tc>
          <w:tcPr>
            <w:tcW w:w="1139"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1.110.689.418</w:t>
            </w:r>
          </w:p>
        </w:tc>
        <w:tc>
          <w:tcPr>
            <w:tcW w:w="1139"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1.449.317.014</w:t>
            </w:r>
          </w:p>
        </w:tc>
        <w:tc>
          <w:tcPr>
            <w:tcW w:w="1139"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1.300.935.727</w:t>
            </w:r>
          </w:p>
        </w:tc>
        <w:tc>
          <w:tcPr>
            <w:tcW w:w="1074"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88.065.698</w:t>
            </w:r>
          </w:p>
        </w:tc>
        <w:tc>
          <w:tcPr>
            <w:tcW w:w="1074"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67.747.532</w:t>
            </w:r>
          </w:p>
        </w:tc>
        <w:tc>
          <w:tcPr>
            <w:tcW w:w="1074"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57.250.000</w:t>
            </w:r>
          </w:p>
        </w:tc>
        <w:tc>
          <w:tcPr>
            <w:tcW w:w="1031"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80.209.900</w:t>
            </w:r>
          </w:p>
        </w:tc>
      </w:tr>
      <w:tr w:rsidR="003416AE" w:rsidRPr="00506FD1" w:rsidTr="00D6687C">
        <w:trPr>
          <w:trHeight w:val="479"/>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Obligaciones FUT</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1.167.538.943</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1.110.689.418</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1.085.980.318</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1.300.935.727</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88.065.698</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67.747.532</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57.250.000</w:t>
            </w:r>
          </w:p>
        </w:tc>
        <w:tc>
          <w:tcPr>
            <w:tcW w:w="1031"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80.209.900</w:t>
            </w:r>
          </w:p>
        </w:tc>
      </w:tr>
      <w:tr w:rsidR="003416AE" w:rsidRPr="00506FD1" w:rsidTr="00D6687C">
        <w:trPr>
          <w:trHeight w:val="272"/>
          <w:jc w:val="center"/>
        </w:trPr>
        <w:tc>
          <w:tcPr>
            <w:tcW w:w="1166" w:type="dxa"/>
            <w:tcBorders>
              <w:top w:val="nil"/>
              <w:left w:val="single" w:sz="8" w:space="0" w:color="auto"/>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Diferencia</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363.336.696</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31"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r>
      <w:tr w:rsidR="003416AE" w:rsidRPr="00506FD1" w:rsidTr="00D6687C">
        <w:trPr>
          <w:trHeight w:val="479"/>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Pagos (Ejecución)</w:t>
            </w:r>
          </w:p>
        </w:tc>
        <w:tc>
          <w:tcPr>
            <w:tcW w:w="1139" w:type="dxa"/>
            <w:tcBorders>
              <w:top w:val="nil"/>
              <w:left w:val="nil"/>
              <w:bottom w:val="single" w:sz="8" w:space="0" w:color="auto"/>
              <w:right w:val="single" w:sz="8" w:space="0" w:color="auto"/>
            </w:tcBorders>
            <w:shd w:val="clear" w:color="auto" w:fill="auto"/>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1.134.535.047</w:t>
            </w:r>
          </w:p>
        </w:tc>
        <w:tc>
          <w:tcPr>
            <w:tcW w:w="1139"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975.746.346</w:t>
            </w:r>
          </w:p>
        </w:tc>
        <w:tc>
          <w:tcPr>
            <w:tcW w:w="1139"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1.305.110.934</w:t>
            </w:r>
          </w:p>
        </w:tc>
        <w:tc>
          <w:tcPr>
            <w:tcW w:w="1139"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1.082.001.879</w:t>
            </w:r>
          </w:p>
        </w:tc>
        <w:tc>
          <w:tcPr>
            <w:tcW w:w="1074"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73.230.668</w:t>
            </w:r>
          </w:p>
        </w:tc>
        <w:tc>
          <w:tcPr>
            <w:tcW w:w="1074"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65.288.332</w:t>
            </w:r>
          </w:p>
        </w:tc>
        <w:tc>
          <w:tcPr>
            <w:tcW w:w="1074"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57.250.000</w:t>
            </w:r>
          </w:p>
        </w:tc>
        <w:tc>
          <w:tcPr>
            <w:tcW w:w="1031" w:type="dxa"/>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76.337.800</w:t>
            </w:r>
          </w:p>
        </w:tc>
      </w:tr>
      <w:tr w:rsidR="003416AE" w:rsidRPr="00506FD1" w:rsidTr="00D6687C">
        <w:trPr>
          <w:trHeight w:val="272"/>
          <w:jc w:val="center"/>
        </w:trPr>
        <w:tc>
          <w:tcPr>
            <w:tcW w:w="1166" w:type="dxa"/>
            <w:tcBorders>
              <w:top w:val="nil"/>
              <w:left w:val="single" w:sz="8" w:space="0" w:color="auto"/>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Pagos FUT</w:t>
            </w:r>
          </w:p>
        </w:tc>
        <w:tc>
          <w:tcPr>
            <w:tcW w:w="113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1.148.164.962</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1.075.214.234</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952.594.837</w:t>
            </w:r>
          </w:p>
        </w:tc>
        <w:tc>
          <w:tcPr>
            <w:tcW w:w="1139"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1.122.836.129</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73.230.668</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56.643.096</w:t>
            </w:r>
          </w:p>
        </w:tc>
        <w:tc>
          <w:tcPr>
            <w:tcW w:w="1074"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57.250.000</w:t>
            </w:r>
          </w:p>
        </w:tc>
        <w:tc>
          <w:tcPr>
            <w:tcW w:w="1031" w:type="dxa"/>
            <w:tcBorders>
              <w:top w:val="single" w:sz="4" w:space="0" w:color="000000"/>
              <w:left w:val="nil"/>
              <w:bottom w:val="single" w:sz="4" w:space="0" w:color="000000"/>
              <w:right w:val="single" w:sz="4" w:space="0" w:color="000000"/>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53.807.800</w:t>
            </w:r>
          </w:p>
        </w:tc>
      </w:tr>
      <w:tr w:rsidR="003416AE" w:rsidRPr="00506FD1" w:rsidTr="00D6687C">
        <w:trPr>
          <w:trHeight w:val="440"/>
          <w:jc w:val="center"/>
        </w:trPr>
        <w:tc>
          <w:tcPr>
            <w:tcW w:w="1166" w:type="dxa"/>
            <w:tcBorders>
              <w:top w:val="nil"/>
              <w:left w:val="single" w:sz="8" w:space="0" w:color="auto"/>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Diferencia</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-13.629.915</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-99.467.888</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352.516.097</w:t>
            </w:r>
          </w:p>
        </w:tc>
        <w:tc>
          <w:tcPr>
            <w:tcW w:w="1139"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-40.834.250</w:t>
            </w:r>
          </w:p>
        </w:tc>
        <w:tc>
          <w:tcPr>
            <w:tcW w:w="1074"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74"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8.645.236</w:t>
            </w:r>
          </w:p>
        </w:tc>
        <w:tc>
          <w:tcPr>
            <w:tcW w:w="1074"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0</w:t>
            </w:r>
          </w:p>
        </w:tc>
        <w:tc>
          <w:tcPr>
            <w:tcW w:w="1031" w:type="dxa"/>
            <w:tcBorders>
              <w:top w:val="nil"/>
              <w:left w:val="nil"/>
              <w:bottom w:val="single" w:sz="8" w:space="0" w:color="auto"/>
              <w:right w:val="single" w:sz="8" w:space="0" w:color="auto"/>
            </w:tcBorders>
            <w:shd w:val="clear" w:color="000000" w:fill="5F497A"/>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22.530.000</w:t>
            </w:r>
          </w:p>
        </w:tc>
      </w:tr>
    </w:tbl>
    <w:p w:rsidR="003416AE" w:rsidRPr="00BE36D3" w:rsidRDefault="003416AE">
      <w:pPr>
        <w:spacing w:line="240" w:lineRule="auto"/>
        <w:contextualSpacing/>
        <w:jc w:val="center"/>
        <w:rPr>
          <w:rFonts w:ascii="Arial" w:eastAsia="Times New Roman" w:hAnsi="Arial" w:cs="Arial"/>
          <w:sz w:val="20"/>
          <w:szCs w:val="20"/>
          <w:lang w:eastAsia="es-CO"/>
        </w:rPr>
      </w:pPr>
      <w:r w:rsidRPr="00BE36D3">
        <w:rPr>
          <w:rFonts w:ascii="Arial" w:eastAsia="Times New Roman" w:hAnsi="Arial" w:cs="Arial"/>
          <w:b/>
          <w:sz w:val="20"/>
          <w:szCs w:val="20"/>
          <w:lang w:eastAsia="es-CO"/>
        </w:rPr>
        <w:t>Fuente:</w:t>
      </w:r>
      <w:r w:rsidRPr="00BE36D3">
        <w:rPr>
          <w:rFonts w:ascii="Arial" w:eastAsia="Times New Roman" w:hAnsi="Arial" w:cs="Arial"/>
          <w:sz w:val="20"/>
          <w:szCs w:val="20"/>
          <w:lang w:eastAsia="es-CO"/>
        </w:rPr>
        <w:t xml:space="preserve"> Cálculos DAF con información de ejecuciones presupuestales e información FUT </w:t>
      </w:r>
      <w:r w:rsidR="00891C21">
        <w:rPr>
          <w:rFonts w:ascii="Arial" w:eastAsia="Times New Roman" w:hAnsi="Arial" w:cs="Arial"/>
          <w:sz w:val="20"/>
          <w:szCs w:val="20"/>
          <w:lang w:eastAsia="es-CO"/>
        </w:rPr>
        <w:t>C</w:t>
      </w:r>
      <w:r w:rsidRPr="00BE36D3">
        <w:rPr>
          <w:rFonts w:ascii="Arial" w:eastAsia="Times New Roman" w:hAnsi="Arial" w:cs="Arial"/>
          <w:sz w:val="20"/>
          <w:szCs w:val="20"/>
          <w:lang w:eastAsia="es-CO"/>
        </w:rPr>
        <w:t xml:space="preserve">ategoría </w:t>
      </w:r>
      <w:r w:rsidR="00891C21">
        <w:rPr>
          <w:rFonts w:ascii="Arial" w:eastAsia="Times New Roman" w:hAnsi="Arial" w:cs="Arial"/>
          <w:sz w:val="20"/>
          <w:szCs w:val="20"/>
          <w:lang w:eastAsia="es-CO"/>
        </w:rPr>
        <w:t>G</w:t>
      </w:r>
      <w:r w:rsidRPr="00BE36D3">
        <w:rPr>
          <w:rFonts w:ascii="Arial" w:eastAsia="Times New Roman" w:hAnsi="Arial" w:cs="Arial"/>
          <w:sz w:val="20"/>
          <w:szCs w:val="20"/>
          <w:lang w:eastAsia="es-CO"/>
        </w:rPr>
        <w:t xml:space="preserve">astos de </w:t>
      </w:r>
      <w:r w:rsidR="00891C21">
        <w:rPr>
          <w:rFonts w:ascii="Arial" w:eastAsia="Times New Roman" w:hAnsi="Arial" w:cs="Arial"/>
          <w:sz w:val="20"/>
          <w:szCs w:val="20"/>
          <w:lang w:eastAsia="es-CO"/>
        </w:rPr>
        <w:t>F</w:t>
      </w:r>
      <w:r w:rsidRPr="00BE36D3">
        <w:rPr>
          <w:rFonts w:ascii="Arial" w:eastAsia="Times New Roman" w:hAnsi="Arial" w:cs="Arial"/>
          <w:sz w:val="20"/>
          <w:szCs w:val="20"/>
          <w:lang w:eastAsia="es-CO"/>
        </w:rPr>
        <w:t xml:space="preserve">uncionamiento y </w:t>
      </w:r>
      <w:r w:rsidR="00891C21">
        <w:rPr>
          <w:rFonts w:ascii="Arial" w:eastAsia="Times New Roman" w:hAnsi="Arial" w:cs="Arial"/>
          <w:sz w:val="20"/>
          <w:szCs w:val="20"/>
          <w:lang w:eastAsia="es-CO"/>
        </w:rPr>
        <w:t>G</w:t>
      </w:r>
      <w:r w:rsidRPr="00BE36D3">
        <w:rPr>
          <w:rFonts w:ascii="Arial" w:eastAsia="Times New Roman" w:hAnsi="Arial" w:cs="Arial"/>
          <w:sz w:val="20"/>
          <w:szCs w:val="20"/>
          <w:lang w:eastAsia="es-CO"/>
        </w:rPr>
        <w:t xml:space="preserve">astos de </w:t>
      </w:r>
      <w:r w:rsidR="00891C21">
        <w:rPr>
          <w:rFonts w:ascii="Arial" w:eastAsia="Times New Roman" w:hAnsi="Arial" w:cs="Arial"/>
          <w:sz w:val="20"/>
          <w:szCs w:val="20"/>
          <w:lang w:eastAsia="es-CO"/>
        </w:rPr>
        <w:t>I</w:t>
      </w:r>
      <w:r w:rsidRPr="00BE36D3">
        <w:rPr>
          <w:rFonts w:ascii="Arial" w:eastAsia="Times New Roman" w:hAnsi="Arial" w:cs="Arial"/>
          <w:sz w:val="20"/>
          <w:szCs w:val="20"/>
          <w:lang w:eastAsia="es-CO"/>
        </w:rPr>
        <w:t>nversión.</w:t>
      </w:r>
    </w:p>
    <w:p w:rsidR="00506FD1" w:rsidRPr="00BE36D3" w:rsidRDefault="00506FD1">
      <w:pPr>
        <w:spacing w:line="240" w:lineRule="auto"/>
        <w:contextualSpacing/>
        <w:jc w:val="both"/>
        <w:rPr>
          <w:rFonts w:ascii="Arial" w:eastAsia="Times New Roman" w:hAnsi="Arial" w:cs="Arial"/>
          <w:lang w:eastAsia="es-CO"/>
        </w:rPr>
      </w:pPr>
    </w:p>
    <w:p w:rsidR="003416AE" w:rsidRPr="00BE36D3" w:rsidRDefault="003416AE">
      <w:pPr>
        <w:spacing w:line="240" w:lineRule="auto"/>
        <w:contextualSpacing/>
        <w:jc w:val="both"/>
        <w:rPr>
          <w:rFonts w:ascii="Arial" w:eastAsia="Times New Roman" w:hAnsi="Arial" w:cs="Arial"/>
          <w:lang w:eastAsia="es-CO"/>
        </w:rPr>
      </w:pPr>
      <w:r w:rsidRPr="00BE36D3">
        <w:rPr>
          <w:rFonts w:ascii="Arial" w:eastAsia="Times New Roman" w:hAnsi="Arial" w:cs="Arial"/>
          <w:lang w:eastAsia="es-CO"/>
        </w:rPr>
        <w:t xml:space="preserve">En cuanto al reporte de gastos, en el </w:t>
      </w:r>
      <w:r w:rsidR="00891C21">
        <w:rPr>
          <w:rFonts w:ascii="Arial" w:eastAsia="Times New Roman" w:hAnsi="Arial" w:cs="Arial"/>
          <w:lang w:eastAsia="es-CO"/>
        </w:rPr>
        <w:t>C</w:t>
      </w:r>
      <w:r w:rsidRPr="00BE36D3">
        <w:rPr>
          <w:rFonts w:ascii="Arial" w:eastAsia="Times New Roman" w:hAnsi="Arial" w:cs="Arial"/>
          <w:lang w:eastAsia="es-CO"/>
        </w:rPr>
        <w:t xml:space="preserve">uadro No. </w:t>
      </w:r>
      <w:r w:rsidR="002A09FB" w:rsidRPr="00BE36D3">
        <w:rPr>
          <w:rFonts w:ascii="Arial" w:eastAsia="Times New Roman" w:hAnsi="Arial" w:cs="Arial"/>
          <w:lang w:eastAsia="es-CO"/>
        </w:rPr>
        <w:t>3</w:t>
      </w:r>
      <w:r w:rsidRPr="00BE36D3">
        <w:rPr>
          <w:rFonts w:ascii="Arial" w:eastAsia="Times New Roman" w:hAnsi="Arial" w:cs="Arial"/>
          <w:lang w:eastAsia="es-CO"/>
        </w:rPr>
        <w:t xml:space="preserve"> se puede observar que se presentan algunas diferencias con las ejecuciones presupuestales del Municipio, en primer lugar, en cuanto al componente de Libre Destinación, en la</w:t>
      </w:r>
      <w:r w:rsidR="002A09FB" w:rsidRPr="00BE36D3">
        <w:rPr>
          <w:rFonts w:ascii="Arial" w:eastAsia="Times New Roman" w:hAnsi="Arial" w:cs="Arial"/>
          <w:lang w:eastAsia="es-CO"/>
        </w:rPr>
        <w:t>s</w:t>
      </w:r>
      <w:r w:rsidRPr="00BE36D3">
        <w:rPr>
          <w:rFonts w:ascii="Arial" w:eastAsia="Times New Roman" w:hAnsi="Arial" w:cs="Arial"/>
          <w:lang w:eastAsia="es-CO"/>
        </w:rPr>
        <w:t xml:space="preserve"> vigencia</w:t>
      </w:r>
      <w:r w:rsidR="002A09FB" w:rsidRPr="00BE36D3">
        <w:rPr>
          <w:rFonts w:ascii="Arial" w:eastAsia="Times New Roman" w:hAnsi="Arial" w:cs="Arial"/>
          <w:lang w:eastAsia="es-CO"/>
        </w:rPr>
        <w:t>s</w:t>
      </w:r>
      <w:r w:rsidRPr="00BE36D3">
        <w:rPr>
          <w:rFonts w:ascii="Arial" w:eastAsia="Times New Roman" w:hAnsi="Arial" w:cs="Arial"/>
          <w:lang w:eastAsia="es-CO"/>
        </w:rPr>
        <w:t xml:space="preserve"> 2017 y 2018 se presentaron diferencias en los pagos por valor de $13.629.915 y $99.467.888 respectivamente. En segundo lugar, en Libre Inversión se identificó que en la vigencia 2017 hay inconsistencias entre el reporte y la ejecución presupuestal para el caso del presupuesto definitivo, los compromisos y las obligaciones por valor de $363.336.696 y de $352.516.097 en los pagos; en 2018 esta diferencia solo se presentó en los pagos y fue de $40.834.250.</w:t>
      </w:r>
    </w:p>
    <w:p w:rsidR="00506FD1" w:rsidRPr="00BE36D3" w:rsidRDefault="00506FD1">
      <w:pPr>
        <w:spacing w:line="240" w:lineRule="auto"/>
        <w:contextualSpacing/>
        <w:jc w:val="both"/>
        <w:rPr>
          <w:rFonts w:ascii="Arial" w:eastAsia="Times New Roman" w:hAnsi="Arial" w:cs="Arial"/>
          <w:lang w:eastAsia="es-CO"/>
        </w:rPr>
      </w:pPr>
    </w:p>
    <w:p w:rsidR="00765E8F" w:rsidRDefault="003416AE">
      <w:pPr>
        <w:spacing w:line="240" w:lineRule="auto"/>
        <w:contextualSpacing/>
        <w:jc w:val="both"/>
        <w:rPr>
          <w:rFonts w:ascii="Arial" w:eastAsia="Times New Roman" w:hAnsi="Arial" w:cs="Arial"/>
          <w:lang w:eastAsia="es-CO"/>
        </w:rPr>
      </w:pPr>
      <w:r w:rsidRPr="00BE36D3">
        <w:rPr>
          <w:rFonts w:ascii="Arial" w:eastAsia="Times New Roman" w:hAnsi="Arial" w:cs="Arial"/>
          <w:lang w:eastAsia="es-CO"/>
        </w:rPr>
        <w:t>En ter</w:t>
      </w:r>
      <w:r w:rsidR="00765E8F" w:rsidRPr="00BE36D3">
        <w:rPr>
          <w:rFonts w:ascii="Arial" w:eastAsia="Times New Roman" w:hAnsi="Arial" w:cs="Arial"/>
          <w:lang w:eastAsia="es-CO"/>
        </w:rPr>
        <w:t>c</w:t>
      </w:r>
      <w:r w:rsidRPr="00BE36D3">
        <w:rPr>
          <w:rFonts w:ascii="Arial" w:eastAsia="Times New Roman" w:hAnsi="Arial" w:cs="Arial"/>
          <w:lang w:eastAsia="es-CO"/>
        </w:rPr>
        <w:t>er lugar, en cuanto a la destinación para Deporte y Recreación no se presentó ninguna diferencia en la vigencia 2017, sin embargo, en 2018 se registró una diferencia en el reporte de pagos por valor de $8.645.236. Finalmente, en Cultura en la vigencia 2018 se observa una inconsistencia de $22.530.000 en los pagos</w:t>
      </w:r>
      <w:r w:rsidR="002A09FB" w:rsidRPr="00BE36D3">
        <w:rPr>
          <w:rFonts w:ascii="Arial" w:eastAsia="Times New Roman" w:hAnsi="Arial" w:cs="Arial"/>
          <w:lang w:eastAsia="es-CO"/>
        </w:rPr>
        <w:t>.</w:t>
      </w:r>
    </w:p>
    <w:p w:rsidR="00891C21" w:rsidRPr="00BE36D3" w:rsidRDefault="00891C21">
      <w:pPr>
        <w:spacing w:line="240" w:lineRule="auto"/>
        <w:contextualSpacing/>
        <w:jc w:val="both"/>
        <w:rPr>
          <w:rFonts w:ascii="Arial" w:eastAsia="Times New Roman" w:hAnsi="Arial" w:cs="Arial"/>
          <w:lang w:eastAsia="es-CO"/>
        </w:rPr>
      </w:pPr>
    </w:p>
    <w:p w:rsidR="003416AE" w:rsidRPr="00BE36D3" w:rsidRDefault="003416AE">
      <w:pPr>
        <w:pStyle w:val="Prrafodelista"/>
        <w:numPr>
          <w:ilvl w:val="0"/>
          <w:numId w:val="20"/>
        </w:numPr>
        <w:spacing w:line="240" w:lineRule="auto"/>
        <w:jc w:val="both"/>
        <w:rPr>
          <w:rFonts w:ascii="Arial" w:eastAsia="Times New Roman" w:hAnsi="Arial" w:cs="Arial"/>
          <w:b/>
          <w:lang w:eastAsia="es-CO"/>
        </w:rPr>
      </w:pPr>
      <w:r w:rsidRPr="00BE36D3">
        <w:rPr>
          <w:rFonts w:ascii="Arial" w:hAnsi="Arial" w:cs="Arial"/>
          <w:b/>
          <w:bCs/>
        </w:rPr>
        <w:t>Cierre fiscal</w:t>
      </w:r>
    </w:p>
    <w:p w:rsidR="00506FD1" w:rsidRPr="00BE36D3" w:rsidRDefault="00506FD1">
      <w:pPr>
        <w:spacing w:line="240" w:lineRule="auto"/>
        <w:contextualSpacing/>
        <w:jc w:val="both"/>
        <w:rPr>
          <w:rFonts w:ascii="Arial" w:eastAsia="Times New Roman" w:hAnsi="Arial" w:cs="Arial"/>
          <w:b/>
          <w:lang w:eastAsia="es-CO"/>
        </w:rPr>
      </w:pPr>
    </w:p>
    <w:p w:rsidR="003416AE" w:rsidRPr="00BE36D3" w:rsidRDefault="003416AE">
      <w:pPr>
        <w:pStyle w:val="Prrafodelista"/>
        <w:spacing w:after="0" w:line="240" w:lineRule="auto"/>
        <w:jc w:val="center"/>
        <w:rPr>
          <w:rFonts w:ascii="Arial" w:eastAsia="Arial Narrow" w:hAnsi="Arial" w:cs="Arial"/>
          <w:b/>
          <w:bCs/>
          <w:sz w:val="20"/>
          <w:szCs w:val="20"/>
        </w:rPr>
      </w:pPr>
      <w:r w:rsidRPr="00BE36D3">
        <w:rPr>
          <w:rFonts w:ascii="Arial" w:eastAsia="Arial Narrow" w:hAnsi="Arial" w:cs="Arial"/>
          <w:b/>
          <w:bCs/>
          <w:sz w:val="20"/>
          <w:szCs w:val="20"/>
        </w:rPr>
        <w:t xml:space="preserve">Cuadro No. </w:t>
      </w:r>
      <w:r w:rsidR="002A09FB" w:rsidRPr="00BE36D3">
        <w:rPr>
          <w:rFonts w:ascii="Arial" w:eastAsia="Arial Narrow" w:hAnsi="Arial" w:cs="Arial"/>
          <w:b/>
          <w:bCs/>
          <w:sz w:val="20"/>
          <w:szCs w:val="20"/>
        </w:rPr>
        <w:t>4</w:t>
      </w:r>
    </w:p>
    <w:p w:rsidR="003416AE" w:rsidRPr="00BE36D3" w:rsidRDefault="003416AE">
      <w:pPr>
        <w:pStyle w:val="Prrafodelista"/>
        <w:spacing w:after="0" w:line="240" w:lineRule="auto"/>
        <w:jc w:val="center"/>
        <w:rPr>
          <w:rFonts w:ascii="Arial" w:hAnsi="Arial" w:cs="Arial"/>
          <w:sz w:val="20"/>
          <w:szCs w:val="20"/>
        </w:rPr>
      </w:pPr>
      <w:r w:rsidRPr="00BE36D3">
        <w:rPr>
          <w:rFonts w:ascii="Arial" w:hAnsi="Arial" w:cs="Arial"/>
          <w:sz w:val="20"/>
          <w:szCs w:val="20"/>
        </w:rPr>
        <w:t>Cierre Fiscal Participación de Propósito General vigencia 2017</w:t>
      </w:r>
    </w:p>
    <w:p w:rsidR="003416AE" w:rsidRPr="00BE36D3" w:rsidRDefault="003416AE">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3416AE" w:rsidRPr="00BE36D3" w:rsidRDefault="003416AE">
      <w:pPr>
        <w:pStyle w:val="Prrafodelista"/>
        <w:spacing w:after="0" w:line="240" w:lineRule="auto"/>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tbl>
      <w:tblPr>
        <w:tblW w:w="5000" w:type="pct"/>
        <w:tblCellMar>
          <w:left w:w="70" w:type="dxa"/>
          <w:right w:w="70" w:type="dxa"/>
        </w:tblCellMar>
        <w:tblLook w:val="04A0" w:firstRow="1" w:lastRow="0" w:firstColumn="1" w:lastColumn="0" w:noHBand="0" w:noVBand="1"/>
      </w:tblPr>
      <w:tblGrid>
        <w:gridCol w:w="2046"/>
        <w:gridCol w:w="1451"/>
        <w:gridCol w:w="1481"/>
        <w:gridCol w:w="1196"/>
        <w:gridCol w:w="1353"/>
        <w:gridCol w:w="1291"/>
      </w:tblGrid>
      <w:tr w:rsidR="003416AE" w:rsidRPr="00891C21" w:rsidTr="00817F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Sector Propósito General Cierre Fiscal 2017 - Saldo en Caja FUT (cifras en pesos) </w:t>
            </w:r>
          </w:p>
        </w:tc>
      </w:tr>
      <w:tr w:rsidR="003416AE" w:rsidRPr="00891C21" w:rsidTr="00817F3B">
        <w:trPr>
          <w:trHeight w:val="555"/>
        </w:trPr>
        <w:tc>
          <w:tcPr>
            <w:tcW w:w="1160" w:type="pct"/>
            <w:vMerge w:val="restart"/>
            <w:tcBorders>
              <w:top w:val="nil"/>
              <w:left w:val="single" w:sz="8" w:space="0" w:color="auto"/>
              <w:bottom w:val="single" w:sz="8" w:space="0" w:color="000000"/>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 Destinaciones</w:t>
            </w:r>
          </w:p>
        </w:tc>
        <w:tc>
          <w:tcPr>
            <w:tcW w:w="823" w:type="pct"/>
            <w:tcBorders>
              <w:top w:val="nil"/>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 Saldo en Cajas </w:t>
            </w:r>
          </w:p>
        </w:tc>
        <w:tc>
          <w:tcPr>
            <w:tcW w:w="840" w:type="pct"/>
            <w:tcBorders>
              <w:top w:val="nil"/>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themeColor="background1"/>
                <w:sz w:val="16"/>
                <w:szCs w:val="16"/>
                <w:lang w:eastAsia="es-CO"/>
              </w:rPr>
            </w:pPr>
            <w:r w:rsidRPr="00BE36D3">
              <w:rPr>
                <w:rFonts w:ascii="Arial" w:eastAsia="Times New Roman" w:hAnsi="Arial" w:cs="Arial"/>
                <w:b/>
                <w:bCs/>
                <w:color w:val="FFFFFF" w:themeColor="background1"/>
                <w:sz w:val="16"/>
                <w:szCs w:val="16"/>
                <w:lang w:eastAsia="es-CO"/>
              </w:rPr>
              <w:t xml:space="preserve"> Ctas x Pagar Vigencia </w:t>
            </w:r>
          </w:p>
        </w:tc>
        <w:tc>
          <w:tcPr>
            <w:tcW w:w="678" w:type="pct"/>
            <w:tcBorders>
              <w:top w:val="nil"/>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themeColor="background1"/>
                <w:sz w:val="16"/>
                <w:szCs w:val="16"/>
                <w:lang w:eastAsia="es-CO"/>
              </w:rPr>
            </w:pPr>
            <w:r w:rsidRPr="00BE36D3">
              <w:rPr>
                <w:rFonts w:ascii="Arial" w:eastAsia="Times New Roman" w:hAnsi="Arial" w:cs="Arial"/>
                <w:b/>
                <w:bCs/>
                <w:color w:val="FFFFFF" w:themeColor="background1"/>
                <w:sz w:val="16"/>
                <w:szCs w:val="16"/>
                <w:lang w:eastAsia="es-CO"/>
              </w:rPr>
              <w:t xml:space="preserve"> Ctas x Pagar Vigencia Anterior </w:t>
            </w:r>
          </w:p>
        </w:tc>
        <w:tc>
          <w:tcPr>
            <w:tcW w:w="767" w:type="pct"/>
            <w:tcBorders>
              <w:top w:val="nil"/>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 Reservas Presupuestales </w:t>
            </w:r>
          </w:p>
        </w:tc>
        <w:tc>
          <w:tcPr>
            <w:tcW w:w="732" w:type="pct"/>
            <w:tcBorders>
              <w:top w:val="nil"/>
              <w:left w:val="nil"/>
              <w:bottom w:val="single" w:sz="8" w:space="0" w:color="auto"/>
              <w:right w:val="single" w:sz="8"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 Superávit o Déficit </w:t>
            </w:r>
          </w:p>
        </w:tc>
      </w:tr>
      <w:tr w:rsidR="003416AE" w:rsidRPr="00891C21" w:rsidTr="00817F3B">
        <w:trPr>
          <w:trHeight w:val="330"/>
        </w:trPr>
        <w:tc>
          <w:tcPr>
            <w:tcW w:w="1160" w:type="pct"/>
            <w:vMerge/>
            <w:tcBorders>
              <w:top w:val="nil"/>
              <w:left w:val="single" w:sz="8" w:space="0" w:color="auto"/>
              <w:bottom w:val="single" w:sz="8" w:space="0" w:color="000000"/>
              <w:right w:val="single" w:sz="8" w:space="0" w:color="auto"/>
            </w:tcBorders>
            <w:vAlign w:val="center"/>
            <w:hideMark/>
          </w:tcPr>
          <w:p w:rsidR="003416AE" w:rsidRPr="00BE36D3" w:rsidRDefault="003416AE">
            <w:pPr>
              <w:spacing w:after="0" w:line="240" w:lineRule="auto"/>
              <w:contextualSpacing/>
              <w:rPr>
                <w:rFonts w:ascii="Arial" w:eastAsia="Times New Roman" w:hAnsi="Arial" w:cs="Arial"/>
                <w:b/>
                <w:bCs/>
                <w:color w:val="FFFFFF"/>
                <w:sz w:val="16"/>
                <w:szCs w:val="16"/>
                <w:lang w:eastAsia="es-CO"/>
              </w:rPr>
            </w:pPr>
          </w:p>
        </w:tc>
        <w:tc>
          <w:tcPr>
            <w:tcW w:w="823" w:type="pct"/>
            <w:tcBorders>
              <w:top w:val="nil"/>
              <w:left w:val="nil"/>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$568.710.859</w:t>
            </w:r>
          </w:p>
        </w:tc>
        <w:tc>
          <w:tcPr>
            <w:tcW w:w="840" w:type="pct"/>
            <w:tcBorders>
              <w:top w:val="nil"/>
              <w:left w:val="nil"/>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$193.545.006</w:t>
            </w:r>
          </w:p>
        </w:tc>
        <w:tc>
          <w:tcPr>
            <w:tcW w:w="678" w:type="pct"/>
            <w:tcBorders>
              <w:top w:val="nil"/>
              <w:left w:val="nil"/>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sz w:val="16"/>
                <w:szCs w:val="16"/>
                <w:lang w:eastAsia="es-CO"/>
              </w:rPr>
            </w:pPr>
            <w:r w:rsidRPr="00BE36D3">
              <w:rPr>
                <w:rFonts w:ascii="Arial" w:eastAsia="Times New Roman" w:hAnsi="Arial" w:cs="Arial"/>
                <w:b/>
                <w:bCs/>
                <w:sz w:val="16"/>
                <w:szCs w:val="16"/>
                <w:lang w:eastAsia="es-CO"/>
              </w:rPr>
              <w:t>$0</w:t>
            </w:r>
          </w:p>
        </w:tc>
        <w:tc>
          <w:tcPr>
            <w:tcW w:w="767" w:type="pct"/>
            <w:tcBorders>
              <w:top w:val="nil"/>
              <w:left w:val="nil"/>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c>
          <w:tcPr>
            <w:tcW w:w="732" w:type="pct"/>
            <w:tcBorders>
              <w:top w:val="nil"/>
              <w:left w:val="nil"/>
              <w:bottom w:val="single" w:sz="8" w:space="0" w:color="auto"/>
              <w:right w:val="single" w:sz="8"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$375.165.853</w:t>
            </w:r>
          </w:p>
        </w:tc>
      </w:tr>
      <w:tr w:rsidR="003416AE" w:rsidRPr="00891C21" w:rsidTr="00817F3B">
        <w:trPr>
          <w:trHeight w:val="330"/>
        </w:trPr>
        <w:tc>
          <w:tcPr>
            <w:tcW w:w="1160" w:type="pct"/>
            <w:tcBorders>
              <w:top w:val="nil"/>
              <w:left w:val="single" w:sz="8" w:space="0" w:color="auto"/>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 Libre Inversión</w:t>
            </w:r>
          </w:p>
        </w:tc>
        <w:tc>
          <w:tcPr>
            <w:tcW w:w="823"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$568.710.859</w:t>
            </w:r>
          </w:p>
        </w:tc>
        <w:tc>
          <w:tcPr>
            <w:tcW w:w="840"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$193.545.006</w:t>
            </w:r>
          </w:p>
        </w:tc>
        <w:tc>
          <w:tcPr>
            <w:tcW w:w="678"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767"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32"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$375.165.853</w:t>
            </w:r>
          </w:p>
        </w:tc>
      </w:tr>
      <w:tr w:rsidR="003416AE" w:rsidRPr="00891C21" w:rsidTr="00817F3B">
        <w:trPr>
          <w:trHeight w:val="330"/>
        </w:trPr>
        <w:tc>
          <w:tcPr>
            <w:tcW w:w="1160" w:type="pct"/>
            <w:tcBorders>
              <w:top w:val="nil"/>
              <w:left w:val="single" w:sz="8" w:space="0" w:color="auto"/>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lastRenderedPageBreak/>
              <w:t>1.2. Deporte y Recreación</w:t>
            </w:r>
          </w:p>
        </w:tc>
        <w:tc>
          <w:tcPr>
            <w:tcW w:w="823"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840"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678"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767"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32"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r>
      <w:tr w:rsidR="003416AE" w:rsidRPr="00891C21" w:rsidTr="00817F3B">
        <w:trPr>
          <w:trHeight w:val="330"/>
        </w:trPr>
        <w:tc>
          <w:tcPr>
            <w:tcW w:w="1160" w:type="pct"/>
            <w:tcBorders>
              <w:top w:val="nil"/>
              <w:left w:val="single" w:sz="8" w:space="0" w:color="auto"/>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 Cultura</w:t>
            </w:r>
          </w:p>
        </w:tc>
        <w:tc>
          <w:tcPr>
            <w:tcW w:w="823"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840"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678"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767"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32" w:type="pct"/>
            <w:tcBorders>
              <w:top w:val="nil"/>
              <w:left w:val="nil"/>
              <w:bottom w:val="single" w:sz="8" w:space="0" w:color="auto"/>
              <w:right w:val="single" w:sz="8"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r>
    </w:tbl>
    <w:p w:rsidR="003416AE" w:rsidRPr="00BE36D3" w:rsidRDefault="003416AE">
      <w:pPr>
        <w:spacing w:line="240" w:lineRule="auto"/>
        <w:contextualSpacing/>
        <w:jc w:val="center"/>
        <w:rPr>
          <w:rFonts w:ascii="Arial" w:eastAsia="Times New Roman" w:hAnsi="Arial" w:cs="Arial"/>
          <w:sz w:val="20"/>
          <w:szCs w:val="20"/>
          <w:lang w:eastAsia="es-CO"/>
        </w:rPr>
      </w:pPr>
      <w:r w:rsidRPr="00BE36D3">
        <w:rPr>
          <w:rFonts w:ascii="Arial" w:eastAsia="Times New Roman" w:hAnsi="Arial" w:cs="Arial"/>
          <w:b/>
          <w:sz w:val="20"/>
          <w:szCs w:val="20"/>
          <w:lang w:eastAsia="es-CO"/>
        </w:rPr>
        <w:t>Fuente:</w:t>
      </w:r>
      <w:r w:rsidRPr="00BE36D3">
        <w:rPr>
          <w:rFonts w:ascii="Arial" w:eastAsia="Times New Roman" w:hAnsi="Arial" w:cs="Arial"/>
          <w:sz w:val="20"/>
          <w:szCs w:val="20"/>
          <w:lang w:eastAsia="es-CO"/>
        </w:rPr>
        <w:t xml:space="preserve"> Cálculos DAF con información FUT </w:t>
      </w:r>
      <w:r w:rsidR="00891C21">
        <w:rPr>
          <w:rFonts w:ascii="Arial" w:eastAsia="Times New Roman" w:hAnsi="Arial" w:cs="Arial"/>
          <w:sz w:val="20"/>
          <w:szCs w:val="20"/>
          <w:lang w:eastAsia="es-CO"/>
        </w:rPr>
        <w:t>C</w:t>
      </w:r>
      <w:r w:rsidRPr="00BE36D3">
        <w:rPr>
          <w:rFonts w:ascii="Arial" w:eastAsia="Times New Roman" w:hAnsi="Arial" w:cs="Arial"/>
          <w:sz w:val="20"/>
          <w:szCs w:val="20"/>
          <w:lang w:eastAsia="es-CO"/>
        </w:rPr>
        <w:t xml:space="preserve">ategoría </w:t>
      </w:r>
      <w:r w:rsidR="00891C21">
        <w:rPr>
          <w:rFonts w:ascii="Arial" w:eastAsia="Times New Roman" w:hAnsi="Arial" w:cs="Arial"/>
          <w:sz w:val="20"/>
          <w:szCs w:val="20"/>
          <w:lang w:eastAsia="es-CO"/>
        </w:rPr>
        <w:t>C</w:t>
      </w:r>
      <w:r w:rsidRPr="00BE36D3">
        <w:rPr>
          <w:rFonts w:ascii="Arial" w:eastAsia="Times New Roman" w:hAnsi="Arial" w:cs="Arial"/>
          <w:sz w:val="20"/>
          <w:szCs w:val="20"/>
          <w:lang w:eastAsia="es-CO"/>
        </w:rPr>
        <w:t xml:space="preserve">ierre </w:t>
      </w:r>
      <w:r w:rsidR="00891C21">
        <w:rPr>
          <w:rFonts w:ascii="Arial" w:eastAsia="Times New Roman" w:hAnsi="Arial" w:cs="Arial"/>
          <w:sz w:val="20"/>
          <w:szCs w:val="20"/>
          <w:lang w:eastAsia="es-CO"/>
        </w:rPr>
        <w:t>F</w:t>
      </w:r>
      <w:r w:rsidRPr="00BE36D3">
        <w:rPr>
          <w:rFonts w:ascii="Arial" w:eastAsia="Times New Roman" w:hAnsi="Arial" w:cs="Arial"/>
          <w:sz w:val="20"/>
          <w:szCs w:val="20"/>
          <w:lang w:eastAsia="es-CO"/>
        </w:rPr>
        <w:t>iscal.</w:t>
      </w:r>
    </w:p>
    <w:p w:rsidR="00506FD1" w:rsidRPr="00BE36D3" w:rsidRDefault="00506FD1">
      <w:pPr>
        <w:spacing w:after="0" w:line="240" w:lineRule="auto"/>
        <w:contextualSpacing/>
        <w:jc w:val="both"/>
        <w:rPr>
          <w:rFonts w:ascii="Arial" w:eastAsia="Arial Narrow" w:hAnsi="Arial" w:cs="Arial"/>
        </w:rPr>
      </w:pPr>
    </w:p>
    <w:p w:rsidR="003416AE" w:rsidRPr="00BE36D3" w:rsidRDefault="003416AE">
      <w:pPr>
        <w:spacing w:after="0" w:line="240" w:lineRule="auto"/>
        <w:contextualSpacing/>
        <w:jc w:val="both"/>
        <w:rPr>
          <w:rFonts w:ascii="Arial" w:eastAsia="Arial Narrow" w:hAnsi="Arial" w:cs="Arial"/>
        </w:rPr>
      </w:pPr>
      <w:r w:rsidRPr="00BE36D3">
        <w:rPr>
          <w:rFonts w:ascii="Arial" w:eastAsia="Arial Narrow" w:hAnsi="Arial" w:cs="Arial"/>
        </w:rPr>
        <w:t xml:space="preserve">En la vigencia 2017 el Municipio de Santiago de Tolú - Sucre reportó todos los componentes del cierre fiscal en el componente de Libre Inversión, como se puede observar en el Cuadro No. </w:t>
      </w:r>
      <w:r w:rsidR="002A09FB" w:rsidRPr="00BE36D3">
        <w:rPr>
          <w:rFonts w:ascii="Arial" w:eastAsia="Arial Narrow" w:hAnsi="Arial" w:cs="Arial"/>
        </w:rPr>
        <w:t>4</w:t>
      </w:r>
      <w:r w:rsidRPr="00BE36D3">
        <w:rPr>
          <w:rFonts w:ascii="Arial" w:eastAsia="Arial Narrow" w:hAnsi="Arial" w:cs="Arial"/>
        </w:rPr>
        <w:t xml:space="preserve">, a pesar de que los recursos del superávit fiscal y las cuentas por pagar se generaron en los componentes de Libre Inversión, Libre Destinación, Deporte y Cultura como lo muestran las ejecuciones presupuestales enviadas por la </w:t>
      </w:r>
      <w:r w:rsidR="00891C21">
        <w:rPr>
          <w:rFonts w:ascii="Arial" w:eastAsia="Arial Narrow" w:hAnsi="Arial" w:cs="Arial"/>
        </w:rPr>
        <w:t>E</w:t>
      </w:r>
      <w:r w:rsidRPr="00BE36D3">
        <w:rPr>
          <w:rFonts w:ascii="Arial" w:eastAsia="Arial Narrow" w:hAnsi="Arial" w:cs="Arial"/>
        </w:rPr>
        <w:t xml:space="preserve">ntidad </w:t>
      </w:r>
      <w:r w:rsidR="00891C21">
        <w:rPr>
          <w:rFonts w:ascii="Arial" w:eastAsia="Arial Narrow" w:hAnsi="Arial" w:cs="Arial"/>
        </w:rPr>
        <w:t>T</w:t>
      </w:r>
      <w:r w:rsidRPr="00BE36D3">
        <w:rPr>
          <w:rFonts w:ascii="Arial" w:eastAsia="Arial Narrow" w:hAnsi="Arial" w:cs="Arial"/>
        </w:rPr>
        <w:t xml:space="preserve">erritorial. El saldo mínimo disponible en caja concuerda con el saldo contenido en el extracto bancario al cierre de la vigencia. Así mismo, se presenta </w:t>
      </w:r>
      <w:r w:rsidR="002A09FB" w:rsidRPr="00BE36D3">
        <w:rPr>
          <w:rFonts w:ascii="Arial" w:eastAsia="Arial Narrow" w:hAnsi="Arial" w:cs="Arial"/>
        </w:rPr>
        <w:t>una</w:t>
      </w:r>
      <w:r w:rsidRPr="00BE36D3">
        <w:rPr>
          <w:rFonts w:ascii="Arial" w:eastAsia="Arial Narrow" w:hAnsi="Arial" w:cs="Arial"/>
        </w:rPr>
        <w:t xml:space="preserve"> diferencia entre el resultado presupuestal debido a que se reporta un superávit de $375.165.853 mientras que en el ejercicio realizado con base en las ejecuciones presupuestales este arrojó un superávit de $106.116.065.</w:t>
      </w:r>
    </w:p>
    <w:p w:rsidR="003416AE" w:rsidRPr="00BE36D3" w:rsidRDefault="003416AE">
      <w:pPr>
        <w:spacing w:after="0" w:line="240" w:lineRule="auto"/>
        <w:contextualSpacing/>
        <w:jc w:val="both"/>
        <w:rPr>
          <w:rFonts w:ascii="Arial" w:eastAsia="Arial Narrow" w:hAnsi="Arial" w:cs="Arial"/>
        </w:rPr>
      </w:pPr>
    </w:p>
    <w:p w:rsidR="003416AE" w:rsidRPr="00BE36D3" w:rsidRDefault="003416AE">
      <w:pPr>
        <w:spacing w:after="0" w:line="240" w:lineRule="auto"/>
        <w:contextualSpacing/>
        <w:jc w:val="both"/>
        <w:rPr>
          <w:rFonts w:ascii="Arial" w:eastAsia="Arial Narrow" w:hAnsi="Arial" w:cs="Arial"/>
        </w:rPr>
      </w:pPr>
      <w:r w:rsidRPr="00BE36D3">
        <w:rPr>
          <w:rFonts w:ascii="Arial" w:eastAsia="Arial Narrow" w:hAnsi="Arial" w:cs="Arial"/>
        </w:rPr>
        <w:t>En cuanto a las cuentas por pagar, estas ascienden a $193.545.006 en el reporte FUT, un valor cercano a lo arrojado por el ejercicio de cierre hecho por esta Dirección. Al respecto, el Informe de Monitoreo en campo remitido por el Departamento Nacional de Planeación encontró unas inconsistencias entre el valor reportado y el valor que aparece en el Decreto de Constitución de las Cuentas por Pagar en los componentes de Libre Destinación y Libre Inversión, como se muestra a continuación:</w:t>
      </w:r>
    </w:p>
    <w:p w:rsidR="00EE3004" w:rsidRPr="00BE36D3" w:rsidRDefault="00EE3004">
      <w:pPr>
        <w:spacing w:line="240" w:lineRule="auto"/>
        <w:contextualSpacing/>
        <w:rPr>
          <w:rFonts w:ascii="Arial" w:eastAsia="Arial Narrow" w:hAnsi="Arial" w:cs="Arial"/>
          <w:sz w:val="24"/>
          <w:szCs w:val="24"/>
        </w:rPr>
      </w:pPr>
      <w:r w:rsidRPr="00BE36D3">
        <w:rPr>
          <w:rFonts w:ascii="Arial" w:eastAsia="Arial Narrow" w:hAnsi="Arial" w:cs="Arial"/>
          <w:sz w:val="24"/>
          <w:szCs w:val="24"/>
        </w:rPr>
        <w:br w:type="page"/>
      </w:r>
    </w:p>
    <w:p w:rsidR="003416AE" w:rsidRPr="00BE36D3" w:rsidRDefault="003416AE">
      <w:pPr>
        <w:pStyle w:val="Prrafodelista"/>
        <w:spacing w:after="0" w:line="240" w:lineRule="auto"/>
        <w:jc w:val="center"/>
        <w:rPr>
          <w:rFonts w:ascii="Arial" w:eastAsia="Arial Narrow" w:hAnsi="Arial" w:cs="Arial"/>
          <w:b/>
          <w:bCs/>
          <w:sz w:val="20"/>
          <w:szCs w:val="20"/>
        </w:rPr>
      </w:pPr>
      <w:r w:rsidRPr="00BE36D3">
        <w:rPr>
          <w:rFonts w:ascii="Arial" w:eastAsia="Arial Narrow" w:hAnsi="Arial" w:cs="Arial"/>
          <w:b/>
          <w:bCs/>
          <w:sz w:val="20"/>
          <w:szCs w:val="20"/>
        </w:rPr>
        <w:lastRenderedPageBreak/>
        <w:t xml:space="preserve">Cuadro No. </w:t>
      </w:r>
      <w:r w:rsidR="002A09FB" w:rsidRPr="00BE36D3">
        <w:rPr>
          <w:rFonts w:ascii="Arial" w:eastAsia="Arial Narrow" w:hAnsi="Arial" w:cs="Arial"/>
          <w:b/>
          <w:bCs/>
          <w:sz w:val="20"/>
          <w:szCs w:val="20"/>
        </w:rPr>
        <w:t>5</w:t>
      </w:r>
    </w:p>
    <w:p w:rsidR="003416AE" w:rsidRPr="00BE36D3" w:rsidRDefault="003416AE">
      <w:pPr>
        <w:pStyle w:val="Prrafodelista"/>
        <w:spacing w:after="0" w:line="240" w:lineRule="auto"/>
        <w:jc w:val="center"/>
        <w:rPr>
          <w:rFonts w:ascii="Arial" w:hAnsi="Arial" w:cs="Arial"/>
          <w:sz w:val="20"/>
          <w:szCs w:val="20"/>
        </w:rPr>
      </w:pPr>
      <w:r w:rsidRPr="00BE36D3">
        <w:rPr>
          <w:rFonts w:ascii="Arial" w:hAnsi="Arial" w:cs="Arial"/>
          <w:sz w:val="20"/>
          <w:szCs w:val="20"/>
        </w:rPr>
        <w:t>Cuentas por pagar Participación de Propósito General vigencia 2017</w:t>
      </w:r>
    </w:p>
    <w:p w:rsidR="003416AE" w:rsidRPr="00BE36D3" w:rsidRDefault="003416AE">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3416AE" w:rsidRPr="00BE36D3" w:rsidRDefault="003416AE">
      <w:pPr>
        <w:pStyle w:val="Prrafodelista"/>
        <w:spacing w:after="0" w:line="240" w:lineRule="auto"/>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tbl>
      <w:tblPr>
        <w:tblW w:w="7920" w:type="dxa"/>
        <w:jc w:val="center"/>
        <w:tblCellMar>
          <w:left w:w="70" w:type="dxa"/>
          <w:right w:w="70" w:type="dxa"/>
        </w:tblCellMar>
        <w:tblLook w:val="04A0" w:firstRow="1" w:lastRow="0" w:firstColumn="1" w:lastColumn="0" w:noHBand="0" w:noVBand="1"/>
      </w:tblPr>
      <w:tblGrid>
        <w:gridCol w:w="2460"/>
        <w:gridCol w:w="1860"/>
        <w:gridCol w:w="1920"/>
        <w:gridCol w:w="1680"/>
      </w:tblGrid>
      <w:tr w:rsidR="003416AE" w:rsidRPr="00891C21" w:rsidTr="00817F3B">
        <w:trPr>
          <w:trHeight w:val="990"/>
          <w:jc w:val="center"/>
        </w:trPr>
        <w:tc>
          <w:tcPr>
            <w:tcW w:w="2460"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Fuente</w:t>
            </w:r>
          </w:p>
        </w:tc>
        <w:tc>
          <w:tcPr>
            <w:tcW w:w="1860" w:type="dxa"/>
            <w:tcBorders>
              <w:top w:val="single" w:sz="4" w:space="0" w:color="auto"/>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Cuentas por pagar presupuesto 2017</w:t>
            </w:r>
          </w:p>
        </w:tc>
        <w:tc>
          <w:tcPr>
            <w:tcW w:w="1920" w:type="dxa"/>
            <w:tcBorders>
              <w:top w:val="single" w:sz="4" w:space="0" w:color="auto"/>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Cuentas por pagar decreto No. 1 del 2 de enero de 2018</w:t>
            </w:r>
          </w:p>
        </w:tc>
        <w:tc>
          <w:tcPr>
            <w:tcW w:w="1680" w:type="dxa"/>
            <w:tcBorders>
              <w:top w:val="single" w:sz="4" w:space="0" w:color="auto"/>
              <w:left w:val="nil"/>
              <w:bottom w:val="single" w:sz="4" w:space="0" w:color="auto"/>
              <w:right w:val="single" w:sz="4" w:space="0" w:color="auto"/>
            </w:tcBorders>
            <w:shd w:val="clear" w:color="000000" w:fill="666699"/>
            <w:vAlign w:val="center"/>
            <w:hideMark/>
          </w:tcPr>
          <w:p w:rsidR="003416AE" w:rsidRPr="00BE36D3" w:rsidRDefault="003416AE">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Diferencia</w:t>
            </w:r>
          </w:p>
        </w:tc>
      </w:tr>
      <w:tr w:rsidR="003416AE" w:rsidRPr="00891C21" w:rsidTr="00817F3B">
        <w:trPr>
          <w:trHeight w:val="300"/>
          <w:jc w:val="center"/>
        </w:trPr>
        <w:tc>
          <w:tcPr>
            <w:tcW w:w="2460" w:type="dxa"/>
            <w:tcBorders>
              <w:top w:val="nil"/>
              <w:left w:val="single" w:sz="4" w:space="0" w:color="auto"/>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Libre destinación</w:t>
            </w:r>
          </w:p>
        </w:tc>
        <w:tc>
          <w:tcPr>
            <w:tcW w:w="1860" w:type="dxa"/>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$33.003.896</w:t>
            </w:r>
          </w:p>
        </w:tc>
        <w:tc>
          <w:tcPr>
            <w:tcW w:w="1920" w:type="dxa"/>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$101.342.161</w:t>
            </w:r>
          </w:p>
        </w:tc>
        <w:tc>
          <w:tcPr>
            <w:tcW w:w="1680" w:type="dxa"/>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$68.338.265</w:t>
            </w:r>
          </w:p>
        </w:tc>
      </w:tr>
      <w:tr w:rsidR="003416AE" w:rsidRPr="00891C21" w:rsidTr="00817F3B">
        <w:trPr>
          <w:trHeight w:val="300"/>
          <w:jc w:val="center"/>
        </w:trPr>
        <w:tc>
          <w:tcPr>
            <w:tcW w:w="2460" w:type="dxa"/>
            <w:tcBorders>
              <w:top w:val="nil"/>
              <w:left w:val="single" w:sz="4" w:space="0" w:color="auto"/>
              <w:bottom w:val="single" w:sz="4" w:space="0" w:color="auto"/>
              <w:right w:val="single" w:sz="4" w:space="0" w:color="auto"/>
            </w:tcBorders>
            <w:shd w:val="clear" w:color="000000" w:fill="CCCCFF"/>
            <w:vAlign w:val="center"/>
            <w:hideMark/>
          </w:tcPr>
          <w:p w:rsidR="003416AE" w:rsidRPr="00BE36D3" w:rsidRDefault="003416AE">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Libre Inversión</w:t>
            </w:r>
          </w:p>
        </w:tc>
        <w:tc>
          <w:tcPr>
            <w:tcW w:w="1860" w:type="dxa"/>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$144.206.080</w:t>
            </w:r>
          </w:p>
        </w:tc>
        <w:tc>
          <w:tcPr>
            <w:tcW w:w="1920" w:type="dxa"/>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$173.457.209</w:t>
            </w:r>
          </w:p>
        </w:tc>
        <w:tc>
          <w:tcPr>
            <w:tcW w:w="1680" w:type="dxa"/>
            <w:tcBorders>
              <w:top w:val="nil"/>
              <w:left w:val="nil"/>
              <w:bottom w:val="single" w:sz="4" w:space="0" w:color="auto"/>
              <w:right w:val="single" w:sz="4" w:space="0" w:color="auto"/>
            </w:tcBorders>
            <w:shd w:val="clear" w:color="auto" w:fill="auto"/>
            <w:noWrap/>
            <w:vAlign w:val="center"/>
            <w:hideMark/>
          </w:tcPr>
          <w:p w:rsidR="003416AE" w:rsidRPr="00BE36D3" w:rsidRDefault="003416AE">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$29.251.129</w:t>
            </w:r>
          </w:p>
        </w:tc>
      </w:tr>
    </w:tbl>
    <w:p w:rsidR="003416AE" w:rsidRPr="00BE36D3" w:rsidRDefault="003416AE">
      <w:pPr>
        <w:spacing w:after="0" w:line="240" w:lineRule="auto"/>
        <w:contextualSpacing/>
        <w:jc w:val="center"/>
        <w:rPr>
          <w:rFonts w:ascii="Arial" w:eastAsia="Arial Narrow" w:hAnsi="Arial" w:cs="Arial"/>
          <w:sz w:val="20"/>
          <w:szCs w:val="20"/>
        </w:rPr>
      </w:pPr>
      <w:r w:rsidRPr="00BE36D3">
        <w:rPr>
          <w:rFonts w:ascii="Arial" w:eastAsia="Arial Narrow" w:hAnsi="Arial" w:cs="Arial"/>
          <w:b/>
          <w:bCs/>
          <w:sz w:val="20"/>
          <w:szCs w:val="20"/>
        </w:rPr>
        <w:t xml:space="preserve">Fuente: </w:t>
      </w:r>
      <w:r w:rsidRPr="00BE36D3">
        <w:rPr>
          <w:rFonts w:ascii="Arial" w:eastAsia="Arial Narrow" w:hAnsi="Arial" w:cs="Arial"/>
          <w:sz w:val="20"/>
          <w:szCs w:val="20"/>
        </w:rPr>
        <w:t>Informe de Monitoreo en Campo, (2019).</w:t>
      </w:r>
    </w:p>
    <w:p w:rsidR="003416AE" w:rsidRPr="00BE36D3" w:rsidRDefault="003416AE">
      <w:pPr>
        <w:spacing w:after="0" w:line="240" w:lineRule="auto"/>
        <w:contextualSpacing/>
        <w:jc w:val="center"/>
        <w:rPr>
          <w:rFonts w:ascii="Arial" w:eastAsia="Arial Narrow" w:hAnsi="Arial" w:cs="Arial"/>
        </w:rPr>
      </w:pPr>
    </w:p>
    <w:p w:rsidR="003416AE" w:rsidRPr="00BE36D3" w:rsidRDefault="003416AE">
      <w:pPr>
        <w:spacing w:after="0" w:line="240" w:lineRule="auto"/>
        <w:contextualSpacing/>
        <w:jc w:val="both"/>
        <w:rPr>
          <w:rFonts w:ascii="Arial" w:eastAsia="Arial Narrow" w:hAnsi="Arial" w:cs="Arial"/>
        </w:rPr>
      </w:pPr>
      <w:r w:rsidRPr="00BE36D3">
        <w:rPr>
          <w:rFonts w:ascii="Arial" w:eastAsia="Arial Narrow" w:hAnsi="Arial" w:cs="Arial"/>
        </w:rPr>
        <w:t xml:space="preserve">Cuando el DNP indagó sobre estas diferencias </w:t>
      </w:r>
      <w:r w:rsidR="002A09FB" w:rsidRPr="00BE36D3">
        <w:rPr>
          <w:rFonts w:ascii="Arial" w:eastAsia="Arial Narrow" w:hAnsi="Arial" w:cs="Arial"/>
        </w:rPr>
        <w:t xml:space="preserve">e indicó lo siguiente: </w:t>
      </w:r>
      <w:r w:rsidRPr="00BE36D3">
        <w:rPr>
          <w:rFonts w:ascii="Arial" w:eastAsia="Arial Narrow" w:hAnsi="Arial" w:cs="Arial"/>
        </w:rPr>
        <w:t>“</w:t>
      </w:r>
      <w:r w:rsidRPr="00BE36D3">
        <w:rPr>
          <w:rFonts w:ascii="Arial" w:eastAsia="Arial Narrow" w:hAnsi="Arial" w:cs="Arial"/>
          <w:i/>
          <w:iCs/>
        </w:rPr>
        <w:t>se aclara que existe una diferencia equivalente a $68.338.265, los cuales corresponden al pago por concepto de cesantías de la nómina. Estos recursos no fueron descontados presupuestalmente de los pagos y se constituyeron como cuentas por pagar aun cuando no fueron causadas. Es decir, siguiendo lo contemplado en el artículo 89 del decreto 111, su constitución como cuentas por pagar fue errónea debido a que en este caso no corresponde a obligaciones anticipadas por la entrega de bienes y servicios. Se sugiere a la entidad territorial realizar un procedimiento distinto y es el de incorporar estos recursos como balance a la siguiente vigencia sin afectar su destinación</w:t>
      </w:r>
      <w:r w:rsidRPr="00BE36D3">
        <w:rPr>
          <w:rFonts w:ascii="Arial" w:eastAsia="Arial Narrow" w:hAnsi="Arial" w:cs="Arial"/>
        </w:rPr>
        <w:t>.” (Informe de Monitoreo en Campo, 2019).</w:t>
      </w:r>
    </w:p>
    <w:p w:rsidR="00E77A77" w:rsidRPr="00BE36D3" w:rsidRDefault="00E77A77">
      <w:pPr>
        <w:spacing w:after="0" w:line="240" w:lineRule="auto"/>
        <w:contextualSpacing/>
        <w:jc w:val="both"/>
        <w:rPr>
          <w:rFonts w:ascii="Arial" w:eastAsia="Arial Narrow" w:hAnsi="Arial" w:cs="Arial"/>
        </w:rPr>
      </w:pPr>
    </w:p>
    <w:p w:rsidR="00E77A77" w:rsidRPr="00BE36D3" w:rsidRDefault="00E77A77">
      <w:pPr>
        <w:pStyle w:val="Prrafodelista"/>
        <w:spacing w:after="0" w:line="240" w:lineRule="auto"/>
        <w:jc w:val="center"/>
        <w:rPr>
          <w:rFonts w:ascii="Arial" w:eastAsia="Arial Narrow" w:hAnsi="Arial" w:cs="Arial"/>
          <w:b/>
          <w:bCs/>
          <w:sz w:val="20"/>
          <w:szCs w:val="20"/>
        </w:rPr>
      </w:pPr>
      <w:r w:rsidRPr="00BE36D3">
        <w:rPr>
          <w:rFonts w:ascii="Arial" w:eastAsia="Arial Narrow" w:hAnsi="Arial" w:cs="Arial"/>
          <w:b/>
          <w:bCs/>
          <w:sz w:val="20"/>
          <w:szCs w:val="20"/>
        </w:rPr>
        <w:t xml:space="preserve">Cuadro No. </w:t>
      </w:r>
      <w:r w:rsidR="002A09FB" w:rsidRPr="00BE36D3">
        <w:rPr>
          <w:rFonts w:ascii="Arial" w:eastAsia="Arial Narrow" w:hAnsi="Arial" w:cs="Arial"/>
          <w:b/>
          <w:bCs/>
          <w:sz w:val="20"/>
          <w:szCs w:val="20"/>
        </w:rPr>
        <w:t>6</w:t>
      </w:r>
    </w:p>
    <w:p w:rsidR="00E77A77" w:rsidRPr="00BE36D3" w:rsidRDefault="00E77A77">
      <w:pPr>
        <w:pStyle w:val="Prrafodelista"/>
        <w:spacing w:after="0" w:line="240" w:lineRule="auto"/>
        <w:jc w:val="center"/>
        <w:rPr>
          <w:rFonts w:ascii="Arial" w:hAnsi="Arial" w:cs="Arial"/>
          <w:sz w:val="20"/>
          <w:szCs w:val="20"/>
        </w:rPr>
      </w:pPr>
      <w:r w:rsidRPr="00BE36D3">
        <w:rPr>
          <w:rFonts w:ascii="Arial" w:hAnsi="Arial" w:cs="Arial"/>
          <w:sz w:val="20"/>
          <w:szCs w:val="20"/>
        </w:rPr>
        <w:t>Cierre Fiscal Participación de Propósito General vigencia 2018</w:t>
      </w:r>
    </w:p>
    <w:p w:rsidR="00E77A77" w:rsidRPr="00BE36D3" w:rsidRDefault="00E77A77">
      <w:pPr>
        <w:pStyle w:val="Prrafodelista"/>
        <w:spacing w:after="0" w:line="240" w:lineRule="auto"/>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E77A77" w:rsidRPr="00BE36D3" w:rsidRDefault="00E77A77">
      <w:pPr>
        <w:pStyle w:val="Prrafodelista"/>
        <w:spacing w:after="0" w:line="240" w:lineRule="auto"/>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tbl>
      <w:tblPr>
        <w:tblW w:w="5000" w:type="pct"/>
        <w:tblCellMar>
          <w:left w:w="70" w:type="dxa"/>
          <w:right w:w="70" w:type="dxa"/>
        </w:tblCellMar>
        <w:tblLook w:val="04A0" w:firstRow="1" w:lastRow="0" w:firstColumn="1" w:lastColumn="0" w:noHBand="0" w:noVBand="1"/>
      </w:tblPr>
      <w:tblGrid>
        <w:gridCol w:w="1999"/>
        <w:gridCol w:w="1471"/>
        <w:gridCol w:w="1501"/>
        <w:gridCol w:w="1216"/>
        <w:gridCol w:w="1323"/>
        <w:gridCol w:w="1308"/>
      </w:tblGrid>
      <w:tr w:rsidR="00E77A77" w:rsidRPr="00891C21" w:rsidTr="00817F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Sector Propósito General Cierre Fiscal 2018 - Saldo en Caja FUT (cifras en pesos) </w:t>
            </w:r>
          </w:p>
        </w:tc>
      </w:tr>
      <w:tr w:rsidR="00E77A77" w:rsidRPr="00891C21" w:rsidTr="00817F3B">
        <w:trPr>
          <w:trHeight w:val="555"/>
        </w:trPr>
        <w:tc>
          <w:tcPr>
            <w:tcW w:w="1052" w:type="pct"/>
            <w:vMerge w:val="restart"/>
            <w:tcBorders>
              <w:top w:val="nil"/>
              <w:left w:val="single" w:sz="8" w:space="0" w:color="auto"/>
              <w:bottom w:val="single" w:sz="8" w:space="0" w:color="000000"/>
              <w:right w:val="single" w:sz="8" w:space="0" w:color="auto"/>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 Destinaciones</w:t>
            </w:r>
          </w:p>
        </w:tc>
        <w:tc>
          <w:tcPr>
            <w:tcW w:w="856" w:type="pct"/>
            <w:tcBorders>
              <w:top w:val="nil"/>
              <w:left w:val="nil"/>
              <w:bottom w:val="single" w:sz="8" w:space="0" w:color="auto"/>
              <w:right w:val="single" w:sz="8" w:space="0" w:color="auto"/>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Saldo en Cajas </w:t>
            </w:r>
          </w:p>
        </w:tc>
        <w:tc>
          <w:tcPr>
            <w:tcW w:w="873" w:type="pct"/>
            <w:tcBorders>
              <w:top w:val="nil"/>
              <w:left w:val="nil"/>
              <w:bottom w:val="single" w:sz="8" w:space="0" w:color="auto"/>
              <w:right w:val="single" w:sz="8" w:space="0" w:color="auto"/>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Ctas x Pagar Vigencia </w:t>
            </w:r>
          </w:p>
        </w:tc>
        <w:tc>
          <w:tcPr>
            <w:tcW w:w="711" w:type="pct"/>
            <w:tcBorders>
              <w:top w:val="nil"/>
              <w:left w:val="nil"/>
              <w:bottom w:val="single" w:sz="8" w:space="0" w:color="auto"/>
              <w:right w:val="single" w:sz="8" w:space="0" w:color="auto"/>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0000"/>
                <w:sz w:val="16"/>
                <w:szCs w:val="16"/>
                <w:lang w:eastAsia="es-CO"/>
              </w:rPr>
            </w:pPr>
            <w:r w:rsidRPr="00BE36D3">
              <w:rPr>
                <w:rFonts w:ascii="Arial" w:eastAsia="Times New Roman" w:hAnsi="Arial" w:cs="Arial"/>
                <w:b/>
                <w:bCs/>
                <w:color w:val="FFFFFF" w:themeColor="background1"/>
                <w:sz w:val="16"/>
                <w:szCs w:val="16"/>
                <w:lang w:eastAsia="es-CO"/>
              </w:rPr>
              <w:t xml:space="preserve">Ctas x Pagar Vigencia Anterior </w:t>
            </w:r>
          </w:p>
        </w:tc>
        <w:tc>
          <w:tcPr>
            <w:tcW w:w="745" w:type="pct"/>
            <w:tcBorders>
              <w:top w:val="nil"/>
              <w:left w:val="nil"/>
              <w:bottom w:val="single" w:sz="8" w:space="0" w:color="auto"/>
              <w:right w:val="single" w:sz="8" w:space="0" w:color="auto"/>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Reservas Presupuestales </w:t>
            </w:r>
          </w:p>
        </w:tc>
        <w:tc>
          <w:tcPr>
            <w:tcW w:w="763" w:type="pct"/>
            <w:tcBorders>
              <w:top w:val="nil"/>
              <w:left w:val="nil"/>
              <w:bottom w:val="single" w:sz="8" w:space="0" w:color="auto"/>
              <w:right w:val="single" w:sz="8" w:space="0" w:color="auto"/>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Superávit o Déficit </w:t>
            </w:r>
          </w:p>
        </w:tc>
      </w:tr>
      <w:tr w:rsidR="00E77A77" w:rsidRPr="00891C21" w:rsidTr="00817F3B">
        <w:trPr>
          <w:trHeight w:val="315"/>
        </w:trPr>
        <w:tc>
          <w:tcPr>
            <w:tcW w:w="1052" w:type="pct"/>
            <w:vMerge/>
            <w:tcBorders>
              <w:top w:val="nil"/>
              <w:left w:val="single" w:sz="8" w:space="0" w:color="auto"/>
              <w:bottom w:val="single" w:sz="8" w:space="0" w:color="000000"/>
              <w:right w:val="single" w:sz="8" w:space="0" w:color="auto"/>
            </w:tcBorders>
            <w:vAlign w:val="center"/>
            <w:hideMark/>
          </w:tcPr>
          <w:p w:rsidR="00E77A77" w:rsidRPr="00BE36D3" w:rsidRDefault="00E77A77">
            <w:pPr>
              <w:spacing w:after="0" w:line="240" w:lineRule="auto"/>
              <w:contextualSpacing/>
              <w:rPr>
                <w:rFonts w:ascii="Arial" w:eastAsia="Times New Roman" w:hAnsi="Arial" w:cs="Arial"/>
                <w:b/>
                <w:bCs/>
                <w:color w:val="FFFFFF"/>
                <w:sz w:val="16"/>
                <w:szCs w:val="16"/>
                <w:lang w:eastAsia="es-CO"/>
              </w:rPr>
            </w:pPr>
          </w:p>
        </w:tc>
        <w:tc>
          <w:tcPr>
            <w:tcW w:w="856" w:type="pct"/>
            <w:tcBorders>
              <w:top w:val="nil"/>
              <w:left w:val="nil"/>
              <w:bottom w:val="single" w:sz="8" w:space="0" w:color="auto"/>
              <w:right w:val="single" w:sz="8" w:space="0" w:color="auto"/>
            </w:tcBorders>
            <w:shd w:val="clear" w:color="000000" w:fill="CCCCFF"/>
            <w:vAlign w:val="center"/>
            <w:hideMark/>
          </w:tcPr>
          <w:p w:rsidR="00E77A77" w:rsidRPr="00BE36D3" w:rsidRDefault="00E77A77">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$704.051.081</w:t>
            </w:r>
          </w:p>
        </w:tc>
        <w:tc>
          <w:tcPr>
            <w:tcW w:w="873" w:type="pct"/>
            <w:tcBorders>
              <w:top w:val="nil"/>
              <w:left w:val="nil"/>
              <w:bottom w:val="single" w:sz="8" w:space="0" w:color="auto"/>
              <w:right w:val="single" w:sz="8" w:space="0" w:color="auto"/>
            </w:tcBorders>
            <w:shd w:val="clear" w:color="000000" w:fill="CCCCFF"/>
            <w:vAlign w:val="center"/>
            <w:hideMark/>
          </w:tcPr>
          <w:p w:rsidR="00E77A77" w:rsidRPr="00BE36D3" w:rsidRDefault="00E77A77">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$353.458.903</w:t>
            </w:r>
          </w:p>
        </w:tc>
        <w:tc>
          <w:tcPr>
            <w:tcW w:w="711" w:type="pct"/>
            <w:tcBorders>
              <w:top w:val="nil"/>
              <w:left w:val="nil"/>
              <w:bottom w:val="single" w:sz="8" w:space="0" w:color="auto"/>
              <w:right w:val="single" w:sz="8" w:space="0" w:color="auto"/>
            </w:tcBorders>
            <w:shd w:val="clear" w:color="000000" w:fill="CCCCFF"/>
            <w:vAlign w:val="center"/>
            <w:hideMark/>
          </w:tcPr>
          <w:p w:rsidR="00E77A77" w:rsidRPr="00BE36D3" w:rsidRDefault="00E77A77">
            <w:pPr>
              <w:spacing w:after="0" w:line="240" w:lineRule="auto"/>
              <w:contextualSpacing/>
              <w:jc w:val="center"/>
              <w:rPr>
                <w:rFonts w:ascii="Arial" w:eastAsia="Times New Roman" w:hAnsi="Arial" w:cs="Arial"/>
                <w:b/>
                <w:bCs/>
                <w:sz w:val="16"/>
                <w:szCs w:val="16"/>
                <w:lang w:eastAsia="es-CO"/>
              </w:rPr>
            </w:pPr>
            <w:r w:rsidRPr="00BE36D3">
              <w:rPr>
                <w:rFonts w:ascii="Arial" w:eastAsia="Times New Roman" w:hAnsi="Arial" w:cs="Arial"/>
                <w:b/>
                <w:bCs/>
                <w:sz w:val="16"/>
                <w:szCs w:val="16"/>
                <w:lang w:eastAsia="es-CO"/>
              </w:rPr>
              <w:t>$0</w:t>
            </w:r>
          </w:p>
        </w:tc>
        <w:tc>
          <w:tcPr>
            <w:tcW w:w="745" w:type="pct"/>
            <w:tcBorders>
              <w:top w:val="nil"/>
              <w:left w:val="nil"/>
              <w:bottom w:val="single" w:sz="8" w:space="0" w:color="auto"/>
              <w:right w:val="single" w:sz="8" w:space="0" w:color="auto"/>
            </w:tcBorders>
            <w:shd w:val="clear" w:color="000000" w:fill="CCCCFF"/>
            <w:vAlign w:val="center"/>
            <w:hideMark/>
          </w:tcPr>
          <w:p w:rsidR="00E77A77" w:rsidRPr="00BE36D3" w:rsidRDefault="00E77A77">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$0</w:t>
            </w:r>
          </w:p>
        </w:tc>
        <w:tc>
          <w:tcPr>
            <w:tcW w:w="763" w:type="pct"/>
            <w:tcBorders>
              <w:top w:val="nil"/>
              <w:left w:val="nil"/>
              <w:bottom w:val="single" w:sz="8" w:space="0" w:color="auto"/>
              <w:right w:val="single" w:sz="8" w:space="0" w:color="auto"/>
            </w:tcBorders>
            <w:shd w:val="clear" w:color="000000" w:fill="CCCCFF"/>
            <w:vAlign w:val="center"/>
            <w:hideMark/>
          </w:tcPr>
          <w:p w:rsidR="00E77A77" w:rsidRPr="00BE36D3" w:rsidRDefault="00E77A77">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$350.592.178</w:t>
            </w:r>
          </w:p>
        </w:tc>
      </w:tr>
      <w:tr w:rsidR="00E77A77" w:rsidRPr="00891C21" w:rsidTr="00817F3B">
        <w:trPr>
          <w:trHeight w:val="315"/>
        </w:trPr>
        <w:tc>
          <w:tcPr>
            <w:tcW w:w="1052" w:type="pct"/>
            <w:tcBorders>
              <w:top w:val="nil"/>
              <w:left w:val="single" w:sz="8" w:space="0" w:color="auto"/>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 Libre Inversión</w:t>
            </w:r>
          </w:p>
        </w:tc>
        <w:tc>
          <w:tcPr>
            <w:tcW w:w="856"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$704.051.081</w:t>
            </w:r>
          </w:p>
        </w:tc>
        <w:tc>
          <w:tcPr>
            <w:tcW w:w="87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$353.458.903</w:t>
            </w:r>
          </w:p>
        </w:tc>
        <w:tc>
          <w:tcPr>
            <w:tcW w:w="711"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745"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6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$350.592.178</w:t>
            </w:r>
          </w:p>
        </w:tc>
      </w:tr>
      <w:tr w:rsidR="00E77A77" w:rsidRPr="00891C21" w:rsidTr="00817F3B">
        <w:trPr>
          <w:trHeight w:val="315"/>
        </w:trPr>
        <w:tc>
          <w:tcPr>
            <w:tcW w:w="1052" w:type="pct"/>
            <w:tcBorders>
              <w:top w:val="nil"/>
              <w:left w:val="single" w:sz="8" w:space="0" w:color="auto"/>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 Deporte y Recreación</w:t>
            </w:r>
          </w:p>
        </w:tc>
        <w:tc>
          <w:tcPr>
            <w:tcW w:w="856"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87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11"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745"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6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r>
      <w:tr w:rsidR="00E77A77" w:rsidRPr="00891C21" w:rsidTr="00817F3B">
        <w:trPr>
          <w:trHeight w:val="315"/>
        </w:trPr>
        <w:tc>
          <w:tcPr>
            <w:tcW w:w="1052" w:type="pct"/>
            <w:tcBorders>
              <w:top w:val="nil"/>
              <w:left w:val="single" w:sz="8" w:space="0" w:color="auto"/>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 Cultura</w:t>
            </w:r>
          </w:p>
        </w:tc>
        <w:tc>
          <w:tcPr>
            <w:tcW w:w="856"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87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11"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745"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6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r>
    </w:tbl>
    <w:p w:rsidR="00E77A77" w:rsidRPr="00BE36D3" w:rsidRDefault="00E77A77">
      <w:pPr>
        <w:spacing w:line="240" w:lineRule="auto"/>
        <w:contextualSpacing/>
        <w:jc w:val="center"/>
        <w:rPr>
          <w:rFonts w:ascii="Arial" w:eastAsia="Times New Roman" w:hAnsi="Arial" w:cs="Arial"/>
          <w:sz w:val="20"/>
          <w:szCs w:val="20"/>
          <w:lang w:eastAsia="es-CO"/>
        </w:rPr>
      </w:pPr>
      <w:r w:rsidRPr="00BE36D3">
        <w:rPr>
          <w:rFonts w:ascii="Arial" w:eastAsia="Times New Roman" w:hAnsi="Arial" w:cs="Arial"/>
          <w:b/>
          <w:sz w:val="20"/>
          <w:szCs w:val="20"/>
          <w:lang w:eastAsia="es-CO"/>
        </w:rPr>
        <w:t>Fuente:</w:t>
      </w:r>
      <w:r w:rsidRPr="00BE36D3">
        <w:rPr>
          <w:rFonts w:ascii="Arial" w:eastAsia="Times New Roman" w:hAnsi="Arial" w:cs="Arial"/>
          <w:sz w:val="20"/>
          <w:szCs w:val="20"/>
          <w:lang w:eastAsia="es-CO"/>
        </w:rPr>
        <w:t xml:space="preserve"> Cálculos DAF con información FUT </w:t>
      </w:r>
      <w:r w:rsidR="00891C21">
        <w:rPr>
          <w:rFonts w:ascii="Arial" w:eastAsia="Times New Roman" w:hAnsi="Arial" w:cs="Arial"/>
          <w:sz w:val="20"/>
          <w:szCs w:val="20"/>
          <w:lang w:eastAsia="es-CO"/>
        </w:rPr>
        <w:t>C</w:t>
      </w:r>
      <w:r w:rsidRPr="00BE36D3">
        <w:rPr>
          <w:rFonts w:ascii="Arial" w:eastAsia="Times New Roman" w:hAnsi="Arial" w:cs="Arial"/>
          <w:sz w:val="20"/>
          <w:szCs w:val="20"/>
          <w:lang w:eastAsia="es-CO"/>
        </w:rPr>
        <w:t xml:space="preserve">ategoría </w:t>
      </w:r>
      <w:r w:rsidR="00891C21">
        <w:rPr>
          <w:rFonts w:ascii="Arial" w:eastAsia="Times New Roman" w:hAnsi="Arial" w:cs="Arial"/>
          <w:sz w:val="20"/>
          <w:szCs w:val="20"/>
          <w:lang w:eastAsia="es-CO"/>
        </w:rPr>
        <w:t>C</w:t>
      </w:r>
      <w:r w:rsidRPr="00BE36D3">
        <w:rPr>
          <w:rFonts w:ascii="Arial" w:eastAsia="Times New Roman" w:hAnsi="Arial" w:cs="Arial"/>
          <w:sz w:val="20"/>
          <w:szCs w:val="20"/>
          <w:lang w:eastAsia="es-CO"/>
        </w:rPr>
        <w:t xml:space="preserve">ierre </w:t>
      </w:r>
      <w:r w:rsidR="00891C21">
        <w:rPr>
          <w:rFonts w:ascii="Arial" w:eastAsia="Times New Roman" w:hAnsi="Arial" w:cs="Arial"/>
          <w:sz w:val="20"/>
          <w:szCs w:val="20"/>
          <w:lang w:eastAsia="es-CO"/>
        </w:rPr>
        <w:t>F</w:t>
      </w:r>
      <w:r w:rsidRPr="00BE36D3">
        <w:rPr>
          <w:rFonts w:ascii="Arial" w:eastAsia="Times New Roman" w:hAnsi="Arial" w:cs="Arial"/>
          <w:sz w:val="20"/>
          <w:szCs w:val="20"/>
          <w:lang w:eastAsia="es-CO"/>
        </w:rPr>
        <w:t>iscal.</w:t>
      </w:r>
    </w:p>
    <w:p w:rsidR="00506FD1" w:rsidRPr="00BE36D3" w:rsidRDefault="00506FD1">
      <w:pPr>
        <w:spacing w:line="240" w:lineRule="auto"/>
        <w:contextualSpacing/>
        <w:jc w:val="both"/>
        <w:rPr>
          <w:rFonts w:ascii="Arial" w:eastAsia="Arial Narrow" w:hAnsi="Arial" w:cs="Arial"/>
        </w:rPr>
      </w:pPr>
    </w:p>
    <w:p w:rsidR="00E77A77" w:rsidRDefault="00E77A77">
      <w:pPr>
        <w:spacing w:line="240" w:lineRule="auto"/>
        <w:contextualSpacing/>
        <w:jc w:val="both"/>
        <w:rPr>
          <w:rFonts w:ascii="Arial" w:eastAsia="Arial Narrow" w:hAnsi="Arial" w:cs="Arial"/>
        </w:rPr>
      </w:pPr>
      <w:r w:rsidRPr="00BE36D3">
        <w:rPr>
          <w:rFonts w:ascii="Arial" w:eastAsia="Arial Narrow" w:hAnsi="Arial" w:cs="Arial"/>
        </w:rPr>
        <w:t xml:space="preserve">En la vigencia 2018 se sigue reportando toda la información del cierre fiscal en el componente de Libre Inversión. En esta vigencia el saldo disponible en caja es consistente con el extracto bancario de la </w:t>
      </w:r>
      <w:r w:rsidR="00891C21">
        <w:rPr>
          <w:rFonts w:ascii="Arial" w:eastAsia="Arial Narrow" w:hAnsi="Arial" w:cs="Arial"/>
        </w:rPr>
        <w:t>C</w:t>
      </w:r>
      <w:r w:rsidRPr="00BE36D3">
        <w:rPr>
          <w:rFonts w:ascii="Arial" w:eastAsia="Arial Narrow" w:hAnsi="Arial" w:cs="Arial"/>
        </w:rPr>
        <w:t xml:space="preserve">uenta </w:t>
      </w:r>
      <w:r w:rsidR="00891C21">
        <w:rPr>
          <w:rFonts w:ascii="Arial" w:eastAsia="Arial Narrow" w:hAnsi="Arial" w:cs="Arial"/>
        </w:rPr>
        <w:t>M</w:t>
      </w:r>
      <w:r w:rsidRPr="00BE36D3">
        <w:rPr>
          <w:rFonts w:ascii="Arial" w:eastAsia="Arial Narrow" w:hAnsi="Arial" w:cs="Arial"/>
        </w:rPr>
        <w:t xml:space="preserve">aestra remitido por el Municipio de Santiago de Tolú - Sucre. En cuanto al superávit fiscal, este presenta una diferencia de $31.489.709 entre el resultado del ejercicio y el reporte FUT. Sin embargo, se presentan inconsistencias en el valor de las cuentas por pagar debido a que el reporte FUT fue de $353.458.903 mientras que en el ejercicio presupuestal arrojó cuentas por pagar por valor de $360.208.220 para 2018. En el Informe de Monitoreo en Campo, el DNP señala que se siguen presentando inconsistencias en los valores de las cuentas por pagar debido a que el Municipio de </w:t>
      </w:r>
      <w:r w:rsidRPr="00BE36D3">
        <w:rPr>
          <w:rFonts w:ascii="Arial" w:eastAsia="Arial Narrow" w:hAnsi="Arial" w:cs="Arial"/>
        </w:rPr>
        <w:lastRenderedPageBreak/>
        <w:t>Santiago de Tolú - Sucre hace una inadecuada incorporación de recursos de cesantías que no se han causado. Además, el Informe menciona que:</w:t>
      </w:r>
    </w:p>
    <w:p w:rsidR="00506FD1" w:rsidRPr="00BE36D3" w:rsidRDefault="00506FD1">
      <w:pPr>
        <w:spacing w:line="240" w:lineRule="auto"/>
        <w:contextualSpacing/>
        <w:jc w:val="both"/>
        <w:rPr>
          <w:rFonts w:ascii="Arial" w:eastAsia="Arial Narrow" w:hAnsi="Arial" w:cs="Arial"/>
        </w:rPr>
      </w:pPr>
    </w:p>
    <w:p w:rsidR="00E77A77" w:rsidRPr="00BE36D3" w:rsidRDefault="00E77A77">
      <w:pPr>
        <w:spacing w:line="240" w:lineRule="auto"/>
        <w:ind w:left="1416"/>
        <w:contextualSpacing/>
        <w:jc w:val="both"/>
        <w:rPr>
          <w:rFonts w:ascii="Arial" w:hAnsi="Arial" w:cs="Arial"/>
          <w:i/>
          <w:iCs/>
          <w:sz w:val="18"/>
          <w:szCs w:val="18"/>
        </w:rPr>
      </w:pPr>
      <w:r w:rsidRPr="00BE36D3">
        <w:rPr>
          <w:rFonts w:ascii="Arial" w:eastAsia="Arial Narrow" w:hAnsi="Arial" w:cs="Arial"/>
          <w:sz w:val="18"/>
          <w:szCs w:val="18"/>
        </w:rPr>
        <w:t>“</w:t>
      </w:r>
      <w:r w:rsidRPr="00BE36D3">
        <w:rPr>
          <w:rFonts w:ascii="Arial" w:hAnsi="Arial" w:cs="Arial"/>
          <w:i/>
          <w:iCs/>
          <w:sz w:val="18"/>
          <w:szCs w:val="18"/>
        </w:rPr>
        <w:t>Para la fuente de Libre inversión no fue posible determinar el valor real de cuentas por pagar dadas las inconsistencias de la información, donde se registran 3 valores diferentes:</w:t>
      </w:r>
    </w:p>
    <w:p w:rsidR="00E77A77" w:rsidRPr="00BE36D3" w:rsidRDefault="00E77A77">
      <w:pPr>
        <w:spacing w:line="240" w:lineRule="auto"/>
        <w:ind w:left="1416"/>
        <w:contextualSpacing/>
        <w:jc w:val="both"/>
        <w:rPr>
          <w:rFonts w:ascii="Arial" w:hAnsi="Arial" w:cs="Arial"/>
          <w:i/>
          <w:iCs/>
          <w:sz w:val="18"/>
          <w:szCs w:val="18"/>
        </w:rPr>
      </w:pPr>
      <w:r w:rsidRPr="00BE36D3">
        <w:rPr>
          <w:rFonts w:ascii="Arial" w:hAnsi="Arial" w:cs="Arial"/>
          <w:i/>
          <w:iCs/>
          <w:sz w:val="18"/>
          <w:szCs w:val="18"/>
        </w:rPr>
        <w:t>1. Las cuentas por pagar en el presupuesto remitido al DNP: $218.933.848</w:t>
      </w:r>
    </w:p>
    <w:p w:rsidR="00E77A77" w:rsidRPr="00BE36D3" w:rsidRDefault="00E77A77">
      <w:pPr>
        <w:spacing w:line="240" w:lineRule="auto"/>
        <w:ind w:left="1416"/>
        <w:contextualSpacing/>
        <w:jc w:val="both"/>
        <w:rPr>
          <w:rFonts w:ascii="Arial" w:hAnsi="Arial" w:cs="Arial"/>
          <w:i/>
          <w:iCs/>
          <w:sz w:val="18"/>
          <w:szCs w:val="18"/>
        </w:rPr>
      </w:pPr>
      <w:r w:rsidRPr="00BE36D3">
        <w:rPr>
          <w:rFonts w:ascii="Arial" w:hAnsi="Arial" w:cs="Arial"/>
          <w:i/>
          <w:iCs/>
          <w:sz w:val="18"/>
          <w:szCs w:val="18"/>
        </w:rPr>
        <w:t>2. Las cuentas por pagar en el decreto de liquidación: $157.716.136</w:t>
      </w:r>
    </w:p>
    <w:p w:rsidR="00E77A77" w:rsidRPr="00BE36D3" w:rsidRDefault="00E77A77">
      <w:pPr>
        <w:spacing w:line="240" w:lineRule="auto"/>
        <w:ind w:left="1416"/>
        <w:contextualSpacing/>
        <w:jc w:val="both"/>
        <w:rPr>
          <w:rFonts w:ascii="Arial" w:hAnsi="Arial" w:cs="Arial"/>
          <w:sz w:val="18"/>
          <w:szCs w:val="18"/>
        </w:rPr>
      </w:pPr>
      <w:r w:rsidRPr="00BE36D3">
        <w:rPr>
          <w:rFonts w:ascii="Arial" w:hAnsi="Arial" w:cs="Arial"/>
          <w:i/>
          <w:iCs/>
          <w:sz w:val="18"/>
          <w:szCs w:val="18"/>
        </w:rPr>
        <w:t>3. Las cuentas por pagar ajustadas en el nuevo presupuesto: $179.114.787</w:t>
      </w:r>
      <w:r w:rsidRPr="00BE36D3">
        <w:rPr>
          <w:rFonts w:ascii="Arial" w:hAnsi="Arial" w:cs="Arial"/>
          <w:sz w:val="18"/>
          <w:szCs w:val="18"/>
        </w:rPr>
        <w:t>”</w:t>
      </w:r>
      <w:r w:rsidR="009840D8">
        <w:rPr>
          <w:rFonts w:ascii="Arial" w:hAnsi="Arial" w:cs="Arial"/>
          <w:sz w:val="18"/>
          <w:szCs w:val="18"/>
        </w:rPr>
        <w:t>.</w:t>
      </w:r>
    </w:p>
    <w:p w:rsidR="00506FD1" w:rsidRDefault="00506FD1">
      <w:pPr>
        <w:spacing w:line="240" w:lineRule="auto"/>
        <w:contextualSpacing/>
        <w:jc w:val="both"/>
        <w:rPr>
          <w:rFonts w:ascii="Arial" w:hAnsi="Arial" w:cs="Arial"/>
        </w:rPr>
      </w:pPr>
    </w:p>
    <w:p w:rsidR="00E77A77" w:rsidRDefault="00E77A77">
      <w:pPr>
        <w:spacing w:line="240" w:lineRule="auto"/>
        <w:contextualSpacing/>
        <w:jc w:val="both"/>
        <w:rPr>
          <w:rFonts w:ascii="Arial" w:hAnsi="Arial" w:cs="Arial"/>
        </w:rPr>
      </w:pPr>
      <w:r w:rsidRPr="00BE36D3">
        <w:rPr>
          <w:rFonts w:ascii="Arial" w:hAnsi="Arial" w:cs="Arial"/>
        </w:rPr>
        <w:t xml:space="preserve">Así mismo, </w:t>
      </w:r>
      <w:r w:rsidR="002A09FB" w:rsidRPr="00BE36D3">
        <w:rPr>
          <w:rFonts w:ascii="Arial" w:hAnsi="Arial" w:cs="Arial"/>
        </w:rPr>
        <w:t xml:space="preserve">el DNP indicó que </w:t>
      </w:r>
      <w:r w:rsidRPr="00BE36D3">
        <w:rPr>
          <w:rFonts w:ascii="Arial" w:hAnsi="Arial" w:cs="Arial"/>
        </w:rPr>
        <w:t>“</w:t>
      </w:r>
      <w:r w:rsidRPr="00BE36D3">
        <w:rPr>
          <w:rFonts w:ascii="Arial" w:hAnsi="Arial" w:cs="Arial"/>
          <w:i/>
          <w:iCs/>
        </w:rPr>
        <w:t>frente a Cultura, presupuestalmente se identifica un valor en cuentas por pagar por $3.872.100, sin embargo, la explicación que brinda la entidad es que no fue descontado el recurso de los pagos realizados. En el decreto no se identificó ninguna cuenta por pagar para esta fuente</w:t>
      </w:r>
      <w:r w:rsidRPr="00BE36D3">
        <w:rPr>
          <w:rFonts w:ascii="Arial" w:hAnsi="Arial" w:cs="Arial"/>
        </w:rPr>
        <w:t>”</w:t>
      </w:r>
      <w:r w:rsidR="009840D8">
        <w:rPr>
          <w:rFonts w:ascii="Arial" w:hAnsi="Arial" w:cs="Arial"/>
        </w:rPr>
        <w:t>.</w:t>
      </w:r>
    </w:p>
    <w:p w:rsidR="00506FD1" w:rsidRPr="00BE36D3" w:rsidRDefault="00506FD1">
      <w:pPr>
        <w:spacing w:line="240" w:lineRule="auto"/>
        <w:contextualSpacing/>
        <w:jc w:val="both"/>
        <w:rPr>
          <w:rFonts w:ascii="Arial" w:hAnsi="Arial" w:cs="Arial"/>
        </w:rPr>
      </w:pPr>
    </w:p>
    <w:p w:rsidR="00E77A77" w:rsidRPr="00BE36D3" w:rsidRDefault="00E77A77">
      <w:pPr>
        <w:spacing w:after="0" w:line="240" w:lineRule="auto"/>
        <w:contextualSpacing/>
        <w:jc w:val="center"/>
        <w:rPr>
          <w:rFonts w:ascii="Arial" w:eastAsia="Arial Narrow" w:hAnsi="Arial" w:cs="Arial"/>
          <w:b/>
          <w:bCs/>
          <w:sz w:val="20"/>
          <w:szCs w:val="20"/>
        </w:rPr>
      </w:pPr>
      <w:r w:rsidRPr="00BE36D3">
        <w:rPr>
          <w:rFonts w:ascii="Arial" w:eastAsia="Arial Narrow" w:hAnsi="Arial" w:cs="Arial"/>
          <w:b/>
          <w:bCs/>
          <w:sz w:val="20"/>
          <w:szCs w:val="20"/>
        </w:rPr>
        <w:t xml:space="preserve">Cuadro No. </w:t>
      </w:r>
      <w:r w:rsidR="004365FD" w:rsidRPr="00BE36D3">
        <w:rPr>
          <w:rFonts w:ascii="Arial" w:eastAsia="Arial Narrow" w:hAnsi="Arial" w:cs="Arial"/>
          <w:b/>
          <w:bCs/>
          <w:sz w:val="20"/>
          <w:szCs w:val="20"/>
        </w:rPr>
        <w:t>7</w:t>
      </w:r>
    </w:p>
    <w:p w:rsidR="00E77A77" w:rsidRPr="00BE36D3" w:rsidRDefault="00E77A77">
      <w:pPr>
        <w:spacing w:after="0" w:line="240" w:lineRule="auto"/>
        <w:contextualSpacing/>
        <w:jc w:val="center"/>
        <w:rPr>
          <w:rFonts w:ascii="Arial" w:hAnsi="Arial" w:cs="Arial"/>
          <w:sz w:val="20"/>
          <w:szCs w:val="20"/>
        </w:rPr>
      </w:pPr>
      <w:r w:rsidRPr="00BE36D3">
        <w:rPr>
          <w:rFonts w:ascii="Arial" w:hAnsi="Arial" w:cs="Arial"/>
          <w:sz w:val="20"/>
          <w:szCs w:val="20"/>
        </w:rPr>
        <w:t>Cierre Fiscal Participación de Propósito General vigencia 2019</w:t>
      </w:r>
    </w:p>
    <w:p w:rsidR="00E77A77" w:rsidRPr="00BE36D3" w:rsidRDefault="00E77A77">
      <w:pPr>
        <w:pStyle w:val="Prrafodelista"/>
        <w:spacing w:after="0" w:line="240" w:lineRule="auto"/>
        <w:ind w:left="0"/>
        <w:jc w:val="center"/>
        <w:rPr>
          <w:rFonts w:ascii="Arial" w:hAnsi="Arial" w:cs="Arial"/>
          <w:sz w:val="20"/>
          <w:szCs w:val="20"/>
        </w:rPr>
      </w:pPr>
      <w:r w:rsidRPr="00BE36D3">
        <w:rPr>
          <w:rFonts w:ascii="Arial" w:hAnsi="Arial" w:cs="Arial"/>
          <w:sz w:val="20"/>
          <w:szCs w:val="20"/>
        </w:rPr>
        <w:t xml:space="preserve">Municipio de Santiago de </w:t>
      </w:r>
      <w:r w:rsidR="000966E6">
        <w:rPr>
          <w:rFonts w:ascii="Arial" w:hAnsi="Arial" w:cs="Arial"/>
          <w:sz w:val="20"/>
          <w:szCs w:val="20"/>
        </w:rPr>
        <w:t>Tolú - Sucre</w:t>
      </w:r>
    </w:p>
    <w:p w:rsidR="00E77A77" w:rsidRPr="00BE36D3" w:rsidRDefault="00E77A77">
      <w:pPr>
        <w:pStyle w:val="Prrafodelista"/>
        <w:spacing w:after="0" w:line="240" w:lineRule="auto"/>
        <w:ind w:left="0"/>
        <w:jc w:val="center"/>
        <w:rPr>
          <w:rFonts w:ascii="Arial" w:hAnsi="Arial" w:cs="Arial"/>
          <w:sz w:val="18"/>
          <w:szCs w:val="18"/>
        </w:rPr>
      </w:pPr>
      <w:r w:rsidRPr="00BE36D3">
        <w:rPr>
          <w:rFonts w:ascii="Arial" w:hAnsi="Arial" w:cs="Arial"/>
          <w:sz w:val="20"/>
          <w:szCs w:val="20"/>
        </w:rPr>
        <w:t>-</w:t>
      </w:r>
      <w:r w:rsidRPr="00BE36D3">
        <w:rPr>
          <w:rFonts w:ascii="Arial" w:hAnsi="Arial" w:cs="Arial"/>
          <w:i/>
          <w:sz w:val="20"/>
          <w:szCs w:val="20"/>
        </w:rPr>
        <w:t>Cifras en pesos</w:t>
      </w:r>
      <w:r w:rsidRPr="00BE36D3">
        <w:rPr>
          <w:rFonts w:ascii="Arial" w:hAnsi="Arial" w:cs="Arial"/>
          <w:sz w:val="18"/>
          <w:szCs w:val="18"/>
        </w:rPr>
        <w:t>-</w:t>
      </w:r>
    </w:p>
    <w:tbl>
      <w:tblPr>
        <w:tblW w:w="5000" w:type="pct"/>
        <w:tblCellMar>
          <w:left w:w="70" w:type="dxa"/>
          <w:right w:w="70" w:type="dxa"/>
        </w:tblCellMar>
        <w:tblLook w:val="04A0" w:firstRow="1" w:lastRow="0" w:firstColumn="1" w:lastColumn="0" w:noHBand="0" w:noVBand="1"/>
      </w:tblPr>
      <w:tblGrid>
        <w:gridCol w:w="1999"/>
        <w:gridCol w:w="1471"/>
        <w:gridCol w:w="1501"/>
        <w:gridCol w:w="1216"/>
        <w:gridCol w:w="1323"/>
        <w:gridCol w:w="1308"/>
      </w:tblGrid>
      <w:tr w:rsidR="00E77A77" w:rsidRPr="009840D8" w:rsidTr="00817F3B">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Sector Propósito General Cierre Fiscal 2019 - Saldo en Caja FUT (cifras en pesos) </w:t>
            </w:r>
          </w:p>
        </w:tc>
      </w:tr>
      <w:tr w:rsidR="00E77A77" w:rsidRPr="009840D8" w:rsidTr="00817F3B">
        <w:trPr>
          <w:trHeight w:val="555"/>
        </w:trPr>
        <w:tc>
          <w:tcPr>
            <w:tcW w:w="1052" w:type="pct"/>
            <w:vMerge w:val="restart"/>
            <w:tcBorders>
              <w:top w:val="nil"/>
              <w:left w:val="single" w:sz="8" w:space="0" w:color="auto"/>
              <w:bottom w:val="single" w:sz="8" w:space="0" w:color="000000"/>
              <w:right w:val="single" w:sz="8" w:space="0" w:color="auto"/>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 Destinaciones</w:t>
            </w:r>
          </w:p>
        </w:tc>
        <w:tc>
          <w:tcPr>
            <w:tcW w:w="856" w:type="pct"/>
            <w:tcBorders>
              <w:top w:val="nil"/>
              <w:left w:val="nil"/>
              <w:bottom w:val="single" w:sz="8" w:space="0" w:color="auto"/>
              <w:right w:val="single" w:sz="8" w:space="0" w:color="auto"/>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Saldo en Cajas </w:t>
            </w:r>
          </w:p>
        </w:tc>
        <w:tc>
          <w:tcPr>
            <w:tcW w:w="873" w:type="pct"/>
            <w:tcBorders>
              <w:top w:val="nil"/>
              <w:left w:val="nil"/>
              <w:bottom w:val="single" w:sz="8" w:space="0" w:color="auto"/>
              <w:right w:val="single" w:sz="8" w:space="0" w:color="auto"/>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Ctas x Pagar Vigencia </w:t>
            </w:r>
          </w:p>
        </w:tc>
        <w:tc>
          <w:tcPr>
            <w:tcW w:w="711" w:type="pct"/>
            <w:tcBorders>
              <w:top w:val="nil"/>
              <w:left w:val="nil"/>
              <w:bottom w:val="single" w:sz="8" w:space="0" w:color="auto"/>
              <w:right w:val="single" w:sz="8" w:space="0" w:color="auto"/>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0000"/>
                <w:sz w:val="16"/>
                <w:szCs w:val="16"/>
                <w:lang w:eastAsia="es-CO"/>
              </w:rPr>
            </w:pPr>
            <w:r w:rsidRPr="00BE36D3">
              <w:rPr>
                <w:rFonts w:ascii="Arial" w:eastAsia="Times New Roman" w:hAnsi="Arial" w:cs="Arial"/>
                <w:b/>
                <w:bCs/>
                <w:color w:val="FFFFFF" w:themeColor="background1"/>
                <w:sz w:val="16"/>
                <w:szCs w:val="16"/>
                <w:lang w:eastAsia="es-CO"/>
              </w:rPr>
              <w:t xml:space="preserve">Ctas x Pagar Vigencia Anterior </w:t>
            </w:r>
          </w:p>
        </w:tc>
        <w:tc>
          <w:tcPr>
            <w:tcW w:w="745" w:type="pct"/>
            <w:tcBorders>
              <w:top w:val="nil"/>
              <w:left w:val="nil"/>
              <w:bottom w:val="single" w:sz="8" w:space="0" w:color="auto"/>
              <w:right w:val="single" w:sz="8" w:space="0" w:color="auto"/>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Reservas Presupuestales </w:t>
            </w:r>
          </w:p>
        </w:tc>
        <w:tc>
          <w:tcPr>
            <w:tcW w:w="763" w:type="pct"/>
            <w:tcBorders>
              <w:top w:val="nil"/>
              <w:left w:val="nil"/>
              <w:bottom w:val="single" w:sz="8" w:space="0" w:color="auto"/>
              <w:right w:val="single" w:sz="8" w:space="0" w:color="auto"/>
            </w:tcBorders>
            <w:shd w:val="clear" w:color="000000" w:fill="666699"/>
            <w:vAlign w:val="center"/>
            <w:hideMark/>
          </w:tcPr>
          <w:p w:rsidR="00E77A77" w:rsidRPr="00BE36D3" w:rsidRDefault="00E77A77">
            <w:pPr>
              <w:spacing w:after="0" w:line="240" w:lineRule="auto"/>
              <w:contextualSpacing/>
              <w:jc w:val="center"/>
              <w:rPr>
                <w:rFonts w:ascii="Arial" w:eastAsia="Times New Roman" w:hAnsi="Arial" w:cs="Arial"/>
                <w:b/>
                <w:bCs/>
                <w:color w:val="FFFFFF"/>
                <w:sz w:val="16"/>
                <w:szCs w:val="16"/>
                <w:lang w:eastAsia="es-CO"/>
              </w:rPr>
            </w:pPr>
            <w:r w:rsidRPr="00BE36D3">
              <w:rPr>
                <w:rFonts w:ascii="Arial" w:eastAsia="Times New Roman" w:hAnsi="Arial" w:cs="Arial"/>
                <w:b/>
                <w:bCs/>
                <w:color w:val="FFFFFF"/>
                <w:sz w:val="16"/>
                <w:szCs w:val="16"/>
                <w:lang w:eastAsia="es-CO"/>
              </w:rPr>
              <w:t xml:space="preserve">Superávit o Déficit </w:t>
            </w:r>
          </w:p>
        </w:tc>
      </w:tr>
      <w:tr w:rsidR="00E77A77" w:rsidRPr="009840D8" w:rsidTr="00817F3B">
        <w:trPr>
          <w:trHeight w:val="315"/>
        </w:trPr>
        <w:tc>
          <w:tcPr>
            <w:tcW w:w="1052" w:type="pct"/>
            <w:vMerge/>
            <w:tcBorders>
              <w:top w:val="nil"/>
              <w:left w:val="single" w:sz="8" w:space="0" w:color="auto"/>
              <w:bottom w:val="single" w:sz="8" w:space="0" w:color="000000"/>
              <w:right w:val="single" w:sz="8" w:space="0" w:color="auto"/>
            </w:tcBorders>
            <w:vAlign w:val="center"/>
            <w:hideMark/>
          </w:tcPr>
          <w:p w:rsidR="00E77A77" w:rsidRPr="00BE36D3" w:rsidRDefault="00E77A77">
            <w:pPr>
              <w:spacing w:after="0" w:line="240" w:lineRule="auto"/>
              <w:contextualSpacing/>
              <w:rPr>
                <w:rFonts w:ascii="Arial" w:eastAsia="Times New Roman" w:hAnsi="Arial" w:cs="Arial"/>
                <w:b/>
                <w:bCs/>
                <w:color w:val="FFFFFF"/>
                <w:sz w:val="16"/>
                <w:szCs w:val="16"/>
                <w:lang w:eastAsia="es-CO"/>
              </w:rPr>
            </w:pPr>
          </w:p>
        </w:tc>
        <w:tc>
          <w:tcPr>
            <w:tcW w:w="856" w:type="pct"/>
            <w:tcBorders>
              <w:top w:val="nil"/>
              <w:left w:val="nil"/>
              <w:bottom w:val="single" w:sz="8" w:space="0" w:color="auto"/>
              <w:right w:val="single" w:sz="8" w:space="0" w:color="auto"/>
            </w:tcBorders>
            <w:shd w:val="clear" w:color="000000" w:fill="CCCCFF"/>
            <w:vAlign w:val="center"/>
            <w:hideMark/>
          </w:tcPr>
          <w:p w:rsidR="00E77A77" w:rsidRPr="00BE36D3" w:rsidRDefault="00E77A77">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$1.199.699.764</w:t>
            </w:r>
          </w:p>
        </w:tc>
        <w:tc>
          <w:tcPr>
            <w:tcW w:w="873" w:type="pct"/>
            <w:tcBorders>
              <w:top w:val="nil"/>
              <w:left w:val="nil"/>
              <w:bottom w:val="single" w:sz="8" w:space="0" w:color="auto"/>
              <w:right w:val="single" w:sz="8" w:space="0" w:color="auto"/>
            </w:tcBorders>
            <w:shd w:val="clear" w:color="000000" w:fill="CCCCFF"/>
            <w:vAlign w:val="center"/>
            <w:hideMark/>
          </w:tcPr>
          <w:p w:rsidR="00E77A77" w:rsidRPr="00BE36D3" w:rsidRDefault="00E77A77">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$99.439.525</w:t>
            </w:r>
          </w:p>
        </w:tc>
        <w:tc>
          <w:tcPr>
            <w:tcW w:w="711" w:type="pct"/>
            <w:tcBorders>
              <w:top w:val="nil"/>
              <w:left w:val="nil"/>
              <w:bottom w:val="single" w:sz="8" w:space="0" w:color="auto"/>
              <w:right w:val="single" w:sz="8" w:space="0" w:color="auto"/>
            </w:tcBorders>
            <w:shd w:val="clear" w:color="000000" w:fill="CCCCFF"/>
            <w:vAlign w:val="center"/>
            <w:hideMark/>
          </w:tcPr>
          <w:p w:rsidR="00E77A77" w:rsidRPr="00BE36D3" w:rsidRDefault="00E77A77">
            <w:pPr>
              <w:spacing w:after="0" w:line="240" w:lineRule="auto"/>
              <w:contextualSpacing/>
              <w:jc w:val="center"/>
              <w:rPr>
                <w:rFonts w:ascii="Arial" w:eastAsia="Times New Roman" w:hAnsi="Arial" w:cs="Arial"/>
                <w:b/>
                <w:bCs/>
                <w:sz w:val="16"/>
                <w:szCs w:val="16"/>
                <w:lang w:eastAsia="es-CO"/>
              </w:rPr>
            </w:pPr>
            <w:r w:rsidRPr="00BE36D3">
              <w:rPr>
                <w:rFonts w:ascii="Arial" w:eastAsia="Times New Roman" w:hAnsi="Arial" w:cs="Arial"/>
                <w:b/>
                <w:bCs/>
                <w:sz w:val="16"/>
                <w:szCs w:val="16"/>
                <w:lang w:eastAsia="es-CO"/>
              </w:rPr>
              <w:t>$0</w:t>
            </w:r>
          </w:p>
        </w:tc>
        <w:tc>
          <w:tcPr>
            <w:tcW w:w="745" w:type="pct"/>
            <w:tcBorders>
              <w:top w:val="nil"/>
              <w:left w:val="nil"/>
              <w:bottom w:val="single" w:sz="8" w:space="0" w:color="auto"/>
              <w:right w:val="single" w:sz="8" w:space="0" w:color="auto"/>
            </w:tcBorders>
            <w:shd w:val="clear" w:color="000000" w:fill="CCCCFF"/>
            <w:vAlign w:val="center"/>
            <w:hideMark/>
          </w:tcPr>
          <w:p w:rsidR="00E77A77" w:rsidRPr="00BE36D3" w:rsidRDefault="00E77A77">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$299.781.228</w:t>
            </w:r>
          </w:p>
        </w:tc>
        <w:tc>
          <w:tcPr>
            <w:tcW w:w="763" w:type="pct"/>
            <w:tcBorders>
              <w:top w:val="nil"/>
              <w:left w:val="nil"/>
              <w:bottom w:val="single" w:sz="8" w:space="0" w:color="auto"/>
              <w:right w:val="single" w:sz="8" w:space="0" w:color="auto"/>
            </w:tcBorders>
            <w:shd w:val="clear" w:color="000000" w:fill="CCCCFF"/>
            <w:vAlign w:val="center"/>
            <w:hideMark/>
          </w:tcPr>
          <w:p w:rsidR="00E77A77" w:rsidRPr="00BE36D3" w:rsidRDefault="00E77A77">
            <w:pPr>
              <w:spacing w:after="0" w:line="240" w:lineRule="auto"/>
              <w:contextualSpacing/>
              <w:jc w:val="center"/>
              <w:rPr>
                <w:rFonts w:ascii="Arial" w:eastAsia="Times New Roman" w:hAnsi="Arial" w:cs="Arial"/>
                <w:b/>
                <w:bCs/>
                <w:color w:val="000000"/>
                <w:sz w:val="16"/>
                <w:szCs w:val="16"/>
                <w:lang w:eastAsia="es-CO"/>
              </w:rPr>
            </w:pPr>
            <w:r w:rsidRPr="00BE36D3">
              <w:rPr>
                <w:rFonts w:ascii="Arial" w:eastAsia="Times New Roman" w:hAnsi="Arial" w:cs="Arial"/>
                <w:b/>
                <w:bCs/>
                <w:color w:val="000000"/>
                <w:sz w:val="16"/>
                <w:szCs w:val="16"/>
                <w:lang w:eastAsia="es-CO"/>
              </w:rPr>
              <w:t>$800.479.011</w:t>
            </w:r>
          </w:p>
        </w:tc>
      </w:tr>
      <w:tr w:rsidR="00E77A77" w:rsidRPr="009840D8" w:rsidTr="00817F3B">
        <w:trPr>
          <w:trHeight w:val="315"/>
        </w:trPr>
        <w:tc>
          <w:tcPr>
            <w:tcW w:w="1052" w:type="pct"/>
            <w:tcBorders>
              <w:top w:val="nil"/>
              <w:left w:val="single" w:sz="8" w:space="0" w:color="auto"/>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1.1. Libre Inversión</w:t>
            </w:r>
          </w:p>
        </w:tc>
        <w:tc>
          <w:tcPr>
            <w:tcW w:w="856"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$35.990.993</w:t>
            </w:r>
          </w:p>
        </w:tc>
        <w:tc>
          <w:tcPr>
            <w:tcW w:w="87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11"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745"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$3.500.000</w:t>
            </w:r>
          </w:p>
        </w:tc>
        <w:tc>
          <w:tcPr>
            <w:tcW w:w="76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$32.490.993</w:t>
            </w:r>
          </w:p>
        </w:tc>
      </w:tr>
      <w:tr w:rsidR="00E77A77" w:rsidRPr="009840D8" w:rsidTr="00817F3B">
        <w:trPr>
          <w:trHeight w:val="315"/>
        </w:trPr>
        <w:tc>
          <w:tcPr>
            <w:tcW w:w="1052" w:type="pct"/>
            <w:tcBorders>
              <w:top w:val="nil"/>
              <w:left w:val="single" w:sz="8" w:space="0" w:color="auto"/>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1.2. Deporte y Recreación</w:t>
            </w:r>
          </w:p>
        </w:tc>
        <w:tc>
          <w:tcPr>
            <w:tcW w:w="856"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$659.834.870</w:t>
            </w:r>
          </w:p>
        </w:tc>
        <w:tc>
          <w:tcPr>
            <w:tcW w:w="87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$4.930.000</w:t>
            </w:r>
          </w:p>
        </w:tc>
        <w:tc>
          <w:tcPr>
            <w:tcW w:w="711"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745"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6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$654.904.870</w:t>
            </w:r>
          </w:p>
        </w:tc>
      </w:tr>
      <w:tr w:rsidR="00E77A77" w:rsidRPr="009840D8" w:rsidTr="00817F3B">
        <w:trPr>
          <w:trHeight w:val="315"/>
        </w:trPr>
        <w:tc>
          <w:tcPr>
            <w:tcW w:w="1052" w:type="pct"/>
            <w:tcBorders>
              <w:top w:val="nil"/>
              <w:left w:val="single" w:sz="8" w:space="0" w:color="auto"/>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1.3. Cultura</w:t>
            </w:r>
          </w:p>
        </w:tc>
        <w:tc>
          <w:tcPr>
            <w:tcW w:w="856"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$503.873.901</w:t>
            </w:r>
          </w:p>
        </w:tc>
        <w:tc>
          <w:tcPr>
            <w:tcW w:w="87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11"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745"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76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$503.873.901</w:t>
            </w:r>
          </w:p>
        </w:tc>
      </w:tr>
      <w:tr w:rsidR="00E77A77" w:rsidRPr="009840D8" w:rsidTr="00817F3B">
        <w:trPr>
          <w:trHeight w:val="315"/>
        </w:trPr>
        <w:tc>
          <w:tcPr>
            <w:tcW w:w="1052" w:type="pct"/>
            <w:tcBorders>
              <w:top w:val="nil"/>
              <w:left w:val="single" w:sz="8" w:space="0" w:color="auto"/>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1.4. Libre Destinación</w:t>
            </w:r>
          </w:p>
        </w:tc>
        <w:tc>
          <w:tcPr>
            <w:tcW w:w="856"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$0</w:t>
            </w:r>
          </w:p>
        </w:tc>
        <w:tc>
          <w:tcPr>
            <w:tcW w:w="87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$94.509.525</w:t>
            </w:r>
          </w:p>
        </w:tc>
        <w:tc>
          <w:tcPr>
            <w:tcW w:w="711"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sz w:val="16"/>
                <w:szCs w:val="16"/>
                <w:lang w:eastAsia="es-CO"/>
              </w:rPr>
            </w:pPr>
            <w:r w:rsidRPr="00BE36D3">
              <w:rPr>
                <w:rFonts w:ascii="Arial" w:eastAsia="Times New Roman" w:hAnsi="Arial" w:cs="Arial"/>
                <w:sz w:val="16"/>
                <w:szCs w:val="16"/>
                <w:lang w:eastAsia="es-CO"/>
              </w:rPr>
              <w:t>$0</w:t>
            </w:r>
          </w:p>
        </w:tc>
        <w:tc>
          <w:tcPr>
            <w:tcW w:w="745"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color w:val="000000"/>
                <w:sz w:val="16"/>
                <w:szCs w:val="16"/>
                <w:lang w:eastAsia="es-CO"/>
              </w:rPr>
              <w:t>$296.281.228</w:t>
            </w:r>
          </w:p>
        </w:tc>
        <w:tc>
          <w:tcPr>
            <w:tcW w:w="763" w:type="pct"/>
            <w:tcBorders>
              <w:top w:val="nil"/>
              <w:left w:val="nil"/>
              <w:bottom w:val="single" w:sz="8" w:space="0" w:color="auto"/>
              <w:right w:val="single" w:sz="8" w:space="0" w:color="auto"/>
            </w:tcBorders>
            <w:shd w:val="clear" w:color="auto" w:fill="auto"/>
            <w:noWrap/>
            <w:vAlign w:val="center"/>
            <w:hideMark/>
          </w:tcPr>
          <w:p w:rsidR="00E77A77" w:rsidRPr="00BE36D3" w:rsidRDefault="00E77A77">
            <w:pPr>
              <w:spacing w:after="0" w:line="240" w:lineRule="auto"/>
              <w:contextualSpacing/>
              <w:jc w:val="center"/>
              <w:rPr>
                <w:rFonts w:ascii="Arial" w:eastAsia="Times New Roman" w:hAnsi="Arial" w:cs="Arial"/>
                <w:color w:val="000000"/>
                <w:sz w:val="16"/>
                <w:szCs w:val="16"/>
                <w:lang w:eastAsia="es-CO"/>
              </w:rPr>
            </w:pPr>
            <w:r w:rsidRPr="00BE36D3">
              <w:rPr>
                <w:rFonts w:ascii="Arial" w:eastAsia="Times New Roman" w:hAnsi="Arial" w:cs="Arial"/>
                <w:sz w:val="16"/>
                <w:szCs w:val="16"/>
                <w:lang w:eastAsia="es-CO"/>
              </w:rPr>
              <w:t>-$390.790.753</w:t>
            </w:r>
          </w:p>
        </w:tc>
      </w:tr>
    </w:tbl>
    <w:p w:rsidR="00E77A77" w:rsidRPr="00BE36D3" w:rsidRDefault="00E77A77">
      <w:pPr>
        <w:spacing w:line="240" w:lineRule="auto"/>
        <w:contextualSpacing/>
        <w:jc w:val="center"/>
        <w:rPr>
          <w:rFonts w:ascii="Arial" w:eastAsia="Times New Roman" w:hAnsi="Arial" w:cs="Arial"/>
          <w:sz w:val="20"/>
          <w:szCs w:val="20"/>
          <w:lang w:eastAsia="es-CO"/>
        </w:rPr>
      </w:pPr>
      <w:r w:rsidRPr="00BE36D3">
        <w:rPr>
          <w:rFonts w:ascii="Arial" w:eastAsia="Times New Roman" w:hAnsi="Arial" w:cs="Arial"/>
          <w:b/>
          <w:sz w:val="20"/>
          <w:szCs w:val="20"/>
          <w:lang w:eastAsia="es-CO"/>
        </w:rPr>
        <w:t>Fuente:</w:t>
      </w:r>
      <w:r w:rsidRPr="00BE36D3">
        <w:rPr>
          <w:rFonts w:ascii="Arial" w:eastAsia="Times New Roman" w:hAnsi="Arial" w:cs="Arial"/>
          <w:sz w:val="20"/>
          <w:szCs w:val="20"/>
          <w:lang w:eastAsia="es-CO"/>
        </w:rPr>
        <w:t xml:space="preserve"> Cálculos DAF con información FUT </w:t>
      </w:r>
      <w:r w:rsidR="009840D8">
        <w:rPr>
          <w:rFonts w:ascii="Arial" w:eastAsia="Times New Roman" w:hAnsi="Arial" w:cs="Arial"/>
          <w:sz w:val="20"/>
          <w:szCs w:val="20"/>
          <w:lang w:eastAsia="es-CO"/>
        </w:rPr>
        <w:t>C</w:t>
      </w:r>
      <w:r w:rsidRPr="00BE36D3">
        <w:rPr>
          <w:rFonts w:ascii="Arial" w:eastAsia="Times New Roman" w:hAnsi="Arial" w:cs="Arial"/>
          <w:sz w:val="20"/>
          <w:szCs w:val="20"/>
          <w:lang w:eastAsia="es-CO"/>
        </w:rPr>
        <w:t xml:space="preserve">ategoría </w:t>
      </w:r>
      <w:r w:rsidR="009840D8">
        <w:rPr>
          <w:rFonts w:ascii="Arial" w:eastAsia="Times New Roman" w:hAnsi="Arial" w:cs="Arial"/>
          <w:sz w:val="20"/>
          <w:szCs w:val="20"/>
          <w:lang w:eastAsia="es-CO"/>
        </w:rPr>
        <w:t>C</w:t>
      </w:r>
      <w:r w:rsidRPr="00BE36D3">
        <w:rPr>
          <w:rFonts w:ascii="Arial" w:eastAsia="Times New Roman" w:hAnsi="Arial" w:cs="Arial"/>
          <w:sz w:val="20"/>
          <w:szCs w:val="20"/>
          <w:lang w:eastAsia="es-CO"/>
        </w:rPr>
        <w:t xml:space="preserve">ierre </w:t>
      </w:r>
      <w:r w:rsidR="009840D8">
        <w:rPr>
          <w:rFonts w:ascii="Arial" w:eastAsia="Times New Roman" w:hAnsi="Arial" w:cs="Arial"/>
          <w:sz w:val="20"/>
          <w:szCs w:val="20"/>
          <w:lang w:eastAsia="es-CO"/>
        </w:rPr>
        <w:t>F</w:t>
      </w:r>
      <w:r w:rsidRPr="00BE36D3">
        <w:rPr>
          <w:rFonts w:ascii="Arial" w:eastAsia="Times New Roman" w:hAnsi="Arial" w:cs="Arial"/>
          <w:sz w:val="20"/>
          <w:szCs w:val="20"/>
          <w:lang w:eastAsia="es-CO"/>
        </w:rPr>
        <w:t>iscal.</w:t>
      </w:r>
    </w:p>
    <w:p w:rsidR="00506FD1" w:rsidRPr="00BE36D3" w:rsidRDefault="00506FD1">
      <w:pPr>
        <w:spacing w:line="240" w:lineRule="auto"/>
        <w:contextualSpacing/>
        <w:jc w:val="both"/>
        <w:rPr>
          <w:rFonts w:ascii="Arial" w:hAnsi="Arial" w:cs="Arial"/>
        </w:rPr>
      </w:pPr>
    </w:p>
    <w:p w:rsidR="00E77A77" w:rsidRDefault="00E77A77">
      <w:pPr>
        <w:spacing w:line="240" w:lineRule="auto"/>
        <w:contextualSpacing/>
        <w:jc w:val="both"/>
        <w:rPr>
          <w:rFonts w:ascii="Arial" w:hAnsi="Arial" w:cs="Arial"/>
        </w:rPr>
      </w:pPr>
      <w:r w:rsidRPr="00BE36D3">
        <w:rPr>
          <w:rFonts w:ascii="Arial" w:hAnsi="Arial" w:cs="Arial"/>
        </w:rPr>
        <w:t xml:space="preserve">En la vigencia 2019 se puede observar que el Municipio realizó la discriminación en todos los componentes de la </w:t>
      </w:r>
      <w:r w:rsidR="009840D8">
        <w:rPr>
          <w:rFonts w:ascii="Arial" w:hAnsi="Arial" w:cs="Arial"/>
        </w:rPr>
        <w:t>P</w:t>
      </w:r>
      <w:r w:rsidRPr="00BE36D3">
        <w:rPr>
          <w:rFonts w:ascii="Arial" w:hAnsi="Arial" w:cs="Arial"/>
        </w:rPr>
        <w:t xml:space="preserve">articipación de Propósito General. No obstante, se presentan varias inconsistencias. La primera es en el valor del superávit fiscal, ya que en el ejercicio presupuestal se </w:t>
      </w:r>
      <w:r w:rsidR="004365FD" w:rsidRPr="00BE36D3">
        <w:rPr>
          <w:rFonts w:ascii="Arial" w:hAnsi="Arial" w:cs="Arial"/>
        </w:rPr>
        <w:t>identificó</w:t>
      </w:r>
      <w:r w:rsidRPr="00BE36D3">
        <w:rPr>
          <w:rFonts w:ascii="Arial" w:hAnsi="Arial" w:cs="Arial"/>
        </w:rPr>
        <w:t xml:space="preserve"> un superávit de $342.853.150 y en el FUT se reporta un superávit de $800.479.011. En este componente llama la atención especialmente que, según el reporte, el Municipio de Santiago de Tolú - Sucre quedó en déficit en Libre Destinación por valor de $390.790.753, valor que no es consistente de acuerdo con los cálculos realizados por esta Dirección con base en las ejecuciones presupuestales de la </w:t>
      </w:r>
      <w:r w:rsidR="009840D8">
        <w:rPr>
          <w:rFonts w:ascii="Arial" w:hAnsi="Arial" w:cs="Arial"/>
        </w:rPr>
        <w:t>E</w:t>
      </w:r>
      <w:r w:rsidRPr="00BE36D3">
        <w:rPr>
          <w:rFonts w:ascii="Arial" w:hAnsi="Arial" w:cs="Arial"/>
        </w:rPr>
        <w:t xml:space="preserve">ntidad </w:t>
      </w:r>
      <w:r w:rsidR="009840D8">
        <w:rPr>
          <w:rFonts w:ascii="Arial" w:hAnsi="Arial" w:cs="Arial"/>
        </w:rPr>
        <w:t>T</w:t>
      </w:r>
      <w:r w:rsidRPr="00BE36D3">
        <w:rPr>
          <w:rFonts w:ascii="Arial" w:hAnsi="Arial" w:cs="Arial"/>
        </w:rPr>
        <w:t>erritorial.</w:t>
      </w:r>
    </w:p>
    <w:p w:rsidR="00506FD1" w:rsidRPr="00BE36D3" w:rsidRDefault="00506FD1">
      <w:pPr>
        <w:spacing w:line="240" w:lineRule="auto"/>
        <w:contextualSpacing/>
        <w:jc w:val="both"/>
        <w:rPr>
          <w:rFonts w:ascii="Arial" w:hAnsi="Arial" w:cs="Arial"/>
        </w:rPr>
      </w:pPr>
    </w:p>
    <w:p w:rsidR="00E77A77" w:rsidRPr="00BE36D3" w:rsidRDefault="00E77A77" w:rsidP="00F4471B">
      <w:pPr>
        <w:spacing w:line="240" w:lineRule="auto"/>
        <w:contextualSpacing/>
        <w:jc w:val="both"/>
        <w:rPr>
          <w:rFonts w:ascii="Arial" w:hAnsi="Arial" w:cs="Arial"/>
          <w:b/>
          <w:bCs/>
        </w:rPr>
      </w:pPr>
      <w:r w:rsidRPr="00BE36D3">
        <w:rPr>
          <w:rFonts w:ascii="Arial" w:hAnsi="Arial" w:cs="Arial"/>
        </w:rPr>
        <w:t xml:space="preserve">De igual manera, se presentan diferencias entre el valor de las cuentas por pagar reportadas y las cuentas por pagar derivadas del ejercicio con las ejecuciones presupuestales, estas últimas fueron de $133.840.558 para Libre Destinación y $286.500.000 en Libre Inversión, mientras que en el reporte FUT se registraron $4.930.000 en Deporte y $94.509.525 en Libre Destinación por concepto de </w:t>
      </w:r>
      <w:r w:rsidR="009840D8">
        <w:rPr>
          <w:rFonts w:ascii="Arial" w:hAnsi="Arial" w:cs="Arial"/>
        </w:rPr>
        <w:t>c</w:t>
      </w:r>
      <w:r w:rsidRPr="00BE36D3">
        <w:rPr>
          <w:rFonts w:ascii="Arial" w:hAnsi="Arial" w:cs="Arial"/>
        </w:rPr>
        <w:t xml:space="preserve">uentas por pagar. Estas inconsistencias se repiten en las reservas presupuestales, ya que, de acuerdo con el ejercicio realizado presupuestalmente, no hay lugar a la generación de </w:t>
      </w:r>
      <w:r w:rsidR="009840D8">
        <w:rPr>
          <w:rFonts w:ascii="Arial" w:hAnsi="Arial" w:cs="Arial"/>
        </w:rPr>
        <w:t>r</w:t>
      </w:r>
      <w:r w:rsidRPr="00BE36D3">
        <w:rPr>
          <w:rFonts w:ascii="Arial" w:hAnsi="Arial" w:cs="Arial"/>
        </w:rPr>
        <w:t xml:space="preserve">eservas en la vigencia 2019, pero la </w:t>
      </w:r>
      <w:r w:rsidR="009840D8">
        <w:rPr>
          <w:rFonts w:ascii="Arial" w:hAnsi="Arial" w:cs="Arial"/>
        </w:rPr>
        <w:t>E</w:t>
      </w:r>
      <w:r w:rsidRPr="00BE36D3">
        <w:rPr>
          <w:rFonts w:ascii="Arial" w:hAnsi="Arial" w:cs="Arial"/>
        </w:rPr>
        <w:t xml:space="preserve">ntidad </w:t>
      </w:r>
      <w:r w:rsidR="009840D8">
        <w:rPr>
          <w:rFonts w:ascii="Arial" w:hAnsi="Arial" w:cs="Arial"/>
        </w:rPr>
        <w:t>T</w:t>
      </w:r>
      <w:r w:rsidRPr="00BE36D3">
        <w:rPr>
          <w:rFonts w:ascii="Arial" w:hAnsi="Arial" w:cs="Arial"/>
        </w:rPr>
        <w:t>erritorial reportó reservas por un valor de $3.500.000 y $296.281.228 en Libre Inversión y Libre Destinación respectivamente.</w:t>
      </w:r>
    </w:p>
    <w:sectPr w:rsidR="00E77A77" w:rsidRPr="00BE36D3">
      <w:headerReference w:type="default" r:id="rId78"/>
      <w:footerReference w:type="default" r:id="rId7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F20" w:rsidRDefault="004A4F20">
      <w:pPr>
        <w:spacing w:after="0" w:line="240" w:lineRule="auto"/>
      </w:pPr>
      <w:r>
        <w:separator/>
      </w:r>
    </w:p>
  </w:endnote>
  <w:endnote w:type="continuationSeparator" w:id="0">
    <w:p w:rsidR="004A4F20" w:rsidRDefault="004A4F20">
      <w:pPr>
        <w:spacing w:after="0" w:line="240" w:lineRule="auto"/>
      </w:pPr>
      <w:r>
        <w:continuationSeparator/>
      </w:r>
    </w:p>
  </w:endnote>
  <w:endnote w:type="continuationNotice" w:id="1">
    <w:p w:rsidR="004A4F20" w:rsidRDefault="004A4F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2B4" w:rsidRDefault="003142B4">
    <w:pPr>
      <w:pStyle w:val="Piedepgina"/>
    </w:pPr>
    <w:r>
      <w:rPr>
        <w:noProof/>
        <w:lang w:eastAsia="es-CO"/>
      </w:rPr>
      <w:drawing>
        <wp:inline distT="0" distB="0" distL="0" distR="0">
          <wp:extent cx="3399155" cy="981075"/>
          <wp:effectExtent l="0" t="0" r="0" b="0"/>
          <wp:docPr id="38" name="Imagen 38"/>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9810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F20" w:rsidRDefault="004A4F20">
      <w:pPr>
        <w:spacing w:after="0" w:line="240" w:lineRule="auto"/>
      </w:pPr>
      <w:r>
        <w:separator/>
      </w:r>
    </w:p>
  </w:footnote>
  <w:footnote w:type="continuationSeparator" w:id="0">
    <w:p w:rsidR="004A4F20" w:rsidRDefault="004A4F20">
      <w:pPr>
        <w:spacing w:after="0" w:line="240" w:lineRule="auto"/>
      </w:pPr>
      <w:r>
        <w:continuationSeparator/>
      </w:r>
    </w:p>
  </w:footnote>
  <w:footnote w:type="continuationNotice" w:id="1">
    <w:p w:rsidR="004A4F20" w:rsidRDefault="004A4F20">
      <w:pPr>
        <w:spacing w:after="0" w:line="240" w:lineRule="auto"/>
      </w:pPr>
    </w:p>
  </w:footnote>
  <w:footnote w:id="2">
    <w:p w:rsidR="00530563" w:rsidRPr="00530563" w:rsidRDefault="00530563" w:rsidP="00530563">
      <w:pPr>
        <w:pStyle w:val="Textonotapie"/>
        <w:jc w:val="both"/>
        <w:rPr>
          <w:rFonts w:ascii="Arial" w:hAnsi="Arial" w:cs="Arial"/>
        </w:rPr>
      </w:pPr>
      <w:r>
        <w:rPr>
          <w:rStyle w:val="Refdenotaalpie"/>
        </w:rPr>
        <w:footnoteRef/>
      </w:r>
      <w:r>
        <w:t xml:space="preserve"> </w:t>
      </w:r>
      <w:r>
        <w:rPr>
          <w:rFonts w:ascii="Arial" w:hAnsi="Arial" w:cs="Arial"/>
        </w:rPr>
        <w:t xml:space="preserve">El déficit al que se refiere el rubro es el déficit derivado de un desequilibrio presupuestal </w:t>
      </w:r>
      <w:r w:rsidR="003740C3">
        <w:rPr>
          <w:rFonts w:ascii="Arial" w:hAnsi="Arial" w:cs="Arial"/>
        </w:rPr>
        <w:t xml:space="preserve">entre los ingresos y los gastos </w:t>
      </w:r>
      <w:r>
        <w:rPr>
          <w:rFonts w:ascii="Arial" w:hAnsi="Arial" w:cs="Arial"/>
        </w:rPr>
        <w:t xml:space="preserve">en el sector de APSB y no el </w:t>
      </w:r>
      <w:r w:rsidRPr="003740C3">
        <w:rPr>
          <w:rFonts w:ascii="Arial" w:hAnsi="Arial" w:cs="Arial"/>
          <w:i/>
          <w:iCs/>
        </w:rPr>
        <w:t>déficit por subsidios</w:t>
      </w:r>
      <w:r w:rsidR="003740C3">
        <w:rPr>
          <w:rFonts w:ascii="Arial" w:hAnsi="Arial" w:cs="Arial"/>
        </w:rPr>
        <w:t xml:space="preserve">, </w:t>
      </w:r>
      <w:r>
        <w:rPr>
          <w:rFonts w:ascii="Arial" w:hAnsi="Arial" w:cs="Arial"/>
        </w:rPr>
        <w:t>que surge de</w:t>
      </w:r>
      <w:r w:rsidRPr="00530563">
        <w:rPr>
          <w:rFonts w:ascii="Arial" w:hAnsi="Arial" w:cs="Arial"/>
        </w:rPr>
        <w:t xml:space="preserve"> la diferencia entre el valor total del recaudo de la </w:t>
      </w:r>
      <w:r>
        <w:rPr>
          <w:rFonts w:ascii="Arial" w:hAnsi="Arial" w:cs="Arial"/>
        </w:rPr>
        <w:t>c</w:t>
      </w:r>
      <w:r w:rsidRPr="00530563">
        <w:rPr>
          <w:rFonts w:ascii="Arial" w:hAnsi="Arial" w:cs="Arial"/>
        </w:rPr>
        <w:t xml:space="preserve">ontribución </w:t>
      </w:r>
      <w:r>
        <w:rPr>
          <w:rFonts w:ascii="Arial" w:hAnsi="Arial" w:cs="Arial"/>
        </w:rPr>
        <w:t>s</w:t>
      </w:r>
      <w:r w:rsidRPr="00530563">
        <w:rPr>
          <w:rFonts w:ascii="Arial" w:hAnsi="Arial" w:cs="Arial"/>
        </w:rPr>
        <w:t>olidaria y el valor total de los subsidios otorgados</w:t>
      </w:r>
      <w:r>
        <w:rPr>
          <w:rFonts w:ascii="Arial" w:hAnsi="Arial" w:cs="Arial"/>
        </w:rPr>
        <w:t>.</w:t>
      </w:r>
    </w:p>
  </w:footnote>
  <w:footnote w:id="3">
    <w:p w:rsidR="003142B4" w:rsidRDefault="003142B4" w:rsidP="00F261B7">
      <w:pPr>
        <w:pStyle w:val="Textonotapie"/>
        <w:rPr>
          <w:lang w:val="es-ES"/>
        </w:rPr>
      </w:pPr>
      <w:r>
        <w:rPr>
          <w:rStyle w:val="Refdenotaalpie"/>
        </w:rPr>
        <w:footnoteRef/>
      </w:r>
      <w:r>
        <w:t xml:space="preserve"> </w:t>
      </w:r>
      <w:r w:rsidRPr="006C2FD8">
        <w:rPr>
          <w:rFonts w:ascii="Arial Narrow" w:hAnsi="Arial Narrow" w:cs="Arial"/>
        </w:rPr>
        <w:t xml:space="preserve">En este </w:t>
      </w:r>
      <w:r>
        <w:rPr>
          <w:rFonts w:ascii="Arial Narrow" w:hAnsi="Arial Narrow" w:cs="Arial"/>
        </w:rPr>
        <w:t>C</w:t>
      </w:r>
      <w:r w:rsidRPr="006C2FD8">
        <w:rPr>
          <w:rFonts w:ascii="Arial Narrow" w:hAnsi="Arial Narrow" w:cs="Arial"/>
        </w:rPr>
        <w:t>ontrato el 9,9</w:t>
      </w:r>
      <w:r>
        <w:rPr>
          <w:rFonts w:ascii="Arial Narrow" w:hAnsi="Arial Narrow" w:cs="Arial"/>
        </w:rPr>
        <w:t xml:space="preserve"> </w:t>
      </w:r>
      <w:r w:rsidRPr="006C2FD8">
        <w:rPr>
          <w:rFonts w:ascii="Arial Narrow" w:hAnsi="Arial Narrow" w:cs="Arial"/>
        </w:rPr>
        <w:t>% del valor total corresponde al reporte de la entidad escogida</w:t>
      </w:r>
    </w:p>
  </w:footnote>
  <w:footnote w:id="4">
    <w:p w:rsidR="003142B4" w:rsidRDefault="003142B4" w:rsidP="00DB6712">
      <w:r w:rsidRPr="42DEB91D">
        <w:rPr>
          <w:rStyle w:val="Refdenotaalpie"/>
        </w:rPr>
        <w:footnoteRef/>
      </w:r>
      <w:r>
        <w:t xml:space="preserve"> </w:t>
      </w:r>
      <w:r w:rsidRPr="00387CEF">
        <w:rPr>
          <w:rFonts w:ascii="Arial Narrow" w:hAnsi="Arial Narrow"/>
          <w:sz w:val="20"/>
          <w:szCs w:val="20"/>
        </w:rPr>
        <w:t>Ídem.</w:t>
      </w:r>
      <w:r w:rsidRPr="00387CEF">
        <w:rPr>
          <w:sz w:val="20"/>
          <w:szCs w:val="20"/>
        </w:rPr>
        <w:t xml:space="preserve"> </w:t>
      </w:r>
    </w:p>
  </w:footnote>
  <w:footnote w:id="5">
    <w:p w:rsidR="003142B4" w:rsidRPr="00B315A3" w:rsidRDefault="003142B4">
      <w:pPr>
        <w:pStyle w:val="Textonotapie"/>
        <w:rPr>
          <w:rFonts w:ascii="Arial Narrow" w:hAnsi="Arial Narrow"/>
        </w:rPr>
      </w:pPr>
      <w:r w:rsidRPr="00B315A3">
        <w:rPr>
          <w:rStyle w:val="Refdenotaalpie"/>
          <w:rFonts w:ascii="Arial Narrow" w:hAnsi="Arial Narrow"/>
        </w:rPr>
        <w:footnoteRef/>
      </w:r>
      <w:r w:rsidRPr="00B315A3">
        <w:rPr>
          <w:rFonts w:ascii="Arial Narrow" w:hAnsi="Arial Narrow"/>
        </w:rPr>
        <w:t xml:space="preserve"> El cual es aplicable a las Entidades Territoriales de acuerdo con el artículo 109° del mencionado Estatuto. </w:t>
      </w:r>
    </w:p>
  </w:footnote>
  <w:footnote w:id="6">
    <w:p w:rsidR="003142B4" w:rsidRDefault="003142B4" w:rsidP="00654B96">
      <w:pPr>
        <w:pStyle w:val="Textonotapie"/>
        <w:jc w:val="both"/>
      </w:pPr>
      <w:r>
        <w:rPr>
          <w:rStyle w:val="Refdenotaalpie"/>
        </w:rPr>
        <w:footnoteRef/>
      </w:r>
      <w:r>
        <w:t xml:space="preserve"> </w:t>
      </w:r>
      <w:r w:rsidRPr="00654B96">
        <w:rPr>
          <w:rFonts w:ascii="Arial" w:hAnsi="Arial" w:cs="Arial"/>
        </w:rPr>
        <w:t>Síntesis Normativa y Jurisprudencia en Contratación https://sintesis.colombiacompra.gov.co/sintesis/4-etapa-precontractual-inhabilidades-e-incompatibilidades-para-celebrar-contratos-estatales</w:t>
      </w:r>
    </w:p>
  </w:footnote>
  <w:footnote w:id="7">
    <w:p w:rsidR="003142B4" w:rsidRPr="00B315A3" w:rsidRDefault="003142B4" w:rsidP="0014157E">
      <w:pPr>
        <w:pStyle w:val="Textonotapie"/>
        <w:rPr>
          <w:rFonts w:ascii="Arial Narrow" w:hAnsi="Arial Narrow"/>
        </w:rPr>
      </w:pPr>
      <w:r w:rsidRPr="00B315A3">
        <w:rPr>
          <w:rStyle w:val="Refdenotaalpie"/>
          <w:rFonts w:ascii="Arial Narrow" w:hAnsi="Arial Narrow"/>
        </w:rPr>
        <w:footnoteRef/>
      </w:r>
      <w:r w:rsidRPr="00B315A3">
        <w:rPr>
          <w:rFonts w:ascii="Arial Narrow" w:hAnsi="Arial Narrow"/>
        </w:rPr>
        <w:t xml:space="preserve"> El cual es aplicable a las Entidades Territoriales de acuerdo con el artículo 109° del mencionado Estatuto.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2B4" w:rsidRDefault="003142B4">
    <w:pPr>
      <w:pStyle w:val="Encabezado"/>
    </w:pPr>
    <w:r>
      <w:rPr>
        <w:noProof/>
        <w:lang w:eastAsia="es-CO"/>
      </w:rPr>
      <w:drawing>
        <wp:inline distT="0" distB="0" distL="0" distR="0">
          <wp:extent cx="3181350" cy="542925"/>
          <wp:effectExtent l="0" t="0" r="0" b="9525"/>
          <wp:docPr id="1969769309" name="Imagen 47" descr="cid:image009.png@01D48D50.4B8C8F30"/>
          <wp:cNvGraphicFramePr/>
          <a:graphic xmlns:a="http://schemas.openxmlformats.org/drawingml/2006/main">
            <a:graphicData uri="http://schemas.openxmlformats.org/drawingml/2006/picture">
              <pic:pic xmlns:pic="http://schemas.openxmlformats.org/drawingml/2006/picture">
                <pic:nvPicPr>
                  <pic:cNvPr id="1969769309" name="Imagen 47" descr="cid:image009.png@01D48D50.4B8C8F30"/>
                  <pic:cNvPicPr/>
                </pic:nvPicPr>
                <pic:blipFill>
                  <a:blip r:embed="rId1">
                    <a:extLst>
                      <a:ext uri="{28A0092B-C50C-407E-A947-70E740481C1C}">
                        <a14:useLocalDpi xmlns:a14="http://schemas.microsoft.com/office/drawing/2010/main" val="0"/>
                      </a:ext>
                    </a:extLst>
                  </a:blip>
                  <a:stretch>
                    <a:fillRect/>
                  </a:stretch>
                </pic:blipFill>
                <pic:spPr>
                  <a:xfrm>
                    <a:off x="0" y="0"/>
                    <a:ext cx="3181350" cy="5429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FC8904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811F6"/>
    <w:multiLevelType w:val="hybridMultilevel"/>
    <w:tmpl w:val="5C048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6D4F69"/>
    <w:multiLevelType w:val="hybridMultilevel"/>
    <w:tmpl w:val="55D06556"/>
    <w:lvl w:ilvl="0" w:tplc="82569FCA">
      <w:start w:val="1"/>
      <w:numFmt w:val="bullet"/>
      <w:lvlText w:val=""/>
      <w:lvlJc w:val="left"/>
      <w:pPr>
        <w:tabs>
          <w:tab w:val="num" w:pos="720"/>
        </w:tabs>
        <w:ind w:left="720" w:hanging="360"/>
      </w:pPr>
      <w:rPr>
        <w:rFonts w:ascii="Symbol" w:hAnsi="Symbol" w:hint="default"/>
        <w:sz w:val="20"/>
      </w:rPr>
    </w:lvl>
    <w:lvl w:ilvl="1" w:tplc="AFD2A6F6" w:tentative="1">
      <w:start w:val="1"/>
      <w:numFmt w:val="bullet"/>
      <w:lvlText w:val=""/>
      <w:lvlJc w:val="left"/>
      <w:pPr>
        <w:tabs>
          <w:tab w:val="num" w:pos="1440"/>
        </w:tabs>
        <w:ind w:left="1440" w:hanging="360"/>
      </w:pPr>
      <w:rPr>
        <w:rFonts w:ascii="Symbol" w:hAnsi="Symbol" w:hint="default"/>
        <w:sz w:val="20"/>
      </w:rPr>
    </w:lvl>
    <w:lvl w:ilvl="2" w:tplc="D9702A04" w:tentative="1">
      <w:start w:val="1"/>
      <w:numFmt w:val="bullet"/>
      <w:lvlText w:val=""/>
      <w:lvlJc w:val="left"/>
      <w:pPr>
        <w:tabs>
          <w:tab w:val="num" w:pos="2160"/>
        </w:tabs>
        <w:ind w:left="2160" w:hanging="360"/>
      </w:pPr>
      <w:rPr>
        <w:rFonts w:ascii="Symbol" w:hAnsi="Symbol" w:hint="default"/>
        <w:sz w:val="20"/>
      </w:rPr>
    </w:lvl>
    <w:lvl w:ilvl="3" w:tplc="27BA87F6" w:tentative="1">
      <w:start w:val="1"/>
      <w:numFmt w:val="bullet"/>
      <w:lvlText w:val=""/>
      <w:lvlJc w:val="left"/>
      <w:pPr>
        <w:tabs>
          <w:tab w:val="num" w:pos="2880"/>
        </w:tabs>
        <w:ind w:left="2880" w:hanging="360"/>
      </w:pPr>
      <w:rPr>
        <w:rFonts w:ascii="Symbol" w:hAnsi="Symbol" w:hint="default"/>
        <w:sz w:val="20"/>
      </w:rPr>
    </w:lvl>
    <w:lvl w:ilvl="4" w:tplc="757EEB2E" w:tentative="1">
      <w:start w:val="1"/>
      <w:numFmt w:val="bullet"/>
      <w:lvlText w:val=""/>
      <w:lvlJc w:val="left"/>
      <w:pPr>
        <w:tabs>
          <w:tab w:val="num" w:pos="3600"/>
        </w:tabs>
        <w:ind w:left="3600" w:hanging="360"/>
      </w:pPr>
      <w:rPr>
        <w:rFonts w:ascii="Symbol" w:hAnsi="Symbol" w:hint="default"/>
        <w:sz w:val="20"/>
      </w:rPr>
    </w:lvl>
    <w:lvl w:ilvl="5" w:tplc="D1FE8B18" w:tentative="1">
      <w:start w:val="1"/>
      <w:numFmt w:val="bullet"/>
      <w:lvlText w:val=""/>
      <w:lvlJc w:val="left"/>
      <w:pPr>
        <w:tabs>
          <w:tab w:val="num" w:pos="4320"/>
        </w:tabs>
        <w:ind w:left="4320" w:hanging="360"/>
      </w:pPr>
      <w:rPr>
        <w:rFonts w:ascii="Symbol" w:hAnsi="Symbol" w:hint="default"/>
        <w:sz w:val="20"/>
      </w:rPr>
    </w:lvl>
    <w:lvl w:ilvl="6" w:tplc="B3E61B8A" w:tentative="1">
      <w:start w:val="1"/>
      <w:numFmt w:val="bullet"/>
      <w:lvlText w:val=""/>
      <w:lvlJc w:val="left"/>
      <w:pPr>
        <w:tabs>
          <w:tab w:val="num" w:pos="5040"/>
        </w:tabs>
        <w:ind w:left="5040" w:hanging="360"/>
      </w:pPr>
      <w:rPr>
        <w:rFonts w:ascii="Symbol" w:hAnsi="Symbol" w:hint="default"/>
        <w:sz w:val="20"/>
      </w:rPr>
    </w:lvl>
    <w:lvl w:ilvl="7" w:tplc="DEDAE722" w:tentative="1">
      <w:start w:val="1"/>
      <w:numFmt w:val="bullet"/>
      <w:lvlText w:val=""/>
      <w:lvlJc w:val="left"/>
      <w:pPr>
        <w:tabs>
          <w:tab w:val="num" w:pos="5760"/>
        </w:tabs>
        <w:ind w:left="5760" w:hanging="360"/>
      </w:pPr>
      <w:rPr>
        <w:rFonts w:ascii="Symbol" w:hAnsi="Symbol" w:hint="default"/>
        <w:sz w:val="20"/>
      </w:rPr>
    </w:lvl>
    <w:lvl w:ilvl="8" w:tplc="8DD814EE"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DF65A2"/>
    <w:multiLevelType w:val="hybridMultilevel"/>
    <w:tmpl w:val="7EEEFD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A262B8"/>
    <w:multiLevelType w:val="hybridMultilevel"/>
    <w:tmpl w:val="FFFFFFFF"/>
    <w:lvl w:ilvl="0" w:tplc="FFC82EC8">
      <w:start w:val="1"/>
      <w:numFmt w:val="decimal"/>
      <w:lvlText w:val="%1."/>
      <w:lvlJc w:val="left"/>
      <w:pPr>
        <w:ind w:left="720" w:hanging="360"/>
      </w:pPr>
    </w:lvl>
    <w:lvl w:ilvl="1" w:tplc="3B3E1EE4">
      <w:start w:val="1"/>
      <w:numFmt w:val="lowerLetter"/>
      <w:lvlText w:val="%2."/>
      <w:lvlJc w:val="left"/>
      <w:pPr>
        <w:ind w:left="1440" w:hanging="360"/>
      </w:pPr>
    </w:lvl>
    <w:lvl w:ilvl="2" w:tplc="5C84B546">
      <w:start w:val="1"/>
      <w:numFmt w:val="lowerRoman"/>
      <w:lvlText w:val="%3."/>
      <w:lvlJc w:val="right"/>
      <w:pPr>
        <w:ind w:left="2160" w:hanging="180"/>
      </w:pPr>
    </w:lvl>
    <w:lvl w:ilvl="3" w:tplc="D416F5BC">
      <w:start w:val="1"/>
      <w:numFmt w:val="decimal"/>
      <w:lvlText w:val="%4."/>
      <w:lvlJc w:val="left"/>
      <w:pPr>
        <w:ind w:left="2880" w:hanging="360"/>
      </w:pPr>
    </w:lvl>
    <w:lvl w:ilvl="4" w:tplc="D2D6F256">
      <w:start w:val="1"/>
      <w:numFmt w:val="lowerLetter"/>
      <w:lvlText w:val="%5."/>
      <w:lvlJc w:val="left"/>
      <w:pPr>
        <w:ind w:left="3600" w:hanging="360"/>
      </w:pPr>
    </w:lvl>
    <w:lvl w:ilvl="5" w:tplc="7DB898E0">
      <w:start w:val="1"/>
      <w:numFmt w:val="lowerRoman"/>
      <w:lvlText w:val="%6."/>
      <w:lvlJc w:val="right"/>
      <w:pPr>
        <w:ind w:left="4320" w:hanging="180"/>
      </w:pPr>
    </w:lvl>
    <w:lvl w:ilvl="6" w:tplc="5A222D58">
      <w:start w:val="1"/>
      <w:numFmt w:val="decimal"/>
      <w:lvlText w:val="%7."/>
      <w:lvlJc w:val="left"/>
      <w:pPr>
        <w:ind w:left="5040" w:hanging="360"/>
      </w:pPr>
    </w:lvl>
    <w:lvl w:ilvl="7" w:tplc="FAC62352">
      <w:start w:val="1"/>
      <w:numFmt w:val="lowerLetter"/>
      <w:lvlText w:val="%8."/>
      <w:lvlJc w:val="left"/>
      <w:pPr>
        <w:ind w:left="5760" w:hanging="360"/>
      </w:pPr>
    </w:lvl>
    <w:lvl w:ilvl="8" w:tplc="57BC2934">
      <w:start w:val="1"/>
      <w:numFmt w:val="lowerRoman"/>
      <w:lvlText w:val="%9."/>
      <w:lvlJc w:val="right"/>
      <w:pPr>
        <w:ind w:left="6480" w:hanging="180"/>
      </w:pPr>
    </w:lvl>
  </w:abstractNum>
  <w:abstractNum w:abstractNumId="5" w15:restartNumberingAfterBreak="0">
    <w:nsid w:val="0D0C3CC5"/>
    <w:multiLevelType w:val="hybridMultilevel"/>
    <w:tmpl w:val="49D4B0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574AA2"/>
    <w:multiLevelType w:val="hybridMultilevel"/>
    <w:tmpl w:val="C9321504"/>
    <w:lvl w:ilvl="0" w:tplc="9476E97C">
      <w:start w:val="1"/>
      <w:numFmt w:val="upperRoman"/>
      <w:lvlText w:val="%1."/>
      <w:lvlJc w:val="left"/>
      <w:pPr>
        <w:ind w:left="720" w:hanging="360"/>
      </w:pPr>
    </w:lvl>
    <w:lvl w:ilvl="1" w:tplc="F566DDD2">
      <w:start w:val="1"/>
      <w:numFmt w:val="lowerLetter"/>
      <w:lvlText w:val="%2."/>
      <w:lvlJc w:val="left"/>
      <w:pPr>
        <w:ind w:left="1440" w:hanging="360"/>
      </w:pPr>
    </w:lvl>
    <w:lvl w:ilvl="2" w:tplc="3EBC129E">
      <w:start w:val="1"/>
      <w:numFmt w:val="lowerRoman"/>
      <w:lvlText w:val="%3."/>
      <w:lvlJc w:val="right"/>
      <w:pPr>
        <w:ind w:left="2160" w:hanging="180"/>
      </w:pPr>
    </w:lvl>
    <w:lvl w:ilvl="3" w:tplc="B08ED362">
      <w:start w:val="1"/>
      <w:numFmt w:val="decimal"/>
      <w:lvlText w:val="%4."/>
      <w:lvlJc w:val="left"/>
      <w:pPr>
        <w:ind w:left="2880" w:hanging="360"/>
      </w:pPr>
    </w:lvl>
    <w:lvl w:ilvl="4" w:tplc="EB3C028A">
      <w:start w:val="1"/>
      <w:numFmt w:val="lowerLetter"/>
      <w:lvlText w:val="%5."/>
      <w:lvlJc w:val="left"/>
      <w:pPr>
        <w:ind w:left="3600" w:hanging="360"/>
      </w:pPr>
    </w:lvl>
    <w:lvl w:ilvl="5" w:tplc="BF746616">
      <w:start w:val="1"/>
      <w:numFmt w:val="lowerRoman"/>
      <w:lvlText w:val="%6."/>
      <w:lvlJc w:val="right"/>
      <w:pPr>
        <w:ind w:left="4320" w:hanging="180"/>
      </w:pPr>
    </w:lvl>
    <w:lvl w:ilvl="6" w:tplc="CBB6BFE4">
      <w:start w:val="1"/>
      <w:numFmt w:val="decimal"/>
      <w:lvlText w:val="%7."/>
      <w:lvlJc w:val="left"/>
      <w:pPr>
        <w:ind w:left="5040" w:hanging="360"/>
      </w:pPr>
    </w:lvl>
    <w:lvl w:ilvl="7" w:tplc="450A1B94">
      <w:start w:val="1"/>
      <w:numFmt w:val="lowerLetter"/>
      <w:lvlText w:val="%8."/>
      <w:lvlJc w:val="left"/>
      <w:pPr>
        <w:ind w:left="5760" w:hanging="360"/>
      </w:pPr>
    </w:lvl>
    <w:lvl w:ilvl="8" w:tplc="6EC03B3C">
      <w:start w:val="1"/>
      <w:numFmt w:val="lowerRoman"/>
      <w:lvlText w:val="%9."/>
      <w:lvlJc w:val="right"/>
      <w:pPr>
        <w:ind w:left="6480" w:hanging="180"/>
      </w:pPr>
    </w:lvl>
  </w:abstractNum>
  <w:abstractNum w:abstractNumId="7" w15:restartNumberingAfterBreak="0">
    <w:nsid w:val="11947E52"/>
    <w:multiLevelType w:val="hybridMultilevel"/>
    <w:tmpl w:val="B93809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72D43D9"/>
    <w:multiLevelType w:val="hybridMultilevel"/>
    <w:tmpl w:val="E72AD8FE"/>
    <w:lvl w:ilvl="0" w:tplc="FE30402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A54274"/>
    <w:multiLevelType w:val="hybridMultilevel"/>
    <w:tmpl w:val="85B0444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D4546A"/>
    <w:multiLevelType w:val="hybridMultilevel"/>
    <w:tmpl w:val="67045E52"/>
    <w:lvl w:ilvl="0" w:tplc="77CA1A6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E8A14AD"/>
    <w:multiLevelType w:val="hybridMultilevel"/>
    <w:tmpl w:val="C512F004"/>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2" w15:restartNumberingAfterBreak="0">
    <w:nsid w:val="2EBB75A7"/>
    <w:multiLevelType w:val="hybridMultilevel"/>
    <w:tmpl w:val="D158A3B8"/>
    <w:lvl w:ilvl="0" w:tplc="5A10A50E">
      <w:start w:val="1"/>
      <w:numFmt w:val="lowerLetter"/>
      <w:lvlText w:val="%1."/>
      <w:lvlJc w:val="left"/>
      <w:pPr>
        <w:ind w:left="720" w:hanging="360"/>
      </w:pPr>
    </w:lvl>
    <w:lvl w:ilvl="1" w:tplc="86E21082">
      <w:start w:val="1"/>
      <w:numFmt w:val="lowerLetter"/>
      <w:lvlText w:val="%2."/>
      <w:lvlJc w:val="left"/>
      <w:pPr>
        <w:ind w:left="1440" w:hanging="360"/>
      </w:pPr>
    </w:lvl>
    <w:lvl w:ilvl="2" w:tplc="B69E6264">
      <w:start w:val="1"/>
      <w:numFmt w:val="lowerRoman"/>
      <w:lvlText w:val="%3."/>
      <w:lvlJc w:val="right"/>
      <w:pPr>
        <w:ind w:left="2160" w:hanging="180"/>
      </w:pPr>
    </w:lvl>
    <w:lvl w:ilvl="3" w:tplc="F62C82C4">
      <w:start w:val="1"/>
      <w:numFmt w:val="decimal"/>
      <w:lvlText w:val="%4."/>
      <w:lvlJc w:val="left"/>
      <w:pPr>
        <w:ind w:left="2880" w:hanging="360"/>
      </w:pPr>
    </w:lvl>
    <w:lvl w:ilvl="4" w:tplc="F91A172A">
      <w:start w:val="1"/>
      <w:numFmt w:val="lowerLetter"/>
      <w:lvlText w:val="%5."/>
      <w:lvlJc w:val="left"/>
      <w:pPr>
        <w:ind w:left="3600" w:hanging="360"/>
      </w:pPr>
    </w:lvl>
    <w:lvl w:ilvl="5" w:tplc="29D0631C">
      <w:start w:val="1"/>
      <w:numFmt w:val="lowerRoman"/>
      <w:lvlText w:val="%6."/>
      <w:lvlJc w:val="right"/>
      <w:pPr>
        <w:ind w:left="4320" w:hanging="180"/>
      </w:pPr>
    </w:lvl>
    <w:lvl w:ilvl="6" w:tplc="82348F9C">
      <w:start w:val="1"/>
      <w:numFmt w:val="decimal"/>
      <w:lvlText w:val="%7."/>
      <w:lvlJc w:val="left"/>
      <w:pPr>
        <w:ind w:left="5040" w:hanging="360"/>
      </w:pPr>
    </w:lvl>
    <w:lvl w:ilvl="7" w:tplc="FF7827EC">
      <w:start w:val="1"/>
      <w:numFmt w:val="lowerLetter"/>
      <w:lvlText w:val="%8."/>
      <w:lvlJc w:val="left"/>
      <w:pPr>
        <w:ind w:left="5760" w:hanging="360"/>
      </w:pPr>
    </w:lvl>
    <w:lvl w:ilvl="8" w:tplc="14D81410">
      <w:start w:val="1"/>
      <w:numFmt w:val="lowerRoman"/>
      <w:lvlText w:val="%9."/>
      <w:lvlJc w:val="right"/>
      <w:pPr>
        <w:ind w:left="6480" w:hanging="180"/>
      </w:pPr>
    </w:lvl>
  </w:abstractNum>
  <w:abstractNum w:abstractNumId="13" w15:restartNumberingAfterBreak="0">
    <w:nsid w:val="30D22137"/>
    <w:multiLevelType w:val="hybridMultilevel"/>
    <w:tmpl w:val="F48C4744"/>
    <w:lvl w:ilvl="0" w:tplc="73B2FC92">
      <w:start w:val="1"/>
      <w:numFmt w:val="bullet"/>
      <w:lvlText w:val=""/>
      <w:lvlJc w:val="left"/>
      <w:pPr>
        <w:tabs>
          <w:tab w:val="num" w:pos="720"/>
        </w:tabs>
        <w:ind w:left="720" w:hanging="360"/>
      </w:pPr>
      <w:rPr>
        <w:rFonts w:ascii="Symbol" w:hAnsi="Symbol" w:hint="default"/>
        <w:sz w:val="20"/>
      </w:rPr>
    </w:lvl>
    <w:lvl w:ilvl="1" w:tplc="1DCA19EC" w:tentative="1">
      <w:start w:val="1"/>
      <w:numFmt w:val="bullet"/>
      <w:lvlText w:val=""/>
      <w:lvlJc w:val="left"/>
      <w:pPr>
        <w:tabs>
          <w:tab w:val="num" w:pos="1440"/>
        </w:tabs>
        <w:ind w:left="1440" w:hanging="360"/>
      </w:pPr>
      <w:rPr>
        <w:rFonts w:ascii="Symbol" w:hAnsi="Symbol" w:hint="default"/>
        <w:sz w:val="20"/>
      </w:rPr>
    </w:lvl>
    <w:lvl w:ilvl="2" w:tplc="D74056A2" w:tentative="1">
      <w:start w:val="1"/>
      <w:numFmt w:val="bullet"/>
      <w:lvlText w:val=""/>
      <w:lvlJc w:val="left"/>
      <w:pPr>
        <w:tabs>
          <w:tab w:val="num" w:pos="2160"/>
        </w:tabs>
        <w:ind w:left="2160" w:hanging="360"/>
      </w:pPr>
      <w:rPr>
        <w:rFonts w:ascii="Symbol" w:hAnsi="Symbol" w:hint="default"/>
        <w:sz w:val="20"/>
      </w:rPr>
    </w:lvl>
    <w:lvl w:ilvl="3" w:tplc="EA6CBF32" w:tentative="1">
      <w:start w:val="1"/>
      <w:numFmt w:val="bullet"/>
      <w:lvlText w:val=""/>
      <w:lvlJc w:val="left"/>
      <w:pPr>
        <w:tabs>
          <w:tab w:val="num" w:pos="2880"/>
        </w:tabs>
        <w:ind w:left="2880" w:hanging="360"/>
      </w:pPr>
      <w:rPr>
        <w:rFonts w:ascii="Symbol" w:hAnsi="Symbol" w:hint="default"/>
        <w:sz w:val="20"/>
      </w:rPr>
    </w:lvl>
    <w:lvl w:ilvl="4" w:tplc="9CA85788" w:tentative="1">
      <w:start w:val="1"/>
      <w:numFmt w:val="bullet"/>
      <w:lvlText w:val=""/>
      <w:lvlJc w:val="left"/>
      <w:pPr>
        <w:tabs>
          <w:tab w:val="num" w:pos="3600"/>
        </w:tabs>
        <w:ind w:left="3600" w:hanging="360"/>
      </w:pPr>
      <w:rPr>
        <w:rFonts w:ascii="Symbol" w:hAnsi="Symbol" w:hint="default"/>
        <w:sz w:val="20"/>
      </w:rPr>
    </w:lvl>
    <w:lvl w:ilvl="5" w:tplc="99501E96" w:tentative="1">
      <w:start w:val="1"/>
      <w:numFmt w:val="bullet"/>
      <w:lvlText w:val=""/>
      <w:lvlJc w:val="left"/>
      <w:pPr>
        <w:tabs>
          <w:tab w:val="num" w:pos="4320"/>
        </w:tabs>
        <w:ind w:left="4320" w:hanging="360"/>
      </w:pPr>
      <w:rPr>
        <w:rFonts w:ascii="Symbol" w:hAnsi="Symbol" w:hint="default"/>
        <w:sz w:val="20"/>
      </w:rPr>
    </w:lvl>
    <w:lvl w:ilvl="6" w:tplc="E6DC19C6" w:tentative="1">
      <w:start w:val="1"/>
      <w:numFmt w:val="bullet"/>
      <w:lvlText w:val=""/>
      <w:lvlJc w:val="left"/>
      <w:pPr>
        <w:tabs>
          <w:tab w:val="num" w:pos="5040"/>
        </w:tabs>
        <w:ind w:left="5040" w:hanging="360"/>
      </w:pPr>
      <w:rPr>
        <w:rFonts w:ascii="Symbol" w:hAnsi="Symbol" w:hint="default"/>
        <w:sz w:val="20"/>
      </w:rPr>
    </w:lvl>
    <w:lvl w:ilvl="7" w:tplc="00DA0D4E" w:tentative="1">
      <w:start w:val="1"/>
      <w:numFmt w:val="bullet"/>
      <w:lvlText w:val=""/>
      <w:lvlJc w:val="left"/>
      <w:pPr>
        <w:tabs>
          <w:tab w:val="num" w:pos="5760"/>
        </w:tabs>
        <w:ind w:left="5760" w:hanging="360"/>
      </w:pPr>
      <w:rPr>
        <w:rFonts w:ascii="Symbol" w:hAnsi="Symbol" w:hint="default"/>
        <w:sz w:val="20"/>
      </w:rPr>
    </w:lvl>
    <w:lvl w:ilvl="8" w:tplc="EFBA7A6E"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750D23"/>
    <w:multiLevelType w:val="hybridMultilevel"/>
    <w:tmpl w:val="438CD1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46D0518"/>
    <w:multiLevelType w:val="hybridMultilevel"/>
    <w:tmpl w:val="C7E643C4"/>
    <w:lvl w:ilvl="0" w:tplc="9CD06A5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5EA0E3C"/>
    <w:multiLevelType w:val="hybridMultilevel"/>
    <w:tmpl w:val="411AD4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B974683"/>
    <w:multiLevelType w:val="hybridMultilevel"/>
    <w:tmpl w:val="49D4B0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CE906FD"/>
    <w:multiLevelType w:val="hybridMultilevel"/>
    <w:tmpl w:val="93CA4286"/>
    <w:lvl w:ilvl="0" w:tplc="77B82D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F195439"/>
    <w:multiLevelType w:val="hybridMultilevel"/>
    <w:tmpl w:val="BE8A2B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3342F3"/>
    <w:multiLevelType w:val="hybridMultilevel"/>
    <w:tmpl w:val="2C0AD85A"/>
    <w:lvl w:ilvl="0" w:tplc="240A0017">
      <w:start w:val="1"/>
      <w:numFmt w:val="lowerLetter"/>
      <w:lvlText w:val="%1)"/>
      <w:lvlJc w:val="left"/>
      <w:pPr>
        <w:ind w:left="360" w:hanging="360"/>
      </w:pPr>
    </w:lvl>
    <w:lvl w:ilvl="1" w:tplc="3B3E1EE4">
      <w:start w:val="1"/>
      <w:numFmt w:val="lowerLetter"/>
      <w:lvlText w:val="%2."/>
      <w:lvlJc w:val="left"/>
      <w:pPr>
        <w:ind w:left="1080" w:hanging="360"/>
      </w:pPr>
    </w:lvl>
    <w:lvl w:ilvl="2" w:tplc="5C84B546">
      <w:start w:val="1"/>
      <w:numFmt w:val="lowerRoman"/>
      <w:lvlText w:val="%3."/>
      <w:lvlJc w:val="right"/>
      <w:pPr>
        <w:ind w:left="1800" w:hanging="180"/>
      </w:pPr>
    </w:lvl>
    <w:lvl w:ilvl="3" w:tplc="D416F5BC">
      <w:start w:val="1"/>
      <w:numFmt w:val="decimal"/>
      <w:lvlText w:val="%4."/>
      <w:lvlJc w:val="left"/>
      <w:pPr>
        <w:ind w:left="2520" w:hanging="360"/>
      </w:pPr>
    </w:lvl>
    <w:lvl w:ilvl="4" w:tplc="D2D6F256">
      <w:start w:val="1"/>
      <w:numFmt w:val="lowerLetter"/>
      <w:lvlText w:val="%5."/>
      <w:lvlJc w:val="left"/>
      <w:pPr>
        <w:ind w:left="3240" w:hanging="360"/>
      </w:pPr>
    </w:lvl>
    <w:lvl w:ilvl="5" w:tplc="7DB898E0">
      <w:start w:val="1"/>
      <w:numFmt w:val="lowerRoman"/>
      <w:lvlText w:val="%6."/>
      <w:lvlJc w:val="right"/>
      <w:pPr>
        <w:ind w:left="3960" w:hanging="180"/>
      </w:pPr>
    </w:lvl>
    <w:lvl w:ilvl="6" w:tplc="5A222D58">
      <w:start w:val="1"/>
      <w:numFmt w:val="decimal"/>
      <w:lvlText w:val="%7."/>
      <w:lvlJc w:val="left"/>
      <w:pPr>
        <w:ind w:left="4680" w:hanging="360"/>
      </w:pPr>
    </w:lvl>
    <w:lvl w:ilvl="7" w:tplc="FAC62352">
      <w:start w:val="1"/>
      <w:numFmt w:val="lowerLetter"/>
      <w:lvlText w:val="%8."/>
      <w:lvlJc w:val="left"/>
      <w:pPr>
        <w:ind w:left="5400" w:hanging="360"/>
      </w:pPr>
    </w:lvl>
    <w:lvl w:ilvl="8" w:tplc="57BC2934">
      <w:start w:val="1"/>
      <w:numFmt w:val="lowerRoman"/>
      <w:lvlText w:val="%9."/>
      <w:lvlJc w:val="right"/>
      <w:pPr>
        <w:ind w:left="6120" w:hanging="180"/>
      </w:pPr>
    </w:lvl>
  </w:abstractNum>
  <w:abstractNum w:abstractNumId="21" w15:restartNumberingAfterBreak="0">
    <w:nsid w:val="4A1F4355"/>
    <w:multiLevelType w:val="hybridMultilevel"/>
    <w:tmpl w:val="865639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F122555"/>
    <w:multiLevelType w:val="multilevel"/>
    <w:tmpl w:val="861A155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FA538FB"/>
    <w:multiLevelType w:val="hybridMultilevel"/>
    <w:tmpl w:val="EF4235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73B4437"/>
    <w:multiLevelType w:val="hybridMultilevel"/>
    <w:tmpl w:val="676650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8095F48"/>
    <w:multiLevelType w:val="hybridMultilevel"/>
    <w:tmpl w:val="0EB22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AF502DB"/>
    <w:multiLevelType w:val="hybridMultilevel"/>
    <w:tmpl w:val="8B14F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D5D5038"/>
    <w:multiLevelType w:val="multilevel"/>
    <w:tmpl w:val="7DCE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2710EA"/>
    <w:multiLevelType w:val="hybridMultilevel"/>
    <w:tmpl w:val="4044D1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1BF7DE5"/>
    <w:multiLevelType w:val="multilevel"/>
    <w:tmpl w:val="A5D68110"/>
    <w:lvl w:ilvl="0">
      <w:start w:val="1"/>
      <w:numFmt w:val="upperRoman"/>
      <w:lvlText w:val="%1."/>
      <w:lvlJc w:val="right"/>
      <w:pPr>
        <w:tabs>
          <w:tab w:val="num" w:pos="720"/>
        </w:tabs>
        <w:ind w:left="720" w:hanging="360"/>
      </w:pPr>
      <w:rPr>
        <w:rFonts w:ascii="Arial" w:hAnsi="Arial" w:cs="Arial" w:hint="default"/>
        <w:b/>
        <w:sz w:val="22"/>
        <w:szCs w:val="22"/>
      </w:rPr>
    </w:lvl>
    <w:lvl w:ilvl="1">
      <w:start w:val="1"/>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0" w15:restartNumberingAfterBreak="0">
    <w:nsid w:val="71DB2242"/>
    <w:multiLevelType w:val="hybridMultilevel"/>
    <w:tmpl w:val="DEDAFF04"/>
    <w:lvl w:ilvl="0" w:tplc="704EFFF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83F52DF"/>
    <w:multiLevelType w:val="hybridMultilevel"/>
    <w:tmpl w:val="9EFE0A6C"/>
    <w:lvl w:ilvl="0" w:tplc="240A0001">
      <w:start w:val="1"/>
      <w:numFmt w:val="bullet"/>
      <w:lvlText w:val=""/>
      <w:lvlJc w:val="left"/>
      <w:pPr>
        <w:ind w:left="720" w:hanging="360"/>
      </w:pPr>
      <w:rPr>
        <w:rFonts w:ascii="Symbol" w:hAnsi="Symbol" w:hint="default"/>
      </w:rPr>
    </w:lvl>
    <w:lvl w:ilvl="1" w:tplc="2F8C5B1A">
      <w:numFmt w:val="bullet"/>
      <w:lvlText w:val="•"/>
      <w:lvlJc w:val="left"/>
      <w:pPr>
        <w:ind w:left="1785" w:hanging="705"/>
      </w:pPr>
      <w:rPr>
        <w:rFonts w:ascii="Arial Narrow" w:eastAsiaTheme="minorHAnsi" w:hAnsi="Arial Narrow"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C0F1A96"/>
    <w:multiLevelType w:val="hybridMultilevel"/>
    <w:tmpl w:val="C0BEF5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9"/>
  </w:num>
  <w:num w:numId="4">
    <w:abstractNumId w:val="22"/>
  </w:num>
  <w:num w:numId="5">
    <w:abstractNumId w:val="5"/>
  </w:num>
  <w:num w:numId="6">
    <w:abstractNumId w:val="4"/>
  </w:num>
  <w:num w:numId="7">
    <w:abstractNumId w:val="18"/>
  </w:num>
  <w:num w:numId="8">
    <w:abstractNumId w:val="23"/>
  </w:num>
  <w:num w:numId="9">
    <w:abstractNumId w:val="15"/>
  </w:num>
  <w:num w:numId="10">
    <w:abstractNumId w:val="8"/>
  </w:num>
  <w:num w:numId="11">
    <w:abstractNumId w:val="3"/>
  </w:num>
  <w:num w:numId="12">
    <w:abstractNumId w:val="32"/>
  </w:num>
  <w:num w:numId="13">
    <w:abstractNumId w:val="25"/>
  </w:num>
  <w:num w:numId="14">
    <w:abstractNumId w:val="7"/>
  </w:num>
  <w:num w:numId="15">
    <w:abstractNumId w:val="30"/>
  </w:num>
  <w:num w:numId="16">
    <w:abstractNumId w:val="31"/>
  </w:num>
  <w:num w:numId="17">
    <w:abstractNumId w:val="13"/>
  </w:num>
  <w:num w:numId="18">
    <w:abstractNumId w:val="2"/>
  </w:num>
  <w:num w:numId="19">
    <w:abstractNumId w:val="0"/>
  </w:num>
  <w:num w:numId="20">
    <w:abstractNumId w:val="17"/>
  </w:num>
  <w:num w:numId="21">
    <w:abstractNumId w:val="21"/>
  </w:num>
  <w:num w:numId="22">
    <w:abstractNumId w:val="1"/>
  </w:num>
  <w:num w:numId="23">
    <w:abstractNumId w:val="24"/>
  </w:num>
  <w:num w:numId="24">
    <w:abstractNumId w:val="10"/>
  </w:num>
  <w:num w:numId="25">
    <w:abstractNumId w:val="11"/>
  </w:num>
  <w:num w:numId="26">
    <w:abstractNumId w:val="29"/>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8"/>
  </w:num>
  <w:num w:numId="29">
    <w:abstractNumId w:val="16"/>
  </w:num>
  <w:num w:numId="30">
    <w:abstractNumId w:val="27"/>
  </w:num>
  <w:num w:numId="31">
    <w:abstractNumId w:val="14"/>
  </w:num>
  <w:num w:numId="32">
    <w:abstractNumId w:val="26"/>
  </w:num>
  <w:num w:numId="33">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ABA"/>
    <w:rsid w:val="00000586"/>
    <w:rsid w:val="00000987"/>
    <w:rsid w:val="000022CF"/>
    <w:rsid w:val="00003F10"/>
    <w:rsid w:val="000062A5"/>
    <w:rsid w:val="00006ECC"/>
    <w:rsid w:val="00007B87"/>
    <w:rsid w:val="00007E54"/>
    <w:rsid w:val="00011050"/>
    <w:rsid w:val="00011C08"/>
    <w:rsid w:val="00011D33"/>
    <w:rsid w:val="00012726"/>
    <w:rsid w:val="000130DD"/>
    <w:rsid w:val="00013341"/>
    <w:rsid w:val="00013EB3"/>
    <w:rsid w:val="00014114"/>
    <w:rsid w:val="00015373"/>
    <w:rsid w:val="00016765"/>
    <w:rsid w:val="00017CBA"/>
    <w:rsid w:val="000204BF"/>
    <w:rsid w:val="00020FB8"/>
    <w:rsid w:val="0002238C"/>
    <w:rsid w:val="000243B4"/>
    <w:rsid w:val="00032308"/>
    <w:rsid w:val="00032AD9"/>
    <w:rsid w:val="00033D69"/>
    <w:rsid w:val="00034084"/>
    <w:rsid w:val="00037988"/>
    <w:rsid w:val="00040276"/>
    <w:rsid w:val="000405AB"/>
    <w:rsid w:val="00041D04"/>
    <w:rsid w:val="0004329C"/>
    <w:rsid w:val="000450A8"/>
    <w:rsid w:val="00045CF3"/>
    <w:rsid w:val="000474FC"/>
    <w:rsid w:val="00050131"/>
    <w:rsid w:val="00050DC5"/>
    <w:rsid w:val="000519B5"/>
    <w:rsid w:val="000549F9"/>
    <w:rsid w:val="000564BC"/>
    <w:rsid w:val="0005722D"/>
    <w:rsid w:val="00057566"/>
    <w:rsid w:val="0005795F"/>
    <w:rsid w:val="000602BC"/>
    <w:rsid w:val="00060A28"/>
    <w:rsid w:val="00061106"/>
    <w:rsid w:val="00061FE1"/>
    <w:rsid w:val="00062F1C"/>
    <w:rsid w:val="00064EF1"/>
    <w:rsid w:val="000657CE"/>
    <w:rsid w:val="000669CB"/>
    <w:rsid w:val="00067245"/>
    <w:rsid w:val="0006788F"/>
    <w:rsid w:val="00070460"/>
    <w:rsid w:val="000705DF"/>
    <w:rsid w:val="000730DF"/>
    <w:rsid w:val="00074934"/>
    <w:rsid w:val="0007516E"/>
    <w:rsid w:val="000754B2"/>
    <w:rsid w:val="000768B7"/>
    <w:rsid w:val="0007770F"/>
    <w:rsid w:val="00082349"/>
    <w:rsid w:val="00082738"/>
    <w:rsid w:val="00082D62"/>
    <w:rsid w:val="00083959"/>
    <w:rsid w:val="000844E4"/>
    <w:rsid w:val="0008482C"/>
    <w:rsid w:val="00084992"/>
    <w:rsid w:val="00087D12"/>
    <w:rsid w:val="0009074C"/>
    <w:rsid w:val="00090A5E"/>
    <w:rsid w:val="00091611"/>
    <w:rsid w:val="00094B77"/>
    <w:rsid w:val="00094E00"/>
    <w:rsid w:val="0009529C"/>
    <w:rsid w:val="000966E6"/>
    <w:rsid w:val="00097F44"/>
    <w:rsid w:val="000A147D"/>
    <w:rsid w:val="000A436B"/>
    <w:rsid w:val="000A5467"/>
    <w:rsid w:val="000A5A97"/>
    <w:rsid w:val="000A5F6B"/>
    <w:rsid w:val="000A6540"/>
    <w:rsid w:val="000A65FB"/>
    <w:rsid w:val="000A6D16"/>
    <w:rsid w:val="000A6FCC"/>
    <w:rsid w:val="000B156D"/>
    <w:rsid w:val="000B1B26"/>
    <w:rsid w:val="000B2699"/>
    <w:rsid w:val="000B2A75"/>
    <w:rsid w:val="000B4536"/>
    <w:rsid w:val="000B6583"/>
    <w:rsid w:val="000B73D7"/>
    <w:rsid w:val="000C15B3"/>
    <w:rsid w:val="000C1ED0"/>
    <w:rsid w:val="000C2C4A"/>
    <w:rsid w:val="000C3464"/>
    <w:rsid w:val="000C3942"/>
    <w:rsid w:val="000C43A6"/>
    <w:rsid w:val="000C4605"/>
    <w:rsid w:val="000C6087"/>
    <w:rsid w:val="000C609C"/>
    <w:rsid w:val="000C6C71"/>
    <w:rsid w:val="000D0183"/>
    <w:rsid w:val="000D03A7"/>
    <w:rsid w:val="000D1577"/>
    <w:rsid w:val="000D1AEF"/>
    <w:rsid w:val="000D2F20"/>
    <w:rsid w:val="000D4FE9"/>
    <w:rsid w:val="000D59D2"/>
    <w:rsid w:val="000D5D14"/>
    <w:rsid w:val="000D6008"/>
    <w:rsid w:val="000D6A3A"/>
    <w:rsid w:val="000DE8B8"/>
    <w:rsid w:val="000E0F96"/>
    <w:rsid w:val="000E2036"/>
    <w:rsid w:val="000E20CE"/>
    <w:rsid w:val="000E462A"/>
    <w:rsid w:val="000E4925"/>
    <w:rsid w:val="000E4F7B"/>
    <w:rsid w:val="000E503F"/>
    <w:rsid w:val="000E5532"/>
    <w:rsid w:val="000E6564"/>
    <w:rsid w:val="000E6DDC"/>
    <w:rsid w:val="000E6E0B"/>
    <w:rsid w:val="000E7813"/>
    <w:rsid w:val="000F26E1"/>
    <w:rsid w:val="000F27A0"/>
    <w:rsid w:val="000F27B0"/>
    <w:rsid w:val="000F2AC5"/>
    <w:rsid w:val="000F2EF0"/>
    <w:rsid w:val="000F2EF6"/>
    <w:rsid w:val="000F41B9"/>
    <w:rsid w:val="000F505E"/>
    <w:rsid w:val="000F591D"/>
    <w:rsid w:val="000F5A56"/>
    <w:rsid w:val="000F5F43"/>
    <w:rsid w:val="00100557"/>
    <w:rsid w:val="00100FCE"/>
    <w:rsid w:val="00101872"/>
    <w:rsid w:val="00101B7A"/>
    <w:rsid w:val="00101F09"/>
    <w:rsid w:val="001021E0"/>
    <w:rsid w:val="00102274"/>
    <w:rsid w:val="00104067"/>
    <w:rsid w:val="00105002"/>
    <w:rsid w:val="0010527D"/>
    <w:rsid w:val="00105F3B"/>
    <w:rsid w:val="00106916"/>
    <w:rsid w:val="00110641"/>
    <w:rsid w:val="00113041"/>
    <w:rsid w:val="001130E0"/>
    <w:rsid w:val="00113538"/>
    <w:rsid w:val="0011536E"/>
    <w:rsid w:val="00115F09"/>
    <w:rsid w:val="00116AD0"/>
    <w:rsid w:val="00116BA2"/>
    <w:rsid w:val="0012033A"/>
    <w:rsid w:val="00120603"/>
    <w:rsid w:val="001230C0"/>
    <w:rsid w:val="00123207"/>
    <w:rsid w:val="0012323A"/>
    <w:rsid w:val="00123E5C"/>
    <w:rsid w:val="00123FE5"/>
    <w:rsid w:val="00127323"/>
    <w:rsid w:val="00127BA4"/>
    <w:rsid w:val="00130B0D"/>
    <w:rsid w:val="001320B0"/>
    <w:rsid w:val="00132CB7"/>
    <w:rsid w:val="00132FFE"/>
    <w:rsid w:val="00134524"/>
    <w:rsid w:val="00134B64"/>
    <w:rsid w:val="00135BA3"/>
    <w:rsid w:val="001365FF"/>
    <w:rsid w:val="00140476"/>
    <w:rsid w:val="0014157E"/>
    <w:rsid w:val="001429EE"/>
    <w:rsid w:val="00142CE7"/>
    <w:rsid w:val="00144336"/>
    <w:rsid w:val="001457A6"/>
    <w:rsid w:val="00145AA4"/>
    <w:rsid w:val="00146468"/>
    <w:rsid w:val="00147119"/>
    <w:rsid w:val="0015012C"/>
    <w:rsid w:val="00150346"/>
    <w:rsid w:val="00150984"/>
    <w:rsid w:val="00150B03"/>
    <w:rsid w:val="00150B44"/>
    <w:rsid w:val="00150D8B"/>
    <w:rsid w:val="00152871"/>
    <w:rsid w:val="00155127"/>
    <w:rsid w:val="0016068D"/>
    <w:rsid w:val="00161AF7"/>
    <w:rsid w:val="001625E4"/>
    <w:rsid w:val="00162F4B"/>
    <w:rsid w:val="00163A03"/>
    <w:rsid w:val="001644BF"/>
    <w:rsid w:val="00164E97"/>
    <w:rsid w:val="00165963"/>
    <w:rsid w:val="00166BC2"/>
    <w:rsid w:val="001707C4"/>
    <w:rsid w:val="0017513B"/>
    <w:rsid w:val="0017521F"/>
    <w:rsid w:val="00175743"/>
    <w:rsid w:val="001761E2"/>
    <w:rsid w:val="00176862"/>
    <w:rsid w:val="00177407"/>
    <w:rsid w:val="001777DE"/>
    <w:rsid w:val="00180CF5"/>
    <w:rsid w:val="00182377"/>
    <w:rsid w:val="00183402"/>
    <w:rsid w:val="0018441F"/>
    <w:rsid w:val="00185473"/>
    <w:rsid w:val="00186DD4"/>
    <w:rsid w:val="001879FC"/>
    <w:rsid w:val="00187B09"/>
    <w:rsid w:val="00190328"/>
    <w:rsid w:val="001906C2"/>
    <w:rsid w:val="00191B6E"/>
    <w:rsid w:val="001933D5"/>
    <w:rsid w:val="00193F7D"/>
    <w:rsid w:val="00194943"/>
    <w:rsid w:val="00195248"/>
    <w:rsid w:val="0019528E"/>
    <w:rsid w:val="00196E90"/>
    <w:rsid w:val="001A1305"/>
    <w:rsid w:val="001A20D6"/>
    <w:rsid w:val="001A33D4"/>
    <w:rsid w:val="001A4A76"/>
    <w:rsid w:val="001A4E64"/>
    <w:rsid w:val="001A5F4A"/>
    <w:rsid w:val="001A6C2F"/>
    <w:rsid w:val="001A79F0"/>
    <w:rsid w:val="001B025F"/>
    <w:rsid w:val="001B11C1"/>
    <w:rsid w:val="001B12BE"/>
    <w:rsid w:val="001B1883"/>
    <w:rsid w:val="001B250E"/>
    <w:rsid w:val="001B2782"/>
    <w:rsid w:val="001B30C3"/>
    <w:rsid w:val="001B4259"/>
    <w:rsid w:val="001B5EDD"/>
    <w:rsid w:val="001B6205"/>
    <w:rsid w:val="001B6A58"/>
    <w:rsid w:val="001B7A30"/>
    <w:rsid w:val="001C0E62"/>
    <w:rsid w:val="001C1E40"/>
    <w:rsid w:val="001C24AB"/>
    <w:rsid w:val="001C5A5C"/>
    <w:rsid w:val="001C629C"/>
    <w:rsid w:val="001C78D1"/>
    <w:rsid w:val="001D0620"/>
    <w:rsid w:val="001D0D2D"/>
    <w:rsid w:val="001D0FF8"/>
    <w:rsid w:val="001D1E98"/>
    <w:rsid w:val="001D1FF3"/>
    <w:rsid w:val="001D2742"/>
    <w:rsid w:val="001D27E9"/>
    <w:rsid w:val="001D3A96"/>
    <w:rsid w:val="001D682D"/>
    <w:rsid w:val="001D6B0A"/>
    <w:rsid w:val="001E0BBD"/>
    <w:rsid w:val="001E153D"/>
    <w:rsid w:val="001E351E"/>
    <w:rsid w:val="001E420E"/>
    <w:rsid w:val="001E4ECA"/>
    <w:rsid w:val="001E509C"/>
    <w:rsid w:val="001E520D"/>
    <w:rsid w:val="001E5E52"/>
    <w:rsid w:val="001E7396"/>
    <w:rsid w:val="001E7C52"/>
    <w:rsid w:val="001F08AA"/>
    <w:rsid w:val="001F0AF7"/>
    <w:rsid w:val="001F0E62"/>
    <w:rsid w:val="001F1C57"/>
    <w:rsid w:val="001F2310"/>
    <w:rsid w:val="001F3393"/>
    <w:rsid w:val="001F5098"/>
    <w:rsid w:val="001F609D"/>
    <w:rsid w:val="001F7CA2"/>
    <w:rsid w:val="0020083A"/>
    <w:rsid w:val="002009D1"/>
    <w:rsid w:val="00202D30"/>
    <w:rsid w:val="00206623"/>
    <w:rsid w:val="00206700"/>
    <w:rsid w:val="0020750D"/>
    <w:rsid w:val="00210147"/>
    <w:rsid w:val="002112C0"/>
    <w:rsid w:val="00211837"/>
    <w:rsid w:val="00213383"/>
    <w:rsid w:val="002138FB"/>
    <w:rsid w:val="00214066"/>
    <w:rsid w:val="0021475C"/>
    <w:rsid w:val="002152E2"/>
    <w:rsid w:val="0021560F"/>
    <w:rsid w:val="0022232A"/>
    <w:rsid w:val="00223247"/>
    <w:rsid w:val="002234D3"/>
    <w:rsid w:val="00224E4D"/>
    <w:rsid w:val="00226C23"/>
    <w:rsid w:val="002320DC"/>
    <w:rsid w:val="002323CE"/>
    <w:rsid w:val="00233D8A"/>
    <w:rsid w:val="0023515C"/>
    <w:rsid w:val="00235B67"/>
    <w:rsid w:val="00235D04"/>
    <w:rsid w:val="00236ECA"/>
    <w:rsid w:val="002375D2"/>
    <w:rsid w:val="002405F5"/>
    <w:rsid w:val="002412AA"/>
    <w:rsid w:val="002419F2"/>
    <w:rsid w:val="00242C84"/>
    <w:rsid w:val="00243A1B"/>
    <w:rsid w:val="00244EDD"/>
    <w:rsid w:val="0024561F"/>
    <w:rsid w:val="00246094"/>
    <w:rsid w:val="00246442"/>
    <w:rsid w:val="00251D50"/>
    <w:rsid w:val="0025303D"/>
    <w:rsid w:val="0025337B"/>
    <w:rsid w:val="00254B94"/>
    <w:rsid w:val="00255279"/>
    <w:rsid w:val="00255C26"/>
    <w:rsid w:val="00255C3F"/>
    <w:rsid w:val="0026049F"/>
    <w:rsid w:val="002607BB"/>
    <w:rsid w:val="00261A01"/>
    <w:rsid w:val="002638A8"/>
    <w:rsid w:val="00264C47"/>
    <w:rsid w:val="0026526C"/>
    <w:rsid w:val="002656B9"/>
    <w:rsid w:val="00266936"/>
    <w:rsid w:val="00266E9B"/>
    <w:rsid w:val="002705EF"/>
    <w:rsid w:val="00270EE3"/>
    <w:rsid w:val="00271B0D"/>
    <w:rsid w:val="002722AF"/>
    <w:rsid w:val="00273385"/>
    <w:rsid w:val="002736EA"/>
    <w:rsid w:val="002738B0"/>
    <w:rsid w:val="00275C9C"/>
    <w:rsid w:val="00275ED3"/>
    <w:rsid w:val="0028037D"/>
    <w:rsid w:val="002831E6"/>
    <w:rsid w:val="00284417"/>
    <w:rsid w:val="00284BB4"/>
    <w:rsid w:val="00284D91"/>
    <w:rsid w:val="00285A92"/>
    <w:rsid w:val="00287594"/>
    <w:rsid w:val="0028D0BB"/>
    <w:rsid w:val="00291E7E"/>
    <w:rsid w:val="0029280D"/>
    <w:rsid w:val="00292DCF"/>
    <w:rsid w:val="0029439B"/>
    <w:rsid w:val="00294DB0"/>
    <w:rsid w:val="002953F2"/>
    <w:rsid w:val="002A09FB"/>
    <w:rsid w:val="002A18E9"/>
    <w:rsid w:val="002A2B02"/>
    <w:rsid w:val="002A30B5"/>
    <w:rsid w:val="002A398A"/>
    <w:rsid w:val="002A41BB"/>
    <w:rsid w:val="002A4A99"/>
    <w:rsid w:val="002B0F6A"/>
    <w:rsid w:val="002B23DC"/>
    <w:rsid w:val="002B2554"/>
    <w:rsid w:val="002B2752"/>
    <w:rsid w:val="002B2985"/>
    <w:rsid w:val="002B2CAE"/>
    <w:rsid w:val="002B47E9"/>
    <w:rsid w:val="002B6421"/>
    <w:rsid w:val="002C01F6"/>
    <w:rsid w:val="002C288F"/>
    <w:rsid w:val="002C44B4"/>
    <w:rsid w:val="002C52B8"/>
    <w:rsid w:val="002C57C1"/>
    <w:rsid w:val="002C5E35"/>
    <w:rsid w:val="002C6043"/>
    <w:rsid w:val="002D03A9"/>
    <w:rsid w:val="002D0722"/>
    <w:rsid w:val="002D43CF"/>
    <w:rsid w:val="002D4654"/>
    <w:rsid w:val="002D4A7E"/>
    <w:rsid w:val="002D5CCE"/>
    <w:rsid w:val="002D5CEF"/>
    <w:rsid w:val="002E0541"/>
    <w:rsid w:val="002E1F1C"/>
    <w:rsid w:val="002E2185"/>
    <w:rsid w:val="002E3686"/>
    <w:rsid w:val="002E4864"/>
    <w:rsid w:val="002E60F2"/>
    <w:rsid w:val="002E737F"/>
    <w:rsid w:val="002E7799"/>
    <w:rsid w:val="002F25EF"/>
    <w:rsid w:val="002F2A8E"/>
    <w:rsid w:val="002F3024"/>
    <w:rsid w:val="002F39FE"/>
    <w:rsid w:val="002F44FC"/>
    <w:rsid w:val="002F57A1"/>
    <w:rsid w:val="002F58E6"/>
    <w:rsid w:val="002F59C7"/>
    <w:rsid w:val="002F70BB"/>
    <w:rsid w:val="002F7B7A"/>
    <w:rsid w:val="003002EC"/>
    <w:rsid w:val="00301312"/>
    <w:rsid w:val="00301E87"/>
    <w:rsid w:val="00302F40"/>
    <w:rsid w:val="0030481C"/>
    <w:rsid w:val="003049F4"/>
    <w:rsid w:val="00305096"/>
    <w:rsid w:val="00305126"/>
    <w:rsid w:val="00305343"/>
    <w:rsid w:val="00306640"/>
    <w:rsid w:val="00306AAA"/>
    <w:rsid w:val="00306B1F"/>
    <w:rsid w:val="00310CF8"/>
    <w:rsid w:val="00311533"/>
    <w:rsid w:val="003117D5"/>
    <w:rsid w:val="003119BB"/>
    <w:rsid w:val="00312213"/>
    <w:rsid w:val="00313246"/>
    <w:rsid w:val="003142B4"/>
    <w:rsid w:val="003145AC"/>
    <w:rsid w:val="003146BA"/>
    <w:rsid w:val="003147BC"/>
    <w:rsid w:val="00314CC5"/>
    <w:rsid w:val="0031669B"/>
    <w:rsid w:val="0032098C"/>
    <w:rsid w:val="00321F80"/>
    <w:rsid w:val="003228B5"/>
    <w:rsid w:val="00322EBA"/>
    <w:rsid w:val="00324FE3"/>
    <w:rsid w:val="00325A43"/>
    <w:rsid w:val="0032653A"/>
    <w:rsid w:val="00326EB8"/>
    <w:rsid w:val="00327BC0"/>
    <w:rsid w:val="003303FB"/>
    <w:rsid w:val="00331407"/>
    <w:rsid w:val="00331CD4"/>
    <w:rsid w:val="00332337"/>
    <w:rsid w:val="0033328E"/>
    <w:rsid w:val="00333309"/>
    <w:rsid w:val="003342A1"/>
    <w:rsid w:val="00334407"/>
    <w:rsid w:val="0033458B"/>
    <w:rsid w:val="00334594"/>
    <w:rsid w:val="00334930"/>
    <w:rsid w:val="003349C8"/>
    <w:rsid w:val="00334D01"/>
    <w:rsid w:val="00334FE2"/>
    <w:rsid w:val="003359FF"/>
    <w:rsid w:val="003376FA"/>
    <w:rsid w:val="003416AE"/>
    <w:rsid w:val="003420EC"/>
    <w:rsid w:val="00343556"/>
    <w:rsid w:val="00343BA8"/>
    <w:rsid w:val="00344C42"/>
    <w:rsid w:val="00345106"/>
    <w:rsid w:val="003451BB"/>
    <w:rsid w:val="00345B50"/>
    <w:rsid w:val="003477F8"/>
    <w:rsid w:val="00350370"/>
    <w:rsid w:val="003507ED"/>
    <w:rsid w:val="003520F0"/>
    <w:rsid w:val="00354AED"/>
    <w:rsid w:val="00357094"/>
    <w:rsid w:val="00357C3E"/>
    <w:rsid w:val="0036180B"/>
    <w:rsid w:val="00362C59"/>
    <w:rsid w:val="00364449"/>
    <w:rsid w:val="00365471"/>
    <w:rsid w:val="003656EC"/>
    <w:rsid w:val="003658AA"/>
    <w:rsid w:val="00366E18"/>
    <w:rsid w:val="00370601"/>
    <w:rsid w:val="0037117B"/>
    <w:rsid w:val="00371218"/>
    <w:rsid w:val="00371591"/>
    <w:rsid w:val="00372229"/>
    <w:rsid w:val="003740C3"/>
    <w:rsid w:val="0037462A"/>
    <w:rsid w:val="00374D47"/>
    <w:rsid w:val="0037504D"/>
    <w:rsid w:val="00375721"/>
    <w:rsid w:val="00375C8B"/>
    <w:rsid w:val="00376660"/>
    <w:rsid w:val="00377317"/>
    <w:rsid w:val="00380AE9"/>
    <w:rsid w:val="00381569"/>
    <w:rsid w:val="00381A1A"/>
    <w:rsid w:val="003836BB"/>
    <w:rsid w:val="00383A23"/>
    <w:rsid w:val="00383E66"/>
    <w:rsid w:val="0038476E"/>
    <w:rsid w:val="00384C15"/>
    <w:rsid w:val="00384E95"/>
    <w:rsid w:val="00385E8C"/>
    <w:rsid w:val="00386BD8"/>
    <w:rsid w:val="003875EA"/>
    <w:rsid w:val="00387CEF"/>
    <w:rsid w:val="00391165"/>
    <w:rsid w:val="0039183F"/>
    <w:rsid w:val="003919DF"/>
    <w:rsid w:val="00392EC8"/>
    <w:rsid w:val="0039323E"/>
    <w:rsid w:val="00395504"/>
    <w:rsid w:val="003A09FF"/>
    <w:rsid w:val="003A19CF"/>
    <w:rsid w:val="003A48C9"/>
    <w:rsid w:val="003A5A4F"/>
    <w:rsid w:val="003A67A9"/>
    <w:rsid w:val="003A7804"/>
    <w:rsid w:val="003B02F0"/>
    <w:rsid w:val="003B0DD5"/>
    <w:rsid w:val="003B16D1"/>
    <w:rsid w:val="003B453F"/>
    <w:rsid w:val="003B4DE1"/>
    <w:rsid w:val="003B52EA"/>
    <w:rsid w:val="003B590B"/>
    <w:rsid w:val="003C07E0"/>
    <w:rsid w:val="003C2D27"/>
    <w:rsid w:val="003C3EF3"/>
    <w:rsid w:val="003C41FA"/>
    <w:rsid w:val="003C5C43"/>
    <w:rsid w:val="003C7045"/>
    <w:rsid w:val="003C7528"/>
    <w:rsid w:val="003C7F09"/>
    <w:rsid w:val="003D117C"/>
    <w:rsid w:val="003D3B06"/>
    <w:rsid w:val="003D483F"/>
    <w:rsid w:val="003D4EB6"/>
    <w:rsid w:val="003D4FB2"/>
    <w:rsid w:val="003D5116"/>
    <w:rsid w:val="003D7D18"/>
    <w:rsid w:val="003E0839"/>
    <w:rsid w:val="003E0EAD"/>
    <w:rsid w:val="003E1F63"/>
    <w:rsid w:val="003E3C40"/>
    <w:rsid w:val="003E5656"/>
    <w:rsid w:val="003E7F85"/>
    <w:rsid w:val="003F199F"/>
    <w:rsid w:val="003F2600"/>
    <w:rsid w:val="003F276D"/>
    <w:rsid w:val="003F29A2"/>
    <w:rsid w:val="00401B2B"/>
    <w:rsid w:val="00403CE1"/>
    <w:rsid w:val="00404A2F"/>
    <w:rsid w:val="00404B10"/>
    <w:rsid w:val="00404C14"/>
    <w:rsid w:val="00406421"/>
    <w:rsid w:val="00406538"/>
    <w:rsid w:val="00410104"/>
    <w:rsid w:val="004102D6"/>
    <w:rsid w:val="00410498"/>
    <w:rsid w:val="0041076E"/>
    <w:rsid w:val="00413751"/>
    <w:rsid w:val="004142EA"/>
    <w:rsid w:val="004143B2"/>
    <w:rsid w:val="00414927"/>
    <w:rsid w:val="004159C6"/>
    <w:rsid w:val="004218AE"/>
    <w:rsid w:val="00421E06"/>
    <w:rsid w:val="00424375"/>
    <w:rsid w:val="00424967"/>
    <w:rsid w:val="00424DB2"/>
    <w:rsid w:val="00425639"/>
    <w:rsid w:val="004266FC"/>
    <w:rsid w:val="00426D65"/>
    <w:rsid w:val="004272E3"/>
    <w:rsid w:val="004278DC"/>
    <w:rsid w:val="00430F7E"/>
    <w:rsid w:val="004326C3"/>
    <w:rsid w:val="004327FE"/>
    <w:rsid w:val="00435266"/>
    <w:rsid w:val="00435AEF"/>
    <w:rsid w:val="004361AA"/>
    <w:rsid w:val="004365FD"/>
    <w:rsid w:val="00436DC8"/>
    <w:rsid w:val="00437760"/>
    <w:rsid w:val="004407E6"/>
    <w:rsid w:val="004419CA"/>
    <w:rsid w:val="00441C57"/>
    <w:rsid w:val="0044226E"/>
    <w:rsid w:val="00442AD0"/>
    <w:rsid w:val="0044526B"/>
    <w:rsid w:val="00445482"/>
    <w:rsid w:val="00446921"/>
    <w:rsid w:val="004513F3"/>
    <w:rsid w:val="00452C6A"/>
    <w:rsid w:val="0045315E"/>
    <w:rsid w:val="004532D4"/>
    <w:rsid w:val="004536AF"/>
    <w:rsid w:val="0045513C"/>
    <w:rsid w:val="0045515C"/>
    <w:rsid w:val="00457952"/>
    <w:rsid w:val="00460DEB"/>
    <w:rsid w:val="00462BAD"/>
    <w:rsid w:val="004638E9"/>
    <w:rsid w:val="0046408E"/>
    <w:rsid w:val="00464403"/>
    <w:rsid w:val="00465AA5"/>
    <w:rsid w:val="00466359"/>
    <w:rsid w:val="0046705B"/>
    <w:rsid w:val="00467DD2"/>
    <w:rsid w:val="00471905"/>
    <w:rsid w:val="00471D46"/>
    <w:rsid w:val="00472AB4"/>
    <w:rsid w:val="0047429D"/>
    <w:rsid w:val="00477AD0"/>
    <w:rsid w:val="00480180"/>
    <w:rsid w:val="00481640"/>
    <w:rsid w:val="004826F9"/>
    <w:rsid w:val="00482C68"/>
    <w:rsid w:val="004835B9"/>
    <w:rsid w:val="004840A5"/>
    <w:rsid w:val="00484B0E"/>
    <w:rsid w:val="004851B3"/>
    <w:rsid w:val="00485D0A"/>
    <w:rsid w:val="00486C8E"/>
    <w:rsid w:val="00487392"/>
    <w:rsid w:val="0049014C"/>
    <w:rsid w:val="004908C7"/>
    <w:rsid w:val="0049119C"/>
    <w:rsid w:val="00491446"/>
    <w:rsid w:val="00492D9E"/>
    <w:rsid w:val="0049377E"/>
    <w:rsid w:val="00494203"/>
    <w:rsid w:val="00494444"/>
    <w:rsid w:val="0049573F"/>
    <w:rsid w:val="00497646"/>
    <w:rsid w:val="004A0C75"/>
    <w:rsid w:val="004A1245"/>
    <w:rsid w:val="004A1C66"/>
    <w:rsid w:val="004A4F20"/>
    <w:rsid w:val="004A59A1"/>
    <w:rsid w:val="004B026B"/>
    <w:rsid w:val="004B3139"/>
    <w:rsid w:val="004B3A72"/>
    <w:rsid w:val="004B4B74"/>
    <w:rsid w:val="004B5C26"/>
    <w:rsid w:val="004B736A"/>
    <w:rsid w:val="004B7693"/>
    <w:rsid w:val="004C0BD0"/>
    <w:rsid w:val="004C1414"/>
    <w:rsid w:val="004C2469"/>
    <w:rsid w:val="004C2D7F"/>
    <w:rsid w:val="004C307C"/>
    <w:rsid w:val="004C4FFA"/>
    <w:rsid w:val="004C53F3"/>
    <w:rsid w:val="004C68D2"/>
    <w:rsid w:val="004C7AD2"/>
    <w:rsid w:val="004D0495"/>
    <w:rsid w:val="004D2019"/>
    <w:rsid w:val="004D2B1A"/>
    <w:rsid w:val="004D2C2A"/>
    <w:rsid w:val="004D323B"/>
    <w:rsid w:val="004D4337"/>
    <w:rsid w:val="004D5278"/>
    <w:rsid w:val="004D6AA7"/>
    <w:rsid w:val="004D7B86"/>
    <w:rsid w:val="004E1ED8"/>
    <w:rsid w:val="004E3A8B"/>
    <w:rsid w:val="004E6232"/>
    <w:rsid w:val="004E64C2"/>
    <w:rsid w:val="004E67D6"/>
    <w:rsid w:val="004E6A62"/>
    <w:rsid w:val="004F5E3C"/>
    <w:rsid w:val="004F624F"/>
    <w:rsid w:val="004F6BB1"/>
    <w:rsid w:val="004F6D9E"/>
    <w:rsid w:val="004FE48F"/>
    <w:rsid w:val="00501F06"/>
    <w:rsid w:val="005040D2"/>
    <w:rsid w:val="005044E6"/>
    <w:rsid w:val="00504A72"/>
    <w:rsid w:val="00504BA6"/>
    <w:rsid w:val="005057EE"/>
    <w:rsid w:val="005058F1"/>
    <w:rsid w:val="005069F9"/>
    <w:rsid w:val="00506FD1"/>
    <w:rsid w:val="005135C2"/>
    <w:rsid w:val="00513878"/>
    <w:rsid w:val="00513943"/>
    <w:rsid w:val="00514528"/>
    <w:rsid w:val="00514D76"/>
    <w:rsid w:val="0051543A"/>
    <w:rsid w:val="00515FE1"/>
    <w:rsid w:val="005173D4"/>
    <w:rsid w:val="0051753C"/>
    <w:rsid w:val="005203C3"/>
    <w:rsid w:val="005258E6"/>
    <w:rsid w:val="00526FA1"/>
    <w:rsid w:val="00527930"/>
    <w:rsid w:val="00530563"/>
    <w:rsid w:val="0053063D"/>
    <w:rsid w:val="00532581"/>
    <w:rsid w:val="005334A2"/>
    <w:rsid w:val="005335F9"/>
    <w:rsid w:val="00534965"/>
    <w:rsid w:val="00535B9D"/>
    <w:rsid w:val="00535CFD"/>
    <w:rsid w:val="005373D1"/>
    <w:rsid w:val="005406EB"/>
    <w:rsid w:val="00540924"/>
    <w:rsid w:val="00540CFE"/>
    <w:rsid w:val="00541CDA"/>
    <w:rsid w:val="005438F8"/>
    <w:rsid w:val="005442D4"/>
    <w:rsid w:val="00545225"/>
    <w:rsid w:val="00546851"/>
    <w:rsid w:val="005469FC"/>
    <w:rsid w:val="00546F2F"/>
    <w:rsid w:val="005473D4"/>
    <w:rsid w:val="005514D0"/>
    <w:rsid w:val="00551743"/>
    <w:rsid w:val="005530E3"/>
    <w:rsid w:val="00554044"/>
    <w:rsid w:val="005557AE"/>
    <w:rsid w:val="005567A9"/>
    <w:rsid w:val="005601F3"/>
    <w:rsid w:val="005609E8"/>
    <w:rsid w:val="00561178"/>
    <w:rsid w:val="005613E7"/>
    <w:rsid w:val="00562EFD"/>
    <w:rsid w:val="00570DAC"/>
    <w:rsid w:val="00571ABA"/>
    <w:rsid w:val="00571B93"/>
    <w:rsid w:val="00572B54"/>
    <w:rsid w:val="00574237"/>
    <w:rsid w:val="005750BA"/>
    <w:rsid w:val="005751C6"/>
    <w:rsid w:val="00576EF2"/>
    <w:rsid w:val="00577222"/>
    <w:rsid w:val="0058008E"/>
    <w:rsid w:val="0058080F"/>
    <w:rsid w:val="0058179E"/>
    <w:rsid w:val="00583C49"/>
    <w:rsid w:val="005846E4"/>
    <w:rsid w:val="00584810"/>
    <w:rsid w:val="00585AD2"/>
    <w:rsid w:val="00585E7B"/>
    <w:rsid w:val="00587C30"/>
    <w:rsid w:val="00591006"/>
    <w:rsid w:val="005915D4"/>
    <w:rsid w:val="0059197D"/>
    <w:rsid w:val="005949AA"/>
    <w:rsid w:val="00594BF3"/>
    <w:rsid w:val="00594C56"/>
    <w:rsid w:val="00594E0D"/>
    <w:rsid w:val="005952C1"/>
    <w:rsid w:val="00596368"/>
    <w:rsid w:val="00597DC5"/>
    <w:rsid w:val="005A23E9"/>
    <w:rsid w:val="005A373A"/>
    <w:rsid w:val="005A483D"/>
    <w:rsid w:val="005A5660"/>
    <w:rsid w:val="005A56C7"/>
    <w:rsid w:val="005B154E"/>
    <w:rsid w:val="005B32F8"/>
    <w:rsid w:val="005B6782"/>
    <w:rsid w:val="005B7D1B"/>
    <w:rsid w:val="005B7F43"/>
    <w:rsid w:val="005C29B0"/>
    <w:rsid w:val="005C457F"/>
    <w:rsid w:val="005C6F36"/>
    <w:rsid w:val="005C7E74"/>
    <w:rsid w:val="005D0FC9"/>
    <w:rsid w:val="005D1836"/>
    <w:rsid w:val="005D1B67"/>
    <w:rsid w:val="005D1E91"/>
    <w:rsid w:val="005D36F6"/>
    <w:rsid w:val="005D5E22"/>
    <w:rsid w:val="005D60C8"/>
    <w:rsid w:val="005D64D7"/>
    <w:rsid w:val="005D673A"/>
    <w:rsid w:val="005D7CE0"/>
    <w:rsid w:val="005E11DE"/>
    <w:rsid w:val="005E1B82"/>
    <w:rsid w:val="005E4410"/>
    <w:rsid w:val="005E4B5C"/>
    <w:rsid w:val="005E6952"/>
    <w:rsid w:val="005E7294"/>
    <w:rsid w:val="005F02F0"/>
    <w:rsid w:val="005F088A"/>
    <w:rsid w:val="005F2696"/>
    <w:rsid w:val="005F3101"/>
    <w:rsid w:val="005F37AC"/>
    <w:rsid w:val="005F4751"/>
    <w:rsid w:val="005F4F91"/>
    <w:rsid w:val="005F5C7B"/>
    <w:rsid w:val="005F664C"/>
    <w:rsid w:val="005F6A5C"/>
    <w:rsid w:val="005F7BDD"/>
    <w:rsid w:val="005F7D3A"/>
    <w:rsid w:val="00600141"/>
    <w:rsid w:val="0060144D"/>
    <w:rsid w:val="00601DCD"/>
    <w:rsid w:val="00604AC9"/>
    <w:rsid w:val="00604FCA"/>
    <w:rsid w:val="006054AD"/>
    <w:rsid w:val="0060594D"/>
    <w:rsid w:val="006059F4"/>
    <w:rsid w:val="00607CC2"/>
    <w:rsid w:val="006104F1"/>
    <w:rsid w:val="00612382"/>
    <w:rsid w:val="00612684"/>
    <w:rsid w:val="006140B1"/>
    <w:rsid w:val="0061492B"/>
    <w:rsid w:val="00614B13"/>
    <w:rsid w:val="006175D8"/>
    <w:rsid w:val="00617E99"/>
    <w:rsid w:val="00620366"/>
    <w:rsid w:val="00620AA6"/>
    <w:rsid w:val="00621530"/>
    <w:rsid w:val="00621F8A"/>
    <w:rsid w:val="006224DC"/>
    <w:rsid w:val="00622BC1"/>
    <w:rsid w:val="00622CF7"/>
    <w:rsid w:val="00625937"/>
    <w:rsid w:val="00625AAD"/>
    <w:rsid w:val="006264B2"/>
    <w:rsid w:val="006269DB"/>
    <w:rsid w:val="0062710B"/>
    <w:rsid w:val="00627292"/>
    <w:rsid w:val="006275BD"/>
    <w:rsid w:val="00630781"/>
    <w:rsid w:val="00630C26"/>
    <w:rsid w:val="00631589"/>
    <w:rsid w:val="006317AD"/>
    <w:rsid w:val="0063190A"/>
    <w:rsid w:val="00631CD8"/>
    <w:rsid w:val="0063283F"/>
    <w:rsid w:val="0063378A"/>
    <w:rsid w:val="00635153"/>
    <w:rsid w:val="006369F9"/>
    <w:rsid w:val="00640936"/>
    <w:rsid w:val="00642459"/>
    <w:rsid w:val="00642DDC"/>
    <w:rsid w:val="00642E11"/>
    <w:rsid w:val="00643B21"/>
    <w:rsid w:val="00644CB8"/>
    <w:rsid w:val="00646295"/>
    <w:rsid w:val="006463B4"/>
    <w:rsid w:val="00647066"/>
    <w:rsid w:val="006507EF"/>
    <w:rsid w:val="00650FC1"/>
    <w:rsid w:val="00653623"/>
    <w:rsid w:val="00654B96"/>
    <w:rsid w:val="00655307"/>
    <w:rsid w:val="00655456"/>
    <w:rsid w:val="00656CCC"/>
    <w:rsid w:val="00657404"/>
    <w:rsid w:val="00657FAB"/>
    <w:rsid w:val="00662266"/>
    <w:rsid w:val="0066282A"/>
    <w:rsid w:val="00663849"/>
    <w:rsid w:val="00663C4D"/>
    <w:rsid w:val="00664653"/>
    <w:rsid w:val="00667CD5"/>
    <w:rsid w:val="00667D3D"/>
    <w:rsid w:val="0067169B"/>
    <w:rsid w:val="00671AD6"/>
    <w:rsid w:val="00672146"/>
    <w:rsid w:val="006738EF"/>
    <w:rsid w:val="00674459"/>
    <w:rsid w:val="006747B6"/>
    <w:rsid w:val="00674E81"/>
    <w:rsid w:val="00674EA0"/>
    <w:rsid w:val="0067561B"/>
    <w:rsid w:val="00675813"/>
    <w:rsid w:val="00675C94"/>
    <w:rsid w:val="00677AEB"/>
    <w:rsid w:val="00680D19"/>
    <w:rsid w:val="00681E7D"/>
    <w:rsid w:val="00682643"/>
    <w:rsid w:val="00684F96"/>
    <w:rsid w:val="00685B26"/>
    <w:rsid w:val="00686506"/>
    <w:rsid w:val="00687243"/>
    <w:rsid w:val="006904B4"/>
    <w:rsid w:val="00690E6B"/>
    <w:rsid w:val="006910EF"/>
    <w:rsid w:val="00691C07"/>
    <w:rsid w:val="006942F9"/>
    <w:rsid w:val="00694BB2"/>
    <w:rsid w:val="006950F2"/>
    <w:rsid w:val="00695582"/>
    <w:rsid w:val="006A1E0F"/>
    <w:rsid w:val="006A222A"/>
    <w:rsid w:val="006A45D3"/>
    <w:rsid w:val="006A5646"/>
    <w:rsid w:val="006A6FA3"/>
    <w:rsid w:val="006A7B58"/>
    <w:rsid w:val="006B21DA"/>
    <w:rsid w:val="006B21EF"/>
    <w:rsid w:val="006B2DF8"/>
    <w:rsid w:val="006B53CF"/>
    <w:rsid w:val="006B593D"/>
    <w:rsid w:val="006B7120"/>
    <w:rsid w:val="006B7B6D"/>
    <w:rsid w:val="006C19D6"/>
    <w:rsid w:val="006C2FD8"/>
    <w:rsid w:val="006C51BA"/>
    <w:rsid w:val="006C56A6"/>
    <w:rsid w:val="006C668D"/>
    <w:rsid w:val="006C68B6"/>
    <w:rsid w:val="006C7256"/>
    <w:rsid w:val="006C725E"/>
    <w:rsid w:val="006D0128"/>
    <w:rsid w:val="006D08D1"/>
    <w:rsid w:val="006D0A28"/>
    <w:rsid w:val="006D1690"/>
    <w:rsid w:val="006D1972"/>
    <w:rsid w:val="006D4C7A"/>
    <w:rsid w:val="006D5B05"/>
    <w:rsid w:val="006D5C0E"/>
    <w:rsid w:val="006D6584"/>
    <w:rsid w:val="006D738F"/>
    <w:rsid w:val="006E0226"/>
    <w:rsid w:val="006E0859"/>
    <w:rsid w:val="006E1F4C"/>
    <w:rsid w:val="006E24B5"/>
    <w:rsid w:val="006E2C78"/>
    <w:rsid w:val="006E6E71"/>
    <w:rsid w:val="006F2DC0"/>
    <w:rsid w:val="006F30DB"/>
    <w:rsid w:val="006F55BC"/>
    <w:rsid w:val="006F58AC"/>
    <w:rsid w:val="007008B9"/>
    <w:rsid w:val="00700C6F"/>
    <w:rsid w:val="0070278A"/>
    <w:rsid w:val="00702E5F"/>
    <w:rsid w:val="007038CD"/>
    <w:rsid w:val="007041A4"/>
    <w:rsid w:val="00704202"/>
    <w:rsid w:val="0070421A"/>
    <w:rsid w:val="00704706"/>
    <w:rsid w:val="00704BF8"/>
    <w:rsid w:val="00706404"/>
    <w:rsid w:val="00706417"/>
    <w:rsid w:val="00707391"/>
    <w:rsid w:val="00713721"/>
    <w:rsid w:val="00713AA8"/>
    <w:rsid w:val="00714A84"/>
    <w:rsid w:val="00722498"/>
    <w:rsid w:val="00723175"/>
    <w:rsid w:val="007250D2"/>
    <w:rsid w:val="0072603C"/>
    <w:rsid w:val="00726353"/>
    <w:rsid w:val="00726673"/>
    <w:rsid w:val="00727F5E"/>
    <w:rsid w:val="00727FB5"/>
    <w:rsid w:val="007309D9"/>
    <w:rsid w:val="00731569"/>
    <w:rsid w:val="0073161A"/>
    <w:rsid w:val="00731B0C"/>
    <w:rsid w:val="007362C9"/>
    <w:rsid w:val="007367BC"/>
    <w:rsid w:val="00740C9B"/>
    <w:rsid w:val="007412C2"/>
    <w:rsid w:val="007417B8"/>
    <w:rsid w:val="007422F3"/>
    <w:rsid w:val="007428B8"/>
    <w:rsid w:val="00742BAF"/>
    <w:rsid w:val="00743183"/>
    <w:rsid w:val="007432B1"/>
    <w:rsid w:val="00744585"/>
    <w:rsid w:val="00744D81"/>
    <w:rsid w:val="00745B53"/>
    <w:rsid w:val="00746E61"/>
    <w:rsid w:val="00746F6D"/>
    <w:rsid w:val="00750548"/>
    <w:rsid w:val="00750AA5"/>
    <w:rsid w:val="00750F8E"/>
    <w:rsid w:val="007514B5"/>
    <w:rsid w:val="007516D4"/>
    <w:rsid w:val="00753926"/>
    <w:rsid w:val="0075412C"/>
    <w:rsid w:val="00754190"/>
    <w:rsid w:val="00754610"/>
    <w:rsid w:val="00754EAF"/>
    <w:rsid w:val="00755D05"/>
    <w:rsid w:val="00756E4A"/>
    <w:rsid w:val="00760077"/>
    <w:rsid w:val="0076071F"/>
    <w:rsid w:val="007631D8"/>
    <w:rsid w:val="00763D99"/>
    <w:rsid w:val="00763E3D"/>
    <w:rsid w:val="00765E8F"/>
    <w:rsid w:val="0076637F"/>
    <w:rsid w:val="00766CD5"/>
    <w:rsid w:val="00766F26"/>
    <w:rsid w:val="007704D3"/>
    <w:rsid w:val="007725FC"/>
    <w:rsid w:val="00776483"/>
    <w:rsid w:val="00781C1E"/>
    <w:rsid w:val="00782E43"/>
    <w:rsid w:val="00783E28"/>
    <w:rsid w:val="00784B71"/>
    <w:rsid w:val="00785D17"/>
    <w:rsid w:val="00787782"/>
    <w:rsid w:val="007877E0"/>
    <w:rsid w:val="00791E9C"/>
    <w:rsid w:val="00795689"/>
    <w:rsid w:val="007958BF"/>
    <w:rsid w:val="00795C2C"/>
    <w:rsid w:val="00797022"/>
    <w:rsid w:val="007974D4"/>
    <w:rsid w:val="007A09C8"/>
    <w:rsid w:val="007A10F6"/>
    <w:rsid w:val="007A1170"/>
    <w:rsid w:val="007A2203"/>
    <w:rsid w:val="007A307A"/>
    <w:rsid w:val="007A33F0"/>
    <w:rsid w:val="007A4BDA"/>
    <w:rsid w:val="007A5586"/>
    <w:rsid w:val="007A5C5A"/>
    <w:rsid w:val="007A6165"/>
    <w:rsid w:val="007A6A19"/>
    <w:rsid w:val="007A78CD"/>
    <w:rsid w:val="007B042E"/>
    <w:rsid w:val="007B0B99"/>
    <w:rsid w:val="007B191B"/>
    <w:rsid w:val="007B269C"/>
    <w:rsid w:val="007B3088"/>
    <w:rsid w:val="007B43B1"/>
    <w:rsid w:val="007B470E"/>
    <w:rsid w:val="007B5967"/>
    <w:rsid w:val="007B72DE"/>
    <w:rsid w:val="007C003F"/>
    <w:rsid w:val="007C01B3"/>
    <w:rsid w:val="007C109D"/>
    <w:rsid w:val="007C22CE"/>
    <w:rsid w:val="007C2EAE"/>
    <w:rsid w:val="007C32B8"/>
    <w:rsid w:val="007C4C2F"/>
    <w:rsid w:val="007C6215"/>
    <w:rsid w:val="007C721A"/>
    <w:rsid w:val="007D0ECC"/>
    <w:rsid w:val="007D1475"/>
    <w:rsid w:val="007D1B32"/>
    <w:rsid w:val="007D4229"/>
    <w:rsid w:val="007D4617"/>
    <w:rsid w:val="007D4AB8"/>
    <w:rsid w:val="007D58CA"/>
    <w:rsid w:val="007D6C0B"/>
    <w:rsid w:val="007D73E9"/>
    <w:rsid w:val="007E003F"/>
    <w:rsid w:val="007E2887"/>
    <w:rsid w:val="007E44EB"/>
    <w:rsid w:val="007E7017"/>
    <w:rsid w:val="007F1383"/>
    <w:rsid w:val="007F1483"/>
    <w:rsid w:val="007F4AF3"/>
    <w:rsid w:val="007F55F0"/>
    <w:rsid w:val="007F7C94"/>
    <w:rsid w:val="008010C6"/>
    <w:rsid w:val="008016E3"/>
    <w:rsid w:val="00801FF2"/>
    <w:rsid w:val="008035AF"/>
    <w:rsid w:val="008036D7"/>
    <w:rsid w:val="008037EE"/>
    <w:rsid w:val="00804B6C"/>
    <w:rsid w:val="00806220"/>
    <w:rsid w:val="00811763"/>
    <w:rsid w:val="00812750"/>
    <w:rsid w:val="008129AB"/>
    <w:rsid w:val="008133E0"/>
    <w:rsid w:val="00814B4A"/>
    <w:rsid w:val="00815CEC"/>
    <w:rsid w:val="00817839"/>
    <w:rsid w:val="00817F3B"/>
    <w:rsid w:val="008232A6"/>
    <w:rsid w:val="00824299"/>
    <w:rsid w:val="00826690"/>
    <w:rsid w:val="00827A6B"/>
    <w:rsid w:val="00830B77"/>
    <w:rsid w:val="00831454"/>
    <w:rsid w:val="00832810"/>
    <w:rsid w:val="0083418C"/>
    <w:rsid w:val="0083473D"/>
    <w:rsid w:val="00834A9A"/>
    <w:rsid w:val="00834DB9"/>
    <w:rsid w:val="00835FB2"/>
    <w:rsid w:val="008374EA"/>
    <w:rsid w:val="0083756C"/>
    <w:rsid w:val="00837624"/>
    <w:rsid w:val="0084026E"/>
    <w:rsid w:val="0084155B"/>
    <w:rsid w:val="0084489E"/>
    <w:rsid w:val="00845961"/>
    <w:rsid w:val="00845ADA"/>
    <w:rsid w:val="00845C67"/>
    <w:rsid w:val="00847152"/>
    <w:rsid w:val="008479C8"/>
    <w:rsid w:val="0085003A"/>
    <w:rsid w:val="00850D60"/>
    <w:rsid w:val="00851AAF"/>
    <w:rsid w:val="00853246"/>
    <w:rsid w:val="00854771"/>
    <w:rsid w:val="0085487D"/>
    <w:rsid w:val="008565F7"/>
    <w:rsid w:val="008569D7"/>
    <w:rsid w:val="0085758E"/>
    <w:rsid w:val="00857966"/>
    <w:rsid w:val="00857B3E"/>
    <w:rsid w:val="00857E88"/>
    <w:rsid w:val="00860011"/>
    <w:rsid w:val="0086052A"/>
    <w:rsid w:val="008631A3"/>
    <w:rsid w:val="0086519F"/>
    <w:rsid w:val="0086584C"/>
    <w:rsid w:val="00865C13"/>
    <w:rsid w:val="008664F8"/>
    <w:rsid w:val="00870993"/>
    <w:rsid w:val="00874082"/>
    <w:rsid w:val="00876F8B"/>
    <w:rsid w:val="00877B0D"/>
    <w:rsid w:val="0088008A"/>
    <w:rsid w:val="0088067B"/>
    <w:rsid w:val="00882C94"/>
    <w:rsid w:val="008831F5"/>
    <w:rsid w:val="00883C7D"/>
    <w:rsid w:val="00884426"/>
    <w:rsid w:val="008854ED"/>
    <w:rsid w:val="008862B7"/>
    <w:rsid w:val="00887266"/>
    <w:rsid w:val="00887D6E"/>
    <w:rsid w:val="0089010C"/>
    <w:rsid w:val="00891C21"/>
    <w:rsid w:val="00893C8F"/>
    <w:rsid w:val="00894705"/>
    <w:rsid w:val="00894BC8"/>
    <w:rsid w:val="00894F86"/>
    <w:rsid w:val="008953F1"/>
    <w:rsid w:val="00896B78"/>
    <w:rsid w:val="008A1579"/>
    <w:rsid w:val="008A1FDC"/>
    <w:rsid w:val="008A20DC"/>
    <w:rsid w:val="008A33E7"/>
    <w:rsid w:val="008A34B0"/>
    <w:rsid w:val="008A3FCE"/>
    <w:rsid w:val="008A4847"/>
    <w:rsid w:val="008A54C8"/>
    <w:rsid w:val="008A5929"/>
    <w:rsid w:val="008A640A"/>
    <w:rsid w:val="008B1177"/>
    <w:rsid w:val="008B307E"/>
    <w:rsid w:val="008B3A63"/>
    <w:rsid w:val="008B42AA"/>
    <w:rsid w:val="008B56B4"/>
    <w:rsid w:val="008B73B0"/>
    <w:rsid w:val="008B7540"/>
    <w:rsid w:val="008C077C"/>
    <w:rsid w:val="008C1013"/>
    <w:rsid w:val="008C10A9"/>
    <w:rsid w:val="008C16DB"/>
    <w:rsid w:val="008C193F"/>
    <w:rsid w:val="008C28BC"/>
    <w:rsid w:val="008C2A4C"/>
    <w:rsid w:val="008C372D"/>
    <w:rsid w:val="008C44D3"/>
    <w:rsid w:val="008C4AFD"/>
    <w:rsid w:val="008C5963"/>
    <w:rsid w:val="008C602C"/>
    <w:rsid w:val="008C726F"/>
    <w:rsid w:val="008C7333"/>
    <w:rsid w:val="008C7623"/>
    <w:rsid w:val="008C7904"/>
    <w:rsid w:val="008D093A"/>
    <w:rsid w:val="008D2808"/>
    <w:rsid w:val="008D3974"/>
    <w:rsid w:val="008D4FA3"/>
    <w:rsid w:val="008D54F6"/>
    <w:rsid w:val="008D5B03"/>
    <w:rsid w:val="008D6277"/>
    <w:rsid w:val="008D7C9A"/>
    <w:rsid w:val="008D7D68"/>
    <w:rsid w:val="008D7E98"/>
    <w:rsid w:val="008E00F2"/>
    <w:rsid w:val="008E106A"/>
    <w:rsid w:val="008E32FA"/>
    <w:rsid w:val="008E36BB"/>
    <w:rsid w:val="008E498D"/>
    <w:rsid w:val="008E5142"/>
    <w:rsid w:val="008E700A"/>
    <w:rsid w:val="008E7FAC"/>
    <w:rsid w:val="008F0426"/>
    <w:rsid w:val="008F0DF0"/>
    <w:rsid w:val="008F146B"/>
    <w:rsid w:val="008F247D"/>
    <w:rsid w:val="008F46C0"/>
    <w:rsid w:val="008F615B"/>
    <w:rsid w:val="008F6377"/>
    <w:rsid w:val="008F6777"/>
    <w:rsid w:val="008F77EB"/>
    <w:rsid w:val="008F79D7"/>
    <w:rsid w:val="008F7A6E"/>
    <w:rsid w:val="008F7F1A"/>
    <w:rsid w:val="0090200F"/>
    <w:rsid w:val="0090245D"/>
    <w:rsid w:val="009029FE"/>
    <w:rsid w:val="0090419B"/>
    <w:rsid w:val="00904450"/>
    <w:rsid w:val="009050C0"/>
    <w:rsid w:val="00905632"/>
    <w:rsid w:val="00907209"/>
    <w:rsid w:val="009076AD"/>
    <w:rsid w:val="00910267"/>
    <w:rsid w:val="00910744"/>
    <w:rsid w:val="0091120E"/>
    <w:rsid w:val="0091248C"/>
    <w:rsid w:val="0091362D"/>
    <w:rsid w:val="00914777"/>
    <w:rsid w:val="00916C6B"/>
    <w:rsid w:val="00917040"/>
    <w:rsid w:val="00920DB2"/>
    <w:rsid w:val="00921991"/>
    <w:rsid w:val="00921CD4"/>
    <w:rsid w:val="00921D6C"/>
    <w:rsid w:val="0092205E"/>
    <w:rsid w:val="00924673"/>
    <w:rsid w:val="0092643C"/>
    <w:rsid w:val="0092686E"/>
    <w:rsid w:val="00930467"/>
    <w:rsid w:val="00930836"/>
    <w:rsid w:val="009336FD"/>
    <w:rsid w:val="009340F8"/>
    <w:rsid w:val="00934B99"/>
    <w:rsid w:val="00935FD2"/>
    <w:rsid w:val="00941590"/>
    <w:rsid w:val="00941B14"/>
    <w:rsid w:val="00941C67"/>
    <w:rsid w:val="009428D5"/>
    <w:rsid w:val="009434F2"/>
    <w:rsid w:val="00943FAE"/>
    <w:rsid w:val="00943FFB"/>
    <w:rsid w:val="00944585"/>
    <w:rsid w:val="00945259"/>
    <w:rsid w:val="0094553E"/>
    <w:rsid w:val="009461D5"/>
    <w:rsid w:val="00946CED"/>
    <w:rsid w:val="009474C2"/>
    <w:rsid w:val="00952C79"/>
    <w:rsid w:val="00953D8E"/>
    <w:rsid w:val="00953EC0"/>
    <w:rsid w:val="0095516B"/>
    <w:rsid w:val="009556E8"/>
    <w:rsid w:val="00955828"/>
    <w:rsid w:val="00955FAF"/>
    <w:rsid w:val="00957754"/>
    <w:rsid w:val="00960BFC"/>
    <w:rsid w:val="00960F2F"/>
    <w:rsid w:val="00961229"/>
    <w:rsid w:val="00961DD1"/>
    <w:rsid w:val="0096230C"/>
    <w:rsid w:val="009624D4"/>
    <w:rsid w:val="00965AB7"/>
    <w:rsid w:val="009667FB"/>
    <w:rsid w:val="009678F5"/>
    <w:rsid w:val="00970DC4"/>
    <w:rsid w:val="00973614"/>
    <w:rsid w:val="00975C59"/>
    <w:rsid w:val="00975C7E"/>
    <w:rsid w:val="00980300"/>
    <w:rsid w:val="0098086A"/>
    <w:rsid w:val="009809A2"/>
    <w:rsid w:val="00982F50"/>
    <w:rsid w:val="009840D8"/>
    <w:rsid w:val="00984136"/>
    <w:rsid w:val="0098427C"/>
    <w:rsid w:val="009908FE"/>
    <w:rsid w:val="009914A1"/>
    <w:rsid w:val="00994E68"/>
    <w:rsid w:val="009959BC"/>
    <w:rsid w:val="00995E53"/>
    <w:rsid w:val="00997A72"/>
    <w:rsid w:val="00997AAE"/>
    <w:rsid w:val="00997BF1"/>
    <w:rsid w:val="009A30FD"/>
    <w:rsid w:val="009A415C"/>
    <w:rsid w:val="009A47C6"/>
    <w:rsid w:val="009A59F3"/>
    <w:rsid w:val="009A6054"/>
    <w:rsid w:val="009A700B"/>
    <w:rsid w:val="009A775A"/>
    <w:rsid w:val="009B2673"/>
    <w:rsid w:val="009B3A47"/>
    <w:rsid w:val="009B6617"/>
    <w:rsid w:val="009B7E9C"/>
    <w:rsid w:val="009C19E6"/>
    <w:rsid w:val="009C3831"/>
    <w:rsid w:val="009C5AD9"/>
    <w:rsid w:val="009C6970"/>
    <w:rsid w:val="009C7E91"/>
    <w:rsid w:val="009D0AC8"/>
    <w:rsid w:val="009D0D20"/>
    <w:rsid w:val="009D25CE"/>
    <w:rsid w:val="009D406C"/>
    <w:rsid w:val="009D4101"/>
    <w:rsid w:val="009D50AA"/>
    <w:rsid w:val="009D6B3F"/>
    <w:rsid w:val="009D6F66"/>
    <w:rsid w:val="009E01FF"/>
    <w:rsid w:val="009E08B1"/>
    <w:rsid w:val="009E1AC4"/>
    <w:rsid w:val="009E313F"/>
    <w:rsid w:val="009E3D22"/>
    <w:rsid w:val="009E3E1C"/>
    <w:rsid w:val="009E4EAA"/>
    <w:rsid w:val="009E5A95"/>
    <w:rsid w:val="009E5DC7"/>
    <w:rsid w:val="009E78CD"/>
    <w:rsid w:val="009F0321"/>
    <w:rsid w:val="009F0961"/>
    <w:rsid w:val="009F35BE"/>
    <w:rsid w:val="009F3840"/>
    <w:rsid w:val="009F41E5"/>
    <w:rsid w:val="009F458E"/>
    <w:rsid w:val="009F6830"/>
    <w:rsid w:val="009F68DF"/>
    <w:rsid w:val="009F6CC5"/>
    <w:rsid w:val="009F6F02"/>
    <w:rsid w:val="009F74A4"/>
    <w:rsid w:val="00A00327"/>
    <w:rsid w:val="00A02C20"/>
    <w:rsid w:val="00A02D88"/>
    <w:rsid w:val="00A031CF"/>
    <w:rsid w:val="00A03529"/>
    <w:rsid w:val="00A041FF"/>
    <w:rsid w:val="00A04552"/>
    <w:rsid w:val="00A05104"/>
    <w:rsid w:val="00A05A43"/>
    <w:rsid w:val="00A05E4D"/>
    <w:rsid w:val="00A05FC8"/>
    <w:rsid w:val="00A07A7E"/>
    <w:rsid w:val="00A07F94"/>
    <w:rsid w:val="00A10C28"/>
    <w:rsid w:val="00A11359"/>
    <w:rsid w:val="00A1161A"/>
    <w:rsid w:val="00A12315"/>
    <w:rsid w:val="00A14029"/>
    <w:rsid w:val="00A14473"/>
    <w:rsid w:val="00A15A6F"/>
    <w:rsid w:val="00A15E8F"/>
    <w:rsid w:val="00A16D02"/>
    <w:rsid w:val="00A204F7"/>
    <w:rsid w:val="00A20557"/>
    <w:rsid w:val="00A2116C"/>
    <w:rsid w:val="00A22454"/>
    <w:rsid w:val="00A226F5"/>
    <w:rsid w:val="00A2333F"/>
    <w:rsid w:val="00A23C5B"/>
    <w:rsid w:val="00A23DE6"/>
    <w:rsid w:val="00A2542F"/>
    <w:rsid w:val="00A25B84"/>
    <w:rsid w:val="00A260CE"/>
    <w:rsid w:val="00A2630F"/>
    <w:rsid w:val="00A269EE"/>
    <w:rsid w:val="00A27212"/>
    <w:rsid w:val="00A31ECE"/>
    <w:rsid w:val="00A32C81"/>
    <w:rsid w:val="00A35C5D"/>
    <w:rsid w:val="00A364F6"/>
    <w:rsid w:val="00A36E4F"/>
    <w:rsid w:val="00A36E5E"/>
    <w:rsid w:val="00A37455"/>
    <w:rsid w:val="00A40824"/>
    <w:rsid w:val="00A42020"/>
    <w:rsid w:val="00A42209"/>
    <w:rsid w:val="00A430BD"/>
    <w:rsid w:val="00A44902"/>
    <w:rsid w:val="00A44E4D"/>
    <w:rsid w:val="00A46454"/>
    <w:rsid w:val="00A46D62"/>
    <w:rsid w:val="00A51375"/>
    <w:rsid w:val="00A51422"/>
    <w:rsid w:val="00A51F9E"/>
    <w:rsid w:val="00A522E7"/>
    <w:rsid w:val="00A524D6"/>
    <w:rsid w:val="00A52908"/>
    <w:rsid w:val="00A53AAD"/>
    <w:rsid w:val="00A54292"/>
    <w:rsid w:val="00A5777B"/>
    <w:rsid w:val="00A57D4A"/>
    <w:rsid w:val="00A621AC"/>
    <w:rsid w:val="00A645E5"/>
    <w:rsid w:val="00A64899"/>
    <w:rsid w:val="00A66CD6"/>
    <w:rsid w:val="00A67E83"/>
    <w:rsid w:val="00A7061B"/>
    <w:rsid w:val="00A7210C"/>
    <w:rsid w:val="00A72600"/>
    <w:rsid w:val="00A7338D"/>
    <w:rsid w:val="00A74773"/>
    <w:rsid w:val="00A7495B"/>
    <w:rsid w:val="00A74F2C"/>
    <w:rsid w:val="00A74F34"/>
    <w:rsid w:val="00A75918"/>
    <w:rsid w:val="00A76718"/>
    <w:rsid w:val="00A771C9"/>
    <w:rsid w:val="00A77298"/>
    <w:rsid w:val="00A77C11"/>
    <w:rsid w:val="00A83A73"/>
    <w:rsid w:val="00A84388"/>
    <w:rsid w:val="00A8462A"/>
    <w:rsid w:val="00A848D2"/>
    <w:rsid w:val="00A865C8"/>
    <w:rsid w:val="00A86BF0"/>
    <w:rsid w:val="00A870CB"/>
    <w:rsid w:val="00A91A5B"/>
    <w:rsid w:val="00A921CA"/>
    <w:rsid w:val="00A926E1"/>
    <w:rsid w:val="00A92FEC"/>
    <w:rsid w:val="00A9424E"/>
    <w:rsid w:val="00A9583B"/>
    <w:rsid w:val="00A9593C"/>
    <w:rsid w:val="00A95D2A"/>
    <w:rsid w:val="00A95DDA"/>
    <w:rsid w:val="00A963D9"/>
    <w:rsid w:val="00A96696"/>
    <w:rsid w:val="00A967E8"/>
    <w:rsid w:val="00A9738F"/>
    <w:rsid w:val="00AA0F9A"/>
    <w:rsid w:val="00AA27A3"/>
    <w:rsid w:val="00AA2EEC"/>
    <w:rsid w:val="00AA304E"/>
    <w:rsid w:val="00AA3B4F"/>
    <w:rsid w:val="00AA576E"/>
    <w:rsid w:val="00AA61B5"/>
    <w:rsid w:val="00AA7F46"/>
    <w:rsid w:val="00AB273C"/>
    <w:rsid w:val="00AB2EDD"/>
    <w:rsid w:val="00AB3934"/>
    <w:rsid w:val="00AB746C"/>
    <w:rsid w:val="00AC07BA"/>
    <w:rsid w:val="00AC0D82"/>
    <w:rsid w:val="00AC0EC9"/>
    <w:rsid w:val="00AC0F33"/>
    <w:rsid w:val="00AC1AE8"/>
    <w:rsid w:val="00AC1FD0"/>
    <w:rsid w:val="00AC2842"/>
    <w:rsid w:val="00AC2F50"/>
    <w:rsid w:val="00AC31F9"/>
    <w:rsid w:val="00AC3C61"/>
    <w:rsid w:val="00AC3F1E"/>
    <w:rsid w:val="00AC7CE9"/>
    <w:rsid w:val="00AC7D59"/>
    <w:rsid w:val="00AD1497"/>
    <w:rsid w:val="00AD268A"/>
    <w:rsid w:val="00AD39F5"/>
    <w:rsid w:val="00AD45EC"/>
    <w:rsid w:val="00AD4903"/>
    <w:rsid w:val="00AD50AB"/>
    <w:rsid w:val="00AD5427"/>
    <w:rsid w:val="00AD55D1"/>
    <w:rsid w:val="00AD72AA"/>
    <w:rsid w:val="00AD7699"/>
    <w:rsid w:val="00AE1745"/>
    <w:rsid w:val="00AE20EE"/>
    <w:rsid w:val="00AE3850"/>
    <w:rsid w:val="00AE3AB1"/>
    <w:rsid w:val="00AE3E38"/>
    <w:rsid w:val="00AE41E5"/>
    <w:rsid w:val="00AE45EA"/>
    <w:rsid w:val="00AE5EF1"/>
    <w:rsid w:val="00AE60BC"/>
    <w:rsid w:val="00AF0352"/>
    <w:rsid w:val="00AF0F51"/>
    <w:rsid w:val="00AF1457"/>
    <w:rsid w:val="00AF1614"/>
    <w:rsid w:val="00AF26EB"/>
    <w:rsid w:val="00AF45D2"/>
    <w:rsid w:val="00AF5058"/>
    <w:rsid w:val="00AF5641"/>
    <w:rsid w:val="00AF6EA0"/>
    <w:rsid w:val="00AF70C1"/>
    <w:rsid w:val="00AF7414"/>
    <w:rsid w:val="00B01340"/>
    <w:rsid w:val="00B02393"/>
    <w:rsid w:val="00B02F09"/>
    <w:rsid w:val="00B03A0A"/>
    <w:rsid w:val="00B0557F"/>
    <w:rsid w:val="00B05AD1"/>
    <w:rsid w:val="00B06156"/>
    <w:rsid w:val="00B06C97"/>
    <w:rsid w:val="00B1238D"/>
    <w:rsid w:val="00B127EC"/>
    <w:rsid w:val="00B12A6E"/>
    <w:rsid w:val="00B12DCE"/>
    <w:rsid w:val="00B13751"/>
    <w:rsid w:val="00B15231"/>
    <w:rsid w:val="00B157BF"/>
    <w:rsid w:val="00B15931"/>
    <w:rsid w:val="00B15FBF"/>
    <w:rsid w:val="00B171F1"/>
    <w:rsid w:val="00B17AEF"/>
    <w:rsid w:val="00B20584"/>
    <w:rsid w:val="00B23337"/>
    <w:rsid w:val="00B25CCE"/>
    <w:rsid w:val="00B25ECC"/>
    <w:rsid w:val="00B315A3"/>
    <w:rsid w:val="00B3184D"/>
    <w:rsid w:val="00B35F1F"/>
    <w:rsid w:val="00B3685E"/>
    <w:rsid w:val="00B402D5"/>
    <w:rsid w:val="00B4093B"/>
    <w:rsid w:val="00B428F0"/>
    <w:rsid w:val="00B43131"/>
    <w:rsid w:val="00B43F44"/>
    <w:rsid w:val="00B43F89"/>
    <w:rsid w:val="00B45341"/>
    <w:rsid w:val="00B4636A"/>
    <w:rsid w:val="00B463EA"/>
    <w:rsid w:val="00B473D1"/>
    <w:rsid w:val="00B47649"/>
    <w:rsid w:val="00B477CF"/>
    <w:rsid w:val="00B50C0B"/>
    <w:rsid w:val="00B52658"/>
    <w:rsid w:val="00B53784"/>
    <w:rsid w:val="00B53F8E"/>
    <w:rsid w:val="00B54601"/>
    <w:rsid w:val="00B55DC1"/>
    <w:rsid w:val="00B562A8"/>
    <w:rsid w:val="00B60963"/>
    <w:rsid w:val="00B6286F"/>
    <w:rsid w:val="00B62A4C"/>
    <w:rsid w:val="00B63443"/>
    <w:rsid w:val="00B636D6"/>
    <w:rsid w:val="00B63948"/>
    <w:rsid w:val="00B63A4D"/>
    <w:rsid w:val="00B63C28"/>
    <w:rsid w:val="00B63D4F"/>
    <w:rsid w:val="00B63F6A"/>
    <w:rsid w:val="00B64A4A"/>
    <w:rsid w:val="00B65A91"/>
    <w:rsid w:val="00B66152"/>
    <w:rsid w:val="00B677F3"/>
    <w:rsid w:val="00B70335"/>
    <w:rsid w:val="00B712D1"/>
    <w:rsid w:val="00B7230D"/>
    <w:rsid w:val="00B727A3"/>
    <w:rsid w:val="00B7300A"/>
    <w:rsid w:val="00B732B6"/>
    <w:rsid w:val="00B73360"/>
    <w:rsid w:val="00B7479B"/>
    <w:rsid w:val="00B74C80"/>
    <w:rsid w:val="00B74DEE"/>
    <w:rsid w:val="00B75321"/>
    <w:rsid w:val="00B75AE9"/>
    <w:rsid w:val="00B76582"/>
    <w:rsid w:val="00B77C59"/>
    <w:rsid w:val="00B805B0"/>
    <w:rsid w:val="00B80D5A"/>
    <w:rsid w:val="00B8220E"/>
    <w:rsid w:val="00B84195"/>
    <w:rsid w:val="00B84230"/>
    <w:rsid w:val="00B842EA"/>
    <w:rsid w:val="00B8464E"/>
    <w:rsid w:val="00B8486A"/>
    <w:rsid w:val="00B85F90"/>
    <w:rsid w:val="00B86190"/>
    <w:rsid w:val="00B86766"/>
    <w:rsid w:val="00B87B86"/>
    <w:rsid w:val="00B87C1E"/>
    <w:rsid w:val="00B90850"/>
    <w:rsid w:val="00B90B07"/>
    <w:rsid w:val="00B90F04"/>
    <w:rsid w:val="00B9128B"/>
    <w:rsid w:val="00B9143C"/>
    <w:rsid w:val="00B91723"/>
    <w:rsid w:val="00B92397"/>
    <w:rsid w:val="00B928A7"/>
    <w:rsid w:val="00B92C3C"/>
    <w:rsid w:val="00B92C68"/>
    <w:rsid w:val="00B93977"/>
    <w:rsid w:val="00B94A3D"/>
    <w:rsid w:val="00B94ECA"/>
    <w:rsid w:val="00B951FD"/>
    <w:rsid w:val="00B9585B"/>
    <w:rsid w:val="00B9711E"/>
    <w:rsid w:val="00B974EF"/>
    <w:rsid w:val="00B9782D"/>
    <w:rsid w:val="00BA0279"/>
    <w:rsid w:val="00BA1F39"/>
    <w:rsid w:val="00BA215C"/>
    <w:rsid w:val="00BA2B73"/>
    <w:rsid w:val="00BA51CC"/>
    <w:rsid w:val="00BA6BF8"/>
    <w:rsid w:val="00BB08F5"/>
    <w:rsid w:val="00BB0D17"/>
    <w:rsid w:val="00BB1585"/>
    <w:rsid w:val="00BB2B5C"/>
    <w:rsid w:val="00BB31E7"/>
    <w:rsid w:val="00BB3B55"/>
    <w:rsid w:val="00BB5475"/>
    <w:rsid w:val="00BB7124"/>
    <w:rsid w:val="00BB745F"/>
    <w:rsid w:val="00BB78DE"/>
    <w:rsid w:val="00BB79F3"/>
    <w:rsid w:val="00BB7C31"/>
    <w:rsid w:val="00BC0D7F"/>
    <w:rsid w:val="00BC1EB9"/>
    <w:rsid w:val="00BC1F24"/>
    <w:rsid w:val="00BC3289"/>
    <w:rsid w:val="00BC4697"/>
    <w:rsid w:val="00BC5A63"/>
    <w:rsid w:val="00BC6D56"/>
    <w:rsid w:val="00BD5267"/>
    <w:rsid w:val="00BD63AD"/>
    <w:rsid w:val="00BE0278"/>
    <w:rsid w:val="00BE0D73"/>
    <w:rsid w:val="00BE0FC9"/>
    <w:rsid w:val="00BE1661"/>
    <w:rsid w:val="00BE20E2"/>
    <w:rsid w:val="00BE20E7"/>
    <w:rsid w:val="00BE23D4"/>
    <w:rsid w:val="00BE2963"/>
    <w:rsid w:val="00BE2A72"/>
    <w:rsid w:val="00BE36D3"/>
    <w:rsid w:val="00BE4B34"/>
    <w:rsid w:val="00BE6B0C"/>
    <w:rsid w:val="00BF20FD"/>
    <w:rsid w:val="00BF2E60"/>
    <w:rsid w:val="00BF438D"/>
    <w:rsid w:val="00BF574E"/>
    <w:rsid w:val="00BF593E"/>
    <w:rsid w:val="00BF7964"/>
    <w:rsid w:val="00BF7FD5"/>
    <w:rsid w:val="00C002DA"/>
    <w:rsid w:val="00C00D49"/>
    <w:rsid w:val="00C00DE6"/>
    <w:rsid w:val="00C017B7"/>
    <w:rsid w:val="00C023D1"/>
    <w:rsid w:val="00C05894"/>
    <w:rsid w:val="00C05B1A"/>
    <w:rsid w:val="00C06879"/>
    <w:rsid w:val="00C078B3"/>
    <w:rsid w:val="00C07F8B"/>
    <w:rsid w:val="00C10005"/>
    <w:rsid w:val="00C10959"/>
    <w:rsid w:val="00C12613"/>
    <w:rsid w:val="00C133DD"/>
    <w:rsid w:val="00C1663D"/>
    <w:rsid w:val="00C1699A"/>
    <w:rsid w:val="00C17159"/>
    <w:rsid w:val="00C174E0"/>
    <w:rsid w:val="00C20BB5"/>
    <w:rsid w:val="00C23171"/>
    <w:rsid w:val="00C2377B"/>
    <w:rsid w:val="00C23CB2"/>
    <w:rsid w:val="00C23ECF"/>
    <w:rsid w:val="00C24490"/>
    <w:rsid w:val="00C273BA"/>
    <w:rsid w:val="00C27E15"/>
    <w:rsid w:val="00C3072E"/>
    <w:rsid w:val="00C31006"/>
    <w:rsid w:val="00C3596E"/>
    <w:rsid w:val="00C35D37"/>
    <w:rsid w:val="00C364F1"/>
    <w:rsid w:val="00C36669"/>
    <w:rsid w:val="00C3685C"/>
    <w:rsid w:val="00C402F4"/>
    <w:rsid w:val="00C404B2"/>
    <w:rsid w:val="00C40693"/>
    <w:rsid w:val="00C41341"/>
    <w:rsid w:val="00C41E06"/>
    <w:rsid w:val="00C41F6E"/>
    <w:rsid w:val="00C445E9"/>
    <w:rsid w:val="00C451EB"/>
    <w:rsid w:val="00C45566"/>
    <w:rsid w:val="00C50B15"/>
    <w:rsid w:val="00C51C54"/>
    <w:rsid w:val="00C522EB"/>
    <w:rsid w:val="00C52EFF"/>
    <w:rsid w:val="00C52FFB"/>
    <w:rsid w:val="00C54E87"/>
    <w:rsid w:val="00C55C51"/>
    <w:rsid w:val="00C565B2"/>
    <w:rsid w:val="00C571C1"/>
    <w:rsid w:val="00C5770E"/>
    <w:rsid w:val="00C57D8B"/>
    <w:rsid w:val="00C61130"/>
    <w:rsid w:val="00C62EF3"/>
    <w:rsid w:val="00C637FC"/>
    <w:rsid w:val="00C65FEC"/>
    <w:rsid w:val="00C66BA9"/>
    <w:rsid w:val="00C66D03"/>
    <w:rsid w:val="00C67189"/>
    <w:rsid w:val="00C67525"/>
    <w:rsid w:val="00C6771F"/>
    <w:rsid w:val="00C67BE5"/>
    <w:rsid w:val="00C67F6A"/>
    <w:rsid w:val="00C70257"/>
    <w:rsid w:val="00C70A05"/>
    <w:rsid w:val="00C70E89"/>
    <w:rsid w:val="00C71175"/>
    <w:rsid w:val="00C71422"/>
    <w:rsid w:val="00C73894"/>
    <w:rsid w:val="00C743E3"/>
    <w:rsid w:val="00C80256"/>
    <w:rsid w:val="00C80829"/>
    <w:rsid w:val="00C80AD5"/>
    <w:rsid w:val="00C81919"/>
    <w:rsid w:val="00C823C7"/>
    <w:rsid w:val="00C8276D"/>
    <w:rsid w:val="00C83B55"/>
    <w:rsid w:val="00C83C6E"/>
    <w:rsid w:val="00C83C86"/>
    <w:rsid w:val="00C847C3"/>
    <w:rsid w:val="00C8754F"/>
    <w:rsid w:val="00C8BC22"/>
    <w:rsid w:val="00C9166B"/>
    <w:rsid w:val="00C91FD9"/>
    <w:rsid w:val="00C920F0"/>
    <w:rsid w:val="00C9485B"/>
    <w:rsid w:val="00C95003"/>
    <w:rsid w:val="00C9630A"/>
    <w:rsid w:val="00C964AB"/>
    <w:rsid w:val="00C970D1"/>
    <w:rsid w:val="00CA10D3"/>
    <w:rsid w:val="00CA17AB"/>
    <w:rsid w:val="00CA2C3D"/>
    <w:rsid w:val="00CA30A1"/>
    <w:rsid w:val="00CA3119"/>
    <w:rsid w:val="00CA4248"/>
    <w:rsid w:val="00CA4B51"/>
    <w:rsid w:val="00CA510E"/>
    <w:rsid w:val="00CB286D"/>
    <w:rsid w:val="00CB373E"/>
    <w:rsid w:val="00CB3940"/>
    <w:rsid w:val="00CB4688"/>
    <w:rsid w:val="00CB4E0C"/>
    <w:rsid w:val="00CB5C03"/>
    <w:rsid w:val="00CB72F9"/>
    <w:rsid w:val="00CC14C7"/>
    <w:rsid w:val="00CC1EEB"/>
    <w:rsid w:val="00CC35E6"/>
    <w:rsid w:val="00CC3869"/>
    <w:rsid w:val="00CC4F7D"/>
    <w:rsid w:val="00CC548E"/>
    <w:rsid w:val="00CD17AF"/>
    <w:rsid w:val="00CD1CA6"/>
    <w:rsid w:val="00CD290D"/>
    <w:rsid w:val="00CD3242"/>
    <w:rsid w:val="00CD3281"/>
    <w:rsid w:val="00CD3D20"/>
    <w:rsid w:val="00CD402F"/>
    <w:rsid w:val="00CD5063"/>
    <w:rsid w:val="00CD520F"/>
    <w:rsid w:val="00CD535C"/>
    <w:rsid w:val="00CE04A2"/>
    <w:rsid w:val="00CE082B"/>
    <w:rsid w:val="00CE2E60"/>
    <w:rsid w:val="00CE365B"/>
    <w:rsid w:val="00CE6FAD"/>
    <w:rsid w:val="00CF1A63"/>
    <w:rsid w:val="00CF1EAD"/>
    <w:rsid w:val="00CF1EBF"/>
    <w:rsid w:val="00CF2718"/>
    <w:rsid w:val="00CF385C"/>
    <w:rsid w:val="00CF3AED"/>
    <w:rsid w:val="00CF3C3D"/>
    <w:rsid w:val="00CF5C29"/>
    <w:rsid w:val="00CF64D8"/>
    <w:rsid w:val="00CF64F9"/>
    <w:rsid w:val="00D01814"/>
    <w:rsid w:val="00D01D81"/>
    <w:rsid w:val="00D021C7"/>
    <w:rsid w:val="00D042E4"/>
    <w:rsid w:val="00D05D17"/>
    <w:rsid w:val="00D0600E"/>
    <w:rsid w:val="00D06CC5"/>
    <w:rsid w:val="00D0712C"/>
    <w:rsid w:val="00D07253"/>
    <w:rsid w:val="00D07B17"/>
    <w:rsid w:val="00D10151"/>
    <w:rsid w:val="00D1020D"/>
    <w:rsid w:val="00D10C3F"/>
    <w:rsid w:val="00D11B53"/>
    <w:rsid w:val="00D11E99"/>
    <w:rsid w:val="00D129BA"/>
    <w:rsid w:val="00D16594"/>
    <w:rsid w:val="00D20AC3"/>
    <w:rsid w:val="00D224C5"/>
    <w:rsid w:val="00D2369A"/>
    <w:rsid w:val="00D23FE0"/>
    <w:rsid w:val="00D242DD"/>
    <w:rsid w:val="00D25081"/>
    <w:rsid w:val="00D254B0"/>
    <w:rsid w:val="00D2610A"/>
    <w:rsid w:val="00D26C2F"/>
    <w:rsid w:val="00D26F06"/>
    <w:rsid w:val="00D31B37"/>
    <w:rsid w:val="00D3210C"/>
    <w:rsid w:val="00D32BAE"/>
    <w:rsid w:val="00D32F6B"/>
    <w:rsid w:val="00D32FFC"/>
    <w:rsid w:val="00D34A0C"/>
    <w:rsid w:val="00D35C57"/>
    <w:rsid w:val="00D35EDE"/>
    <w:rsid w:val="00D372B9"/>
    <w:rsid w:val="00D40943"/>
    <w:rsid w:val="00D40DC9"/>
    <w:rsid w:val="00D41354"/>
    <w:rsid w:val="00D41FCD"/>
    <w:rsid w:val="00D42F2C"/>
    <w:rsid w:val="00D434A5"/>
    <w:rsid w:val="00D43895"/>
    <w:rsid w:val="00D43D95"/>
    <w:rsid w:val="00D46D60"/>
    <w:rsid w:val="00D50C41"/>
    <w:rsid w:val="00D51014"/>
    <w:rsid w:val="00D511AF"/>
    <w:rsid w:val="00D52872"/>
    <w:rsid w:val="00D5351E"/>
    <w:rsid w:val="00D53597"/>
    <w:rsid w:val="00D56E62"/>
    <w:rsid w:val="00D5713E"/>
    <w:rsid w:val="00D5C4AC"/>
    <w:rsid w:val="00D6026A"/>
    <w:rsid w:val="00D60EF1"/>
    <w:rsid w:val="00D60F1F"/>
    <w:rsid w:val="00D61C55"/>
    <w:rsid w:val="00D639D2"/>
    <w:rsid w:val="00D63C85"/>
    <w:rsid w:val="00D6428E"/>
    <w:rsid w:val="00D6457B"/>
    <w:rsid w:val="00D6687C"/>
    <w:rsid w:val="00D668FA"/>
    <w:rsid w:val="00D70AA0"/>
    <w:rsid w:val="00D71830"/>
    <w:rsid w:val="00D723CF"/>
    <w:rsid w:val="00D764D4"/>
    <w:rsid w:val="00D771DC"/>
    <w:rsid w:val="00D77750"/>
    <w:rsid w:val="00D807ED"/>
    <w:rsid w:val="00D818FC"/>
    <w:rsid w:val="00D8212E"/>
    <w:rsid w:val="00D82561"/>
    <w:rsid w:val="00D82782"/>
    <w:rsid w:val="00D828EC"/>
    <w:rsid w:val="00D82D43"/>
    <w:rsid w:val="00D861C0"/>
    <w:rsid w:val="00D86375"/>
    <w:rsid w:val="00D87599"/>
    <w:rsid w:val="00D910AD"/>
    <w:rsid w:val="00D93587"/>
    <w:rsid w:val="00D93DDB"/>
    <w:rsid w:val="00D94FCD"/>
    <w:rsid w:val="00D95614"/>
    <w:rsid w:val="00D959F5"/>
    <w:rsid w:val="00D97B64"/>
    <w:rsid w:val="00D97DE3"/>
    <w:rsid w:val="00DA07B1"/>
    <w:rsid w:val="00DA0AE0"/>
    <w:rsid w:val="00DA1067"/>
    <w:rsid w:val="00DA25B4"/>
    <w:rsid w:val="00DA430C"/>
    <w:rsid w:val="00DA4367"/>
    <w:rsid w:val="00DA4D6B"/>
    <w:rsid w:val="00DA5EBC"/>
    <w:rsid w:val="00DA6B70"/>
    <w:rsid w:val="00DA72AE"/>
    <w:rsid w:val="00DB0356"/>
    <w:rsid w:val="00DB1870"/>
    <w:rsid w:val="00DB1DB9"/>
    <w:rsid w:val="00DB3A30"/>
    <w:rsid w:val="00DB3AAA"/>
    <w:rsid w:val="00DB4BAB"/>
    <w:rsid w:val="00DB5610"/>
    <w:rsid w:val="00DB63AB"/>
    <w:rsid w:val="00DB6712"/>
    <w:rsid w:val="00DB7069"/>
    <w:rsid w:val="00DC068C"/>
    <w:rsid w:val="00DC0A12"/>
    <w:rsid w:val="00DC1153"/>
    <w:rsid w:val="00DC1671"/>
    <w:rsid w:val="00DC21B1"/>
    <w:rsid w:val="00DC22D9"/>
    <w:rsid w:val="00DC39BE"/>
    <w:rsid w:val="00DC3D6B"/>
    <w:rsid w:val="00DC415B"/>
    <w:rsid w:val="00DC46DC"/>
    <w:rsid w:val="00DC6030"/>
    <w:rsid w:val="00DC60AD"/>
    <w:rsid w:val="00DC6444"/>
    <w:rsid w:val="00DC74A0"/>
    <w:rsid w:val="00DC7885"/>
    <w:rsid w:val="00DD0DEC"/>
    <w:rsid w:val="00DD38FC"/>
    <w:rsid w:val="00DD56EE"/>
    <w:rsid w:val="00DE11A7"/>
    <w:rsid w:val="00DE2739"/>
    <w:rsid w:val="00DE2C62"/>
    <w:rsid w:val="00DE3A56"/>
    <w:rsid w:val="00DE3C34"/>
    <w:rsid w:val="00DE3F6F"/>
    <w:rsid w:val="00DE57FE"/>
    <w:rsid w:val="00DF0E39"/>
    <w:rsid w:val="00DF176C"/>
    <w:rsid w:val="00DF1EC0"/>
    <w:rsid w:val="00DF25DA"/>
    <w:rsid w:val="00DF31EB"/>
    <w:rsid w:val="00DF37D0"/>
    <w:rsid w:val="00DF37F6"/>
    <w:rsid w:val="00DF4C09"/>
    <w:rsid w:val="00DF5F5D"/>
    <w:rsid w:val="00E003D2"/>
    <w:rsid w:val="00E00452"/>
    <w:rsid w:val="00E05EEE"/>
    <w:rsid w:val="00E0646A"/>
    <w:rsid w:val="00E078EF"/>
    <w:rsid w:val="00E12169"/>
    <w:rsid w:val="00E12D0F"/>
    <w:rsid w:val="00E132D3"/>
    <w:rsid w:val="00E13393"/>
    <w:rsid w:val="00E14E6D"/>
    <w:rsid w:val="00E162BB"/>
    <w:rsid w:val="00E17342"/>
    <w:rsid w:val="00E1753B"/>
    <w:rsid w:val="00E17BB8"/>
    <w:rsid w:val="00E20172"/>
    <w:rsid w:val="00E20BE5"/>
    <w:rsid w:val="00E23316"/>
    <w:rsid w:val="00E239EB"/>
    <w:rsid w:val="00E24C63"/>
    <w:rsid w:val="00E25056"/>
    <w:rsid w:val="00E2611A"/>
    <w:rsid w:val="00E261D6"/>
    <w:rsid w:val="00E26CC8"/>
    <w:rsid w:val="00E27144"/>
    <w:rsid w:val="00E2748E"/>
    <w:rsid w:val="00E313F6"/>
    <w:rsid w:val="00E31804"/>
    <w:rsid w:val="00E31AE7"/>
    <w:rsid w:val="00E32226"/>
    <w:rsid w:val="00E34545"/>
    <w:rsid w:val="00E35668"/>
    <w:rsid w:val="00E35BD8"/>
    <w:rsid w:val="00E36961"/>
    <w:rsid w:val="00E40BFC"/>
    <w:rsid w:val="00E4345C"/>
    <w:rsid w:val="00E4413D"/>
    <w:rsid w:val="00E47C91"/>
    <w:rsid w:val="00E50111"/>
    <w:rsid w:val="00E505E2"/>
    <w:rsid w:val="00E519C8"/>
    <w:rsid w:val="00E51C71"/>
    <w:rsid w:val="00E52080"/>
    <w:rsid w:val="00E56B6F"/>
    <w:rsid w:val="00E5749C"/>
    <w:rsid w:val="00E57A05"/>
    <w:rsid w:val="00E57EF7"/>
    <w:rsid w:val="00E6102D"/>
    <w:rsid w:val="00E62DC1"/>
    <w:rsid w:val="00E630F6"/>
    <w:rsid w:val="00E64643"/>
    <w:rsid w:val="00E65423"/>
    <w:rsid w:val="00E65E29"/>
    <w:rsid w:val="00E67163"/>
    <w:rsid w:val="00E676B4"/>
    <w:rsid w:val="00E70205"/>
    <w:rsid w:val="00E7111C"/>
    <w:rsid w:val="00E7245C"/>
    <w:rsid w:val="00E73E9C"/>
    <w:rsid w:val="00E7480C"/>
    <w:rsid w:val="00E7527A"/>
    <w:rsid w:val="00E755DE"/>
    <w:rsid w:val="00E7602B"/>
    <w:rsid w:val="00E76A84"/>
    <w:rsid w:val="00E77A77"/>
    <w:rsid w:val="00E803FC"/>
    <w:rsid w:val="00E80EDF"/>
    <w:rsid w:val="00E80F1A"/>
    <w:rsid w:val="00E80FB1"/>
    <w:rsid w:val="00E8205D"/>
    <w:rsid w:val="00E83A6F"/>
    <w:rsid w:val="00E83C5A"/>
    <w:rsid w:val="00E851BA"/>
    <w:rsid w:val="00E9021C"/>
    <w:rsid w:val="00E902FE"/>
    <w:rsid w:val="00E90F77"/>
    <w:rsid w:val="00E91B57"/>
    <w:rsid w:val="00E91E17"/>
    <w:rsid w:val="00E92027"/>
    <w:rsid w:val="00E94523"/>
    <w:rsid w:val="00E9561B"/>
    <w:rsid w:val="00E958D3"/>
    <w:rsid w:val="00E961DA"/>
    <w:rsid w:val="00E96DE8"/>
    <w:rsid w:val="00E974D2"/>
    <w:rsid w:val="00E97DAB"/>
    <w:rsid w:val="00EA0D9D"/>
    <w:rsid w:val="00EA0E7D"/>
    <w:rsid w:val="00EA119C"/>
    <w:rsid w:val="00EA1FD5"/>
    <w:rsid w:val="00EA543E"/>
    <w:rsid w:val="00EA5464"/>
    <w:rsid w:val="00EA58DB"/>
    <w:rsid w:val="00EA5971"/>
    <w:rsid w:val="00EA66EA"/>
    <w:rsid w:val="00EA7A4F"/>
    <w:rsid w:val="00EB0432"/>
    <w:rsid w:val="00EB045F"/>
    <w:rsid w:val="00EB04F8"/>
    <w:rsid w:val="00EB0894"/>
    <w:rsid w:val="00EB1775"/>
    <w:rsid w:val="00EB4EE0"/>
    <w:rsid w:val="00EB5CD1"/>
    <w:rsid w:val="00EC15D5"/>
    <w:rsid w:val="00EC1E77"/>
    <w:rsid w:val="00EC20F8"/>
    <w:rsid w:val="00EC2253"/>
    <w:rsid w:val="00EC2BCE"/>
    <w:rsid w:val="00EC475C"/>
    <w:rsid w:val="00EC579E"/>
    <w:rsid w:val="00EC7602"/>
    <w:rsid w:val="00EC7AA6"/>
    <w:rsid w:val="00ED0382"/>
    <w:rsid w:val="00ED0631"/>
    <w:rsid w:val="00ED4989"/>
    <w:rsid w:val="00ED499B"/>
    <w:rsid w:val="00ED63FA"/>
    <w:rsid w:val="00ED726C"/>
    <w:rsid w:val="00EE26A7"/>
    <w:rsid w:val="00EE3004"/>
    <w:rsid w:val="00EE4723"/>
    <w:rsid w:val="00EE4CEB"/>
    <w:rsid w:val="00EE6D5B"/>
    <w:rsid w:val="00EF00F6"/>
    <w:rsid w:val="00EF2518"/>
    <w:rsid w:val="00EF2AF6"/>
    <w:rsid w:val="00EF33D5"/>
    <w:rsid w:val="00EF5104"/>
    <w:rsid w:val="00EF7267"/>
    <w:rsid w:val="00F01AC6"/>
    <w:rsid w:val="00F01E4F"/>
    <w:rsid w:val="00F02849"/>
    <w:rsid w:val="00F02C9F"/>
    <w:rsid w:val="00F0388C"/>
    <w:rsid w:val="00F04089"/>
    <w:rsid w:val="00F05D80"/>
    <w:rsid w:val="00F109EB"/>
    <w:rsid w:val="00F10CD4"/>
    <w:rsid w:val="00F11003"/>
    <w:rsid w:val="00F126CC"/>
    <w:rsid w:val="00F1374D"/>
    <w:rsid w:val="00F13CAB"/>
    <w:rsid w:val="00F13E17"/>
    <w:rsid w:val="00F154A0"/>
    <w:rsid w:val="00F17718"/>
    <w:rsid w:val="00F20AD4"/>
    <w:rsid w:val="00F21740"/>
    <w:rsid w:val="00F21FB5"/>
    <w:rsid w:val="00F25F7D"/>
    <w:rsid w:val="00F26117"/>
    <w:rsid w:val="00F261B7"/>
    <w:rsid w:val="00F2764B"/>
    <w:rsid w:val="00F301F1"/>
    <w:rsid w:val="00F334F6"/>
    <w:rsid w:val="00F33A8E"/>
    <w:rsid w:val="00F34BF1"/>
    <w:rsid w:val="00F35597"/>
    <w:rsid w:val="00F35C4A"/>
    <w:rsid w:val="00F3628B"/>
    <w:rsid w:val="00F3668C"/>
    <w:rsid w:val="00F36B11"/>
    <w:rsid w:val="00F37F4F"/>
    <w:rsid w:val="00F4086C"/>
    <w:rsid w:val="00F4103D"/>
    <w:rsid w:val="00F411E1"/>
    <w:rsid w:val="00F41647"/>
    <w:rsid w:val="00F4310F"/>
    <w:rsid w:val="00F43B57"/>
    <w:rsid w:val="00F43BE9"/>
    <w:rsid w:val="00F44681"/>
    <w:rsid w:val="00F4471B"/>
    <w:rsid w:val="00F44A52"/>
    <w:rsid w:val="00F457A4"/>
    <w:rsid w:val="00F46F6C"/>
    <w:rsid w:val="00F47325"/>
    <w:rsid w:val="00F47366"/>
    <w:rsid w:val="00F53622"/>
    <w:rsid w:val="00F55259"/>
    <w:rsid w:val="00F5656A"/>
    <w:rsid w:val="00F61A93"/>
    <w:rsid w:val="00F62335"/>
    <w:rsid w:val="00F63012"/>
    <w:rsid w:val="00F637BB"/>
    <w:rsid w:val="00F663C7"/>
    <w:rsid w:val="00F66B60"/>
    <w:rsid w:val="00F70B8E"/>
    <w:rsid w:val="00F7191D"/>
    <w:rsid w:val="00F73E95"/>
    <w:rsid w:val="00F76ACA"/>
    <w:rsid w:val="00F76ED1"/>
    <w:rsid w:val="00F77C79"/>
    <w:rsid w:val="00F80E04"/>
    <w:rsid w:val="00F836C3"/>
    <w:rsid w:val="00F83C37"/>
    <w:rsid w:val="00F84895"/>
    <w:rsid w:val="00F84D31"/>
    <w:rsid w:val="00F84F24"/>
    <w:rsid w:val="00F84F4E"/>
    <w:rsid w:val="00F867F7"/>
    <w:rsid w:val="00F87FB8"/>
    <w:rsid w:val="00F9089D"/>
    <w:rsid w:val="00F90A5F"/>
    <w:rsid w:val="00F92D15"/>
    <w:rsid w:val="00F93A20"/>
    <w:rsid w:val="00F93E65"/>
    <w:rsid w:val="00F97193"/>
    <w:rsid w:val="00F97875"/>
    <w:rsid w:val="00FA0C11"/>
    <w:rsid w:val="00FA114E"/>
    <w:rsid w:val="00FA44C7"/>
    <w:rsid w:val="00FB063F"/>
    <w:rsid w:val="00FB0CB4"/>
    <w:rsid w:val="00FB208B"/>
    <w:rsid w:val="00FB2932"/>
    <w:rsid w:val="00FB2B3E"/>
    <w:rsid w:val="00FB40FD"/>
    <w:rsid w:val="00FB4A6F"/>
    <w:rsid w:val="00FB6EF3"/>
    <w:rsid w:val="00FB7645"/>
    <w:rsid w:val="00FB7BCA"/>
    <w:rsid w:val="00FC1A53"/>
    <w:rsid w:val="00FC1C4F"/>
    <w:rsid w:val="00FC21D7"/>
    <w:rsid w:val="00FC2536"/>
    <w:rsid w:val="00FC4978"/>
    <w:rsid w:val="00FC5544"/>
    <w:rsid w:val="00FC636B"/>
    <w:rsid w:val="00FC74C6"/>
    <w:rsid w:val="00FC78D1"/>
    <w:rsid w:val="00FC7C67"/>
    <w:rsid w:val="00FC7CA9"/>
    <w:rsid w:val="00FD093E"/>
    <w:rsid w:val="00FD0954"/>
    <w:rsid w:val="00FD1947"/>
    <w:rsid w:val="00FD212D"/>
    <w:rsid w:val="00FD2DE9"/>
    <w:rsid w:val="00FD46A9"/>
    <w:rsid w:val="00FD4E43"/>
    <w:rsid w:val="00FD5006"/>
    <w:rsid w:val="00FD507F"/>
    <w:rsid w:val="00FD5AF4"/>
    <w:rsid w:val="00FD62A1"/>
    <w:rsid w:val="00FD7D44"/>
    <w:rsid w:val="00FE04EF"/>
    <w:rsid w:val="00FE109B"/>
    <w:rsid w:val="00FE1769"/>
    <w:rsid w:val="00FE2082"/>
    <w:rsid w:val="00FE2D32"/>
    <w:rsid w:val="00FE4057"/>
    <w:rsid w:val="00FE50A1"/>
    <w:rsid w:val="00FE5D2C"/>
    <w:rsid w:val="00FE655B"/>
    <w:rsid w:val="00FE66DD"/>
    <w:rsid w:val="00FF00D9"/>
    <w:rsid w:val="00FF14B1"/>
    <w:rsid w:val="00FF191D"/>
    <w:rsid w:val="00FF1E19"/>
    <w:rsid w:val="00FF3E4D"/>
    <w:rsid w:val="00FF4752"/>
    <w:rsid w:val="00FF5474"/>
    <w:rsid w:val="00FF5E20"/>
    <w:rsid w:val="00FF77BC"/>
    <w:rsid w:val="00FF7935"/>
    <w:rsid w:val="011308D8"/>
    <w:rsid w:val="01357322"/>
    <w:rsid w:val="0144EAA5"/>
    <w:rsid w:val="0147B99C"/>
    <w:rsid w:val="015E7819"/>
    <w:rsid w:val="0161F8E6"/>
    <w:rsid w:val="0173703D"/>
    <w:rsid w:val="0179FCC1"/>
    <w:rsid w:val="01E29A8C"/>
    <w:rsid w:val="01EFF4B6"/>
    <w:rsid w:val="01F7F8AB"/>
    <w:rsid w:val="02194368"/>
    <w:rsid w:val="02656032"/>
    <w:rsid w:val="02BEDC37"/>
    <w:rsid w:val="02C05120"/>
    <w:rsid w:val="02FD6ECB"/>
    <w:rsid w:val="03101A06"/>
    <w:rsid w:val="031934F4"/>
    <w:rsid w:val="0331B388"/>
    <w:rsid w:val="034586F7"/>
    <w:rsid w:val="034C528E"/>
    <w:rsid w:val="0398A919"/>
    <w:rsid w:val="03B262CA"/>
    <w:rsid w:val="03CF7C94"/>
    <w:rsid w:val="03E951B4"/>
    <w:rsid w:val="04001F85"/>
    <w:rsid w:val="046DED2B"/>
    <w:rsid w:val="04FC2025"/>
    <w:rsid w:val="05493575"/>
    <w:rsid w:val="058BA002"/>
    <w:rsid w:val="05939A3B"/>
    <w:rsid w:val="05AA7D3E"/>
    <w:rsid w:val="05D77F7C"/>
    <w:rsid w:val="05DAE382"/>
    <w:rsid w:val="05DF76F6"/>
    <w:rsid w:val="05EE176E"/>
    <w:rsid w:val="06009A0A"/>
    <w:rsid w:val="060A6B8A"/>
    <w:rsid w:val="062C1D28"/>
    <w:rsid w:val="0635DAB3"/>
    <w:rsid w:val="0686F0FD"/>
    <w:rsid w:val="069DA440"/>
    <w:rsid w:val="06CF5178"/>
    <w:rsid w:val="06CFDEFB"/>
    <w:rsid w:val="073FEF96"/>
    <w:rsid w:val="0766525B"/>
    <w:rsid w:val="0779DF66"/>
    <w:rsid w:val="07A77A55"/>
    <w:rsid w:val="08186BD5"/>
    <w:rsid w:val="0836575B"/>
    <w:rsid w:val="08A17045"/>
    <w:rsid w:val="08B066DC"/>
    <w:rsid w:val="08CB57C5"/>
    <w:rsid w:val="0937C547"/>
    <w:rsid w:val="09439478"/>
    <w:rsid w:val="097DECFE"/>
    <w:rsid w:val="09A136F1"/>
    <w:rsid w:val="09FF5C9C"/>
    <w:rsid w:val="0A0D25E6"/>
    <w:rsid w:val="0A2C8549"/>
    <w:rsid w:val="0A360B95"/>
    <w:rsid w:val="0A419487"/>
    <w:rsid w:val="0A442F2E"/>
    <w:rsid w:val="0A50CCDF"/>
    <w:rsid w:val="0A53146F"/>
    <w:rsid w:val="0A5C27CB"/>
    <w:rsid w:val="0A6EC279"/>
    <w:rsid w:val="0A74A650"/>
    <w:rsid w:val="0AC159F6"/>
    <w:rsid w:val="0B0F3A71"/>
    <w:rsid w:val="0B687D3A"/>
    <w:rsid w:val="0BC812D8"/>
    <w:rsid w:val="0C14ABF3"/>
    <w:rsid w:val="0C7E7E3A"/>
    <w:rsid w:val="0CC68645"/>
    <w:rsid w:val="0CC8FD48"/>
    <w:rsid w:val="0D17B718"/>
    <w:rsid w:val="0D1D7E14"/>
    <w:rsid w:val="0D389494"/>
    <w:rsid w:val="0D8B44F7"/>
    <w:rsid w:val="0D97E30B"/>
    <w:rsid w:val="0DA37D93"/>
    <w:rsid w:val="0DD582B3"/>
    <w:rsid w:val="0E7603C1"/>
    <w:rsid w:val="0E8194E8"/>
    <w:rsid w:val="0EB58945"/>
    <w:rsid w:val="0F3540B2"/>
    <w:rsid w:val="0F56B196"/>
    <w:rsid w:val="0F7BEB2D"/>
    <w:rsid w:val="101AEC2B"/>
    <w:rsid w:val="103A7FF3"/>
    <w:rsid w:val="1057D16F"/>
    <w:rsid w:val="106D799B"/>
    <w:rsid w:val="10A668A7"/>
    <w:rsid w:val="10B092CC"/>
    <w:rsid w:val="10DCC423"/>
    <w:rsid w:val="10E94505"/>
    <w:rsid w:val="111BE072"/>
    <w:rsid w:val="112A481F"/>
    <w:rsid w:val="11327136"/>
    <w:rsid w:val="116450FE"/>
    <w:rsid w:val="11FCF372"/>
    <w:rsid w:val="1260B794"/>
    <w:rsid w:val="1265C551"/>
    <w:rsid w:val="1274AE1E"/>
    <w:rsid w:val="12F682CC"/>
    <w:rsid w:val="1323E59D"/>
    <w:rsid w:val="132A4BBF"/>
    <w:rsid w:val="13620C53"/>
    <w:rsid w:val="1375F8D0"/>
    <w:rsid w:val="13771F86"/>
    <w:rsid w:val="138D5510"/>
    <w:rsid w:val="13B13F85"/>
    <w:rsid w:val="13B2C829"/>
    <w:rsid w:val="145FBDD2"/>
    <w:rsid w:val="1461F45B"/>
    <w:rsid w:val="148B9A24"/>
    <w:rsid w:val="149E2320"/>
    <w:rsid w:val="14AA0892"/>
    <w:rsid w:val="14B1CC4B"/>
    <w:rsid w:val="14E6807B"/>
    <w:rsid w:val="153162F2"/>
    <w:rsid w:val="154C6003"/>
    <w:rsid w:val="154E1708"/>
    <w:rsid w:val="15640146"/>
    <w:rsid w:val="156B62CE"/>
    <w:rsid w:val="157F19CE"/>
    <w:rsid w:val="158C12D2"/>
    <w:rsid w:val="15990B52"/>
    <w:rsid w:val="15EB08DF"/>
    <w:rsid w:val="15F185ED"/>
    <w:rsid w:val="160B0681"/>
    <w:rsid w:val="160C1370"/>
    <w:rsid w:val="16434E67"/>
    <w:rsid w:val="167A47FF"/>
    <w:rsid w:val="167CDBC2"/>
    <w:rsid w:val="16892054"/>
    <w:rsid w:val="16A43414"/>
    <w:rsid w:val="16B17FEE"/>
    <w:rsid w:val="16B3D4E3"/>
    <w:rsid w:val="17252604"/>
    <w:rsid w:val="1748C9A4"/>
    <w:rsid w:val="176462D2"/>
    <w:rsid w:val="176C5F9F"/>
    <w:rsid w:val="1793CB0B"/>
    <w:rsid w:val="17C7E8E6"/>
    <w:rsid w:val="17FFDABA"/>
    <w:rsid w:val="18288052"/>
    <w:rsid w:val="185DB66C"/>
    <w:rsid w:val="18FFD87F"/>
    <w:rsid w:val="1902A02F"/>
    <w:rsid w:val="194F0513"/>
    <w:rsid w:val="1955A282"/>
    <w:rsid w:val="195EDE29"/>
    <w:rsid w:val="19678BBA"/>
    <w:rsid w:val="196A3622"/>
    <w:rsid w:val="19BFA181"/>
    <w:rsid w:val="19C829BA"/>
    <w:rsid w:val="1A00ADF5"/>
    <w:rsid w:val="1A672169"/>
    <w:rsid w:val="1AE14ED5"/>
    <w:rsid w:val="1B24A561"/>
    <w:rsid w:val="1B506C15"/>
    <w:rsid w:val="1B5100A9"/>
    <w:rsid w:val="1B562AF0"/>
    <w:rsid w:val="1B5AE16B"/>
    <w:rsid w:val="1BD3A17E"/>
    <w:rsid w:val="1BD55EE1"/>
    <w:rsid w:val="1BFDB416"/>
    <w:rsid w:val="1C2081FE"/>
    <w:rsid w:val="1C3E45D9"/>
    <w:rsid w:val="1C5351C5"/>
    <w:rsid w:val="1C81EF30"/>
    <w:rsid w:val="1CE30412"/>
    <w:rsid w:val="1CE45786"/>
    <w:rsid w:val="1D0D3690"/>
    <w:rsid w:val="1D1055AC"/>
    <w:rsid w:val="1D3E79E1"/>
    <w:rsid w:val="1D3F0334"/>
    <w:rsid w:val="1D3FD96E"/>
    <w:rsid w:val="1D8530BD"/>
    <w:rsid w:val="1D910557"/>
    <w:rsid w:val="1E1C87DA"/>
    <w:rsid w:val="1E1D7437"/>
    <w:rsid w:val="1E2F02E7"/>
    <w:rsid w:val="1E67F0BA"/>
    <w:rsid w:val="1E6AA0F0"/>
    <w:rsid w:val="1E6E0C1B"/>
    <w:rsid w:val="1EACA448"/>
    <w:rsid w:val="1EC24E1D"/>
    <w:rsid w:val="1EFAD78A"/>
    <w:rsid w:val="1FBD5F3E"/>
    <w:rsid w:val="1FBF73D7"/>
    <w:rsid w:val="1FCAB8CE"/>
    <w:rsid w:val="200516F4"/>
    <w:rsid w:val="2052E007"/>
    <w:rsid w:val="20E35197"/>
    <w:rsid w:val="20FA3B64"/>
    <w:rsid w:val="21525C43"/>
    <w:rsid w:val="215D9D4B"/>
    <w:rsid w:val="216C65BF"/>
    <w:rsid w:val="21917CAE"/>
    <w:rsid w:val="21A53886"/>
    <w:rsid w:val="21CCCD1A"/>
    <w:rsid w:val="2200A49F"/>
    <w:rsid w:val="222FE961"/>
    <w:rsid w:val="22372A3A"/>
    <w:rsid w:val="2240B2B4"/>
    <w:rsid w:val="22558D2D"/>
    <w:rsid w:val="227826F2"/>
    <w:rsid w:val="2296E0B4"/>
    <w:rsid w:val="22D11709"/>
    <w:rsid w:val="2340E322"/>
    <w:rsid w:val="234CE18F"/>
    <w:rsid w:val="23B01239"/>
    <w:rsid w:val="23BFC6FD"/>
    <w:rsid w:val="23C5833F"/>
    <w:rsid w:val="241DABFE"/>
    <w:rsid w:val="2429A172"/>
    <w:rsid w:val="243CE042"/>
    <w:rsid w:val="24484CA2"/>
    <w:rsid w:val="24897025"/>
    <w:rsid w:val="24BE9F11"/>
    <w:rsid w:val="24D49F45"/>
    <w:rsid w:val="24F8ABB1"/>
    <w:rsid w:val="24F8E44B"/>
    <w:rsid w:val="250C63F8"/>
    <w:rsid w:val="25140EE4"/>
    <w:rsid w:val="254429DE"/>
    <w:rsid w:val="2545D21F"/>
    <w:rsid w:val="2552429A"/>
    <w:rsid w:val="264A7DC4"/>
    <w:rsid w:val="2696C238"/>
    <w:rsid w:val="269A177B"/>
    <w:rsid w:val="27079187"/>
    <w:rsid w:val="270CA30B"/>
    <w:rsid w:val="2758A273"/>
    <w:rsid w:val="275A28DA"/>
    <w:rsid w:val="27678047"/>
    <w:rsid w:val="278DA6E6"/>
    <w:rsid w:val="27939F68"/>
    <w:rsid w:val="27B25963"/>
    <w:rsid w:val="27C285D0"/>
    <w:rsid w:val="27C8598D"/>
    <w:rsid w:val="28CCEE37"/>
    <w:rsid w:val="28D1E860"/>
    <w:rsid w:val="2912ED31"/>
    <w:rsid w:val="2946578B"/>
    <w:rsid w:val="295376F8"/>
    <w:rsid w:val="295389E8"/>
    <w:rsid w:val="2995B234"/>
    <w:rsid w:val="299842E3"/>
    <w:rsid w:val="29A05E22"/>
    <w:rsid w:val="29B6605D"/>
    <w:rsid w:val="29C1086E"/>
    <w:rsid w:val="29E4E116"/>
    <w:rsid w:val="2A95A7F9"/>
    <w:rsid w:val="2AB4F310"/>
    <w:rsid w:val="2ABD8968"/>
    <w:rsid w:val="2AD6738F"/>
    <w:rsid w:val="2AF00BB1"/>
    <w:rsid w:val="2AF49388"/>
    <w:rsid w:val="2B38F55A"/>
    <w:rsid w:val="2B472FC1"/>
    <w:rsid w:val="2B5CADF5"/>
    <w:rsid w:val="2C4A9524"/>
    <w:rsid w:val="2C59B876"/>
    <w:rsid w:val="2C82E7E5"/>
    <w:rsid w:val="2C9CCCDD"/>
    <w:rsid w:val="2C9F55D5"/>
    <w:rsid w:val="2CC5B70F"/>
    <w:rsid w:val="2D1D0E5C"/>
    <w:rsid w:val="2D6BB1AA"/>
    <w:rsid w:val="2DE1238E"/>
    <w:rsid w:val="2DE6822B"/>
    <w:rsid w:val="2E0DE378"/>
    <w:rsid w:val="2E19A2D8"/>
    <w:rsid w:val="2E4E12FA"/>
    <w:rsid w:val="2E563251"/>
    <w:rsid w:val="2ECD08FC"/>
    <w:rsid w:val="2EDA9662"/>
    <w:rsid w:val="2EF9816B"/>
    <w:rsid w:val="2F02C9D0"/>
    <w:rsid w:val="2F5ECC10"/>
    <w:rsid w:val="2F69DE97"/>
    <w:rsid w:val="2F6B9D3F"/>
    <w:rsid w:val="2FA9C025"/>
    <w:rsid w:val="3035E162"/>
    <w:rsid w:val="3039791E"/>
    <w:rsid w:val="30A600CE"/>
    <w:rsid w:val="30AC758C"/>
    <w:rsid w:val="30E40493"/>
    <w:rsid w:val="30E66C42"/>
    <w:rsid w:val="312C0889"/>
    <w:rsid w:val="31358CF9"/>
    <w:rsid w:val="31444DF1"/>
    <w:rsid w:val="315B03DC"/>
    <w:rsid w:val="31AE92C3"/>
    <w:rsid w:val="31AF35EE"/>
    <w:rsid w:val="31C8A4FC"/>
    <w:rsid w:val="325D1854"/>
    <w:rsid w:val="327683A7"/>
    <w:rsid w:val="329D390D"/>
    <w:rsid w:val="329E2E45"/>
    <w:rsid w:val="33132298"/>
    <w:rsid w:val="3315E53E"/>
    <w:rsid w:val="331747B2"/>
    <w:rsid w:val="33192CC2"/>
    <w:rsid w:val="334FA158"/>
    <w:rsid w:val="337C2480"/>
    <w:rsid w:val="3386755D"/>
    <w:rsid w:val="33A25AEF"/>
    <w:rsid w:val="33F4107E"/>
    <w:rsid w:val="3408B8A0"/>
    <w:rsid w:val="3443E27C"/>
    <w:rsid w:val="345283CB"/>
    <w:rsid w:val="3467DDBC"/>
    <w:rsid w:val="3493F815"/>
    <w:rsid w:val="35296EE5"/>
    <w:rsid w:val="354CF88C"/>
    <w:rsid w:val="3559D86F"/>
    <w:rsid w:val="35C7D1B0"/>
    <w:rsid w:val="35EE6EA1"/>
    <w:rsid w:val="360FA70F"/>
    <w:rsid w:val="363530DE"/>
    <w:rsid w:val="363E09C7"/>
    <w:rsid w:val="36921EFF"/>
    <w:rsid w:val="375247F6"/>
    <w:rsid w:val="37AC7976"/>
    <w:rsid w:val="37E5CB3F"/>
    <w:rsid w:val="37F78D6B"/>
    <w:rsid w:val="3804B2A6"/>
    <w:rsid w:val="3837F860"/>
    <w:rsid w:val="38721FFD"/>
    <w:rsid w:val="38958ED9"/>
    <w:rsid w:val="38A137CB"/>
    <w:rsid w:val="38D8A206"/>
    <w:rsid w:val="39069C97"/>
    <w:rsid w:val="39288E8C"/>
    <w:rsid w:val="394F4121"/>
    <w:rsid w:val="39A19148"/>
    <w:rsid w:val="39AA87CA"/>
    <w:rsid w:val="3A51AF87"/>
    <w:rsid w:val="3A9C5B48"/>
    <w:rsid w:val="3AAD2EA4"/>
    <w:rsid w:val="3AC4AC30"/>
    <w:rsid w:val="3AC6AAE9"/>
    <w:rsid w:val="3B53F8B8"/>
    <w:rsid w:val="3B94FDF0"/>
    <w:rsid w:val="3BC5B63B"/>
    <w:rsid w:val="3BD7B57D"/>
    <w:rsid w:val="3BDE667E"/>
    <w:rsid w:val="3C188544"/>
    <w:rsid w:val="3C30B117"/>
    <w:rsid w:val="3C32A708"/>
    <w:rsid w:val="3C627EFA"/>
    <w:rsid w:val="3C6A6F35"/>
    <w:rsid w:val="3C8DC9FA"/>
    <w:rsid w:val="3C927D6D"/>
    <w:rsid w:val="3CBF51CE"/>
    <w:rsid w:val="3CCC0F19"/>
    <w:rsid w:val="3CD1196C"/>
    <w:rsid w:val="3D014910"/>
    <w:rsid w:val="3D264CF8"/>
    <w:rsid w:val="3D2F21E3"/>
    <w:rsid w:val="3D576507"/>
    <w:rsid w:val="3E298A43"/>
    <w:rsid w:val="3E526423"/>
    <w:rsid w:val="3E6E6659"/>
    <w:rsid w:val="3E9663CD"/>
    <w:rsid w:val="3EBF0B31"/>
    <w:rsid w:val="3ECEDFA5"/>
    <w:rsid w:val="3ED0D36E"/>
    <w:rsid w:val="3ED800BD"/>
    <w:rsid w:val="3F34DA7D"/>
    <w:rsid w:val="3F862CA1"/>
    <w:rsid w:val="3FAC2D59"/>
    <w:rsid w:val="3FBB4699"/>
    <w:rsid w:val="3FCA4D3B"/>
    <w:rsid w:val="3FCF3379"/>
    <w:rsid w:val="3FD77B80"/>
    <w:rsid w:val="40212C5B"/>
    <w:rsid w:val="405DD0EA"/>
    <w:rsid w:val="410118FB"/>
    <w:rsid w:val="41561F18"/>
    <w:rsid w:val="4170E584"/>
    <w:rsid w:val="41B41700"/>
    <w:rsid w:val="41FA0F94"/>
    <w:rsid w:val="426BEA43"/>
    <w:rsid w:val="42BD664E"/>
    <w:rsid w:val="42DEB91D"/>
    <w:rsid w:val="42F90A6E"/>
    <w:rsid w:val="4302528E"/>
    <w:rsid w:val="4317F56E"/>
    <w:rsid w:val="43186B84"/>
    <w:rsid w:val="431A6203"/>
    <w:rsid w:val="432154E5"/>
    <w:rsid w:val="432AB88C"/>
    <w:rsid w:val="435637A0"/>
    <w:rsid w:val="43675C91"/>
    <w:rsid w:val="437FB5C6"/>
    <w:rsid w:val="4384A4FF"/>
    <w:rsid w:val="43CDA551"/>
    <w:rsid w:val="4400F285"/>
    <w:rsid w:val="441A12E3"/>
    <w:rsid w:val="445D9FA0"/>
    <w:rsid w:val="44CEC20B"/>
    <w:rsid w:val="45073FE9"/>
    <w:rsid w:val="452758F2"/>
    <w:rsid w:val="4535518D"/>
    <w:rsid w:val="45EDEE79"/>
    <w:rsid w:val="45F1386D"/>
    <w:rsid w:val="460DEE76"/>
    <w:rsid w:val="461E50A7"/>
    <w:rsid w:val="461EB0D9"/>
    <w:rsid w:val="462085BB"/>
    <w:rsid w:val="4623AB1F"/>
    <w:rsid w:val="462DD8E4"/>
    <w:rsid w:val="46497D84"/>
    <w:rsid w:val="468B2055"/>
    <w:rsid w:val="469662B0"/>
    <w:rsid w:val="46BD90AD"/>
    <w:rsid w:val="46C5BCD6"/>
    <w:rsid w:val="46DAD814"/>
    <w:rsid w:val="46E3128B"/>
    <w:rsid w:val="4706D58B"/>
    <w:rsid w:val="475979D7"/>
    <w:rsid w:val="479B4A02"/>
    <w:rsid w:val="479FBC49"/>
    <w:rsid w:val="47AA6239"/>
    <w:rsid w:val="47FB4BAA"/>
    <w:rsid w:val="480CADB5"/>
    <w:rsid w:val="481CD828"/>
    <w:rsid w:val="485C2EF3"/>
    <w:rsid w:val="48806032"/>
    <w:rsid w:val="48BB356F"/>
    <w:rsid w:val="4949C0D3"/>
    <w:rsid w:val="496AE3FB"/>
    <w:rsid w:val="49B2D286"/>
    <w:rsid w:val="49B77657"/>
    <w:rsid w:val="49F7BC77"/>
    <w:rsid w:val="4A02F053"/>
    <w:rsid w:val="4A0BDA55"/>
    <w:rsid w:val="4A0CC5E4"/>
    <w:rsid w:val="4A3CA3AE"/>
    <w:rsid w:val="4A47A8DB"/>
    <w:rsid w:val="4A6D08BE"/>
    <w:rsid w:val="4AE18CD2"/>
    <w:rsid w:val="4B42E5DC"/>
    <w:rsid w:val="4B634757"/>
    <w:rsid w:val="4B77EA1D"/>
    <w:rsid w:val="4B837550"/>
    <w:rsid w:val="4B954A9C"/>
    <w:rsid w:val="4BE7E8BD"/>
    <w:rsid w:val="4C1EF7B8"/>
    <w:rsid w:val="4C4A6D37"/>
    <w:rsid w:val="4C4B6A79"/>
    <w:rsid w:val="4CA0E3CB"/>
    <w:rsid w:val="4CAF629D"/>
    <w:rsid w:val="4CB0B283"/>
    <w:rsid w:val="4CB88BF6"/>
    <w:rsid w:val="4CBAB8E1"/>
    <w:rsid w:val="4CCEC0A4"/>
    <w:rsid w:val="4CFC932C"/>
    <w:rsid w:val="4D52201C"/>
    <w:rsid w:val="4DFB9864"/>
    <w:rsid w:val="4E1AC4FB"/>
    <w:rsid w:val="4E2D064C"/>
    <w:rsid w:val="4E3C0CB8"/>
    <w:rsid w:val="4E6F533D"/>
    <w:rsid w:val="4EA045E6"/>
    <w:rsid w:val="4EAA09AE"/>
    <w:rsid w:val="4F005F7B"/>
    <w:rsid w:val="4F154EE7"/>
    <w:rsid w:val="4F338628"/>
    <w:rsid w:val="4F339465"/>
    <w:rsid w:val="4F5D439F"/>
    <w:rsid w:val="4F67B1E7"/>
    <w:rsid w:val="4F68F2A8"/>
    <w:rsid w:val="4F806B72"/>
    <w:rsid w:val="4FC2CAD0"/>
    <w:rsid w:val="4FE4BD49"/>
    <w:rsid w:val="4FF4B6B1"/>
    <w:rsid w:val="50026CCD"/>
    <w:rsid w:val="5031D7ED"/>
    <w:rsid w:val="507F08F0"/>
    <w:rsid w:val="50868F18"/>
    <w:rsid w:val="508E80A6"/>
    <w:rsid w:val="509DFA26"/>
    <w:rsid w:val="50A35203"/>
    <w:rsid w:val="50C17DA2"/>
    <w:rsid w:val="50C80F9F"/>
    <w:rsid w:val="50E36F3E"/>
    <w:rsid w:val="510279DA"/>
    <w:rsid w:val="51450808"/>
    <w:rsid w:val="51FF98D5"/>
    <w:rsid w:val="521C549E"/>
    <w:rsid w:val="5248C671"/>
    <w:rsid w:val="526A8E92"/>
    <w:rsid w:val="52C0AB69"/>
    <w:rsid w:val="52DA8B1F"/>
    <w:rsid w:val="52E60500"/>
    <w:rsid w:val="532D8823"/>
    <w:rsid w:val="53368DE7"/>
    <w:rsid w:val="53542C86"/>
    <w:rsid w:val="53596700"/>
    <w:rsid w:val="536FCBBB"/>
    <w:rsid w:val="53AE6A78"/>
    <w:rsid w:val="53B29BF4"/>
    <w:rsid w:val="53BDEA0D"/>
    <w:rsid w:val="54173B77"/>
    <w:rsid w:val="54416D40"/>
    <w:rsid w:val="54E8E1E4"/>
    <w:rsid w:val="553CBC5B"/>
    <w:rsid w:val="55657A78"/>
    <w:rsid w:val="556CEA9E"/>
    <w:rsid w:val="5581ED74"/>
    <w:rsid w:val="55CE7DE7"/>
    <w:rsid w:val="55EA0F99"/>
    <w:rsid w:val="55F99C91"/>
    <w:rsid w:val="5608B481"/>
    <w:rsid w:val="56093A26"/>
    <w:rsid w:val="5630A556"/>
    <w:rsid w:val="565D56E1"/>
    <w:rsid w:val="567C11DF"/>
    <w:rsid w:val="5699D6D1"/>
    <w:rsid w:val="569CB270"/>
    <w:rsid w:val="571B41D2"/>
    <w:rsid w:val="5728897B"/>
    <w:rsid w:val="57692C84"/>
    <w:rsid w:val="57748C0E"/>
    <w:rsid w:val="57BA2A43"/>
    <w:rsid w:val="57BDB54A"/>
    <w:rsid w:val="5848F950"/>
    <w:rsid w:val="585B90B4"/>
    <w:rsid w:val="58917619"/>
    <w:rsid w:val="5899A389"/>
    <w:rsid w:val="589C0491"/>
    <w:rsid w:val="58BBBDD3"/>
    <w:rsid w:val="590C622A"/>
    <w:rsid w:val="592DCF89"/>
    <w:rsid w:val="596468B1"/>
    <w:rsid w:val="59C4C58C"/>
    <w:rsid w:val="5A1334A3"/>
    <w:rsid w:val="5A3EC68A"/>
    <w:rsid w:val="5A4EC4E8"/>
    <w:rsid w:val="5A6DA2D7"/>
    <w:rsid w:val="5A761495"/>
    <w:rsid w:val="5A89409F"/>
    <w:rsid w:val="5AAB8058"/>
    <w:rsid w:val="5AEFA02A"/>
    <w:rsid w:val="5B1A1BAC"/>
    <w:rsid w:val="5B201A99"/>
    <w:rsid w:val="5B26F801"/>
    <w:rsid w:val="5B537066"/>
    <w:rsid w:val="5B6623E3"/>
    <w:rsid w:val="5BB7366E"/>
    <w:rsid w:val="5BC971D6"/>
    <w:rsid w:val="5BE2761E"/>
    <w:rsid w:val="5C17F0E0"/>
    <w:rsid w:val="5C7DBEE9"/>
    <w:rsid w:val="5C7F9C23"/>
    <w:rsid w:val="5C9C0208"/>
    <w:rsid w:val="5CA995EE"/>
    <w:rsid w:val="5CC829B9"/>
    <w:rsid w:val="5CCB6AAB"/>
    <w:rsid w:val="5D144473"/>
    <w:rsid w:val="5D6963F6"/>
    <w:rsid w:val="5D88BAF4"/>
    <w:rsid w:val="5D9BCFE7"/>
    <w:rsid w:val="5DC7B8DA"/>
    <w:rsid w:val="5DF1CF45"/>
    <w:rsid w:val="5E14709D"/>
    <w:rsid w:val="5E1BD72A"/>
    <w:rsid w:val="5E32B80A"/>
    <w:rsid w:val="5EC510C6"/>
    <w:rsid w:val="5EE5CE42"/>
    <w:rsid w:val="5EEFF8C4"/>
    <w:rsid w:val="5F234DBB"/>
    <w:rsid w:val="5F8649A4"/>
    <w:rsid w:val="5F9CD34A"/>
    <w:rsid w:val="5FD09558"/>
    <w:rsid w:val="5FF8611A"/>
    <w:rsid w:val="6024FA11"/>
    <w:rsid w:val="6037F8E6"/>
    <w:rsid w:val="606C2AC4"/>
    <w:rsid w:val="608D935E"/>
    <w:rsid w:val="60E150FB"/>
    <w:rsid w:val="61AC940B"/>
    <w:rsid w:val="61CD7D05"/>
    <w:rsid w:val="62182517"/>
    <w:rsid w:val="621FCB20"/>
    <w:rsid w:val="62646D42"/>
    <w:rsid w:val="628A6149"/>
    <w:rsid w:val="62B7E934"/>
    <w:rsid w:val="62C771C9"/>
    <w:rsid w:val="62F571C9"/>
    <w:rsid w:val="633184E6"/>
    <w:rsid w:val="634DFE67"/>
    <w:rsid w:val="635DF7E1"/>
    <w:rsid w:val="6399E489"/>
    <w:rsid w:val="639E16CB"/>
    <w:rsid w:val="63D27CF2"/>
    <w:rsid w:val="641498E7"/>
    <w:rsid w:val="6426B447"/>
    <w:rsid w:val="64378072"/>
    <w:rsid w:val="647064EB"/>
    <w:rsid w:val="648CC9ED"/>
    <w:rsid w:val="65525B2B"/>
    <w:rsid w:val="655B0F2E"/>
    <w:rsid w:val="6566F1D9"/>
    <w:rsid w:val="656F4F8F"/>
    <w:rsid w:val="657BBF63"/>
    <w:rsid w:val="65B06948"/>
    <w:rsid w:val="65B786CC"/>
    <w:rsid w:val="65C67156"/>
    <w:rsid w:val="65E76A11"/>
    <w:rsid w:val="65F81C54"/>
    <w:rsid w:val="662E2A71"/>
    <w:rsid w:val="6637222E"/>
    <w:rsid w:val="66558B54"/>
    <w:rsid w:val="666BE424"/>
    <w:rsid w:val="66D9EDF4"/>
    <w:rsid w:val="67196A66"/>
    <w:rsid w:val="67351361"/>
    <w:rsid w:val="67361E0B"/>
    <w:rsid w:val="674424E8"/>
    <w:rsid w:val="6754B6F1"/>
    <w:rsid w:val="6782EB9D"/>
    <w:rsid w:val="67B817E8"/>
    <w:rsid w:val="67CC39E3"/>
    <w:rsid w:val="67EAAA4F"/>
    <w:rsid w:val="68521B09"/>
    <w:rsid w:val="6862BDAE"/>
    <w:rsid w:val="688B62AA"/>
    <w:rsid w:val="68B3A18A"/>
    <w:rsid w:val="68C4A4F3"/>
    <w:rsid w:val="68D8AACB"/>
    <w:rsid w:val="68E3670A"/>
    <w:rsid w:val="68F20778"/>
    <w:rsid w:val="69308B12"/>
    <w:rsid w:val="6932A649"/>
    <w:rsid w:val="696214FE"/>
    <w:rsid w:val="6979762D"/>
    <w:rsid w:val="698D79ED"/>
    <w:rsid w:val="69B4AF90"/>
    <w:rsid w:val="69C70A9B"/>
    <w:rsid w:val="6A0413D3"/>
    <w:rsid w:val="6A1718B7"/>
    <w:rsid w:val="6A977F52"/>
    <w:rsid w:val="6ADE3331"/>
    <w:rsid w:val="6B7962CB"/>
    <w:rsid w:val="6C3AAEC1"/>
    <w:rsid w:val="6C41E7C4"/>
    <w:rsid w:val="6C64A931"/>
    <w:rsid w:val="6C8F6A84"/>
    <w:rsid w:val="6CD6DC71"/>
    <w:rsid w:val="6D1660D8"/>
    <w:rsid w:val="6D49B1AD"/>
    <w:rsid w:val="6D4FD555"/>
    <w:rsid w:val="6D66A5E6"/>
    <w:rsid w:val="6D972691"/>
    <w:rsid w:val="6DF4C500"/>
    <w:rsid w:val="6E2D0317"/>
    <w:rsid w:val="6EAD6499"/>
    <w:rsid w:val="6EBD31A3"/>
    <w:rsid w:val="6ED3A5FF"/>
    <w:rsid w:val="6F689C93"/>
    <w:rsid w:val="6FB20FFC"/>
    <w:rsid w:val="6FD174E7"/>
    <w:rsid w:val="6FF965EB"/>
    <w:rsid w:val="7006EDF2"/>
    <w:rsid w:val="701BBDB7"/>
    <w:rsid w:val="70613AA5"/>
    <w:rsid w:val="70863511"/>
    <w:rsid w:val="70E59211"/>
    <w:rsid w:val="70ED25CD"/>
    <w:rsid w:val="70F2F76D"/>
    <w:rsid w:val="710D5776"/>
    <w:rsid w:val="711EB4E8"/>
    <w:rsid w:val="7148DCC3"/>
    <w:rsid w:val="71586507"/>
    <w:rsid w:val="718756F0"/>
    <w:rsid w:val="71961489"/>
    <w:rsid w:val="7231CD38"/>
    <w:rsid w:val="724CD557"/>
    <w:rsid w:val="7256F2A6"/>
    <w:rsid w:val="72A55191"/>
    <w:rsid w:val="72AC0863"/>
    <w:rsid w:val="73013D7A"/>
    <w:rsid w:val="731A8E88"/>
    <w:rsid w:val="73266FEA"/>
    <w:rsid w:val="73402C1E"/>
    <w:rsid w:val="7362790E"/>
    <w:rsid w:val="73B86788"/>
    <w:rsid w:val="73D776F8"/>
    <w:rsid w:val="73F0BDD0"/>
    <w:rsid w:val="73FC5689"/>
    <w:rsid w:val="74346FA4"/>
    <w:rsid w:val="7477C4D8"/>
    <w:rsid w:val="74A3544E"/>
    <w:rsid w:val="74D95C1F"/>
    <w:rsid w:val="74E9961B"/>
    <w:rsid w:val="74EDD3C9"/>
    <w:rsid w:val="75357BF7"/>
    <w:rsid w:val="7541E233"/>
    <w:rsid w:val="754214CC"/>
    <w:rsid w:val="7545E04A"/>
    <w:rsid w:val="75727EBE"/>
    <w:rsid w:val="75C868AA"/>
    <w:rsid w:val="75CDF51A"/>
    <w:rsid w:val="768B5A53"/>
    <w:rsid w:val="7692237F"/>
    <w:rsid w:val="76C93D9C"/>
    <w:rsid w:val="76D553FA"/>
    <w:rsid w:val="76DD220A"/>
    <w:rsid w:val="76E9C4B4"/>
    <w:rsid w:val="76FCE758"/>
    <w:rsid w:val="7720E1E3"/>
    <w:rsid w:val="77223CD1"/>
    <w:rsid w:val="77499302"/>
    <w:rsid w:val="77878A97"/>
    <w:rsid w:val="77A50AD8"/>
    <w:rsid w:val="77C9D2E3"/>
    <w:rsid w:val="780F3AF2"/>
    <w:rsid w:val="782C9CAB"/>
    <w:rsid w:val="783D0470"/>
    <w:rsid w:val="788171A1"/>
    <w:rsid w:val="78BF7CF1"/>
    <w:rsid w:val="78D78E45"/>
    <w:rsid w:val="7948B3A6"/>
    <w:rsid w:val="795A2276"/>
    <w:rsid w:val="79ADED5A"/>
    <w:rsid w:val="79EC6121"/>
    <w:rsid w:val="7A2A7DD0"/>
    <w:rsid w:val="7A476556"/>
    <w:rsid w:val="7A4CB519"/>
    <w:rsid w:val="7A6B3809"/>
    <w:rsid w:val="7A729AF1"/>
    <w:rsid w:val="7AA5ADDF"/>
    <w:rsid w:val="7AB07E38"/>
    <w:rsid w:val="7AD52DC8"/>
    <w:rsid w:val="7AF01225"/>
    <w:rsid w:val="7B131ED5"/>
    <w:rsid w:val="7B193FCC"/>
    <w:rsid w:val="7B4551BF"/>
    <w:rsid w:val="7B59EC8A"/>
    <w:rsid w:val="7B6FA09D"/>
    <w:rsid w:val="7B8004BE"/>
    <w:rsid w:val="7C1DA353"/>
    <w:rsid w:val="7C4EF2EE"/>
    <w:rsid w:val="7C540871"/>
    <w:rsid w:val="7C54DCAA"/>
    <w:rsid w:val="7C5525F2"/>
    <w:rsid w:val="7C7288A4"/>
    <w:rsid w:val="7C954899"/>
    <w:rsid w:val="7D5A4F17"/>
    <w:rsid w:val="7D747B76"/>
    <w:rsid w:val="7DA9A2EC"/>
    <w:rsid w:val="7DD1077F"/>
    <w:rsid w:val="7DF00DCB"/>
    <w:rsid w:val="7E2BDB16"/>
    <w:rsid w:val="7E521A46"/>
    <w:rsid w:val="7E616F5A"/>
    <w:rsid w:val="7EC73D82"/>
    <w:rsid w:val="7EC7B156"/>
    <w:rsid w:val="7F2EC440"/>
    <w:rsid w:val="7F3E32E4"/>
    <w:rsid w:val="7F472B70"/>
    <w:rsid w:val="7FF429D1"/>
    <w:rsid w:val="7FFC6C88"/>
  </w:rsids>
  <m:mathPr>
    <m:mathFont m:val="Cambria Math"/>
    <m:brkBin m:val="before"/>
    <m:brkBinSub m:val="--"/>
    <m:smallFrac/>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891DB0-5A19-4C50-8446-7A43EE7CC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9C6"/>
  </w:style>
  <w:style w:type="paragraph" w:styleId="Ttulo1">
    <w:name w:val="heading 1"/>
    <w:basedOn w:val="Normal"/>
    <w:next w:val="Normal"/>
    <w:link w:val="Ttulo1Car"/>
    <w:uiPriority w:val="9"/>
    <w:qFormat/>
    <w:rsid w:val="00727F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27F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27F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A20D6"/>
    <w:pPr>
      <w:ind w:left="720"/>
      <w:contextualSpacing/>
    </w:p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aliases w:val="Subtitulo"/>
    <w:link w:val="SinespaciadoCar"/>
    <w:uiPriority w:val="1"/>
    <w:qFormat/>
    <w:rsid w:val="006A7B58"/>
    <w:pPr>
      <w:spacing w:after="0" w:line="240" w:lineRule="auto"/>
    </w:pPr>
  </w:style>
  <w:style w:type="character" w:customStyle="1" w:styleId="SinespaciadoCar">
    <w:name w:val="Sin espaciado Car"/>
    <w:aliases w:val="Subtitulo Car"/>
    <w:basedOn w:val="Fuentedeprrafopredeter"/>
    <w:link w:val="Sinespaciado"/>
    <w:uiPriority w:val="1"/>
    <w:rsid w:val="006A7B58"/>
  </w:style>
  <w:style w:type="character" w:styleId="Refdecomentario">
    <w:name w:val="annotation reference"/>
    <w:basedOn w:val="Fuentedeprrafopredeter"/>
    <w:uiPriority w:val="99"/>
    <w:semiHidden/>
    <w:unhideWhenUsed/>
    <w:rsid w:val="00C23CB2"/>
    <w:rPr>
      <w:sz w:val="16"/>
      <w:szCs w:val="16"/>
    </w:rPr>
  </w:style>
  <w:style w:type="paragraph" w:styleId="Textocomentario">
    <w:name w:val="annotation text"/>
    <w:basedOn w:val="Normal"/>
    <w:link w:val="TextocomentarioCar"/>
    <w:uiPriority w:val="99"/>
    <w:semiHidden/>
    <w:unhideWhenUsed/>
    <w:rsid w:val="00C23C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3CB2"/>
    <w:rPr>
      <w:sz w:val="20"/>
      <w:szCs w:val="20"/>
    </w:rPr>
  </w:style>
  <w:style w:type="paragraph" w:styleId="Asuntodelcomentario">
    <w:name w:val="annotation subject"/>
    <w:basedOn w:val="Textocomentario"/>
    <w:next w:val="Textocomentario"/>
    <w:link w:val="AsuntodelcomentarioCar"/>
    <w:uiPriority w:val="99"/>
    <w:semiHidden/>
    <w:unhideWhenUsed/>
    <w:rsid w:val="00C23CB2"/>
    <w:rPr>
      <w:b/>
      <w:bCs/>
    </w:rPr>
  </w:style>
  <w:style w:type="character" w:customStyle="1" w:styleId="AsuntodelcomentarioCar">
    <w:name w:val="Asunto del comentario Car"/>
    <w:basedOn w:val="TextocomentarioCar"/>
    <w:link w:val="Asuntodelcomentario"/>
    <w:uiPriority w:val="99"/>
    <w:semiHidden/>
    <w:rsid w:val="00C23CB2"/>
    <w:rPr>
      <w:b/>
      <w:bCs/>
      <w:sz w:val="20"/>
      <w:szCs w:val="20"/>
    </w:rPr>
  </w:style>
  <w:style w:type="paragraph" w:styleId="Textodeglobo">
    <w:name w:val="Balloon Text"/>
    <w:basedOn w:val="Normal"/>
    <w:link w:val="TextodegloboCar"/>
    <w:uiPriority w:val="99"/>
    <w:semiHidden/>
    <w:unhideWhenUsed/>
    <w:rsid w:val="00C23C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3CB2"/>
    <w:rPr>
      <w:rFonts w:ascii="Segoe UI" w:hAnsi="Segoe UI" w:cs="Segoe UI"/>
      <w:sz w:val="18"/>
      <w:szCs w:val="18"/>
    </w:rPr>
  </w:style>
  <w:style w:type="character" w:styleId="Hipervnculo">
    <w:name w:val="Hyperlink"/>
    <w:basedOn w:val="Fuentedeprrafopredeter"/>
    <w:uiPriority w:val="99"/>
    <w:unhideWhenUsed/>
    <w:rsid w:val="00074934"/>
    <w:rPr>
      <w:color w:val="0563C1" w:themeColor="hyperlink"/>
      <w:u w:val="single"/>
    </w:rPr>
  </w:style>
  <w:style w:type="paragraph" w:styleId="Encabezado">
    <w:name w:val="header"/>
    <w:basedOn w:val="Normal"/>
    <w:link w:val="EncabezadoCar"/>
    <w:uiPriority w:val="99"/>
    <w:unhideWhenUsed/>
    <w:rsid w:val="00BB15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1585"/>
  </w:style>
  <w:style w:type="paragraph" w:styleId="Piedepgina">
    <w:name w:val="footer"/>
    <w:basedOn w:val="Normal"/>
    <w:link w:val="PiedepginaCar"/>
    <w:uiPriority w:val="99"/>
    <w:unhideWhenUsed/>
    <w:rsid w:val="00BB15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1585"/>
  </w:style>
  <w:style w:type="character" w:styleId="Refdenotaalpie">
    <w:name w:val="footnote reference"/>
    <w:basedOn w:val="Fuentedeprrafopredeter"/>
    <w:uiPriority w:val="99"/>
    <w:semiHidden/>
    <w:unhideWhenUsed/>
    <w:rsid w:val="00BB1585"/>
    <w:rPr>
      <w:vertAlign w:val="superscript"/>
    </w:rPr>
  </w:style>
  <w:style w:type="character" w:customStyle="1" w:styleId="TextonotapieCar">
    <w:name w:val="Texto nota pie Car"/>
    <w:basedOn w:val="Fuentedeprrafopredeter"/>
    <w:link w:val="Textonotapie"/>
    <w:uiPriority w:val="99"/>
    <w:semiHidden/>
    <w:rsid w:val="00F13CAB"/>
    <w:rPr>
      <w:sz w:val="20"/>
      <w:szCs w:val="20"/>
    </w:rPr>
  </w:style>
  <w:style w:type="paragraph" w:styleId="Textonotapie">
    <w:name w:val="footnote text"/>
    <w:basedOn w:val="Normal"/>
    <w:link w:val="TextonotapieCar"/>
    <w:uiPriority w:val="99"/>
    <w:semiHidden/>
    <w:unhideWhenUsed/>
    <w:rsid w:val="00F13CAB"/>
    <w:pPr>
      <w:spacing w:after="0" w:line="240" w:lineRule="auto"/>
    </w:pPr>
    <w:rPr>
      <w:sz w:val="20"/>
      <w:szCs w:val="20"/>
    </w:rPr>
  </w:style>
  <w:style w:type="paragraph" w:customStyle="1" w:styleId="paragraph">
    <w:name w:val="paragraph"/>
    <w:basedOn w:val="Normal"/>
    <w:rsid w:val="009F68D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9F68DF"/>
  </w:style>
  <w:style w:type="character" w:customStyle="1" w:styleId="eop">
    <w:name w:val="eop"/>
    <w:basedOn w:val="Fuentedeprrafopredeter"/>
    <w:rsid w:val="009F68DF"/>
  </w:style>
  <w:style w:type="character" w:customStyle="1" w:styleId="Ttulo1Car">
    <w:name w:val="Título 1 Car"/>
    <w:basedOn w:val="Fuentedeprrafopredeter"/>
    <w:link w:val="Ttulo1"/>
    <w:uiPriority w:val="9"/>
    <w:rsid w:val="00727FB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27FB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727FB5"/>
    <w:rPr>
      <w:rFonts w:asciiTheme="majorHAnsi" w:eastAsiaTheme="majorEastAsia" w:hAnsiTheme="majorHAnsi" w:cstheme="majorBidi"/>
      <w:color w:val="1F3763" w:themeColor="accent1" w:themeShade="7F"/>
      <w:sz w:val="24"/>
      <w:szCs w:val="24"/>
    </w:rPr>
  </w:style>
  <w:style w:type="paragraph" w:styleId="Lista">
    <w:name w:val="List"/>
    <w:basedOn w:val="Normal"/>
    <w:uiPriority w:val="99"/>
    <w:unhideWhenUsed/>
    <w:rsid w:val="00727FB5"/>
    <w:pPr>
      <w:ind w:left="283" w:hanging="283"/>
      <w:contextualSpacing/>
    </w:pPr>
  </w:style>
  <w:style w:type="paragraph" w:styleId="Lista2">
    <w:name w:val="List 2"/>
    <w:basedOn w:val="Normal"/>
    <w:uiPriority w:val="99"/>
    <w:unhideWhenUsed/>
    <w:rsid w:val="00727FB5"/>
    <w:pPr>
      <w:ind w:left="566" w:hanging="283"/>
      <w:contextualSpacing/>
    </w:pPr>
  </w:style>
  <w:style w:type="paragraph" w:styleId="Listaconvietas">
    <w:name w:val="List Bullet"/>
    <w:basedOn w:val="Normal"/>
    <w:uiPriority w:val="99"/>
    <w:unhideWhenUsed/>
    <w:rsid w:val="00727FB5"/>
    <w:pPr>
      <w:numPr>
        <w:numId w:val="19"/>
      </w:numPr>
      <w:contextualSpacing/>
    </w:pPr>
  </w:style>
  <w:style w:type="paragraph" w:styleId="Continuarlista">
    <w:name w:val="List Continue"/>
    <w:basedOn w:val="Normal"/>
    <w:uiPriority w:val="99"/>
    <w:unhideWhenUsed/>
    <w:rsid w:val="00727FB5"/>
    <w:pPr>
      <w:spacing w:after="120"/>
      <w:ind w:left="283"/>
      <w:contextualSpacing/>
    </w:pPr>
  </w:style>
  <w:style w:type="paragraph" w:styleId="Descripcin">
    <w:name w:val="caption"/>
    <w:basedOn w:val="Normal"/>
    <w:next w:val="Normal"/>
    <w:uiPriority w:val="35"/>
    <w:unhideWhenUsed/>
    <w:qFormat/>
    <w:rsid w:val="00727FB5"/>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727F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27FB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727FB5"/>
    <w:pPr>
      <w:spacing w:after="120"/>
    </w:pPr>
  </w:style>
  <w:style w:type="character" w:customStyle="1" w:styleId="TextoindependienteCar">
    <w:name w:val="Texto independiente Car"/>
    <w:basedOn w:val="Fuentedeprrafopredeter"/>
    <w:link w:val="Textoindependiente"/>
    <w:uiPriority w:val="99"/>
    <w:rsid w:val="00727FB5"/>
  </w:style>
  <w:style w:type="paragraph" w:styleId="Subttulo">
    <w:name w:val="Subtitle"/>
    <w:basedOn w:val="Normal"/>
    <w:next w:val="Normal"/>
    <w:link w:val="SubttuloCar"/>
    <w:uiPriority w:val="11"/>
    <w:qFormat/>
    <w:rsid w:val="00727FB5"/>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27FB5"/>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727FB5"/>
    <w:pPr>
      <w:spacing w:after="120"/>
      <w:ind w:left="283"/>
    </w:pPr>
  </w:style>
  <w:style w:type="character" w:customStyle="1" w:styleId="SangradetextonormalCar">
    <w:name w:val="Sangría de texto normal Car"/>
    <w:basedOn w:val="Fuentedeprrafopredeter"/>
    <w:link w:val="Sangradetextonormal"/>
    <w:uiPriority w:val="99"/>
    <w:semiHidden/>
    <w:rsid w:val="00727FB5"/>
  </w:style>
  <w:style w:type="paragraph" w:styleId="Textoindependienteprimerasangra2">
    <w:name w:val="Body Text First Indent 2"/>
    <w:basedOn w:val="Sangradetextonormal"/>
    <w:link w:val="Textoindependienteprimerasangra2Car"/>
    <w:uiPriority w:val="99"/>
    <w:unhideWhenUsed/>
    <w:rsid w:val="00727FB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27FB5"/>
  </w:style>
  <w:style w:type="paragraph" w:customStyle="1" w:styleId="Default">
    <w:name w:val="Default"/>
    <w:rsid w:val="00165963"/>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865C13"/>
    <w:rPr>
      <w:color w:val="605E5C"/>
      <w:shd w:val="clear" w:color="auto" w:fill="E1DFDD"/>
    </w:rPr>
  </w:style>
  <w:style w:type="paragraph" w:styleId="Revisin">
    <w:name w:val="Revision"/>
    <w:hidden/>
    <w:uiPriority w:val="99"/>
    <w:semiHidden/>
    <w:rsid w:val="00740C9B"/>
    <w:pPr>
      <w:spacing w:after="0" w:line="240" w:lineRule="auto"/>
    </w:pPr>
  </w:style>
  <w:style w:type="character" w:customStyle="1" w:styleId="superscript">
    <w:name w:val="superscript"/>
    <w:basedOn w:val="Fuentedeprrafopredeter"/>
    <w:rsid w:val="00654B96"/>
  </w:style>
  <w:style w:type="character" w:customStyle="1" w:styleId="Mencinsinresolver2">
    <w:name w:val="Mención sin resolver2"/>
    <w:basedOn w:val="Fuentedeprrafopredeter"/>
    <w:uiPriority w:val="99"/>
    <w:semiHidden/>
    <w:unhideWhenUsed/>
    <w:rsid w:val="00B53784"/>
    <w:rPr>
      <w:color w:val="605E5C"/>
      <w:shd w:val="clear" w:color="auto" w:fill="E1DFDD"/>
    </w:rPr>
  </w:style>
  <w:style w:type="character" w:styleId="Hipervnculovisitado">
    <w:name w:val="FollowedHyperlink"/>
    <w:basedOn w:val="Fuentedeprrafopredeter"/>
    <w:uiPriority w:val="99"/>
    <w:semiHidden/>
    <w:unhideWhenUsed/>
    <w:rsid w:val="00A254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77842">
      <w:bodyDiv w:val="1"/>
      <w:marLeft w:val="0"/>
      <w:marRight w:val="0"/>
      <w:marTop w:val="0"/>
      <w:marBottom w:val="0"/>
      <w:divBdr>
        <w:top w:val="none" w:sz="0" w:space="0" w:color="auto"/>
        <w:left w:val="none" w:sz="0" w:space="0" w:color="auto"/>
        <w:bottom w:val="none" w:sz="0" w:space="0" w:color="auto"/>
        <w:right w:val="none" w:sz="0" w:space="0" w:color="auto"/>
      </w:divBdr>
    </w:div>
    <w:div w:id="91437458">
      <w:bodyDiv w:val="1"/>
      <w:marLeft w:val="0"/>
      <w:marRight w:val="0"/>
      <w:marTop w:val="0"/>
      <w:marBottom w:val="0"/>
      <w:divBdr>
        <w:top w:val="none" w:sz="0" w:space="0" w:color="auto"/>
        <w:left w:val="none" w:sz="0" w:space="0" w:color="auto"/>
        <w:bottom w:val="none" w:sz="0" w:space="0" w:color="auto"/>
        <w:right w:val="none" w:sz="0" w:space="0" w:color="auto"/>
      </w:divBdr>
    </w:div>
    <w:div w:id="120421622">
      <w:bodyDiv w:val="1"/>
      <w:marLeft w:val="0"/>
      <w:marRight w:val="0"/>
      <w:marTop w:val="0"/>
      <w:marBottom w:val="0"/>
      <w:divBdr>
        <w:top w:val="none" w:sz="0" w:space="0" w:color="auto"/>
        <w:left w:val="none" w:sz="0" w:space="0" w:color="auto"/>
        <w:bottom w:val="none" w:sz="0" w:space="0" w:color="auto"/>
        <w:right w:val="none" w:sz="0" w:space="0" w:color="auto"/>
      </w:divBdr>
    </w:div>
    <w:div w:id="126944023">
      <w:bodyDiv w:val="1"/>
      <w:marLeft w:val="0"/>
      <w:marRight w:val="0"/>
      <w:marTop w:val="0"/>
      <w:marBottom w:val="0"/>
      <w:divBdr>
        <w:top w:val="none" w:sz="0" w:space="0" w:color="auto"/>
        <w:left w:val="none" w:sz="0" w:space="0" w:color="auto"/>
        <w:bottom w:val="none" w:sz="0" w:space="0" w:color="auto"/>
        <w:right w:val="none" w:sz="0" w:space="0" w:color="auto"/>
      </w:divBdr>
    </w:div>
    <w:div w:id="140391243">
      <w:bodyDiv w:val="1"/>
      <w:marLeft w:val="0"/>
      <w:marRight w:val="0"/>
      <w:marTop w:val="0"/>
      <w:marBottom w:val="0"/>
      <w:divBdr>
        <w:top w:val="none" w:sz="0" w:space="0" w:color="auto"/>
        <w:left w:val="none" w:sz="0" w:space="0" w:color="auto"/>
        <w:bottom w:val="none" w:sz="0" w:space="0" w:color="auto"/>
        <w:right w:val="none" w:sz="0" w:space="0" w:color="auto"/>
      </w:divBdr>
    </w:div>
    <w:div w:id="227965126">
      <w:bodyDiv w:val="1"/>
      <w:marLeft w:val="0"/>
      <w:marRight w:val="0"/>
      <w:marTop w:val="0"/>
      <w:marBottom w:val="0"/>
      <w:divBdr>
        <w:top w:val="none" w:sz="0" w:space="0" w:color="auto"/>
        <w:left w:val="none" w:sz="0" w:space="0" w:color="auto"/>
        <w:bottom w:val="none" w:sz="0" w:space="0" w:color="auto"/>
        <w:right w:val="none" w:sz="0" w:space="0" w:color="auto"/>
      </w:divBdr>
    </w:div>
    <w:div w:id="233442246">
      <w:bodyDiv w:val="1"/>
      <w:marLeft w:val="0"/>
      <w:marRight w:val="0"/>
      <w:marTop w:val="0"/>
      <w:marBottom w:val="0"/>
      <w:divBdr>
        <w:top w:val="none" w:sz="0" w:space="0" w:color="auto"/>
        <w:left w:val="none" w:sz="0" w:space="0" w:color="auto"/>
        <w:bottom w:val="none" w:sz="0" w:space="0" w:color="auto"/>
        <w:right w:val="none" w:sz="0" w:space="0" w:color="auto"/>
      </w:divBdr>
    </w:div>
    <w:div w:id="268322457">
      <w:bodyDiv w:val="1"/>
      <w:marLeft w:val="0"/>
      <w:marRight w:val="0"/>
      <w:marTop w:val="0"/>
      <w:marBottom w:val="0"/>
      <w:divBdr>
        <w:top w:val="none" w:sz="0" w:space="0" w:color="auto"/>
        <w:left w:val="none" w:sz="0" w:space="0" w:color="auto"/>
        <w:bottom w:val="none" w:sz="0" w:space="0" w:color="auto"/>
        <w:right w:val="none" w:sz="0" w:space="0" w:color="auto"/>
      </w:divBdr>
    </w:div>
    <w:div w:id="332074251">
      <w:bodyDiv w:val="1"/>
      <w:marLeft w:val="0"/>
      <w:marRight w:val="0"/>
      <w:marTop w:val="0"/>
      <w:marBottom w:val="0"/>
      <w:divBdr>
        <w:top w:val="none" w:sz="0" w:space="0" w:color="auto"/>
        <w:left w:val="none" w:sz="0" w:space="0" w:color="auto"/>
        <w:bottom w:val="none" w:sz="0" w:space="0" w:color="auto"/>
        <w:right w:val="none" w:sz="0" w:space="0" w:color="auto"/>
      </w:divBdr>
    </w:div>
    <w:div w:id="357976104">
      <w:bodyDiv w:val="1"/>
      <w:marLeft w:val="0"/>
      <w:marRight w:val="0"/>
      <w:marTop w:val="0"/>
      <w:marBottom w:val="0"/>
      <w:divBdr>
        <w:top w:val="none" w:sz="0" w:space="0" w:color="auto"/>
        <w:left w:val="none" w:sz="0" w:space="0" w:color="auto"/>
        <w:bottom w:val="none" w:sz="0" w:space="0" w:color="auto"/>
        <w:right w:val="none" w:sz="0" w:space="0" w:color="auto"/>
      </w:divBdr>
    </w:div>
    <w:div w:id="359747083">
      <w:bodyDiv w:val="1"/>
      <w:marLeft w:val="0"/>
      <w:marRight w:val="0"/>
      <w:marTop w:val="0"/>
      <w:marBottom w:val="0"/>
      <w:divBdr>
        <w:top w:val="none" w:sz="0" w:space="0" w:color="auto"/>
        <w:left w:val="none" w:sz="0" w:space="0" w:color="auto"/>
        <w:bottom w:val="none" w:sz="0" w:space="0" w:color="auto"/>
        <w:right w:val="none" w:sz="0" w:space="0" w:color="auto"/>
      </w:divBdr>
    </w:div>
    <w:div w:id="367531178">
      <w:bodyDiv w:val="1"/>
      <w:marLeft w:val="0"/>
      <w:marRight w:val="0"/>
      <w:marTop w:val="0"/>
      <w:marBottom w:val="0"/>
      <w:divBdr>
        <w:top w:val="none" w:sz="0" w:space="0" w:color="auto"/>
        <w:left w:val="none" w:sz="0" w:space="0" w:color="auto"/>
        <w:bottom w:val="none" w:sz="0" w:space="0" w:color="auto"/>
        <w:right w:val="none" w:sz="0" w:space="0" w:color="auto"/>
      </w:divBdr>
    </w:div>
    <w:div w:id="379476562">
      <w:bodyDiv w:val="1"/>
      <w:marLeft w:val="0"/>
      <w:marRight w:val="0"/>
      <w:marTop w:val="0"/>
      <w:marBottom w:val="0"/>
      <w:divBdr>
        <w:top w:val="none" w:sz="0" w:space="0" w:color="auto"/>
        <w:left w:val="none" w:sz="0" w:space="0" w:color="auto"/>
        <w:bottom w:val="none" w:sz="0" w:space="0" w:color="auto"/>
        <w:right w:val="none" w:sz="0" w:space="0" w:color="auto"/>
      </w:divBdr>
      <w:divsChild>
        <w:div w:id="1174495746">
          <w:marLeft w:val="0"/>
          <w:marRight w:val="0"/>
          <w:marTop w:val="0"/>
          <w:marBottom w:val="0"/>
          <w:divBdr>
            <w:top w:val="none" w:sz="0" w:space="0" w:color="auto"/>
            <w:left w:val="none" w:sz="0" w:space="0" w:color="auto"/>
            <w:bottom w:val="none" w:sz="0" w:space="0" w:color="auto"/>
            <w:right w:val="none" w:sz="0" w:space="0" w:color="auto"/>
          </w:divBdr>
        </w:div>
        <w:div w:id="469127117">
          <w:marLeft w:val="0"/>
          <w:marRight w:val="0"/>
          <w:marTop w:val="0"/>
          <w:marBottom w:val="0"/>
          <w:divBdr>
            <w:top w:val="none" w:sz="0" w:space="0" w:color="auto"/>
            <w:left w:val="none" w:sz="0" w:space="0" w:color="auto"/>
            <w:bottom w:val="none" w:sz="0" w:space="0" w:color="auto"/>
            <w:right w:val="none" w:sz="0" w:space="0" w:color="auto"/>
          </w:divBdr>
        </w:div>
        <w:div w:id="38092063">
          <w:marLeft w:val="0"/>
          <w:marRight w:val="0"/>
          <w:marTop w:val="0"/>
          <w:marBottom w:val="0"/>
          <w:divBdr>
            <w:top w:val="none" w:sz="0" w:space="0" w:color="auto"/>
            <w:left w:val="none" w:sz="0" w:space="0" w:color="auto"/>
            <w:bottom w:val="none" w:sz="0" w:space="0" w:color="auto"/>
            <w:right w:val="none" w:sz="0" w:space="0" w:color="auto"/>
          </w:divBdr>
        </w:div>
        <w:div w:id="1899823335">
          <w:marLeft w:val="0"/>
          <w:marRight w:val="0"/>
          <w:marTop w:val="0"/>
          <w:marBottom w:val="0"/>
          <w:divBdr>
            <w:top w:val="none" w:sz="0" w:space="0" w:color="auto"/>
            <w:left w:val="none" w:sz="0" w:space="0" w:color="auto"/>
            <w:bottom w:val="none" w:sz="0" w:space="0" w:color="auto"/>
            <w:right w:val="none" w:sz="0" w:space="0" w:color="auto"/>
          </w:divBdr>
        </w:div>
        <w:div w:id="784235312">
          <w:marLeft w:val="0"/>
          <w:marRight w:val="0"/>
          <w:marTop w:val="0"/>
          <w:marBottom w:val="0"/>
          <w:divBdr>
            <w:top w:val="none" w:sz="0" w:space="0" w:color="auto"/>
            <w:left w:val="none" w:sz="0" w:space="0" w:color="auto"/>
            <w:bottom w:val="none" w:sz="0" w:space="0" w:color="auto"/>
            <w:right w:val="none" w:sz="0" w:space="0" w:color="auto"/>
          </w:divBdr>
        </w:div>
        <w:div w:id="337002384">
          <w:marLeft w:val="0"/>
          <w:marRight w:val="0"/>
          <w:marTop w:val="0"/>
          <w:marBottom w:val="0"/>
          <w:divBdr>
            <w:top w:val="none" w:sz="0" w:space="0" w:color="auto"/>
            <w:left w:val="none" w:sz="0" w:space="0" w:color="auto"/>
            <w:bottom w:val="none" w:sz="0" w:space="0" w:color="auto"/>
            <w:right w:val="none" w:sz="0" w:space="0" w:color="auto"/>
          </w:divBdr>
        </w:div>
      </w:divsChild>
    </w:div>
    <w:div w:id="382368774">
      <w:bodyDiv w:val="1"/>
      <w:marLeft w:val="0"/>
      <w:marRight w:val="0"/>
      <w:marTop w:val="0"/>
      <w:marBottom w:val="0"/>
      <w:divBdr>
        <w:top w:val="none" w:sz="0" w:space="0" w:color="auto"/>
        <w:left w:val="none" w:sz="0" w:space="0" w:color="auto"/>
        <w:bottom w:val="none" w:sz="0" w:space="0" w:color="auto"/>
        <w:right w:val="none" w:sz="0" w:space="0" w:color="auto"/>
      </w:divBdr>
    </w:div>
    <w:div w:id="408042939">
      <w:bodyDiv w:val="1"/>
      <w:marLeft w:val="0"/>
      <w:marRight w:val="0"/>
      <w:marTop w:val="0"/>
      <w:marBottom w:val="0"/>
      <w:divBdr>
        <w:top w:val="none" w:sz="0" w:space="0" w:color="auto"/>
        <w:left w:val="none" w:sz="0" w:space="0" w:color="auto"/>
        <w:bottom w:val="none" w:sz="0" w:space="0" w:color="auto"/>
        <w:right w:val="none" w:sz="0" w:space="0" w:color="auto"/>
      </w:divBdr>
    </w:div>
    <w:div w:id="451630034">
      <w:bodyDiv w:val="1"/>
      <w:marLeft w:val="0"/>
      <w:marRight w:val="0"/>
      <w:marTop w:val="0"/>
      <w:marBottom w:val="0"/>
      <w:divBdr>
        <w:top w:val="none" w:sz="0" w:space="0" w:color="auto"/>
        <w:left w:val="none" w:sz="0" w:space="0" w:color="auto"/>
        <w:bottom w:val="none" w:sz="0" w:space="0" w:color="auto"/>
        <w:right w:val="none" w:sz="0" w:space="0" w:color="auto"/>
      </w:divBdr>
      <w:divsChild>
        <w:div w:id="1367023282">
          <w:marLeft w:val="0"/>
          <w:marRight w:val="0"/>
          <w:marTop w:val="0"/>
          <w:marBottom w:val="0"/>
          <w:divBdr>
            <w:top w:val="none" w:sz="0" w:space="0" w:color="auto"/>
            <w:left w:val="none" w:sz="0" w:space="0" w:color="auto"/>
            <w:bottom w:val="none" w:sz="0" w:space="0" w:color="auto"/>
            <w:right w:val="none" w:sz="0" w:space="0" w:color="auto"/>
          </w:divBdr>
          <w:divsChild>
            <w:div w:id="2116359282">
              <w:marLeft w:val="0"/>
              <w:marRight w:val="0"/>
              <w:marTop w:val="0"/>
              <w:marBottom w:val="0"/>
              <w:divBdr>
                <w:top w:val="none" w:sz="0" w:space="0" w:color="auto"/>
                <w:left w:val="none" w:sz="0" w:space="0" w:color="auto"/>
                <w:bottom w:val="none" w:sz="0" w:space="0" w:color="auto"/>
                <w:right w:val="none" w:sz="0" w:space="0" w:color="auto"/>
              </w:divBdr>
              <w:divsChild>
                <w:div w:id="626130974">
                  <w:marLeft w:val="0"/>
                  <w:marRight w:val="0"/>
                  <w:marTop w:val="0"/>
                  <w:marBottom w:val="0"/>
                  <w:divBdr>
                    <w:top w:val="none" w:sz="0" w:space="0" w:color="auto"/>
                    <w:left w:val="none" w:sz="0" w:space="0" w:color="auto"/>
                    <w:bottom w:val="none" w:sz="0" w:space="0" w:color="auto"/>
                    <w:right w:val="none" w:sz="0" w:space="0" w:color="auto"/>
                  </w:divBdr>
                  <w:divsChild>
                    <w:div w:id="1698236114">
                      <w:marLeft w:val="0"/>
                      <w:marRight w:val="0"/>
                      <w:marTop w:val="0"/>
                      <w:marBottom w:val="0"/>
                      <w:divBdr>
                        <w:top w:val="none" w:sz="0" w:space="0" w:color="auto"/>
                        <w:left w:val="none" w:sz="0" w:space="0" w:color="auto"/>
                        <w:bottom w:val="none" w:sz="0" w:space="0" w:color="auto"/>
                        <w:right w:val="none" w:sz="0" w:space="0" w:color="auto"/>
                      </w:divBdr>
                      <w:divsChild>
                        <w:div w:id="927076172">
                          <w:marLeft w:val="0"/>
                          <w:marRight w:val="0"/>
                          <w:marTop w:val="0"/>
                          <w:marBottom w:val="0"/>
                          <w:divBdr>
                            <w:top w:val="none" w:sz="0" w:space="0" w:color="auto"/>
                            <w:left w:val="none" w:sz="0" w:space="0" w:color="auto"/>
                            <w:bottom w:val="none" w:sz="0" w:space="0" w:color="auto"/>
                            <w:right w:val="none" w:sz="0" w:space="0" w:color="auto"/>
                          </w:divBdr>
                          <w:divsChild>
                            <w:div w:id="189219683">
                              <w:marLeft w:val="0"/>
                              <w:marRight w:val="0"/>
                              <w:marTop w:val="0"/>
                              <w:marBottom w:val="0"/>
                              <w:divBdr>
                                <w:top w:val="none" w:sz="0" w:space="0" w:color="auto"/>
                                <w:left w:val="none" w:sz="0" w:space="0" w:color="auto"/>
                                <w:bottom w:val="none" w:sz="0" w:space="0" w:color="auto"/>
                                <w:right w:val="none" w:sz="0" w:space="0" w:color="auto"/>
                              </w:divBdr>
                              <w:divsChild>
                                <w:div w:id="775709813">
                                  <w:marLeft w:val="0"/>
                                  <w:marRight w:val="0"/>
                                  <w:marTop w:val="0"/>
                                  <w:marBottom w:val="0"/>
                                  <w:divBdr>
                                    <w:top w:val="none" w:sz="0" w:space="0" w:color="auto"/>
                                    <w:left w:val="none" w:sz="0" w:space="0" w:color="auto"/>
                                    <w:bottom w:val="none" w:sz="0" w:space="0" w:color="auto"/>
                                    <w:right w:val="none" w:sz="0" w:space="0" w:color="auto"/>
                                  </w:divBdr>
                                  <w:divsChild>
                                    <w:div w:id="108418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134356">
              <w:marLeft w:val="0"/>
              <w:marRight w:val="0"/>
              <w:marTop w:val="0"/>
              <w:marBottom w:val="0"/>
              <w:divBdr>
                <w:top w:val="none" w:sz="0" w:space="0" w:color="auto"/>
                <w:left w:val="none" w:sz="0" w:space="0" w:color="auto"/>
                <w:bottom w:val="none" w:sz="0" w:space="0" w:color="auto"/>
                <w:right w:val="none" w:sz="0" w:space="0" w:color="auto"/>
              </w:divBdr>
            </w:div>
            <w:div w:id="1829395523">
              <w:marLeft w:val="0"/>
              <w:marRight w:val="0"/>
              <w:marTop w:val="0"/>
              <w:marBottom w:val="0"/>
              <w:divBdr>
                <w:top w:val="none" w:sz="0" w:space="0" w:color="auto"/>
                <w:left w:val="none" w:sz="0" w:space="0" w:color="auto"/>
                <w:bottom w:val="none" w:sz="0" w:space="0" w:color="auto"/>
                <w:right w:val="none" w:sz="0" w:space="0" w:color="auto"/>
              </w:divBdr>
              <w:divsChild>
                <w:div w:id="1583102179">
                  <w:marLeft w:val="0"/>
                  <w:marRight w:val="0"/>
                  <w:marTop w:val="0"/>
                  <w:marBottom w:val="0"/>
                  <w:divBdr>
                    <w:top w:val="none" w:sz="0" w:space="0" w:color="auto"/>
                    <w:left w:val="none" w:sz="0" w:space="0" w:color="auto"/>
                    <w:bottom w:val="none" w:sz="0" w:space="0" w:color="auto"/>
                    <w:right w:val="none" w:sz="0" w:space="0" w:color="auto"/>
                  </w:divBdr>
                  <w:divsChild>
                    <w:div w:id="654525704">
                      <w:marLeft w:val="0"/>
                      <w:marRight w:val="0"/>
                      <w:marTop w:val="0"/>
                      <w:marBottom w:val="0"/>
                      <w:divBdr>
                        <w:top w:val="none" w:sz="0" w:space="0" w:color="auto"/>
                        <w:left w:val="none" w:sz="0" w:space="0" w:color="auto"/>
                        <w:bottom w:val="none" w:sz="0" w:space="0" w:color="auto"/>
                        <w:right w:val="none" w:sz="0" w:space="0" w:color="auto"/>
                      </w:divBdr>
                      <w:divsChild>
                        <w:div w:id="7893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8868">
              <w:marLeft w:val="0"/>
              <w:marRight w:val="0"/>
              <w:marTop w:val="0"/>
              <w:marBottom w:val="0"/>
              <w:divBdr>
                <w:top w:val="none" w:sz="0" w:space="0" w:color="auto"/>
                <w:left w:val="none" w:sz="0" w:space="0" w:color="auto"/>
                <w:bottom w:val="none" w:sz="0" w:space="0" w:color="auto"/>
                <w:right w:val="none" w:sz="0" w:space="0" w:color="auto"/>
              </w:divBdr>
            </w:div>
            <w:div w:id="771557475">
              <w:marLeft w:val="0"/>
              <w:marRight w:val="0"/>
              <w:marTop w:val="0"/>
              <w:marBottom w:val="0"/>
              <w:divBdr>
                <w:top w:val="none" w:sz="0" w:space="0" w:color="auto"/>
                <w:left w:val="none" w:sz="0" w:space="0" w:color="auto"/>
                <w:bottom w:val="none" w:sz="0" w:space="0" w:color="auto"/>
                <w:right w:val="none" w:sz="0" w:space="0" w:color="auto"/>
              </w:divBdr>
              <w:divsChild>
                <w:div w:id="2018266045">
                  <w:marLeft w:val="0"/>
                  <w:marRight w:val="0"/>
                  <w:marTop w:val="0"/>
                  <w:marBottom w:val="0"/>
                  <w:divBdr>
                    <w:top w:val="none" w:sz="0" w:space="0" w:color="auto"/>
                    <w:left w:val="none" w:sz="0" w:space="0" w:color="auto"/>
                    <w:bottom w:val="none" w:sz="0" w:space="0" w:color="auto"/>
                    <w:right w:val="none" w:sz="0" w:space="0" w:color="auto"/>
                  </w:divBdr>
                  <w:divsChild>
                    <w:div w:id="158080672">
                      <w:marLeft w:val="0"/>
                      <w:marRight w:val="0"/>
                      <w:marTop w:val="0"/>
                      <w:marBottom w:val="0"/>
                      <w:divBdr>
                        <w:top w:val="none" w:sz="0" w:space="0" w:color="auto"/>
                        <w:left w:val="none" w:sz="0" w:space="0" w:color="auto"/>
                        <w:bottom w:val="none" w:sz="0" w:space="0" w:color="auto"/>
                        <w:right w:val="none" w:sz="0" w:space="0" w:color="auto"/>
                      </w:divBdr>
                      <w:divsChild>
                        <w:div w:id="15316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117930">
      <w:bodyDiv w:val="1"/>
      <w:marLeft w:val="0"/>
      <w:marRight w:val="0"/>
      <w:marTop w:val="0"/>
      <w:marBottom w:val="0"/>
      <w:divBdr>
        <w:top w:val="none" w:sz="0" w:space="0" w:color="auto"/>
        <w:left w:val="none" w:sz="0" w:space="0" w:color="auto"/>
        <w:bottom w:val="none" w:sz="0" w:space="0" w:color="auto"/>
        <w:right w:val="none" w:sz="0" w:space="0" w:color="auto"/>
      </w:divBdr>
    </w:div>
    <w:div w:id="555311988">
      <w:bodyDiv w:val="1"/>
      <w:marLeft w:val="0"/>
      <w:marRight w:val="0"/>
      <w:marTop w:val="0"/>
      <w:marBottom w:val="0"/>
      <w:divBdr>
        <w:top w:val="none" w:sz="0" w:space="0" w:color="auto"/>
        <w:left w:val="none" w:sz="0" w:space="0" w:color="auto"/>
        <w:bottom w:val="none" w:sz="0" w:space="0" w:color="auto"/>
        <w:right w:val="none" w:sz="0" w:space="0" w:color="auto"/>
      </w:divBdr>
      <w:divsChild>
        <w:div w:id="1674142017">
          <w:marLeft w:val="0"/>
          <w:marRight w:val="0"/>
          <w:marTop w:val="0"/>
          <w:marBottom w:val="0"/>
          <w:divBdr>
            <w:top w:val="none" w:sz="0" w:space="0" w:color="auto"/>
            <w:left w:val="none" w:sz="0" w:space="0" w:color="auto"/>
            <w:bottom w:val="none" w:sz="0" w:space="0" w:color="auto"/>
            <w:right w:val="none" w:sz="0" w:space="0" w:color="auto"/>
          </w:divBdr>
          <w:divsChild>
            <w:div w:id="1000890928">
              <w:marLeft w:val="0"/>
              <w:marRight w:val="0"/>
              <w:marTop w:val="0"/>
              <w:marBottom w:val="0"/>
              <w:divBdr>
                <w:top w:val="none" w:sz="0" w:space="0" w:color="auto"/>
                <w:left w:val="none" w:sz="0" w:space="0" w:color="auto"/>
                <w:bottom w:val="none" w:sz="0" w:space="0" w:color="auto"/>
                <w:right w:val="none" w:sz="0" w:space="0" w:color="auto"/>
              </w:divBdr>
              <w:divsChild>
                <w:div w:id="1203832323">
                  <w:marLeft w:val="0"/>
                  <w:marRight w:val="0"/>
                  <w:marTop w:val="0"/>
                  <w:marBottom w:val="0"/>
                  <w:divBdr>
                    <w:top w:val="none" w:sz="0" w:space="0" w:color="auto"/>
                    <w:left w:val="none" w:sz="0" w:space="0" w:color="auto"/>
                    <w:bottom w:val="none" w:sz="0" w:space="0" w:color="auto"/>
                    <w:right w:val="none" w:sz="0" w:space="0" w:color="auto"/>
                  </w:divBdr>
                  <w:divsChild>
                    <w:div w:id="765929850">
                      <w:marLeft w:val="0"/>
                      <w:marRight w:val="0"/>
                      <w:marTop w:val="0"/>
                      <w:marBottom w:val="0"/>
                      <w:divBdr>
                        <w:top w:val="none" w:sz="0" w:space="0" w:color="auto"/>
                        <w:left w:val="none" w:sz="0" w:space="0" w:color="auto"/>
                        <w:bottom w:val="none" w:sz="0" w:space="0" w:color="auto"/>
                        <w:right w:val="none" w:sz="0" w:space="0" w:color="auto"/>
                      </w:divBdr>
                      <w:divsChild>
                        <w:div w:id="455174586">
                          <w:marLeft w:val="0"/>
                          <w:marRight w:val="0"/>
                          <w:marTop w:val="0"/>
                          <w:marBottom w:val="0"/>
                          <w:divBdr>
                            <w:top w:val="none" w:sz="0" w:space="0" w:color="auto"/>
                            <w:left w:val="none" w:sz="0" w:space="0" w:color="auto"/>
                            <w:bottom w:val="none" w:sz="0" w:space="0" w:color="auto"/>
                            <w:right w:val="none" w:sz="0" w:space="0" w:color="auto"/>
                          </w:divBdr>
                          <w:divsChild>
                            <w:div w:id="561717561">
                              <w:marLeft w:val="0"/>
                              <w:marRight w:val="0"/>
                              <w:marTop w:val="0"/>
                              <w:marBottom w:val="0"/>
                              <w:divBdr>
                                <w:top w:val="none" w:sz="0" w:space="0" w:color="auto"/>
                                <w:left w:val="none" w:sz="0" w:space="0" w:color="auto"/>
                                <w:bottom w:val="none" w:sz="0" w:space="0" w:color="auto"/>
                                <w:right w:val="none" w:sz="0" w:space="0" w:color="auto"/>
                              </w:divBdr>
                              <w:divsChild>
                                <w:div w:id="1949434818">
                                  <w:marLeft w:val="0"/>
                                  <w:marRight w:val="0"/>
                                  <w:marTop w:val="0"/>
                                  <w:marBottom w:val="0"/>
                                  <w:divBdr>
                                    <w:top w:val="none" w:sz="0" w:space="0" w:color="auto"/>
                                    <w:left w:val="none" w:sz="0" w:space="0" w:color="auto"/>
                                    <w:bottom w:val="none" w:sz="0" w:space="0" w:color="auto"/>
                                    <w:right w:val="none" w:sz="0" w:space="0" w:color="auto"/>
                                  </w:divBdr>
                                  <w:divsChild>
                                    <w:div w:id="11537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980471">
              <w:marLeft w:val="0"/>
              <w:marRight w:val="0"/>
              <w:marTop w:val="0"/>
              <w:marBottom w:val="0"/>
              <w:divBdr>
                <w:top w:val="none" w:sz="0" w:space="0" w:color="auto"/>
                <w:left w:val="none" w:sz="0" w:space="0" w:color="auto"/>
                <w:bottom w:val="none" w:sz="0" w:space="0" w:color="auto"/>
                <w:right w:val="none" w:sz="0" w:space="0" w:color="auto"/>
              </w:divBdr>
            </w:div>
            <w:div w:id="1141582747">
              <w:marLeft w:val="0"/>
              <w:marRight w:val="0"/>
              <w:marTop w:val="0"/>
              <w:marBottom w:val="0"/>
              <w:divBdr>
                <w:top w:val="none" w:sz="0" w:space="0" w:color="auto"/>
                <w:left w:val="none" w:sz="0" w:space="0" w:color="auto"/>
                <w:bottom w:val="none" w:sz="0" w:space="0" w:color="auto"/>
                <w:right w:val="none" w:sz="0" w:space="0" w:color="auto"/>
              </w:divBdr>
              <w:divsChild>
                <w:div w:id="580069731">
                  <w:marLeft w:val="0"/>
                  <w:marRight w:val="0"/>
                  <w:marTop w:val="0"/>
                  <w:marBottom w:val="0"/>
                  <w:divBdr>
                    <w:top w:val="none" w:sz="0" w:space="0" w:color="auto"/>
                    <w:left w:val="none" w:sz="0" w:space="0" w:color="auto"/>
                    <w:bottom w:val="none" w:sz="0" w:space="0" w:color="auto"/>
                    <w:right w:val="none" w:sz="0" w:space="0" w:color="auto"/>
                  </w:divBdr>
                  <w:divsChild>
                    <w:div w:id="1804154077">
                      <w:marLeft w:val="0"/>
                      <w:marRight w:val="0"/>
                      <w:marTop w:val="0"/>
                      <w:marBottom w:val="0"/>
                      <w:divBdr>
                        <w:top w:val="none" w:sz="0" w:space="0" w:color="auto"/>
                        <w:left w:val="none" w:sz="0" w:space="0" w:color="auto"/>
                        <w:bottom w:val="none" w:sz="0" w:space="0" w:color="auto"/>
                        <w:right w:val="none" w:sz="0" w:space="0" w:color="auto"/>
                      </w:divBdr>
                      <w:divsChild>
                        <w:div w:id="12398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262702">
              <w:marLeft w:val="0"/>
              <w:marRight w:val="0"/>
              <w:marTop w:val="0"/>
              <w:marBottom w:val="0"/>
              <w:divBdr>
                <w:top w:val="none" w:sz="0" w:space="0" w:color="auto"/>
                <w:left w:val="none" w:sz="0" w:space="0" w:color="auto"/>
                <w:bottom w:val="none" w:sz="0" w:space="0" w:color="auto"/>
                <w:right w:val="none" w:sz="0" w:space="0" w:color="auto"/>
              </w:divBdr>
            </w:div>
            <w:div w:id="1667392251">
              <w:marLeft w:val="0"/>
              <w:marRight w:val="0"/>
              <w:marTop w:val="0"/>
              <w:marBottom w:val="0"/>
              <w:divBdr>
                <w:top w:val="none" w:sz="0" w:space="0" w:color="auto"/>
                <w:left w:val="none" w:sz="0" w:space="0" w:color="auto"/>
                <w:bottom w:val="none" w:sz="0" w:space="0" w:color="auto"/>
                <w:right w:val="none" w:sz="0" w:space="0" w:color="auto"/>
              </w:divBdr>
              <w:divsChild>
                <w:div w:id="1465195891">
                  <w:marLeft w:val="0"/>
                  <w:marRight w:val="0"/>
                  <w:marTop w:val="0"/>
                  <w:marBottom w:val="0"/>
                  <w:divBdr>
                    <w:top w:val="none" w:sz="0" w:space="0" w:color="auto"/>
                    <w:left w:val="none" w:sz="0" w:space="0" w:color="auto"/>
                    <w:bottom w:val="none" w:sz="0" w:space="0" w:color="auto"/>
                    <w:right w:val="none" w:sz="0" w:space="0" w:color="auto"/>
                  </w:divBdr>
                  <w:divsChild>
                    <w:div w:id="574828229">
                      <w:marLeft w:val="0"/>
                      <w:marRight w:val="0"/>
                      <w:marTop w:val="0"/>
                      <w:marBottom w:val="0"/>
                      <w:divBdr>
                        <w:top w:val="none" w:sz="0" w:space="0" w:color="auto"/>
                        <w:left w:val="none" w:sz="0" w:space="0" w:color="auto"/>
                        <w:bottom w:val="none" w:sz="0" w:space="0" w:color="auto"/>
                        <w:right w:val="none" w:sz="0" w:space="0" w:color="auto"/>
                      </w:divBdr>
                      <w:divsChild>
                        <w:div w:id="101411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675449">
      <w:bodyDiv w:val="1"/>
      <w:marLeft w:val="0"/>
      <w:marRight w:val="0"/>
      <w:marTop w:val="0"/>
      <w:marBottom w:val="0"/>
      <w:divBdr>
        <w:top w:val="none" w:sz="0" w:space="0" w:color="auto"/>
        <w:left w:val="none" w:sz="0" w:space="0" w:color="auto"/>
        <w:bottom w:val="none" w:sz="0" w:space="0" w:color="auto"/>
        <w:right w:val="none" w:sz="0" w:space="0" w:color="auto"/>
      </w:divBdr>
    </w:div>
    <w:div w:id="690572463">
      <w:bodyDiv w:val="1"/>
      <w:marLeft w:val="0"/>
      <w:marRight w:val="0"/>
      <w:marTop w:val="0"/>
      <w:marBottom w:val="0"/>
      <w:divBdr>
        <w:top w:val="none" w:sz="0" w:space="0" w:color="auto"/>
        <w:left w:val="none" w:sz="0" w:space="0" w:color="auto"/>
        <w:bottom w:val="none" w:sz="0" w:space="0" w:color="auto"/>
        <w:right w:val="none" w:sz="0" w:space="0" w:color="auto"/>
      </w:divBdr>
    </w:div>
    <w:div w:id="728647575">
      <w:bodyDiv w:val="1"/>
      <w:marLeft w:val="0"/>
      <w:marRight w:val="0"/>
      <w:marTop w:val="0"/>
      <w:marBottom w:val="0"/>
      <w:divBdr>
        <w:top w:val="none" w:sz="0" w:space="0" w:color="auto"/>
        <w:left w:val="none" w:sz="0" w:space="0" w:color="auto"/>
        <w:bottom w:val="none" w:sz="0" w:space="0" w:color="auto"/>
        <w:right w:val="none" w:sz="0" w:space="0" w:color="auto"/>
      </w:divBdr>
      <w:divsChild>
        <w:div w:id="348945434">
          <w:marLeft w:val="0"/>
          <w:marRight w:val="0"/>
          <w:marTop w:val="0"/>
          <w:marBottom w:val="0"/>
          <w:divBdr>
            <w:top w:val="none" w:sz="0" w:space="0" w:color="auto"/>
            <w:left w:val="none" w:sz="0" w:space="0" w:color="auto"/>
            <w:bottom w:val="none" w:sz="0" w:space="0" w:color="auto"/>
            <w:right w:val="none" w:sz="0" w:space="0" w:color="auto"/>
          </w:divBdr>
        </w:div>
      </w:divsChild>
    </w:div>
    <w:div w:id="732627393">
      <w:bodyDiv w:val="1"/>
      <w:marLeft w:val="0"/>
      <w:marRight w:val="0"/>
      <w:marTop w:val="0"/>
      <w:marBottom w:val="0"/>
      <w:divBdr>
        <w:top w:val="none" w:sz="0" w:space="0" w:color="auto"/>
        <w:left w:val="none" w:sz="0" w:space="0" w:color="auto"/>
        <w:bottom w:val="none" w:sz="0" w:space="0" w:color="auto"/>
        <w:right w:val="none" w:sz="0" w:space="0" w:color="auto"/>
      </w:divBdr>
    </w:div>
    <w:div w:id="742800736">
      <w:bodyDiv w:val="1"/>
      <w:marLeft w:val="0"/>
      <w:marRight w:val="0"/>
      <w:marTop w:val="0"/>
      <w:marBottom w:val="0"/>
      <w:divBdr>
        <w:top w:val="none" w:sz="0" w:space="0" w:color="auto"/>
        <w:left w:val="none" w:sz="0" w:space="0" w:color="auto"/>
        <w:bottom w:val="none" w:sz="0" w:space="0" w:color="auto"/>
        <w:right w:val="none" w:sz="0" w:space="0" w:color="auto"/>
      </w:divBdr>
    </w:div>
    <w:div w:id="744187393">
      <w:bodyDiv w:val="1"/>
      <w:marLeft w:val="0"/>
      <w:marRight w:val="0"/>
      <w:marTop w:val="0"/>
      <w:marBottom w:val="0"/>
      <w:divBdr>
        <w:top w:val="none" w:sz="0" w:space="0" w:color="auto"/>
        <w:left w:val="none" w:sz="0" w:space="0" w:color="auto"/>
        <w:bottom w:val="none" w:sz="0" w:space="0" w:color="auto"/>
        <w:right w:val="none" w:sz="0" w:space="0" w:color="auto"/>
      </w:divBdr>
    </w:div>
    <w:div w:id="872109389">
      <w:bodyDiv w:val="1"/>
      <w:marLeft w:val="0"/>
      <w:marRight w:val="0"/>
      <w:marTop w:val="0"/>
      <w:marBottom w:val="0"/>
      <w:divBdr>
        <w:top w:val="none" w:sz="0" w:space="0" w:color="auto"/>
        <w:left w:val="none" w:sz="0" w:space="0" w:color="auto"/>
        <w:bottom w:val="none" w:sz="0" w:space="0" w:color="auto"/>
        <w:right w:val="none" w:sz="0" w:space="0" w:color="auto"/>
      </w:divBdr>
      <w:divsChild>
        <w:div w:id="1366516936">
          <w:marLeft w:val="0"/>
          <w:marRight w:val="0"/>
          <w:marTop w:val="0"/>
          <w:marBottom w:val="0"/>
          <w:divBdr>
            <w:top w:val="none" w:sz="0" w:space="0" w:color="auto"/>
            <w:left w:val="none" w:sz="0" w:space="0" w:color="auto"/>
            <w:bottom w:val="none" w:sz="0" w:space="0" w:color="auto"/>
            <w:right w:val="none" w:sz="0" w:space="0" w:color="auto"/>
          </w:divBdr>
        </w:div>
        <w:div w:id="2095128220">
          <w:marLeft w:val="0"/>
          <w:marRight w:val="0"/>
          <w:marTop w:val="0"/>
          <w:marBottom w:val="0"/>
          <w:divBdr>
            <w:top w:val="none" w:sz="0" w:space="0" w:color="auto"/>
            <w:left w:val="none" w:sz="0" w:space="0" w:color="auto"/>
            <w:bottom w:val="none" w:sz="0" w:space="0" w:color="auto"/>
            <w:right w:val="none" w:sz="0" w:space="0" w:color="auto"/>
          </w:divBdr>
        </w:div>
        <w:div w:id="1621380100">
          <w:marLeft w:val="0"/>
          <w:marRight w:val="0"/>
          <w:marTop w:val="0"/>
          <w:marBottom w:val="0"/>
          <w:divBdr>
            <w:top w:val="none" w:sz="0" w:space="0" w:color="auto"/>
            <w:left w:val="none" w:sz="0" w:space="0" w:color="auto"/>
            <w:bottom w:val="none" w:sz="0" w:space="0" w:color="auto"/>
            <w:right w:val="none" w:sz="0" w:space="0" w:color="auto"/>
          </w:divBdr>
        </w:div>
        <w:div w:id="1158620292">
          <w:marLeft w:val="0"/>
          <w:marRight w:val="0"/>
          <w:marTop w:val="0"/>
          <w:marBottom w:val="0"/>
          <w:divBdr>
            <w:top w:val="none" w:sz="0" w:space="0" w:color="auto"/>
            <w:left w:val="none" w:sz="0" w:space="0" w:color="auto"/>
            <w:bottom w:val="none" w:sz="0" w:space="0" w:color="auto"/>
            <w:right w:val="none" w:sz="0" w:space="0" w:color="auto"/>
          </w:divBdr>
        </w:div>
        <w:div w:id="1812406559">
          <w:marLeft w:val="0"/>
          <w:marRight w:val="0"/>
          <w:marTop w:val="0"/>
          <w:marBottom w:val="0"/>
          <w:divBdr>
            <w:top w:val="none" w:sz="0" w:space="0" w:color="auto"/>
            <w:left w:val="none" w:sz="0" w:space="0" w:color="auto"/>
            <w:bottom w:val="none" w:sz="0" w:space="0" w:color="auto"/>
            <w:right w:val="none" w:sz="0" w:space="0" w:color="auto"/>
          </w:divBdr>
        </w:div>
        <w:div w:id="1119687061">
          <w:marLeft w:val="0"/>
          <w:marRight w:val="0"/>
          <w:marTop w:val="0"/>
          <w:marBottom w:val="0"/>
          <w:divBdr>
            <w:top w:val="none" w:sz="0" w:space="0" w:color="auto"/>
            <w:left w:val="none" w:sz="0" w:space="0" w:color="auto"/>
            <w:bottom w:val="none" w:sz="0" w:space="0" w:color="auto"/>
            <w:right w:val="none" w:sz="0" w:space="0" w:color="auto"/>
          </w:divBdr>
        </w:div>
        <w:div w:id="36201834">
          <w:marLeft w:val="0"/>
          <w:marRight w:val="0"/>
          <w:marTop w:val="0"/>
          <w:marBottom w:val="0"/>
          <w:divBdr>
            <w:top w:val="none" w:sz="0" w:space="0" w:color="auto"/>
            <w:left w:val="none" w:sz="0" w:space="0" w:color="auto"/>
            <w:bottom w:val="none" w:sz="0" w:space="0" w:color="auto"/>
            <w:right w:val="none" w:sz="0" w:space="0" w:color="auto"/>
          </w:divBdr>
        </w:div>
      </w:divsChild>
    </w:div>
    <w:div w:id="879829523">
      <w:bodyDiv w:val="1"/>
      <w:marLeft w:val="0"/>
      <w:marRight w:val="0"/>
      <w:marTop w:val="0"/>
      <w:marBottom w:val="0"/>
      <w:divBdr>
        <w:top w:val="none" w:sz="0" w:space="0" w:color="auto"/>
        <w:left w:val="none" w:sz="0" w:space="0" w:color="auto"/>
        <w:bottom w:val="none" w:sz="0" w:space="0" w:color="auto"/>
        <w:right w:val="none" w:sz="0" w:space="0" w:color="auto"/>
      </w:divBdr>
      <w:divsChild>
        <w:div w:id="1459834080">
          <w:marLeft w:val="0"/>
          <w:marRight w:val="0"/>
          <w:marTop w:val="0"/>
          <w:marBottom w:val="0"/>
          <w:divBdr>
            <w:top w:val="none" w:sz="0" w:space="0" w:color="auto"/>
            <w:left w:val="none" w:sz="0" w:space="0" w:color="auto"/>
            <w:bottom w:val="none" w:sz="0" w:space="0" w:color="auto"/>
            <w:right w:val="none" w:sz="0" w:space="0" w:color="auto"/>
          </w:divBdr>
        </w:div>
        <w:div w:id="1298802141">
          <w:marLeft w:val="0"/>
          <w:marRight w:val="0"/>
          <w:marTop w:val="0"/>
          <w:marBottom w:val="0"/>
          <w:divBdr>
            <w:top w:val="none" w:sz="0" w:space="0" w:color="auto"/>
            <w:left w:val="none" w:sz="0" w:space="0" w:color="auto"/>
            <w:bottom w:val="none" w:sz="0" w:space="0" w:color="auto"/>
            <w:right w:val="none" w:sz="0" w:space="0" w:color="auto"/>
          </w:divBdr>
        </w:div>
      </w:divsChild>
    </w:div>
    <w:div w:id="932280281">
      <w:bodyDiv w:val="1"/>
      <w:marLeft w:val="0"/>
      <w:marRight w:val="0"/>
      <w:marTop w:val="0"/>
      <w:marBottom w:val="0"/>
      <w:divBdr>
        <w:top w:val="none" w:sz="0" w:space="0" w:color="auto"/>
        <w:left w:val="none" w:sz="0" w:space="0" w:color="auto"/>
        <w:bottom w:val="none" w:sz="0" w:space="0" w:color="auto"/>
        <w:right w:val="none" w:sz="0" w:space="0" w:color="auto"/>
      </w:divBdr>
    </w:div>
    <w:div w:id="935944467">
      <w:bodyDiv w:val="1"/>
      <w:marLeft w:val="0"/>
      <w:marRight w:val="0"/>
      <w:marTop w:val="0"/>
      <w:marBottom w:val="0"/>
      <w:divBdr>
        <w:top w:val="none" w:sz="0" w:space="0" w:color="auto"/>
        <w:left w:val="none" w:sz="0" w:space="0" w:color="auto"/>
        <w:bottom w:val="none" w:sz="0" w:space="0" w:color="auto"/>
        <w:right w:val="none" w:sz="0" w:space="0" w:color="auto"/>
      </w:divBdr>
    </w:div>
    <w:div w:id="1059523267">
      <w:bodyDiv w:val="1"/>
      <w:marLeft w:val="0"/>
      <w:marRight w:val="0"/>
      <w:marTop w:val="0"/>
      <w:marBottom w:val="0"/>
      <w:divBdr>
        <w:top w:val="none" w:sz="0" w:space="0" w:color="auto"/>
        <w:left w:val="none" w:sz="0" w:space="0" w:color="auto"/>
        <w:bottom w:val="none" w:sz="0" w:space="0" w:color="auto"/>
        <w:right w:val="none" w:sz="0" w:space="0" w:color="auto"/>
      </w:divBdr>
      <w:divsChild>
        <w:div w:id="892353640">
          <w:marLeft w:val="0"/>
          <w:marRight w:val="0"/>
          <w:marTop w:val="0"/>
          <w:marBottom w:val="0"/>
          <w:divBdr>
            <w:top w:val="none" w:sz="0" w:space="0" w:color="auto"/>
            <w:left w:val="none" w:sz="0" w:space="0" w:color="auto"/>
            <w:bottom w:val="none" w:sz="0" w:space="0" w:color="auto"/>
            <w:right w:val="none" w:sz="0" w:space="0" w:color="auto"/>
          </w:divBdr>
        </w:div>
        <w:div w:id="18237573">
          <w:marLeft w:val="0"/>
          <w:marRight w:val="0"/>
          <w:marTop w:val="0"/>
          <w:marBottom w:val="0"/>
          <w:divBdr>
            <w:top w:val="none" w:sz="0" w:space="0" w:color="auto"/>
            <w:left w:val="none" w:sz="0" w:space="0" w:color="auto"/>
            <w:bottom w:val="none" w:sz="0" w:space="0" w:color="auto"/>
            <w:right w:val="none" w:sz="0" w:space="0" w:color="auto"/>
          </w:divBdr>
        </w:div>
        <w:div w:id="1183784714">
          <w:marLeft w:val="0"/>
          <w:marRight w:val="0"/>
          <w:marTop w:val="0"/>
          <w:marBottom w:val="0"/>
          <w:divBdr>
            <w:top w:val="none" w:sz="0" w:space="0" w:color="auto"/>
            <w:left w:val="none" w:sz="0" w:space="0" w:color="auto"/>
            <w:bottom w:val="none" w:sz="0" w:space="0" w:color="auto"/>
            <w:right w:val="none" w:sz="0" w:space="0" w:color="auto"/>
          </w:divBdr>
        </w:div>
        <w:div w:id="1463384175">
          <w:marLeft w:val="0"/>
          <w:marRight w:val="0"/>
          <w:marTop w:val="0"/>
          <w:marBottom w:val="0"/>
          <w:divBdr>
            <w:top w:val="none" w:sz="0" w:space="0" w:color="auto"/>
            <w:left w:val="none" w:sz="0" w:space="0" w:color="auto"/>
            <w:bottom w:val="none" w:sz="0" w:space="0" w:color="auto"/>
            <w:right w:val="none" w:sz="0" w:space="0" w:color="auto"/>
          </w:divBdr>
        </w:div>
        <w:div w:id="1037391191">
          <w:marLeft w:val="0"/>
          <w:marRight w:val="0"/>
          <w:marTop w:val="0"/>
          <w:marBottom w:val="0"/>
          <w:divBdr>
            <w:top w:val="none" w:sz="0" w:space="0" w:color="auto"/>
            <w:left w:val="none" w:sz="0" w:space="0" w:color="auto"/>
            <w:bottom w:val="none" w:sz="0" w:space="0" w:color="auto"/>
            <w:right w:val="none" w:sz="0" w:space="0" w:color="auto"/>
          </w:divBdr>
        </w:div>
        <w:div w:id="1496649190">
          <w:marLeft w:val="0"/>
          <w:marRight w:val="0"/>
          <w:marTop w:val="0"/>
          <w:marBottom w:val="0"/>
          <w:divBdr>
            <w:top w:val="none" w:sz="0" w:space="0" w:color="auto"/>
            <w:left w:val="none" w:sz="0" w:space="0" w:color="auto"/>
            <w:bottom w:val="none" w:sz="0" w:space="0" w:color="auto"/>
            <w:right w:val="none" w:sz="0" w:space="0" w:color="auto"/>
          </w:divBdr>
        </w:div>
        <w:div w:id="755059559">
          <w:marLeft w:val="0"/>
          <w:marRight w:val="0"/>
          <w:marTop w:val="0"/>
          <w:marBottom w:val="0"/>
          <w:divBdr>
            <w:top w:val="none" w:sz="0" w:space="0" w:color="auto"/>
            <w:left w:val="none" w:sz="0" w:space="0" w:color="auto"/>
            <w:bottom w:val="none" w:sz="0" w:space="0" w:color="auto"/>
            <w:right w:val="none" w:sz="0" w:space="0" w:color="auto"/>
          </w:divBdr>
        </w:div>
      </w:divsChild>
    </w:div>
    <w:div w:id="1137455774">
      <w:bodyDiv w:val="1"/>
      <w:marLeft w:val="0"/>
      <w:marRight w:val="0"/>
      <w:marTop w:val="0"/>
      <w:marBottom w:val="0"/>
      <w:divBdr>
        <w:top w:val="none" w:sz="0" w:space="0" w:color="auto"/>
        <w:left w:val="none" w:sz="0" w:space="0" w:color="auto"/>
        <w:bottom w:val="none" w:sz="0" w:space="0" w:color="auto"/>
        <w:right w:val="none" w:sz="0" w:space="0" w:color="auto"/>
      </w:divBdr>
    </w:div>
    <w:div w:id="1153451942">
      <w:bodyDiv w:val="1"/>
      <w:marLeft w:val="0"/>
      <w:marRight w:val="0"/>
      <w:marTop w:val="0"/>
      <w:marBottom w:val="0"/>
      <w:divBdr>
        <w:top w:val="none" w:sz="0" w:space="0" w:color="auto"/>
        <w:left w:val="none" w:sz="0" w:space="0" w:color="auto"/>
        <w:bottom w:val="none" w:sz="0" w:space="0" w:color="auto"/>
        <w:right w:val="none" w:sz="0" w:space="0" w:color="auto"/>
      </w:divBdr>
    </w:div>
    <w:div w:id="1153987903">
      <w:bodyDiv w:val="1"/>
      <w:marLeft w:val="0"/>
      <w:marRight w:val="0"/>
      <w:marTop w:val="0"/>
      <w:marBottom w:val="0"/>
      <w:divBdr>
        <w:top w:val="none" w:sz="0" w:space="0" w:color="auto"/>
        <w:left w:val="none" w:sz="0" w:space="0" w:color="auto"/>
        <w:bottom w:val="none" w:sz="0" w:space="0" w:color="auto"/>
        <w:right w:val="none" w:sz="0" w:space="0" w:color="auto"/>
      </w:divBdr>
    </w:div>
    <w:div w:id="1202091529">
      <w:bodyDiv w:val="1"/>
      <w:marLeft w:val="0"/>
      <w:marRight w:val="0"/>
      <w:marTop w:val="0"/>
      <w:marBottom w:val="0"/>
      <w:divBdr>
        <w:top w:val="none" w:sz="0" w:space="0" w:color="auto"/>
        <w:left w:val="none" w:sz="0" w:space="0" w:color="auto"/>
        <w:bottom w:val="none" w:sz="0" w:space="0" w:color="auto"/>
        <w:right w:val="none" w:sz="0" w:space="0" w:color="auto"/>
      </w:divBdr>
    </w:div>
    <w:div w:id="1243218335">
      <w:bodyDiv w:val="1"/>
      <w:marLeft w:val="0"/>
      <w:marRight w:val="0"/>
      <w:marTop w:val="0"/>
      <w:marBottom w:val="0"/>
      <w:divBdr>
        <w:top w:val="none" w:sz="0" w:space="0" w:color="auto"/>
        <w:left w:val="none" w:sz="0" w:space="0" w:color="auto"/>
        <w:bottom w:val="none" w:sz="0" w:space="0" w:color="auto"/>
        <w:right w:val="none" w:sz="0" w:space="0" w:color="auto"/>
      </w:divBdr>
    </w:div>
    <w:div w:id="1284263405">
      <w:bodyDiv w:val="1"/>
      <w:marLeft w:val="0"/>
      <w:marRight w:val="0"/>
      <w:marTop w:val="0"/>
      <w:marBottom w:val="0"/>
      <w:divBdr>
        <w:top w:val="none" w:sz="0" w:space="0" w:color="auto"/>
        <w:left w:val="none" w:sz="0" w:space="0" w:color="auto"/>
        <w:bottom w:val="none" w:sz="0" w:space="0" w:color="auto"/>
        <w:right w:val="none" w:sz="0" w:space="0" w:color="auto"/>
      </w:divBdr>
    </w:div>
    <w:div w:id="1284341479">
      <w:bodyDiv w:val="1"/>
      <w:marLeft w:val="0"/>
      <w:marRight w:val="0"/>
      <w:marTop w:val="0"/>
      <w:marBottom w:val="0"/>
      <w:divBdr>
        <w:top w:val="none" w:sz="0" w:space="0" w:color="auto"/>
        <w:left w:val="none" w:sz="0" w:space="0" w:color="auto"/>
        <w:bottom w:val="none" w:sz="0" w:space="0" w:color="auto"/>
        <w:right w:val="none" w:sz="0" w:space="0" w:color="auto"/>
      </w:divBdr>
      <w:divsChild>
        <w:div w:id="1446576241">
          <w:marLeft w:val="0"/>
          <w:marRight w:val="0"/>
          <w:marTop w:val="0"/>
          <w:marBottom w:val="0"/>
          <w:divBdr>
            <w:top w:val="none" w:sz="0" w:space="0" w:color="auto"/>
            <w:left w:val="none" w:sz="0" w:space="0" w:color="auto"/>
            <w:bottom w:val="none" w:sz="0" w:space="0" w:color="auto"/>
            <w:right w:val="none" w:sz="0" w:space="0" w:color="auto"/>
          </w:divBdr>
        </w:div>
        <w:div w:id="153303185">
          <w:marLeft w:val="0"/>
          <w:marRight w:val="0"/>
          <w:marTop w:val="0"/>
          <w:marBottom w:val="0"/>
          <w:divBdr>
            <w:top w:val="none" w:sz="0" w:space="0" w:color="auto"/>
            <w:left w:val="none" w:sz="0" w:space="0" w:color="auto"/>
            <w:bottom w:val="none" w:sz="0" w:space="0" w:color="auto"/>
            <w:right w:val="none" w:sz="0" w:space="0" w:color="auto"/>
          </w:divBdr>
        </w:div>
        <w:div w:id="1023239421">
          <w:marLeft w:val="0"/>
          <w:marRight w:val="0"/>
          <w:marTop w:val="0"/>
          <w:marBottom w:val="0"/>
          <w:divBdr>
            <w:top w:val="none" w:sz="0" w:space="0" w:color="auto"/>
            <w:left w:val="none" w:sz="0" w:space="0" w:color="auto"/>
            <w:bottom w:val="none" w:sz="0" w:space="0" w:color="auto"/>
            <w:right w:val="none" w:sz="0" w:space="0" w:color="auto"/>
          </w:divBdr>
        </w:div>
        <w:div w:id="1450903513">
          <w:marLeft w:val="0"/>
          <w:marRight w:val="0"/>
          <w:marTop w:val="0"/>
          <w:marBottom w:val="0"/>
          <w:divBdr>
            <w:top w:val="none" w:sz="0" w:space="0" w:color="auto"/>
            <w:left w:val="none" w:sz="0" w:space="0" w:color="auto"/>
            <w:bottom w:val="none" w:sz="0" w:space="0" w:color="auto"/>
            <w:right w:val="none" w:sz="0" w:space="0" w:color="auto"/>
          </w:divBdr>
        </w:div>
        <w:div w:id="710034352">
          <w:marLeft w:val="0"/>
          <w:marRight w:val="0"/>
          <w:marTop w:val="0"/>
          <w:marBottom w:val="0"/>
          <w:divBdr>
            <w:top w:val="none" w:sz="0" w:space="0" w:color="auto"/>
            <w:left w:val="none" w:sz="0" w:space="0" w:color="auto"/>
            <w:bottom w:val="none" w:sz="0" w:space="0" w:color="auto"/>
            <w:right w:val="none" w:sz="0" w:space="0" w:color="auto"/>
          </w:divBdr>
        </w:div>
      </w:divsChild>
    </w:div>
    <w:div w:id="1390685106">
      <w:bodyDiv w:val="1"/>
      <w:marLeft w:val="0"/>
      <w:marRight w:val="0"/>
      <w:marTop w:val="0"/>
      <w:marBottom w:val="0"/>
      <w:divBdr>
        <w:top w:val="none" w:sz="0" w:space="0" w:color="auto"/>
        <w:left w:val="none" w:sz="0" w:space="0" w:color="auto"/>
        <w:bottom w:val="none" w:sz="0" w:space="0" w:color="auto"/>
        <w:right w:val="none" w:sz="0" w:space="0" w:color="auto"/>
      </w:divBdr>
    </w:div>
    <w:div w:id="1422139661">
      <w:bodyDiv w:val="1"/>
      <w:marLeft w:val="0"/>
      <w:marRight w:val="0"/>
      <w:marTop w:val="0"/>
      <w:marBottom w:val="0"/>
      <w:divBdr>
        <w:top w:val="none" w:sz="0" w:space="0" w:color="auto"/>
        <w:left w:val="none" w:sz="0" w:space="0" w:color="auto"/>
        <w:bottom w:val="none" w:sz="0" w:space="0" w:color="auto"/>
        <w:right w:val="none" w:sz="0" w:space="0" w:color="auto"/>
      </w:divBdr>
    </w:div>
    <w:div w:id="1484618240">
      <w:bodyDiv w:val="1"/>
      <w:marLeft w:val="0"/>
      <w:marRight w:val="0"/>
      <w:marTop w:val="0"/>
      <w:marBottom w:val="0"/>
      <w:divBdr>
        <w:top w:val="none" w:sz="0" w:space="0" w:color="auto"/>
        <w:left w:val="none" w:sz="0" w:space="0" w:color="auto"/>
        <w:bottom w:val="none" w:sz="0" w:space="0" w:color="auto"/>
        <w:right w:val="none" w:sz="0" w:space="0" w:color="auto"/>
      </w:divBdr>
    </w:div>
    <w:div w:id="1634749955">
      <w:bodyDiv w:val="1"/>
      <w:marLeft w:val="0"/>
      <w:marRight w:val="0"/>
      <w:marTop w:val="0"/>
      <w:marBottom w:val="0"/>
      <w:divBdr>
        <w:top w:val="none" w:sz="0" w:space="0" w:color="auto"/>
        <w:left w:val="none" w:sz="0" w:space="0" w:color="auto"/>
        <w:bottom w:val="none" w:sz="0" w:space="0" w:color="auto"/>
        <w:right w:val="none" w:sz="0" w:space="0" w:color="auto"/>
      </w:divBdr>
    </w:div>
    <w:div w:id="1674453939">
      <w:bodyDiv w:val="1"/>
      <w:marLeft w:val="0"/>
      <w:marRight w:val="0"/>
      <w:marTop w:val="0"/>
      <w:marBottom w:val="0"/>
      <w:divBdr>
        <w:top w:val="none" w:sz="0" w:space="0" w:color="auto"/>
        <w:left w:val="none" w:sz="0" w:space="0" w:color="auto"/>
        <w:bottom w:val="none" w:sz="0" w:space="0" w:color="auto"/>
        <w:right w:val="none" w:sz="0" w:space="0" w:color="auto"/>
      </w:divBdr>
    </w:div>
    <w:div w:id="1713000926">
      <w:bodyDiv w:val="1"/>
      <w:marLeft w:val="0"/>
      <w:marRight w:val="0"/>
      <w:marTop w:val="0"/>
      <w:marBottom w:val="0"/>
      <w:divBdr>
        <w:top w:val="none" w:sz="0" w:space="0" w:color="auto"/>
        <w:left w:val="none" w:sz="0" w:space="0" w:color="auto"/>
        <w:bottom w:val="none" w:sz="0" w:space="0" w:color="auto"/>
        <w:right w:val="none" w:sz="0" w:space="0" w:color="auto"/>
      </w:divBdr>
    </w:div>
    <w:div w:id="1725177535">
      <w:bodyDiv w:val="1"/>
      <w:marLeft w:val="0"/>
      <w:marRight w:val="0"/>
      <w:marTop w:val="0"/>
      <w:marBottom w:val="0"/>
      <w:divBdr>
        <w:top w:val="none" w:sz="0" w:space="0" w:color="auto"/>
        <w:left w:val="none" w:sz="0" w:space="0" w:color="auto"/>
        <w:bottom w:val="none" w:sz="0" w:space="0" w:color="auto"/>
        <w:right w:val="none" w:sz="0" w:space="0" w:color="auto"/>
      </w:divBdr>
    </w:div>
    <w:div w:id="1753354078">
      <w:bodyDiv w:val="1"/>
      <w:marLeft w:val="0"/>
      <w:marRight w:val="0"/>
      <w:marTop w:val="0"/>
      <w:marBottom w:val="0"/>
      <w:divBdr>
        <w:top w:val="none" w:sz="0" w:space="0" w:color="auto"/>
        <w:left w:val="none" w:sz="0" w:space="0" w:color="auto"/>
        <w:bottom w:val="none" w:sz="0" w:space="0" w:color="auto"/>
        <w:right w:val="none" w:sz="0" w:space="0" w:color="auto"/>
      </w:divBdr>
      <w:divsChild>
        <w:div w:id="1483738789">
          <w:marLeft w:val="0"/>
          <w:marRight w:val="0"/>
          <w:marTop w:val="0"/>
          <w:marBottom w:val="0"/>
          <w:divBdr>
            <w:top w:val="none" w:sz="0" w:space="0" w:color="auto"/>
            <w:left w:val="none" w:sz="0" w:space="0" w:color="auto"/>
            <w:bottom w:val="none" w:sz="0" w:space="0" w:color="auto"/>
            <w:right w:val="none" w:sz="0" w:space="0" w:color="auto"/>
          </w:divBdr>
          <w:divsChild>
            <w:div w:id="1906328869">
              <w:marLeft w:val="0"/>
              <w:marRight w:val="0"/>
              <w:marTop w:val="0"/>
              <w:marBottom w:val="0"/>
              <w:divBdr>
                <w:top w:val="none" w:sz="0" w:space="0" w:color="auto"/>
                <w:left w:val="none" w:sz="0" w:space="0" w:color="auto"/>
                <w:bottom w:val="none" w:sz="0" w:space="0" w:color="auto"/>
                <w:right w:val="none" w:sz="0" w:space="0" w:color="auto"/>
              </w:divBdr>
            </w:div>
            <w:div w:id="787889475">
              <w:marLeft w:val="0"/>
              <w:marRight w:val="0"/>
              <w:marTop w:val="0"/>
              <w:marBottom w:val="0"/>
              <w:divBdr>
                <w:top w:val="none" w:sz="0" w:space="0" w:color="auto"/>
                <w:left w:val="none" w:sz="0" w:space="0" w:color="auto"/>
                <w:bottom w:val="none" w:sz="0" w:space="0" w:color="auto"/>
                <w:right w:val="none" w:sz="0" w:space="0" w:color="auto"/>
              </w:divBdr>
            </w:div>
            <w:div w:id="1005479385">
              <w:marLeft w:val="0"/>
              <w:marRight w:val="0"/>
              <w:marTop w:val="0"/>
              <w:marBottom w:val="0"/>
              <w:divBdr>
                <w:top w:val="none" w:sz="0" w:space="0" w:color="auto"/>
                <w:left w:val="none" w:sz="0" w:space="0" w:color="auto"/>
                <w:bottom w:val="none" w:sz="0" w:space="0" w:color="auto"/>
                <w:right w:val="none" w:sz="0" w:space="0" w:color="auto"/>
              </w:divBdr>
            </w:div>
          </w:divsChild>
        </w:div>
        <w:div w:id="1632589109">
          <w:marLeft w:val="0"/>
          <w:marRight w:val="0"/>
          <w:marTop w:val="0"/>
          <w:marBottom w:val="0"/>
          <w:divBdr>
            <w:top w:val="none" w:sz="0" w:space="0" w:color="auto"/>
            <w:left w:val="none" w:sz="0" w:space="0" w:color="auto"/>
            <w:bottom w:val="none" w:sz="0" w:space="0" w:color="auto"/>
            <w:right w:val="none" w:sz="0" w:space="0" w:color="auto"/>
          </w:divBdr>
        </w:div>
      </w:divsChild>
    </w:div>
    <w:div w:id="1793402138">
      <w:bodyDiv w:val="1"/>
      <w:marLeft w:val="0"/>
      <w:marRight w:val="0"/>
      <w:marTop w:val="0"/>
      <w:marBottom w:val="0"/>
      <w:divBdr>
        <w:top w:val="none" w:sz="0" w:space="0" w:color="auto"/>
        <w:left w:val="none" w:sz="0" w:space="0" w:color="auto"/>
        <w:bottom w:val="none" w:sz="0" w:space="0" w:color="auto"/>
        <w:right w:val="none" w:sz="0" w:space="0" w:color="auto"/>
      </w:divBdr>
    </w:div>
    <w:div w:id="1823037968">
      <w:bodyDiv w:val="1"/>
      <w:marLeft w:val="0"/>
      <w:marRight w:val="0"/>
      <w:marTop w:val="0"/>
      <w:marBottom w:val="0"/>
      <w:divBdr>
        <w:top w:val="none" w:sz="0" w:space="0" w:color="auto"/>
        <w:left w:val="none" w:sz="0" w:space="0" w:color="auto"/>
        <w:bottom w:val="none" w:sz="0" w:space="0" w:color="auto"/>
        <w:right w:val="none" w:sz="0" w:space="0" w:color="auto"/>
      </w:divBdr>
    </w:div>
    <w:div w:id="1875849814">
      <w:bodyDiv w:val="1"/>
      <w:marLeft w:val="0"/>
      <w:marRight w:val="0"/>
      <w:marTop w:val="0"/>
      <w:marBottom w:val="0"/>
      <w:divBdr>
        <w:top w:val="none" w:sz="0" w:space="0" w:color="auto"/>
        <w:left w:val="none" w:sz="0" w:space="0" w:color="auto"/>
        <w:bottom w:val="none" w:sz="0" w:space="0" w:color="auto"/>
        <w:right w:val="none" w:sz="0" w:space="0" w:color="auto"/>
      </w:divBdr>
    </w:div>
    <w:div w:id="1881546371">
      <w:bodyDiv w:val="1"/>
      <w:marLeft w:val="0"/>
      <w:marRight w:val="0"/>
      <w:marTop w:val="0"/>
      <w:marBottom w:val="0"/>
      <w:divBdr>
        <w:top w:val="none" w:sz="0" w:space="0" w:color="auto"/>
        <w:left w:val="none" w:sz="0" w:space="0" w:color="auto"/>
        <w:bottom w:val="none" w:sz="0" w:space="0" w:color="auto"/>
        <w:right w:val="none" w:sz="0" w:space="0" w:color="auto"/>
      </w:divBdr>
    </w:div>
    <w:div w:id="1954045463">
      <w:bodyDiv w:val="1"/>
      <w:marLeft w:val="0"/>
      <w:marRight w:val="0"/>
      <w:marTop w:val="0"/>
      <w:marBottom w:val="0"/>
      <w:divBdr>
        <w:top w:val="none" w:sz="0" w:space="0" w:color="auto"/>
        <w:left w:val="none" w:sz="0" w:space="0" w:color="auto"/>
        <w:bottom w:val="none" w:sz="0" w:space="0" w:color="auto"/>
        <w:right w:val="none" w:sz="0" w:space="0" w:color="auto"/>
      </w:divBdr>
      <w:divsChild>
        <w:div w:id="1228539825">
          <w:marLeft w:val="0"/>
          <w:marRight w:val="0"/>
          <w:marTop w:val="0"/>
          <w:marBottom w:val="0"/>
          <w:divBdr>
            <w:top w:val="none" w:sz="0" w:space="0" w:color="auto"/>
            <w:left w:val="none" w:sz="0" w:space="0" w:color="auto"/>
            <w:bottom w:val="none" w:sz="0" w:space="0" w:color="auto"/>
            <w:right w:val="none" w:sz="0" w:space="0" w:color="auto"/>
          </w:divBdr>
        </w:div>
        <w:div w:id="515729819">
          <w:marLeft w:val="0"/>
          <w:marRight w:val="0"/>
          <w:marTop w:val="0"/>
          <w:marBottom w:val="0"/>
          <w:divBdr>
            <w:top w:val="none" w:sz="0" w:space="0" w:color="auto"/>
            <w:left w:val="none" w:sz="0" w:space="0" w:color="auto"/>
            <w:bottom w:val="none" w:sz="0" w:space="0" w:color="auto"/>
            <w:right w:val="none" w:sz="0" w:space="0" w:color="auto"/>
          </w:divBdr>
        </w:div>
      </w:divsChild>
    </w:div>
    <w:div w:id="214049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tratos.gov.co/consultas/detalleProceso.do?numConstancia=19-11-9701099" TargetMode="External"/><Relationship Id="rId21" Type="http://schemas.openxmlformats.org/officeDocument/2006/relationships/hyperlink" Target="https://www.contratos.gov.co/consultas/detalleProceso.do?numConstancia=17-4-6462285" TargetMode="External"/><Relationship Id="rId42" Type="http://schemas.openxmlformats.org/officeDocument/2006/relationships/hyperlink" Target="http://portalgestiondoc.minhacienda.red/PortalEmpleado/viewer.jsp?config=Yyw3nj17EbIam7+dtYcSzv8s5bY4V0tdDFhqYa0OsqWgBG6XReS3wUzqnAhpKaug9hPrb20P4C7TToLQkVb06SuX6LDISWuE1RO3fiTFrdQKDd8rQj2UY53oThajMg60eiP60enWFXbtOqD/nWYk/BaapjOnEcoxe8vACTlPyPDoPJM8JWoBLSArVlBcjNSZ&amp;guid=4486575917a39c4b127-17b9&amp;idrepository=879" TargetMode="External"/><Relationship Id="rId47" Type="http://schemas.openxmlformats.org/officeDocument/2006/relationships/hyperlink" Target="http://portalgestiondoc.minhacienda.red/PortalEmpleado/viewer.jsp?config=OM+bvIuCm0Qm0sfoJ+1t2lgjP5veY4oForo81vs91DQzLr9vhjGsh1C7Sn265rMwcCTIRom2UbbjJbZVwUTC0A+Auog7Rr427fmxP6WBrih1d80PvVlDcgE+eh+vAd/j976UDBs0puXZUSYJcN0kW2Y3M6k9CQvk1Nj5UyDDbakCFZ5Q1PPLSHw/KCpkrWJM&amp;guid=4486575917a39c4b127-17c9&amp;idrepository=879" TargetMode="External"/><Relationship Id="rId63" Type="http://schemas.openxmlformats.org/officeDocument/2006/relationships/hyperlink" Target="http://portalgestiondoc.minhacienda.red/PortalEmpleado/viewer.jsp?config=JgSCQmxNmnyYYzBkRxHn6cJzwkbBlCEDwkWC3qYFn8waR3uODaXnK5bRFVMtJFT2jK2zA5giavxMBvVy8lA20DQO1J9ig+nqyzMElSP7KSQJN6io9vLLMAbJ9bNEkwkrimwoSq4UUS58fcGlNxnhjCrSe4/ACieB8jVXWF1zwJcPIMtc3C1It39cJIQLsrT9&amp;guid=4486575917a39c4b127-17cb&amp;idrepository=879" TargetMode="External"/><Relationship Id="rId68" Type="http://schemas.openxmlformats.org/officeDocument/2006/relationships/hyperlink" Target="http://portalgestiondoc.minhacienda.red/PortalEmpleado/viewer.jsp?config=0D8k5jZ2fevDusLFsJBA5oDcWcJq6pNfhND0+qyA5GI+xomSnreyd/S2te8RG2j/rkRpPPiC6/RNkNP0zKf2QPdjrxRDKcmcfq6XDxDtkXZL6ofif5YJPCuM5ym6GXSLbCt+l1q4uEqYjairjJ5z5GjeAya5sCoVYlGz5BI8OBq+BF4rTWR0bOnT8r+cjBJi&amp;guid=4486575917a53fd55cf153d&amp;idrepository=879"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hyperlink" Target="http://portalgestiondoc.minhacienda.red/PortalEmpleado/viewer.jsp?config=SswEvacWi8kr0QW4C+PYLNNWnb4hcXBO0rFaz4xJee88rGfpTfPnDTYOqbcMmAq/JbgkAuXtxfFMo7Spo4Tx6TcxkDIu8SXY8JUdrzu5Nqqik8DgTpPije5A8yZ4lz6EEwlM23iKVnXqfng1JvTdeGISZ0V2uTbO8iB+R1eTzXDmnkOIw26X+fLkdlbHQyVI&amp;guid=4486575917a530a0b112f93&amp;idrepository=879" TargetMode="External"/><Relationship Id="rId58" Type="http://schemas.openxmlformats.org/officeDocument/2006/relationships/hyperlink" Target="http://portalgestiondoc.minhacienda.red/PortalEmpleado/viewer.jsp?config=p3IMxzI+wrVZNMrYCBUJ/od++cR5anfo51Nb/tSQZwqkgfYwj9QNQYce073Y/U4Ka7WueH3tgOiM1RFYUihPrY0OTDsQtHk1rhLiTSi8fcTHJG5HL7Co5tPGXJpM9FppU5Y5JKzqYhDrL4D8h/Y497bb+PGrQp/4RT9XuLsUcYk/lp/BrzlI67MOa5BxB2ko&amp;guid=4486575917a39c4b127-17c1&amp;idrepository=879" TargetMode="External"/><Relationship Id="rId74" Type="http://schemas.openxmlformats.org/officeDocument/2006/relationships/hyperlink" Target="http://portalgestiondoc.minhacienda.red/PortalEmpleado/viewer.jsp?config=baYzSKIE0+t4q3Yl9auGr/Azz0hQ/0UisOy7Pmq9LXGOOOjeUTc1kQDmLoLemLcGZNvMw1DzTAXVrcFJhHE39DrLY7Os23qys6lCU+r3/HGLujYUWzYWcCqs0v6FpREajRm/wyub2SoLuwS8IIqa/6DLXtqccaycE7wZaxKVUOh5tH6J5AceZLU6AkeVlPm7&amp;guid=4486575917a53fd55cf1546&amp;idrepository=879"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portalgestiondoc.minhacienda.red/PortalEmpleado/viewer.jsp?config=4dcyGJlaZl5RzU5jzOqmON02jFuJWXNedX2/Z4N/McI5cDpxD8g5zSsafIqY0puGljha1KvGPFCYcoQiLEX3nkpiw8+ed8HQuesvDMp9SvqXJ93n47ViJBpixW0OzNr0ZZcob1uuqfTFbGAd0ohty+y7IKCuGhSsC7/wyJlcRosBJKA2imgVHBqYGa3+pmcB&amp;guid=4486575917a53fd55cf1548&amp;idrepository=879" TargetMode="External"/><Relationship Id="rId19" Type="http://schemas.openxmlformats.org/officeDocument/2006/relationships/hyperlink" Target="https://www.contratos.gov.co/consultas/detalleProceso.do?numConstancia=17-13-7338789%20(2)" TargetMode="External"/><Relationship Id="rId14" Type="http://schemas.openxmlformats.org/officeDocument/2006/relationships/image" Target="media/image4.png"/><Relationship Id="rId22" Type="http://schemas.openxmlformats.org/officeDocument/2006/relationships/hyperlink" Target="https://www.contratos.gov.co/consultas/detalleProceso.do?numConstancia=18-13-7963040" TargetMode="External"/><Relationship Id="rId27" Type="http://schemas.openxmlformats.org/officeDocument/2006/relationships/hyperlink" Target="https://www.contratos.gov.co/consultas/detalleProceso.do?numConstancia=19-13-8896949" TargetMode="External"/><Relationship Id="rId30" Type="http://schemas.openxmlformats.org/officeDocument/2006/relationships/image" Target="media/image9.png"/><Relationship Id="rId35" Type="http://schemas.openxmlformats.org/officeDocument/2006/relationships/chart" Target="charts/chart1.xml"/><Relationship Id="rId43" Type="http://schemas.openxmlformats.org/officeDocument/2006/relationships/hyperlink" Target="http://portalgestiondoc.minhacienda.red/PortalEmpleado/viewer.jsp?config=+cXTfBg7wSngihjOrOZn7C1L7h6x0IdyYKOOJFIy6rqu9k+AmQU1QVnv0JpioOZuNxdpQ4RHepIyShj+g8XbdtJmut6k6x5ySvwuh9EIvzKCxNuzGmPpazzDtXt2MVRbwEo5ped1SK7HyC0B7eQ9ycHB2DhFlgJ+yDb4fltIL2HVe6mYlNczXeG9+6Vd+U91&amp;guid=4486575917a39c4b127-17c3&amp;idrepository=879" TargetMode="External"/><Relationship Id="rId48" Type="http://schemas.openxmlformats.org/officeDocument/2006/relationships/hyperlink" Target="http://portalgestiondoc.minhacienda.red/PortalEmpleado/viewer.jsp?config=Zqtog8QNn+ALrodCzfb8ZVxeV0454VBav4jqI5lW58B+UOUB/7El0/wnzGCWZYk1HXmE0JvS4AOI8IwBlSKEfVQYj3+Xhr1hP+aHCTq7qQFjuf5kx51wvbi9GnUpXbJRWCrcL6FByrdQyRLjpTphnduGLkzV6Qc41FyiiX+efVlvdSoBmDpwM61I1SrarsMd&amp;guid=4486575917a39c4b127-17c7&amp;idrepository=879" TargetMode="External"/><Relationship Id="rId56" Type="http://schemas.openxmlformats.org/officeDocument/2006/relationships/hyperlink" Target="http://portalgestiondoc.minhacienda.red/PortalEmpleado/viewer.jsp?config=dlipBl7Eeu5k/titi10Y3L3tTpsmM5ZwSRJf2flQaEogJe2npFbHjiR9kEQobrlFAW9qtQJhnd8zK8z+kkTEnE1TaUg8d4tY82pkMlXFIzvrCYvbcKF+YHRqoQq2md4XjtWWA1eKiFywrKmFSZn20vbpaTZaU1usoQ+3eUfMEAcpfq2U/UMNpttP42cdmqAG&amp;guid=4486575917a530a0b111d0&amp;idrepository=879" TargetMode="External"/><Relationship Id="rId64" Type="http://schemas.openxmlformats.org/officeDocument/2006/relationships/hyperlink" Target="http://portalgestiondoc.minhacienda.red/PortalEmpleado/viewer.jsp?config=JG2+NdzHsjCRwt/qFWqjEuYeVfmfZoNRkdBOkH79qdxpKFZtV6fl8/UlWJttkmBchU3+ElGRVHxfW3yHlopqMSf7ztcHpSTl704gxIhAaXuMwcbzfm77LVuf2eTQPOZJtbymfLfKCRo7L7aNLFeRmL4uSv6l/tKW9UoOjtZxNq8Jd5u96xcgSWDgdlkTcGsv&amp;guid=4486575917a53fd55cf1544&amp;idrepository=879" TargetMode="External"/><Relationship Id="rId69" Type="http://schemas.openxmlformats.org/officeDocument/2006/relationships/hyperlink" Target="http://portalgestiondoc.minhacienda.red/PortalEmpleado/viewer.jsp?config=dWdmvg2C2KmXmlmzHRGYsWJpSjKEF2YXkgU3VILhl9EMts/HQN3KZ8KADN1oGbduoVvWJs7oHcky8so5dNWHZDwtx6jkuEJSwQlCeHsgCoLnMIGQYrth7Xwa+wCYXzXHFPGm3Uxnmzol9gHR4ACVQuhqTYQkn4bowOU6EL3WSpiygmSUFF7xNaIrtZH0QHld&amp;guid=4486575917a3a705b1a719d&amp;idrepository=879" TargetMode="External"/><Relationship Id="rId77" Type="http://schemas.openxmlformats.org/officeDocument/2006/relationships/hyperlink" Target="http://portalgestiondoc.minhacienda.red/PortalEmpleado/viewer.jsp?config=ba1+nX6eXSWUKkBWZDFhGVYKgQl3an3hyxWobZ+fTIRgR0IzXmlEH0zJvt2mVTDDnN2zbfOz61WiESnwZMCclNXqFo64Ih/MT/VI6XjitXI1w7fpjytSs5uLSAmwPfGYd3qO9TXHI8Wnchu3M7k/4xqkJ8YC6nCN/Y+KW5pwlNxq3xuJyQ7C4v5h8S7j2Mde&amp;guid=4486575917a53fd55cf160b&amp;idrepository=879" TargetMode="External"/><Relationship Id="rId8" Type="http://schemas.openxmlformats.org/officeDocument/2006/relationships/webSettings" Target="webSettings.xml"/><Relationship Id="rId51" Type="http://schemas.openxmlformats.org/officeDocument/2006/relationships/hyperlink" Target="http://portalgestiondoc.minhacienda.red/PortalEmpleado/viewer.jsp?config=5IT2e2A0t2IYZfm0lLDdOUNV6rFwRUgJ0Q8xEU7Smi8KK/vJ1C1+FO2seY58px4whvWy96C/Bhfv5p+Wjpkv4FxP3iVqwXveQ9n+r0lL/Mg4WEeIRT3Hbgv6tPN+tpTwAnKoS7M+wwyJdQ22Ny5wBQnTL/rUtV5vtvG6CIVYTD2UbfdI51WrviERbgMpa+XG&amp;guid=4486575917a530a0b112e5&amp;idrepository=879" TargetMode="External"/><Relationship Id="rId72" Type="http://schemas.openxmlformats.org/officeDocument/2006/relationships/hyperlink" Target="http://portalgestiondoc.minhacienda.red/PortalEmpleado/viewer.jsp?config=ImCm01Vkl55wifGnrnbopKxHP9gPP8fVRFz+fvIfAq9orPLvo+w9/Ojrbl8yLdySMDzbgMNDQDSnfnZYFSjOowFQmxM2ao7/uNSNBTRpYKAC0R/kw+xrqzqCcAqtymscmsxRxxlbsdNmpLRqYmbNyvouv8rPhwDT6WArnNUL5RRofb/aKfqAGqIkxtQfnwuB&amp;guid=4486575917a3a705b1a7199&amp;idrepository=879"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contratos.gov.co/consultas/detalleProceso.do?numConstancia=18-13-7535176" TargetMode="External"/><Relationship Id="rId33" Type="http://schemas.openxmlformats.org/officeDocument/2006/relationships/image" Target="media/image12.png"/><Relationship Id="rId38" Type="http://schemas.openxmlformats.org/officeDocument/2006/relationships/hyperlink" Target="http://portalgestiondoc.minhacienda.red/PortalEmpleado/viewer.jsp?config=cwhsRqPuJPOuBBBUA5cnd1q/To4kE0JWhMjThcl33GZldu90eQnnQCR+FzGcESDL2WK4t/WVneKeWgcUMoylaZ/QONDorRnqHM5kYfGgUFoKr+UcBALDktWfIhexzuo3KSFWmMRv2vgAF3gKM82ZCRA59KOwey6CCeA3KmJOkV1IigiMFQ+G/GRUOeLHOhQK&amp;guid=4486575917a39c4b127-17b4&amp;idrepository=879" TargetMode="External"/><Relationship Id="rId46" Type="http://schemas.openxmlformats.org/officeDocument/2006/relationships/hyperlink" Target="http://portalgestiondoc.minhacienda.red/PortalEmpleado/viewer.jsp?config=kFP4vAxqtmiwQu1hqM6btzoL+Pgx6pmmkuCbLJpbt8yZiTmRodIP5XCvcAlpzVpflphvuAuSK2/s7ZyhiOzXqKqaOQ/NELGsoWv6qngxBdXkaXLDVYSmRW9btdb/9VR6tCgggoni1ocgFwu9RAfPao57MtTZbkl5G/fhKwWKnaXyC+6u7/8xLIknrJcaFHYO&amp;guid=4486575917a39c4b127-17bd&amp;idrepository=879" TargetMode="External"/><Relationship Id="rId59" Type="http://schemas.openxmlformats.org/officeDocument/2006/relationships/hyperlink" Target="http://portalgestiondoc.minhacienda.red/PortalEmpleado/viewer.jsp?config=zOszJWJuOLZcBGbunQP2q73ylWGwgzVdx2iw2cLbatYbzKc2KmjSW0cRIsJcQ3FJJ+R7ZFhXru1Pl+WQxvC+1PULga/sYUfdSc2XjC6HhbZ6wkHBTPHnPd0UkurGvuQ26ap+iHFwB10bnjEBgUkALIJkbQXquLsLLHLEObv0A2FDf7b3fZKSjYJ2xwrQu1sl&amp;guid=4486575917a53fd55cf154a&amp;idrepository=879" TargetMode="External"/><Relationship Id="rId67" Type="http://schemas.openxmlformats.org/officeDocument/2006/relationships/hyperlink" Target="http://portalgestiondoc.minhacienda.red/PortalEmpleado/viewer.jsp?config=xmEgxRF77MsEO32gOifVR7ULV80xbcFSuzYlcfILPxcC2amE07fDHLp/RzDUlNf6Bu36PYLD9i2tqF/8VFitVM8ugMXqjCrQPPqN+GJAAR+Ei+HaE7r/iamUKGMThzeNLuE2x2LNTMivHRuIVzuRAwC3PNEGzzZzN5fFiqymRIxa+rjCVdHuEs9u6tAtD3ZB&amp;guid=4486575917a53fd55cf161f&amp;idrepository=879" TargetMode="External"/><Relationship Id="rId20" Type="http://schemas.openxmlformats.org/officeDocument/2006/relationships/hyperlink" Target="https://www.contratos.gov.co/consultas/detalleProceso.do?numConstancia=17-4-6524750" TargetMode="External"/><Relationship Id="rId41" Type="http://schemas.openxmlformats.org/officeDocument/2006/relationships/hyperlink" Target="http://portalgestiondoc.minhacienda.red/PortalEmpleado/viewer.jsp?config=Q659pc46iKVxu8OKhM4jN2gVEWZ+s7wsPs/SamrOQCbOTtofUc2J+m9EgWB7hTSX2TTm6FURiNdPau7/6mPoHO/8KJuwKwu/AtNvqVm1SfXxtIzQVADFbwotWfy4JqG9snsAulU25dMWhlz1kKRXgMtDRIqoV8S3EHc14kBzlXgA+YmHBDnapRolcWs4RXj5&amp;guid=4486575917a39c4b127-17bb&amp;idrepository=879" TargetMode="External"/><Relationship Id="rId54" Type="http://schemas.openxmlformats.org/officeDocument/2006/relationships/hyperlink" Target="http://portalgestiondoc.minhacienda.red/PortalEmpleado/viewer.jsp?config=36OMVgt+f4yn6UD6SMrY5QVbzmIOUFPqaZn5OjvJslGdM2FG8fq7N4b8Do2+uF7+F0xk4BFjozNMK8UcSAJOU1E0HllokdKWMWspzIkekg4HBt1TaIe4DpZbq7vn7v5uLqcYOFknujMD6yRgwn5yPfcIzUclUNgrCmJd6ctuJT3ZdoYTnSbXwhEyw5CRFfTa&amp;guid=4486575917a530a0b112f95&amp;idrepository=879" TargetMode="External"/><Relationship Id="rId62" Type="http://schemas.openxmlformats.org/officeDocument/2006/relationships/hyperlink" Target="http://portalgestiondoc.minhacienda.red/PortalEmpleado/viewer.jsp?config=ZM7JTAPmwRYAkWrpMJNxXgupIgMx5p8ljYcIjRk1iJ/2mXOSLYvpVLqudjJXEPZdOa3MR7hwyA7QmyfbJ+sYpLuR3UDrKmoKp/+MTdpnPAjVgagKd/AIm4eDTginsxaXJUthf+u+35Vo0j8IwbF27T3sXxX0zlyBVLYaXZNGCG68Kwx/+idXxxuZmX7stp+2&amp;guid=4486575917a53fd55cf1623&amp;idrepository=879" TargetMode="External"/><Relationship Id="rId70" Type="http://schemas.openxmlformats.org/officeDocument/2006/relationships/hyperlink" Target="http://portalgestiondoc.minhacienda.red/PortalEmpleado/viewer.jsp?config=o34kF2mmBPQUfYHHp8krEntzYoug43YQujTPwvH7lXUOrFQlqEVEKqxJV11CGCgSvzzMA2Gob0c/L7r/GBFzfzC7/6Uw3m+b+rmiWS0ARkqKYOdu4rtHfESIehl9CAcmqgQmqIcjH/Zq2/2cfxVPwhrIxVp434cH7WCLljTd3N7kpTZ+dRobVurF6MLGxiD7&amp;guid=4486575917a3a705b1a7197&amp;idrepository=879" TargetMode="External"/><Relationship Id="rId75" Type="http://schemas.openxmlformats.org/officeDocument/2006/relationships/hyperlink" Target="http://portalgestiondoc.minhacienda.red/PortalEmpleado/viewer.jsp?config=oWBoJsdWqwJLKExlS1Gn/HPCbG04WT8GZbEPuZDYF+aPiqVjQoOnb62/duAC8vKGFYz6L58ALrA4Vi3gqJ09FnDd5iVBdJmGrQe/hF4VacwqOBVLDinYINQApi6Ae/AmoqcHo9wYR4+ijDbmZ8w2V8jCoyevQR1SAJJ3SeLD/9KUWDA4+nlhZ4mXjPGmwsOp&amp;guid=4486575917a39a63e4461c1&amp;idrepository=87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contratos.gov.co/consultas/detalleProceso.do?numConstancia=18-13-8704091" TargetMode="External"/><Relationship Id="rId28" Type="http://schemas.openxmlformats.org/officeDocument/2006/relationships/hyperlink" Target="https://www.contratos.gov.co/consultas/detalleProceso.do?numConstancia=20-12-10310695" TargetMode="External"/><Relationship Id="rId36" Type="http://schemas.openxmlformats.org/officeDocument/2006/relationships/image" Target="media/image14.png"/><Relationship Id="rId49" Type="http://schemas.openxmlformats.org/officeDocument/2006/relationships/hyperlink" Target="http://portalgestiondoc.minhacienda.red/PortalEmpleado/viewer.jsp?config=BcfaO5VUXj/w2cWmV9cU8tyn+f0w7l1GLXYoSUifj6cs6r0C3k+D9kd6sxNKaxW829QfkRrRrG4SvKhJBAwWh7DVV691yTi+WAjVZmwnyK2x1KtaquIPeOL7UKBhM5DcOg50vRz+3YcpwCdH/ioGsGyYiGMVs6uVdgBVJJQkVwF4CAgcNBaHA60BEV6ZTdgb&amp;guid=4486575917a39c4b127-17c5&amp;idrepository=879" TargetMode="External"/><Relationship Id="rId57" Type="http://schemas.openxmlformats.org/officeDocument/2006/relationships/hyperlink" Target="http://portalgestiondoc.minhacienda.red/PortalEmpleado/viewer.jsp?config=5IT2e2A0t2IYZfm0lLDdOUNV6rFwRUgJ0Q8xEU7Smi8KK/vJ1C1+FO2seY58px4whvWy96C/Bhfv5p+Wjpkv4FxP3iVqwXveQ9n+r0lL/Mg4WEeIRT3Hbgv6tPN+tpTwAnKoS7M+wwyJdQ22Ny5wBQnTL/rUtV5vtvG6CIVYTD2UbfdI51WrviERbgMpa+XG&amp;guid=4486575917a530a0b112e5&amp;idrepository=879"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yperlink" Target="http://portalgestiondoc.minhacienda.red/PortalEmpleado/viewer.jsp?config=p3IMxzI+wrVZNMrYCBUJ/od++cR5anfo51Nb/tSQZwqkgfYwj9QNQYce073Y/U4Ka7WueH3tgOiM1RFYUihPrY0OTDsQtHk1rhLiTSi8fcTHJG5HL7Co5tPGXJpM9FppU5Y5JKzqYhDrL4D8h/Y497bb+PGrQp/4RT9XuLsUcYk/lp/BrzlI67MOa5BxB2ko&amp;guid=4486575917a39c4b127-17c1&amp;idrepository=879" TargetMode="External"/><Relationship Id="rId52" Type="http://schemas.openxmlformats.org/officeDocument/2006/relationships/hyperlink" Target="http://portalgestiondoc.minhacienda.red/PortalEmpleado/viewer.jsp?config=a7imZGR9wjyMqV28hVy/l4PW+CSCZmlaIbd4z8ZvXgK5ruZjihPnZCCkfNV60LziRsKUTi06tPJUyC2L3/JAPs9XNwvCjqBqvAJILb3Dd5t+2RQOgWd46/BBJKifc6R2bBy78mwA4fCH84o1/vaKPp2oaY05ETKpXRxyqQqyLxa7LHxy3Crjz/Jej+H2COfy&amp;guid=4486575917a530a0b112e2&amp;idrepository=879" TargetMode="External"/><Relationship Id="rId60" Type="http://schemas.openxmlformats.org/officeDocument/2006/relationships/hyperlink" Target="http://portalgestiondoc.minhacienda.red/PortalEmpleado/viewer.jsp?config=0HnpFvQDMi5Yx3dkfdJ0pAtdx2YqT51dWtnLRR+PVFqWrhWtS1amAgfjGie033oG3pMJzl4QtdC30uylxQUrr/Kdgj6AaLLbj6LABE9VuolW1S0i62SHB6NXQBEUKaS1Cd2ZWE1CktvehIiYybaWMbmQK6mItzWawTl5TRk8DRmFmwpD2B8DEhXYKD04enUC&amp;guid=4486575917a53fd55cf160d&amp;idrepository=879" TargetMode="External"/><Relationship Id="rId65" Type="http://schemas.openxmlformats.org/officeDocument/2006/relationships/hyperlink" Target="http://portalgestiondoc.minhacienda.red/PortalEmpleado/viewer.jsp?config=baYzSKIE0+t4q3Yl9auGr/Azz0hQ/0UisOy7Pmq9LXGOOOjeUTc1kQDmLoLemLcGZNvMw1DzTAXVrcFJhHE39DrLY7Os23qys6lCU+r3/HGLujYUWzYWcCqs0v6FpREajRm/wyub2SoLuwS8IIqa/6DLXtqccaycE7wZaxKVUOh5tH6J5AceZLU6AkeVlPm7&amp;guid=4486575917a53fd55cf1546&amp;idrepository=879" TargetMode="External"/><Relationship Id="rId73" Type="http://schemas.openxmlformats.org/officeDocument/2006/relationships/hyperlink" Target="http://portalgestiondoc.minhacienda.red/PortalEmpleado/viewer.jsp?config=navoEXDqUae/WYJ/IKMSXP2HlQQMC0OiaTjbVONsG59ObtIh6AX62G/qqu/v1uMPSpMy0FcCNEY2Faw7XJRh7ZpjHyGqvbFN23SXqq6suL9q4seRz5wP8VVl7357jXhTvo+y/Gp4vebDN7ciQbNGkoby3astUawf97O5j0BE+Iy4/hIBf6wqX7NeLN+aKhKm&amp;guid=4486575917a3a705b1a719b&amp;idrepository=879"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portalgestiondoc.minhacienda.red/PortalEmpleado/viewer.jsp?config=PC3cVCU/PKdSbCA8IStRUlvggsYSDJBzfbEuiBIdpzhn9o8n7ahne+I1LUEdchXCvuFLGzuURl7dzMceYNUP3VLOUr0N5bI2dyrmFu1qtCAZjkpwypAkuLIsX8wC5kwHjmK2hVtRqUDppx422539UC+iknTsGJt+sEd1MHrNuGA4KqlU554Pqnq0X3VVKF1q&amp;guid=4486575917a39c4b127-173b&amp;idrepository=879" TargetMode="External"/><Relationship Id="rId34" Type="http://schemas.openxmlformats.org/officeDocument/2006/relationships/image" Target="media/image13.png"/><Relationship Id="rId50" Type="http://schemas.openxmlformats.org/officeDocument/2006/relationships/hyperlink" Target="http://portalgestiondoc.minhacienda.red/PortalEmpleado/viewer.jsp?config=oWBoJsdWqwJLKExlS1Gn/HPCbG04WT8GZbEPuZDYF+aPiqVjQoOnb62/duAC8vKGFYz6L58ALrA4Vi3gqJ09FnDd5iVBdJmGrQe/hF4VacwqOBVLDinYINQApi6Ae/AmoqcHo9wYR4+ijDbmZ8w2V8jCoyevQR1SAJJ3SeLD/9KUWDA4+nlhZ4mXjPGmwsOp&amp;guid=4486575917a39a63e4461c1&amp;idrepository=879" TargetMode="External"/><Relationship Id="rId55" Type="http://schemas.openxmlformats.org/officeDocument/2006/relationships/hyperlink" Target="http://portalgestiondoc.minhacienda.red/PortalEmpleado/viewer.jsp?config=Jr2XVCgoG2fxdWniwoCay8UfRVLoXEfedFfCyGZPLUAX4i3Aqb46394XYHXeaqE9thqleYr1l7Ls8b623vAg2vsDOXoKuZ6WTKgWiYUyId4qdyxbugIHMkysIyyeIvYNzp37jA2UvL/9SVqfHaOaNmi7YjrNnb7yB0XmvqAdJIXwt1BGzVxM8R60XOVl1CqF&amp;guid=4486575917a530a0b112de&amp;idrepository=879" TargetMode="External"/><Relationship Id="rId76" Type="http://schemas.openxmlformats.org/officeDocument/2006/relationships/hyperlink" Target="http://portalgestiondoc.minhacienda.red/PortalEmpleado/viewer.jsp?config=baYzSKIE0+t4q3Yl9auGr/Azz0hQ/0UisOy7Pmq9LXGOOOjeUTc1kQDmLoLemLcGZNvMw1DzTAXVrcFJhHE39DrLY7Os23qys6lCU+r3/HGLujYUWzYWcCqs0v6FpREajRm/wyub2SoLuwS8IIqa/6DLXtqccaycE7wZaxKVUOh5tH6J5AceZLU6AkeVlPm7&amp;guid=4486575917a53fd55cf1546&amp;idrepository=879" TargetMode="External"/><Relationship Id="rId7" Type="http://schemas.openxmlformats.org/officeDocument/2006/relationships/settings" Target="settings.xml"/><Relationship Id="rId71" Type="http://schemas.openxmlformats.org/officeDocument/2006/relationships/hyperlink" Target="http://portalgestiondoc.minhacienda.red/PortalEmpleado/viewer.jsp?config=mjhrYBpKLJjvwxopqxtJOlrYXogx5tWhg3B5VeNfEOifUtlX6tJc1b5BNwRyyBaor/0S8cv8e8+4QGm38y/Lk2M17EX5qFju+MDMyfqMds8HcemVLc28Ii3uK2BXMp3mLD9rIK2cekf6LPsO1OLn8+Muvxk99HLkNMfBCh3EMJ2Gg9tnmfMIc2Z85qR78N5b&amp;guid=4486575917a3a705b1a7195&amp;idrepository=879" TargetMode="External"/><Relationship Id="rId2" Type="http://schemas.openxmlformats.org/officeDocument/2006/relationships/customXml" Target="../customXml/item2.xml"/><Relationship Id="rId29" Type="http://schemas.openxmlformats.org/officeDocument/2006/relationships/hyperlink" Target="https://colaboracion.dnp.gov.co/CDT/Inversiones%20y%20finanzas%20pblicas/Documentos%20GFT/3.%20Orientaciones%20SGP.pdf" TargetMode="External"/><Relationship Id="rId24" Type="http://schemas.openxmlformats.org/officeDocument/2006/relationships/hyperlink" Target="https://www.contratos.gov.co/consultas/detalleProceso.do?numConstancia=18-13-8761340" TargetMode="External"/><Relationship Id="rId40" Type="http://schemas.openxmlformats.org/officeDocument/2006/relationships/hyperlink" Target="http://portalgestiondoc.minhacienda.red/PortalEmpleado/viewer.jsp?config=JVnlrsnxi4r2v23HH/F8tlJD1llL2l92Fc+nYSQRlKvR444jkAt5fUUFgU0pUatdWPREiHBbnz5N/+GFocrb7Fw4oWRcRNj/SXCtxVEA5o4vh+9Y4AKzCTXK/7QdCTUpnNbDww++VOpIwEoM+X/SEkd67e28fiGUjlDVv2MpVkHRB4CZ7ZokWRXVm3JZSXP1&amp;guid=4486575917a39c4b127-17b7&amp;idrepository=879" TargetMode="External"/><Relationship Id="rId45" Type="http://schemas.openxmlformats.org/officeDocument/2006/relationships/hyperlink" Target="http://portalgestiondoc.minhacienda.red/PortalEmpleado/viewer.jsp?config=xiTe3uGtKnXvWtKvH/KqNitds6VFu3KMSosxUghuZcljwMhQsB8OZ0EoNbJB2FbRifjeKUTOKKf4rIpiSM/b1fur1jK4bWeKk3/pmt2OyEOFDBsrGMVFVWVUN75CdHBlz63We4hka1rI4GfSR5snJz84OaJTFcnFI8M5BFyHOxe/soyKzOPMA3F0xnuwEPaI&amp;guid=4486575917a39c4b127-17bf&amp;idrepository=879" TargetMode="External"/><Relationship Id="rId66" Type="http://schemas.openxmlformats.org/officeDocument/2006/relationships/hyperlink" Target="http://portalgestiondoc.minhacienda.red/PortalEmpleado/viewer.jsp?config=ba1+nX6eXSWUKkBWZDFhGVYKgQl3an3hyxWobZ+fTIRgR0IzXmlEH0zJvt2mVTDDnN2zbfOz61WiESnwZMCclNXqFo64Ih/MT/VI6XjitXI1w7fpjytSs5uLSAmwPfGYd3qO9TXHI8Wnchu3M7k/4xqkJ8YC6nCN/Y+KW5pwlNxq3xuJyQ7C4v5h8S7j2Mde&amp;guid=4486575917a53fd55cf160b&amp;idrepository=87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wm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[Cálculos Santiago de Tolú- FUT .xlsx]Hoja2!TablaDinámica16</c:name>
    <c:fmtId val="-1"/>
  </c:pivotSource>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r>
              <a:rPr lang="en-US" b="1">
                <a:latin typeface="Arial Narrow" panose="020B0606020202030204" pitchFamily="34" charset="0"/>
              </a:rPr>
              <a:t>Inversión por</a:t>
            </a:r>
            <a:r>
              <a:rPr lang="en-US" b="1" baseline="0">
                <a:latin typeface="Arial Narrow" panose="020B0606020202030204" pitchFamily="34" charset="0"/>
              </a:rPr>
              <a:t> programas- Fuente SGP-Propósito General</a:t>
            </a:r>
            <a:endParaRPr lang="en-US" b="1">
              <a:latin typeface="Arial Narrow" panose="020B060602020203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ivotFmts>
      <c:pivotFmt>
        <c:idx val="0"/>
        <c:spPr>
          <a:solidFill>
            <a:srgbClr val="00006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2"/>
        <c:spPr>
          <a:solidFill>
            <a:schemeClr val="accent1"/>
          </a:solidFill>
          <a:ln>
            <a:noFill/>
          </a:ln>
          <a:effectLst/>
        </c:spPr>
        <c:marker>
          <c:symbol val="none"/>
        </c:marker>
        <c:dLbl>
          <c:idx val="0"/>
          <c:showLegendKey val="0"/>
          <c:showVal val="0"/>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4"/>
        <c:spPr>
          <a:solidFill>
            <a:srgbClr val="3399F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5"/>
        <c:spPr>
          <a:solidFill>
            <a:srgbClr val="00006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6"/>
        <c:spPr>
          <a:solidFill>
            <a:srgbClr val="3399F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7"/>
        <c:spPr>
          <a:solidFill>
            <a:srgbClr val="000066"/>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
        <c:idx val="8"/>
        <c:spPr>
          <a:solidFill>
            <a:srgbClr val="3399FF"/>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extLst>
        </c:dLbl>
      </c:pivotFmt>
    </c:pivotFmts>
    <c:plotArea>
      <c:layout/>
      <c:barChart>
        <c:barDir val="bar"/>
        <c:grouping val="stacked"/>
        <c:varyColors val="0"/>
        <c:ser>
          <c:idx val="0"/>
          <c:order val="0"/>
          <c:tx>
            <c:strRef>
              <c:f>Hoja2!$F$3:$F$4</c:f>
              <c:strCache>
                <c:ptCount val="1"/>
                <c:pt idx="0">
                  <c:v>Propósito General Inversión</c:v>
                </c:pt>
              </c:strCache>
            </c:strRef>
          </c:tx>
          <c:spPr>
            <a:solidFill>
              <a:srgbClr val="002060"/>
            </a:solidFill>
            <a:ln>
              <a:noFill/>
            </a:ln>
            <a:effectLst/>
          </c:spPr>
          <c:invertIfNegative val="0"/>
          <c:cat>
            <c:strRef>
              <c:f>Hoja2!$E$5:$E$28</c:f>
              <c:strCache>
                <c:ptCount val="23"/>
                <c:pt idx="0">
                  <c:v>Afrodescentientes, diversidad e identidad nuestra</c:v>
                </c:pt>
                <c:pt idx="1">
                  <c:v>Atención integral a la Primera Infancia, Adolescencia y Familia</c:v>
                </c:pt>
                <c:pt idx="2">
                  <c:v>Cultura para la transformación y el cambio </c:v>
                </c:pt>
                <c:pt idx="3">
                  <c:v>Deporte y Recreación unidos por el cambio </c:v>
                </c:pt>
                <c:pt idx="4">
                  <c:v>Discapacidad con capacidad de cambio</c:v>
                </c:pt>
                <c:pt idx="5">
                  <c:v>Educación con calidad preparados para competir </c:v>
                </c:pt>
                <c:pt idx="6">
                  <c:v>El cambio, la herramienta de fortalecimiento institucional </c:v>
                </c:pt>
                <c:pt idx="7">
                  <c:v>Gestión del riesgo y ordenamiento territorial</c:v>
                </c:pt>
                <c:pt idx="8">
                  <c:v>Hogares con vivienda digna son el cambio </c:v>
                </c:pt>
                <c:pt idx="9">
                  <c:v>Juventud con oportunidades y enfoques de cambio</c:v>
                </c:pt>
                <c:pt idx="10">
                  <c:v>La comunidad participa y decide en su desarrollo</c:v>
                </c:pt>
                <c:pt idx="11">
                  <c:v>Mujer con oportunidades de desarrollo y cambio</c:v>
                </c:pt>
                <c:pt idx="12">
                  <c:v>Población indígena: visibilizando una cultura</c:v>
                </c:pt>
                <c:pt idx="13">
                  <c:v>Productividad y competitividad agroalimentaria sostenible </c:v>
                </c:pt>
                <c:pt idx="14">
                  <c:v>Recuperación y preservación de los componentes medio ambientales  municipales</c:v>
                </c:pt>
                <c:pt idx="15">
                  <c:v>Salud un servicio social</c:v>
                </c:pt>
                <c:pt idx="16">
                  <c:v>Seguridad y convivencia ciudadana, el cambio hacia la paz </c:v>
                </c:pt>
                <c:pt idx="17">
                  <c:v>Servicios públicos eficientes hacen el cambio</c:v>
                </c:pt>
                <c:pt idx="18">
                  <c:v>Tolú envejece con dignidad </c:v>
                </c:pt>
                <c:pt idx="19">
                  <c:v>Tolú puerta de entrada a Sucre, el turismo cambia nuestra calidad de vida</c:v>
                </c:pt>
                <c:pt idx="20">
                  <c:v>Tolú, oportunidades para las empresas y para los toludeños</c:v>
                </c:pt>
                <c:pt idx="21">
                  <c:v>Transporte sostenible, equipamiento y desarrollo urbano para el cambio</c:v>
                </c:pt>
                <c:pt idx="22">
                  <c:v>Víctimas</c:v>
                </c:pt>
              </c:strCache>
            </c:strRef>
          </c:cat>
          <c:val>
            <c:numRef>
              <c:f>Hoja2!$F$5:$F$28</c:f>
              <c:numCache>
                <c:formatCode>0.00%</c:formatCode>
                <c:ptCount val="23"/>
                <c:pt idx="0">
                  <c:v>1.9047954869071626E-2</c:v>
                </c:pt>
                <c:pt idx="1">
                  <c:v>0</c:v>
                </c:pt>
                <c:pt idx="2">
                  <c:v>4.2932947971761233E-2</c:v>
                </c:pt>
                <c:pt idx="3">
                  <c:v>5.8837654113281533E-2</c:v>
                </c:pt>
                <c:pt idx="4">
                  <c:v>1.8797833833959665E-2</c:v>
                </c:pt>
                <c:pt idx="5">
                  <c:v>0</c:v>
                </c:pt>
                <c:pt idx="6">
                  <c:v>4.2674883063865819E-2</c:v>
                </c:pt>
                <c:pt idx="7">
                  <c:v>2.9354233389036529E-2</c:v>
                </c:pt>
                <c:pt idx="8">
                  <c:v>8.2321040824510749E-2</c:v>
                </c:pt>
                <c:pt idx="9">
                  <c:v>0</c:v>
                </c:pt>
                <c:pt idx="10">
                  <c:v>1.4038357092654144E-2</c:v>
                </c:pt>
                <c:pt idx="11">
                  <c:v>0</c:v>
                </c:pt>
                <c:pt idx="12">
                  <c:v>0</c:v>
                </c:pt>
                <c:pt idx="13">
                  <c:v>4.1009801854512161E-2</c:v>
                </c:pt>
                <c:pt idx="14">
                  <c:v>4.9966790428966339E-2</c:v>
                </c:pt>
                <c:pt idx="15">
                  <c:v>0</c:v>
                </c:pt>
                <c:pt idx="16">
                  <c:v>0.10166127170450474</c:v>
                </c:pt>
                <c:pt idx="17">
                  <c:v>0</c:v>
                </c:pt>
                <c:pt idx="18">
                  <c:v>1.9047954869071626E-2</c:v>
                </c:pt>
                <c:pt idx="19">
                  <c:v>0</c:v>
                </c:pt>
                <c:pt idx="20">
                  <c:v>2.9397295834106021E-2</c:v>
                </c:pt>
                <c:pt idx="21">
                  <c:v>4.8351521272322361E-2</c:v>
                </c:pt>
                <c:pt idx="22">
                  <c:v>2.1760888908449575E-2</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9A59-467D-9B20-E6B192AB379A}"/>
            </c:ext>
          </c:extLst>
        </c:ser>
        <c:ser>
          <c:idx val="1"/>
          <c:order val="1"/>
          <c:tx>
            <c:strRef>
              <c:f>Hoja2!$G$3:$G$4</c:f>
              <c:strCache>
                <c:ptCount val="1"/>
                <c:pt idx="0">
                  <c:v>SGP Libre Destinación</c:v>
                </c:pt>
              </c:strCache>
            </c:strRef>
          </c:tx>
          <c:spPr>
            <a:solidFill>
              <a:srgbClr val="009999"/>
            </a:solidFill>
            <a:ln>
              <a:noFill/>
            </a:ln>
            <a:effectLst/>
          </c:spPr>
          <c:invertIfNegative val="0"/>
          <c:cat>
            <c:strRef>
              <c:f>Hoja2!$E$5:$E$28</c:f>
              <c:strCache>
                <c:ptCount val="23"/>
                <c:pt idx="0">
                  <c:v>Afrodescentientes, diversidad e identidad nuestra</c:v>
                </c:pt>
                <c:pt idx="1">
                  <c:v>Atención integral a la Primera Infancia, Adolescencia y Familia</c:v>
                </c:pt>
                <c:pt idx="2">
                  <c:v>Cultura para la transformación y el cambio </c:v>
                </c:pt>
                <c:pt idx="3">
                  <c:v>Deporte y Recreación unidos por el cambio </c:v>
                </c:pt>
                <c:pt idx="4">
                  <c:v>Discapacidad con capacidad de cambio</c:v>
                </c:pt>
                <c:pt idx="5">
                  <c:v>Educación con calidad preparados para competir </c:v>
                </c:pt>
                <c:pt idx="6">
                  <c:v>El cambio, la herramienta de fortalecimiento institucional </c:v>
                </c:pt>
                <c:pt idx="7">
                  <c:v>Gestión del riesgo y ordenamiento territorial</c:v>
                </c:pt>
                <c:pt idx="8">
                  <c:v>Hogares con vivienda digna son el cambio </c:v>
                </c:pt>
                <c:pt idx="9">
                  <c:v>Juventud con oportunidades y enfoques de cambio</c:v>
                </c:pt>
                <c:pt idx="10">
                  <c:v>La comunidad participa y decide en su desarrollo</c:v>
                </c:pt>
                <c:pt idx="11">
                  <c:v>Mujer con oportunidades de desarrollo y cambio</c:v>
                </c:pt>
                <c:pt idx="12">
                  <c:v>Población indígena: visibilizando una cultura</c:v>
                </c:pt>
                <c:pt idx="13">
                  <c:v>Productividad y competitividad agroalimentaria sostenible </c:v>
                </c:pt>
                <c:pt idx="14">
                  <c:v>Recuperación y preservación de los componentes medio ambientales  municipales</c:v>
                </c:pt>
                <c:pt idx="15">
                  <c:v>Salud un servicio social</c:v>
                </c:pt>
                <c:pt idx="16">
                  <c:v>Seguridad y convivencia ciudadana, el cambio hacia la paz </c:v>
                </c:pt>
                <c:pt idx="17">
                  <c:v>Servicios públicos eficientes hacen el cambio</c:v>
                </c:pt>
                <c:pt idx="18">
                  <c:v>Tolú envejece con dignidad </c:v>
                </c:pt>
                <c:pt idx="19">
                  <c:v>Tolú puerta de entrada a Sucre, el turismo cambia nuestra calidad de vida</c:v>
                </c:pt>
                <c:pt idx="20">
                  <c:v>Tolú, oportunidades para las empresas y para los toludeños</c:v>
                </c:pt>
                <c:pt idx="21">
                  <c:v>Transporte sostenible, equipamiento y desarrollo urbano para el cambio</c:v>
                </c:pt>
                <c:pt idx="22">
                  <c:v>Víctimas</c:v>
                </c:pt>
              </c:strCache>
            </c:strRef>
          </c:cat>
          <c:val>
            <c:numRef>
              <c:f>Hoja2!$G$5:$G$28</c:f>
              <c:numCache>
                <c:formatCode>0.00%</c:formatCode>
                <c:ptCount val="23"/>
                <c:pt idx="0">
                  <c:v>0</c:v>
                </c:pt>
                <c:pt idx="1">
                  <c:v>1.1830401992457764E-2</c:v>
                </c:pt>
                <c:pt idx="2">
                  <c:v>0</c:v>
                </c:pt>
                <c:pt idx="3">
                  <c:v>0</c:v>
                </c:pt>
                <c:pt idx="4">
                  <c:v>0</c:v>
                </c:pt>
                <c:pt idx="5">
                  <c:v>3.6031441575748085E-2</c:v>
                </c:pt>
                <c:pt idx="6">
                  <c:v>2.4020961050498724E-2</c:v>
                </c:pt>
                <c:pt idx="7">
                  <c:v>1.5013178168962828E-2</c:v>
                </c:pt>
                <c:pt idx="8">
                  <c:v>0</c:v>
                </c:pt>
                <c:pt idx="9">
                  <c:v>2.1294723586423973E-2</c:v>
                </c:pt>
                <c:pt idx="10">
                  <c:v>1.2010480525249362E-2</c:v>
                </c:pt>
                <c:pt idx="11">
                  <c:v>1.7745602988686646E-2</c:v>
                </c:pt>
                <c:pt idx="12">
                  <c:v>1.1741693355614612E-2</c:v>
                </c:pt>
                <c:pt idx="13">
                  <c:v>1.2010480525249362E-2</c:v>
                </c:pt>
                <c:pt idx="14">
                  <c:v>2.4020961050498724E-2</c:v>
                </c:pt>
                <c:pt idx="15">
                  <c:v>3.6031441575748085E-2</c:v>
                </c:pt>
                <c:pt idx="16">
                  <c:v>0</c:v>
                </c:pt>
                <c:pt idx="17">
                  <c:v>6.0043790137232912E-2</c:v>
                </c:pt>
                <c:pt idx="18">
                  <c:v>0</c:v>
                </c:pt>
                <c:pt idx="19">
                  <c:v>5.3069185527797269E-2</c:v>
                </c:pt>
                <c:pt idx="20">
                  <c:v>0</c:v>
                </c:pt>
                <c:pt idx="21">
                  <c:v>4.5935227909757528E-2</c:v>
                </c:pt>
                <c:pt idx="22">
                  <c:v>0</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9A59-467D-9B20-E6B192AB379A}"/>
            </c:ext>
          </c:extLst>
        </c:ser>
        <c:dLbls>
          <c:showLegendKey val="0"/>
          <c:showVal val="0"/>
          <c:showCatName val="0"/>
          <c:showSerName val="0"/>
          <c:showPercent val="0"/>
          <c:showBubbleSize val="0"/>
        </c:dLbls>
        <c:gapWidth val="75"/>
        <c:overlap val="100"/>
        <c:axId val="1097334704"/>
        <c:axId val="1283749056"/>
      </c:barChart>
      <c:catAx>
        <c:axId val="109733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1283749056"/>
        <c:crosses val="autoZero"/>
        <c:auto val="1"/>
        <c:lblAlgn val="ctr"/>
        <c:lblOffset val="100"/>
        <c:noMultiLvlLbl val="0"/>
      </c:catAx>
      <c:valAx>
        <c:axId val="12837490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9733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uri="{56B9EC1D-385E-4148-901F-78D8002777C0}">
        <c16r3:dataDisplayOptions16 xmlns:c16r3="http://schemas.microsoft.com/office/drawing/2017/03/chart">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4="http://schemas.microsoft.com/office/drawing/2007/8/2/chart" uri="{781A3756-C4B2-4CAC-9D66-4F8BD8637D16}">
      <c14:pivotOptions>
        <c14:dropZoneFilter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Props1.xml><?xml version="1.0" encoding="utf-8"?>
<ds:datastoreItem xmlns:ds="http://schemas.openxmlformats.org/officeDocument/2006/customXml" ds:itemID="{0F39ECB7-4284-4EEF-A9E7-1CF13846530C}"/>
</file>

<file path=customXml/itemProps2.xml><?xml version="1.0" encoding="utf-8"?>
<ds:datastoreItem xmlns:ds="http://schemas.openxmlformats.org/officeDocument/2006/customXml" ds:itemID="{E2BBA713-98B1-46A4-A038-204337BA4128}">
  <ds:schemaRefs>
    <ds:schemaRef ds:uri="http://schemas.microsoft.com/sharepoint/v3/contenttype/forms"/>
  </ds:schemaRefs>
</ds:datastoreItem>
</file>

<file path=customXml/itemProps3.xml><?xml version="1.0" encoding="utf-8"?>
<ds:datastoreItem xmlns:ds="http://schemas.openxmlformats.org/officeDocument/2006/customXml" ds:itemID="{43331C6E-9FBC-427A-8F8B-BAD4392DA35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C1B4E4-3E30-4F9F-A47B-2A834AC47848}">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30304</Words>
  <Characters>166677</Characters>
  <Application>Microsoft Office Word</Application>
  <DocSecurity>0</DocSecurity>
  <Lines>1388</Lines>
  <Paragraphs>393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David Bastidas Correa</dc:creator>
  <cp:keywords/>
  <dc:description/>
  <cp:lastModifiedBy>Pablo Andres Parra Cubides</cp:lastModifiedBy>
  <cp:revision>2</cp:revision>
  <dcterms:created xsi:type="dcterms:W3CDTF">2022-06-18T16:31:00Z</dcterms:created>
  <dcterms:modified xsi:type="dcterms:W3CDTF">2022-06-18T16:31:00Z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ies>
</file>