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821320" w:rsidR="00CE200A" w:rsidP="00B412DF" w:rsidRDefault="00CE200A" w14:paraId="11D9495D" w14:textId="77777777">
      <w:pPr>
        <w:jc w:val="center"/>
        <w:rPr>
          <w:rFonts w:ascii="Verdana" w:hAnsi="Verdana" w:eastAsiaTheme="minorHAnsi"/>
          <w:b/>
          <w:bCs/>
          <w:sz w:val="22"/>
          <w:szCs w:val="22"/>
          <w:lang w:val="es-CO" w:eastAsia="en-US"/>
        </w:rPr>
      </w:pPr>
      <w:r w:rsidRPr="00821320">
        <w:rPr>
          <w:rFonts w:ascii="Verdana" w:hAnsi="Verdana"/>
          <w:b/>
          <w:bCs/>
          <w:sz w:val="22"/>
          <w:szCs w:val="22"/>
        </w:rPr>
        <w:t>INFORME DE DIAGNÓSTICO INSTITUCIONAL</w:t>
      </w:r>
    </w:p>
    <w:p w:rsidRPr="00821320" w:rsidR="00CE200A" w:rsidP="00B412DF" w:rsidRDefault="00CE200A" w14:paraId="57E01CDF" w14:textId="77777777">
      <w:pPr>
        <w:contextualSpacing/>
        <w:jc w:val="center"/>
        <w:rPr>
          <w:rFonts w:ascii="Verdana" w:hAnsi="Verdana"/>
          <w:b/>
          <w:sz w:val="22"/>
          <w:szCs w:val="22"/>
        </w:rPr>
      </w:pPr>
    </w:p>
    <w:tbl>
      <w:tblPr>
        <w:tblStyle w:val="Tablaconcuadrcula"/>
        <w:tblW w:w="5000" w:type="pct"/>
        <w:tblBorders>
          <w:insideH w:val="single" w:color="auto" w:sz="6" w:space="0"/>
          <w:insideV w:val="single" w:color="auto" w:sz="6" w:space="0"/>
        </w:tblBorders>
        <w:shd w:val="clear" w:color="auto" w:fill="FFC000"/>
        <w:tblLook w:val="04A0" w:firstRow="1" w:lastRow="0" w:firstColumn="1" w:lastColumn="0" w:noHBand="0" w:noVBand="1"/>
      </w:tblPr>
      <w:tblGrid>
        <w:gridCol w:w="2950"/>
        <w:gridCol w:w="5878"/>
      </w:tblGrid>
      <w:tr w:rsidRPr="00821320" w:rsidR="00CE200A" w:rsidTr="00CE200A" w14:paraId="0AEBBE18" w14:textId="77777777">
        <w:tc>
          <w:tcPr>
            <w:tcW w:w="1671" w:type="pct"/>
            <w:tcBorders>
              <w:top w:val="single" w:color="auto" w:sz="4" w:space="0"/>
              <w:left w:val="single" w:color="auto" w:sz="4" w:space="0"/>
              <w:bottom w:val="single" w:color="auto" w:sz="6" w:space="0"/>
              <w:right w:val="single" w:color="auto" w:sz="6" w:space="0"/>
            </w:tcBorders>
            <w:shd w:val="clear" w:color="auto" w:fill="FFC000"/>
            <w:hideMark/>
          </w:tcPr>
          <w:p w:rsidRPr="00821320" w:rsidR="00CE200A" w:rsidP="00B412DF" w:rsidRDefault="00CE200A" w14:paraId="4BC077AB" w14:textId="77777777">
            <w:pPr>
              <w:jc w:val="both"/>
              <w:rPr>
                <w:rFonts w:ascii="Verdana" w:hAnsi="Verdana"/>
                <w:bCs/>
                <w:i/>
                <w:sz w:val="22"/>
                <w:szCs w:val="22"/>
              </w:rPr>
            </w:pPr>
            <w:r w:rsidRPr="00821320">
              <w:rPr>
                <w:rFonts w:ascii="Verdana" w:hAnsi="Verdana"/>
                <w:bCs/>
                <w:i/>
                <w:sz w:val="22"/>
                <w:szCs w:val="22"/>
              </w:rPr>
              <w:t>Número de Expediente</w:t>
            </w:r>
          </w:p>
        </w:tc>
        <w:tc>
          <w:tcPr>
            <w:tcW w:w="3329" w:type="pct"/>
            <w:tcBorders>
              <w:top w:val="single" w:color="auto" w:sz="4" w:space="0"/>
              <w:left w:val="single" w:color="auto" w:sz="6" w:space="0"/>
              <w:bottom w:val="single" w:color="auto" w:sz="6" w:space="0"/>
              <w:right w:val="single" w:color="auto" w:sz="4" w:space="0"/>
            </w:tcBorders>
            <w:shd w:val="clear" w:color="auto" w:fill="FFC000"/>
            <w:hideMark/>
          </w:tcPr>
          <w:p w:rsidRPr="00821320" w:rsidR="00CE200A" w:rsidP="00B412DF" w:rsidRDefault="00CE200A" w14:paraId="31BBC11A" w14:textId="77777777">
            <w:pPr>
              <w:jc w:val="both"/>
              <w:rPr>
                <w:rFonts w:ascii="Verdana" w:hAnsi="Verdana"/>
                <w:b/>
                <w:bCs/>
                <w:sz w:val="22"/>
                <w:szCs w:val="22"/>
              </w:rPr>
            </w:pPr>
            <w:bookmarkStart w:name="numexpcompartido" w:id="0"/>
            <w:bookmarkEnd w:id="0"/>
            <w:r w:rsidRPr="00821320">
              <w:rPr>
                <w:rFonts w:ascii="Verdana" w:hAnsi="Verdana"/>
                <w:b/>
                <w:bCs/>
                <w:sz w:val="22"/>
                <w:szCs w:val="22"/>
              </w:rPr>
              <w:t>44/2019/D028-PREDI</w:t>
            </w:r>
          </w:p>
        </w:tc>
      </w:tr>
      <w:tr w:rsidRPr="00821320" w:rsidR="00CE200A" w:rsidTr="00CE200A" w14:paraId="1BEA4F50" w14:textId="77777777">
        <w:tc>
          <w:tcPr>
            <w:tcW w:w="1671" w:type="pct"/>
            <w:tcBorders>
              <w:top w:val="single" w:color="auto" w:sz="6" w:space="0"/>
              <w:left w:val="single" w:color="auto" w:sz="4" w:space="0"/>
              <w:bottom w:val="single" w:color="auto" w:sz="6" w:space="0"/>
              <w:right w:val="single" w:color="auto" w:sz="6" w:space="0"/>
            </w:tcBorders>
            <w:shd w:val="clear" w:color="auto" w:fill="FFC000"/>
            <w:hideMark/>
          </w:tcPr>
          <w:p w:rsidRPr="00821320" w:rsidR="00CE200A" w:rsidP="00B412DF" w:rsidRDefault="00CE200A" w14:paraId="10E84250" w14:textId="77777777">
            <w:pPr>
              <w:jc w:val="both"/>
              <w:rPr>
                <w:rFonts w:ascii="Verdana" w:hAnsi="Verdana"/>
                <w:bCs/>
                <w:i/>
                <w:sz w:val="22"/>
                <w:szCs w:val="22"/>
              </w:rPr>
            </w:pPr>
            <w:r w:rsidRPr="00821320">
              <w:rPr>
                <w:rFonts w:ascii="Verdana" w:hAnsi="Verdana"/>
                <w:bCs/>
                <w:i/>
                <w:sz w:val="22"/>
                <w:szCs w:val="22"/>
              </w:rPr>
              <w:t>Sector</w:t>
            </w:r>
          </w:p>
        </w:tc>
        <w:tc>
          <w:tcPr>
            <w:tcW w:w="3329" w:type="pct"/>
            <w:tcBorders>
              <w:top w:val="single" w:color="auto" w:sz="6" w:space="0"/>
              <w:left w:val="single" w:color="auto" w:sz="6" w:space="0"/>
              <w:bottom w:val="single" w:color="auto" w:sz="6" w:space="0"/>
              <w:right w:val="single" w:color="auto" w:sz="4" w:space="0"/>
            </w:tcBorders>
            <w:shd w:val="clear" w:color="auto" w:fill="FFC000"/>
            <w:hideMark/>
          </w:tcPr>
          <w:p w:rsidRPr="00821320" w:rsidR="00CE200A" w:rsidP="00B412DF" w:rsidRDefault="00CE200A" w14:paraId="3944B541" w14:textId="77777777">
            <w:pPr>
              <w:jc w:val="both"/>
              <w:rPr>
                <w:rFonts w:ascii="Verdana" w:hAnsi="Verdana"/>
                <w:b/>
                <w:bCs/>
                <w:sz w:val="22"/>
                <w:szCs w:val="22"/>
              </w:rPr>
            </w:pPr>
            <w:r w:rsidRPr="00821320">
              <w:rPr>
                <w:rFonts w:ascii="Verdana" w:hAnsi="Verdana"/>
                <w:b/>
                <w:bCs/>
                <w:sz w:val="22"/>
                <w:szCs w:val="22"/>
              </w:rPr>
              <w:t xml:space="preserve">Educación </w:t>
            </w:r>
          </w:p>
        </w:tc>
      </w:tr>
      <w:tr w:rsidRPr="00821320" w:rsidR="00CE200A" w:rsidTr="00CE200A" w14:paraId="3C195D21" w14:textId="77777777">
        <w:tc>
          <w:tcPr>
            <w:tcW w:w="1671" w:type="pct"/>
            <w:tcBorders>
              <w:top w:val="single" w:color="auto" w:sz="6" w:space="0"/>
              <w:left w:val="single" w:color="auto" w:sz="4" w:space="0"/>
              <w:bottom w:val="single" w:color="auto" w:sz="6" w:space="0"/>
              <w:right w:val="single" w:color="auto" w:sz="6" w:space="0"/>
            </w:tcBorders>
            <w:shd w:val="clear" w:color="auto" w:fill="FFC000"/>
            <w:hideMark/>
          </w:tcPr>
          <w:p w:rsidRPr="00821320" w:rsidR="00CE200A" w:rsidP="00B412DF" w:rsidRDefault="00CE200A" w14:paraId="06F17B98" w14:textId="77777777">
            <w:pPr>
              <w:jc w:val="both"/>
              <w:rPr>
                <w:rFonts w:ascii="Verdana" w:hAnsi="Verdana"/>
                <w:bCs/>
                <w:i/>
                <w:sz w:val="22"/>
                <w:szCs w:val="22"/>
              </w:rPr>
            </w:pPr>
            <w:r w:rsidRPr="00821320">
              <w:rPr>
                <w:rFonts w:ascii="Verdana" w:hAnsi="Verdana"/>
                <w:bCs/>
                <w:i/>
                <w:sz w:val="22"/>
                <w:szCs w:val="22"/>
              </w:rPr>
              <w:t>Tipo de Entidad</w:t>
            </w:r>
          </w:p>
        </w:tc>
        <w:tc>
          <w:tcPr>
            <w:tcW w:w="3329" w:type="pct"/>
            <w:tcBorders>
              <w:top w:val="single" w:color="auto" w:sz="6" w:space="0"/>
              <w:left w:val="single" w:color="auto" w:sz="6" w:space="0"/>
              <w:bottom w:val="single" w:color="auto" w:sz="6" w:space="0"/>
              <w:right w:val="single" w:color="auto" w:sz="4" w:space="0"/>
            </w:tcBorders>
            <w:shd w:val="clear" w:color="auto" w:fill="FFC000"/>
            <w:hideMark/>
          </w:tcPr>
          <w:p w:rsidRPr="00821320" w:rsidR="00CE200A" w:rsidP="00B412DF" w:rsidRDefault="00CE200A" w14:paraId="791F2D4A" w14:textId="77777777">
            <w:pPr>
              <w:jc w:val="both"/>
              <w:rPr>
                <w:rFonts w:ascii="Verdana" w:hAnsi="Verdana"/>
                <w:b/>
                <w:sz w:val="22"/>
                <w:szCs w:val="22"/>
              </w:rPr>
            </w:pPr>
            <w:bookmarkStart w:name="cmbtipoentidad" w:id="1"/>
            <w:bookmarkEnd w:id="1"/>
            <w:r w:rsidRPr="00821320">
              <w:rPr>
                <w:rFonts w:ascii="Verdana" w:hAnsi="Verdana"/>
                <w:b/>
                <w:sz w:val="22"/>
                <w:szCs w:val="22"/>
              </w:rPr>
              <w:t>Municipio</w:t>
            </w:r>
          </w:p>
        </w:tc>
      </w:tr>
      <w:tr w:rsidRPr="00821320" w:rsidR="00CE200A" w:rsidTr="00CE200A" w14:paraId="66812C82" w14:textId="77777777">
        <w:tc>
          <w:tcPr>
            <w:tcW w:w="1671" w:type="pct"/>
            <w:tcBorders>
              <w:top w:val="single" w:color="auto" w:sz="6" w:space="0"/>
              <w:left w:val="single" w:color="auto" w:sz="4" w:space="0"/>
              <w:bottom w:val="single" w:color="auto" w:sz="4" w:space="0"/>
              <w:right w:val="single" w:color="auto" w:sz="6" w:space="0"/>
            </w:tcBorders>
            <w:shd w:val="clear" w:color="auto" w:fill="FFC000"/>
            <w:hideMark/>
          </w:tcPr>
          <w:p w:rsidRPr="00821320" w:rsidR="00CE200A" w:rsidP="00B412DF" w:rsidRDefault="00CE200A" w14:paraId="34168E89" w14:textId="77777777">
            <w:pPr>
              <w:jc w:val="both"/>
              <w:rPr>
                <w:rFonts w:ascii="Verdana" w:hAnsi="Verdana"/>
                <w:bCs/>
                <w:i/>
                <w:sz w:val="22"/>
                <w:szCs w:val="22"/>
              </w:rPr>
            </w:pPr>
            <w:r w:rsidRPr="00821320">
              <w:rPr>
                <w:rFonts w:ascii="Verdana" w:hAnsi="Verdana"/>
                <w:bCs/>
                <w:i/>
                <w:sz w:val="22"/>
                <w:szCs w:val="22"/>
              </w:rPr>
              <w:t>Entidad</w:t>
            </w:r>
          </w:p>
        </w:tc>
        <w:tc>
          <w:tcPr>
            <w:tcW w:w="3329" w:type="pct"/>
            <w:tcBorders>
              <w:top w:val="single" w:color="auto" w:sz="6" w:space="0"/>
              <w:left w:val="single" w:color="auto" w:sz="6" w:space="0"/>
              <w:bottom w:val="single" w:color="auto" w:sz="4" w:space="0"/>
              <w:right w:val="single" w:color="auto" w:sz="4" w:space="0"/>
            </w:tcBorders>
            <w:shd w:val="clear" w:color="auto" w:fill="FFC000"/>
            <w:hideMark/>
          </w:tcPr>
          <w:p w:rsidRPr="00821320" w:rsidR="00CE200A" w:rsidP="00B412DF" w:rsidRDefault="00CE200A" w14:paraId="6066E58D" w14:textId="77777777">
            <w:pPr>
              <w:jc w:val="both"/>
              <w:rPr>
                <w:rFonts w:ascii="Verdana" w:hAnsi="Verdana"/>
                <w:b/>
                <w:sz w:val="22"/>
                <w:szCs w:val="22"/>
              </w:rPr>
            </w:pPr>
            <w:bookmarkStart w:name="deptoymuni" w:id="2"/>
            <w:bookmarkStart w:name="cmbresguardo" w:id="3"/>
            <w:bookmarkEnd w:id="2"/>
            <w:bookmarkEnd w:id="3"/>
            <w:r w:rsidRPr="00821320">
              <w:rPr>
                <w:rFonts w:ascii="Verdana" w:hAnsi="Verdana"/>
                <w:b/>
                <w:sz w:val="22"/>
                <w:szCs w:val="22"/>
              </w:rPr>
              <w:t>Yopal - Casanare</w:t>
            </w:r>
          </w:p>
        </w:tc>
      </w:tr>
    </w:tbl>
    <w:p w:rsidRPr="00821320" w:rsidR="00CE200A" w:rsidP="00B412DF" w:rsidRDefault="00CE200A" w14:paraId="049572B6" w14:textId="77777777">
      <w:pPr>
        <w:contextualSpacing/>
        <w:jc w:val="both"/>
        <w:rPr>
          <w:rFonts w:ascii="Verdana" w:hAnsi="Verdana" w:cstheme="minorBidi"/>
          <w:kern w:val="2"/>
          <w:sz w:val="22"/>
          <w:szCs w:val="22"/>
          <w:lang w:eastAsia="en-US"/>
        </w:rPr>
      </w:pPr>
    </w:p>
    <w:p w:rsidRPr="00821320" w:rsidR="00CE200A" w:rsidP="00B412DF" w:rsidRDefault="00CE200A" w14:paraId="745E70C7" w14:textId="77777777">
      <w:pPr>
        <w:pStyle w:val="Ttulo1"/>
        <w:numPr>
          <w:ilvl w:val="0"/>
          <w:numId w:val="19"/>
        </w:numPr>
        <w:spacing w:before="0" w:line="240" w:lineRule="auto"/>
        <w:ind w:hanging="360"/>
        <w:rPr>
          <w:rFonts w:ascii="Verdana" w:hAnsi="Verdana"/>
          <w:b/>
          <w:bCs/>
          <w:color w:val="auto"/>
          <w:sz w:val="22"/>
          <w:szCs w:val="22"/>
        </w:rPr>
      </w:pPr>
      <w:r w:rsidRPr="00821320">
        <w:rPr>
          <w:rFonts w:ascii="Verdana" w:hAnsi="Verdana"/>
          <w:b/>
          <w:bCs/>
          <w:color w:val="auto"/>
          <w:sz w:val="22"/>
          <w:szCs w:val="22"/>
        </w:rPr>
        <w:t xml:space="preserve">ANTECEDENTES </w:t>
      </w:r>
    </w:p>
    <w:p w:rsidRPr="00821320" w:rsidR="00CE200A" w:rsidP="00B412DF" w:rsidRDefault="00CE200A" w14:paraId="66197921" w14:textId="77777777">
      <w:pPr>
        <w:jc w:val="both"/>
        <w:rPr>
          <w:rFonts w:ascii="Verdana" w:hAnsi="Verdana"/>
          <w:sz w:val="22"/>
          <w:szCs w:val="22"/>
        </w:rPr>
      </w:pPr>
    </w:p>
    <w:p w:rsidRPr="00821320" w:rsidR="00CE200A" w:rsidP="00B412DF" w:rsidRDefault="00CE200A" w14:paraId="7A48C41F" w14:textId="77777777">
      <w:pPr>
        <w:contextualSpacing/>
        <w:jc w:val="both"/>
        <w:rPr>
          <w:rFonts w:ascii="Verdana" w:hAnsi="Verdana"/>
          <w:sz w:val="22"/>
          <w:szCs w:val="22"/>
        </w:rPr>
      </w:pPr>
      <w:r w:rsidRPr="00821320">
        <w:rPr>
          <w:rFonts w:ascii="Verdana" w:hAnsi="Verdana"/>
          <w:sz w:val="22"/>
          <w:szCs w:val="22"/>
        </w:rPr>
        <w:t xml:space="preserve">El Municipio de Yopal </w:t>
      </w:r>
      <w:r w:rsidRPr="00821320" w:rsidR="001C130C">
        <w:rPr>
          <w:rFonts w:ascii="Verdana" w:hAnsi="Verdana"/>
          <w:sz w:val="22"/>
          <w:szCs w:val="22"/>
        </w:rPr>
        <w:t xml:space="preserve">– Casanare </w:t>
      </w:r>
      <w:r w:rsidRPr="00821320">
        <w:rPr>
          <w:rFonts w:ascii="Verdana" w:hAnsi="Verdana"/>
          <w:sz w:val="22"/>
          <w:szCs w:val="22"/>
        </w:rPr>
        <w:t>fue priorizado para aplicar las actividades de seguimiento y control al uso de recursos del Sistema General de Participaciones, incluidas en la estrategia descrita por el Decreto 028 de 2008, debido a que éste fue analizado por el Ministerio de Educación Nacional en consideración de las acciones adelantadas en el marco de la etapa de monitoreo para las vigencias 2017 y 2018, identificando la existencia de posibles situaciones que pueden poner en riesgo los recursos del Sector Educación del Sistema General de Participaciones, y comunicando a esta Dirección mediante el oficio con radicado No. 1-2019-080478 del 30 de agosto de 2019.</w:t>
      </w:r>
    </w:p>
    <w:p w:rsidRPr="00821320" w:rsidR="00CE200A" w:rsidP="00B412DF" w:rsidRDefault="00CE200A" w14:paraId="5498D0FF" w14:textId="77777777">
      <w:pPr>
        <w:contextualSpacing/>
        <w:jc w:val="both"/>
        <w:rPr>
          <w:rFonts w:ascii="Verdana" w:hAnsi="Verdana"/>
          <w:sz w:val="22"/>
          <w:szCs w:val="22"/>
          <w:lang w:val="es-ES_tradnl"/>
        </w:rPr>
      </w:pPr>
    </w:p>
    <w:p w:rsidRPr="00821320" w:rsidR="00CE200A" w:rsidP="00B412DF" w:rsidRDefault="00CE200A" w14:paraId="0596AAAB" w14:textId="77777777">
      <w:pPr>
        <w:contextualSpacing/>
        <w:jc w:val="both"/>
        <w:rPr>
          <w:rFonts w:ascii="Verdana" w:hAnsi="Verdana"/>
          <w:sz w:val="22"/>
          <w:szCs w:val="22"/>
        </w:rPr>
      </w:pPr>
      <w:r w:rsidRPr="00821320">
        <w:rPr>
          <w:rFonts w:ascii="Verdana" w:hAnsi="Verdana"/>
          <w:sz w:val="22"/>
          <w:szCs w:val="22"/>
        </w:rPr>
        <w:t xml:space="preserve">De acuerdo con lo anterior, la Dirección General de Apoyo Fiscal, con base en sus criterios de priorización, determinó el inicio de las actividades de seguimiento y control a su cargo en dicho Municipio y solicitó la información </w:t>
      </w:r>
      <w:r w:rsidRPr="00821320" w:rsidR="00A0642A">
        <w:rPr>
          <w:rFonts w:ascii="Verdana" w:hAnsi="Verdana"/>
          <w:sz w:val="22"/>
          <w:szCs w:val="22"/>
        </w:rPr>
        <w:t>necesaria</w:t>
      </w:r>
      <w:r w:rsidRPr="00821320">
        <w:rPr>
          <w:rFonts w:ascii="Verdana" w:hAnsi="Verdana"/>
          <w:sz w:val="22"/>
          <w:szCs w:val="22"/>
        </w:rPr>
        <w:t xml:space="preserve"> para recolección de antecedentes de la Entidad a través del oficio con radicado No. 2-2019-034197 del 11 de septiembre de 2019, la cual fue reiterada mediante el oficio con radicado No. 2-2019-037343 del 02 de octubre de 2019, solicitudes que tuvieron respuesta por parte de la Entidad a través de los oficios con radicado No. 1-2019-097963 del 22 de octubre de 2019 y No. 1-2019-098044 del 22 de octubre de 2019.</w:t>
      </w:r>
    </w:p>
    <w:p w:rsidRPr="00821320" w:rsidR="00CE200A" w:rsidP="00B412DF" w:rsidRDefault="00CE200A" w14:paraId="001E2868" w14:textId="77777777">
      <w:pPr>
        <w:contextualSpacing/>
        <w:jc w:val="both"/>
        <w:rPr>
          <w:rFonts w:ascii="Verdana" w:hAnsi="Verdana"/>
          <w:sz w:val="22"/>
          <w:szCs w:val="22"/>
        </w:rPr>
      </w:pPr>
    </w:p>
    <w:p w:rsidRPr="00821320" w:rsidR="00CE200A" w:rsidP="00B412DF" w:rsidRDefault="00CE200A" w14:paraId="2000DFCC" w14:textId="77777777">
      <w:pPr>
        <w:contextualSpacing/>
        <w:jc w:val="both"/>
        <w:rPr>
          <w:rFonts w:ascii="Verdana" w:hAnsi="Verdana"/>
          <w:sz w:val="22"/>
          <w:szCs w:val="22"/>
        </w:rPr>
      </w:pPr>
      <w:r w:rsidRPr="00821320">
        <w:rPr>
          <w:rFonts w:ascii="Verdana" w:hAnsi="Verdana"/>
          <w:sz w:val="22"/>
          <w:szCs w:val="22"/>
        </w:rPr>
        <w:t>Posteriormente, se solicitó información adicional y se anunció visita de reconocimiento institucional durante los días 27 al 29 de noviembre de 2019 a través del oficio con radicado No. 2-2019-045000 del 14 de noviembre de 2019, solicitud de información que tuvo respuesta por medio de los radicados 1-2019-110831 del 03 de diciembre de 2019, 1-2019-116358 del 18 de diciembre de 2019, 1-2020-002868 del 16 de enero de 2020 y 1-2020-003281 del 17 de enero de 2020.</w:t>
      </w:r>
    </w:p>
    <w:p w:rsidRPr="00821320" w:rsidR="00F15156" w:rsidP="00B412DF" w:rsidRDefault="00F15156" w14:paraId="5C96498F" w14:textId="77777777">
      <w:pPr>
        <w:contextualSpacing/>
        <w:jc w:val="both"/>
        <w:rPr>
          <w:rFonts w:ascii="Verdana" w:hAnsi="Verdana"/>
          <w:sz w:val="22"/>
          <w:szCs w:val="22"/>
        </w:rPr>
      </w:pPr>
    </w:p>
    <w:p w:rsidRPr="00821320" w:rsidR="00F15156" w:rsidP="00B412DF" w:rsidRDefault="00F15156" w14:paraId="0C90E0DF" w14:textId="77777777">
      <w:pPr>
        <w:contextualSpacing/>
        <w:jc w:val="both"/>
        <w:rPr>
          <w:rFonts w:ascii="Verdana" w:hAnsi="Verdana"/>
          <w:sz w:val="22"/>
          <w:szCs w:val="22"/>
        </w:rPr>
      </w:pPr>
      <w:r w:rsidRPr="00821320">
        <w:rPr>
          <w:rFonts w:ascii="Verdana" w:hAnsi="Verdana"/>
          <w:sz w:val="22"/>
          <w:szCs w:val="22"/>
        </w:rPr>
        <w:t>Ahora bien, producto de la declaratoria pandemia por el Coronavirus COVID-19 y en virtud del artículo 6 del Decreto 491 de 2020, la Dirección General de Apoyo Fiscal determinó la necesidad de tomar medidas extraordinarias y urgentes relacionadas con los términos de vigencia de las Medidas Preventivas de Plan de Desempeño adoptadas y vigentes en ese momento, por lo cual entre abril de 2020 y febrero de 2021 se suspendió el término de la vigencia de los planes de desempeño, período durante el cual la Dirección General de Apoyo Fiscal no realizó adopción, evaluación y seguimiento a las medidas.</w:t>
      </w:r>
    </w:p>
    <w:p w:rsidRPr="00821320" w:rsidR="00CE200A" w:rsidP="00B412DF" w:rsidRDefault="00CE200A" w14:paraId="2D0F9066" w14:textId="77777777">
      <w:pPr>
        <w:contextualSpacing/>
        <w:jc w:val="both"/>
        <w:rPr>
          <w:rFonts w:ascii="Verdana" w:hAnsi="Verdana"/>
          <w:sz w:val="22"/>
          <w:szCs w:val="22"/>
        </w:rPr>
      </w:pPr>
    </w:p>
    <w:p w:rsidRPr="00821320" w:rsidR="00CE200A" w:rsidP="00B412DF" w:rsidRDefault="00CE200A" w14:paraId="4923542C" w14:textId="77777777">
      <w:pPr>
        <w:contextualSpacing/>
        <w:jc w:val="both"/>
        <w:rPr>
          <w:rFonts w:ascii="Verdana" w:hAnsi="Verdana"/>
          <w:sz w:val="22"/>
          <w:szCs w:val="22"/>
        </w:rPr>
      </w:pPr>
      <w:r w:rsidRPr="00821320">
        <w:rPr>
          <w:rFonts w:ascii="Verdana" w:hAnsi="Verdana"/>
          <w:sz w:val="22"/>
          <w:szCs w:val="22"/>
        </w:rPr>
        <w:t>Por último, en pro de actualizar la información allegada y verificar la situación actual de los hallazgos preconfigurados por esta Dirección, se solicitó nuevamente información por medio del radicado No. 2-2023-027789 del 05 de junio de 2023 y tuvo respuesta por parte de la Entidad a través del radicado No.</w:t>
      </w:r>
      <w:r w:rsidRPr="00821320" w:rsidR="005E391D">
        <w:rPr>
          <w:rFonts w:ascii="Verdana" w:hAnsi="Verdana"/>
          <w:sz w:val="22"/>
          <w:szCs w:val="22"/>
          <w:lang w:val="es-CO"/>
        </w:rPr>
        <w:t xml:space="preserve"> </w:t>
      </w:r>
      <w:r w:rsidRPr="00821320">
        <w:rPr>
          <w:rFonts w:ascii="Verdana" w:hAnsi="Verdana"/>
          <w:sz w:val="22"/>
          <w:szCs w:val="22"/>
        </w:rPr>
        <w:t>1-2023-051977 del 21 de junio de</w:t>
      </w:r>
      <w:r w:rsidRPr="00821320" w:rsidR="00F15156">
        <w:rPr>
          <w:rFonts w:ascii="Verdana" w:hAnsi="Verdana"/>
          <w:sz w:val="22"/>
          <w:szCs w:val="22"/>
        </w:rPr>
        <w:t>l mismo año</w:t>
      </w:r>
      <w:r w:rsidRPr="00821320">
        <w:rPr>
          <w:rFonts w:ascii="Verdana" w:hAnsi="Verdana"/>
          <w:sz w:val="22"/>
          <w:szCs w:val="22"/>
        </w:rPr>
        <w:t>. Los resultados del análisis sobre la información suministrada se plasman en este informe. </w:t>
      </w:r>
    </w:p>
    <w:p w:rsidRPr="00821320" w:rsidR="00F15156" w:rsidP="00B412DF" w:rsidRDefault="00F15156" w14:paraId="6B6101E2" w14:textId="77777777">
      <w:pPr>
        <w:contextualSpacing/>
        <w:jc w:val="both"/>
        <w:rPr>
          <w:rFonts w:ascii="Verdana" w:hAnsi="Verdana"/>
          <w:sz w:val="22"/>
          <w:szCs w:val="22"/>
          <w:lang w:val="es-CO"/>
        </w:rPr>
      </w:pPr>
    </w:p>
    <w:p w:rsidRPr="00821320" w:rsidR="00CE200A" w:rsidP="00B412DF" w:rsidRDefault="00CE200A" w14:paraId="03923C82" w14:textId="77777777">
      <w:pPr>
        <w:pStyle w:val="Ttulo1"/>
        <w:numPr>
          <w:ilvl w:val="0"/>
          <w:numId w:val="19"/>
        </w:numPr>
        <w:spacing w:before="0" w:line="240" w:lineRule="auto"/>
        <w:ind w:hanging="360"/>
        <w:rPr>
          <w:rFonts w:ascii="Verdana" w:hAnsi="Verdana"/>
          <w:b/>
          <w:bCs/>
          <w:color w:val="auto"/>
          <w:sz w:val="22"/>
          <w:szCs w:val="22"/>
        </w:rPr>
      </w:pPr>
      <w:r w:rsidRPr="00821320">
        <w:rPr>
          <w:rFonts w:ascii="Verdana" w:hAnsi="Verdana"/>
          <w:b/>
          <w:bCs/>
          <w:color w:val="auto"/>
          <w:sz w:val="22"/>
          <w:szCs w:val="22"/>
        </w:rPr>
        <w:t xml:space="preserve">CARACTERIZACIÓN </w:t>
      </w:r>
    </w:p>
    <w:p w:rsidRPr="00821320" w:rsidR="00CE200A" w:rsidP="00B412DF" w:rsidRDefault="00CE200A" w14:paraId="1C27EF04" w14:textId="77777777">
      <w:pPr>
        <w:jc w:val="both"/>
        <w:rPr>
          <w:rFonts w:ascii="Verdana" w:hAnsi="Verdana"/>
          <w:sz w:val="22"/>
          <w:szCs w:val="22"/>
        </w:rPr>
      </w:pPr>
    </w:p>
    <w:p w:rsidRPr="00821320" w:rsidR="00CE200A" w:rsidP="00B412DF" w:rsidRDefault="00CE200A" w14:paraId="4309313D" w14:textId="77777777">
      <w:pPr>
        <w:contextualSpacing/>
        <w:jc w:val="center"/>
        <w:rPr>
          <w:rFonts w:ascii="Verdana" w:hAnsi="Verdana"/>
          <w:sz w:val="22"/>
          <w:szCs w:val="22"/>
        </w:rPr>
      </w:pPr>
      <w:r w:rsidRPr="00821320">
        <w:rPr>
          <w:rFonts w:ascii="Verdana" w:hAnsi="Verdana"/>
          <w:noProof/>
          <w:sz w:val="22"/>
          <w:szCs w:val="22"/>
        </w:rPr>
        <w:drawing>
          <wp:inline distT="0" distB="0" distL="0" distR="0" wp14:anchorId="7720D6E5" wp14:editId="41E101E8">
            <wp:extent cx="5612001" cy="5529533"/>
            <wp:effectExtent l="0" t="0" r="8255" b="0"/>
            <wp:docPr id="2495013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1614" cy="5539005"/>
                    </a:xfrm>
                    <a:prstGeom prst="rect">
                      <a:avLst/>
                    </a:prstGeom>
                    <a:noFill/>
                    <a:ln>
                      <a:noFill/>
                    </a:ln>
                  </pic:spPr>
                </pic:pic>
              </a:graphicData>
            </a:graphic>
          </wp:inline>
        </w:drawing>
      </w:r>
    </w:p>
    <w:p w:rsidRPr="00821320" w:rsidR="00CE200A" w:rsidP="00B412DF" w:rsidRDefault="00CE200A" w14:paraId="52B2C142" w14:textId="77777777">
      <w:pPr>
        <w:contextualSpacing/>
        <w:jc w:val="center"/>
        <w:rPr>
          <w:rFonts w:ascii="Verdana" w:hAnsi="Verdana"/>
          <w:sz w:val="22"/>
          <w:szCs w:val="22"/>
        </w:rPr>
      </w:pPr>
    </w:p>
    <w:p w:rsidRPr="00821320" w:rsidR="00CE200A" w:rsidP="00B412DF" w:rsidRDefault="00CE200A" w14:paraId="2EACE17C" w14:textId="77777777">
      <w:pPr>
        <w:pStyle w:val="Ttulo1"/>
        <w:numPr>
          <w:ilvl w:val="0"/>
          <w:numId w:val="19"/>
        </w:numPr>
        <w:spacing w:before="0" w:line="240" w:lineRule="auto"/>
        <w:ind w:hanging="360"/>
        <w:rPr>
          <w:rFonts w:ascii="Verdana" w:hAnsi="Verdana"/>
          <w:b/>
          <w:bCs/>
          <w:color w:val="auto"/>
          <w:sz w:val="22"/>
          <w:szCs w:val="22"/>
        </w:rPr>
      </w:pPr>
      <w:r w:rsidRPr="00821320">
        <w:rPr>
          <w:rFonts w:ascii="Verdana" w:hAnsi="Verdana"/>
          <w:b/>
          <w:bCs/>
          <w:color w:val="auto"/>
          <w:sz w:val="22"/>
          <w:szCs w:val="22"/>
        </w:rPr>
        <w:lastRenderedPageBreak/>
        <w:t>ANÁLISIS FINANCIERO Y SECTORIAL</w:t>
      </w:r>
    </w:p>
    <w:p w:rsidRPr="00821320" w:rsidR="00CE200A" w:rsidP="00B412DF" w:rsidRDefault="00CE200A" w14:paraId="39532A17" w14:textId="77777777">
      <w:pPr>
        <w:jc w:val="both"/>
        <w:rPr>
          <w:rFonts w:ascii="Verdana" w:hAnsi="Verdana"/>
          <w:b/>
          <w:bCs/>
          <w:sz w:val="22"/>
          <w:szCs w:val="22"/>
        </w:rPr>
      </w:pPr>
    </w:p>
    <w:p w:rsidRPr="00821320" w:rsidR="00CE200A" w:rsidP="00B412DF" w:rsidRDefault="00CE200A" w14:paraId="4682783E" w14:textId="77777777">
      <w:pPr>
        <w:pStyle w:val="Ttulo2"/>
        <w:numPr>
          <w:ilvl w:val="0"/>
          <w:numId w:val="21"/>
        </w:numPr>
        <w:spacing w:before="0"/>
        <w:ind w:left="426" w:hanging="426"/>
        <w:rPr>
          <w:rFonts w:ascii="Verdana" w:hAnsi="Verdana"/>
          <w:b/>
          <w:bCs/>
          <w:color w:val="auto"/>
          <w:sz w:val="22"/>
          <w:szCs w:val="22"/>
        </w:rPr>
      </w:pPr>
      <w:r w:rsidRPr="00821320">
        <w:rPr>
          <w:rFonts w:ascii="Verdana" w:hAnsi="Verdana"/>
          <w:b/>
          <w:bCs/>
          <w:color w:val="auto"/>
          <w:sz w:val="22"/>
          <w:szCs w:val="22"/>
        </w:rPr>
        <w:t>Análisis financiero.</w:t>
      </w:r>
    </w:p>
    <w:p w:rsidRPr="00821320" w:rsidR="00CE200A" w:rsidP="00B412DF" w:rsidRDefault="00CE200A" w14:paraId="164BABBB" w14:textId="77777777">
      <w:pPr>
        <w:rPr>
          <w:rFonts w:ascii="Verdana" w:hAnsi="Verdana"/>
          <w:sz w:val="22"/>
          <w:szCs w:val="22"/>
        </w:rPr>
      </w:pPr>
    </w:p>
    <w:p w:rsidRPr="00821320" w:rsidR="00CE200A" w:rsidP="00B412DF" w:rsidRDefault="00CE200A" w14:paraId="7007EA2A" w14:textId="77777777">
      <w:pPr>
        <w:pStyle w:val="Ttulo2"/>
        <w:spacing w:before="0"/>
        <w:rPr>
          <w:rFonts w:ascii="Verdana" w:hAnsi="Verdana"/>
          <w:b/>
          <w:bCs/>
          <w:color w:val="auto"/>
          <w:sz w:val="22"/>
          <w:szCs w:val="22"/>
        </w:rPr>
      </w:pPr>
      <w:r w:rsidRPr="00821320">
        <w:rPr>
          <w:rFonts w:ascii="Verdana" w:hAnsi="Verdana"/>
          <w:b/>
          <w:bCs/>
          <w:color w:val="auto"/>
          <w:sz w:val="22"/>
          <w:szCs w:val="22"/>
        </w:rPr>
        <w:t>Ingresos.</w:t>
      </w:r>
    </w:p>
    <w:p w:rsidRPr="00821320" w:rsidR="00CE200A" w:rsidP="00B412DF" w:rsidRDefault="00CE200A" w14:paraId="7AAF472A" w14:textId="77777777">
      <w:pPr>
        <w:jc w:val="both"/>
        <w:rPr>
          <w:rFonts w:ascii="Verdana" w:hAnsi="Verdana"/>
          <w:b/>
          <w:sz w:val="22"/>
          <w:szCs w:val="22"/>
        </w:rPr>
      </w:pPr>
    </w:p>
    <w:p w:rsidRPr="00821320" w:rsidR="00CE7E95" w:rsidP="00B412DF" w:rsidRDefault="00CE7E95" w14:paraId="314A047B" w14:textId="77777777">
      <w:pPr>
        <w:contextualSpacing/>
        <w:jc w:val="both"/>
        <w:rPr>
          <w:rFonts w:ascii="Verdana" w:hAnsi="Verdana"/>
          <w:sz w:val="22"/>
          <w:szCs w:val="22"/>
        </w:rPr>
      </w:pPr>
      <w:r w:rsidRPr="00821320">
        <w:rPr>
          <w:rFonts w:ascii="Verdana" w:hAnsi="Verdana"/>
          <w:sz w:val="22"/>
          <w:szCs w:val="22"/>
        </w:rPr>
        <w:t xml:space="preserve">En materia de ingresos, para la vigencia 2021 el Municipio recaudó $105.813 millones en el Sector Educación, de los cuales el 98,6% ($104.403 millones) correspondió a ingresos corrientes de transferencias del Sistema General de Participaciones - SGP – Educación y el 1,4% restante ($1.410 millones) a ingresos de recursos de capital. </w:t>
      </w:r>
    </w:p>
    <w:p w:rsidRPr="00821320" w:rsidR="00CE7E95" w:rsidP="00B412DF" w:rsidRDefault="00CE7E95" w14:paraId="7F9A9DA6" w14:textId="77777777">
      <w:pPr>
        <w:contextualSpacing/>
        <w:jc w:val="both"/>
        <w:rPr>
          <w:rFonts w:ascii="Verdana" w:hAnsi="Verdana"/>
          <w:sz w:val="22"/>
          <w:szCs w:val="22"/>
        </w:rPr>
      </w:pPr>
    </w:p>
    <w:p w:rsidRPr="00821320" w:rsidR="00CE7E95" w:rsidP="00B412DF" w:rsidRDefault="00CE7E95" w14:paraId="699EE7A2" w14:textId="77777777">
      <w:pPr>
        <w:contextualSpacing/>
        <w:jc w:val="both"/>
        <w:rPr>
          <w:rFonts w:ascii="Verdana" w:hAnsi="Verdana"/>
          <w:sz w:val="22"/>
          <w:szCs w:val="22"/>
        </w:rPr>
      </w:pPr>
      <w:r w:rsidRPr="00821320">
        <w:rPr>
          <w:rFonts w:ascii="Verdana" w:hAnsi="Verdana"/>
          <w:sz w:val="22"/>
          <w:szCs w:val="22"/>
        </w:rPr>
        <w:t xml:space="preserve">Adicionalmente, para la vigencia 2022, el Municipio recaudó $109.026 millones en el Sector Educación, de los cuales el 98,4% ($107.319 millones) correspondió ingresos corrientes de transferencias del Sistema General de Participaciones - SGP – Educación y el 1,6% restante ($1.707 millones) a ingresos de recursos de capital. Por último, durante la vigencia 2023 se recaudaron $120.858 millones de los cuales el 99,4% ($120.216 millones) fue </w:t>
      </w:r>
      <w:r w:rsidR="00B412DF">
        <w:rPr>
          <w:rFonts w:ascii="Verdana" w:hAnsi="Verdana"/>
          <w:sz w:val="22"/>
          <w:szCs w:val="22"/>
        </w:rPr>
        <w:t xml:space="preserve">de </w:t>
      </w:r>
      <w:r w:rsidRPr="00821320">
        <w:rPr>
          <w:rFonts w:ascii="Verdana" w:hAnsi="Verdana"/>
          <w:sz w:val="22"/>
          <w:szCs w:val="22"/>
        </w:rPr>
        <w:t>ingresos corrientes y el 0,6% ($6</w:t>
      </w:r>
      <w:r w:rsidR="00821320">
        <w:rPr>
          <w:rFonts w:ascii="Verdana" w:hAnsi="Verdana"/>
          <w:sz w:val="22"/>
          <w:szCs w:val="22"/>
        </w:rPr>
        <w:t>41</w:t>
      </w:r>
      <w:r w:rsidRPr="00821320">
        <w:rPr>
          <w:rFonts w:ascii="Verdana" w:hAnsi="Verdana"/>
          <w:sz w:val="22"/>
          <w:szCs w:val="22"/>
        </w:rPr>
        <w:t xml:space="preserve"> millones) </w:t>
      </w:r>
      <w:r w:rsidR="00B412DF">
        <w:rPr>
          <w:rFonts w:ascii="Verdana" w:hAnsi="Verdana"/>
          <w:sz w:val="22"/>
          <w:szCs w:val="22"/>
        </w:rPr>
        <w:t xml:space="preserve">de </w:t>
      </w:r>
      <w:r w:rsidRPr="00821320">
        <w:rPr>
          <w:rFonts w:ascii="Verdana" w:hAnsi="Verdana"/>
          <w:sz w:val="22"/>
          <w:szCs w:val="22"/>
        </w:rPr>
        <w:t>ingresos de capital.</w:t>
      </w:r>
    </w:p>
    <w:p w:rsidRPr="00821320" w:rsidR="00CE7E95" w:rsidP="00B412DF" w:rsidRDefault="00CE7E95" w14:paraId="10291549" w14:textId="77777777">
      <w:pPr>
        <w:contextualSpacing/>
        <w:jc w:val="both"/>
        <w:rPr>
          <w:rFonts w:ascii="Verdana" w:hAnsi="Verdana"/>
          <w:sz w:val="22"/>
          <w:szCs w:val="22"/>
        </w:rPr>
      </w:pPr>
    </w:p>
    <w:tbl>
      <w:tblPr>
        <w:tblW w:w="5000" w:type="pct"/>
        <w:jc w:val="center"/>
        <w:tblCellMar>
          <w:left w:w="70" w:type="dxa"/>
          <w:right w:w="70" w:type="dxa"/>
        </w:tblCellMar>
        <w:tblLook w:val="04A0" w:firstRow="1" w:lastRow="0" w:firstColumn="1" w:lastColumn="0" w:noHBand="0" w:noVBand="1"/>
      </w:tblPr>
      <w:tblGrid>
        <w:gridCol w:w="3414"/>
        <w:gridCol w:w="1873"/>
        <w:gridCol w:w="1714"/>
        <w:gridCol w:w="1817"/>
      </w:tblGrid>
      <w:tr w:rsidRPr="00821320" w:rsidR="00CE7E95" w:rsidTr="004B0C5C" w14:paraId="24F459DA" w14:textId="77777777">
        <w:trPr>
          <w:trHeight w:val="20"/>
          <w:jc w:val="center"/>
        </w:trPr>
        <w:tc>
          <w:tcPr>
            <w:tcW w:w="5000" w:type="pct"/>
            <w:gridSpan w:val="4"/>
            <w:tcBorders>
              <w:top w:val="single" w:color="auto" w:sz="8" w:space="0"/>
              <w:left w:val="single" w:color="auto" w:sz="8" w:space="0"/>
              <w:bottom w:val="single" w:color="auto" w:sz="8" w:space="0"/>
              <w:right w:val="single" w:color="000000" w:sz="8" w:space="0"/>
            </w:tcBorders>
            <w:shd w:val="clear" w:color="auto" w:fill="B48C41"/>
            <w:noWrap/>
            <w:hideMark/>
          </w:tcPr>
          <w:p w:rsidRPr="00821320" w:rsidR="00CE7E95" w:rsidP="00B412DF" w:rsidRDefault="00CE7E95" w14:paraId="1322466C" w14:textId="77777777">
            <w:pPr>
              <w:jc w:val="center"/>
              <w:rPr>
                <w:rFonts w:ascii="Verdana" w:hAnsi="Verdana" w:cs="Arial"/>
                <w:b/>
                <w:bCs/>
                <w:color w:val="FFFFFF"/>
                <w:sz w:val="18"/>
                <w:szCs w:val="18"/>
                <w:lang w:eastAsia="es-CO"/>
              </w:rPr>
            </w:pPr>
            <w:r w:rsidRPr="00821320">
              <w:rPr>
                <w:rFonts w:ascii="Verdana" w:hAnsi="Verdana" w:cs="Arial"/>
                <w:b/>
                <w:bCs/>
                <w:color w:val="FFFFFF"/>
                <w:sz w:val="18"/>
                <w:szCs w:val="18"/>
                <w:lang w:eastAsia="es-CO"/>
              </w:rPr>
              <w:t>TABLA 1. INGRESOS A DICIEMBRE DE 2021, 2022 y 2023</w:t>
            </w:r>
          </w:p>
        </w:tc>
      </w:tr>
      <w:tr w:rsidRPr="00821320" w:rsidR="00CE7E95" w:rsidTr="004B0C5C" w14:paraId="0C96C070" w14:textId="77777777">
        <w:trPr>
          <w:trHeight w:val="20"/>
          <w:jc w:val="center"/>
        </w:trPr>
        <w:tc>
          <w:tcPr>
            <w:tcW w:w="5000" w:type="pct"/>
            <w:gridSpan w:val="4"/>
            <w:tcBorders>
              <w:top w:val="single" w:color="auto" w:sz="8" w:space="0"/>
              <w:left w:val="single" w:color="auto" w:sz="8" w:space="0"/>
              <w:bottom w:val="single" w:color="auto" w:sz="8" w:space="0"/>
              <w:right w:val="single" w:color="000000" w:sz="8" w:space="0"/>
            </w:tcBorders>
            <w:shd w:val="clear" w:color="auto" w:fill="B48C41"/>
            <w:noWrap/>
            <w:hideMark/>
          </w:tcPr>
          <w:p w:rsidRPr="00821320" w:rsidR="00CE7E95" w:rsidP="00B412DF" w:rsidRDefault="00CE7E95" w14:paraId="4D27D803" w14:textId="77777777">
            <w:pPr>
              <w:jc w:val="center"/>
              <w:rPr>
                <w:rFonts w:ascii="Verdana" w:hAnsi="Verdana" w:cs="Arial"/>
                <w:b/>
                <w:bCs/>
                <w:color w:val="FFFFFF"/>
                <w:sz w:val="18"/>
                <w:szCs w:val="18"/>
                <w:lang w:eastAsia="es-CO"/>
              </w:rPr>
            </w:pPr>
            <w:r w:rsidRPr="00821320">
              <w:rPr>
                <w:rFonts w:ascii="Verdana" w:hAnsi="Verdana" w:cs="Arial"/>
                <w:b/>
                <w:bCs/>
                <w:color w:val="FFFFFF"/>
                <w:sz w:val="18"/>
                <w:szCs w:val="18"/>
                <w:lang w:eastAsia="es-CO"/>
              </w:rPr>
              <w:t>(MILLONES DE $)</w:t>
            </w:r>
          </w:p>
        </w:tc>
      </w:tr>
      <w:tr w:rsidRPr="00821320" w:rsidR="00CE7E95" w:rsidTr="004B0C5C" w14:paraId="11403816" w14:textId="77777777">
        <w:trPr>
          <w:trHeight w:val="20"/>
          <w:jc w:val="center"/>
        </w:trPr>
        <w:tc>
          <w:tcPr>
            <w:tcW w:w="1936" w:type="pct"/>
            <w:vMerge w:val="restart"/>
            <w:tcBorders>
              <w:top w:val="nil"/>
              <w:left w:val="single" w:color="auto" w:sz="8" w:space="0"/>
              <w:bottom w:val="single" w:color="000000" w:sz="8" w:space="0"/>
              <w:right w:val="single" w:color="auto" w:sz="8" w:space="0"/>
            </w:tcBorders>
            <w:shd w:val="clear" w:color="auto" w:fill="F1EADA"/>
            <w:vAlign w:val="center"/>
            <w:hideMark/>
          </w:tcPr>
          <w:p w:rsidRPr="00821320" w:rsidR="00CE7E95" w:rsidP="00B412DF" w:rsidRDefault="00CE7E95" w14:paraId="0E6137E5" w14:textId="77777777">
            <w:pPr>
              <w:jc w:val="center"/>
              <w:rPr>
                <w:rFonts w:ascii="Verdana" w:hAnsi="Verdana" w:cs="Arial"/>
                <w:b/>
                <w:bCs/>
                <w:color w:val="000000"/>
                <w:sz w:val="18"/>
                <w:szCs w:val="18"/>
                <w:lang w:eastAsia="es-CO"/>
              </w:rPr>
            </w:pPr>
            <w:r w:rsidRPr="00821320">
              <w:rPr>
                <w:rFonts w:ascii="Verdana" w:hAnsi="Verdana" w:cs="Arial"/>
                <w:b/>
                <w:bCs/>
                <w:color w:val="000000"/>
                <w:sz w:val="18"/>
                <w:szCs w:val="18"/>
                <w:lang w:eastAsia="es-CO"/>
              </w:rPr>
              <w:t>CONCEPTOS</w:t>
            </w:r>
          </w:p>
        </w:tc>
        <w:tc>
          <w:tcPr>
            <w:tcW w:w="3064" w:type="pct"/>
            <w:gridSpan w:val="3"/>
            <w:tcBorders>
              <w:top w:val="single" w:color="auto" w:sz="8" w:space="0"/>
              <w:left w:val="nil"/>
              <w:bottom w:val="single" w:color="auto" w:sz="8" w:space="0"/>
              <w:right w:val="single" w:color="000000" w:sz="8" w:space="0"/>
            </w:tcBorders>
            <w:shd w:val="clear" w:color="auto" w:fill="F1EADA"/>
            <w:noWrap/>
            <w:vAlign w:val="center"/>
            <w:hideMark/>
          </w:tcPr>
          <w:p w:rsidRPr="00821320" w:rsidR="00CE7E95" w:rsidP="00B412DF" w:rsidRDefault="00CE7E95" w14:paraId="42AA104D" w14:textId="77777777">
            <w:pPr>
              <w:jc w:val="center"/>
              <w:rPr>
                <w:rFonts w:ascii="Verdana" w:hAnsi="Verdana" w:cs="Arial"/>
                <w:b/>
                <w:bCs/>
                <w:color w:val="000000"/>
                <w:sz w:val="18"/>
                <w:szCs w:val="18"/>
                <w:lang w:eastAsia="es-CO"/>
              </w:rPr>
            </w:pPr>
            <w:r w:rsidRPr="00821320">
              <w:rPr>
                <w:rFonts w:ascii="Verdana" w:hAnsi="Verdana" w:cs="Arial"/>
                <w:b/>
                <w:bCs/>
                <w:color w:val="000000"/>
                <w:sz w:val="18"/>
                <w:szCs w:val="18"/>
                <w:lang w:eastAsia="es-CO"/>
              </w:rPr>
              <w:t>VIGENCIAS</w:t>
            </w:r>
          </w:p>
        </w:tc>
      </w:tr>
      <w:tr w:rsidRPr="00821320" w:rsidR="00CE7E95" w:rsidTr="004B0C5C" w14:paraId="21FD923D" w14:textId="77777777">
        <w:trPr>
          <w:trHeight w:val="20"/>
          <w:jc w:val="center"/>
        </w:trPr>
        <w:tc>
          <w:tcPr>
            <w:tcW w:w="1936" w:type="pct"/>
            <w:vMerge/>
            <w:tcBorders>
              <w:top w:val="nil"/>
              <w:left w:val="single" w:color="auto" w:sz="8" w:space="0"/>
              <w:bottom w:val="single" w:color="000000" w:sz="8" w:space="0"/>
              <w:right w:val="single" w:color="auto" w:sz="8" w:space="0"/>
            </w:tcBorders>
            <w:vAlign w:val="center"/>
            <w:hideMark/>
          </w:tcPr>
          <w:p w:rsidRPr="00821320" w:rsidR="00CE7E95" w:rsidP="00B412DF" w:rsidRDefault="00CE7E95" w14:paraId="67B45CDC" w14:textId="77777777">
            <w:pPr>
              <w:rPr>
                <w:rFonts w:ascii="Verdana" w:hAnsi="Verdana" w:cs="Arial"/>
                <w:b/>
                <w:bCs/>
                <w:color w:val="000000"/>
                <w:sz w:val="18"/>
                <w:szCs w:val="18"/>
                <w:lang w:eastAsia="es-CO"/>
              </w:rPr>
            </w:pPr>
          </w:p>
        </w:tc>
        <w:tc>
          <w:tcPr>
            <w:tcW w:w="1062" w:type="pct"/>
            <w:tcBorders>
              <w:top w:val="nil"/>
              <w:left w:val="nil"/>
              <w:bottom w:val="single" w:color="auto" w:sz="8" w:space="0"/>
              <w:right w:val="single" w:color="auto" w:sz="8" w:space="0"/>
            </w:tcBorders>
            <w:shd w:val="clear" w:color="auto" w:fill="F1EADA"/>
            <w:noWrap/>
            <w:vAlign w:val="center"/>
            <w:hideMark/>
          </w:tcPr>
          <w:p w:rsidRPr="00821320" w:rsidR="00CE7E95" w:rsidP="00B412DF" w:rsidRDefault="00CE7E95" w14:paraId="0D5B5EF5" w14:textId="77777777">
            <w:pPr>
              <w:jc w:val="center"/>
              <w:rPr>
                <w:rFonts w:ascii="Verdana" w:hAnsi="Verdana" w:cs="Arial"/>
                <w:b/>
                <w:bCs/>
                <w:color w:val="000000"/>
                <w:sz w:val="18"/>
                <w:szCs w:val="18"/>
                <w:lang w:eastAsia="es-CO"/>
              </w:rPr>
            </w:pPr>
            <w:r w:rsidRPr="00821320">
              <w:rPr>
                <w:rFonts w:ascii="Verdana" w:hAnsi="Verdana" w:cs="Arial"/>
                <w:b/>
                <w:bCs/>
                <w:color w:val="000000"/>
                <w:sz w:val="18"/>
                <w:szCs w:val="18"/>
                <w:lang w:eastAsia="es-CO"/>
              </w:rPr>
              <w:t>2021</w:t>
            </w:r>
          </w:p>
        </w:tc>
        <w:tc>
          <w:tcPr>
            <w:tcW w:w="972" w:type="pct"/>
            <w:tcBorders>
              <w:top w:val="nil"/>
              <w:left w:val="nil"/>
              <w:bottom w:val="single" w:color="auto" w:sz="8" w:space="0"/>
              <w:right w:val="single" w:color="auto" w:sz="8" w:space="0"/>
            </w:tcBorders>
            <w:shd w:val="clear" w:color="auto" w:fill="F1EADA"/>
            <w:noWrap/>
            <w:vAlign w:val="center"/>
            <w:hideMark/>
          </w:tcPr>
          <w:p w:rsidRPr="00821320" w:rsidR="00CE7E95" w:rsidP="00B412DF" w:rsidRDefault="00CE7E95" w14:paraId="05569A39" w14:textId="77777777">
            <w:pPr>
              <w:jc w:val="center"/>
              <w:rPr>
                <w:rFonts w:ascii="Verdana" w:hAnsi="Verdana" w:cs="Arial"/>
                <w:b/>
                <w:bCs/>
                <w:color w:val="000000"/>
                <w:sz w:val="18"/>
                <w:szCs w:val="18"/>
                <w:lang w:eastAsia="es-CO"/>
              </w:rPr>
            </w:pPr>
            <w:r w:rsidRPr="00821320">
              <w:rPr>
                <w:rFonts w:ascii="Verdana" w:hAnsi="Verdana" w:cs="Arial"/>
                <w:b/>
                <w:bCs/>
                <w:color w:val="000000"/>
                <w:sz w:val="18"/>
                <w:szCs w:val="18"/>
                <w:lang w:eastAsia="es-CO"/>
              </w:rPr>
              <w:t>2022</w:t>
            </w:r>
          </w:p>
        </w:tc>
        <w:tc>
          <w:tcPr>
            <w:tcW w:w="1030" w:type="pct"/>
            <w:tcBorders>
              <w:top w:val="nil"/>
              <w:left w:val="nil"/>
              <w:bottom w:val="single" w:color="auto" w:sz="8" w:space="0"/>
              <w:right w:val="single" w:color="auto" w:sz="8" w:space="0"/>
            </w:tcBorders>
            <w:shd w:val="clear" w:color="auto" w:fill="F1EADA"/>
            <w:noWrap/>
            <w:vAlign w:val="center"/>
            <w:hideMark/>
          </w:tcPr>
          <w:p w:rsidRPr="00821320" w:rsidR="00CE7E95" w:rsidP="00B412DF" w:rsidRDefault="00CE7E95" w14:paraId="66673F8B" w14:textId="77777777">
            <w:pPr>
              <w:jc w:val="center"/>
              <w:rPr>
                <w:rFonts w:ascii="Verdana" w:hAnsi="Verdana" w:cs="Arial"/>
                <w:b/>
                <w:bCs/>
                <w:color w:val="000000"/>
                <w:sz w:val="18"/>
                <w:szCs w:val="18"/>
                <w:lang w:eastAsia="es-CO"/>
              </w:rPr>
            </w:pPr>
            <w:r w:rsidRPr="00821320">
              <w:rPr>
                <w:rFonts w:ascii="Verdana" w:hAnsi="Verdana" w:cs="Arial"/>
                <w:b/>
                <w:bCs/>
                <w:color w:val="000000"/>
                <w:sz w:val="18"/>
                <w:szCs w:val="18"/>
                <w:lang w:eastAsia="es-CO"/>
              </w:rPr>
              <w:t>2023</w:t>
            </w:r>
          </w:p>
        </w:tc>
      </w:tr>
      <w:tr w:rsidRPr="00821320" w:rsidR="00CE7E95" w:rsidTr="004B0C5C" w14:paraId="0F15E381" w14:textId="77777777">
        <w:trPr>
          <w:trHeight w:val="20"/>
          <w:jc w:val="center"/>
        </w:trPr>
        <w:tc>
          <w:tcPr>
            <w:tcW w:w="1936" w:type="pct"/>
            <w:tcBorders>
              <w:top w:val="nil"/>
              <w:left w:val="single" w:color="auto" w:sz="8" w:space="0"/>
              <w:bottom w:val="single" w:color="auto" w:sz="8" w:space="0"/>
              <w:right w:val="single" w:color="auto" w:sz="8" w:space="0"/>
            </w:tcBorders>
            <w:hideMark/>
          </w:tcPr>
          <w:p w:rsidRPr="00821320" w:rsidR="00CE7E95" w:rsidP="00B412DF" w:rsidRDefault="00CE7E95" w14:paraId="17DFE05D" w14:textId="77777777">
            <w:pPr>
              <w:rPr>
                <w:rFonts w:ascii="Verdana" w:hAnsi="Verdana" w:cs="Arial"/>
                <w:b/>
                <w:bCs/>
                <w:color w:val="000000"/>
                <w:sz w:val="18"/>
                <w:szCs w:val="18"/>
                <w:lang w:eastAsia="es-CO"/>
              </w:rPr>
            </w:pPr>
            <w:r w:rsidRPr="00821320">
              <w:rPr>
                <w:rFonts w:ascii="Verdana" w:hAnsi="Verdana" w:cs="Arial"/>
                <w:b/>
                <w:bCs/>
                <w:color w:val="000000"/>
                <w:sz w:val="18"/>
                <w:szCs w:val="18"/>
                <w:lang w:eastAsia="es-CO"/>
              </w:rPr>
              <w:t>Asignación SGP-educación</w:t>
            </w:r>
          </w:p>
        </w:tc>
        <w:tc>
          <w:tcPr>
            <w:tcW w:w="1062" w:type="pct"/>
            <w:tcBorders>
              <w:top w:val="nil"/>
              <w:left w:val="nil"/>
              <w:bottom w:val="single" w:color="auto" w:sz="8" w:space="0"/>
              <w:right w:val="single" w:color="auto" w:sz="8" w:space="0"/>
            </w:tcBorders>
            <w:noWrap/>
            <w:hideMark/>
          </w:tcPr>
          <w:p w:rsidRPr="00821320" w:rsidR="00CE7E95" w:rsidP="00B412DF" w:rsidRDefault="00CE7E95" w14:paraId="02AF1E17" w14:textId="77777777">
            <w:pPr>
              <w:jc w:val="right"/>
              <w:rPr>
                <w:rFonts w:ascii="Verdana" w:hAnsi="Verdana" w:cs="Arial"/>
                <w:b/>
                <w:bCs/>
                <w:color w:val="000000"/>
                <w:sz w:val="18"/>
                <w:szCs w:val="18"/>
                <w:lang w:eastAsia="es-CO"/>
              </w:rPr>
            </w:pPr>
            <w:r w:rsidRPr="00821320">
              <w:rPr>
                <w:rFonts w:ascii="Verdana" w:hAnsi="Verdana" w:cs="Arial"/>
                <w:b/>
                <w:bCs/>
                <w:color w:val="000000"/>
                <w:sz w:val="18"/>
                <w:szCs w:val="18"/>
                <w:lang w:eastAsia="es-CO"/>
              </w:rPr>
              <w:t>104.770</w:t>
            </w:r>
          </w:p>
        </w:tc>
        <w:tc>
          <w:tcPr>
            <w:tcW w:w="972" w:type="pct"/>
            <w:tcBorders>
              <w:top w:val="nil"/>
              <w:left w:val="nil"/>
              <w:bottom w:val="single" w:color="auto" w:sz="8" w:space="0"/>
              <w:right w:val="single" w:color="auto" w:sz="8" w:space="0"/>
            </w:tcBorders>
            <w:noWrap/>
            <w:hideMark/>
          </w:tcPr>
          <w:p w:rsidRPr="00821320" w:rsidR="00CE7E95" w:rsidP="00B412DF" w:rsidRDefault="00CE7E95" w14:paraId="132204B7" w14:textId="77777777">
            <w:pPr>
              <w:jc w:val="right"/>
              <w:rPr>
                <w:rFonts w:ascii="Verdana" w:hAnsi="Verdana" w:cs="Arial"/>
                <w:b/>
                <w:bCs/>
                <w:color w:val="000000"/>
                <w:sz w:val="18"/>
                <w:szCs w:val="18"/>
                <w:lang w:eastAsia="es-CO"/>
              </w:rPr>
            </w:pPr>
            <w:r w:rsidRPr="00821320">
              <w:rPr>
                <w:rFonts w:ascii="Verdana" w:hAnsi="Verdana" w:cs="Arial"/>
                <w:b/>
                <w:bCs/>
                <w:color w:val="000000"/>
                <w:sz w:val="18"/>
                <w:szCs w:val="18"/>
                <w:lang w:eastAsia="es-CO"/>
              </w:rPr>
              <w:t>107.319</w:t>
            </w:r>
          </w:p>
        </w:tc>
        <w:tc>
          <w:tcPr>
            <w:tcW w:w="1030" w:type="pct"/>
            <w:tcBorders>
              <w:top w:val="nil"/>
              <w:left w:val="nil"/>
              <w:bottom w:val="single" w:color="auto" w:sz="8" w:space="0"/>
              <w:right w:val="single" w:color="auto" w:sz="8" w:space="0"/>
            </w:tcBorders>
            <w:noWrap/>
            <w:hideMark/>
          </w:tcPr>
          <w:p w:rsidRPr="00821320" w:rsidR="00CE7E95" w:rsidP="00B412DF" w:rsidRDefault="00CE7E95" w14:paraId="1B1BA857" w14:textId="77777777">
            <w:pPr>
              <w:jc w:val="right"/>
              <w:rPr>
                <w:rFonts w:ascii="Verdana" w:hAnsi="Verdana" w:cs="Arial"/>
                <w:b/>
                <w:bCs/>
                <w:color w:val="000000"/>
                <w:sz w:val="18"/>
                <w:szCs w:val="18"/>
                <w:lang w:eastAsia="es-CO"/>
              </w:rPr>
            </w:pPr>
            <w:r w:rsidRPr="00821320">
              <w:rPr>
                <w:rFonts w:ascii="Verdana" w:hAnsi="Verdana" w:cs="Arial"/>
                <w:b/>
                <w:bCs/>
                <w:color w:val="000000"/>
                <w:sz w:val="18"/>
                <w:szCs w:val="18"/>
                <w:lang w:eastAsia="es-CO"/>
              </w:rPr>
              <w:t>120.216</w:t>
            </w:r>
          </w:p>
        </w:tc>
      </w:tr>
      <w:tr w:rsidRPr="00821320" w:rsidR="00CE7E95" w:rsidTr="004B0C5C" w14:paraId="6CB2F175" w14:textId="77777777">
        <w:trPr>
          <w:trHeight w:val="20"/>
          <w:jc w:val="center"/>
        </w:trPr>
        <w:tc>
          <w:tcPr>
            <w:tcW w:w="1936" w:type="pct"/>
            <w:tcBorders>
              <w:top w:val="nil"/>
              <w:left w:val="single" w:color="auto" w:sz="8" w:space="0"/>
              <w:bottom w:val="single" w:color="auto" w:sz="8" w:space="0"/>
              <w:right w:val="single" w:color="auto" w:sz="8" w:space="0"/>
            </w:tcBorders>
            <w:hideMark/>
          </w:tcPr>
          <w:p w:rsidRPr="00821320" w:rsidR="00CE7E95" w:rsidP="00B412DF" w:rsidRDefault="00CE7E95" w14:paraId="55C593CB" w14:textId="77777777">
            <w:pPr>
              <w:rPr>
                <w:rFonts w:ascii="Verdana" w:hAnsi="Verdana" w:cs="Arial"/>
                <w:b/>
                <w:bCs/>
                <w:color w:val="000000"/>
                <w:sz w:val="18"/>
                <w:szCs w:val="18"/>
                <w:lang w:eastAsia="es-CO"/>
              </w:rPr>
            </w:pPr>
            <w:r w:rsidRPr="00821320">
              <w:rPr>
                <w:rFonts w:ascii="Verdana" w:hAnsi="Verdana" w:cs="Arial"/>
                <w:b/>
                <w:bCs/>
                <w:color w:val="000000"/>
                <w:sz w:val="18"/>
                <w:szCs w:val="18"/>
                <w:lang w:eastAsia="es-CO"/>
              </w:rPr>
              <w:t>Giro MEN-ET</w:t>
            </w:r>
          </w:p>
        </w:tc>
        <w:tc>
          <w:tcPr>
            <w:tcW w:w="1062" w:type="pct"/>
            <w:tcBorders>
              <w:top w:val="nil"/>
              <w:left w:val="nil"/>
              <w:bottom w:val="single" w:color="auto" w:sz="8" w:space="0"/>
              <w:right w:val="single" w:color="auto" w:sz="8" w:space="0"/>
            </w:tcBorders>
            <w:noWrap/>
            <w:hideMark/>
          </w:tcPr>
          <w:p w:rsidRPr="00821320" w:rsidR="00CE7E95" w:rsidP="00B412DF" w:rsidRDefault="00CE7E95" w14:paraId="17C3BAF9" w14:textId="77777777">
            <w:pPr>
              <w:jc w:val="right"/>
              <w:rPr>
                <w:rFonts w:ascii="Verdana" w:hAnsi="Verdana" w:cs="Arial"/>
                <w:b/>
                <w:bCs/>
                <w:color w:val="000000"/>
                <w:sz w:val="18"/>
                <w:szCs w:val="18"/>
                <w:lang w:eastAsia="es-CO"/>
              </w:rPr>
            </w:pPr>
            <w:r w:rsidRPr="00821320">
              <w:rPr>
                <w:rFonts w:ascii="Verdana" w:hAnsi="Verdana" w:cs="Arial"/>
                <w:b/>
                <w:bCs/>
                <w:color w:val="000000"/>
                <w:sz w:val="18"/>
                <w:szCs w:val="18"/>
                <w:lang w:eastAsia="es-CO"/>
              </w:rPr>
              <w:t>104.770</w:t>
            </w:r>
          </w:p>
        </w:tc>
        <w:tc>
          <w:tcPr>
            <w:tcW w:w="972" w:type="pct"/>
            <w:tcBorders>
              <w:top w:val="nil"/>
              <w:left w:val="nil"/>
              <w:bottom w:val="single" w:color="auto" w:sz="8" w:space="0"/>
              <w:right w:val="single" w:color="auto" w:sz="8" w:space="0"/>
            </w:tcBorders>
            <w:noWrap/>
            <w:hideMark/>
          </w:tcPr>
          <w:p w:rsidRPr="00821320" w:rsidR="00CE7E95" w:rsidP="00B412DF" w:rsidRDefault="00CE7E95" w14:paraId="4AE8AF55" w14:textId="77777777">
            <w:pPr>
              <w:jc w:val="right"/>
              <w:rPr>
                <w:rFonts w:ascii="Verdana" w:hAnsi="Verdana" w:cs="Arial"/>
                <w:b/>
                <w:bCs/>
                <w:color w:val="000000"/>
                <w:sz w:val="18"/>
                <w:szCs w:val="18"/>
                <w:lang w:eastAsia="es-CO"/>
              </w:rPr>
            </w:pPr>
            <w:r w:rsidRPr="00821320">
              <w:rPr>
                <w:rFonts w:ascii="Verdana" w:hAnsi="Verdana" w:cs="Arial"/>
                <w:b/>
                <w:bCs/>
                <w:color w:val="000000"/>
                <w:sz w:val="18"/>
                <w:szCs w:val="18"/>
                <w:lang w:eastAsia="es-CO"/>
              </w:rPr>
              <w:t>107.319</w:t>
            </w:r>
          </w:p>
        </w:tc>
        <w:tc>
          <w:tcPr>
            <w:tcW w:w="1030" w:type="pct"/>
            <w:tcBorders>
              <w:top w:val="nil"/>
              <w:left w:val="nil"/>
              <w:bottom w:val="single" w:color="auto" w:sz="8" w:space="0"/>
              <w:right w:val="single" w:color="auto" w:sz="8" w:space="0"/>
            </w:tcBorders>
            <w:noWrap/>
            <w:hideMark/>
          </w:tcPr>
          <w:p w:rsidRPr="00821320" w:rsidR="00CE7E95" w:rsidP="00B412DF" w:rsidRDefault="00CE7E95" w14:paraId="5B9B37A7" w14:textId="77777777">
            <w:pPr>
              <w:jc w:val="right"/>
              <w:rPr>
                <w:rFonts w:ascii="Verdana" w:hAnsi="Verdana" w:cs="Arial"/>
                <w:b/>
                <w:bCs/>
                <w:color w:val="000000"/>
                <w:sz w:val="18"/>
                <w:szCs w:val="18"/>
                <w:lang w:eastAsia="es-CO"/>
              </w:rPr>
            </w:pPr>
            <w:r w:rsidRPr="00821320">
              <w:rPr>
                <w:rFonts w:ascii="Verdana" w:hAnsi="Verdana" w:cs="Arial"/>
                <w:b/>
                <w:bCs/>
                <w:color w:val="000000"/>
                <w:sz w:val="18"/>
                <w:szCs w:val="18"/>
                <w:lang w:eastAsia="es-CO"/>
              </w:rPr>
              <w:t>120.216</w:t>
            </w:r>
          </w:p>
        </w:tc>
      </w:tr>
      <w:tr w:rsidRPr="00821320" w:rsidR="00CE7E95" w:rsidTr="004B0C5C" w14:paraId="6CD78838" w14:textId="77777777">
        <w:trPr>
          <w:trHeight w:val="20"/>
          <w:jc w:val="center"/>
        </w:trPr>
        <w:tc>
          <w:tcPr>
            <w:tcW w:w="1936" w:type="pct"/>
            <w:tcBorders>
              <w:top w:val="nil"/>
              <w:left w:val="single" w:color="auto" w:sz="8" w:space="0"/>
              <w:bottom w:val="single" w:color="auto" w:sz="8" w:space="0"/>
              <w:right w:val="single" w:color="auto" w:sz="8" w:space="0"/>
            </w:tcBorders>
            <w:shd w:val="clear" w:color="auto" w:fill="D9D9D9"/>
            <w:hideMark/>
          </w:tcPr>
          <w:p w:rsidRPr="00821320" w:rsidR="00CE7E95" w:rsidP="00B412DF" w:rsidRDefault="00CE7E95" w14:paraId="27E61602" w14:textId="77777777">
            <w:pPr>
              <w:rPr>
                <w:rFonts w:ascii="Verdana" w:hAnsi="Verdana" w:cs="Arial"/>
                <w:b/>
                <w:bCs/>
                <w:color w:val="000000"/>
                <w:sz w:val="18"/>
                <w:szCs w:val="18"/>
                <w:lang w:eastAsia="es-CO"/>
              </w:rPr>
            </w:pPr>
            <w:r w:rsidRPr="00821320">
              <w:rPr>
                <w:rFonts w:ascii="Verdana" w:hAnsi="Verdana" w:cs="Arial"/>
                <w:b/>
                <w:bCs/>
                <w:color w:val="000000"/>
                <w:sz w:val="18"/>
                <w:szCs w:val="18"/>
                <w:lang w:eastAsia="es-CO"/>
              </w:rPr>
              <w:t>Ingresos Corrientes</w:t>
            </w:r>
          </w:p>
        </w:tc>
        <w:tc>
          <w:tcPr>
            <w:tcW w:w="1062" w:type="pct"/>
            <w:tcBorders>
              <w:top w:val="nil"/>
              <w:left w:val="nil"/>
              <w:bottom w:val="single" w:color="auto" w:sz="8" w:space="0"/>
              <w:right w:val="single" w:color="auto" w:sz="8" w:space="0"/>
            </w:tcBorders>
            <w:shd w:val="clear" w:color="auto" w:fill="D9D9D9"/>
            <w:noWrap/>
            <w:hideMark/>
          </w:tcPr>
          <w:p w:rsidRPr="00821320" w:rsidR="00CE7E95" w:rsidP="00B412DF" w:rsidRDefault="00CE7E95" w14:paraId="40E711FC" w14:textId="77777777">
            <w:pPr>
              <w:jc w:val="right"/>
              <w:rPr>
                <w:rFonts w:ascii="Verdana" w:hAnsi="Verdana" w:cs="Arial"/>
                <w:b/>
                <w:bCs/>
                <w:color w:val="FF0000"/>
                <w:sz w:val="18"/>
                <w:szCs w:val="18"/>
                <w:lang w:eastAsia="es-CO"/>
              </w:rPr>
            </w:pPr>
            <w:r w:rsidRPr="00821320">
              <w:rPr>
                <w:rFonts w:ascii="Verdana" w:hAnsi="Verdana" w:cs="Arial"/>
                <w:b/>
                <w:bCs/>
                <w:color w:val="FF0000"/>
                <w:sz w:val="18"/>
                <w:szCs w:val="18"/>
                <w:lang w:eastAsia="es-CO"/>
              </w:rPr>
              <w:t>(1)</w:t>
            </w:r>
            <w:r w:rsidRPr="00821320">
              <w:rPr>
                <w:rFonts w:ascii="Verdana" w:hAnsi="Verdana" w:cs="Arial"/>
                <w:b/>
                <w:bCs/>
                <w:color w:val="000000"/>
                <w:sz w:val="18"/>
                <w:szCs w:val="18"/>
                <w:lang w:eastAsia="es-CO"/>
              </w:rPr>
              <w:t xml:space="preserve"> 104.403</w:t>
            </w:r>
          </w:p>
        </w:tc>
        <w:tc>
          <w:tcPr>
            <w:tcW w:w="972" w:type="pct"/>
            <w:tcBorders>
              <w:top w:val="nil"/>
              <w:left w:val="nil"/>
              <w:bottom w:val="single" w:color="auto" w:sz="8" w:space="0"/>
              <w:right w:val="single" w:color="auto" w:sz="8" w:space="0"/>
            </w:tcBorders>
            <w:shd w:val="clear" w:color="auto" w:fill="D9D9D9"/>
            <w:noWrap/>
            <w:hideMark/>
          </w:tcPr>
          <w:p w:rsidRPr="00821320" w:rsidR="00CE7E95" w:rsidP="00B412DF" w:rsidRDefault="00CE7E95" w14:paraId="7BA9C06B" w14:textId="77777777">
            <w:pPr>
              <w:jc w:val="right"/>
              <w:rPr>
                <w:rFonts w:ascii="Verdana" w:hAnsi="Verdana" w:cs="Arial"/>
                <w:b/>
                <w:bCs/>
                <w:color w:val="000000"/>
                <w:sz w:val="18"/>
                <w:szCs w:val="18"/>
                <w:lang w:eastAsia="es-CO"/>
              </w:rPr>
            </w:pPr>
            <w:r w:rsidRPr="00821320">
              <w:rPr>
                <w:rFonts w:ascii="Verdana" w:hAnsi="Verdana" w:cs="Arial"/>
                <w:b/>
                <w:bCs/>
                <w:color w:val="000000"/>
                <w:sz w:val="18"/>
                <w:szCs w:val="18"/>
                <w:lang w:eastAsia="es-CO"/>
              </w:rPr>
              <w:t>107.319</w:t>
            </w:r>
          </w:p>
        </w:tc>
        <w:tc>
          <w:tcPr>
            <w:tcW w:w="1030" w:type="pct"/>
            <w:tcBorders>
              <w:top w:val="nil"/>
              <w:left w:val="nil"/>
              <w:bottom w:val="single" w:color="auto" w:sz="8" w:space="0"/>
              <w:right w:val="single" w:color="auto" w:sz="8" w:space="0"/>
            </w:tcBorders>
            <w:shd w:val="clear" w:color="auto" w:fill="D9D9D9"/>
            <w:noWrap/>
            <w:hideMark/>
          </w:tcPr>
          <w:p w:rsidRPr="00821320" w:rsidR="00CE7E95" w:rsidP="00B412DF" w:rsidRDefault="00CE7E95" w14:paraId="3A47BAD6" w14:textId="77777777">
            <w:pPr>
              <w:jc w:val="right"/>
              <w:rPr>
                <w:rFonts w:ascii="Verdana" w:hAnsi="Verdana" w:cs="Arial"/>
                <w:b/>
                <w:bCs/>
                <w:color w:val="000000"/>
                <w:sz w:val="18"/>
                <w:szCs w:val="18"/>
                <w:lang w:eastAsia="es-CO"/>
              </w:rPr>
            </w:pPr>
            <w:r w:rsidRPr="00821320">
              <w:rPr>
                <w:rFonts w:ascii="Verdana" w:hAnsi="Verdana" w:cs="Arial"/>
                <w:b/>
                <w:bCs/>
                <w:color w:val="000000" w:themeColor="text1"/>
                <w:sz w:val="18"/>
                <w:szCs w:val="18"/>
                <w:lang w:eastAsia="es-CO"/>
              </w:rPr>
              <w:t>120.216</w:t>
            </w:r>
          </w:p>
        </w:tc>
      </w:tr>
      <w:tr w:rsidRPr="00821320" w:rsidR="00CE7E95" w:rsidTr="004B0C5C" w14:paraId="3A13C0A9" w14:textId="77777777">
        <w:trPr>
          <w:trHeight w:val="20"/>
          <w:jc w:val="center"/>
        </w:trPr>
        <w:tc>
          <w:tcPr>
            <w:tcW w:w="1936" w:type="pct"/>
            <w:tcBorders>
              <w:top w:val="nil"/>
              <w:left w:val="single" w:color="auto" w:sz="8" w:space="0"/>
              <w:bottom w:val="single" w:color="auto" w:sz="8" w:space="0"/>
              <w:right w:val="single" w:color="auto" w:sz="8" w:space="0"/>
            </w:tcBorders>
            <w:hideMark/>
          </w:tcPr>
          <w:p w:rsidRPr="00821320" w:rsidR="00CE7E95" w:rsidP="00B412DF" w:rsidRDefault="00CE7E95" w14:paraId="2391BC70" w14:textId="77777777">
            <w:pPr>
              <w:rPr>
                <w:rFonts w:ascii="Verdana" w:hAnsi="Verdana" w:cs="Arial"/>
                <w:b/>
                <w:bCs/>
                <w:color w:val="000000"/>
                <w:sz w:val="18"/>
                <w:szCs w:val="18"/>
                <w:lang w:eastAsia="es-CO"/>
              </w:rPr>
            </w:pPr>
            <w:r w:rsidRPr="00821320">
              <w:rPr>
                <w:rFonts w:ascii="Verdana" w:hAnsi="Verdana" w:cs="Arial"/>
                <w:b/>
                <w:bCs/>
                <w:color w:val="000000"/>
                <w:sz w:val="18"/>
                <w:szCs w:val="18"/>
                <w:lang w:eastAsia="es-CO"/>
              </w:rPr>
              <w:t>Sistema General de Participaciones -Educación</w:t>
            </w:r>
          </w:p>
        </w:tc>
        <w:tc>
          <w:tcPr>
            <w:tcW w:w="1062" w:type="pct"/>
            <w:tcBorders>
              <w:top w:val="nil"/>
              <w:left w:val="nil"/>
              <w:bottom w:val="single" w:color="auto" w:sz="8" w:space="0"/>
              <w:right w:val="single" w:color="auto" w:sz="8" w:space="0"/>
            </w:tcBorders>
            <w:noWrap/>
            <w:hideMark/>
          </w:tcPr>
          <w:p w:rsidRPr="00821320" w:rsidR="00CE7E95" w:rsidP="00B412DF" w:rsidRDefault="00CE7E95" w14:paraId="28F6E457" w14:textId="77777777">
            <w:pPr>
              <w:jc w:val="right"/>
              <w:rPr>
                <w:rFonts w:ascii="Verdana" w:hAnsi="Verdana" w:cs="Arial"/>
                <w:b/>
                <w:bCs/>
                <w:color w:val="000000"/>
                <w:sz w:val="18"/>
                <w:szCs w:val="18"/>
                <w:lang w:eastAsia="es-CO"/>
              </w:rPr>
            </w:pPr>
            <w:r w:rsidRPr="00821320">
              <w:rPr>
                <w:rFonts w:ascii="Verdana" w:hAnsi="Verdana" w:cs="Arial"/>
                <w:b/>
                <w:bCs/>
                <w:color w:val="000000"/>
                <w:sz w:val="18"/>
                <w:szCs w:val="18"/>
                <w:lang w:eastAsia="es-CO"/>
              </w:rPr>
              <w:t>104.403</w:t>
            </w:r>
          </w:p>
        </w:tc>
        <w:tc>
          <w:tcPr>
            <w:tcW w:w="972" w:type="pct"/>
            <w:tcBorders>
              <w:top w:val="nil"/>
              <w:left w:val="nil"/>
              <w:bottom w:val="single" w:color="auto" w:sz="8" w:space="0"/>
              <w:right w:val="single" w:color="auto" w:sz="8" w:space="0"/>
            </w:tcBorders>
            <w:noWrap/>
            <w:hideMark/>
          </w:tcPr>
          <w:p w:rsidRPr="00821320" w:rsidR="00CE7E95" w:rsidP="00B412DF" w:rsidRDefault="00CE7E95" w14:paraId="22A2944E" w14:textId="77777777">
            <w:pPr>
              <w:jc w:val="right"/>
              <w:rPr>
                <w:rFonts w:ascii="Verdana" w:hAnsi="Verdana" w:cs="Arial"/>
                <w:b/>
                <w:bCs/>
                <w:color w:val="000000"/>
                <w:sz w:val="18"/>
                <w:szCs w:val="18"/>
                <w:lang w:eastAsia="es-CO"/>
              </w:rPr>
            </w:pPr>
            <w:r w:rsidRPr="00821320">
              <w:rPr>
                <w:rFonts w:ascii="Verdana" w:hAnsi="Verdana" w:cs="Arial"/>
                <w:b/>
                <w:bCs/>
                <w:color w:val="000000"/>
                <w:sz w:val="18"/>
                <w:szCs w:val="18"/>
                <w:lang w:eastAsia="es-CO"/>
              </w:rPr>
              <w:t>107.319</w:t>
            </w:r>
          </w:p>
        </w:tc>
        <w:tc>
          <w:tcPr>
            <w:tcW w:w="1030" w:type="pct"/>
            <w:tcBorders>
              <w:top w:val="nil"/>
              <w:left w:val="nil"/>
              <w:bottom w:val="single" w:color="auto" w:sz="8" w:space="0"/>
              <w:right w:val="single" w:color="auto" w:sz="8" w:space="0"/>
            </w:tcBorders>
            <w:noWrap/>
            <w:hideMark/>
          </w:tcPr>
          <w:p w:rsidRPr="00821320" w:rsidR="00CE7E95" w:rsidP="00B412DF" w:rsidRDefault="00CE7E95" w14:paraId="52203EBD" w14:textId="77777777">
            <w:pPr>
              <w:jc w:val="right"/>
              <w:rPr>
                <w:rFonts w:ascii="Verdana" w:hAnsi="Verdana" w:cs="Arial"/>
                <w:b/>
                <w:bCs/>
                <w:color w:val="000000"/>
                <w:sz w:val="18"/>
                <w:szCs w:val="18"/>
                <w:lang w:eastAsia="es-CO"/>
              </w:rPr>
            </w:pPr>
            <w:r w:rsidRPr="00821320">
              <w:rPr>
                <w:rFonts w:ascii="Verdana" w:hAnsi="Verdana" w:cs="Arial"/>
                <w:b/>
                <w:bCs/>
                <w:color w:val="000000" w:themeColor="text1"/>
                <w:sz w:val="18"/>
                <w:szCs w:val="18"/>
                <w:lang w:eastAsia="es-CO"/>
              </w:rPr>
              <w:t>115.445</w:t>
            </w:r>
          </w:p>
        </w:tc>
      </w:tr>
      <w:tr w:rsidRPr="00821320" w:rsidR="00CE7E95" w:rsidTr="004B0C5C" w14:paraId="5F2D9AD2" w14:textId="77777777">
        <w:trPr>
          <w:trHeight w:val="20"/>
          <w:jc w:val="center"/>
        </w:trPr>
        <w:tc>
          <w:tcPr>
            <w:tcW w:w="1936" w:type="pct"/>
            <w:tcBorders>
              <w:top w:val="nil"/>
              <w:left w:val="single" w:color="auto" w:sz="8" w:space="0"/>
              <w:bottom w:val="single" w:color="auto" w:sz="8" w:space="0"/>
              <w:right w:val="single" w:color="auto" w:sz="8" w:space="0"/>
            </w:tcBorders>
            <w:hideMark/>
          </w:tcPr>
          <w:p w:rsidRPr="00821320" w:rsidR="00CE7E95" w:rsidP="00B412DF" w:rsidRDefault="00CE7E95" w14:paraId="22D2F1BB" w14:textId="77777777">
            <w:pPr>
              <w:rPr>
                <w:rFonts w:ascii="Verdana" w:hAnsi="Verdana" w:cs="Arial"/>
                <w:b/>
                <w:bCs/>
                <w:color w:val="000000"/>
                <w:sz w:val="18"/>
                <w:szCs w:val="18"/>
                <w:lang w:eastAsia="es-CO"/>
              </w:rPr>
            </w:pPr>
            <w:r w:rsidRPr="00821320">
              <w:rPr>
                <w:rFonts w:ascii="Verdana" w:hAnsi="Verdana" w:cs="Arial"/>
                <w:b/>
                <w:bCs/>
                <w:color w:val="000000"/>
                <w:sz w:val="18"/>
                <w:szCs w:val="18"/>
                <w:lang w:eastAsia="es-CO"/>
              </w:rPr>
              <w:t>Prestación de servicios</w:t>
            </w:r>
          </w:p>
        </w:tc>
        <w:tc>
          <w:tcPr>
            <w:tcW w:w="1062" w:type="pct"/>
            <w:tcBorders>
              <w:top w:val="nil"/>
              <w:left w:val="nil"/>
              <w:bottom w:val="single" w:color="auto" w:sz="8" w:space="0"/>
              <w:right w:val="single" w:color="auto" w:sz="8" w:space="0"/>
            </w:tcBorders>
            <w:noWrap/>
            <w:hideMark/>
          </w:tcPr>
          <w:p w:rsidRPr="00821320" w:rsidR="00CE7E95" w:rsidP="00B412DF" w:rsidRDefault="00CE7E95" w14:paraId="119060B6" w14:textId="77777777">
            <w:pPr>
              <w:jc w:val="right"/>
              <w:rPr>
                <w:rFonts w:ascii="Verdana" w:hAnsi="Verdana" w:cs="Arial"/>
                <w:b/>
                <w:bCs/>
                <w:color w:val="000000"/>
                <w:sz w:val="18"/>
                <w:szCs w:val="18"/>
                <w:lang w:eastAsia="es-CO"/>
              </w:rPr>
            </w:pPr>
            <w:r w:rsidRPr="00821320">
              <w:rPr>
                <w:rFonts w:ascii="Verdana" w:hAnsi="Verdana" w:cs="Arial"/>
                <w:b/>
                <w:bCs/>
                <w:color w:val="000000"/>
                <w:sz w:val="18"/>
                <w:szCs w:val="18"/>
                <w:lang w:eastAsia="es-CO"/>
              </w:rPr>
              <w:t>99.976</w:t>
            </w:r>
          </w:p>
        </w:tc>
        <w:tc>
          <w:tcPr>
            <w:tcW w:w="972" w:type="pct"/>
            <w:tcBorders>
              <w:top w:val="nil"/>
              <w:left w:val="nil"/>
              <w:bottom w:val="single" w:color="auto" w:sz="8" w:space="0"/>
              <w:right w:val="single" w:color="auto" w:sz="8" w:space="0"/>
            </w:tcBorders>
            <w:noWrap/>
            <w:hideMark/>
          </w:tcPr>
          <w:p w:rsidRPr="00821320" w:rsidR="00CE7E95" w:rsidP="00B412DF" w:rsidRDefault="00CE7E95" w14:paraId="6ADAEE6C" w14:textId="77777777">
            <w:pPr>
              <w:jc w:val="right"/>
              <w:rPr>
                <w:rFonts w:ascii="Verdana" w:hAnsi="Verdana" w:cs="Arial"/>
                <w:b/>
                <w:bCs/>
                <w:color w:val="000000"/>
                <w:sz w:val="18"/>
                <w:szCs w:val="18"/>
                <w:lang w:eastAsia="es-CO"/>
              </w:rPr>
            </w:pPr>
            <w:r w:rsidRPr="00821320">
              <w:rPr>
                <w:rFonts w:ascii="Verdana" w:hAnsi="Verdana" w:cs="Arial"/>
                <w:b/>
                <w:bCs/>
                <w:color w:val="000000"/>
                <w:sz w:val="18"/>
                <w:szCs w:val="18"/>
                <w:lang w:eastAsia="es-CO"/>
              </w:rPr>
              <w:t>102.685</w:t>
            </w:r>
          </w:p>
        </w:tc>
        <w:tc>
          <w:tcPr>
            <w:tcW w:w="1030" w:type="pct"/>
            <w:tcBorders>
              <w:top w:val="nil"/>
              <w:left w:val="nil"/>
              <w:bottom w:val="single" w:color="auto" w:sz="8" w:space="0"/>
              <w:right w:val="single" w:color="auto" w:sz="8" w:space="0"/>
            </w:tcBorders>
            <w:noWrap/>
            <w:hideMark/>
          </w:tcPr>
          <w:p w:rsidRPr="00821320" w:rsidR="00CE7E95" w:rsidP="00B412DF" w:rsidRDefault="00CE7E95" w14:paraId="6BF989F0" w14:textId="77777777">
            <w:pPr>
              <w:jc w:val="right"/>
              <w:rPr>
                <w:rFonts w:ascii="Verdana" w:hAnsi="Verdana" w:cs="Arial"/>
                <w:b/>
                <w:bCs/>
                <w:color w:val="000000"/>
                <w:sz w:val="18"/>
                <w:szCs w:val="18"/>
                <w:lang w:eastAsia="es-CO"/>
              </w:rPr>
            </w:pPr>
            <w:r w:rsidRPr="00821320">
              <w:rPr>
                <w:rFonts w:ascii="Verdana" w:hAnsi="Verdana" w:cs="Arial"/>
                <w:b/>
                <w:bCs/>
                <w:color w:val="000000" w:themeColor="text1"/>
                <w:sz w:val="18"/>
                <w:szCs w:val="18"/>
                <w:lang w:eastAsia="es-CO"/>
              </w:rPr>
              <w:t>115.445</w:t>
            </w:r>
          </w:p>
        </w:tc>
      </w:tr>
      <w:tr w:rsidRPr="00821320" w:rsidR="00CE7E95" w:rsidTr="004B0C5C" w14:paraId="313D62A6" w14:textId="77777777">
        <w:trPr>
          <w:trHeight w:val="20"/>
          <w:jc w:val="center"/>
        </w:trPr>
        <w:tc>
          <w:tcPr>
            <w:tcW w:w="1936" w:type="pct"/>
            <w:tcBorders>
              <w:top w:val="nil"/>
              <w:left w:val="single" w:color="auto" w:sz="8" w:space="0"/>
              <w:bottom w:val="single" w:color="auto" w:sz="8" w:space="0"/>
              <w:right w:val="single" w:color="auto" w:sz="8" w:space="0"/>
            </w:tcBorders>
            <w:hideMark/>
          </w:tcPr>
          <w:p w:rsidRPr="00821320" w:rsidR="00CE7E95" w:rsidP="00B412DF" w:rsidRDefault="00CE7E95" w14:paraId="73995403" w14:textId="77777777">
            <w:pPr>
              <w:rPr>
                <w:rFonts w:ascii="Verdana" w:hAnsi="Verdana" w:cs="Arial"/>
                <w:color w:val="000000"/>
                <w:sz w:val="18"/>
                <w:szCs w:val="18"/>
                <w:lang w:eastAsia="es-CO"/>
              </w:rPr>
            </w:pPr>
            <w:r w:rsidRPr="00821320">
              <w:rPr>
                <w:rFonts w:ascii="Verdana" w:hAnsi="Verdana" w:cs="Arial"/>
                <w:color w:val="000000"/>
                <w:sz w:val="18"/>
                <w:szCs w:val="18"/>
                <w:lang w:eastAsia="es-CO"/>
              </w:rPr>
              <w:t>Con Situación de Fondos</w:t>
            </w:r>
          </w:p>
        </w:tc>
        <w:tc>
          <w:tcPr>
            <w:tcW w:w="1062" w:type="pct"/>
            <w:tcBorders>
              <w:top w:val="nil"/>
              <w:left w:val="nil"/>
              <w:bottom w:val="single" w:color="auto" w:sz="8" w:space="0"/>
              <w:right w:val="single" w:color="auto" w:sz="8" w:space="0"/>
            </w:tcBorders>
            <w:noWrap/>
            <w:hideMark/>
          </w:tcPr>
          <w:p w:rsidRPr="00821320" w:rsidR="00CE7E95" w:rsidP="00B412DF" w:rsidRDefault="00CE7E95" w14:paraId="5C38DC3E" w14:textId="77777777">
            <w:pPr>
              <w:jc w:val="right"/>
              <w:rPr>
                <w:rFonts w:ascii="Verdana" w:hAnsi="Verdana" w:cs="Arial"/>
                <w:color w:val="000000"/>
                <w:sz w:val="18"/>
                <w:szCs w:val="18"/>
                <w:lang w:eastAsia="es-CO"/>
              </w:rPr>
            </w:pPr>
            <w:r w:rsidRPr="00821320">
              <w:rPr>
                <w:rFonts w:ascii="Verdana" w:hAnsi="Verdana" w:cs="Arial"/>
                <w:color w:val="000000"/>
                <w:sz w:val="18"/>
                <w:szCs w:val="18"/>
                <w:lang w:eastAsia="es-CO"/>
              </w:rPr>
              <w:t>82.201</w:t>
            </w:r>
          </w:p>
        </w:tc>
        <w:tc>
          <w:tcPr>
            <w:tcW w:w="972" w:type="pct"/>
            <w:tcBorders>
              <w:top w:val="nil"/>
              <w:left w:val="nil"/>
              <w:bottom w:val="single" w:color="auto" w:sz="8" w:space="0"/>
              <w:right w:val="single" w:color="auto" w:sz="8" w:space="0"/>
            </w:tcBorders>
            <w:noWrap/>
            <w:hideMark/>
          </w:tcPr>
          <w:p w:rsidRPr="00821320" w:rsidR="00CE7E95" w:rsidP="00B412DF" w:rsidRDefault="00CE7E95" w14:paraId="0C6618C2" w14:textId="77777777">
            <w:pPr>
              <w:jc w:val="right"/>
              <w:rPr>
                <w:rFonts w:ascii="Verdana" w:hAnsi="Verdana" w:cs="Arial"/>
                <w:color w:val="000000"/>
                <w:sz w:val="18"/>
                <w:szCs w:val="18"/>
                <w:lang w:eastAsia="es-CO"/>
              </w:rPr>
            </w:pPr>
            <w:r w:rsidRPr="00821320">
              <w:rPr>
                <w:rFonts w:ascii="Verdana" w:hAnsi="Verdana" w:cs="Arial"/>
                <w:color w:val="000000"/>
                <w:sz w:val="18"/>
                <w:szCs w:val="18"/>
                <w:lang w:eastAsia="es-CO"/>
              </w:rPr>
              <w:t>102.685</w:t>
            </w:r>
          </w:p>
        </w:tc>
        <w:tc>
          <w:tcPr>
            <w:tcW w:w="1030" w:type="pct"/>
            <w:tcBorders>
              <w:top w:val="nil"/>
              <w:left w:val="nil"/>
              <w:bottom w:val="single" w:color="auto" w:sz="8" w:space="0"/>
              <w:right w:val="single" w:color="auto" w:sz="8" w:space="0"/>
            </w:tcBorders>
            <w:noWrap/>
            <w:hideMark/>
          </w:tcPr>
          <w:p w:rsidRPr="00821320" w:rsidR="00CE7E95" w:rsidP="00B412DF" w:rsidRDefault="00CE7E95" w14:paraId="43D082F9" w14:textId="77777777">
            <w:pPr>
              <w:jc w:val="right"/>
              <w:rPr>
                <w:rFonts w:ascii="Verdana" w:hAnsi="Verdana" w:cs="Arial"/>
                <w:color w:val="000000"/>
                <w:sz w:val="18"/>
                <w:szCs w:val="18"/>
                <w:lang w:eastAsia="es-CO"/>
              </w:rPr>
            </w:pPr>
            <w:r w:rsidRPr="00821320">
              <w:rPr>
                <w:rFonts w:ascii="Verdana" w:hAnsi="Verdana" w:cs="Arial"/>
                <w:color w:val="000000" w:themeColor="text1"/>
                <w:sz w:val="18"/>
                <w:szCs w:val="18"/>
                <w:lang w:eastAsia="es-CO"/>
              </w:rPr>
              <w:t>106.044</w:t>
            </w:r>
          </w:p>
        </w:tc>
      </w:tr>
      <w:tr w:rsidRPr="00821320" w:rsidR="00CE7E95" w:rsidTr="004B0C5C" w14:paraId="47B7DF6C" w14:textId="77777777">
        <w:trPr>
          <w:trHeight w:val="20"/>
          <w:jc w:val="center"/>
        </w:trPr>
        <w:tc>
          <w:tcPr>
            <w:tcW w:w="1936" w:type="pct"/>
            <w:tcBorders>
              <w:top w:val="nil"/>
              <w:left w:val="single" w:color="auto" w:sz="8" w:space="0"/>
              <w:bottom w:val="single" w:color="auto" w:sz="8" w:space="0"/>
              <w:right w:val="single" w:color="auto" w:sz="8" w:space="0"/>
            </w:tcBorders>
            <w:hideMark/>
          </w:tcPr>
          <w:p w:rsidRPr="00821320" w:rsidR="00CE7E95" w:rsidP="00B412DF" w:rsidRDefault="00CE7E95" w14:paraId="1AFE4C21" w14:textId="77777777">
            <w:pPr>
              <w:rPr>
                <w:rFonts w:ascii="Verdana" w:hAnsi="Verdana" w:cs="Arial"/>
                <w:color w:val="000000"/>
                <w:sz w:val="18"/>
                <w:szCs w:val="18"/>
                <w:lang w:eastAsia="es-CO"/>
              </w:rPr>
            </w:pPr>
            <w:r w:rsidRPr="00821320">
              <w:rPr>
                <w:rFonts w:ascii="Verdana" w:hAnsi="Verdana" w:cs="Arial"/>
                <w:color w:val="000000"/>
                <w:sz w:val="18"/>
                <w:szCs w:val="18"/>
                <w:lang w:eastAsia="es-CO"/>
              </w:rPr>
              <w:t>Sin Situación de Fondos</w:t>
            </w:r>
          </w:p>
        </w:tc>
        <w:tc>
          <w:tcPr>
            <w:tcW w:w="1062" w:type="pct"/>
            <w:tcBorders>
              <w:top w:val="nil"/>
              <w:left w:val="nil"/>
              <w:bottom w:val="single" w:color="auto" w:sz="8" w:space="0"/>
              <w:right w:val="single" w:color="auto" w:sz="8" w:space="0"/>
            </w:tcBorders>
            <w:noWrap/>
            <w:hideMark/>
          </w:tcPr>
          <w:p w:rsidRPr="00821320" w:rsidR="00CE7E95" w:rsidP="00B412DF" w:rsidRDefault="00CE7E95" w14:paraId="28BB4EF4" w14:textId="77777777">
            <w:pPr>
              <w:jc w:val="right"/>
              <w:rPr>
                <w:rFonts w:ascii="Verdana" w:hAnsi="Verdana" w:cs="Arial"/>
                <w:color w:val="000000"/>
                <w:sz w:val="18"/>
                <w:szCs w:val="18"/>
                <w:lang w:eastAsia="es-CO"/>
              </w:rPr>
            </w:pPr>
            <w:r w:rsidRPr="00821320">
              <w:rPr>
                <w:rFonts w:ascii="Verdana" w:hAnsi="Verdana" w:cs="Arial"/>
                <w:color w:val="000000"/>
                <w:sz w:val="18"/>
                <w:szCs w:val="18"/>
                <w:lang w:eastAsia="es-CO"/>
              </w:rPr>
              <w:t>17.775</w:t>
            </w:r>
          </w:p>
        </w:tc>
        <w:tc>
          <w:tcPr>
            <w:tcW w:w="972" w:type="pct"/>
            <w:tcBorders>
              <w:top w:val="nil"/>
              <w:left w:val="nil"/>
              <w:bottom w:val="single" w:color="auto" w:sz="8" w:space="0"/>
              <w:right w:val="single" w:color="auto" w:sz="8" w:space="0"/>
            </w:tcBorders>
            <w:noWrap/>
            <w:hideMark/>
          </w:tcPr>
          <w:p w:rsidRPr="00821320" w:rsidR="00CE7E95" w:rsidP="00B412DF" w:rsidRDefault="00CE7E95" w14:paraId="34D0ACA0" w14:textId="77777777">
            <w:pPr>
              <w:jc w:val="right"/>
              <w:rPr>
                <w:rFonts w:ascii="Verdana" w:hAnsi="Verdana" w:cs="Arial"/>
                <w:color w:val="000000"/>
                <w:sz w:val="18"/>
                <w:szCs w:val="18"/>
                <w:lang w:eastAsia="es-CO"/>
              </w:rPr>
            </w:pPr>
            <w:r w:rsidRPr="00821320">
              <w:rPr>
                <w:rFonts w:ascii="Verdana" w:hAnsi="Verdana" w:cs="Arial"/>
                <w:b/>
                <w:bCs/>
                <w:color w:val="FF0000"/>
                <w:sz w:val="18"/>
                <w:szCs w:val="18"/>
                <w:lang w:eastAsia="es-CO"/>
              </w:rPr>
              <w:t>(3)</w:t>
            </w:r>
            <w:r w:rsidRPr="00821320">
              <w:rPr>
                <w:rFonts w:ascii="Verdana" w:hAnsi="Verdana" w:cs="Arial"/>
                <w:color w:val="000000"/>
                <w:sz w:val="18"/>
                <w:szCs w:val="18"/>
                <w:lang w:eastAsia="es-CO"/>
              </w:rPr>
              <w:t xml:space="preserve"> -</w:t>
            </w:r>
          </w:p>
        </w:tc>
        <w:tc>
          <w:tcPr>
            <w:tcW w:w="1030" w:type="pct"/>
            <w:tcBorders>
              <w:top w:val="nil"/>
              <w:left w:val="nil"/>
              <w:bottom w:val="single" w:color="auto" w:sz="8" w:space="0"/>
              <w:right w:val="single" w:color="auto" w:sz="8" w:space="0"/>
            </w:tcBorders>
            <w:noWrap/>
            <w:hideMark/>
          </w:tcPr>
          <w:p w:rsidRPr="00821320" w:rsidR="00CE7E95" w:rsidP="00B412DF" w:rsidRDefault="00CE7E95" w14:paraId="447B42A0" w14:textId="77777777">
            <w:pPr>
              <w:jc w:val="right"/>
              <w:rPr>
                <w:rFonts w:ascii="Verdana" w:hAnsi="Verdana" w:cs="Arial"/>
                <w:color w:val="000000"/>
                <w:sz w:val="18"/>
                <w:szCs w:val="18"/>
                <w:lang w:eastAsia="es-CO"/>
              </w:rPr>
            </w:pPr>
            <w:r w:rsidRPr="00821320">
              <w:rPr>
                <w:rFonts w:ascii="Verdana" w:hAnsi="Verdana" w:cs="Arial"/>
                <w:sz w:val="18"/>
                <w:szCs w:val="18"/>
                <w:lang w:eastAsia="es-CO"/>
              </w:rPr>
              <w:t>9.401</w:t>
            </w:r>
          </w:p>
        </w:tc>
      </w:tr>
      <w:tr w:rsidRPr="00821320" w:rsidR="00CE7E95" w:rsidTr="004B0C5C" w14:paraId="3448BFA8" w14:textId="77777777">
        <w:trPr>
          <w:trHeight w:val="20"/>
          <w:jc w:val="center"/>
        </w:trPr>
        <w:tc>
          <w:tcPr>
            <w:tcW w:w="1936" w:type="pct"/>
            <w:tcBorders>
              <w:top w:val="nil"/>
              <w:left w:val="single" w:color="auto" w:sz="8" w:space="0"/>
              <w:bottom w:val="single" w:color="auto" w:sz="8" w:space="0"/>
              <w:right w:val="single" w:color="auto" w:sz="8" w:space="0"/>
            </w:tcBorders>
            <w:hideMark/>
          </w:tcPr>
          <w:p w:rsidRPr="00821320" w:rsidR="00CE7E95" w:rsidP="00B412DF" w:rsidRDefault="00CE7E95" w14:paraId="74031044" w14:textId="77777777">
            <w:pPr>
              <w:rPr>
                <w:rFonts w:ascii="Verdana" w:hAnsi="Verdana" w:cs="Arial"/>
                <w:b/>
                <w:bCs/>
                <w:color w:val="000000"/>
                <w:sz w:val="18"/>
                <w:szCs w:val="18"/>
                <w:lang w:eastAsia="es-CO"/>
              </w:rPr>
            </w:pPr>
            <w:r w:rsidRPr="00821320">
              <w:rPr>
                <w:rFonts w:ascii="Verdana" w:hAnsi="Verdana" w:cs="Arial"/>
                <w:b/>
                <w:bCs/>
                <w:color w:val="000000"/>
                <w:sz w:val="18"/>
                <w:szCs w:val="18"/>
                <w:lang w:eastAsia="es-CO"/>
              </w:rPr>
              <w:t>Calidad</w:t>
            </w:r>
          </w:p>
        </w:tc>
        <w:tc>
          <w:tcPr>
            <w:tcW w:w="1062" w:type="pct"/>
            <w:tcBorders>
              <w:top w:val="nil"/>
              <w:left w:val="nil"/>
              <w:bottom w:val="single" w:color="auto" w:sz="8" w:space="0"/>
              <w:right w:val="single" w:color="auto" w:sz="8" w:space="0"/>
            </w:tcBorders>
            <w:noWrap/>
            <w:hideMark/>
          </w:tcPr>
          <w:p w:rsidRPr="00821320" w:rsidR="00CE7E95" w:rsidP="00B412DF" w:rsidRDefault="00CE7E95" w14:paraId="3493FF55" w14:textId="77777777">
            <w:pPr>
              <w:jc w:val="right"/>
              <w:rPr>
                <w:rFonts w:ascii="Verdana" w:hAnsi="Verdana" w:cs="Arial"/>
                <w:b/>
                <w:bCs/>
                <w:color w:val="000000"/>
                <w:sz w:val="18"/>
                <w:szCs w:val="18"/>
                <w:lang w:eastAsia="es-CO"/>
              </w:rPr>
            </w:pPr>
            <w:r w:rsidRPr="00821320">
              <w:rPr>
                <w:rFonts w:ascii="Verdana" w:hAnsi="Verdana" w:cs="Arial"/>
                <w:b/>
                <w:bCs/>
                <w:color w:val="000000"/>
                <w:sz w:val="18"/>
                <w:szCs w:val="18"/>
                <w:lang w:eastAsia="es-CO"/>
              </w:rPr>
              <w:t>4.427</w:t>
            </w:r>
          </w:p>
        </w:tc>
        <w:tc>
          <w:tcPr>
            <w:tcW w:w="972" w:type="pct"/>
            <w:tcBorders>
              <w:top w:val="nil"/>
              <w:left w:val="nil"/>
              <w:bottom w:val="single" w:color="auto" w:sz="8" w:space="0"/>
              <w:right w:val="single" w:color="auto" w:sz="8" w:space="0"/>
            </w:tcBorders>
            <w:noWrap/>
            <w:hideMark/>
          </w:tcPr>
          <w:p w:rsidRPr="00821320" w:rsidR="00CE7E95" w:rsidP="00B412DF" w:rsidRDefault="00CE7E95" w14:paraId="2CB738D2" w14:textId="77777777">
            <w:pPr>
              <w:jc w:val="right"/>
              <w:rPr>
                <w:rFonts w:ascii="Verdana" w:hAnsi="Verdana" w:cs="Arial"/>
                <w:b/>
                <w:bCs/>
                <w:color w:val="000000"/>
                <w:sz w:val="18"/>
                <w:szCs w:val="18"/>
                <w:lang w:eastAsia="es-CO"/>
              </w:rPr>
            </w:pPr>
            <w:r w:rsidRPr="00821320">
              <w:rPr>
                <w:rFonts w:ascii="Verdana" w:hAnsi="Verdana" w:cs="Arial"/>
                <w:b/>
                <w:bCs/>
                <w:color w:val="000000"/>
                <w:sz w:val="18"/>
                <w:szCs w:val="18"/>
                <w:lang w:eastAsia="es-CO"/>
              </w:rPr>
              <w:t>4.634</w:t>
            </w:r>
          </w:p>
        </w:tc>
        <w:tc>
          <w:tcPr>
            <w:tcW w:w="1030" w:type="pct"/>
            <w:tcBorders>
              <w:top w:val="nil"/>
              <w:left w:val="nil"/>
              <w:bottom w:val="single" w:color="auto" w:sz="8" w:space="0"/>
              <w:right w:val="single" w:color="auto" w:sz="8" w:space="0"/>
            </w:tcBorders>
            <w:noWrap/>
            <w:hideMark/>
          </w:tcPr>
          <w:p w:rsidRPr="00821320" w:rsidR="00CE7E95" w:rsidP="00B412DF" w:rsidRDefault="00CE7E95" w14:paraId="0C0B9B12" w14:textId="77777777">
            <w:pPr>
              <w:jc w:val="right"/>
              <w:rPr>
                <w:rFonts w:ascii="Verdana" w:hAnsi="Verdana" w:cs="Arial"/>
                <w:b/>
                <w:bCs/>
                <w:color w:val="000000"/>
                <w:sz w:val="18"/>
                <w:szCs w:val="18"/>
                <w:lang w:eastAsia="es-CO"/>
              </w:rPr>
            </w:pPr>
            <w:r w:rsidRPr="00821320">
              <w:rPr>
                <w:rFonts w:ascii="Verdana" w:hAnsi="Verdana" w:cs="Arial"/>
                <w:b/>
                <w:bCs/>
                <w:color w:val="000000" w:themeColor="text1"/>
                <w:sz w:val="18"/>
                <w:szCs w:val="18"/>
                <w:lang w:eastAsia="es-CO"/>
              </w:rPr>
              <w:t>4.771</w:t>
            </w:r>
          </w:p>
        </w:tc>
      </w:tr>
      <w:tr w:rsidRPr="00821320" w:rsidR="00CE7E95" w:rsidTr="004B0C5C" w14:paraId="5F0B966C" w14:textId="77777777">
        <w:trPr>
          <w:trHeight w:val="20"/>
          <w:jc w:val="center"/>
        </w:trPr>
        <w:tc>
          <w:tcPr>
            <w:tcW w:w="1936" w:type="pct"/>
            <w:tcBorders>
              <w:top w:val="nil"/>
              <w:left w:val="single" w:color="auto" w:sz="8" w:space="0"/>
              <w:bottom w:val="single" w:color="auto" w:sz="8" w:space="0"/>
              <w:right w:val="single" w:color="auto" w:sz="8" w:space="0"/>
            </w:tcBorders>
            <w:hideMark/>
          </w:tcPr>
          <w:p w:rsidRPr="00821320" w:rsidR="00CE7E95" w:rsidP="00B412DF" w:rsidRDefault="00CE7E95" w14:paraId="65ED59C2" w14:textId="77777777">
            <w:pPr>
              <w:rPr>
                <w:rFonts w:ascii="Verdana" w:hAnsi="Verdana" w:cs="Arial"/>
                <w:color w:val="000000"/>
                <w:sz w:val="18"/>
                <w:szCs w:val="18"/>
                <w:lang w:eastAsia="es-CO"/>
              </w:rPr>
            </w:pPr>
            <w:r w:rsidRPr="00821320">
              <w:rPr>
                <w:rFonts w:ascii="Verdana" w:hAnsi="Verdana" w:cs="Arial"/>
                <w:color w:val="000000"/>
                <w:sz w:val="18"/>
                <w:szCs w:val="18"/>
                <w:lang w:eastAsia="es-CO"/>
              </w:rPr>
              <w:t>Calidad ordinaria</w:t>
            </w:r>
          </w:p>
        </w:tc>
        <w:tc>
          <w:tcPr>
            <w:tcW w:w="1062" w:type="pct"/>
            <w:tcBorders>
              <w:top w:val="nil"/>
              <w:left w:val="nil"/>
              <w:bottom w:val="single" w:color="auto" w:sz="8" w:space="0"/>
              <w:right w:val="single" w:color="auto" w:sz="8" w:space="0"/>
            </w:tcBorders>
            <w:noWrap/>
            <w:hideMark/>
          </w:tcPr>
          <w:p w:rsidRPr="00821320" w:rsidR="00CE7E95" w:rsidP="00B412DF" w:rsidRDefault="00CE7E95" w14:paraId="5D995D7D" w14:textId="77777777">
            <w:pPr>
              <w:jc w:val="right"/>
              <w:rPr>
                <w:rFonts w:ascii="Verdana" w:hAnsi="Verdana" w:cs="Arial"/>
                <w:color w:val="000000"/>
                <w:sz w:val="18"/>
                <w:szCs w:val="18"/>
                <w:lang w:eastAsia="es-CO"/>
              </w:rPr>
            </w:pPr>
            <w:r w:rsidRPr="00821320">
              <w:rPr>
                <w:rFonts w:ascii="Verdana" w:hAnsi="Verdana" w:cs="Arial"/>
                <w:color w:val="000000"/>
                <w:sz w:val="18"/>
                <w:szCs w:val="18"/>
                <w:lang w:eastAsia="es-CO"/>
              </w:rPr>
              <w:t>1.837</w:t>
            </w:r>
          </w:p>
        </w:tc>
        <w:tc>
          <w:tcPr>
            <w:tcW w:w="972" w:type="pct"/>
            <w:tcBorders>
              <w:top w:val="nil"/>
              <w:left w:val="nil"/>
              <w:bottom w:val="single" w:color="auto" w:sz="8" w:space="0"/>
              <w:right w:val="single" w:color="auto" w:sz="8" w:space="0"/>
            </w:tcBorders>
            <w:noWrap/>
            <w:hideMark/>
          </w:tcPr>
          <w:p w:rsidRPr="00821320" w:rsidR="00CE7E95" w:rsidP="00B412DF" w:rsidRDefault="00CE7E95" w14:paraId="5FA46178" w14:textId="77777777">
            <w:pPr>
              <w:jc w:val="right"/>
              <w:rPr>
                <w:rFonts w:ascii="Verdana" w:hAnsi="Verdana" w:cs="Arial"/>
                <w:color w:val="000000"/>
                <w:sz w:val="18"/>
                <w:szCs w:val="18"/>
                <w:lang w:eastAsia="es-CO"/>
              </w:rPr>
            </w:pPr>
            <w:r w:rsidRPr="00821320">
              <w:rPr>
                <w:rFonts w:ascii="Verdana" w:hAnsi="Verdana" w:cs="Arial"/>
                <w:color w:val="000000"/>
                <w:sz w:val="18"/>
                <w:szCs w:val="18"/>
                <w:lang w:eastAsia="es-CO"/>
              </w:rPr>
              <w:t>2.206</w:t>
            </w:r>
          </w:p>
        </w:tc>
        <w:tc>
          <w:tcPr>
            <w:tcW w:w="1030" w:type="pct"/>
            <w:tcBorders>
              <w:top w:val="nil"/>
              <w:left w:val="nil"/>
              <w:bottom w:val="single" w:color="auto" w:sz="8" w:space="0"/>
              <w:right w:val="single" w:color="auto" w:sz="8" w:space="0"/>
            </w:tcBorders>
            <w:noWrap/>
            <w:hideMark/>
          </w:tcPr>
          <w:p w:rsidRPr="00821320" w:rsidR="00CE7E95" w:rsidP="00B412DF" w:rsidRDefault="00CE7E95" w14:paraId="403C295C" w14:textId="77777777">
            <w:pPr>
              <w:jc w:val="right"/>
              <w:rPr>
                <w:rFonts w:ascii="Verdana" w:hAnsi="Verdana" w:cs="Arial"/>
                <w:color w:val="000000"/>
                <w:sz w:val="18"/>
                <w:szCs w:val="18"/>
                <w:lang w:eastAsia="es-CO"/>
              </w:rPr>
            </w:pPr>
            <w:r w:rsidRPr="00821320">
              <w:rPr>
                <w:rFonts w:ascii="Verdana" w:hAnsi="Verdana" w:cs="Arial"/>
                <w:color w:val="000000" w:themeColor="text1"/>
                <w:sz w:val="18"/>
                <w:szCs w:val="18"/>
                <w:lang w:eastAsia="es-CO"/>
              </w:rPr>
              <w:t>2.338</w:t>
            </w:r>
          </w:p>
        </w:tc>
      </w:tr>
      <w:tr w:rsidRPr="00821320" w:rsidR="00CE7E95" w:rsidTr="004B0C5C" w14:paraId="6723B459" w14:textId="77777777">
        <w:trPr>
          <w:trHeight w:val="20"/>
          <w:jc w:val="center"/>
        </w:trPr>
        <w:tc>
          <w:tcPr>
            <w:tcW w:w="1936" w:type="pct"/>
            <w:tcBorders>
              <w:top w:val="nil"/>
              <w:left w:val="single" w:color="auto" w:sz="8" w:space="0"/>
              <w:bottom w:val="single" w:color="auto" w:sz="8" w:space="0"/>
              <w:right w:val="single" w:color="auto" w:sz="8" w:space="0"/>
            </w:tcBorders>
            <w:hideMark/>
          </w:tcPr>
          <w:p w:rsidRPr="00821320" w:rsidR="00CE7E95" w:rsidP="00B412DF" w:rsidRDefault="00CE7E95" w14:paraId="5A968B91" w14:textId="77777777">
            <w:pPr>
              <w:rPr>
                <w:rFonts w:ascii="Verdana" w:hAnsi="Verdana" w:cs="Arial"/>
                <w:color w:val="000000"/>
                <w:sz w:val="18"/>
                <w:szCs w:val="18"/>
                <w:lang w:eastAsia="es-CO"/>
              </w:rPr>
            </w:pPr>
            <w:r w:rsidRPr="00821320">
              <w:rPr>
                <w:rFonts w:ascii="Verdana" w:hAnsi="Verdana" w:cs="Arial"/>
                <w:color w:val="000000"/>
                <w:sz w:val="18"/>
                <w:szCs w:val="18"/>
                <w:lang w:eastAsia="es-CO"/>
              </w:rPr>
              <w:t>Gratuidad</w:t>
            </w:r>
          </w:p>
        </w:tc>
        <w:tc>
          <w:tcPr>
            <w:tcW w:w="1062" w:type="pct"/>
            <w:tcBorders>
              <w:top w:val="nil"/>
              <w:left w:val="nil"/>
              <w:bottom w:val="single" w:color="auto" w:sz="8" w:space="0"/>
              <w:right w:val="single" w:color="auto" w:sz="8" w:space="0"/>
            </w:tcBorders>
            <w:noWrap/>
            <w:hideMark/>
          </w:tcPr>
          <w:p w:rsidRPr="00821320" w:rsidR="00CE7E95" w:rsidP="00B412DF" w:rsidRDefault="00CE7E95" w14:paraId="5C752DD0" w14:textId="77777777">
            <w:pPr>
              <w:jc w:val="right"/>
              <w:rPr>
                <w:rFonts w:ascii="Verdana" w:hAnsi="Verdana" w:cs="Arial"/>
                <w:color w:val="000000"/>
                <w:sz w:val="18"/>
                <w:szCs w:val="18"/>
                <w:lang w:eastAsia="es-CO"/>
              </w:rPr>
            </w:pPr>
            <w:r w:rsidRPr="00821320">
              <w:rPr>
                <w:rFonts w:ascii="Verdana" w:hAnsi="Verdana" w:cs="Arial"/>
                <w:color w:val="000000"/>
                <w:sz w:val="18"/>
                <w:szCs w:val="18"/>
                <w:lang w:eastAsia="es-CO"/>
              </w:rPr>
              <w:t>2.590</w:t>
            </w:r>
          </w:p>
        </w:tc>
        <w:tc>
          <w:tcPr>
            <w:tcW w:w="972" w:type="pct"/>
            <w:tcBorders>
              <w:top w:val="nil"/>
              <w:left w:val="nil"/>
              <w:bottom w:val="single" w:color="auto" w:sz="8" w:space="0"/>
              <w:right w:val="single" w:color="auto" w:sz="8" w:space="0"/>
            </w:tcBorders>
            <w:noWrap/>
            <w:hideMark/>
          </w:tcPr>
          <w:p w:rsidRPr="00821320" w:rsidR="00CE7E95" w:rsidP="00B412DF" w:rsidRDefault="00CE7E95" w14:paraId="166B733C" w14:textId="77777777">
            <w:pPr>
              <w:jc w:val="right"/>
              <w:rPr>
                <w:rFonts w:ascii="Verdana" w:hAnsi="Verdana" w:cs="Arial"/>
                <w:color w:val="000000"/>
                <w:sz w:val="18"/>
                <w:szCs w:val="18"/>
                <w:lang w:eastAsia="es-CO"/>
              </w:rPr>
            </w:pPr>
            <w:r w:rsidRPr="00821320">
              <w:rPr>
                <w:rFonts w:ascii="Verdana" w:hAnsi="Verdana" w:cs="Arial"/>
                <w:color w:val="000000"/>
                <w:sz w:val="18"/>
                <w:szCs w:val="18"/>
                <w:lang w:eastAsia="es-CO"/>
              </w:rPr>
              <w:t>2.428</w:t>
            </w:r>
          </w:p>
        </w:tc>
        <w:tc>
          <w:tcPr>
            <w:tcW w:w="1030" w:type="pct"/>
            <w:tcBorders>
              <w:top w:val="nil"/>
              <w:left w:val="nil"/>
              <w:bottom w:val="single" w:color="auto" w:sz="8" w:space="0"/>
              <w:right w:val="single" w:color="auto" w:sz="8" w:space="0"/>
            </w:tcBorders>
            <w:noWrap/>
            <w:hideMark/>
          </w:tcPr>
          <w:p w:rsidRPr="00821320" w:rsidR="00CE7E95" w:rsidP="00B412DF" w:rsidRDefault="00CE7E95" w14:paraId="33308323" w14:textId="77777777">
            <w:pPr>
              <w:jc w:val="right"/>
              <w:rPr>
                <w:rFonts w:ascii="Verdana" w:hAnsi="Verdana" w:cs="Arial"/>
                <w:color w:val="000000"/>
                <w:sz w:val="18"/>
                <w:szCs w:val="18"/>
                <w:lang w:eastAsia="es-CO"/>
              </w:rPr>
            </w:pPr>
            <w:r w:rsidRPr="00821320">
              <w:rPr>
                <w:rFonts w:ascii="Verdana" w:hAnsi="Verdana" w:cs="Arial"/>
                <w:color w:val="000000" w:themeColor="text1"/>
                <w:sz w:val="18"/>
                <w:szCs w:val="18"/>
                <w:lang w:eastAsia="es-CO"/>
              </w:rPr>
              <w:t>2.432</w:t>
            </w:r>
          </w:p>
        </w:tc>
      </w:tr>
      <w:tr w:rsidRPr="00821320" w:rsidR="00CE7E95" w:rsidTr="004B0C5C" w14:paraId="08667D7B" w14:textId="77777777">
        <w:trPr>
          <w:trHeight w:val="20"/>
          <w:jc w:val="center"/>
        </w:trPr>
        <w:tc>
          <w:tcPr>
            <w:tcW w:w="1936" w:type="pct"/>
            <w:tcBorders>
              <w:top w:val="nil"/>
              <w:left w:val="single" w:color="auto" w:sz="8" w:space="0"/>
              <w:bottom w:val="single" w:color="auto" w:sz="8" w:space="0"/>
              <w:right w:val="single" w:color="auto" w:sz="8" w:space="0"/>
            </w:tcBorders>
            <w:shd w:val="clear" w:color="auto" w:fill="D9D9D9"/>
            <w:hideMark/>
          </w:tcPr>
          <w:p w:rsidRPr="00821320" w:rsidR="00CE7E95" w:rsidP="00B412DF" w:rsidRDefault="00CE7E95" w14:paraId="5FCAA3FB" w14:textId="77777777">
            <w:pPr>
              <w:rPr>
                <w:rFonts w:ascii="Verdana" w:hAnsi="Verdana" w:cs="Arial"/>
                <w:b/>
                <w:bCs/>
                <w:color w:val="000000"/>
                <w:sz w:val="18"/>
                <w:szCs w:val="18"/>
                <w:lang w:eastAsia="es-CO"/>
              </w:rPr>
            </w:pPr>
            <w:r w:rsidRPr="00821320">
              <w:rPr>
                <w:rFonts w:ascii="Verdana" w:hAnsi="Verdana" w:cs="Arial"/>
                <w:b/>
                <w:bCs/>
                <w:color w:val="000000"/>
                <w:sz w:val="18"/>
                <w:szCs w:val="18"/>
                <w:lang w:eastAsia="es-CO"/>
              </w:rPr>
              <w:t>Ingresos de capital</w:t>
            </w:r>
          </w:p>
        </w:tc>
        <w:tc>
          <w:tcPr>
            <w:tcW w:w="1062" w:type="pct"/>
            <w:tcBorders>
              <w:top w:val="nil"/>
              <w:left w:val="nil"/>
              <w:bottom w:val="single" w:color="auto" w:sz="8" w:space="0"/>
              <w:right w:val="single" w:color="auto" w:sz="8" w:space="0"/>
            </w:tcBorders>
            <w:shd w:val="clear" w:color="auto" w:fill="D9D9D9"/>
            <w:noWrap/>
            <w:hideMark/>
          </w:tcPr>
          <w:p w:rsidRPr="00821320" w:rsidR="00CE7E95" w:rsidP="00B412DF" w:rsidRDefault="00CE7E95" w14:paraId="7C01B25D" w14:textId="77777777">
            <w:pPr>
              <w:jc w:val="right"/>
              <w:rPr>
                <w:rFonts w:ascii="Verdana" w:hAnsi="Verdana" w:cs="Arial"/>
                <w:b/>
                <w:bCs/>
                <w:color w:val="000000"/>
                <w:sz w:val="18"/>
                <w:szCs w:val="18"/>
                <w:lang w:eastAsia="es-CO"/>
              </w:rPr>
            </w:pPr>
            <w:r w:rsidRPr="00821320">
              <w:rPr>
                <w:rFonts w:ascii="Verdana" w:hAnsi="Verdana" w:cs="Arial"/>
                <w:b/>
                <w:bCs/>
                <w:color w:val="000000"/>
                <w:sz w:val="18"/>
                <w:szCs w:val="18"/>
                <w:lang w:eastAsia="es-CO"/>
              </w:rPr>
              <w:t>1.410</w:t>
            </w:r>
          </w:p>
        </w:tc>
        <w:tc>
          <w:tcPr>
            <w:tcW w:w="972" w:type="pct"/>
            <w:tcBorders>
              <w:top w:val="nil"/>
              <w:left w:val="nil"/>
              <w:bottom w:val="single" w:color="auto" w:sz="8" w:space="0"/>
              <w:right w:val="single" w:color="auto" w:sz="8" w:space="0"/>
            </w:tcBorders>
            <w:shd w:val="clear" w:color="auto" w:fill="D9D9D9"/>
            <w:noWrap/>
            <w:hideMark/>
          </w:tcPr>
          <w:p w:rsidRPr="00821320" w:rsidR="00CE7E95" w:rsidP="00B412DF" w:rsidRDefault="00CE7E95" w14:paraId="6824A659" w14:textId="77777777">
            <w:pPr>
              <w:jc w:val="right"/>
              <w:rPr>
                <w:rFonts w:ascii="Verdana" w:hAnsi="Verdana" w:cs="Arial"/>
                <w:b/>
                <w:bCs/>
                <w:color w:val="000000"/>
                <w:sz w:val="18"/>
                <w:szCs w:val="18"/>
                <w:lang w:eastAsia="es-CO"/>
              </w:rPr>
            </w:pPr>
            <w:r w:rsidRPr="00821320">
              <w:rPr>
                <w:rFonts w:ascii="Verdana" w:hAnsi="Verdana" w:cs="Arial"/>
                <w:b/>
                <w:bCs/>
                <w:color w:val="000000"/>
                <w:sz w:val="18"/>
                <w:szCs w:val="18"/>
                <w:lang w:eastAsia="es-CO"/>
              </w:rPr>
              <w:t>1.707</w:t>
            </w:r>
          </w:p>
        </w:tc>
        <w:tc>
          <w:tcPr>
            <w:tcW w:w="1030" w:type="pct"/>
            <w:tcBorders>
              <w:top w:val="nil"/>
              <w:left w:val="nil"/>
              <w:bottom w:val="single" w:color="auto" w:sz="8" w:space="0"/>
              <w:right w:val="single" w:color="auto" w:sz="8" w:space="0"/>
            </w:tcBorders>
            <w:shd w:val="clear" w:color="auto" w:fill="D9D9D9"/>
            <w:noWrap/>
            <w:hideMark/>
          </w:tcPr>
          <w:p w:rsidRPr="00821320" w:rsidR="00CE7E95" w:rsidP="00B412DF" w:rsidRDefault="00CE7E95" w14:paraId="610E9B3E" w14:textId="77777777">
            <w:pPr>
              <w:jc w:val="right"/>
              <w:rPr>
                <w:rFonts w:ascii="Verdana" w:hAnsi="Verdana" w:cs="Arial"/>
                <w:b/>
                <w:bCs/>
                <w:color w:val="000000"/>
                <w:sz w:val="18"/>
                <w:szCs w:val="18"/>
                <w:lang w:eastAsia="es-CO"/>
              </w:rPr>
            </w:pPr>
            <w:r w:rsidRPr="00821320">
              <w:rPr>
                <w:rFonts w:ascii="Verdana" w:hAnsi="Verdana" w:cs="Arial"/>
                <w:b/>
                <w:bCs/>
                <w:color w:val="000000" w:themeColor="text1"/>
                <w:sz w:val="18"/>
                <w:szCs w:val="18"/>
                <w:lang w:eastAsia="es-CO"/>
              </w:rPr>
              <w:t>641</w:t>
            </w:r>
          </w:p>
        </w:tc>
      </w:tr>
      <w:tr w:rsidRPr="00821320" w:rsidR="00CE7E95" w:rsidTr="004B0C5C" w14:paraId="1510567A" w14:textId="77777777">
        <w:trPr>
          <w:trHeight w:val="20"/>
          <w:jc w:val="center"/>
        </w:trPr>
        <w:tc>
          <w:tcPr>
            <w:tcW w:w="1936" w:type="pct"/>
            <w:tcBorders>
              <w:top w:val="nil"/>
              <w:left w:val="single" w:color="auto" w:sz="8" w:space="0"/>
              <w:bottom w:val="single" w:color="auto" w:sz="8" w:space="0"/>
              <w:right w:val="single" w:color="auto" w:sz="8" w:space="0"/>
            </w:tcBorders>
            <w:hideMark/>
          </w:tcPr>
          <w:p w:rsidRPr="00821320" w:rsidR="00CE7E95" w:rsidP="00B412DF" w:rsidRDefault="00CE7E95" w14:paraId="5EE896FF" w14:textId="77777777">
            <w:pPr>
              <w:rPr>
                <w:rFonts w:ascii="Verdana" w:hAnsi="Verdana" w:cs="Arial"/>
                <w:b/>
                <w:bCs/>
                <w:color w:val="000000"/>
                <w:sz w:val="18"/>
                <w:szCs w:val="18"/>
                <w:lang w:eastAsia="es-CO"/>
              </w:rPr>
            </w:pPr>
            <w:r w:rsidRPr="00821320">
              <w:rPr>
                <w:rFonts w:ascii="Verdana" w:hAnsi="Verdana" w:cs="Arial"/>
                <w:b/>
                <w:bCs/>
                <w:color w:val="000000"/>
                <w:sz w:val="18"/>
                <w:szCs w:val="18"/>
                <w:lang w:eastAsia="es-CO"/>
              </w:rPr>
              <w:t>Rendimientos Financieros</w:t>
            </w:r>
          </w:p>
        </w:tc>
        <w:tc>
          <w:tcPr>
            <w:tcW w:w="1062" w:type="pct"/>
            <w:tcBorders>
              <w:top w:val="nil"/>
              <w:left w:val="nil"/>
              <w:bottom w:val="single" w:color="auto" w:sz="8" w:space="0"/>
              <w:right w:val="single" w:color="auto" w:sz="8" w:space="0"/>
            </w:tcBorders>
            <w:noWrap/>
            <w:hideMark/>
          </w:tcPr>
          <w:p w:rsidRPr="00821320" w:rsidR="00CE7E95" w:rsidP="00B412DF" w:rsidRDefault="00CE7E95" w14:paraId="1BF5A123" w14:textId="77777777">
            <w:pPr>
              <w:jc w:val="right"/>
              <w:rPr>
                <w:rFonts w:ascii="Verdana" w:hAnsi="Verdana" w:cs="Arial"/>
                <w:b/>
                <w:bCs/>
                <w:color w:val="000000"/>
                <w:sz w:val="18"/>
                <w:szCs w:val="18"/>
                <w:lang w:eastAsia="es-CO"/>
              </w:rPr>
            </w:pPr>
            <w:r w:rsidRPr="00821320">
              <w:rPr>
                <w:rFonts w:ascii="Verdana" w:hAnsi="Verdana" w:cs="Arial"/>
                <w:b/>
                <w:bCs/>
                <w:color w:val="000000"/>
                <w:sz w:val="18"/>
                <w:szCs w:val="18"/>
                <w:lang w:eastAsia="es-CO"/>
              </w:rPr>
              <w:t>73</w:t>
            </w:r>
          </w:p>
        </w:tc>
        <w:tc>
          <w:tcPr>
            <w:tcW w:w="972" w:type="pct"/>
            <w:tcBorders>
              <w:top w:val="nil"/>
              <w:left w:val="nil"/>
              <w:bottom w:val="single" w:color="auto" w:sz="8" w:space="0"/>
              <w:right w:val="single" w:color="auto" w:sz="8" w:space="0"/>
            </w:tcBorders>
            <w:noWrap/>
            <w:hideMark/>
          </w:tcPr>
          <w:p w:rsidRPr="00821320" w:rsidR="00CE7E95" w:rsidP="00B412DF" w:rsidRDefault="00CE7E95" w14:paraId="39336FCA" w14:textId="77777777">
            <w:pPr>
              <w:jc w:val="right"/>
              <w:rPr>
                <w:rFonts w:ascii="Verdana" w:hAnsi="Verdana" w:cs="Arial"/>
                <w:b/>
                <w:bCs/>
                <w:color w:val="000000"/>
                <w:sz w:val="18"/>
                <w:szCs w:val="18"/>
                <w:lang w:eastAsia="es-CO"/>
              </w:rPr>
            </w:pPr>
            <w:r w:rsidRPr="00821320">
              <w:rPr>
                <w:rFonts w:ascii="Verdana" w:hAnsi="Verdana" w:cs="Arial"/>
                <w:b/>
                <w:bCs/>
                <w:color w:val="000000"/>
                <w:sz w:val="18"/>
                <w:szCs w:val="18"/>
                <w:lang w:eastAsia="es-CO"/>
              </w:rPr>
              <w:t>27</w:t>
            </w:r>
          </w:p>
        </w:tc>
        <w:tc>
          <w:tcPr>
            <w:tcW w:w="1030" w:type="pct"/>
            <w:tcBorders>
              <w:top w:val="nil"/>
              <w:left w:val="nil"/>
              <w:bottom w:val="single" w:color="auto" w:sz="8" w:space="0"/>
              <w:right w:val="single" w:color="auto" w:sz="8" w:space="0"/>
            </w:tcBorders>
            <w:noWrap/>
            <w:hideMark/>
          </w:tcPr>
          <w:p w:rsidRPr="00821320" w:rsidR="00CE7E95" w:rsidP="00B412DF" w:rsidRDefault="00CE7E95" w14:paraId="05547B71" w14:textId="77777777">
            <w:pPr>
              <w:jc w:val="right"/>
              <w:rPr>
                <w:rFonts w:ascii="Verdana" w:hAnsi="Verdana" w:cs="Arial"/>
                <w:b/>
                <w:bCs/>
                <w:color w:val="000000"/>
                <w:sz w:val="18"/>
                <w:szCs w:val="18"/>
                <w:lang w:eastAsia="es-CO"/>
              </w:rPr>
            </w:pPr>
            <w:r w:rsidRPr="00821320">
              <w:rPr>
                <w:rFonts w:ascii="Verdana" w:hAnsi="Verdana" w:cs="Arial"/>
                <w:b/>
                <w:bCs/>
                <w:color w:val="000000" w:themeColor="text1"/>
                <w:sz w:val="18"/>
                <w:szCs w:val="18"/>
                <w:lang w:eastAsia="es-CO"/>
              </w:rPr>
              <w:t>33</w:t>
            </w:r>
          </w:p>
        </w:tc>
      </w:tr>
      <w:tr w:rsidRPr="00821320" w:rsidR="00CE7E95" w:rsidTr="004B0C5C" w14:paraId="3475D2D0" w14:textId="77777777">
        <w:trPr>
          <w:trHeight w:val="20"/>
          <w:jc w:val="center"/>
        </w:trPr>
        <w:tc>
          <w:tcPr>
            <w:tcW w:w="1936" w:type="pct"/>
            <w:tcBorders>
              <w:top w:val="nil"/>
              <w:left w:val="single" w:color="auto" w:sz="8" w:space="0"/>
              <w:bottom w:val="single" w:color="auto" w:sz="8" w:space="0"/>
              <w:right w:val="single" w:color="auto" w:sz="8" w:space="0"/>
            </w:tcBorders>
            <w:hideMark/>
          </w:tcPr>
          <w:p w:rsidRPr="00821320" w:rsidR="00CE7E95" w:rsidP="00B412DF" w:rsidRDefault="00CE7E95" w14:paraId="2ED2312E" w14:textId="77777777">
            <w:pPr>
              <w:rPr>
                <w:rFonts w:ascii="Verdana" w:hAnsi="Verdana" w:cs="Arial"/>
                <w:color w:val="000000"/>
                <w:sz w:val="18"/>
                <w:szCs w:val="18"/>
                <w:lang w:eastAsia="es-CO"/>
              </w:rPr>
            </w:pPr>
            <w:r w:rsidRPr="00821320">
              <w:rPr>
                <w:rFonts w:ascii="Verdana" w:hAnsi="Verdana" w:cs="Arial"/>
                <w:color w:val="000000"/>
                <w:sz w:val="18"/>
                <w:szCs w:val="18"/>
                <w:lang w:eastAsia="es-CO"/>
              </w:rPr>
              <w:t>Rendimiento Prestación</w:t>
            </w:r>
          </w:p>
        </w:tc>
        <w:tc>
          <w:tcPr>
            <w:tcW w:w="1062" w:type="pct"/>
            <w:tcBorders>
              <w:top w:val="nil"/>
              <w:left w:val="nil"/>
              <w:bottom w:val="single" w:color="auto" w:sz="8" w:space="0"/>
              <w:right w:val="single" w:color="auto" w:sz="8" w:space="0"/>
            </w:tcBorders>
            <w:noWrap/>
            <w:hideMark/>
          </w:tcPr>
          <w:p w:rsidRPr="00821320" w:rsidR="00CE7E95" w:rsidP="00B412DF" w:rsidRDefault="00CE7E95" w14:paraId="50B587A7" w14:textId="77777777">
            <w:pPr>
              <w:jc w:val="right"/>
              <w:rPr>
                <w:rFonts w:ascii="Verdana" w:hAnsi="Verdana" w:cs="Arial"/>
                <w:color w:val="000000"/>
                <w:sz w:val="18"/>
                <w:szCs w:val="18"/>
                <w:lang w:eastAsia="es-CO"/>
              </w:rPr>
            </w:pPr>
            <w:r w:rsidRPr="00821320">
              <w:rPr>
                <w:rFonts w:ascii="Verdana" w:hAnsi="Verdana" w:cs="Arial"/>
                <w:color w:val="000000"/>
                <w:sz w:val="18"/>
                <w:szCs w:val="18"/>
                <w:lang w:eastAsia="es-CO"/>
              </w:rPr>
              <w:t>65</w:t>
            </w:r>
          </w:p>
        </w:tc>
        <w:tc>
          <w:tcPr>
            <w:tcW w:w="972" w:type="pct"/>
            <w:tcBorders>
              <w:top w:val="nil"/>
              <w:left w:val="nil"/>
              <w:bottom w:val="single" w:color="auto" w:sz="8" w:space="0"/>
              <w:right w:val="single" w:color="auto" w:sz="8" w:space="0"/>
            </w:tcBorders>
            <w:noWrap/>
            <w:hideMark/>
          </w:tcPr>
          <w:p w:rsidRPr="00821320" w:rsidR="00CE7E95" w:rsidP="00B412DF" w:rsidRDefault="00CE7E95" w14:paraId="5F21F89E" w14:textId="77777777">
            <w:pPr>
              <w:jc w:val="right"/>
              <w:rPr>
                <w:rFonts w:ascii="Verdana" w:hAnsi="Verdana" w:cs="Arial"/>
                <w:color w:val="000000"/>
                <w:sz w:val="18"/>
                <w:szCs w:val="18"/>
                <w:lang w:eastAsia="es-CO"/>
              </w:rPr>
            </w:pPr>
            <w:r w:rsidRPr="00821320">
              <w:rPr>
                <w:rFonts w:ascii="Verdana" w:hAnsi="Verdana" w:cs="Arial"/>
                <w:color w:val="000000"/>
                <w:sz w:val="18"/>
                <w:szCs w:val="18"/>
                <w:lang w:eastAsia="es-CO"/>
              </w:rPr>
              <w:t>23</w:t>
            </w:r>
          </w:p>
        </w:tc>
        <w:tc>
          <w:tcPr>
            <w:tcW w:w="1030" w:type="pct"/>
            <w:tcBorders>
              <w:top w:val="nil"/>
              <w:left w:val="nil"/>
              <w:bottom w:val="single" w:color="auto" w:sz="8" w:space="0"/>
              <w:right w:val="single" w:color="auto" w:sz="8" w:space="0"/>
            </w:tcBorders>
            <w:noWrap/>
            <w:hideMark/>
          </w:tcPr>
          <w:p w:rsidRPr="00821320" w:rsidR="00CE7E95" w:rsidP="00B412DF" w:rsidRDefault="00CE7E95" w14:paraId="354BB544" w14:textId="77777777">
            <w:pPr>
              <w:jc w:val="right"/>
              <w:rPr>
                <w:rFonts w:ascii="Verdana" w:hAnsi="Verdana" w:cs="Arial"/>
                <w:color w:val="000000"/>
                <w:sz w:val="18"/>
                <w:szCs w:val="18"/>
                <w:lang w:eastAsia="es-CO"/>
              </w:rPr>
            </w:pPr>
            <w:r w:rsidRPr="00821320">
              <w:rPr>
                <w:rFonts w:ascii="Verdana" w:hAnsi="Verdana" w:cs="Arial"/>
                <w:color w:val="000000" w:themeColor="text1"/>
                <w:sz w:val="18"/>
                <w:szCs w:val="18"/>
                <w:lang w:eastAsia="es-CO"/>
              </w:rPr>
              <w:t>33</w:t>
            </w:r>
          </w:p>
        </w:tc>
      </w:tr>
      <w:tr w:rsidRPr="00821320" w:rsidR="00CE7E95" w:rsidTr="004B0C5C" w14:paraId="021CD29E" w14:textId="77777777">
        <w:trPr>
          <w:trHeight w:val="20"/>
          <w:jc w:val="center"/>
        </w:trPr>
        <w:tc>
          <w:tcPr>
            <w:tcW w:w="1936" w:type="pct"/>
            <w:tcBorders>
              <w:top w:val="nil"/>
              <w:left w:val="single" w:color="auto" w:sz="8" w:space="0"/>
              <w:bottom w:val="single" w:color="auto" w:sz="8" w:space="0"/>
              <w:right w:val="single" w:color="auto" w:sz="8" w:space="0"/>
            </w:tcBorders>
            <w:hideMark/>
          </w:tcPr>
          <w:p w:rsidRPr="00821320" w:rsidR="00CE7E95" w:rsidP="00B412DF" w:rsidRDefault="00CE7E95" w14:paraId="272538A0" w14:textId="77777777">
            <w:pPr>
              <w:rPr>
                <w:rFonts w:ascii="Verdana" w:hAnsi="Verdana" w:cs="Arial"/>
                <w:color w:val="000000"/>
                <w:sz w:val="18"/>
                <w:szCs w:val="18"/>
                <w:lang w:eastAsia="es-CO"/>
              </w:rPr>
            </w:pPr>
            <w:r w:rsidRPr="00821320">
              <w:rPr>
                <w:rFonts w:ascii="Verdana" w:hAnsi="Verdana" w:cs="Arial"/>
                <w:color w:val="000000"/>
                <w:sz w:val="18"/>
                <w:szCs w:val="18"/>
                <w:lang w:eastAsia="es-CO"/>
              </w:rPr>
              <w:t>Rendimiento Calidad</w:t>
            </w:r>
          </w:p>
        </w:tc>
        <w:tc>
          <w:tcPr>
            <w:tcW w:w="1062" w:type="pct"/>
            <w:tcBorders>
              <w:top w:val="nil"/>
              <w:left w:val="nil"/>
              <w:bottom w:val="single" w:color="auto" w:sz="8" w:space="0"/>
              <w:right w:val="single" w:color="auto" w:sz="8" w:space="0"/>
            </w:tcBorders>
            <w:noWrap/>
            <w:hideMark/>
          </w:tcPr>
          <w:p w:rsidRPr="00821320" w:rsidR="00CE7E95" w:rsidP="00B412DF" w:rsidRDefault="00CE7E95" w14:paraId="59FA1B67" w14:textId="77777777">
            <w:pPr>
              <w:jc w:val="right"/>
              <w:rPr>
                <w:rFonts w:ascii="Verdana" w:hAnsi="Verdana" w:cs="Arial"/>
                <w:color w:val="000000"/>
                <w:sz w:val="18"/>
                <w:szCs w:val="18"/>
                <w:lang w:eastAsia="es-CO"/>
              </w:rPr>
            </w:pPr>
            <w:r w:rsidRPr="00821320">
              <w:rPr>
                <w:rFonts w:ascii="Verdana" w:hAnsi="Verdana" w:cs="Arial"/>
                <w:color w:val="000000"/>
                <w:sz w:val="18"/>
                <w:szCs w:val="18"/>
                <w:lang w:eastAsia="es-CO"/>
              </w:rPr>
              <w:t>8</w:t>
            </w:r>
          </w:p>
        </w:tc>
        <w:tc>
          <w:tcPr>
            <w:tcW w:w="972" w:type="pct"/>
            <w:tcBorders>
              <w:top w:val="nil"/>
              <w:left w:val="nil"/>
              <w:bottom w:val="single" w:color="auto" w:sz="8" w:space="0"/>
              <w:right w:val="single" w:color="auto" w:sz="8" w:space="0"/>
            </w:tcBorders>
            <w:noWrap/>
            <w:hideMark/>
          </w:tcPr>
          <w:p w:rsidRPr="00821320" w:rsidR="00CE7E95" w:rsidP="00B412DF" w:rsidRDefault="00CE7E95" w14:paraId="6AFA30FB" w14:textId="77777777">
            <w:pPr>
              <w:jc w:val="right"/>
              <w:rPr>
                <w:rFonts w:ascii="Verdana" w:hAnsi="Verdana" w:cs="Arial"/>
                <w:color w:val="000000"/>
                <w:sz w:val="18"/>
                <w:szCs w:val="18"/>
                <w:lang w:eastAsia="es-CO"/>
              </w:rPr>
            </w:pPr>
            <w:r w:rsidRPr="00821320">
              <w:rPr>
                <w:rFonts w:ascii="Verdana" w:hAnsi="Verdana" w:cs="Arial"/>
                <w:color w:val="000000"/>
                <w:sz w:val="18"/>
                <w:szCs w:val="18"/>
                <w:lang w:eastAsia="es-CO"/>
              </w:rPr>
              <w:t>3</w:t>
            </w:r>
          </w:p>
        </w:tc>
        <w:tc>
          <w:tcPr>
            <w:tcW w:w="1030" w:type="pct"/>
            <w:tcBorders>
              <w:top w:val="nil"/>
              <w:left w:val="nil"/>
              <w:bottom w:val="single" w:color="auto" w:sz="8" w:space="0"/>
              <w:right w:val="single" w:color="auto" w:sz="8" w:space="0"/>
            </w:tcBorders>
            <w:noWrap/>
            <w:hideMark/>
          </w:tcPr>
          <w:p w:rsidRPr="00821320" w:rsidR="00CE7E95" w:rsidP="00B412DF" w:rsidRDefault="00CE7E95" w14:paraId="1B3602F9" w14:textId="77777777">
            <w:pPr>
              <w:jc w:val="right"/>
              <w:rPr>
                <w:rFonts w:ascii="Verdana" w:hAnsi="Verdana" w:cs="Arial"/>
                <w:color w:val="000000"/>
                <w:sz w:val="18"/>
                <w:szCs w:val="18"/>
                <w:lang w:eastAsia="es-CO"/>
              </w:rPr>
            </w:pPr>
            <w:r w:rsidRPr="00821320">
              <w:rPr>
                <w:rFonts w:ascii="Verdana" w:hAnsi="Verdana" w:cs="Arial"/>
                <w:color w:val="000000" w:themeColor="text1"/>
                <w:sz w:val="18"/>
                <w:szCs w:val="18"/>
                <w:lang w:eastAsia="es-CO"/>
              </w:rPr>
              <w:t>0,6</w:t>
            </w:r>
          </w:p>
        </w:tc>
      </w:tr>
      <w:tr w:rsidRPr="00821320" w:rsidR="00CE7E95" w:rsidTr="004B0C5C" w14:paraId="01994DC1" w14:textId="77777777">
        <w:trPr>
          <w:trHeight w:val="20"/>
          <w:jc w:val="center"/>
        </w:trPr>
        <w:tc>
          <w:tcPr>
            <w:tcW w:w="1936" w:type="pct"/>
            <w:tcBorders>
              <w:top w:val="nil"/>
              <w:left w:val="single" w:color="auto" w:sz="8" w:space="0"/>
              <w:bottom w:val="single" w:color="auto" w:sz="8" w:space="0"/>
              <w:right w:val="single" w:color="auto" w:sz="8" w:space="0"/>
            </w:tcBorders>
            <w:hideMark/>
          </w:tcPr>
          <w:p w:rsidRPr="00821320" w:rsidR="00CE7E95" w:rsidP="00B412DF" w:rsidRDefault="00CE7E95" w14:paraId="26C8A7CE" w14:textId="77777777">
            <w:pPr>
              <w:rPr>
                <w:rFonts w:ascii="Verdana" w:hAnsi="Verdana" w:cs="Arial"/>
                <w:b/>
                <w:bCs/>
                <w:color w:val="000000"/>
                <w:sz w:val="18"/>
                <w:szCs w:val="18"/>
                <w:lang w:eastAsia="es-CO"/>
              </w:rPr>
            </w:pPr>
            <w:r w:rsidRPr="00821320">
              <w:rPr>
                <w:rFonts w:ascii="Verdana" w:hAnsi="Verdana" w:cs="Arial"/>
                <w:b/>
                <w:bCs/>
                <w:color w:val="000000"/>
                <w:sz w:val="18"/>
                <w:szCs w:val="18"/>
                <w:lang w:eastAsia="es-CO"/>
              </w:rPr>
              <w:t>Recursos del Balance</w:t>
            </w:r>
          </w:p>
        </w:tc>
        <w:tc>
          <w:tcPr>
            <w:tcW w:w="1062" w:type="pct"/>
            <w:tcBorders>
              <w:top w:val="nil"/>
              <w:left w:val="nil"/>
              <w:bottom w:val="single" w:color="auto" w:sz="8" w:space="0"/>
              <w:right w:val="single" w:color="auto" w:sz="8" w:space="0"/>
            </w:tcBorders>
            <w:noWrap/>
            <w:hideMark/>
          </w:tcPr>
          <w:p w:rsidRPr="00821320" w:rsidR="00CE7E95" w:rsidP="00B412DF" w:rsidRDefault="00CE7E95" w14:paraId="7ADA4A59" w14:textId="77777777">
            <w:pPr>
              <w:jc w:val="right"/>
              <w:rPr>
                <w:rFonts w:ascii="Verdana" w:hAnsi="Verdana" w:cs="Arial"/>
                <w:b/>
                <w:bCs/>
                <w:color w:val="000000"/>
                <w:sz w:val="18"/>
                <w:szCs w:val="18"/>
                <w:lang w:eastAsia="es-CO"/>
              </w:rPr>
            </w:pPr>
            <w:r w:rsidRPr="00821320">
              <w:rPr>
                <w:rFonts w:ascii="Verdana" w:hAnsi="Verdana" w:cs="Arial"/>
                <w:b/>
                <w:bCs/>
                <w:color w:val="000000"/>
                <w:sz w:val="18"/>
                <w:szCs w:val="18"/>
                <w:lang w:eastAsia="es-CO"/>
              </w:rPr>
              <w:t>1.337</w:t>
            </w:r>
          </w:p>
        </w:tc>
        <w:tc>
          <w:tcPr>
            <w:tcW w:w="972" w:type="pct"/>
            <w:tcBorders>
              <w:top w:val="nil"/>
              <w:left w:val="nil"/>
              <w:bottom w:val="single" w:color="auto" w:sz="8" w:space="0"/>
              <w:right w:val="single" w:color="auto" w:sz="8" w:space="0"/>
            </w:tcBorders>
            <w:noWrap/>
            <w:hideMark/>
          </w:tcPr>
          <w:p w:rsidRPr="00821320" w:rsidR="00CE7E95" w:rsidP="00B412DF" w:rsidRDefault="00CE7E95" w14:paraId="2363383D" w14:textId="77777777">
            <w:pPr>
              <w:jc w:val="right"/>
              <w:rPr>
                <w:rFonts w:ascii="Verdana" w:hAnsi="Verdana" w:cs="Arial"/>
                <w:b/>
                <w:bCs/>
                <w:color w:val="000000"/>
                <w:sz w:val="18"/>
                <w:szCs w:val="18"/>
                <w:lang w:eastAsia="es-CO"/>
              </w:rPr>
            </w:pPr>
            <w:r w:rsidRPr="00821320">
              <w:rPr>
                <w:rFonts w:ascii="Verdana" w:hAnsi="Verdana" w:cs="Arial"/>
                <w:b/>
                <w:bCs/>
                <w:color w:val="000000"/>
                <w:sz w:val="18"/>
                <w:szCs w:val="18"/>
                <w:lang w:eastAsia="es-CO"/>
              </w:rPr>
              <w:t>1.680</w:t>
            </w:r>
          </w:p>
        </w:tc>
        <w:tc>
          <w:tcPr>
            <w:tcW w:w="1030" w:type="pct"/>
            <w:tcBorders>
              <w:top w:val="nil"/>
              <w:left w:val="nil"/>
              <w:bottom w:val="single" w:color="auto" w:sz="8" w:space="0"/>
              <w:right w:val="single" w:color="auto" w:sz="8" w:space="0"/>
            </w:tcBorders>
            <w:noWrap/>
            <w:hideMark/>
          </w:tcPr>
          <w:p w:rsidRPr="00821320" w:rsidR="00CE7E95" w:rsidP="00B412DF" w:rsidRDefault="00CE7E95" w14:paraId="30713209" w14:textId="77777777">
            <w:pPr>
              <w:jc w:val="right"/>
              <w:rPr>
                <w:rFonts w:ascii="Verdana" w:hAnsi="Verdana" w:cs="Arial"/>
                <w:b/>
                <w:bCs/>
                <w:color w:val="000000"/>
                <w:sz w:val="18"/>
                <w:szCs w:val="18"/>
                <w:lang w:eastAsia="es-CO"/>
              </w:rPr>
            </w:pPr>
            <w:r w:rsidRPr="00821320">
              <w:rPr>
                <w:rFonts w:ascii="Verdana" w:hAnsi="Verdana" w:cs="Arial"/>
                <w:b/>
                <w:bCs/>
                <w:color w:val="000000" w:themeColor="text1"/>
                <w:sz w:val="18"/>
                <w:szCs w:val="18"/>
                <w:lang w:eastAsia="es-CO"/>
              </w:rPr>
              <w:t>608</w:t>
            </w:r>
          </w:p>
        </w:tc>
      </w:tr>
      <w:tr w:rsidRPr="00821320" w:rsidR="00CE7E95" w:rsidTr="004B0C5C" w14:paraId="3A37D745" w14:textId="77777777">
        <w:trPr>
          <w:trHeight w:val="20"/>
          <w:jc w:val="center"/>
        </w:trPr>
        <w:tc>
          <w:tcPr>
            <w:tcW w:w="1936" w:type="pct"/>
            <w:tcBorders>
              <w:top w:val="nil"/>
              <w:left w:val="single" w:color="auto" w:sz="8" w:space="0"/>
              <w:bottom w:val="single" w:color="auto" w:sz="8" w:space="0"/>
              <w:right w:val="single" w:color="auto" w:sz="8" w:space="0"/>
            </w:tcBorders>
            <w:hideMark/>
          </w:tcPr>
          <w:p w:rsidRPr="00821320" w:rsidR="00CE7E95" w:rsidP="00B412DF" w:rsidRDefault="00CE7E95" w14:paraId="7148875A" w14:textId="77777777">
            <w:pPr>
              <w:rPr>
                <w:rFonts w:ascii="Verdana" w:hAnsi="Verdana" w:cs="Arial"/>
                <w:color w:val="000000"/>
                <w:sz w:val="18"/>
                <w:szCs w:val="18"/>
                <w:lang w:eastAsia="es-CO"/>
              </w:rPr>
            </w:pPr>
            <w:r w:rsidRPr="00821320">
              <w:rPr>
                <w:rFonts w:ascii="Verdana" w:hAnsi="Verdana" w:cs="Arial"/>
                <w:color w:val="000000"/>
                <w:sz w:val="18"/>
                <w:szCs w:val="18"/>
                <w:lang w:eastAsia="es-CO"/>
              </w:rPr>
              <w:t>Superávit fiscal Prestación</w:t>
            </w:r>
          </w:p>
        </w:tc>
        <w:tc>
          <w:tcPr>
            <w:tcW w:w="1062" w:type="pct"/>
            <w:tcBorders>
              <w:top w:val="nil"/>
              <w:left w:val="nil"/>
              <w:bottom w:val="single" w:color="auto" w:sz="8" w:space="0"/>
              <w:right w:val="single" w:color="auto" w:sz="8" w:space="0"/>
            </w:tcBorders>
            <w:noWrap/>
            <w:hideMark/>
          </w:tcPr>
          <w:p w:rsidRPr="00821320" w:rsidR="00CE7E95" w:rsidP="00B412DF" w:rsidRDefault="00CE7E95" w14:paraId="067D8847" w14:textId="77777777">
            <w:pPr>
              <w:jc w:val="right"/>
              <w:rPr>
                <w:rFonts w:ascii="Verdana" w:hAnsi="Verdana" w:cs="Arial"/>
                <w:color w:val="000000"/>
                <w:sz w:val="18"/>
                <w:szCs w:val="18"/>
                <w:lang w:eastAsia="es-CO"/>
              </w:rPr>
            </w:pPr>
            <w:r w:rsidRPr="00821320">
              <w:rPr>
                <w:rFonts w:ascii="Verdana" w:hAnsi="Verdana" w:cs="Arial"/>
                <w:color w:val="000000"/>
                <w:sz w:val="18"/>
                <w:szCs w:val="18"/>
                <w:lang w:eastAsia="es-CO"/>
              </w:rPr>
              <w:t>564</w:t>
            </w:r>
          </w:p>
        </w:tc>
        <w:tc>
          <w:tcPr>
            <w:tcW w:w="972" w:type="pct"/>
            <w:tcBorders>
              <w:top w:val="nil"/>
              <w:left w:val="nil"/>
              <w:bottom w:val="single" w:color="auto" w:sz="8" w:space="0"/>
              <w:right w:val="single" w:color="auto" w:sz="8" w:space="0"/>
            </w:tcBorders>
            <w:noWrap/>
            <w:hideMark/>
          </w:tcPr>
          <w:p w:rsidRPr="00821320" w:rsidR="00CE7E95" w:rsidP="00B412DF" w:rsidRDefault="00CE7E95" w14:paraId="18E1BF1F" w14:textId="77777777">
            <w:pPr>
              <w:jc w:val="right"/>
              <w:rPr>
                <w:rFonts w:ascii="Verdana" w:hAnsi="Verdana" w:cs="Arial"/>
                <w:color w:val="000000"/>
                <w:sz w:val="18"/>
                <w:szCs w:val="18"/>
                <w:lang w:eastAsia="es-CO"/>
              </w:rPr>
            </w:pPr>
            <w:r w:rsidRPr="00821320">
              <w:rPr>
                <w:rFonts w:ascii="Verdana" w:hAnsi="Verdana" w:cs="Arial"/>
                <w:color w:val="000000"/>
                <w:sz w:val="18"/>
                <w:szCs w:val="18"/>
                <w:lang w:eastAsia="es-CO"/>
              </w:rPr>
              <w:t>360</w:t>
            </w:r>
          </w:p>
        </w:tc>
        <w:tc>
          <w:tcPr>
            <w:tcW w:w="1030" w:type="pct"/>
            <w:tcBorders>
              <w:top w:val="nil"/>
              <w:left w:val="nil"/>
              <w:bottom w:val="single" w:color="auto" w:sz="8" w:space="0"/>
              <w:right w:val="single" w:color="auto" w:sz="8" w:space="0"/>
            </w:tcBorders>
            <w:noWrap/>
            <w:hideMark/>
          </w:tcPr>
          <w:p w:rsidRPr="00821320" w:rsidR="00CE7E95" w:rsidP="00B412DF" w:rsidRDefault="00CE7E95" w14:paraId="276DCC00" w14:textId="77777777">
            <w:pPr>
              <w:jc w:val="right"/>
              <w:rPr>
                <w:rFonts w:ascii="Verdana" w:hAnsi="Verdana" w:cs="Arial"/>
                <w:color w:val="000000"/>
                <w:sz w:val="18"/>
                <w:szCs w:val="18"/>
                <w:lang w:eastAsia="es-CO"/>
              </w:rPr>
            </w:pPr>
            <w:r w:rsidRPr="00821320">
              <w:rPr>
                <w:rFonts w:ascii="Verdana" w:hAnsi="Verdana" w:cs="Arial"/>
                <w:color w:val="000000"/>
                <w:sz w:val="18"/>
                <w:szCs w:val="18"/>
                <w:lang w:eastAsia="es-CO"/>
              </w:rPr>
              <w:t>535</w:t>
            </w:r>
          </w:p>
        </w:tc>
      </w:tr>
      <w:tr w:rsidRPr="00821320" w:rsidR="00CE7E95" w:rsidTr="004B0C5C" w14:paraId="27DBCF39" w14:textId="77777777">
        <w:trPr>
          <w:trHeight w:val="20"/>
          <w:jc w:val="center"/>
        </w:trPr>
        <w:tc>
          <w:tcPr>
            <w:tcW w:w="1936" w:type="pct"/>
            <w:tcBorders>
              <w:top w:val="nil"/>
              <w:left w:val="single" w:color="auto" w:sz="8" w:space="0"/>
              <w:bottom w:val="single" w:color="auto" w:sz="8" w:space="0"/>
              <w:right w:val="single" w:color="auto" w:sz="8" w:space="0"/>
            </w:tcBorders>
            <w:hideMark/>
          </w:tcPr>
          <w:p w:rsidRPr="00821320" w:rsidR="00CE7E95" w:rsidP="00B412DF" w:rsidRDefault="00CE7E95" w14:paraId="0B4A3F8C" w14:textId="77777777">
            <w:pPr>
              <w:rPr>
                <w:rFonts w:ascii="Verdana" w:hAnsi="Verdana" w:cs="Arial"/>
                <w:color w:val="000000"/>
                <w:sz w:val="18"/>
                <w:szCs w:val="18"/>
                <w:lang w:eastAsia="es-CO"/>
              </w:rPr>
            </w:pPr>
            <w:r w:rsidRPr="00821320">
              <w:rPr>
                <w:rFonts w:ascii="Verdana" w:hAnsi="Verdana" w:cs="Arial"/>
                <w:color w:val="000000"/>
                <w:sz w:val="18"/>
                <w:szCs w:val="18"/>
                <w:lang w:eastAsia="es-CO"/>
              </w:rPr>
              <w:t>Superávit fiscal Calidad</w:t>
            </w:r>
          </w:p>
        </w:tc>
        <w:tc>
          <w:tcPr>
            <w:tcW w:w="1062" w:type="pct"/>
            <w:tcBorders>
              <w:top w:val="nil"/>
              <w:left w:val="nil"/>
              <w:bottom w:val="single" w:color="auto" w:sz="8" w:space="0"/>
              <w:right w:val="single" w:color="auto" w:sz="8" w:space="0"/>
            </w:tcBorders>
            <w:noWrap/>
            <w:hideMark/>
          </w:tcPr>
          <w:p w:rsidRPr="00821320" w:rsidR="00CE7E95" w:rsidP="00B412DF" w:rsidRDefault="00CE7E95" w14:paraId="3A748A4B" w14:textId="77777777">
            <w:pPr>
              <w:jc w:val="right"/>
              <w:rPr>
                <w:rFonts w:ascii="Verdana" w:hAnsi="Verdana" w:cs="Arial"/>
                <w:b/>
                <w:bCs/>
                <w:color w:val="FF0000"/>
                <w:sz w:val="18"/>
                <w:szCs w:val="18"/>
                <w:lang w:eastAsia="es-CO"/>
              </w:rPr>
            </w:pPr>
            <w:r w:rsidRPr="00821320">
              <w:rPr>
                <w:rFonts w:ascii="Verdana" w:hAnsi="Verdana" w:cs="Arial"/>
                <w:b/>
                <w:bCs/>
                <w:color w:val="FF0000"/>
                <w:sz w:val="18"/>
                <w:szCs w:val="18"/>
                <w:lang w:eastAsia="es-CO"/>
              </w:rPr>
              <w:t>(2)</w:t>
            </w:r>
            <w:r w:rsidRPr="00821320">
              <w:rPr>
                <w:rFonts w:ascii="Verdana" w:hAnsi="Verdana" w:cs="Arial"/>
                <w:color w:val="000000"/>
                <w:sz w:val="18"/>
                <w:szCs w:val="18"/>
                <w:lang w:eastAsia="es-CO"/>
              </w:rPr>
              <w:t>774</w:t>
            </w:r>
          </w:p>
        </w:tc>
        <w:tc>
          <w:tcPr>
            <w:tcW w:w="972" w:type="pct"/>
            <w:tcBorders>
              <w:top w:val="nil"/>
              <w:left w:val="nil"/>
              <w:bottom w:val="single" w:color="auto" w:sz="8" w:space="0"/>
              <w:right w:val="single" w:color="auto" w:sz="8" w:space="0"/>
            </w:tcBorders>
            <w:noWrap/>
            <w:hideMark/>
          </w:tcPr>
          <w:p w:rsidRPr="00821320" w:rsidR="00CE7E95" w:rsidP="00B412DF" w:rsidRDefault="00CE7E95" w14:paraId="23EA2E13" w14:textId="77777777">
            <w:pPr>
              <w:jc w:val="right"/>
              <w:rPr>
                <w:rFonts w:ascii="Verdana" w:hAnsi="Verdana" w:cs="Arial"/>
                <w:color w:val="000000"/>
                <w:sz w:val="18"/>
                <w:szCs w:val="18"/>
                <w:lang w:eastAsia="es-CO"/>
              </w:rPr>
            </w:pPr>
            <w:r w:rsidRPr="00821320">
              <w:rPr>
                <w:rFonts w:ascii="Verdana" w:hAnsi="Verdana" w:cs="Arial"/>
                <w:color w:val="000000"/>
                <w:sz w:val="18"/>
                <w:szCs w:val="18"/>
                <w:lang w:eastAsia="es-CO"/>
              </w:rPr>
              <w:t>1.320</w:t>
            </w:r>
          </w:p>
        </w:tc>
        <w:tc>
          <w:tcPr>
            <w:tcW w:w="1030" w:type="pct"/>
            <w:tcBorders>
              <w:top w:val="nil"/>
              <w:left w:val="nil"/>
              <w:bottom w:val="single" w:color="auto" w:sz="8" w:space="0"/>
              <w:right w:val="single" w:color="auto" w:sz="8" w:space="0"/>
            </w:tcBorders>
            <w:noWrap/>
            <w:hideMark/>
          </w:tcPr>
          <w:p w:rsidRPr="00821320" w:rsidR="00CE7E95" w:rsidP="00B412DF" w:rsidRDefault="00CE7E95" w14:paraId="69F645AC" w14:textId="77777777">
            <w:pPr>
              <w:jc w:val="right"/>
              <w:rPr>
                <w:rFonts w:ascii="Verdana" w:hAnsi="Verdana" w:cs="Arial"/>
                <w:color w:val="000000"/>
                <w:sz w:val="18"/>
                <w:szCs w:val="18"/>
                <w:lang w:eastAsia="es-CO"/>
              </w:rPr>
            </w:pPr>
            <w:r w:rsidRPr="00821320">
              <w:rPr>
                <w:rFonts w:ascii="Verdana" w:hAnsi="Verdana" w:cs="Arial"/>
                <w:color w:val="000000"/>
                <w:sz w:val="18"/>
                <w:szCs w:val="18"/>
                <w:lang w:eastAsia="es-CO"/>
              </w:rPr>
              <w:t>73</w:t>
            </w:r>
          </w:p>
        </w:tc>
      </w:tr>
      <w:tr w:rsidRPr="00821320" w:rsidR="00CE7E95" w:rsidTr="004B0C5C" w14:paraId="0AC45AAB" w14:textId="77777777">
        <w:trPr>
          <w:trHeight w:val="20"/>
          <w:jc w:val="center"/>
        </w:trPr>
        <w:tc>
          <w:tcPr>
            <w:tcW w:w="1936" w:type="pct"/>
            <w:tcBorders>
              <w:top w:val="nil"/>
              <w:left w:val="single" w:color="auto" w:sz="8" w:space="0"/>
              <w:bottom w:val="single" w:color="auto" w:sz="8" w:space="0"/>
              <w:right w:val="single" w:color="auto" w:sz="8" w:space="0"/>
            </w:tcBorders>
            <w:shd w:val="clear" w:color="auto" w:fill="B48C41"/>
            <w:hideMark/>
          </w:tcPr>
          <w:p w:rsidRPr="00821320" w:rsidR="00CE7E95" w:rsidP="00B412DF" w:rsidRDefault="00CE7E95" w14:paraId="36A97B39" w14:textId="77777777">
            <w:pPr>
              <w:rPr>
                <w:rFonts w:ascii="Verdana" w:hAnsi="Verdana" w:cs="Arial"/>
                <w:b/>
                <w:bCs/>
                <w:color w:val="FFFFFF"/>
                <w:sz w:val="18"/>
                <w:szCs w:val="18"/>
                <w:lang w:eastAsia="es-CO"/>
              </w:rPr>
            </w:pPr>
            <w:r w:rsidRPr="00821320">
              <w:rPr>
                <w:rFonts w:ascii="Verdana" w:hAnsi="Verdana" w:cs="Arial"/>
                <w:b/>
                <w:bCs/>
                <w:color w:val="FFFFFF"/>
                <w:sz w:val="18"/>
                <w:szCs w:val="18"/>
                <w:lang w:eastAsia="es-CO"/>
              </w:rPr>
              <w:t>INGRESOS TOTALES</w:t>
            </w:r>
          </w:p>
        </w:tc>
        <w:tc>
          <w:tcPr>
            <w:tcW w:w="1062" w:type="pct"/>
            <w:tcBorders>
              <w:top w:val="nil"/>
              <w:left w:val="nil"/>
              <w:bottom w:val="single" w:color="auto" w:sz="8" w:space="0"/>
              <w:right w:val="single" w:color="auto" w:sz="8" w:space="0"/>
            </w:tcBorders>
            <w:shd w:val="clear" w:color="auto" w:fill="B48C41"/>
            <w:noWrap/>
            <w:hideMark/>
          </w:tcPr>
          <w:p w:rsidRPr="00821320" w:rsidR="00CE7E95" w:rsidP="00B412DF" w:rsidRDefault="00CE7E95" w14:paraId="1EE9186B" w14:textId="77777777">
            <w:pPr>
              <w:jc w:val="right"/>
              <w:rPr>
                <w:rFonts w:ascii="Verdana" w:hAnsi="Verdana" w:cs="Arial"/>
                <w:b/>
                <w:bCs/>
                <w:color w:val="FFFFFF"/>
                <w:sz w:val="18"/>
                <w:szCs w:val="18"/>
                <w:lang w:eastAsia="es-CO"/>
              </w:rPr>
            </w:pPr>
            <w:r w:rsidRPr="00821320">
              <w:rPr>
                <w:rFonts w:ascii="Verdana" w:hAnsi="Verdana" w:cs="Arial"/>
                <w:b/>
                <w:bCs/>
                <w:color w:val="FFFFFF"/>
                <w:sz w:val="18"/>
                <w:szCs w:val="18"/>
                <w:lang w:eastAsia="es-CO"/>
              </w:rPr>
              <w:t>105.813</w:t>
            </w:r>
          </w:p>
        </w:tc>
        <w:tc>
          <w:tcPr>
            <w:tcW w:w="972" w:type="pct"/>
            <w:tcBorders>
              <w:top w:val="nil"/>
              <w:left w:val="nil"/>
              <w:bottom w:val="single" w:color="auto" w:sz="8" w:space="0"/>
              <w:right w:val="single" w:color="auto" w:sz="8" w:space="0"/>
            </w:tcBorders>
            <w:shd w:val="clear" w:color="auto" w:fill="B48C41"/>
            <w:noWrap/>
            <w:hideMark/>
          </w:tcPr>
          <w:p w:rsidRPr="00821320" w:rsidR="00CE7E95" w:rsidP="00B412DF" w:rsidRDefault="00CE7E95" w14:paraId="6F5A8B1F" w14:textId="77777777">
            <w:pPr>
              <w:jc w:val="right"/>
              <w:rPr>
                <w:rFonts w:ascii="Verdana" w:hAnsi="Verdana" w:cs="Arial"/>
                <w:b/>
                <w:bCs/>
                <w:color w:val="FFFFFF"/>
                <w:sz w:val="18"/>
                <w:szCs w:val="18"/>
                <w:lang w:eastAsia="es-CO"/>
              </w:rPr>
            </w:pPr>
            <w:r w:rsidRPr="00821320">
              <w:rPr>
                <w:rFonts w:ascii="Verdana" w:hAnsi="Verdana" w:cs="Arial"/>
                <w:b/>
                <w:bCs/>
                <w:color w:val="FFFFFF"/>
                <w:sz w:val="18"/>
                <w:szCs w:val="18"/>
                <w:lang w:eastAsia="es-CO"/>
              </w:rPr>
              <w:t>109.026</w:t>
            </w:r>
          </w:p>
        </w:tc>
        <w:tc>
          <w:tcPr>
            <w:tcW w:w="1030" w:type="pct"/>
            <w:tcBorders>
              <w:top w:val="nil"/>
              <w:left w:val="nil"/>
              <w:bottom w:val="single" w:color="auto" w:sz="8" w:space="0"/>
              <w:right w:val="single" w:color="auto" w:sz="8" w:space="0"/>
            </w:tcBorders>
            <w:shd w:val="clear" w:color="auto" w:fill="B48C41"/>
            <w:noWrap/>
            <w:hideMark/>
          </w:tcPr>
          <w:p w:rsidRPr="00821320" w:rsidR="00CE7E95" w:rsidP="00B412DF" w:rsidRDefault="00CE7E95" w14:paraId="7F9824AF" w14:textId="77777777">
            <w:pPr>
              <w:jc w:val="right"/>
              <w:rPr>
                <w:rFonts w:ascii="Verdana" w:hAnsi="Verdana" w:cs="Arial"/>
                <w:b/>
                <w:bCs/>
                <w:color w:val="FFFFFF"/>
                <w:sz w:val="18"/>
                <w:szCs w:val="18"/>
                <w:lang w:eastAsia="es-CO"/>
              </w:rPr>
            </w:pPr>
            <w:r w:rsidRPr="00821320">
              <w:rPr>
                <w:rFonts w:ascii="Verdana" w:hAnsi="Verdana" w:cs="Arial"/>
                <w:b/>
                <w:bCs/>
                <w:color w:val="FFFFFF" w:themeColor="background1"/>
                <w:sz w:val="18"/>
                <w:szCs w:val="18"/>
                <w:lang w:eastAsia="es-CO"/>
              </w:rPr>
              <w:t>120.858</w:t>
            </w:r>
          </w:p>
        </w:tc>
      </w:tr>
    </w:tbl>
    <w:p w:rsidRPr="00821320" w:rsidR="00CE7E95" w:rsidP="00B412DF" w:rsidRDefault="00CE7E95" w14:paraId="29D706CC" w14:textId="77777777">
      <w:pPr>
        <w:contextualSpacing/>
        <w:jc w:val="center"/>
        <w:rPr>
          <w:rFonts w:ascii="Verdana" w:hAnsi="Verdana"/>
          <w:kern w:val="2"/>
          <w:sz w:val="18"/>
          <w:szCs w:val="18"/>
          <w:lang w:eastAsia="en-US"/>
        </w:rPr>
      </w:pPr>
      <w:r w:rsidRPr="00821320">
        <w:rPr>
          <w:rFonts w:ascii="Verdana" w:hAnsi="Verdana"/>
          <w:sz w:val="18"/>
          <w:szCs w:val="18"/>
        </w:rPr>
        <w:t>Fuente: Ejecuciones presupuestales suministradas por la Entidad Territorial a corte de 31 de diciembre de 2021, 2022 y 2023. El total de la asignación y giros documentados corresponden a los valores presentes en los Documentos de Distribución.</w:t>
      </w:r>
    </w:p>
    <w:p w:rsidRPr="00821320" w:rsidR="00CE200A" w:rsidP="00B412DF" w:rsidRDefault="00CE200A" w14:paraId="392C8E2F" w14:textId="77777777">
      <w:pPr>
        <w:contextualSpacing/>
        <w:jc w:val="both"/>
        <w:rPr>
          <w:rFonts w:ascii="Verdana" w:hAnsi="Verdana"/>
          <w:sz w:val="22"/>
          <w:szCs w:val="22"/>
        </w:rPr>
      </w:pPr>
    </w:p>
    <w:p w:rsidRPr="00821320" w:rsidR="00CE200A" w:rsidP="00B412DF" w:rsidRDefault="00CE200A" w14:paraId="7D578540" w14:textId="77777777">
      <w:pPr>
        <w:contextualSpacing/>
        <w:jc w:val="both"/>
        <w:rPr>
          <w:rFonts w:ascii="Verdana" w:hAnsi="Verdana"/>
          <w:bCs/>
          <w:sz w:val="22"/>
          <w:szCs w:val="22"/>
        </w:rPr>
      </w:pPr>
      <w:r w:rsidRPr="00821320">
        <w:rPr>
          <w:rFonts w:ascii="Verdana" w:hAnsi="Verdana"/>
          <w:bCs/>
          <w:sz w:val="22"/>
          <w:szCs w:val="22"/>
        </w:rPr>
        <w:lastRenderedPageBreak/>
        <w:t xml:space="preserve">Como inconsistencias identificadas en la información registrada, se detallan las siguientes: </w:t>
      </w:r>
    </w:p>
    <w:p w:rsidRPr="00821320" w:rsidR="00CE200A" w:rsidP="00B412DF" w:rsidRDefault="00CE200A" w14:paraId="219FE2D6" w14:textId="77777777">
      <w:pPr>
        <w:contextualSpacing/>
        <w:jc w:val="both"/>
        <w:rPr>
          <w:rFonts w:ascii="Verdana" w:hAnsi="Verdana"/>
          <w:bCs/>
          <w:sz w:val="22"/>
          <w:szCs w:val="22"/>
        </w:rPr>
      </w:pPr>
    </w:p>
    <w:p w:rsidRPr="00821320" w:rsidR="00CE200A" w:rsidP="00B412DF" w:rsidRDefault="00CE200A" w14:paraId="0DCDE584" w14:textId="77777777">
      <w:pPr>
        <w:pStyle w:val="Prrafodelista"/>
        <w:numPr>
          <w:ilvl w:val="0"/>
          <w:numId w:val="22"/>
        </w:numPr>
        <w:ind w:left="426" w:hanging="426"/>
        <w:jc w:val="both"/>
        <w:rPr>
          <w:rFonts w:ascii="Verdana" w:hAnsi="Verdana"/>
          <w:bCs/>
          <w:sz w:val="22"/>
          <w:szCs w:val="22"/>
        </w:rPr>
      </w:pPr>
      <w:r w:rsidRPr="00821320">
        <w:rPr>
          <w:rFonts w:ascii="Verdana" w:hAnsi="Verdana"/>
          <w:bCs/>
          <w:sz w:val="22"/>
          <w:szCs w:val="22"/>
        </w:rPr>
        <w:t>En la vigencia 2021 se observa</w:t>
      </w:r>
      <w:r w:rsidRPr="00821320" w:rsidR="00F15156">
        <w:rPr>
          <w:rFonts w:ascii="Verdana" w:hAnsi="Verdana"/>
          <w:bCs/>
          <w:sz w:val="22"/>
          <w:szCs w:val="22"/>
        </w:rPr>
        <w:t>ron</w:t>
      </w:r>
      <w:r w:rsidRPr="00821320">
        <w:rPr>
          <w:rFonts w:ascii="Verdana" w:hAnsi="Verdana"/>
          <w:bCs/>
          <w:sz w:val="22"/>
          <w:szCs w:val="22"/>
        </w:rPr>
        <w:t xml:space="preserve"> </w:t>
      </w:r>
      <w:r w:rsidRPr="00821320" w:rsidR="00F15156">
        <w:rPr>
          <w:rFonts w:ascii="Verdana" w:hAnsi="Verdana"/>
          <w:bCs/>
          <w:sz w:val="22"/>
          <w:szCs w:val="22"/>
        </w:rPr>
        <w:t xml:space="preserve">diferencias </w:t>
      </w:r>
      <w:r w:rsidRPr="00821320">
        <w:rPr>
          <w:rFonts w:ascii="Verdana" w:hAnsi="Verdana"/>
          <w:bCs/>
          <w:sz w:val="22"/>
          <w:szCs w:val="22"/>
        </w:rPr>
        <w:t xml:space="preserve">entre el recaudo reportado en la ejecución presupuestal por ingresos corrientes y los giros realizados por el Ministerio de Educación Nacional. A este corte, la Entidad reportó un recaudo por $104.403 millones y el giro por parte del Ministerio de Educación correspondió a $104.770 millones, es decir, a la Entidad Territorial le faltó incorporar </w:t>
      </w:r>
      <w:r w:rsidRPr="00821320" w:rsidR="00F15156">
        <w:rPr>
          <w:rFonts w:ascii="Verdana" w:hAnsi="Verdana"/>
          <w:bCs/>
          <w:sz w:val="22"/>
          <w:szCs w:val="22"/>
        </w:rPr>
        <w:t>en e</w:t>
      </w:r>
      <w:r w:rsidRPr="00821320">
        <w:rPr>
          <w:rFonts w:ascii="Verdana" w:hAnsi="Verdana"/>
          <w:bCs/>
          <w:sz w:val="22"/>
          <w:szCs w:val="22"/>
        </w:rPr>
        <w:t>l presupuesto recaudos por $367 millones correspondientes al concepto de Calidad Matricula.</w:t>
      </w:r>
      <w:r w:rsidRPr="00821320" w:rsidR="00151A1B">
        <w:rPr>
          <w:rFonts w:ascii="Verdana" w:hAnsi="Verdana"/>
          <w:bCs/>
          <w:sz w:val="22"/>
          <w:szCs w:val="22"/>
        </w:rPr>
        <w:t xml:space="preserve"> </w:t>
      </w:r>
    </w:p>
    <w:p w:rsidRPr="00821320" w:rsidR="00CE200A" w:rsidP="00B412DF" w:rsidRDefault="00CE200A" w14:paraId="2EEAAE27" w14:textId="77777777">
      <w:pPr>
        <w:pStyle w:val="Prrafodelista"/>
        <w:numPr>
          <w:ilvl w:val="0"/>
          <w:numId w:val="22"/>
        </w:numPr>
        <w:ind w:left="426" w:hanging="426"/>
        <w:jc w:val="both"/>
        <w:rPr>
          <w:rFonts w:ascii="Verdana" w:hAnsi="Verdana"/>
          <w:bCs/>
          <w:sz w:val="22"/>
          <w:szCs w:val="22"/>
        </w:rPr>
      </w:pPr>
      <w:r w:rsidRPr="00821320">
        <w:rPr>
          <w:rFonts w:ascii="Verdana" w:hAnsi="Verdana"/>
          <w:bCs/>
          <w:sz w:val="22"/>
          <w:szCs w:val="22"/>
        </w:rPr>
        <w:t>El Municipio registr</w:t>
      </w:r>
      <w:r w:rsidRPr="00821320" w:rsidR="00F15156">
        <w:rPr>
          <w:rFonts w:ascii="Verdana" w:hAnsi="Verdana"/>
          <w:bCs/>
          <w:sz w:val="22"/>
          <w:szCs w:val="22"/>
        </w:rPr>
        <w:t>ó</w:t>
      </w:r>
      <w:r w:rsidRPr="00821320">
        <w:rPr>
          <w:rFonts w:ascii="Verdana" w:hAnsi="Verdana"/>
          <w:bCs/>
          <w:sz w:val="22"/>
          <w:szCs w:val="22"/>
        </w:rPr>
        <w:t xml:space="preserve"> </w:t>
      </w:r>
      <w:r w:rsidRPr="00821320" w:rsidR="00F15156">
        <w:rPr>
          <w:rFonts w:ascii="Verdana" w:hAnsi="Verdana"/>
          <w:bCs/>
          <w:sz w:val="22"/>
          <w:szCs w:val="22"/>
        </w:rPr>
        <w:t xml:space="preserve">el </w:t>
      </w:r>
      <w:r w:rsidRPr="00821320">
        <w:rPr>
          <w:rFonts w:ascii="Verdana" w:hAnsi="Verdana"/>
          <w:bCs/>
          <w:sz w:val="22"/>
          <w:szCs w:val="22"/>
        </w:rPr>
        <w:t xml:space="preserve">recaudo </w:t>
      </w:r>
      <w:r w:rsidRPr="00821320" w:rsidR="00F15156">
        <w:rPr>
          <w:rFonts w:ascii="Verdana" w:hAnsi="Verdana"/>
          <w:bCs/>
          <w:sz w:val="22"/>
          <w:szCs w:val="22"/>
        </w:rPr>
        <w:t xml:space="preserve">de </w:t>
      </w:r>
      <w:r w:rsidRPr="00821320">
        <w:rPr>
          <w:rFonts w:ascii="Verdana" w:hAnsi="Verdana"/>
          <w:bCs/>
          <w:sz w:val="22"/>
          <w:szCs w:val="22"/>
        </w:rPr>
        <w:t xml:space="preserve">$774 millones en la ejecución presupuestal mientras que en el reporte al FUT </w:t>
      </w:r>
      <w:r w:rsidRPr="00821320" w:rsidR="00F15156">
        <w:rPr>
          <w:rFonts w:ascii="Verdana" w:hAnsi="Verdana"/>
          <w:bCs/>
          <w:sz w:val="22"/>
          <w:szCs w:val="22"/>
        </w:rPr>
        <w:t xml:space="preserve">lo </w:t>
      </w:r>
      <w:r w:rsidRPr="00821320">
        <w:rPr>
          <w:rFonts w:ascii="Verdana" w:hAnsi="Verdana"/>
          <w:bCs/>
          <w:sz w:val="22"/>
          <w:szCs w:val="22"/>
        </w:rPr>
        <w:t>registr</w:t>
      </w:r>
      <w:r w:rsidRPr="00821320" w:rsidR="00F15156">
        <w:rPr>
          <w:rFonts w:ascii="Verdana" w:hAnsi="Verdana"/>
          <w:bCs/>
          <w:sz w:val="22"/>
          <w:szCs w:val="22"/>
        </w:rPr>
        <w:t>ó</w:t>
      </w:r>
      <w:r w:rsidRPr="00821320">
        <w:rPr>
          <w:rFonts w:ascii="Verdana" w:hAnsi="Verdana"/>
          <w:bCs/>
          <w:sz w:val="22"/>
          <w:szCs w:val="22"/>
        </w:rPr>
        <w:t xml:space="preserve"> por $994 millones. Por lo tanto, existe un</w:t>
      </w:r>
      <w:r w:rsidRPr="00821320" w:rsidR="00F15156">
        <w:rPr>
          <w:rFonts w:ascii="Verdana" w:hAnsi="Verdana"/>
          <w:bCs/>
          <w:sz w:val="22"/>
          <w:szCs w:val="22"/>
        </w:rPr>
        <w:t xml:space="preserve"> mayor reporte </w:t>
      </w:r>
      <w:r w:rsidRPr="00821320">
        <w:rPr>
          <w:rFonts w:ascii="Verdana" w:hAnsi="Verdana"/>
          <w:bCs/>
          <w:sz w:val="22"/>
          <w:szCs w:val="22"/>
        </w:rPr>
        <w:t>de $220 millones.</w:t>
      </w:r>
    </w:p>
    <w:p w:rsidRPr="00821320" w:rsidR="00CE200A" w:rsidP="00B412DF" w:rsidRDefault="00151A1B" w14:paraId="7C27E6A8" w14:textId="77777777">
      <w:pPr>
        <w:pStyle w:val="Prrafodelista"/>
        <w:numPr>
          <w:ilvl w:val="0"/>
          <w:numId w:val="22"/>
        </w:numPr>
        <w:ind w:left="426" w:hanging="426"/>
        <w:jc w:val="both"/>
        <w:rPr>
          <w:rFonts w:ascii="Verdana" w:hAnsi="Verdana"/>
          <w:bCs/>
          <w:sz w:val="22"/>
          <w:szCs w:val="22"/>
        </w:rPr>
      </w:pPr>
      <w:r w:rsidRPr="00821320">
        <w:rPr>
          <w:rFonts w:ascii="Verdana" w:hAnsi="Verdana"/>
          <w:bCs/>
          <w:sz w:val="22"/>
          <w:szCs w:val="22"/>
        </w:rPr>
        <w:t>En la vigencia 2022 l</w:t>
      </w:r>
      <w:r w:rsidRPr="00821320" w:rsidR="00CE200A">
        <w:rPr>
          <w:rFonts w:ascii="Verdana" w:hAnsi="Verdana"/>
          <w:bCs/>
          <w:sz w:val="22"/>
          <w:szCs w:val="22"/>
        </w:rPr>
        <w:t>a Entidad no registr</w:t>
      </w:r>
      <w:r w:rsidRPr="00821320" w:rsidR="00F15156">
        <w:rPr>
          <w:rFonts w:ascii="Verdana" w:hAnsi="Verdana"/>
          <w:bCs/>
          <w:sz w:val="22"/>
          <w:szCs w:val="22"/>
        </w:rPr>
        <w:t>ó</w:t>
      </w:r>
      <w:r w:rsidRPr="00821320" w:rsidR="00CE200A">
        <w:rPr>
          <w:rFonts w:ascii="Verdana" w:hAnsi="Verdana"/>
          <w:bCs/>
          <w:sz w:val="22"/>
          <w:szCs w:val="22"/>
        </w:rPr>
        <w:t xml:space="preserve"> en la ejecución presupuestal recaudo Sin Situación de Fondos en la fuente Prestación del Servicio.</w:t>
      </w:r>
    </w:p>
    <w:p w:rsidRPr="00821320" w:rsidR="00B0369A" w:rsidP="00B412DF" w:rsidRDefault="00B0369A" w14:paraId="21C8A8BA" w14:textId="77777777">
      <w:pPr>
        <w:jc w:val="both"/>
        <w:rPr>
          <w:rFonts w:ascii="Verdana" w:hAnsi="Verdana"/>
          <w:b/>
          <w:sz w:val="22"/>
          <w:szCs w:val="22"/>
        </w:rPr>
      </w:pPr>
    </w:p>
    <w:p w:rsidRPr="00821320" w:rsidR="00CE200A" w:rsidP="00B412DF" w:rsidRDefault="00CE200A" w14:paraId="29FDBE6A" w14:textId="77777777">
      <w:pPr>
        <w:pStyle w:val="Ttulo2"/>
        <w:spacing w:before="0"/>
        <w:rPr>
          <w:rFonts w:ascii="Verdana" w:hAnsi="Verdana"/>
          <w:b/>
          <w:bCs/>
          <w:color w:val="auto"/>
          <w:sz w:val="22"/>
          <w:szCs w:val="22"/>
        </w:rPr>
      </w:pPr>
      <w:r w:rsidRPr="00821320">
        <w:rPr>
          <w:rFonts w:ascii="Verdana" w:hAnsi="Verdana"/>
          <w:b/>
          <w:bCs/>
          <w:color w:val="auto"/>
          <w:sz w:val="22"/>
          <w:szCs w:val="22"/>
        </w:rPr>
        <w:t>Gastos.</w:t>
      </w:r>
    </w:p>
    <w:p w:rsidRPr="00821320" w:rsidR="00CE200A" w:rsidP="00B412DF" w:rsidRDefault="00CE200A" w14:paraId="067EAFFE" w14:textId="77777777">
      <w:pPr>
        <w:jc w:val="both"/>
        <w:rPr>
          <w:rFonts w:ascii="Verdana" w:hAnsi="Verdana"/>
          <w:b/>
          <w:sz w:val="22"/>
          <w:szCs w:val="22"/>
        </w:rPr>
      </w:pPr>
    </w:p>
    <w:p w:rsidRPr="00821320" w:rsidR="00CE7E95" w:rsidP="00B412DF" w:rsidRDefault="00CE200A" w14:paraId="453261B0" w14:textId="77777777">
      <w:pPr>
        <w:contextualSpacing/>
        <w:jc w:val="both"/>
        <w:rPr>
          <w:rFonts w:ascii="Verdana" w:hAnsi="Verdana"/>
          <w:sz w:val="22"/>
          <w:szCs w:val="22"/>
        </w:rPr>
      </w:pPr>
      <w:r w:rsidRPr="00821320">
        <w:rPr>
          <w:rFonts w:ascii="Verdana" w:hAnsi="Verdana"/>
          <w:sz w:val="22"/>
          <w:szCs w:val="22"/>
        </w:rPr>
        <w:t>En lo correspondiente al gasto, durante el año 2021 se comprometieron $104.479 millones con cargo a los recursos del SGP asignados al Sector, de los cuales se obligaron $104.449 millones y se pagaron $103.615 millones. Para la vigencia 2022, se comprometieron $108.806 millones de los cuales se obligaron $108.011 millones y se pagaron $107.691 millones. </w:t>
      </w:r>
      <w:r w:rsidRPr="00821320" w:rsidR="00CE7E95">
        <w:rPr>
          <w:rFonts w:ascii="Verdana" w:hAnsi="Verdana"/>
          <w:sz w:val="22"/>
          <w:szCs w:val="22"/>
        </w:rPr>
        <w:t> Por último, durante 2023 se comprometieron $120.691 millones, se obligaron $120.655 millones y se pagaron $120.471 millones.</w:t>
      </w:r>
    </w:p>
    <w:p w:rsidRPr="00821320" w:rsidR="00CE7E95" w:rsidP="00B412DF" w:rsidRDefault="00CE7E95" w14:paraId="38DA828B" w14:textId="77777777">
      <w:pPr>
        <w:contextualSpacing/>
        <w:jc w:val="both"/>
        <w:rPr>
          <w:rFonts w:ascii="Verdana" w:hAnsi="Verdana"/>
          <w:sz w:val="22"/>
          <w:szCs w:val="22"/>
        </w:rPr>
      </w:pPr>
    </w:p>
    <w:p w:rsidRPr="00821320" w:rsidR="00CE7E95" w:rsidP="00B412DF" w:rsidRDefault="00CE7E95" w14:paraId="31CECDA9" w14:textId="77777777">
      <w:pPr>
        <w:contextualSpacing/>
        <w:jc w:val="both"/>
        <w:rPr>
          <w:rFonts w:ascii="Verdana" w:hAnsi="Verdana"/>
          <w:sz w:val="22"/>
          <w:szCs w:val="22"/>
        </w:rPr>
      </w:pPr>
      <w:r w:rsidRPr="00821320">
        <w:rPr>
          <w:rFonts w:ascii="Verdana" w:hAnsi="Verdana"/>
          <w:sz w:val="22"/>
          <w:szCs w:val="22"/>
        </w:rPr>
        <w:t>Al analizar los objetos de gasto comprometidos por la Entidad, se identificó que en las vigencias de análisis los gastos de cobertura ocuparon en promedio el 94,4% del total comprometido; los gastos de calidad y de eficiencia representaron 3,1% en promedio cada uno y, los recursos de gratuidad ocuparon en promedio 2,3 % de los gastos realizados por la Entidad. El detalle de los valores invertidos se observa en la Tabla 2. </w:t>
      </w:r>
    </w:p>
    <w:p w:rsidRPr="00821320" w:rsidR="00CE7E95" w:rsidP="00B412DF" w:rsidRDefault="00CE7E95" w14:paraId="65B4AAF4" w14:textId="77777777">
      <w:pPr>
        <w:contextualSpacing/>
        <w:jc w:val="both"/>
        <w:rPr>
          <w:rFonts w:ascii="Verdana" w:hAnsi="Verdana"/>
          <w:sz w:val="22"/>
          <w:szCs w:val="22"/>
        </w:rPr>
      </w:pPr>
    </w:p>
    <w:tbl>
      <w:tblPr>
        <w:tblW w:w="5000" w:type="pct"/>
        <w:tblCellMar>
          <w:left w:w="70" w:type="dxa"/>
          <w:right w:w="70" w:type="dxa"/>
        </w:tblCellMar>
        <w:tblLook w:val="04A0" w:firstRow="1" w:lastRow="0" w:firstColumn="1" w:lastColumn="0" w:noHBand="0" w:noVBand="1"/>
      </w:tblPr>
      <w:tblGrid>
        <w:gridCol w:w="4600"/>
        <w:gridCol w:w="1490"/>
        <w:gridCol w:w="1490"/>
        <w:gridCol w:w="1238"/>
      </w:tblGrid>
      <w:tr w:rsidRPr="00B412DF" w:rsidR="00CE7E95" w:rsidTr="00B412DF" w14:paraId="657D6D18" w14:textId="77777777">
        <w:trPr>
          <w:trHeight w:val="20"/>
          <w:tblHeader/>
        </w:trPr>
        <w:tc>
          <w:tcPr>
            <w:tcW w:w="5000" w:type="pct"/>
            <w:gridSpan w:val="4"/>
            <w:tcBorders>
              <w:top w:val="single" w:color="auto" w:sz="8" w:space="0"/>
              <w:left w:val="single" w:color="auto" w:sz="8" w:space="0"/>
              <w:bottom w:val="single" w:color="auto" w:sz="4" w:space="0"/>
              <w:right w:val="single" w:color="000000" w:sz="8" w:space="0"/>
            </w:tcBorders>
            <w:shd w:val="clear" w:color="000000" w:fill="B48C41"/>
            <w:hideMark/>
          </w:tcPr>
          <w:p w:rsidRPr="00B412DF" w:rsidR="00CE7E95" w:rsidP="00B412DF" w:rsidRDefault="00CE7E95" w14:paraId="5F0F3552" w14:textId="77777777">
            <w:pPr>
              <w:jc w:val="center"/>
              <w:rPr>
                <w:rFonts w:ascii="Verdana" w:hAnsi="Verdana" w:cs="Calibri"/>
                <w:b/>
                <w:bCs/>
                <w:color w:val="FFFFFF"/>
                <w:sz w:val="18"/>
                <w:szCs w:val="18"/>
                <w:lang w:val="es-CO" w:eastAsia="es-CO"/>
              </w:rPr>
            </w:pPr>
            <w:r w:rsidRPr="00B412DF">
              <w:rPr>
                <w:rFonts w:ascii="Verdana" w:hAnsi="Verdana" w:cs="Calibri"/>
                <w:b/>
                <w:bCs/>
                <w:color w:val="FFFFFF"/>
                <w:sz w:val="18"/>
                <w:szCs w:val="18"/>
                <w:lang w:val="es-CO" w:eastAsia="es-CO"/>
              </w:rPr>
              <w:t>TABLA 2. GASTOS DE LA ENTIDAD TERRITORIAL (MILLONES DE $)</w:t>
            </w:r>
          </w:p>
        </w:tc>
      </w:tr>
      <w:tr w:rsidRPr="00B412DF" w:rsidR="00CE7E95" w:rsidTr="00B412DF" w14:paraId="23ECC25B" w14:textId="77777777">
        <w:trPr>
          <w:trHeight w:val="20"/>
          <w:tblHeader/>
        </w:trPr>
        <w:tc>
          <w:tcPr>
            <w:tcW w:w="2608" w:type="pct"/>
            <w:tcBorders>
              <w:top w:val="nil"/>
              <w:left w:val="single" w:color="auto" w:sz="8" w:space="0"/>
              <w:bottom w:val="single" w:color="auto" w:sz="4" w:space="0"/>
              <w:right w:val="single" w:color="auto" w:sz="4" w:space="0"/>
            </w:tcBorders>
            <w:shd w:val="clear" w:color="000000" w:fill="F1EADA"/>
            <w:noWrap/>
            <w:hideMark/>
          </w:tcPr>
          <w:p w:rsidRPr="00B412DF" w:rsidR="00CE7E95" w:rsidP="00B412DF" w:rsidRDefault="00CE7E95" w14:paraId="17CF178D" w14:textId="77777777">
            <w:pPr>
              <w:jc w:val="center"/>
              <w:rPr>
                <w:rFonts w:ascii="Verdana" w:hAnsi="Verdana" w:cs="Calibri"/>
                <w:b/>
                <w:bCs/>
                <w:sz w:val="18"/>
                <w:szCs w:val="18"/>
                <w:lang w:val="es-CO" w:eastAsia="es-CO"/>
              </w:rPr>
            </w:pPr>
            <w:r w:rsidRPr="00B412DF">
              <w:rPr>
                <w:rFonts w:ascii="Verdana" w:hAnsi="Verdana" w:cs="Calibri"/>
                <w:b/>
                <w:bCs/>
                <w:sz w:val="18"/>
                <w:szCs w:val="18"/>
                <w:lang w:val="es-CO" w:eastAsia="es-CO"/>
              </w:rPr>
              <w:t>RUBRO</w:t>
            </w:r>
          </w:p>
        </w:tc>
        <w:tc>
          <w:tcPr>
            <w:tcW w:w="845" w:type="pct"/>
            <w:tcBorders>
              <w:top w:val="nil"/>
              <w:left w:val="nil"/>
              <w:bottom w:val="single" w:color="auto" w:sz="4" w:space="0"/>
              <w:right w:val="single" w:color="auto" w:sz="4" w:space="0"/>
            </w:tcBorders>
            <w:shd w:val="clear" w:color="000000" w:fill="F1EADA"/>
            <w:noWrap/>
            <w:hideMark/>
          </w:tcPr>
          <w:p w:rsidRPr="00B412DF" w:rsidR="00CE7E95" w:rsidP="00B412DF" w:rsidRDefault="00CE7E95" w14:paraId="7EC729ED" w14:textId="77777777">
            <w:pPr>
              <w:jc w:val="center"/>
              <w:rPr>
                <w:rFonts w:ascii="Verdana" w:hAnsi="Verdana" w:cs="Calibri"/>
                <w:b/>
                <w:bCs/>
                <w:sz w:val="18"/>
                <w:szCs w:val="18"/>
                <w:lang w:val="es-CO" w:eastAsia="es-CO"/>
              </w:rPr>
            </w:pPr>
            <w:r w:rsidRPr="00B412DF">
              <w:rPr>
                <w:rFonts w:ascii="Verdana" w:hAnsi="Verdana" w:cs="Calibri"/>
                <w:b/>
                <w:bCs/>
                <w:sz w:val="18"/>
                <w:szCs w:val="18"/>
                <w:lang w:val="es-CO" w:eastAsia="es-CO"/>
              </w:rPr>
              <w:t>2021</w:t>
            </w:r>
          </w:p>
        </w:tc>
        <w:tc>
          <w:tcPr>
            <w:tcW w:w="845" w:type="pct"/>
            <w:tcBorders>
              <w:top w:val="nil"/>
              <w:left w:val="nil"/>
              <w:bottom w:val="single" w:color="auto" w:sz="4" w:space="0"/>
              <w:right w:val="single" w:color="auto" w:sz="4" w:space="0"/>
            </w:tcBorders>
            <w:shd w:val="clear" w:color="000000" w:fill="F1EADA"/>
            <w:noWrap/>
            <w:hideMark/>
          </w:tcPr>
          <w:p w:rsidRPr="00B412DF" w:rsidR="00CE7E95" w:rsidP="00B412DF" w:rsidRDefault="00CE7E95" w14:paraId="39A061A8" w14:textId="77777777">
            <w:pPr>
              <w:jc w:val="center"/>
              <w:rPr>
                <w:rFonts w:ascii="Verdana" w:hAnsi="Verdana" w:cs="Calibri"/>
                <w:b/>
                <w:bCs/>
                <w:sz w:val="18"/>
                <w:szCs w:val="18"/>
                <w:lang w:val="es-CO" w:eastAsia="es-CO"/>
              </w:rPr>
            </w:pPr>
            <w:r w:rsidRPr="00B412DF">
              <w:rPr>
                <w:rFonts w:ascii="Verdana" w:hAnsi="Verdana" w:cs="Calibri"/>
                <w:b/>
                <w:bCs/>
                <w:sz w:val="18"/>
                <w:szCs w:val="18"/>
                <w:lang w:val="es-CO" w:eastAsia="es-CO"/>
              </w:rPr>
              <w:t>2022</w:t>
            </w:r>
          </w:p>
        </w:tc>
        <w:tc>
          <w:tcPr>
            <w:tcW w:w="702" w:type="pct"/>
            <w:tcBorders>
              <w:top w:val="nil"/>
              <w:left w:val="nil"/>
              <w:bottom w:val="single" w:color="auto" w:sz="4" w:space="0"/>
              <w:right w:val="single" w:color="auto" w:sz="8" w:space="0"/>
            </w:tcBorders>
            <w:shd w:val="clear" w:color="000000" w:fill="F1EADA"/>
            <w:noWrap/>
            <w:hideMark/>
          </w:tcPr>
          <w:p w:rsidRPr="00B412DF" w:rsidR="00CE7E95" w:rsidP="00B412DF" w:rsidRDefault="00CE7E95" w14:paraId="58CF4DE9" w14:textId="77777777">
            <w:pPr>
              <w:jc w:val="center"/>
              <w:rPr>
                <w:rFonts w:ascii="Verdana" w:hAnsi="Verdana" w:cs="Calibri"/>
                <w:b/>
                <w:bCs/>
                <w:sz w:val="18"/>
                <w:szCs w:val="18"/>
                <w:lang w:val="es-CO" w:eastAsia="es-CO"/>
              </w:rPr>
            </w:pPr>
            <w:r w:rsidRPr="00B412DF">
              <w:rPr>
                <w:rFonts w:ascii="Verdana" w:hAnsi="Verdana" w:cs="Calibri"/>
                <w:b/>
                <w:bCs/>
                <w:sz w:val="18"/>
                <w:szCs w:val="18"/>
                <w:lang w:val="es-CO" w:eastAsia="es-CO"/>
              </w:rPr>
              <w:t>2023</w:t>
            </w:r>
          </w:p>
        </w:tc>
      </w:tr>
      <w:tr w:rsidRPr="00B412DF" w:rsidR="00CE7E95" w:rsidTr="00B412DF" w14:paraId="22ED6DB9" w14:textId="77777777">
        <w:trPr>
          <w:trHeight w:val="20"/>
        </w:trPr>
        <w:tc>
          <w:tcPr>
            <w:tcW w:w="2608" w:type="pct"/>
            <w:tcBorders>
              <w:top w:val="nil"/>
              <w:left w:val="single" w:color="auto" w:sz="8" w:space="0"/>
              <w:bottom w:val="single" w:color="auto" w:sz="4" w:space="0"/>
              <w:right w:val="single" w:color="auto" w:sz="4" w:space="0"/>
            </w:tcBorders>
            <w:shd w:val="clear" w:color="000000" w:fill="D9D9D9"/>
            <w:hideMark/>
          </w:tcPr>
          <w:p w:rsidRPr="00B412DF" w:rsidR="00CE7E95" w:rsidP="00B412DF" w:rsidRDefault="00CE7E95" w14:paraId="4CE8E750" w14:textId="77777777">
            <w:pPr>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COBERTURA</w:t>
            </w:r>
          </w:p>
        </w:tc>
        <w:tc>
          <w:tcPr>
            <w:tcW w:w="845" w:type="pct"/>
            <w:tcBorders>
              <w:top w:val="nil"/>
              <w:left w:val="nil"/>
              <w:bottom w:val="single" w:color="auto" w:sz="4" w:space="0"/>
              <w:right w:val="single" w:color="auto" w:sz="4" w:space="0"/>
            </w:tcBorders>
            <w:shd w:val="clear" w:color="000000" w:fill="D9D9D9"/>
            <w:hideMark/>
          </w:tcPr>
          <w:p w:rsidRPr="00B412DF" w:rsidR="00CE7E95" w:rsidP="00B412DF" w:rsidRDefault="00CE7E95" w14:paraId="1DFEC221"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99.460</w:t>
            </w:r>
          </w:p>
        </w:tc>
        <w:tc>
          <w:tcPr>
            <w:tcW w:w="845" w:type="pct"/>
            <w:tcBorders>
              <w:top w:val="nil"/>
              <w:left w:val="nil"/>
              <w:bottom w:val="single" w:color="auto" w:sz="4" w:space="0"/>
              <w:right w:val="single" w:color="auto" w:sz="4" w:space="0"/>
            </w:tcBorders>
            <w:shd w:val="clear" w:color="000000" w:fill="D9D9D9"/>
            <w:hideMark/>
          </w:tcPr>
          <w:p w:rsidRPr="00B412DF" w:rsidR="00CE7E95" w:rsidP="00B412DF" w:rsidRDefault="00CE7E95" w14:paraId="516A2C33"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101.869</w:t>
            </w:r>
          </w:p>
        </w:tc>
        <w:tc>
          <w:tcPr>
            <w:tcW w:w="702" w:type="pct"/>
            <w:tcBorders>
              <w:top w:val="nil"/>
              <w:left w:val="nil"/>
              <w:bottom w:val="single" w:color="auto" w:sz="4" w:space="0"/>
              <w:right w:val="single" w:color="auto" w:sz="8" w:space="0"/>
            </w:tcBorders>
            <w:shd w:val="clear" w:color="000000" w:fill="D9D9D9"/>
            <w:hideMark/>
          </w:tcPr>
          <w:p w:rsidRPr="00B412DF" w:rsidR="00CE7E95" w:rsidP="00B412DF" w:rsidRDefault="00CE7E95" w14:paraId="712E93EA"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rPr>
              <w:t xml:space="preserve">114.768 </w:t>
            </w:r>
          </w:p>
        </w:tc>
      </w:tr>
      <w:tr w:rsidRPr="00B412DF" w:rsidR="00CE7E95" w:rsidTr="00B412DF" w14:paraId="70E42776" w14:textId="77777777">
        <w:trPr>
          <w:trHeight w:val="20"/>
        </w:trPr>
        <w:tc>
          <w:tcPr>
            <w:tcW w:w="2608" w:type="pct"/>
            <w:tcBorders>
              <w:top w:val="nil"/>
              <w:left w:val="single" w:color="auto" w:sz="8" w:space="0"/>
              <w:bottom w:val="single" w:color="auto" w:sz="4" w:space="0"/>
              <w:right w:val="single" w:color="auto" w:sz="4" w:space="0"/>
            </w:tcBorders>
            <w:hideMark/>
          </w:tcPr>
          <w:p w:rsidRPr="00B412DF" w:rsidR="00CE7E95" w:rsidP="00B412DF" w:rsidRDefault="00CE7E95" w14:paraId="09971379" w14:textId="77777777">
            <w:pPr>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Gastos de Personal</w:t>
            </w:r>
          </w:p>
        </w:tc>
        <w:tc>
          <w:tcPr>
            <w:tcW w:w="845" w:type="pct"/>
            <w:tcBorders>
              <w:top w:val="nil"/>
              <w:left w:val="nil"/>
              <w:bottom w:val="single" w:color="auto" w:sz="4" w:space="0"/>
              <w:right w:val="single" w:color="auto" w:sz="4" w:space="0"/>
            </w:tcBorders>
            <w:hideMark/>
          </w:tcPr>
          <w:p w:rsidRPr="00B412DF" w:rsidR="00CE7E95" w:rsidP="00B412DF" w:rsidRDefault="00CE7E95" w14:paraId="03D2C474"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71.565</w:t>
            </w:r>
          </w:p>
        </w:tc>
        <w:tc>
          <w:tcPr>
            <w:tcW w:w="845" w:type="pct"/>
            <w:tcBorders>
              <w:top w:val="nil"/>
              <w:left w:val="nil"/>
              <w:bottom w:val="single" w:color="auto" w:sz="4" w:space="0"/>
              <w:right w:val="single" w:color="auto" w:sz="4" w:space="0"/>
            </w:tcBorders>
            <w:hideMark/>
          </w:tcPr>
          <w:p w:rsidRPr="00B412DF" w:rsidR="00CE7E95" w:rsidP="00B412DF" w:rsidRDefault="00CE7E95" w14:paraId="47C75228"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78.686</w:t>
            </w:r>
          </w:p>
        </w:tc>
        <w:tc>
          <w:tcPr>
            <w:tcW w:w="702" w:type="pct"/>
            <w:tcBorders>
              <w:top w:val="nil"/>
              <w:left w:val="nil"/>
              <w:bottom w:val="single" w:color="auto" w:sz="4" w:space="0"/>
              <w:right w:val="single" w:color="auto" w:sz="8" w:space="0"/>
            </w:tcBorders>
            <w:hideMark/>
          </w:tcPr>
          <w:p w:rsidRPr="00B412DF" w:rsidR="00CE7E95" w:rsidP="00B412DF" w:rsidRDefault="00CE7E95" w14:paraId="44A7B554"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rPr>
              <w:t xml:space="preserve">90.478 </w:t>
            </w:r>
          </w:p>
        </w:tc>
      </w:tr>
      <w:tr w:rsidRPr="00B412DF" w:rsidR="00CE7E95" w:rsidTr="00B412DF" w14:paraId="3BDB04E6" w14:textId="77777777">
        <w:trPr>
          <w:trHeight w:val="20"/>
        </w:trPr>
        <w:tc>
          <w:tcPr>
            <w:tcW w:w="2608" w:type="pct"/>
            <w:tcBorders>
              <w:top w:val="nil"/>
              <w:left w:val="single" w:color="auto" w:sz="8" w:space="0"/>
              <w:bottom w:val="single" w:color="auto" w:sz="4" w:space="0"/>
              <w:right w:val="single" w:color="auto" w:sz="4" w:space="0"/>
            </w:tcBorders>
            <w:hideMark/>
          </w:tcPr>
          <w:p w:rsidRPr="00B412DF" w:rsidR="00CE7E95" w:rsidP="00B412DF" w:rsidRDefault="00CE7E95" w14:paraId="7BCAD2CC" w14:textId="77777777">
            <w:pPr>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Personal Docente</w:t>
            </w:r>
          </w:p>
        </w:tc>
        <w:tc>
          <w:tcPr>
            <w:tcW w:w="845" w:type="pct"/>
            <w:tcBorders>
              <w:top w:val="nil"/>
              <w:left w:val="nil"/>
              <w:bottom w:val="single" w:color="auto" w:sz="4" w:space="0"/>
              <w:right w:val="single" w:color="auto" w:sz="4" w:space="0"/>
            </w:tcBorders>
            <w:noWrap/>
            <w:hideMark/>
          </w:tcPr>
          <w:p w:rsidRPr="00B412DF" w:rsidR="00CE7E95" w:rsidP="00B412DF" w:rsidRDefault="00CE7E95" w14:paraId="2F05E2E8"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61.901</w:t>
            </w:r>
          </w:p>
        </w:tc>
        <w:tc>
          <w:tcPr>
            <w:tcW w:w="845" w:type="pct"/>
            <w:tcBorders>
              <w:top w:val="nil"/>
              <w:left w:val="nil"/>
              <w:bottom w:val="single" w:color="auto" w:sz="4" w:space="0"/>
              <w:right w:val="single" w:color="auto" w:sz="4" w:space="0"/>
            </w:tcBorders>
            <w:hideMark/>
          </w:tcPr>
          <w:p w:rsidRPr="00B412DF" w:rsidR="00CE7E95" w:rsidP="00B412DF" w:rsidRDefault="00CE7E95" w14:paraId="0FDEAF6F"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68.143</w:t>
            </w:r>
          </w:p>
        </w:tc>
        <w:tc>
          <w:tcPr>
            <w:tcW w:w="702" w:type="pct"/>
            <w:tcBorders>
              <w:top w:val="nil"/>
              <w:left w:val="nil"/>
              <w:bottom w:val="single" w:color="auto" w:sz="4" w:space="0"/>
              <w:right w:val="single" w:color="auto" w:sz="8" w:space="0"/>
            </w:tcBorders>
            <w:hideMark/>
          </w:tcPr>
          <w:p w:rsidRPr="00B412DF" w:rsidR="00CE7E95" w:rsidP="00B412DF" w:rsidRDefault="00CE7E95" w14:paraId="6CFCDDEF"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rPr>
              <w:t xml:space="preserve">78.619 </w:t>
            </w:r>
          </w:p>
        </w:tc>
      </w:tr>
      <w:tr w:rsidRPr="00B412DF" w:rsidR="00CE7E95" w:rsidTr="00B412DF" w14:paraId="6C0D553C" w14:textId="77777777">
        <w:trPr>
          <w:trHeight w:val="20"/>
        </w:trPr>
        <w:tc>
          <w:tcPr>
            <w:tcW w:w="2608" w:type="pct"/>
            <w:tcBorders>
              <w:top w:val="nil"/>
              <w:left w:val="single" w:color="auto" w:sz="8" w:space="0"/>
              <w:bottom w:val="single" w:color="auto" w:sz="4" w:space="0"/>
              <w:right w:val="single" w:color="auto" w:sz="4" w:space="0"/>
            </w:tcBorders>
            <w:hideMark/>
          </w:tcPr>
          <w:p w:rsidRPr="00B412DF" w:rsidR="00CE7E95" w:rsidP="00B412DF" w:rsidRDefault="00CE7E95" w14:paraId="5C57B4C2" w14:textId="77777777">
            <w:pPr>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Personal Directivo – Docente</w:t>
            </w:r>
          </w:p>
        </w:tc>
        <w:tc>
          <w:tcPr>
            <w:tcW w:w="845" w:type="pct"/>
            <w:tcBorders>
              <w:top w:val="nil"/>
              <w:left w:val="nil"/>
              <w:bottom w:val="single" w:color="auto" w:sz="4" w:space="0"/>
              <w:right w:val="single" w:color="auto" w:sz="4" w:space="0"/>
            </w:tcBorders>
            <w:noWrap/>
            <w:hideMark/>
          </w:tcPr>
          <w:p w:rsidRPr="00B412DF" w:rsidR="00CE7E95" w:rsidP="00B412DF" w:rsidRDefault="00CE7E95" w14:paraId="2BBE6213"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5.979</w:t>
            </w:r>
          </w:p>
        </w:tc>
        <w:tc>
          <w:tcPr>
            <w:tcW w:w="845" w:type="pct"/>
            <w:tcBorders>
              <w:top w:val="nil"/>
              <w:left w:val="nil"/>
              <w:bottom w:val="single" w:color="auto" w:sz="4" w:space="0"/>
              <w:right w:val="single" w:color="auto" w:sz="4" w:space="0"/>
            </w:tcBorders>
            <w:hideMark/>
          </w:tcPr>
          <w:p w:rsidRPr="00B412DF" w:rsidR="00CE7E95" w:rsidP="00B412DF" w:rsidRDefault="00CE7E95" w14:paraId="41C54673"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6.394</w:t>
            </w:r>
          </w:p>
        </w:tc>
        <w:tc>
          <w:tcPr>
            <w:tcW w:w="702" w:type="pct"/>
            <w:tcBorders>
              <w:top w:val="nil"/>
              <w:left w:val="nil"/>
              <w:bottom w:val="single" w:color="auto" w:sz="4" w:space="0"/>
              <w:right w:val="single" w:color="auto" w:sz="8" w:space="0"/>
            </w:tcBorders>
            <w:hideMark/>
          </w:tcPr>
          <w:p w:rsidRPr="00B412DF" w:rsidR="00CE7E95" w:rsidP="00B412DF" w:rsidRDefault="00CE7E95" w14:paraId="482C718F"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rPr>
              <w:t xml:space="preserve">7.532 </w:t>
            </w:r>
          </w:p>
        </w:tc>
      </w:tr>
      <w:tr w:rsidRPr="00B412DF" w:rsidR="00CE7E95" w:rsidTr="00B412DF" w14:paraId="4DA95D73" w14:textId="77777777">
        <w:trPr>
          <w:trHeight w:val="20"/>
        </w:trPr>
        <w:tc>
          <w:tcPr>
            <w:tcW w:w="2608" w:type="pct"/>
            <w:tcBorders>
              <w:top w:val="nil"/>
              <w:left w:val="single" w:color="auto" w:sz="8" w:space="0"/>
              <w:bottom w:val="single" w:color="auto" w:sz="4" w:space="0"/>
              <w:right w:val="single" w:color="auto" w:sz="4" w:space="0"/>
            </w:tcBorders>
            <w:hideMark/>
          </w:tcPr>
          <w:p w:rsidRPr="00B412DF" w:rsidR="00CE7E95" w:rsidP="00B412DF" w:rsidRDefault="00CE7E95" w14:paraId="568BDA47" w14:textId="77777777">
            <w:pPr>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Personal Administrativo de Instituciones Educativas</w:t>
            </w:r>
          </w:p>
        </w:tc>
        <w:tc>
          <w:tcPr>
            <w:tcW w:w="845" w:type="pct"/>
            <w:tcBorders>
              <w:top w:val="nil"/>
              <w:left w:val="nil"/>
              <w:bottom w:val="single" w:color="auto" w:sz="4" w:space="0"/>
              <w:right w:val="single" w:color="auto" w:sz="4" w:space="0"/>
            </w:tcBorders>
            <w:noWrap/>
            <w:hideMark/>
          </w:tcPr>
          <w:p w:rsidRPr="00B412DF" w:rsidR="00CE7E95" w:rsidP="00B412DF" w:rsidRDefault="00CE7E95" w14:paraId="4E41BCD2" w14:textId="77777777">
            <w:pPr>
              <w:jc w:val="right"/>
              <w:rPr>
                <w:rFonts w:ascii="Verdana" w:hAnsi="Verdana" w:cs="Calibri"/>
                <w:b/>
                <w:bCs/>
                <w:color w:val="FF0000"/>
                <w:sz w:val="18"/>
                <w:szCs w:val="18"/>
                <w:lang w:val="es-CO" w:eastAsia="es-CO"/>
              </w:rPr>
            </w:pPr>
            <w:r w:rsidRPr="00B412DF">
              <w:rPr>
                <w:rFonts w:ascii="Verdana" w:hAnsi="Verdana" w:cs="Calibri"/>
                <w:b/>
                <w:bCs/>
                <w:color w:val="FF0000"/>
                <w:sz w:val="18"/>
                <w:szCs w:val="18"/>
                <w:lang w:eastAsia="es-CO"/>
              </w:rPr>
              <w:t>(1)</w:t>
            </w:r>
            <w:r w:rsidRPr="00B412DF">
              <w:rPr>
                <w:rFonts w:ascii="Verdana" w:hAnsi="Verdana" w:cs="Calibri"/>
                <w:color w:val="000000"/>
                <w:sz w:val="18"/>
                <w:szCs w:val="18"/>
                <w:lang w:eastAsia="es-CO"/>
              </w:rPr>
              <w:t>2.397</w:t>
            </w:r>
          </w:p>
        </w:tc>
        <w:tc>
          <w:tcPr>
            <w:tcW w:w="845" w:type="pct"/>
            <w:tcBorders>
              <w:top w:val="nil"/>
              <w:left w:val="nil"/>
              <w:bottom w:val="single" w:color="auto" w:sz="4" w:space="0"/>
              <w:right w:val="single" w:color="auto" w:sz="4" w:space="0"/>
            </w:tcBorders>
            <w:hideMark/>
          </w:tcPr>
          <w:p w:rsidRPr="00B412DF" w:rsidR="00CE7E95" w:rsidP="00B412DF" w:rsidRDefault="00CE7E95" w14:paraId="4AF594C3" w14:textId="77777777">
            <w:pPr>
              <w:jc w:val="right"/>
              <w:rPr>
                <w:rFonts w:ascii="Verdana" w:hAnsi="Verdana" w:cs="Calibri"/>
                <w:b/>
                <w:bCs/>
                <w:color w:val="FF0000"/>
                <w:sz w:val="18"/>
                <w:szCs w:val="18"/>
                <w:lang w:val="es-CO" w:eastAsia="es-CO"/>
              </w:rPr>
            </w:pPr>
            <w:r w:rsidRPr="00B412DF">
              <w:rPr>
                <w:rFonts w:ascii="Verdana" w:hAnsi="Verdana" w:cs="Calibri"/>
                <w:b/>
                <w:bCs/>
                <w:color w:val="FF0000"/>
                <w:sz w:val="18"/>
                <w:szCs w:val="18"/>
                <w:lang w:eastAsia="es-CO"/>
              </w:rPr>
              <w:t>(4)</w:t>
            </w:r>
            <w:r w:rsidRPr="00B412DF">
              <w:rPr>
                <w:rFonts w:ascii="Verdana" w:hAnsi="Verdana" w:cs="Calibri"/>
                <w:color w:val="000000"/>
                <w:sz w:val="18"/>
                <w:szCs w:val="18"/>
                <w:lang w:eastAsia="es-CO"/>
              </w:rPr>
              <w:t xml:space="preserve"> 2.850</w:t>
            </w:r>
          </w:p>
        </w:tc>
        <w:tc>
          <w:tcPr>
            <w:tcW w:w="702" w:type="pct"/>
            <w:tcBorders>
              <w:top w:val="nil"/>
              <w:left w:val="nil"/>
              <w:bottom w:val="single" w:color="auto" w:sz="4" w:space="0"/>
              <w:right w:val="single" w:color="auto" w:sz="8" w:space="0"/>
            </w:tcBorders>
            <w:hideMark/>
          </w:tcPr>
          <w:p w:rsidRPr="00B412DF" w:rsidR="00CE7E95" w:rsidP="00B412DF" w:rsidRDefault="00CE7E95" w14:paraId="4A58D9D3"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rPr>
              <w:t xml:space="preserve">2.998 </w:t>
            </w:r>
          </w:p>
        </w:tc>
      </w:tr>
      <w:tr w:rsidRPr="00B412DF" w:rsidR="00CE7E95" w:rsidTr="00B412DF" w14:paraId="5B47B981" w14:textId="77777777">
        <w:trPr>
          <w:trHeight w:val="20"/>
        </w:trPr>
        <w:tc>
          <w:tcPr>
            <w:tcW w:w="2608" w:type="pct"/>
            <w:tcBorders>
              <w:top w:val="nil"/>
              <w:left w:val="single" w:color="auto" w:sz="8" w:space="0"/>
              <w:bottom w:val="single" w:color="auto" w:sz="4" w:space="0"/>
              <w:right w:val="single" w:color="auto" w:sz="4" w:space="0"/>
            </w:tcBorders>
            <w:hideMark/>
          </w:tcPr>
          <w:p w:rsidRPr="00B412DF" w:rsidR="00CE7E95" w:rsidP="00B412DF" w:rsidRDefault="00CE7E95" w14:paraId="7572F0E5" w14:textId="77777777">
            <w:pPr>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Personal Administrativo Secretaría de Educación</w:t>
            </w:r>
          </w:p>
        </w:tc>
        <w:tc>
          <w:tcPr>
            <w:tcW w:w="845" w:type="pct"/>
            <w:tcBorders>
              <w:top w:val="nil"/>
              <w:left w:val="nil"/>
              <w:bottom w:val="single" w:color="auto" w:sz="4" w:space="0"/>
              <w:right w:val="single" w:color="auto" w:sz="4" w:space="0"/>
            </w:tcBorders>
            <w:noWrap/>
            <w:hideMark/>
          </w:tcPr>
          <w:p w:rsidRPr="00B412DF" w:rsidR="00CE7E95" w:rsidP="00B412DF" w:rsidRDefault="00CE7E95" w14:paraId="55908584" w14:textId="77777777">
            <w:pPr>
              <w:jc w:val="right"/>
              <w:rPr>
                <w:rFonts w:ascii="Verdana" w:hAnsi="Verdana" w:cs="Calibri"/>
                <w:b/>
                <w:bCs/>
                <w:color w:val="FF0000"/>
                <w:sz w:val="18"/>
                <w:szCs w:val="18"/>
                <w:lang w:val="es-CO" w:eastAsia="es-CO"/>
              </w:rPr>
            </w:pPr>
            <w:r w:rsidRPr="00B412DF">
              <w:rPr>
                <w:rFonts w:ascii="Verdana" w:hAnsi="Verdana" w:cs="Calibri"/>
                <w:b/>
                <w:bCs/>
                <w:color w:val="FF0000"/>
                <w:sz w:val="18"/>
                <w:szCs w:val="18"/>
                <w:lang w:eastAsia="es-CO"/>
              </w:rPr>
              <w:t xml:space="preserve">(2) </w:t>
            </w:r>
            <w:r w:rsidRPr="00B412DF">
              <w:rPr>
                <w:rFonts w:ascii="Verdana" w:hAnsi="Verdana" w:cs="Calibri"/>
                <w:color w:val="000000"/>
                <w:sz w:val="18"/>
                <w:szCs w:val="18"/>
                <w:lang w:eastAsia="es-CO"/>
              </w:rPr>
              <w:t>1.282</w:t>
            </w:r>
          </w:p>
        </w:tc>
        <w:tc>
          <w:tcPr>
            <w:tcW w:w="845" w:type="pct"/>
            <w:tcBorders>
              <w:top w:val="nil"/>
              <w:left w:val="nil"/>
              <w:bottom w:val="single" w:color="auto" w:sz="4" w:space="0"/>
              <w:right w:val="single" w:color="auto" w:sz="4" w:space="0"/>
            </w:tcBorders>
            <w:hideMark/>
          </w:tcPr>
          <w:p w:rsidRPr="00B412DF" w:rsidR="00CE7E95" w:rsidP="00B412DF" w:rsidRDefault="00CE7E95" w14:paraId="245EEA67" w14:textId="77777777">
            <w:pPr>
              <w:jc w:val="right"/>
              <w:rPr>
                <w:rFonts w:ascii="Verdana" w:hAnsi="Verdana" w:cs="Calibri"/>
                <w:b/>
                <w:bCs/>
                <w:color w:val="FF0000"/>
                <w:sz w:val="18"/>
                <w:szCs w:val="18"/>
                <w:lang w:val="es-CO" w:eastAsia="es-CO"/>
              </w:rPr>
            </w:pPr>
            <w:r w:rsidRPr="00B412DF">
              <w:rPr>
                <w:rFonts w:ascii="Verdana" w:hAnsi="Verdana" w:cs="Calibri"/>
                <w:b/>
                <w:bCs/>
                <w:color w:val="FF0000"/>
                <w:sz w:val="18"/>
                <w:szCs w:val="18"/>
                <w:lang w:eastAsia="es-CO"/>
              </w:rPr>
              <w:t>(5)</w:t>
            </w:r>
            <w:r w:rsidRPr="00B412DF">
              <w:rPr>
                <w:rFonts w:ascii="Verdana" w:hAnsi="Verdana" w:cs="Calibri"/>
                <w:color w:val="000000"/>
                <w:sz w:val="18"/>
                <w:szCs w:val="18"/>
                <w:lang w:eastAsia="es-CO"/>
              </w:rPr>
              <w:t xml:space="preserve"> 1.294</w:t>
            </w:r>
          </w:p>
        </w:tc>
        <w:tc>
          <w:tcPr>
            <w:tcW w:w="702" w:type="pct"/>
            <w:tcBorders>
              <w:top w:val="nil"/>
              <w:left w:val="nil"/>
              <w:bottom w:val="single" w:color="auto" w:sz="4" w:space="0"/>
              <w:right w:val="single" w:color="auto" w:sz="8" w:space="0"/>
            </w:tcBorders>
            <w:hideMark/>
          </w:tcPr>
          <w:p w:rsidRPr="00B412DF" w:rsidR="00CE7E95" w:rsidP="00B412DF" w:rsidRDefault="00CE7E95" w14:paraId="685335E6"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rPr>
              <w:t xml:space="preserve">1.325 </w:t>
            </w:r>
          </w:p>
        </w:tc>
      </w:tr>
      <w:tr w:rsidRPr="00B412DF" w:rsidR="00CE7E95" w:rsidTr="00B412DF" w14:paraId="344B15AC" w14:textId="77777777">
        <w:trPr>
          <w:trHeight w:val="20"/>
        </w:trPr>
        <w:tc>
          <w:tcPr>
            <w:tcW w:w="2608" w:type="pct"/>
            <w:tcBorders>
              <w:top w:val="nil"/>
              <w:left w:val="single" w:color="auto" w:sz="8" w:space="0"/>
              <w:bottom w:val="single" w:color="auto" w:sz="4" w:space="0"/>
              <w:right w:val="single" w:color="auto" w:sz="4" w:space="0"/>
            </w:tcBorders>
            <w:hideMark/>
          </w:tcPr>
          <w:p w:rsidRPr="00B412DF" w:rsidR="00CE7E95" w:rsidP="00B412DF" w:rsidRDefault="00CE7E95" w14:paraId="69A47ADA" w14:textId="77777777">
            <w:pPr>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Viáticos y Gastos de Viaje</w:t>
            </w:r>
          </w:p>
        </w:tc>
        <w:tc>
          <w:tcPr>
            <w:tcW w:w="845" w:type="pct"/>
            <w:tcBorders>
              <w:top w:val="nil"/>
              <w:left w:val="nil"/>
              <w:bottom w:val="single" w:color="auto" w:sz="4" w:space="0"/>
              <w:right w:val="single" w:color="auto" w:sz="4" w:space="0"/>
            </w:tcBorders>
            <w:hideMark/>
          </w:tcPr>
          <w:p w:rsidRPr="00B412DF" w:rsidR="00CE7E95" w:rsidP="00B412DF" w:rsidRDefault="00CE7E95" w14:paraId="6609FA19"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6</w:t>
            </w:r>
          </w:p>
        </w:tc>
        <w:tc>
          <w:tcPr>
            <w:tcW w:w="845" w:type="pct"/>
            <w:tcBorders>
              <w:top w:val="nil"/>
              <w:left w:val="nil"/>
              <w:bottom w:val="single" w:color="auto" w:sz="4" w:space="0"/>
              <w:right w:val="single" w:color="auto" w:sz="4" w:space="0"/>
            </w:tcBorders>
            <w:hideMark/>
          </w:tcPr>
          <w:p w:rsidRPr="00B412DF" w:rsidR="00CE7E95" w:rsidP="00B412DF" w:rsidRDefault="00CE7E95" w14:paraId="27CC896B"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5</w:t>
            </w:r>
          </w:p>
        </w:tc>
        <w:tc>
          <w:tcPr>
            <w:tcW w:w="702" w:type="pct"/>
            <w:tcBorders>
              <w:top w:val="nil"/>
              <w:left w:val="nil"/>
              <w:bottom w:val="single" w:color="auto" w:sz="4" w:space="0"/>
              <w:right w:val="single" w:color="auto" w:sz="8" w:space="0"/>
            </w:tcBorders>
            <w:hideMark/>
          </w:tcPr>
          <w:p w:rsidRPr="00B412DF" w:rsidR="00CE7E95" w:rsidP="00B412DF" w:rsidRDefault="00CE7E95" w14:paraId="6CC09CC5"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rPr>
              <w:t xml:space="preserve">5 </w:t>
            </w:r>
          </w:p>
        </w:tc>
      </w:tr>
      <w:tr w:rsidRPr="00B412DF" w:rsidR="00CE7E95" w:rsidTr="00B412DF" w14:paraId="4A9FB278" w14:textId="77777777">
        <w:trPr>
          <w:trHeight w:val="20"/>
        </w:trPr>
        <w:tc>
          <w:tcPr>
            <w:tcW w:w="2608" w:type="pct"/>
            <w:tcBorders>
              <w:top w:val="nil"/>
              <w:left w:val="single" w:color="auto" w:sz="8" w:space="0"/>
              <w:bottom w:val="single" w:color="auto" w:sz="4" w:space="0"/>
              <w:right w:val="single" w:color="auto" w:sz="4" w:space="0"/>
            </w:tcBorders>
            <w:hideMark/>
          </w:tcPr>
          <w:p w:rsidRPr="00B412DF" w:rsidR="00CE7E95" w:rsidP="00B412DF" w:rsidRDefault="00CE7E95" w14:paraId="3F8B34BC" w14:textId="77777777">
            <w:pPr>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Aportes Patronales</w:t>
            </w:r>
          </w:p>
        </w:tc>
        <w:tc>
          <w:tcPr>
            <w:tcW w:w="845" w:type="pct"/>
            <w:tcBorders>
              <w:top w:val="nil"/>
              <w:left w:val="nil"/>
              <w:bottom w:val="single" w:color="auto" w:sz="4" w:space="0"/>
              <w:right w:val="single" w:color="auto" w:sz="4" w:space="0"/>
            </w:tcBorders>
            <w:hideMark/>
          </w:tcPr>
          <w:p w:rsidRPr="00B412DF" w:rsidR="00CE7E95" w:rsidP="00B412DF" w:rsidRDefault="00CE7E95" w14:paraId="5A72F48D"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24.817</w:t>
            </w:r>
          </w:p>
        </w:tc>
        <w:tc>
          <w:tcPr>
            <w:tcW w:w="845" w:type="pct"/>
            <w:tcBorders>
              <w:top w:val="nil"/>
              <w:left w:val="nil"/>
              <w:bottom w:val="single" w:color="auto" w:sz="4" w:space="0"/>
              <w:right w:val="single" w:color="auto" w:sz="4" w:space="0"/>
            </w:tcBorders>
            <w:hideMark/>
          </w:tcPr>
          <w:p w:rsidRPr="00B412DF" w:rsidR="00CE7E95" w:rsidP="00B412DF" w:rsidRDefault="00CE7E95" w14:paraId="071CA06A"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20.469</w:t>
            </w:r>
          </w:p>
        </w:tc>
        <w:tc>
          <w:tcPr>
            <w:tcW w:w="702" w:type="pct"/>
            <w:tcBorders>
              <w:top w:val="nil"/>
              <w:left w:val="nil"/>
              <w:bottom w:val="single" w:color="auto" w:sz="4" w:space="0"/>
              <w:right w:val="single" w:color="auto" w:sz="8" w:space="0"/>
            </w:tcBorders>
            <w:hideMark/>
          </w:tcPr>
          <w:p w:rsidRPr="00B412DF" w:rsidR="00CE7E95" w:rsidP="00B412DF" w:rsidRDefault="00CE7E95" w14:paraId="7042B827"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rPr>
              <w:t xml:space="preserve">21.257 </w:t>
            </w:r>
          </w:p>
        </w:tc>
      </w:tr>
      <w:tr w:rsidRPr="00B412DF" w:rsidR="00CE7E95" w:rsidTr="00B412DF" w14:paraId="06A6FD7D" w14:textId="77777777">
        <w:trPr>
          <w:trHeight w:val="20"/>
        </w:trPr>
        <w:tc>
          <w:tcPr>
            <w:tcW w:w="2608" w:type="pct"/>
            <w:tcBorders>
              <w:top w:val="nil"/>
              <w:left w:val="single" w:color="auto" w:sz="8" w:space="0"/>
              <w:bottom w:val="single" w:color="auto" w:sz="4" w:space="0"/>
              <w:right w:val="single" w:color="auto" w:sz="4" w:space="0"/>
            </w:tcBorders>
            <w:hideMark/>
          </w:tcPr>
          <w:p w:rsidRPr="00B412DF" w:rsidR="00CE7E95" w:rsidP="00B412DF" w:rsidRDefault="00CE7E95" w14:paraId="6B8E7AA3" w14:textId="77777777">
            <w:pPr>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Sin Situación de Fondos (Docentes y Directivos Docentes)</w:t>
            </w:r>
          </w:p>
        </w:tc>
        <w:tc>
          <w:tcPr>
            <w:tcW w:w="845" w:type="pct"/>
            <w:tcBorders>
              <w:top w:val="nil"/>
              <w:left w:val="nil"/>
              <w:bottom w:val="single" w:color="auto" w:sz="4" w:space="0"/>
              <w:right w:val="single" w:color="auto" w:sz="4" w:space="0"/>
            </w:tcBorders>
            <w:hideMark/>
          </w:tcPr>
          <w:p w:rsidRPr="00B412DF" w:rsidR="00CE7E95" w:rsidP="00B412DF" w:rsidRDefault="00CE7E95" w14:paraId="54039F46"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17.775</w:t>
            </w:r>
          </w:p>
        </w:tc>
        <w:tc>
          <w:tcPr>
            <w:tcW w:w="845" w:type="pct"/>
            <w:tcBorders>
              <w:top w:val="nil"/>
              <w:left w:val="nil"/>
              <w:bottom w:val="single" w:color="auto" w:sz="4" w:space="0"/>
              <w:right w:val="single" w:color="auto" w:sz="4" w:space="0"/>
            </w:tcBorders>
            <w:hideMark/>
          </w:tcPr>
          <w:p w:rsidRPr="00B412DF" w:rsidR="00CE7E95" w:rsidP="00B412DF" w:rsidRDefault="00CE7E95" w14:paraId="2A02152D"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13.003</w:t>
            </w:r>
          </w:p>
        </w:tc>
        <w:tc>
          <w:tcPr>
            <w:tcW w:w="702" w:type="pct"/>
            <w:tcBorders>
              <w:top w:val="nil"/>
              <w:left w:val="nil"/>
              <w:bottom w:val="single" w:color="auto" w:sz="4" w:space="0"/>
              <w:right w:val="single" w:color="auto" w:sz="8" w:space="0"/>
            </w:tcBorders>
            <w:hideMark/>
          </w:tcPr>
          <w:p w:rsidRPr="00B412DF" w:rsidR="00CE7E95" w:rsidP="00B412DF" w:rsidRDefault="00CE7E95" w14:paraId="2CF32389"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rPr>
              <w:t xml:space="preserve">9.401 </w:t>
            </w:r>
          </w:p>
        </w:tc>
      </w:tr>
      <w:tr w:rsidRPr="00B412DF" w:rsidR="00CE7E95" w:rsidTr="00B412DF" w14:paraId="318DB15F" w14:textId="77777777">
        <w:trPr>
          <w:trHeight w:val="20"/>
        </w:trPr>
        <w:tc>
          <w:tcPr>
            <w:tcW w:w="2608" w:type="pct"/>
            <w:tcBorders>
              <w:top w:val="nil"/>
              <w:left w:val="single" w:color="auto" w:sz="8" w:space="0"/>
              <w:bottom w:val="single" w:color="auto" w:sz="4" w:space="0"/>
              <w:right w:val="single" w:color="auto" w:sz="4" w:space="0"/>
            </w:tcBorders>
            <w:hideMark/>
          </w:tcPr>
          <w:p w:rsidRPr="00B412DF" w:rsidR="00CE7E95" w:rsidP="00B412DF" w:rsidRDefault="00CE7E95" w14:paraId="4F575929" w14:textId="77777777">
            <w:pPr>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lastRenderedPageBreak/>
              <w:t>Con situación de fondos (Docentes y Directivos Docentes)</w:t>
            </w:r>
          </w:p>
        </w:tc>
        <w:tc>
          <w:tcPr>
            <w:tcW w:w="845" w:type="pct"/>
            <w:tcBorders>
              <w:top w:val="nil"/>
              <w:left w:val="nil"/>
              <w:bottom w:val="single" w:color="auto" w:sz="4" w:space="0"/>
              <w:right w:val="single" w:color="auto" w:sz="4" w:space="0"/>
            </w:tcBorders>
            <w:hideMark/>
          </w:tcPr>
          <w:p w:rsidRPr="00B412DF" w:rsidR="00CE7E95" w:rsidP="00B412DF" w:rsidRDefault="00CE7E95" w14:paraId="65044EF0"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5.878</w:t>
            </w:r>
          </w:p>
        </w:tc>
        <w:tc>
          <w:tcPr>
            <w:tcW w:w="845" w:type="pct"/>
            <w:tcBorders>
              <w:top w:val="nil"/>
              <w:left w:val="nil"/>
              <w:bottom w:val="single" w:color="auto" w:sz="4" w:space="0"/>
              <w:right w:val="single" w:color="auto" w:sz="4" w:space="0"/>
            </w:tcBorders>
            <w:hideMark/>
          </w:tcPr>
          <w:p w:rsidRPr="00B412DF" w:rsidR="00CE7E95" w:rsidP="00B412DF" w:rsidRDefault="00CE7E95" w14:paraId="71552D3E"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6.067</w:t>
            </w:r>
          </w:p>
        </w:tc>
        <w:tc>
          <w:tcPr>
            <w:tcW w:w="702" w:type="pct"/>
            <w:tcBorders>
              <w:top w:val="nil"/>
              <w:left w:val="nil"/>
              <w:bottom w:val="single" w:color="auto" w:sz="4" w:space="0"/>
              <w:right w:val="single" w:color="auto" w:sz="8" w:space="0"/>
            </w:tcBorders>
            <w:hideMark/>
          </w:tcPr>
          <w:p w:rsidRPr="00B412DF" w:rsidR="00CE7E95" w:rsidP="00B412DF" w:rsidRDefault="00CE7E95" w14:paraId="6BB59E7A"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rPr>
              <w:t xml:space="preserve">10.288 </w:t>
            </w:r>
          </w:p>
        </w:tc>
      </w:tr>
      <w:tr w:rsidRPr="00B412DF" w:rsidR="00CE7E95" w:rsidTr="00B412DF" w14:paraId="3493B4E0" w14:textId="77777777">
        <w:trPr>
          <w:trHeight w:val="20"/>
        </w:trPr>
        <w:tc>
          <w:tcPr>
            <w:tcW w:w="2608" w:type="pct"/>
            <w:tcBorders>
              <w:top w:val="nil"/>
              <w:left w:val="single" w:color="auto" w:sz="8" w:space="0"/>
              <w:bottom w:val="single" w:color="auto" w:sz="4" w:space="0"/>
              <w:right w:val="single" w:color="auto" w:sz="4" w:space="0"/>
            </w:tcBorders>
            <w:hideMark/>
          </w:tcPr>
          <w:p w:rsidRPr="00B412DF" w:rsidR="00CE7E95" w:rsidP="00B412DF" w:rsidRDefault="00CE7E95" w14:paraId="23DA5784" w14:textId="77777777">
            <w:pPr>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Personal Administrativo de Instituciones Educativas (A.P)</w:t>
            </w:r>
          </w:p>
        </w:tc>
        <w:tc>
          <w:tcPr>
            <w:tcW w:w="845" w:type="pct"/>
            <w:tcBorders>
              <w:top w:val="nil"/>
              <w:left w:val="nil"/>
              <w:bottom w:val="single" w:color="auto" w:sz="4" w:space="0"/>
              <w:right w:val="single" w:color="auto" w:sz="4" w:space="0"/>
            </w:tcBorders>
            <w:noWrap/>
            <w:hideMark/>
          </w:tcPr>
          <w:p w:rsidRPr="00B412DF" w:rsidR="00CE7E95" w:rsidP="00B412DF" w:rsidRDefault="00CE7E95" w14:paraId="0A5C19CE" w14:textId="77777777">
            <w:pPr>
              <w:jc w:val="right"/>
              <w:rPr>
                <w:rFonts w:ascii="Verdana" w:hAnsi="Verdana" w:cs="Calibri"/>
                <w:b/>
                <w:bCs/>
                <w:color w:val="FF0000"/>
                <w:sz w:val="18"/>
                <w:szCs w:val="18"/>
                <w:lang w:val="es-CO" w:eastAsia="es-CO"/>
              </w:rPr>
            </w:pPr>
            <w:r w:rsidRPr="00B412DF">
              <w:rPr>
                <w:rFonts w:ascii="Verdana" w:hAnsi="Verdana" w:cs="Calibri"/>
                <w:b/>
                <w:bCs/>
                <w:color w:val="FF0000"/>
                <w:sz w:val="18"/>
                <w:szCs w:val="18"/>
                <w:lang w:eastAsia="es-CO"/>
              </w:rPr>
              <w:t xml:space="preserve">(3) </w:t>
            </w:r>
            <w:r w:rsidRPr="00B412DF">
              <w:rPr>
                <w:rFonts w:ascii="Verdana" w:hAnsi="Verdana" w:cs="Calibri"/>
                <w:color w:val="000000"/>
                <w:sz w:val="18"/>
                <w:szCs w:val="18"/>
                <w:lang w:eastAsia="es-CO"/>
              </w:rPr>
              <w:t>795</w:t>
            </w:r>
          </w:p>
        </w:tc>
        <w:tc>
          <w:tcPr>
            <w:tcW w:w="845" w:type="pct"/>
            <w:tcBorders>
              <w:top w:val="nil"/>
              <w:left w:val="nil"/>
              <w:bottom w:val="single" w:color="auto" w:sz="4" w:space="0"/>
              <w:right w:val="single" w:color="auto" w:sz="4" w:space="0"/>
            </w:tcBorders>
            <w:hideMark/>
          </w:tcPr>
          <w:p w:rsidRPr="00B412DF" w:rsidR="00CE7E95" w:rsidP="00B412DF" w:rsidRDefault="00CE7E95" w14:paraId="0A56A5D1" w14:textId="77777777">
            <w:pPr>
              <w:jc w:val="right"/>
              <w:rPr>
                <w:rFonts w:ascii="Verdana" w:hAnsi="Verdana" w:cs="Calibri"/>
                <w:b/>
                <w:bCs/>
                <w:color w:val="FF0000"/>
                <w:sz w:val="18"/>
                <w:szCs w:val="18"/>
                <w:lang w:val="es-CO" w:eastAsia="es-CO"/>
              </w:rPr>
            </w:pPr>
            <w:r w:rsidRPr="00B412DF">
              <w:rPr>
                <w:rFonts w:ascii="Verdana" w:hAnsi="Verdana" w:cs="Calibri"/>
                <w:b/>
                <w:bCs/>
                <w:color w:val="FF0000"/>
                <w:sz w:val="18"/>
                <w:szCs w:val="18"/>
                <w:lang w:eastAsia="es-CO"/>
              </w:rPr>
              <w:t>(6)</w:t>
            </w:r>
            <w:r w:rsidRPr="00B412DF">
              <w:rPr>
                <w:rFonts w:ascii="Verdana" w:hAnsi="Verdana" w:cs="Calibri"/>
                <w:color w:val="000000"/>
                <w:sz w:val="18"/>
                <w:szCs w:val="18"/>
                <w:lang w:eastAsia="es-CO"/>
              </w:rPr>
              <w:t xml:space="preserve"> 978</w:t>
            </w:r>
          </w:p>
        </w:tc>
        <w:tc>
          <w:tcPr>
            <w:tcW w:w="702" w:type="pct"/>
            <w:tcBorders>
              <w:top w:val="nil"/>
              <w:left w:val="nil"/>
              <w:bottom w:val="single" w:color="auto" w:sz="4" w:space="0"/>
              <w:right w:val="single" w:color="auto" w:sz="8" w:space="0"/>
            </w:tcBorders>
            <w:hideMark/>
          </w:tcPr>
          <w:p w:rsidRPr="00B412DF" w:rsidR="00CE7E95" w:rsidP="00B412DF" w:rsidRDefault="00CE7E95" w14:paraId="3923FC52"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rPr>
              <w:t xml:space="preserve">1.082 </w:t>
            </w:r>
          </w:p>
        </w:tc>
      </w:tr>
      <w:tr w:rsidRPr="00B412DF" w:rsidR="00CE7E95" w:rsidTr="00B412DF" w14:paraId="0B79D453" w14:textId="77777777">
        <w:trPr>
          <w:trHeight w:val="20"/>
        </w:trPr>
        <w:tc>
          <w:tcPr>
            <w:tcW w:w="2608" w:type="pct"/>
            <w:tcBorders>
              <w:top w:val="nil"/>
              <w:left w:val="single" w:color="auto" w:sz="8" w:space="0"/>
              <w:bottom w:val="single" w:color="auto" w:sz="4" w:space="0"/>
              <w:right w:val="single" w:color="auto" w:sz="4" w:space="0"/>
            </w:tcBorders>
            <w:hideMark/>
          </w:tcPr>
          <w:p w:rsidRPr="00B412DF" w:rsidR="00CE7E95" w:rsidP="00B412DF" w:rsidRDefault="00CE7E95" w14:paraId="218EBC1C" w14:textId="77777777">
            <w:pPr>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Personal Administrativo Secretaría de Educación (A.P)</w:t>
            </w:r>
          </w:p>
        </w:tc>
        <w:tc>
          <w:tcPr>
            <w:tcW w:w="845" w:type="pct"/>
            <w:tcBorders>
              <w:top w:val="nil"/>
              <w:left w:val="nil"/>
              <w:bottom w:val="single" w:color="auto" w:sz="4" w:space="0"/>
              <w:right w:val="single" w:color="auto" w:sz="4" w:space="0"/>
            </w:tcBorders>
            <w:noWrap/>
            <w:hideMark/>
          </w:tcPr>
          <w:p w:rsidRPr="00B412DF" w:rsidR="00CE7E95" w:rsidP="00B412DF" w:rsidRDefault="00CE7E95" w14:paraId="7BD343A1"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eastAsia="es-CO"/>
              </w:rPr>
              <w:t>369</w:t>
            </w:r>
          </w:p>
        </w:tc>
        <w:tc>
          <w:tcPr>
            <w:tcW w:w="845" w:type="pct"/>
            <w:tcBorders>
              <w:top w:val="nil"/>
              <w:left w:val="nil"/>
              <w:bottom w:val="single" w:color="auto" w:sz="4" w:space="0"/>
              <w:right w:val="single" w:color="auto" w:sz="4" w:space="0"/>
            </w:tcBorders>
            <w:hideMark/>
          </w:tcPr>
          <w:p w:rsidRPr="00B412DF" w:rsidR="00CE7E95" w:rsidP="00B412DF" w:rsidRDefault="00CE7E95" w14:paraId="72D65FF0" w14:textId="77777777">
            <w:pPr>
              <w:jc w:val="right"/>
              <w:rPr>
                <w:rFonts w:ascii="Verdana" w:hAnsi="Verdana" w:cs="Calibri"/>
                <w:b/>
                <w:bCs/>
                <w:color w:val="FF0000"/>
                <w:sz w:val="18"/>
                <w:szCs w:val="18"/>
                <w:lang w:val="es-CO" w:eastAsia="es-CO"/>
              </w:rPr>
            </w:pPr>
            <w:r w:rsidRPr="00B412DF">
              <w:rPr>
                <w:rFonts w:ascii="Verdana" w:hAnsi="Verdana" w:cs="Calibri"/>
                <w:b/>
                <w:bCs/>
                <w:color w:val="FF0000"/>
                <w:sz w:val="18"/>
                <w:szCs w:val="18"/>
                <w:lang w:eastAsia="es-CO"/>
              </w:rPr>
              <w:t>(7)</w:t>
            </w:r>
            <w:r w:rsidRPr="00B412DF">
              <w:rPr>
                <w:rFonts w:ascii="Verdana" w:hAnsi="Verdana" w:cs="Calibri"/>
                <w:color w:val="000000"/>
                <w:sz w:val="18"/>
                <w:szCs w:val="18"/>
                <w:lang w:eastAsia="es-CO"/>
              </w:rPr>
              <w:t xml:space="preserve"> 421</w:t>
            </w:r>
          </w:p>
        </w:tc>
        <w:tc>
          <w:tcPr>
            <w:tcW w:w="702" w:type="pct"/>
            <w:tcBorders>
              <w:top w:val="nil"/>
              <w:left w:val="nil"/>
              <w:bottom w:val="single" w:color="auto" w:sz="4" w:space="0"/>
              <w:right w:val="single" w:color="auto" w:sz="8" w:space="0"/>
            </w:tcBorders>
            <w:hideMark/>
          </w:tcPr>
          <w:p w:rsidRPr="00B412DF" w:rsidR="00CE7E95" w:rsidP="00B412DF" w:rsidRDefault="00CE7E95" w14:paraId="252B5C1F"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rPr>
              <w:t xml:space="preserve">485 </w:t>
            </w:r>
          </w:p>
        </w:tc>
      </w:tr>
      <w:tr w:rsidRPr="00B412DF" w:rsidR="00CE7E95" w:rsidTr="00B412DF" w14:paraId="721E4084" w14:textId="77777777">
        <w:trPr>
          <w:trHeight w:val="20"/>
        </w:trPr>
        <w:tc>
          <w:tcPr>
            <w:tcW w:w="2608" w:type="pct"/>
            <w:tcBorders>
              <w:top w:val="nil"/>
              <w:left w:val="single" w:color="auto" w:sz="8" w:space="0"/>
              <w:bottom w:val="single" w:color="auto" w:sz="4" w:space="0"/>
              <w:right w:val="single" w:color="auto" w:sz="4" w:space="0"/>
            </w:tcBorders>
            <w:hideMark/>
          </w:tcPr>
          <w:p w:rsidRPr="00B412DF" w:rsidR="00CE7E95" w:rsidP="00B412DF" w:rsidRDefault="00CE7E95" w14:paraId="5BD33D6E" w14:textId="77777777">
            <w:pPr>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Contratos para la Prestación del Servicio Educativo</w:t>
            </w:r>
          </w:p>
        </w:tc>
        <w:tc>
          <w:tcPr>
            <w:tcW w:w="845" w:type="pct"/>
            <w:tcBorders>
              <w:top w:val="nil"/>
              <w:left w:val="nil"/>
              <w:bottom w:val="single" w:color="auto" w:sz="4" w:space="0"/>
              <w:right w:val="single" w:color="auto" w:sz="4" w:space="0"/>
            </w:tcBorders>
            <w:hideMark/>
          </w:tcPr>
          <w:p w:rsidRPr="00B412DF" w:rsidR="00CE7E95" w:rsidP="00B412DF" w:rsidRDefault="00CE7E95" w14:paraId="51E89787"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528</w:t>
            </w:r>
          </w:p>
        </w:tc>
        <w:tc>
          <w:tcPr>
            <w:tcW w:w="845" w:type="pct"/>
            <w:tcBorders>
              <w:top w:val="nil"/>
              <w:left w:val="nil"/>
              <w:bottom w:val="single" w:color="auto" w:sz="4" w:space="0"/>
              <w:right w:val="single" w:color="auto" w:sz="4" w:space="0"/>
            </w:tcBorders>
            <w:hideMark/>
          </w:tcPr>
          <w:p w:rsidRPr="00B412DF" w:rsidR="00CE7E95" w:rsidP="00B412DF" w:rsidRDefault="00CE7E95" w14:paraId="6309E577"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w:t>
            </w:r>
          </w:p>
        </w:tc>
        <w:tc>
          <w:tcPr>
            <w:tcW w:w="702" w:type="pct"/>
            <w:tcBorders>
              <w:top w:val="nil"/>
              <w:left w:val="nil"/>
              <w:bottom w:val="single" w:color="auto" w:sz="4" w:space="0"/>
              <w:right w:val="single" w:color="auto" w:sz="8" w:space="0"/>
            </w:tcBorders>
            <w:hideMark/>
          </w:tcPr>
          <w:p w:rsidRPr="00B412DF" w:rsidR="00CE7E95" w:rsidP="00B412DF" w:rsidRDefault="00CE7E95" w14:paraId="0DB4F4C1"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rPr>
              <w:t xml:space="preserve">-   </w:t>
            </w:r>
          </w:p>
        </w:tc>
      </w:tr>
      <w:tr w:rsidRPr="00B412DF" w:rsidR="00CE7E95" w:rsidTr="00B412DF" w14:paraId="6F9104E9" w14:textId="77777777">
        <w:trPr>
          <w:trHeight w:val="20"/>
        </w:trPr>
        <w:tc>
          <w:tcPr>
            <w:tcW w:w="2608" w:type="pct"/>
            <w:tcBorders>
              <w:top w:val="nil"/>
              <w:left w:val="single" w:color="auto" w:sz="8" w:space="0"/>
              <w:bottom w:val="single" w:color="auto" w:sz="4" w:space="0"/>
              <w:right w:val="single" w:color="auto" w:sz="4" w:space="0"/>
            </w:tcBorders>
            <w:hideMark/>
          </w:tcPr>
          <w:p w:rsidRPr="00B412DF" w:rsidR="00CE7E95" w:rsidP="00B412DF" w:rsidRDefault="00CE7E95" w14:paraId="0D9DEED5" w14:textId="77777777">
            <w:pPr>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Contratos Aseo y Vigilancia</w:t>
            </w:r>
          </w:p>
        </w:tc>
        <w:tc>
          <w:tcPr>
            <w:tcW w:w="845" w:type="pct"/>
            <w:tcBorders>
              <w:top w:val="nil"/>
              <w:left w:val="nil"/>
              <w:bottom w:val="single" w:color="auto" w:sz="4" w:space="0"/>
              <w:right w:val="single" w:color="auto" w:sz="4" w:space="0"/>
            </w:tcBorders>
            <w:hideMark/>
          </w:tcPr>
          <w:p w:rsidRPr="00B412DF" w:rsidR="00CE7E95" w:rsidP="00B412DF" w:rsidRDefault="00CE7E95" w14:paraId="7EE023FD"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2.549</w:t>
            </w:r>
          </w:p>
        </w:tc>
        <w:tc>
          <w:tcPr>
            <w:tcW w:w="845" w:type="pct"/>
            <w:tcBorders>
              <w:top w:val="nil"/>
              <w:left w:val="nil"/>
              <w:bottom w:val="single" w:color="auto" w:sz="4" w:space="0"/>
              <w:right w:val="single" w:color="auto" w:sz="4" w:space="0"/>
            </w:tcBorders>
            <w:hideMark/>
          </w:tcPr>
          <w:p w:rsidRPr="00B412DF" w:rsidR="00CE7E95" w:rsidP="00B412DF" w:rsidRDefault="00CE7E95" w14:paraId="77D18D1B"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2.715</w:t>
            </w:r>
          </w:p>
        </w:tc>
        <w:tc>
          <w:tcPr>
            <w:tcW w:w="702" w:type="pct"/>
            <w:tcBorders>
              <w:top w:val="nil"/>
              <w:left w:val="nil"/>
              <w:bottom w:val="single" w:color="auto" w:sz="4" w:space="0"/>
              <w:right w:val="single" w:color="auto" w:sz="8" w:space="0"/>
            </w:tcBorders>
            <w:hideMark/>
          </w:tcPr>
          <w:p w:rsidRPr="00B412DF" w:rsidR="00CE7E95" w:rsidP="00B412DF" w:rsidRDefault="00CE7E95" w14:paraId="3D1F29BD"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rPr>
              <w:t xml:space="preserve">3.033 </w:t>
            </w:r>
          </w:p>
        </w:tc>
      </w:tr>
      <w:tr w:rsidRPr="00B412DF" w:rsidR="00CE7E95" w:rsidTr="00B412DF" w14:paraId="17FFE0A2" w14:textId="77777777">
        <w:trPr>
          <w:trHeight w:val="20"/>
        </w:trPr>
        <w:tc>
          <w:tcPr>
            <w:tcW w:w="2608" w:type="pct"/>
            <w:tcBorders>
              <w:top w:val="nil"/>
              <w:left w:val="single" w:color="auto" w:sz="8" w:space="0"/>
              <w:bottom w:val="single" w:color="auto" w:sz="4" w:space="0"/>
              <w:right w:val="single" w:color="auto" w:sz="4" w:space="0"/>
            </w:tcBorders>
            <w:shd w:val="clear" w:color="000000" w:fill="D9D9D9"/>
            <w:hideMark/>
          </w:tcPr>
          <w:p w:rsidRPr="00B412DF" w:rsidR="00CE7E95" w:rsidP="00B412DF" w:rsidRDefault="00CE7E95" w14:paraId="297642E6" w14:textId="77777777">
            <w:pPr>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CALIDAD</w:t>
            </w:r>
          </w:p>
        </w:tc>
        <w:tc>
          <w:tcPr>
            <w:tcW w:w="845" w:type="pct"/>
            <w:tcBorders>
              <w:top w:val="nil"/>
              <w:left w:val="nil"/>
              <w:bottom w:val="single" w:color="auto" w:sz="4" w:space="0"/>
              <w:right w:val="single" w:color="auto" w:sz="4" w:space="0"/>
            </w:tcBorders>
            <w:shd w:val="clear" w:color="000000" w:fill="D9D9D9"/>
            <w:hideMark/>
          </w:tcPr>
          <w:p w:rsidRPr="00B412DF" w:rsidR="00CE7E95" w:rsidP="00B412DF" w:rsidRDefault="00CE7E95" w14:paraId="38F14CE5"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2.202</w:t>
            </w:r>
          </w:p>
        </w:tc>
        <w:tc>
          <w:tcPr>
            <w:tcW w:w="845" w:type="pct"/>
            <w:tcBorders>
              <w:top w:val="nil"/>
              <w:left w:val="nil"/>
              <w:bottom w:val="single" w:color="auto" w:sz="4" w:space="0"/>
              <w:right w:val="single" w:color="auto" w:sz="4" w:space="0"/>
            </w:tcBorders>
            <w:shd w:val="clear" w:color="000000" w:fill="D9D9D9"/>
            <w:hideMark/>
          </w:tcPr>
          <w:p w:rsidRPr="00B412DF" w:rsidR="00CE7E95" w:rsidP="00B412DF" w:rsidRDefault="00CE7E95" w14:paraId="1C1FB0C7"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3.719</w:t>
            </w:r>
          </w:p>
        </w:tc>
        <w:tc>
          <w:tcPr>
            <w:tcW w:w="702" w:type="pct"/>
            <w:tcBorders>
              <w:top w:val="nil"/>
              <w:left w:val="nil"/>
              <w:bottom w:val="single" w:color="auto" w:sz="4" w:space="0"/>
              <w:right w:val="single" w:color="auto" w:sz="8" w:space="0"/>
            </w:tcBorders>
            <w:shd w:val="clear" w:color="000000" w:fill="D9D9D9"/>
            <w:hideMark/>
          </w:tcPr>
          <w:p w:rsidRPr="00B412DF" w:rsidR="00CE7E95" w:rsidP="00B412DF" w:rsidRDefault="00CE7E95" w14:paraId="06CD95FE"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rPr>
              <w:t xml:space="preserve">2.894 </w:t>
            </w:r>
          </w:p>
        </w:tc>
      </w:tr>
      <w:tr w:rsidRPr="00B412DF" w:rsidR="00CE7E95" w:rsidTr="00B412DF" w14:paraId="2DC75AE7" w14:textId="77777777">
        <w:trPr>
          <w:trHeight w:val="20"/>
        </w:trPr>
        <w:tc>
          <w:tcPr>
            <w:tcW w:w="2608" w:type="pct"/>
            <w:tcBorders>
              <w:top w:val="nil"/>
              <w:left w:val="single" w:color="auto" w:sz="8" w:space="0"/>
              <w:bottom w:val="single" w:color="auto" w:sz="4" w:space="0"/>
              <w:right w:val="single" w:color="auto" w:sz="4" w:space="0"/>
            </w:tcBorders>
            <w:shd w:val="clear" w:color="000000" w:fill="FFFFFF"/>
            <w:hideMark/>
          </w:tcPr>
          <w:p w:rsidRPr="00B412DF" w:rsidR="00CE7E95" w:rsidP="00B412DF" w:rsidRDefault="00CE7E95" w14:paraId="4E595289" w14:textId="77777777">
            <w:pPr>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Funcionamiento Básico de los Establecimientos Educativos</w:t>
            </w:r>
          </w:p>
        </w:tc>
        <w:tc>
          <w:tcPr>
            <w:tcW w:w="845" w:type="pct"/>
            <w:tcBorders>
              <w:top w:val="nil"/>
              <w:left w:val="nil"/>
              <w:bottom w:val="single" w:color="auto" w:sz="4" w:space="0"/>
              <w:right w:val="single" w:color="auto" w:sz="4" w:space="0"/>
            </w:tcBorders>
            <w:shd w:val="clear" w:color="000000" w:fill="FFFFFF"/>
            <w:hideMark/>
          </w:tcPr>
          <w:p w:rsidRPr="00B412DF" w:rsidR="00CE7E95" w:rsidP="00B412DF" w:rsidRDefault="00CE7E95" w14:paraId="53C027A3"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500</w:t>
            </w:r>
          </w:p>
        </w:tc>
        <w:tc>
          <w:tcPr>
            <w:tcW w:w="845" w:type="pct"/>
            <w:tcBorders>
              <w:top w:val="nil"/>
              <w:left w:val="nil"/>
              <w:bottom w:val="single" w:color="auto" w:sz="4" w:space="0"/>
              <w:right w:val="single" w:color="auto" w:sz="4" w:space="0"/>
            </w:tcBorders>
            <w:hideMark/>
          </w:tcPr>
          <w:p w:rsidRPr="00B412DF" w:rsidR="00CE7E95" w:rsidP="00B412DF" w:rsidRDefault="00CE7E95" w14:paraId="0DBD7834"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360</w:t>
            </w:r>
          </w:p>
        </w:tc>
        <w:tc>
          <w:tcPr>
            <w:tcW w:w="702" w:type="pct"/>
            <w:tcBorders>
              <w:top w:val="nil"/>
              <w:left w:val="nil"/>
              <w:bottom w:val="single" w:color="auto" w:sz="4" w:space="0"/>
              <w:right w:val="single" w:color="auto" w:sz="8" w:space="0"/>
            </w:tcBorders>
            <w:hideMark/>
          </w:tcPr>
          <w:p w:rsidRPr="00B412DF" w:rsidR="00CE7E95" w:rsidP="00B412DF" w:rsidRDefault="00CE7E95" w14:paraId="38B90A27"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rPr>
              <w:t xml:space="preserve">590 </w:t>
            </w:r>
          </w:p>
        </w:tc>
      </w:tr>
      <w:tr w:rsidRPr="00B412DF" w:rsidR="00CE7E95" w:rsidTr="00B412DF" w14:paraId="40B23E53" w14:textId="77777777">
        <w:trPr>
          <w:trHeight w:val="20"/>
        </w:trPr>
        <w:tc>
          <w:tcPr>
            <w:tcW w:w="2608" w:type="pct"/>
            <w:tcBorders>
              <w:top w:val="nil"/>
              <w:left w:val="single" w:color="auto" w:sz="8" w:space="0"/>
              <w:bottom w:val="single" w:color="auto" w:sz="4" w:space="0"/>
              <w:right w:val="single" w:color="auto" w:sz="4" w:space="0"/>
            </w:tcBorders>
            <w:shd w:val="clear" w:color="000000" w:fill="FFFFFF"/>
            <w:hideMark/>
          </w:tcPr>
          <w:p w:rsidRPr="00B412DF" w:rsidR="00CE7E95" w:rsidP="00B412DF" w:rsidRDefault="00CE7E95" w14:paraId="53F71680" w14:textId="77777777">
            <w:pPr>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Pago Servicios Públicos de las Instituciones Educativas</w:t>
            </w:r>
          </w:p>
        </w:tc>
        <w:tc>
          <w:tcPr>
            <w:tcW w:w="845" w:type="pct"/>
            <w:tcBorders>
              <w:top w:val="nil"/>
              <w:left w:val="nil"/>
              <w:bottom w:val="single" w:color="auto" w:sz="4" w:space="0"/>
              <w:right w:val="single" w:color="auto" w:sz="4" w:space="0"/>
            </w:tcBorders>
            <w:shd w:val="clear" w:color="000000" w:fill="FFFFFF"/>
            <w:hideMark/>
          </w:tcPr>
          <w:p w:rsidRPr="00B412DF" w:rsidR="00CE7E95" w:rsidP="00B412DF" w:rsidRDefault="00CE7E95" w14:paraId="49270A63"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1.701</w:t>
            </w:r>
          </w:p>
        </w:tc>
        <w:tc>
          <w:tcPr>
            <w:tcW w:w="845" w:type="pct"/>
            <w:tcBorders>
              <w:top w:val="nil"/>
              <w:left w:val="nil"/>
              <w:bottom w:val="single" w:color="auto" w:sz="4" w:space="0"/>
              <w:right w:val="single" w:color="auto" w:sz="4" w:space="0"/>
            </w:tcBorders>
            <w:hideMark/>
          </w:tcPr>
          <w:p w:rsidRPr="00B412DF" w:rsidR="00CE7E95" w:rsidP="00B412DF" w:rsidRDefault="00CE7E95" w14:paraId="79C6424A"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1.466</w:t>
            </w:r>
          </w:p>
        </w:tc>
        <w:tc>
          <w:tcPr>
            <w:tcW w:w="702" w:type="pct"/>
            <w:tcBorders>
              <w:top w:val="nil"/>
              <w:left w:val="nil"/>
              <w:bottom w:val="single" w:color="auto" w:sz="4" w:space="0"/>
              <w:right w:val="single" w:color="auto" w:sz="8" w:space="0"/>
            </w:tcBorders>
            <w:hideMark/>
          </w:tcPr>
          <w:p w:rsidRPr="00B412DF" w:rsidR="00CE7E95" w:rsidP="00B412DF" w:rsidRDefault="00CE7E95" w14:paraId="45EA1847"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rPr>
              <w:t xml:space="preserve">-   </w:t>
            </w:r>
          </w:p>
        </w:tc>
      </w:tr>
      <w:tr w:rsidRPr="00B412DF" w:rsidR="00CE7E95" w:rsidTr="00B412DF" w14:paraId="062CE522" w14:textId="77777777">
        <w:trPr>
          <w:trHeight w:val="20"/>
        </w:trPr>
        <w:tc>
          <w:tcPr>
            <w:tcW w:w="2608" w:type="pct"/>
            <w:tcBorders>
              <w:top w:val="nil"/>
              <w:left w:val="single" w:color="auto" w:sz="8" w:space="0"/>
              <w:bottom w:val="single" w:color="auto" w:sz="4" w:space="0"/>
              <w:right w:val="single" w:color="auto" w:sz="4" w:space="0"/>
            </w:tcBorders>
            <w:shd w:val="clear" w:color="000000" w:fill="FFFFFF"/>
            <w:hideMark/>
          </w:tcPr>
          <w:p w:rsidRPr="00B412DF" w:rsidR="00CE7E95" w:rsidP="00B412DF" w:rsidRDefault="00CE7E95" w14:paraId="110DCA86" w14:textId="77777777">
            <w:pPr>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Construcción Ampliación y Adecuación de Infraestructura Educativa</w:t>
            </w:r>
          </w:p>
        </w:tc>
        <w:tc>
          <w:tcPr>
            <w:tcW w:w="845" w:type="pct"/>
            <w:tcBorders>
              <w:top w:val="nil"/>
              <w:left w:val="nil"/>
              <w:bottom w:val="single" w:color="auto" w:sz="4" w:space="0"/>
              <w:right w:val="single" w:color="auto" w:sz="4" w:space="0"/>
            </w:tcBorders>
            <w:shd w:val="clear" w:color="000000" w:fill="FFFFFF"/>
            <w:hideMark/>
          </w:tcPr>
          <w:p w:rsidRPr="00B412DF" w:rsidR="00CE7E95" w:rsidP="00B412DF" w:rsidRDefault="00CE7E95" w14:paraId="591F3E63"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w:t>
            </w:r>
          </w:p>
        </w:tc>
        <w:tc>
          <w:tcPr>
            <w:tcW w:w="845" w:type="pct"/>
            <w:tcBorders>
              <w:top w:val="nil"/>
              <w:left w:val="nil"/>
              <w:bottom w:val="single" w:color="auto" w:sz="4" w:space="0"/>
              <w:right w:val="single" w:color="auto" w:sz="4" w:space="0"/>
            </w:tcBorders>
            <w:hideMark/>
          </w:tcPr>
          <w:p w:rsidRPr="00B412DF" w:rsidR="00CE7E95" w:rsidP="00B412DF" w:rsidRDefault="00CE7E95" w14:paraId="1EA92F4A"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w:t>
            </w:r>
          </w:p>
        </w:tc>
        <w:tc>
          <w:tcPr>
            <w:tcW w:w="702" w:type="pct"/>
            <w:tcBorders>
              <w:top w:val="nil"/>
              <w:left w:val="nil"/>
              <w:bottom w:val="single" w:color="auto" w:sz="4" w:space="0"/>
              <w:right w:val="single" w:color="auto" w:sz="8" w:space="0"/>
            </w:tcBorders>
            <w:hideMark/>
          </w:tcPr>
          <w:p w:rsidRPr="00B412DF" w:rsidR="00CE7E95" w:rsidP="00B412DF" w:rsidRDefault="00CE7E95" w14:paraId="5B87DCC2"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rPr>
              <w:t xml:space="preserve">291 </w:t>
            </w:r>
          </w:p>
        </w:tc>
      </w:tr>
      <w:tr w:rsidRPr="00B412DF" w:rsidR="00CE7E95" w:rsidTr="00B412DF" w14:paraId="781B44DD" w14:textId="77777777">
        <w:trPr>
          <w:trHeight w:val="20"/>
        </w:trPr>
        <w:tc>
          <w:tcPr>
            <w:tcW w:w="2608" w:type="pct"/>
            <w:tcBorders>
              <w:top w:val="nil"/>
              <w:left w:val="single" w:color="auto" w:sz="8" w:space="0"/>
              <w:bottom w:val="single" w:color="auto" w:sz="4" w:space="0"/>
              <w:right w:val="single" w:color="auto" w:sz="4" w:space="0"/>
            </w:tcBorders>
            <w:shd w:val="clear" w:color="000000" w:fill="FFFFFF"/>
            <w:hideMark/>
          </w:tcPr>
          <w:p w:rsidRPr="00B412DF" w:rsidR="00CE7E95" w:rsidP="00B412DF" w:rsidRDefault="00CE7E95" w14:paraId="035EF6FD" w14:textId="77777777">
            <w:pPr>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Foro Educativo</w:t>
            </w:r>
          </w:p>
        </w:tc>
        <w:tc>
          <w:tcPr>
            <w:tcW w:w="845" w:type="pct"/>
            <w:tcBorders>
              <w:top w:val="nil"/>
              <w:left w:val="nil"/>
              <w:bottom w:val="single" w:color="auto" w:sz="4" w:space="0"/>
              <w:right w:val="single" w:color="auto" w:sz="4" w:space="0"/>
            </w:tcBorders>
            <w:shd w:val="clear" w:color="000000" w:fill="FFFFFF"/>
            <w:hideMark/>
          </w:tcPr>
          <w:p w:rsidRPr="00B412DF" w:rsidR="00CE7E95" w:rsidP="00B412DF" w:rsidRDefault="00CE7E95" w14:paraId="6D35ECC6"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w:t>
            </w:r>
          </w:p>
        </w:tc>
        <w:tc>
          <w:tcPr>
            <w:tcW w:w="845" w:type="pct"/>
            <w:tcBorders>
              <w:top w:val="nil"/>
              <w:left w:val="nil"/>
              <w:bottom w:val="single" w:color="auto" w:sz="4" w:space="0"/>
              <w:right w:val="single" w:color="auto" w:sz="4" w:space="0"/>
            </w:tcBorders>
            <w:hideMark/>
          </w:tcPr>
          <w:p w:rsidRPr="00B412DF" w:rsidR="00CE7E95" w:rsidP="00B412DF" w:rsidRDefault="00CE7E95" w14:paraId="48C94FDB"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w:t>
            </w:r>
          </w:p>
        </w:tc>
        <w:tc>
          <w:tcPr>
            <w:tcW w:w="702" w:type="pct"/>
            <w:tcBorders>
              <w:top w:val="nil"/>
              <w:left w:val="nil"/>
              <w:bottom w:val="single" w:color="auto" w:sz="4" w:space="0"/>
              <w:right w:val="single" w:color="auto" w:sz="8" w:space="0"/>
            </w:tcBorders>
            <w:hideMark/>
          </w:tcPr>
          <w:p w:rsidRPr="00B412DF" w:rsidR="00CE7E95" w:rsidP="00B412DF" w:rsidRDefault="00CE7E95" w14:paraId="6E095BFF"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rPr>
              <w:t xml:space="preserve">1.620 </w:t>
            </w:r>
          </w:p>
        </w:tc>
      </w:tr>
      <w:tr w:rsidRPr="00B412DF" w:rsidR="00CE7E95" w:rsidTr="00B412DF" w14:paraId="0869D9F3" w14:textId="77777777">
        <w:trPr>
          <w:trHeight w:val="20"/>
        </w:trPr>
        <w:tc>
          <w:tcPr>
            <w:tcW w:w="2608" w:type="pct"/>
            <w:tcBorders>
              <w:top w:val="nil"/>
              <w:left w:val="single" w:color="auto" w:sz="8" w:space="0"/>
              <w:bottom w:val="single" w:color="auto" w:sz="4" w:space="0"/>
              <w:right w:val="single" w:color="auto" w:sz="4" w:space="0"/>
            </w:tcBorders>
            <w:shd w:val="clear" w:color="000000" w:fill="FFFFFF"/>
            <w:hideMark/>
          </w:tcPr>
          <w:p w:rsidRPr="00B412DF" w:rsidR="00CE7E95" w:rsidP="00B412DF" w:rsidRDefault="00CE7E95" w14:paraId="492DBC9C" w14:textId="77777777">
            <w:pPr>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Planes de mejoramiento</w:t>
            </w:r>
          </w:p>
        </w:tc>
        <w:tc>
          <w:tcPr>
            <w:tcW w:w="845" w:type="pct"/>
            <w:tcBorders>
              <w:top w:val="nil"/>
              <w:left w:val="nil"/>
              <w:bottom w:val="single" w:color="auto" w:sz="4" w:space="0"/>
              <w:right w:val="single" w:color="auto" w:sz="4" w:space="0"/>
            </w:tcBorders>
            <w:shd w:val="clear" w:color="000000" w:fill="FFFFFF"/>
            <w:hideMark/>
          </w:tcPr>
          <w:p w:rsidRPr="00B412DF" w:rsidR="00CE7E95" w:rsidP="00B412DF" w:rsidRDefault="00CE7E95" w14:paraId="7AA97CEB"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w:t>
            </w:r>
          </w:p>
        </w:tc>
        <w:tc>
          <w:tcPr>
            <w:tcW w:w="845" w:type="pct"/>
            <w:tcBorders>
              <w:top w:val="nil"/>
              <w:left w:val="nil"/>
              <w:bottom w:val="single" w:color="auto" w:sz="4" w:space="0"/>
              <w:right w:val="single" w:color="auto" w:sz="4" w:space="0"/>
            </w:tcBorders>
            <w:hideMark/>
          </w:tcPr>
          <w:p w:rsidRPr="00B412DF" w:rsidR="00CE7E95" w:rsidP="00B412DF" w:rsidRDefault="00CE7E95" w14:paraId="532A31D1"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1.690</w:t>
            </w:r>
          </w:p>
        </w:tc>
        <w:tc>
          <w:tcPr>
            <w:tcW w:w="702" w:type="pct"/>
            <w:tcBorders>
              <w:top w:val="nil"/>
              <w:left w:val="nil"/>
              <w:bottom w:val="single" w:color="auto" w:sz="4" w:space="0"/>
              <w:right w:val="single" w:color="auto" w:sz="8" w:space="0"/>
            </w:tcBorders>
            <w:hideMark/>
          </w:tcPr>
          <w:p w:rsidRPr="00B412DF" w:rsidR="00CE7E95" w:rsidP="00B412DF" w:rsidRDefault="00CE7E95" w14:paraId="14C5EEE1"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rPr>
              <w:t xml:space="preserve">383 </w:t>
            </w:r>
          </w:p>
        </w:tc>
      </w:tr>
      <w:tr w:rsidRPr="00B412DF" w:rsidR="00CE7E95" w:rsidTr="00B412DF" w14:paraId="046B5EDF" w14:textId="77777777">
        <w:trPr>
          <w:trHeight w:val="20"/>
        </w:trPr>
        <w:tc>
          <w:tcPr>
            <w:tcW w:w="2608" w:type="pct"/>
            <w:tcBorders>
              <w:top w:val="nil"/>
              <w:left w:val="single" w:color="auto" w:sz="8" w:space="0"/>
              <w:bottom w:val="single" w:color="auto" w:sz="4" w:space="0"/>
              <w:right w:val="single" w:color="auto" w:sz="4" w:space="0"/>
            </w:tcBorders>
            <w:hideMark/>
          </w:tcPr>
          <w:p w:rsidRPr="00B412DF" w:rsidR="00CE7E95" w:rsidP="00B412DF" w:rsidRDefault="00CE7E95" w14:paraId="5FDAF932" w14:textId="77777777">
            <w:pPr>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Capacitación a Docentes y Directivos Docentes</w:t>
            </w:r>
          </w:p>
        </w:tc>
        <w:tc>
          <w:tcPr>
            <w:tcW w:w="845" w:type="pct"/>
            <w:tcBorders>
              <w:top w:val="nil"/>
              <w:left w:val="nil"/>
              <w:bottom w:val="single" w:color="auto" w:sz="4" w:space="0"/>
              <w:right w:val="single" w:color="auto" w:sz="4" w:space="0"/>
            </w:tcBorders>
            <w:hideMark/>
          </w:tcPr>
          <w:p w:rsidRPr="00B412DF" w:rsidR="00CE7E95" w:rsidP="00B412DF" w:rsidRDefault="00CE7E95" w14:paraId="6E96DCA9"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w:t>
            </w:r>
          </w:p>
        </w:tc>
        <w:tc>
          <w:tcPr>
            <w:tcW w:w="845" w:type="pct"/>
            <w:tcBorders>
              <w:top w:val="nil"/>
              <w:left w:val="nil"/>
              <w:bottom w:val="single" w:color="auto" w:sz="4" w:space="0"/>
              <w:right w:val="single" w:color="auto" w:sz="4" w:space="0"/>
            </w:tcBorders>
            <w:hideMark/>
          </w:tcPr>
          <w:p w:rsidRPr="00B412DF" w:rsidR="00CE7E95" w:rsidP="00B412DF" w:rsidRDefault="00CE7E95" w14:paraId="2C9C3602"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lang w:val="es-CO" w:eastAsia="es-CO"/>
              </w:rPr>
              <w:t>203</w:t>
            </w:r>
          </w:p>
        </w:tc>
        <w:tc>
          <w:tcPr>
            <w:tcW w:w="702" w:type="pct"/>
            <w:tcBorders>
              <w:top w:val="nil"/>
              <w:left w:val="nil"/>
              <w:bottom w:val="single" w:color="auto" w:sz="4" w:space="0"/>
              <w:right w:val="single" w:color="auto" w:sz="8" w:space="0"/>
            </w:tcBorders>
            <w:hideMark/>
          </w:tcPr>
          <w:p w:rsidRPr="00B412DF" w:rsidR="00CE7E95" w:rsidP="00B412DF" w:rsidRDefault="00CE7E95" w14:paraId="7FD0B2E1" w14:textId="77777777">
            <w:pPr>
              <w:jc w:val="right"/>
              <w:rPr>
                <w:rFonts w:ascii="Verdana" w:hAnsi="Verdana" w:cs="Calibri"/>
                <w:color w:val="000000"/>
                <w:sz w:val="18"/>
                <w:szCs w:val="18"/>
                <w:lang w:val="es-CO" w:eastAsia="es-CO"/>
              </w:rPr>
            </w:pPr>
            <w:r w:rsidRPr="00B412DF">
              <w:rPr>
                <w:rFonts w:ascii="Verdana" w:hAnsi="Verdana" w:cs="Calibri"/>
                <w:color w:val="000000"/>
                <w:sz w:val="18"/>
                <w:szCs w:val="18"/>
              </w:rPr>
              <w:t xml:space="preserve">9 </w:t>
            </w:r>
          </w:p>
        </w:tc>
      </w:tr>
      <w:tr w:rsidRPr="00B412DF" w:rsidR="00CE7E95" w:rsidTr="00B412DF" w14:paraId="086194B2" w14:textId="77777777">
        <w:trPr>
          <w:trHeight w:val="20"/>
        </w:trPr>
        <w:tc>
          <w:tcPr>
            <w:tcW w:w="2608" w:type="pct"/>
            <w:tcBorders>
              <w:top w:val="nil"/>
              <w:left w:val="single" w:color="auto" w:sz="8" w:space="0"/>
              <w:bottom w:val="single" w:color="auto" w:sz="4" w:space="0"/>
              <w:right w:val="single" w:color="auto" w:sz="4" w:space="0"/>
            </w:tcBorders>
            <w:shd w:val="clear" w:color="000000" w:fill="D9D9D9"/>
            <w:hideMark/>
          </w:tcPr>
          <w:p w:rsidRPr="00B412DF" w:rsidR="00CE7E95" w:rsidP="00B412DF" w:rsidRDefault="00CE7E95" w14:paraId="262351AD" w14:textId="77777777">
            <w:pPr>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CONECTIVIDAD</w:t>
            </w:r>
          </w:p>
        </w:tc>
        <w:tc>
          <w:tcPr>
            <w:tcW w:w="845" w:type="pct"/>
            <w:tcBorders>
              <w:top w:val="nil"/>
              <w:left w:val="nil"/>
              <w:bottom w:val="single" w:color="auto" w:sz="4" w:space="0"/>
              <w:right w:val="single" w:color="auto" w:sz="4" w:space="0"/>
            </w:tcBorders>
            <w:shd w:val="clear" w:color="000000" w:fill="D9D9D9"/>
            <w:hideMark/>
          </w:tcPr>
          <w:p w:rsidRPr="00B412DF" w:rsidR="00CE7E95" w:rsidP="00B412DF" w:rsidRDefault="00CE7E95" w14:paraId="34012A52"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228</w:t>
            </w:r>
          </w:p>
        </w:tc>
        <w:tc>
          <w:tcPr>
            <w:tcW w:w="845" w:type="pct"/>
            <w:tcBorders>
              <w:top w:val="nil"/>
              <w:left w:val="nil"/>
              <w:bottom w:val="single" w:color="auto" w:sz="4" w:space="0"/>
              <w:right w:val="single" w:color="auto" w:sz="4" w:space="0"/>
            </w:tcBorders>
            <w:shd w:val="clear" w:color="000000" w:fill="D9D9D9"/>
            <w:hideMark/>
          </w:tcPr>
          <w:p w:rsidRPr="00B412DF" w:rsidR="00CE7E95" w:rsidP="00B412DF" w:rsidRDefault="00CE7E95" w14:paraId="2BC168C7"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557</w:t>
            </w:r>
          </w:p>
        </w:tc>
        <w:tc>
          <w:tcPr>
            <w:tcW w:w="702" w:type="pct"/>
            <w:tcBorders>
              <w:top w:val="nil"/>
              <w:left w:val="nil"/>
              <w:bottom w:val="single" w:color="auto" w:sz="4" w:space="0"/>
              <w:right w:val="single" w:color="auto" w:sz="8" w:space="0"/>
            </w:tcBorders>
            <w:shd w:val="clear" w:color="000000" w:fill="D9D9D9"/>
            <w:hideMark/>
          </w:tcPr>
          <w:p w:rsidRPr="00B412DF" w:rsidR="00CE7E95" w:rsidP="00B412DF" w:rsidRDefault="00CE7E95" w14:paraId="35DD5DBB"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rPr>
              <w:t xml:space="preserve">597 </w:t>
            </w:r>
          </w:p>
        </w:tc>
      </w:tr>
      <w:tr w:rsidRPr="00B412DF" w:rsidR="00CE7E95" w:rsidTr="00B412DF" w14:paraId="093C9163" w14:textId="77777777">
        <w:trPr>
          <w:trHeight w:val="20"/>
        </w:trPr>
        <w:tc>
          <w:tcPr>
            <w:tcW w:w="2608" w:type="pct"/>
            <w:tcBorders>
              <w:top w:val="nil"/>
              <w:left w:val="single" w:color="auto" w:sz="8" w:space="0"/>
              <w:bottom w:val="single" w:color="auto" w:sz="4" w:space="0"/>
              <w:right w:val="single" w:color="auto" w:sz="4" w:space="0"/>
            </w:tcBorders>
            <w:shd w:val="clear" w:color="000000" w:fill="D9D9D9"/>
            <w:hideMark/>
          </w:tcPr>
          <w:p w:rsidRPr="00B412DF" w:rsidR="00CE7E95" w:rsidP="00B412DF" w:rsidRDefault="00CE7E95" w14:paraId="22922843" w14:textId="77777777">
            <w:pPr>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SRPA</w:t>
            </w:r>
          </w:p>
        </w:tc>
        <w:tc>
          <w:tcPr>
            <w:tcW w:w="845" w:type="pct"/>
            <w:tcBorders>
              <w:top w:val="nil"/>
              <w:left w:val="nil"/>
              <w:bottom w:val="single" w:color="auto" w:sz="4" w:space="0"/>
              <w:right w:val="single" w:color="auto" w:sz="4" w:space="0"/>
            </w:tcBorders>
            <w:shd w:val="clear" w:color="000000" w:fill="D9D9D9"/>
            <w:hideMark/>
          </w:tcPr>
          <w:p w:rsidRPr="00B412DF" w:rsidR="00CE7E95" w:rsidP="00B412DF" w:rsidRDefault="00CE7E95" w14:paraId="5C1F63A3"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w:t>
            </w:r>
          </w:p>
        </w:tc>
        <w:tc>
          <w:tcPr>
            <w:tcW w:w="845" w:type="pct"/>
            <w:tcBorders>
              <w:top w:val="nil"/>
              <w:left w:val="nil"/>
              <w:bottom w:val="single" w:color="auto" w:sz="4" w:space="0"/>
              <w:right w:val="single" w:color="auto" w:sz="4" w:space="0"/>
            </w:tcBorders>
            <w:shd w:val="clear" w:color="000000" w:fill="D9D9D9"/>
            <w:hideMark/>
          </w:tcPr>
          <w:p w:rsidRPr="00B412DF" w:rsidR="00CE7E95" w:rsidP="00B412DF" w:rsidRDefault="00CE7E95" w14:paraId="3B3E4120"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16</w:t>
            </w:r>
          </w:p>
        </w:tc>
        <w:tc>
          <w:tcPr>
            <w:tcW w:w="702" w:type="pct"/>
            <w:tcBorders>
              <w:top w:val="nil"/>
              <w:left w:val="nil"/>
              <w:bottom w:val="single" w:color="auto" w:sz="4" w:space="0"/>
              <w:right w:val="single" w:color="auto" w:sz="8" w:space="0"/>
            </w:tcBorders>
            <w:shd w:val="clear" w:color="000000" w:fill="D9D9D9"/>
            <w:hideMark/>
          </w:tcPr>
          <w:p w:rsidRPr="00B412DF" w:rsidR="00CE7E95" w:rsidP="00B412DF" w:rsidRDefault="00CE7E95" w14:paraId="5E554B74"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rPr>
              <w:t xml:space="preserve">-   </w:t>
            </w:r>
          </w:p>
        </w:tc>
      </w:tr>
      <w:tr w:rsidRPr="00B412DF" w:rsidR="00CE7E95" w:rsidTr="00B412DF" w14:paraId="35B44867" w14:textId="77777777">
        <w:trPr>
          <w:trHeight w:val="20"/>
        </w:trPr>
        <w:tc>
          <w:tcPr>
            <w:tcW w:w="2608" w:type="pct"/>
            <w:tcBorders>
              <w:top w:val="nil"/>
              <w:left w:val="single" w:color="auto" w:sz="8" w:space="0"/>
              <w:bottom w:val="single" w:color="auto" w:sz="4" w:space="0"/>
              <w:right w:val="single" w:color="auto" w:sz="4" w:space="0"/>
            </w:tcBorders>
            <w:shd w:val="clear" w:color="000000" w:fill="D9D9D9"/>
            <w:hideMark/>
          </w:tcPr>
          <w:p w:rsidRPr="00B412DF" w:rsidR="00CE7E95" w:rsidP="00B412DF" w:rsidRDefault="00CE7E95" w14:paraId="73A23A2F" w14:textId="77777777">
            <w:pPr>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PROYECTOS EDUCATIVOS TRANSVERSALES</w:t>
            </w:r>
          </w:p>
        </w:tc>
        <w:tc>
          <w:tcPr>
            <w:tcW w:w="845" w:type="pct"/>
            <w:tcBorders>
              <w:top w:val="nil"/>
              <w:left w:val="nil"/>
              <w:bottom w:val="single" w:color="auto" w:sz="4" w:space="0"/>
              <w:right w:val="single" w:color="auto" w:sz="4" w:space="0"/>
            </w:tcBorders>
            <w:shd w:val="clear" w:color="000000" w:fill="D9D9D9"/>
            <w:hideMark/>
          </w:tcPr>
          <w:p w:rsidRPr="00B412DF" w:rsidR="00CE7E95" w:rsidP="00B412DF" w:rsidRDefault="00CE7E95" w14:paraId="319F1842"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w:t>
            </w:r>
          </w:p>
        </w:tc>
        <w:tc>
          <w:tcPr>
            <w:tcW w:w="845" w:type="pct"/>
            <w:tcBorders>
              <w:top w:val="nil"/>
              <w:left w:val="nil"/>
              <w:bottom w:val="single" w:color="auto" w:sz="4" w:space="0"/>
              <w:right w:val="single" w:color="auto" w:sz="4" w:space="0"/>
            </w:tcBorders>
            <w:shd w:val="clear" w:color="000000" w:fill="D9D9D9"/>
            <w:hideMark/>
          </w:tcPr>
          <w:p w:rsidRPr="00B412DF" w:rsidR="00CE7E95" w:rsidP="00B412DF" w:rsidRDefault="00CE7E95" w14:paraId="3F726721"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217</w:t>
            </w:r>
          </w:p>
        </w:tc>
        <w:tc>
          <w:tcPr>
            <w:tcW w:w="702" w:type="pct"/>
            <w:tcBorders>
              <w:top w:val="nil"/>
              <w:left w:val="nil"/>
              <w:bottom w:val="single" w:color="auto" w:sz="4" w:space="0"/>
              <w:right w:val="single" w:color="auto" w:sz="8" w:space="0"/>
            </w:tcBorders>
            <w:shd w:val="clear" w:color="000000" w:fill="D9D9D9"/>
            <w:hideMark/>
          </w:tcPr>
          <w:p w:rsidRPr="00B412DF" w:rsidR="00CE7E95" w:rsidP="00B412DF" w:rsidRDefault="00CE7E95" w14:paraId="22EB3DF3"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rPr>
              <w:t xml:space="preserve">-   </w:t>
            </w:r>
          </w:p>
        </w:tc>
      </w:tr>
      <w:tr w:rsidRPr="00B412DF" w:rsidR="00CE7E95" w:rsidTr="00B412DF" w14:paraId="4A2EF19F" w14:textId="77777777">
        <w:trPr>
          <w:trHeight w:val="20"/>
        </w:trPr>
        <w:tc>
          <w:tcPr>
            <w:tcW w:w="2608" w:type="pct"/>
            <w:tcBorders>
              <w:top w:val="nil"/>
              <w:left w:val="single" w:color="auto" w:sz="8" w:space="0"/>
              <w:bottom w:val="single" w:color="auto" w:sz="4" w:space="0"/>
              <w:right w:val="single" w:color="auto" w:sz="4" w:space="0"/>
            </w:tcBorders>
            <w:shd w:val="clear" w:color="000000" w:fill="D9D9D9"/>
            <w:hideMark/>
          </w:tcPr>
          <w:p w:rsidRPr="00B412DF" w:rsidR="00CE7E95" w:rsidP="00B412DF" w:rsidRDefault="00CE7E95" w14:paraId="604A68F0" w14:textId="77777777">
            <w:pPr>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GRATUIDAD</w:t>
            </w:r>
          </w:p>
        </w:tc>
        <w:tc>
          <w:tcPr>
            <w:tcW w:w="845" w:type="pct"/>
            <w:tcBorders>
              <w:top w:val="nil"/>
              <w:left w:val="nil"/>
              <w:bottom w:val="single" w:color="auto" w:sz="4" w:space="0"/>
              <w:right w:val="single" w:color="auto" w:sz="4" w:space="0"/>
            </w:tcBorders>
            <w:shd w:val="clear" w:color="000000" w:fill="D9D9D9"/>
            <w:hideMark/>
          </w:tcPr>
          <w:p w:rsidRPr="00B412DF" w:rsidR="00CE7E95" w:rsidP="00B412DF" w:rsidRDefault="00CE7E95" w14:paraId="21A8B101"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2.590</w:t>
            </w:r>
          </w:p>
        </w:tc>
        <w:tc>
          <w:tcPr>
            <w:tcW w:w="845" w:type="pct"/>
            <w:tcBorders>
              <w:top w:val="nil"/>
              <w:left w:val="nil"/>
              <w:bottom w:val="single" w:color="auto" w:sz="4" w:space="0"/>
              <w:right w:val="single" w:color="auto" w:sz="4" w:space="0"/>
            </w:tcBorders>
            <w:shd w:val="clear" w:color="000000" w:fill="D9D9D9"/>
            <w:hideMark/>
          </w:tcPr>
          <w:p w:rsidRPr="00B412DF" w:rsidR="00CE7E95" w:rsidP="00B412DF" w:rsidRDefault="00CE7E95" w14:paraId="5F9B49D4"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lang w:val="es-CO" w:eastAsia="es-CO"/>
              </w:rPr>
              <w:t>2.428</w:t>
            </w:r>
          </w:p>
        </w:tc>
        <w:tc>
          <w:tcPr>
            <w:tcW w:w="702" w:type="pct"/>
            <w:tcBorders>
              <w:top w:val="nil"/>
              <w:left w:val="nil"/>
              <w:bottom w:val="single" w:color="auto" w:sz="4" w:space="0"/>
              <w:right w:val="single" w:color="auto" w:sz="8" w:space="0"/>
            </w:tcBorders>
            <w:shd w:val="clear" w:color="000000" w:fill="D9D9D9"/>
            <w:hideMark/>
          </w:tcPr>
          <w:p w:rsidRPr="00B412DF" w:rsidR="00CE7E95" w:rsidP="00B412DF" w:rsidRDefault="00CE7E95" w14:paraId="636C3B61" w14:textId="77777777">
            <w:pPr>
              <w:jc w:val="right"/>
              <w:rPr>
                <w:rFonts w:ascii="Verdana" w:hAnsi="Verdana" w:cs="Calibri"/>
                <w:b/>
                <w:bCs/>
                <w:color w:val="000000"/>
                <w:sz w:val="18"/>
                <w:szCs w:val="18"/>
                <w:lang w:val="es-CO" w:eastAsia="es-CO"/>
              </w:rPr>
            </w:pPr>
            <w:r w:rsidRPr="00B412DF">
              <w:rPr>
                <w:rFonts w:ascii="Verdana" w:hAnsi="Verdana" w:cs="Calibri"/>
                <w:b/>
                <w:bCs/>
                <w:color w:val="000000"/>
                <w:sz w:val="18"/>
                <w:szCs w:val="18"/>
              </w:rPr>
              <w:t xml:space="preserve">2.433 </w:t>
            </w:r>
          </w:p>
        </w:tc>
      </w:tr>
      <w:tr w:rsidRPr="00B412DF" w:rsidR="00CE7E95" w:rsidTr="00B412DF" w14:paraId="5ABF2921" w14:textId="77777777">
        <w:trPr>
          <w:trHeight w:val="20"/>
        </w:trPr>
        <w:tc>
          <w:tcPr>
            <w:tcW w:w="2608" w:type="pct"/>
            <w:tcBorders>
              <w:top w:val="nil"/>
              <w:left w:val="single" w:color="auto" w:sz="8" w:space="0"/>
              <w:bottom w:val="single" w:color="auto" w:sz="8" w:space="0"/>
              <w:right w:val="single" w:color="auto" w:sz="4" w:space="0"/>
            </w:tcBorders>
            <w:shd w:val="clear" w:color="000000" w:fill="B48C41"/>
            <w:hideMark/>
          </w:tcPr>
          <w:p w:rsidRPr="00B412DF" w:rsidR="00CE7E95" w:rsidP="00B412DF" w:rsidRDefault="00CE7E95" w14:paraId="05F8447F" w14:textId="77777777">
            <w:pPr>
              <w:rPr>
                <w:rFonts w:ascii="Verdana" w:hAnsi="Verdana" w:cs="Calibri"/>
                <w:b/>
                <w:bCs/>
                <w:color w:val="FFFFFF"/>
                <w:sz w:val="18"/>
                <w:szCs w:val="18"/>
                <w:lang w:val="es-CO" w:eastAsia="es-CO"/>
              </w:rPr>
            </w:pPr>
            <w:proofErr w:type="gramStart"/>
            <w:r w:rsidRPr="00B412DF">
              <w:rPr>
                <w:rFonts w:ascii="Verdana" w:hAnsi="Verdana" w:cs="Calibri"/>
                <w:b/>
                <w:bCs/>
                <w:color w:val="FFFFFF"/>
                <w:sz w:val="18"/>
                <w:szCs w:val="18"/>
                <w:lang w:val="es-CO" w:eastAsia="es-CO"/>
              </w:rPr>
              <w:t>TOTAL</w:t>
            </w:r>
            <w:proofErr w:type="gramEnd"/>
            <w:r w:rsidRPr="00B412DF">
              <w:rPr>
                <w:rFonts w:ascii="Verdana" w:hAnsi="Verdana" w:cs="Calibri"/>
                <w:b/>
                <w:bCs/>
                <w:color w:val="FFFFFF"/>
                <w:sz w:val="18"/>
                <w:szCs w:val="18"/>
                <w:lang w:val="es-CO" w:eastAsia="es-CO"/>
              </w:rPr>
              <w:t xml:space="preserve"> COMPROMISOS SGP – Educación</w:t>
            </w:r>
          </w:p>
        </w:tc>
        <w:tc>
          <w:tcPr>
            <w:tcW w:w="845" w:type="pct"/>
            <w:tcBorders>
              <w:top w:val="nil"/>
              <w:left w:val="nil"/>
              <w:bottom w:val="single" w:color="auto" w:sz="8" w:space="0"/>
              <w:right w:val="single" w:color="auto" w:sz="4" w:space="0"/>
            </w:tcBorders>
            <w:shd w:val="clear" w:color="000000" w:fill="B48C41"/>
            <w:hideMark/>
          </w:tcPr>
          <w:p w:rsidRPr="00B412DF" w:rsidR="00CE7E95" w:rsidP="00B412DF" w:rsidRDefault="00CE7E95" w14:paraId="2068668C" w14:textId="77777777">
            <w:pPr>
              <w:jc w:val="right"/>
              <w:rPr>
                <w:rFonts w:ascii="Verdana" w:hAnsi="Verdana" w:cs="Calibri"/>
                <w:b/>
                <w:bCs/>
                <w:color w:val="FFFFFF"/>
                <w:sz w:val="18"/>
                <w:szCs w:val="18"/>
                <w:lang w:val="es-CO" w:eastAsia="es-CO"/>
              </w:rPr>
            </w:pPr>
            <w:r w:rsidRPr="00B412DF">
              <w:rPr>
                <w:rFonts w:ascii="Verdana" w:hAnsi="Verdana" w:cs="Calibri"/>
                <w:b/>
                <w:bCs/>
                <w:color w:val="FFFFFF"/>
                <w:sz w:val="18"/>
                <w:szCs w:val="18"/>
                <w:lang w:val="es-CO" w:eastAsia="es-CO"/>
              </w:rPr>
              <w:t>104.479</w:t>
            </w:r>
          </w:p>
        </w:tc>
        <w:tc>
          <w:tcPr>
            <w:tcW w:w="845" w:type="pct"/>
            <w:tcBorders>
              <w:top w:val="nil"/>
              <w:left w:val="nil"/>
              <w:bottom w:val="single" w:color="auto" w:sz="8" w:space="0"/>
              <w:right w:val="single" w:color="auto" w:sz="4" w:space="0"/>
            </w:tcBorders>
            <w:shd w:val="clear" w:color="000000" w:fill="B48C41"/>
            <w:hideMark/>
          </w:tcPr>
          <w:p w:rsidRPr="00B412DF" w:rsidR="00CE7E95" w:rsidP="00B412DF" w:rsidRDefault="00CE7E95" w14:paraId="6032DB5B" w14:textId="77777777">
            <w:pPr>
              <w:jc w:val="right"/>
              <w:rPr>
                <w:rFonts w:ascii="Verdana" w:hAnsi="Verdana" w:cs="Calibri"/>
                <w:b/>
                <w:bCs/>
                <w:color w:val="FFFFFF"/>
                <w:sz w:val="18"/>
                <w:szCs w:val="18"/>
                <w:lang w:val="es-CO" w:eastAsia="es-CO"/>
              </w:rPr>
            </w:pPr>
            <w:r w:rsidRPr="00B412DF">
              <w:rPr>
                <w:rFonts w:ascii="Verdana" w:hAnsi="Verdana" w:cs="Calibri"/>
                <w:b/>
                <w:bCs/>
                <w:color w:val="FFFFFF"/>
                <w:sz w:val="18"/>
                <w:szCs w:val="18"/>
                <w:lang w:val="es-CO" w:eastAsia="es-CO"/>
              </w:rPr>
              <w:t>108.806</w:t>
            </w:r>
          </w:p>
        </w:tc>
        <w:tc>
          <w:tcPr>
            <w:tcW w:w="702" w:type="pct"/>
            <w:tcBorders>
              <w:top w:val="nil"/>
              <w:left w:val="nil"/>
              <w:bottom w:val="single" w:color="auto" w:sz="8" w:space="0"/>
              <w:right w:val="single" w:color="auto" w:sz="8" w:space="0"/>
            </w:tcBorders>
            <w:shd w:val="clear" w:color="000000" w:fill="B48C41"/>
            <w:hideMark/>
          </w:tcPr>
          <w:p w:rsidRPr="00B412DF" w:rsidR="00CE7E95" w:rsidP="00B412DF" w:rsidRDefault="00CE7E95" w14:paraId="1A160B60" w14:textId="77777777">
            <w:pPr>
              <w:jc w:val="right"/>
              <w:rPr>
                <w:rFonts w:ascii="Verdana" w:hAnsi="Verdana" w:cs="Calibri"/>
                <w:b/>
                <w:bCs/>
                <w:color w:val="FFFFFF"/>
                <w:sz w:val="18"/>
                <w:szCs w:val="18"/>
                <w:lang w:val="es-CO" w:eastAsia="es-CO"/>
              </w:rPr>
            </w:pPr>
            <w:r w:rsidRPr="00B412DF">
              <w:rPr>
                <w:rFonts w:ascii="Verdana" w:hAnsi="Verdana" w:cs="Calibri"/>
                <w:b/>
                <w:bCs/>
                <w:color w:val="FFFFFF"/>
                <w:sz w:val="18"/>
                <w:szCs w:val="18"/>
              </w:rPr>
              <w:t xml:space="preserve">120.691 </w:t>
            </w:r>
          </w:p>
        </w:tc>
      </w:tr>
    </w:tbl>
    <w:p w:rsidRPr="00821320" w:rsidR="00CE7E95" w:rsidP="00B412DF" w:rsidRDefault="00CE7E95" w14:paraId="7299CD39" w14:textId="77777777">
      <w:pPr>
        <w:contextualSpacing/>
        <w:jc w:val="center"/>
        <w:rPr>
          <w:rFonts w:ascii="Verdana" w:hAnsi="Verdana"/>
          <w:kern w:val="2"/>
          <w:sz w:val="18"/>
          <w:szCs w:val="18"/>
          <w:lang w:eastAsia="en-US"/>
        </w:rPr>
      </w:pPr>
      <w:r w:rsidRPr="00821320">
        <w:rPr>
          <w:rFonts w:ascii="Verdana" w:hAnsi="Verdana"/>
          <w:sz w:val="18"/>
          <w:szCs w:val="18"/>
        </w:rPr>
        <w:t>Fuente: Ejecuciones presupuestales de gastos financiados con SGP Educación para las vigencias 2021, 2022 y 2023 allegadas por la Entidad.</w:t>
      </w:r>
    </w:p>
    <w:p w:rsidRPr="00821320" w:rsidR="00CE200A" w:rsidP="00B412DF" w:rsidRDefault="00CE200A" w14:paraId="1162F5AD" w14:textId="77777777">
      <w:pPr>
        <w:contextualSpacing/>
        <w:jc w:val="both"/>
        <w:rPr>
          <w:rFonts w:ascii="Verdana" w:hAnsi="Verdana"/>
          <w:sz w:val="22"/>
          <w:szCs w:val="22"/>
        </w:rPr>
      </w:pPr>
    </w:p>
    <w:p w:rsidRPr="00821320" w:rsidR="00CE200A" w:rsidP="00B412DF" w:rsidRDefault="00CE200A" w14:paraId="1C77ABF7" w14:textId="77777777">
      <w:pPr>
        <w:contextualSpacing/>
        <w:jc w:val="both"/>
        <w:rPr>
          <w:rFonts w:ascii="Verdana" w:hAnsi="Verdana"/>
          <w:sz w:val="22"/>
          <w:szCs w:val="22"/>
        </w:rPr>
      </w:pPr>
      <w:r w:rsidRPr="00821320">
        <w:rPr>
          <w:rFonts w:ascii="Verdana" w:hAnsi="Verdana"/>
          <w:sz w:val="22"/>
          <w:szCs w:val="22"/>
        </w:rPr>
        <w:t>Al analizar lo reportado en las Categorías Gastos de Inversión y Gastos de Funcionamiento del FUT para 2021 y el formulario de ejecución de gastos CUIPO para 2022</w:t>
      </w:r>
      <w:r w:rsidRPr="00821320" w:rsidR="00AB51EB">
        <w:rPr>
          <w:rFonts w:ascii="Verdana" w:hAnsi="Verdana"/>
          <w:sz w:val="22"/>
          <w:szCs w:val="22"/>
        </w:rPr>
        <w:t xml:space="preserve"> y 2023</w:t>
      </w:r>
      <w:r w:rsidRPr="00821320">
        <w:rPr>
          <w:rFonts w:ascii="Verdana" w:hAnsi="Verdana"/>
          <w:sz w:val="22"/>
          <w:szCs w:val="22"/>
        </w:rPr>
        <w:t>, se enc</w:t>
      </w:r>
      <w:r w:rsidRPr="00821320" w:rsidR="00F15156">
        <w:rPr>
          <w:rFonts w:ascii="Verdana" w:hAnsi="Verdana"/>
          <w:sz w:val="22"/>
          <w:szCs w:val="22"/>
        </w:rPr>
        <w:t xml:space="preserve">ontró </w:t>
      </w:r>
      <w:r w:rsidRPr="00821320">
        <w:rPr>
          <w:rFonts w:ascii="Verdana" w:hAnsi="Verdana"/>
          <w:sz w:val="22"/>
          <w:szCs w:val="22"/>
        </w:rPr>
        <w:t>que dichos reportes presentan diferencias frente a los compromisos registrados en las ejecuciones presupuestales suministradas por la Entidad. Estas diferencias se observan en los siguientes rubros: </w:t>
      </w:r>
    </w:p>
    <w:p w:rsidRPr="00821320" w:rsidR="00CE200A" w:rsidP="00B412DF" w:rsidRDefault="00CE200A" w14:paraId="360CEC76" w14:textId="77777777">
      <w:pPr>
        <w:contextualSpacing/>
        <w:jc w:val="both"/>
        <w:rPr>
          <w:rFonts w:ascii="Verdana" w:hAnsi="Verdana"/>
          <w:sz w:val="22"/>
          <w:szCs w:val="22"/>
        </w:rPr>
      </w:pPr>
    </w:p>
    <w:p w:rsidRPr="00821320" w:rsidR="00CE200A" w:rsidP="00B412DF" w:rsidRDefault="00151A1B" w14:paraId="28D83A85" w14:textId="77777777">
      <w:pPr>
        <w:pStyle w:val="Prrafodelista"/>
        <w:numPr>
          <w:ilvl w:val="0"/>
          <w:numId w:val="23"/>
        </w:numPr>
        <w:ind w:left="426" w:hanging="426"/>
        <w:jc w:val="both"/>
        <w:rPr>
          <w:rFonts w:ascii="Verdana" w:hAnsi="Verdana"/>
          <w:sz w:val="22"/>
          <w:szCs w:val="22"/>
        </w:rPr>
      </w:pPr>
      <w:r w:rsidRPr="00821320">
        <w:rPr>
          <w:rFonts w:ascii="Verdana" w:hAnsi="Verdana"/>
          <w:sz w:val="22"/>
          <w:szCs w:val="22"/>
        </w:rPr>
        <w:t>En la vigencia 2021 l</w:t>
      </w:r>
      <w:r w:rsidRPr="00821320" w:rsidR="00CE200A">
        <w:rPr>
          <w:rFonts w:ascii="Verdana" w:hAnsi="Verdana"/>
          <w:sz w:val="22"/>
          <w:szCs w:val="22"/>
        </w:rPr>
        <w:t>a Entidad registró en gastos de Personal Administrativo de Instituciones Educativas compromisos totales en la ejecución presupuestal por $2.397 millones, mientras que en el FUT reportó compromisos por $2.542 millones. Es decir, se evidenci</w:t>
      </w:r>
      <w:r w:rsidRPr="00821320" w:rsidR="00563A7E">
        <w:rPr>
          <w:rFonts w:ascii="Verdana" w:hAnsi="Verdana"/>
          <w:sz w:val="22"/>
          <w:szCs w:val="22"/>
        </w:rPr>
        <w:t>ó</w:t>
      </w:r>
      <w:r w:rsidRPr="00821320" w:rsidR="00CE200A">
        <w:rPr>
          <w:rFonts w:ascii="Verdana" w:hAnsi="Verdana"/>
          <w:sz w:val="22"/>
          <w:szCs w:val="22"/>
        </w:rPr>
        <w:t xml:space="preserve"> una diferencia de $145 millones menos frente al reporte. </w:t>
      </w:r>
    </w:p>
    <w:p w:rsidRPr="00821320" w:rsidR="00CE200A" w:rsidP="00B412DF" w:rsidRDefault="00CE200A" w14:paraId="0A49B705" w14:textId="77777777">
      <w:pPr>
        <w:pStyle w:val="Prrafodelista"/>
        <w:numPr>
          <w:ilvl w:val="0"/>
          <w:numId w:val="23"/>
        </w:numPr>
        <w:ind w:left="426" w:hanging="426"/>
        <w:jc w:val="both"/>
        <w:rPr>
          <w:rFonts w:ascii="Verdana" w:hAnsi="Verdana"/>
          <w:sz w:val="22"/>
          <w:szCs w:val="22"/>
        </w:rPr>
      </w:pPr>
      <w:r w:rsidRPr="00821320">
        <w:rPr>
          <w:rFonts w:ascii="Verdana" w:hAnsi="Verdana"/>
          <w:sz w:val="22"/>
          <w:szCs w:val="22"/>
        </w:rPr>
        <w:t xml:space="preserve">De igual manera, </w:t>
      </w:r>
      <w:r w:rsidRPr="00821320" w:rsidR="00151A1B">
        <w:rPr>
          <w:rFonts w:ascii="Verdana" w:hAnsi="Verdana"/>
          <w:sz w:val="22"/>
          <w:szCs w:val="22"/>
        </w:rPr>
        <w:t xml:space="preserve">en 2021 </w:t>
      </w:r>
      <w:r w:rsidRPr="00821320">
        <w:rPr>
          <w:rFonts w:ascii="Verdana" w:hAnsi="Verdana"/>
          <w:sz w:val="22"/>
          <w:szCs w:val="22"/>
        </w:rPr>
        <w:t xml:space="preserve">registró en gastos de Personal Administrativo de la </w:t>
      </w:r>
      <w:r w:rsidRPr="00821320" w:rsidR="00B0369A">
        <w:rPr>
          <w:rFonts w:ascii="Verdana" w:hAnsi="Verdana"/>
          <w:sz w:val="22"/>
          <w:szCs w:val="22"/>
        </w:rPr>
        <w:t>secretar</w:t>
      </w:r>
      <w:r w:rsidRPr="00821320" w:rsidR="00F15156">
        <w:rPr>
          <w:rFonts w:ascii="Verdana" w:hAnsi="Verdana"/>
          <w:sz w:val="22"/>
          <w:szCs w:val="22"/>
        </w:rPr>
        <w:t>í</w:t>
      </w:r>
      <w:r w:rsidRPr="00821320" w:rsidR="00B0369A">
        <w:rPr>
          <w:rFonts w:ascii="Verdana" w:hAnsi="Verdana"/>
          <w:sz w:val="22"/>
          <w:szCs w:val="22"/>
        </w:rPr>
        <w:t>a</w:t>
      </w:r>
      <w:r w:rsidRPr="00821320">
        <w:rPr>
          <w:rFonts w:ascii="Verdana" w:hAnsi="Verdana"/>
          <w:sz w:val="22"/>
          <w:szCs w:val="22"/>
        </w:rPr>
        <w:t xml:space="preserve"> de educación compromisos totales en la ejecución presupuestal por $1.282 millones, mientras que en el FUT reportó compromisos por $1.137 millones. Es decir, se evidenci</w:t>
      </w:r>
      <w:r w:rsidRPr="00821320" w:rsidR="00563A7E">
        <w:rPr>
          <w:rFonts w:ascii="Verdana" w:hAnsi="Verdana"/>
          <w:sz w:val="22"/>
          <w:szCs w:val="22"/>
        </w:rPr>
        <w:t>ó</w:t>
      </w:r>
      <w:r w:rsidRPr="00821320">
        <w:rPr>
          <w:rFonts w:ascii="Verdana" w:hAnsi="Verdana"/>
          <w:sz w:val="22"/>
          <w:szCs w:val="22"/>
        </w:rPr>
        <w:t xml:space="preserve"> una diferencia de $145 millones más frente al reporte. </w:t>
      </w:r>
    </w:p>
    <w:p w:rsidRPr="00821320" w:rsidR="00CE200A" w:rsidP="00B412DF" w:rsidRDefault="00563A7E" w14:paraId="48FEDEDB" w14:textId="77777777">
      <w:pPr>
        <w:ind w:left="426"/>
        <w:jc w:val="both"/>
        <w:rPr>
          <w:rFonts w:ascii="Verdana" w:hAnsi="Verdana"/>
          <w:sz w:val="22"/>
          <w:szCs w:val="22"/>
        </w:rPr>
      </w:pPr>
      <w:r w:rsidRPr="00821320">
        <w:rPr>
          <w:rFonts w:ascii="Verdana" w:hAnsi="Verdana"/>
          <w:sz w:val="22"/>
          <w:szCs w:val="22"/>
        </w:rPr>
        <w:t>Al respecto, s</w:t>
      </w:r>
      <w:r w:rsidRPr="00821320" w:rsidR="00CE200A">
        <w:rPr>
          <w:rFonts w:ascii="Verdana" w:hAnsi="Verdana"/>
          <w:sz w:val="22"/>
          <w:szCs w:val="22"/>
        </w:rPr>
        <w:t xml:space="preserve">e identificó que </w:t>
      </w:r>
      <w:r w:rsidRPr="00821320">
        <w:rPr>
          <w:rFonts w:ascii="Verdana" w:hAnsi="Verdana"/>
          <w:sz w:val="22"/>
          <w:szCs w:val="22"/>
        </w:rPr>
        <w:t xml:space="preserve">esta </w:t>
      </w:r>
      <w:r w:rsidRPr="00821320" w:rsidR="00CE200A">
        <w:rPr>
          <w:rFonts w:ascii="Verdana" w:hAnsi="Verdana"/>
          <w:sz w:val="22"/>
          <w:szCs w:val="22"/>
        </w:rPr>
        <w:t xml:space="preserve">diferencia se debe a que la Entidad reportó el pago de </w:t>
      </w:r>
      <w:r w:rsidRPr="00821320">
        <w:rPr>
          <w:rFonts w:ascii="Verdana" w:hAnsi="Verdana"/>
          <w:sz w:val="22"/>
          <w:szCs w:val="22"/>
        </w:rPr>
        <w:t xml:space="preserve">la totalidad de la </w:t>
      </w:r>
      <w:r w:rsidRPr="00821320" w:rsidR="00CE200A">
        <w:rPr>
          <w:rFonts w:ascii="Verdana" w:hAnsi="Verdana"/>
          <w:sz w:val="22"/>
          <w:szCs w:val="22"/>
        </w:rPr>
        <w:t xml:space="preserve">prima técnica como gastos de Personal Administrativo de Instituciones Educativas, sin embargo, </w:t>
      </w:r>
      <w:r w:rsidRPr="00821320">
        <w:rPr>
          <w:rFonts w:ascii="Verdana" w:hAnsi="Verdana"/>
          <w:sz w:val="22"/>
          <w:szCs w:val="22"/>
        </w:rPr>
        <w:t xml:space="preserve">los $145 millones </w:t>
      </w:r>
      <w:r w:rsidRPr="00821320">
        <w:rPr>
          <w:rFonts w:ascii="Verdana" w:hAnsi="Verdana"/>
          <w:sz w:val="22"/>
          <w:szCs w:val="22"/>
        </w:rPr>
        <w:lastRenderedPageBreak/>
        <w:t xml:space="preserve">de diferencia corresponden </w:t>
      </w:r>
      <w:r w:rsidRPr="00821320" w:rsidR="00CE200A">
        <w:rPr>
          <w:rFonts w:ascii="Verdana" w:hAnsi="Verdana"/>
          <w:sz w:val="22"/>
          <w:szCs w:val="22"/>
        </w:rPr>
        <w:t>al personal administrativo de la secretar</w:t>
      </w:r>
      <w:r w:rsidRPr="00821320">
        <w:rPr>
          <w:rFonts w:ascii="Verdana" w:hAnsi="Verdana"/>
          <w:sz w:val="22"/>
          <w:szCs w:val="22"/>
        </w:rPr>
        <w:t>í</w:t>
      </w:r>
      <w:r w:rsidRPr="00821320" w:rsidR="00CE200A">
        <w:rPr>
          <w:rFonts w:ascii="Verdana" w:hAnsi="Verdana"/>
          <w:sz w:val="22"/>
          <w:szCs w:val="22"/>
        </w:rPr>
        <w:t>a de Educación.</w:t>
      </w:r>
      <w:r w:rsidRPr="00821320" w:rsidR="00B0369A">
        <w:rPr>
          <w:rFonts w:ascii="Verdana" w:hAnsi="Verdana"/>
          <w:sz w:val="22"/>
          <w:szCs w:val="22"/>
        </w:rPr>
        <w:t xml:space="preserve"> </w:t>
      </w:r>
    </w:p>
    <w:p w:rsidRPr="00821320" w:rsidR="00CE200A" w:rsidP="00B412DF" w:rsidRDefault="00CE200A" w14:paraId="74B85F8E" w14:textId="77777777">
      <w:pPr>
        <w:pStyle w:val="Prrafodelista"/>
        <w:numPr>
          <w:ilvl w:val="0"/>
          <w:numId w:val="23"/>
        </w:numPr>
        <w:ind w:left="426" w:hanging="426"/>
        <w:jc w:val="both"/>
        <w:rPr>
          <w:rFonts w:ascii="Verdana" w:hAnsi="Verdana"/>
          <w:sz w:val="22"/>
          <w:szCs w:val="22"/>
        </w:rPr>
      </w:pPr>
      <w:r w:rsidRPr="00821320">
        <w:rPr>
          <w:rFonts w:ascii="Verdana" w:hAnsi="Verdana"/>
          <w:sz w:val="22"/>
          <w:szCs w:val="22"/>
        </w:rPr>
        <w:t>En relación con los compromisos asociados a los aportes patronales del Personal Administrativo de Instituciones Educativas, el Municipio registró en la ejecución presupuestal gastos por $795 millones, mientras que en el FUT reportó $807 millones, es decir, se evidenci</w:t>
      </w:r>
      <w:r w:rsidRPr="00821320" w:rsidR="00563A7E">
        <w:rPr>
          <w:rFonts w:ascii="Verdana" w:hAnsi="Verdana"/>
          <w:sz w:val="22"/>
          <w:szCs w:val="22"/>
        </w:rPr>
        <w:t>ó</w:t>
      </w:r>
      <w:r w:rsidRPr="00821320">
        <w:rPr>
          <w:rFonts w:ascii="Verdana" w:hAnsi="Verdana"/>
          <w:sz w:val="22"/>
          <w:szCs w:val="22"/>
        </w:rPr>
        <w:t xml:space="preserve"> una diferencia de $12 millones menos frente al reporte.</w:t>
      </w:r>
      <w:r w:rsidRPr="00821320" w:rsidR="00151A1B">
        <w:rPr>
          <w:rFonts w:ascii="Verdana" w:hAnsi="Verdana"/>
          <w:sz w:val="22"/>
          <w:szCs w:val="22"/>
        </w:rPr>
        <w:t xml:space="preserve"> </w:t>
      </w:r>
    </w:p>
    <w:p w:rsidRPr="00821320" w:rsidR="00CE200A" w:rsidP="00B412DF" w:rsidRDefault="00151A1B" w14:paraId="6036CF48" w14:textId="77777777">
      <w:pPr>
        <w:pStyle w:val="Prrafodelista"/>
        <w:numPr>
          <w:ilvl w:val="0"/>
          <w:numId w:val="23"/>
        </w:numPr>
        <w:ind w:left="426" w:hanging="426"/>
        <w:jc w:val="both"/>
        <w:rPr>
          <w:rFonts w:ascii="Verdana" w:hAnsi="Verdana"/>
          <w:sz w:val="22"/>
          <w:szCs w:val="22"/>
        </w:rPr>
      </w:pPr>
      <w:r w:rsidRPr="00821320">
        <w:rPr>
          <w:rFonts w:ascii="Verdana" w:hAnsi="Verdana"/>
          <w:sz w:val="22"/>
          <w:szCs w:val="22"/>
        </w:rPr>
        <w:t>En la vigencia 2022 l</w:t>
      </w:r>
      <w:r w:rsidRPr="00821320" w:rsidR="00CE200A">
        <w:rPr>
          <w:rFonts w:ascii="Verdana" w:hAnsi="Verdana"/>
          <w:sz w:val="22"/>
          <w:szCs w:val="22"/>
        </w:rPr>
        <w:t>a Entidad registró en gastos de Personal Administrativo de Instituciones Educativas compromisos totales en la ejecución presupuestal por $2.850 millones, mientras que en el FUT reportó compromisos por $4.144 millones. Es decir, se evidenci</w:t>
      </w:r>
      <w:r w:rsidRPr="00821320" w:rsidR="00563A7E">
        <w:rPr>
          <w:rFonts w:ascii="Verdana" w:hAnsi="Verdana"/>
          <w:sz w:val="22"/>
          <w:szCs w:val="22"/>
        </w:rPr>
        <w:t>ó</w:t>
      </w:r>
      <w:r w:rsidRPr="00821320" w:rsidR="00CE200A">
        <w:rPr>
          <w:rFonts w:ascii="Verdana" w:hAnsi="Verdana"/>
          <w:sz w:val="22"/>
          <w:szCs w:val="22"/>
        </w:rPr>
        <w:t xml:space="preserve"> una diferencia de $1.294 millones menos frente al reporte. </w:t>
      </w:r>
    </w:p>
    <w:p w:rsidRPr="00821320" w:rsidR="00CE200A" w:rsidP="00B412DF" w:rsidRDefault="00CE200A" w14:paraId="31BAF15F" w14:textId="77777777">
      <w:pPr>
        <w:pStyle w:val="Prrafodelista"/>
        <w:numPr>
          <w:ilvl w:val="0"/>
          <w:numId w:val="23"/>
        </w:numPr>
        <w:ind w:left="426" w:hanging="426"/>
        <w:jc w:val="both"/>
        <w:rPr>
          <w:rFonts w:ascii="Verdana" w:hAnsi="Verdana"/>
          <w:sz w:val="22"/>
          <w:szCs w:val="22"/>
        </w:rPr>
      </w:pPr>
      <w:r w:rsidRPr="00821320">
        <w:rPr>
          <w:rFonts w:ascii="Verdana" w:hAnsi="Verdana"/>
          <w:sz w:val="22"/>
          <w:szCs w:val="22"/>
        </w:rPr>
        <w:t>El Municipio no report</w:t>
      </w:r>
      <w:r w:rsidRPr="00821320" w:rsidR="00563A7E">
        <w:rPr>
          <w:rFonts w:ascii="Verdana" w:hAnsi="Verdana"/>
          <w:sz w:val="22"/>
          <w:szCs w:val="22"/>
        </w:rPr>
        <w:t>ó</w:t>
      </w:r>
      <w:r w:rsidRPr="00821320">
        <w:rPr>
          <w:rFonts w:ascii="Verdana" w:hAnsi="Verdana"/>
          <w:sz w:val="22"/>
          <w:szCs w:val="22"/>
        </w:rPr>
        <w:t xml:space="preserve"> </w:t>
      </w:r>
      <w:r w:rsidRPr="00821320" w:rsidR="00563A7E">
        <w:rPr>
          <w:rFonts w:ascii="Verdana" w:hAnsi="Verdana"/>
          <w:sz w:val="22"/>
          <w:szCs w:val="22"/>
        </w:rPr>
        <w:t xml:space="preserve">en </w:t>
      </w:r>
      <w:r w:rsidRPr="00821320">
        <w:rPr>
          <w:rFonts w:ascii="Verdana" w:hAnsi="Verdana"/>
          <w:sz w:val="22"/>
          <w:szCs w:val="22"/>
        </w:rPr>
        <w:t xml:space="preserve">CUIPO compromisos asociados al Personal Administrativo </w:t>
      </w:r>
      <w:r w:rsidRPr="00821320" w:rsidR="00563A7E">
        <w:rPr>
          <w:rFonts w:ascii="Verdana" w:hAnsi="Verdana"/>
          <w:sz w:val="22"/>
          <w:szCs w:val="22"/>
        </w:rPr>
        <w:t xml:space="preserve">de la </w:t>
      </w:r>
      <w:r w:rsidRPr="00821320">
        <w:rPr>
          <w:rFonts w:ascii="Verdana" w:hAnsi="Verdana"/>
          <w:sz w:val="22"/>
          <w:szCs w:val="22"/>
        </w:rPr>
        <w:t>Secretaría de Educación y en la ejecución presupuestal registr</w:t>
      </w:r>
      <w:r w:rsidRPr="00821320" w:rsidR="00563A7E">
        <w:rPr>
          <w:rFonts w:ascii="Verdana" w:hAnsi="Verdana"/>
          <w:sz w:val="22"/>
          <w:szCs w:val="22"/>
        </w:rPr>
        <w:t>ó</w:t>
      </w:r>
      <w:r w:rsidRPr="00821320">
        <w:rPr>
          <w:rFonts w:ascii="Verdana" w:hAnsi="Verdana"/>
          <w:sz w:val="22"/>
          <w:szCs w:val="22"/>
        </w:rPr>
        <w:t xml:space="preserve"> $1.294 millones. </w:t>
      </w:r>
    </w:p>
    <w:p w:rsidRPr="00821320" w:rsidR="00CE200A" w:rsidP="00B412DF" w:rsidRDefault="00563A7E" w14:paraId="6BCA98C9" w14:textId="77777777">
      <w:pPr>
        <w:pStyle w:val="Prrafodelista"/>
        <w:numPr>
          <w:ilvl w:val="0"/>
          <w:numId w:val="23"/>
        </w:numPr>
        <w:ind w:left="426" w:hanging="426"/>
        <w:jc w:val="both"/>
        <w:rPr>
          <w:rFonts w:ascii="Verdana" w:hAnsi="Verdana"/>
          <w:sz w:val="22"/>
          <w:szCs w:val="22"/>
        </w:rPr>
      </w:pPr>
      <w:r w:rsidRPr="00821320">
        <w:rPr>
          <w:rFonts w:ascii="Verdana" w:hAnsi="Verdana"/>
          <w:sz w:val="22"/>
          <w:szCs w:val="22"/>
        </w:rPr>
        <w:t xml:space="preserve">En </w:t>
      </w:r>
      <w:r w:rsidRPr="00821320" w:rsidR="00CE200A">
        <w:rPr>
          <w:rFonts w:ascii="Verdana" w:hAnsi="Verdana"/>
          <w:sz w:val="22"/>
          <w:szCs w:val="22"/>
        </w:rPr>
        <w:t xml:space="preserve">relación </w:t>
      </w:r>
      <w:r w:rsidRPr="00821320">
        <w:rPr>
          <w:rFonts w:ascii="Verdana" w:hAnsi="Verdana"/>
          <w:sz w:val="22"/>
          <w:szCs w:val="22"/>
        </w:rPr>
        <w:t xml:space="preserve">con </w:t>
      </w:r>
      <w:r w:rsidRPr="00821320" w:rsidR="00CE200A">
        <w:rPr>
          <w:rFonts w:ascii="Verdana" w:hAnsi="Verdana"/>
          <w:sz w:val="22"/>
          <w:szCs w:val="22"/>
        </w:rPr>
        <w:t>los aportes patronales del Personal Administrativo de Instituciones Educativas</w:t>
      </w:r>
      <w:r w:rsidRPr="00821320">
        <w:rPr>
          <w:rFonts w:ascii="Verdana" w:hAnsi="Verdana"/>
          <w:sz w:val="22"/>
          <w:szCs w:val="22"/>
        </w:rPr>
        <w:t>,</w:t>
      </w:r>
      <w:r w:rsidRPr="00821320" w:rsidR="00CE200A">
        <w:rPr>
          <w:rFonts w:ascii="Verdana" w:hAnsi="Verdana"/>
          <w:sz w:val="22"/>
          <w:szCs w:val="22"/>
        </w:rPr>
        <w:t xml:space="preserve"> en la ejecución se registraron compromisos por $978 millones y </w:t>
      </w:r>
      <w:r w:rsidRPr="00821320">
        <w:rPr>
          <w:rFonts w:ascii="Verdana" w:hAnsi="Verdana"/>
          <w:sz w:val="22"/>
          <w:szCs w:val="22"/>
        </w:rPr>
        <w:t xml:space="preserve">en </w:t>
      </w:r>
      <w:r w:rsidRPr="00821320" w:rsidR="00CE200A">
        <w:rPr>
          <w:rFonts w:ascii="Verdana" w:hAnsi="Verdana"/>
          <w:sz w:val="22"/>
          <w:szCs w:val="22"/>
        </w:rPr>
        <w:t>CUIPO se reportaron $1.399 millones. Por lo tanto, se evidenci</w:t>
      </w:r>
      <w:r w:rsidRPr="00821320">
        <w:rPr>
          <w:rFonts w:ascii="Verdana" w:hAnsi="Verdana"/>
          <w:sz w:val="22"/>
          <w:szCs w:val="22"/>
        </w:rPr>
        <w:t>ó</w:t>
      </w:r>
      <w:r w:rsidRPr="00821320" w:rsidR="00CE200A">
        <w:rPr>
          <w:rFonts w:ascii="Verdana" w:hAnsi="Verdana"/>
          <w:sz w:val="22"/>
          <w:szCs w:val="22"/>
        </w:rPr>
        <w:t xml:space="preserve"> una diferencia de $421 millones menos frente al reporte. </w:t>
      </w:r>
    </w:p>
    <w:p w:rsidRPr="00821320" w:rsidR="00AB51EB" w:rsidP="00B412DF" w:rsidRDefault="00AB51EB" w14:paraId="5654379A" w14:textId="77777777">
      <w:pPr>
        <w:pStyle w:val="Prrafodelista"/>
        <w:numPr>
          <w:ilvl w:val="0"/>
          <w:numId w:val="23"/>
        </w:numPr>
        <w:ind w:left="426" w:hanging="426"/>
        <w:jc w:val="both"/>
        <w:rPr>
          <w:rFonts w:ascii="Verdana" w:hAnsi="Verdana"/>
          <w:sz w:val="22"/>
          <w:szCs w:val="22"/>
        </w:rPr>
      </w:pPr>
      <w:r w:rsidRPr="00821320">
        <w:rPr>
          <w:rFonts w:ascii="Verdana" w:hAnsi="Verdana"/>
          <w:sz w:val="22"/>
          <w:szCs w:val="22"/>
        </w:rPr>
        <w:t>En adición</w:t>
      </w:r>
      <w:r w:rsidRPr="00821320" w:rsidR="00CE200A">
        <w:rPr>
          <w:rFonts w:ascii="Verdana" w:hAnsi="Verdana"/>
          <w:sz w:val="22"/>
          <w:szCs w:val="22"/>
        </w:rPr>
        <w:t xml:space="preserve">, en la ejecución presupuestal se registran compromisos totales por $421 millones asociados a los aportes patronales del Personal Administrativo </w:t>
      </w:r>
      <w:r w:rsidRPr="00821320" w:rsidR="00563A7E">
        <w:rPr>
          <w:rFonts w:ascii="Verdana" w:hAnsi="Verdana"/>
          <w:sz w:val="22"/>
          <w:szCs w:val="22"/>
        </w:rPr>
        <w:t xml:space="preserve">de la </w:t>
      </w:r>
      <w:r w:rsidRPr="00821320" w:rsidR="00CE200A">
        <w:rPr>
          <w:rFonts w:ascii="Verdana" w:hAnsi="Verdana"/>
          <w:sz w:val="22"/>
          <w:szCs w:val="22"/>
        </w:rPr>
        <w:t>Secretaría de Educación, sin embargo, en el reporte</w:t>
      </w:r>
      <w:r w:rsidRPr="00821320" w:rsidR="00CE200A">
        <w:rPr>
          <w:rFonts w:ascii="Verdana" w:hAnsi="Verdana" w:eastAsia="Times New Roman" w:cs="Calibri"/>
          <w:color w:val="000000"/>
          <w:sz w:val="22"/>
          <w:szCs w:val="22"/>
          <w:lang w:eastAsia="es-CO"/>
        </w:rPr>
        <w:t xml:space="preserve"> al CUIPO no se registran compromisos.</w:t>
      </w:r>
    </w:p>
    <w:p w:rsidR="00162618" w:rsidP="00B412DF" w:rsidRDefault="00162618" w14:paraId="77E5EE07" w14:textId="77777777">
      <w:pPr>
        <w:jc w:val="both"/>
        <w:rPr>
          <w:rFonts w:ascii="Verdana" w:hAnsi="Verdana"/>
          <w:sz w:val="22"/>
          <w:szCs w:val="22"/>
        </w:rPr>
      </w:pPr>
    </w:p>
    <w:p w:rsidR="00CE200A" w:rsidP="00B412DF" w:rsidRDefault="00AB51EB" w14:paraId="4AE96FA3" w14:textId="77777777">
      <w:pPr>
        <w:contextualSpacing/>
        <w:jc w:val="both"/>
        <w:rPr>
          <w:rFonts w:ascii="Verdana" w:hAnsi="Verdana"/>
          <w:sz w:val="22"/>
          <w:szCs w:val="22"/>
        </w:rPr>
      </w:pPr>
      <w:r w:rsidRPr="00162618">
        <w:rPr>
          <w:rFonts w:ascii="Verdana" w:hAnsi="Verdana"/>
          <w:sz w:val="22"/>
          <w:szCs w:val="22"/>
        </w:rPr>
        <w:t xml:space="preserve">Nuevamente, se identificó que las diferencias </w:t>
      </w:r>
      <w:r w:rsidRPr="00162618" w:rsidR="00355945">
        <w:rPr>
          <w:rFonts w:ascii="Verdana" w:hAnsi="Verdana"/>
          <w:sz w:val="22"/>
          <w:szCs w:val="22"/>
        </w:rPr>
        <w:t xml:space="preserve">descritas </w:t>
      </w:r>
      <w:r w:rsidRPr="00162618">
        <w:rPr>
          <w:rFonts w:ascii="Verdana" w:hAnsi="Verdana"/>
          <w:sz w:val="22"/>
          <w:szCs w:val="22"/>
        </w:rPr>
        <w:t xml:space="preserve">se generaron porque la Entidad reportó los compromisos asociados al </w:t>
      </w:r>
      <w:r w:rsidRPr="00162618">
        <w:rPr>
          <w:rFonts w:ascii="Verdana" w:hAnsi="Verdana" w:eastAsia="Times New Roman" w:cs="Calibri"/>
          <w:color w:val="000000"/>
          <w:sz w:val="22"/>
          <w:szCs w:val="22"/>
          <w:lang w:eastAsia="es-CO"/>
        </w:rPr>
        <w:t>Personal Administrativo de la Secretaría de Educación en la sección de gastos de inversión y no en la sección de gastos de funcionamiento.</w:t>
      </w:r>
      <w:r w:rsidR="00162618">
        <w:rPr>
          <w:rFonts w:ascii="Verdana" w:hAnsi="Verdana" w:eastAsia="Times New Roman" w:cs="Calibri"/>
          <w:color w:val="000000"/>
          <w:sz w:val="22"/>
          <w:szCs w:val="22"/>
          <w:lang w:eastAsia="es-CO"/>
        </w:rPr>
        <w:t xml:space="preserve"> Ahora bien, las diferencias identificadas en el reporte CUIPO de la vigencia 2023 se detallan en el E</w:t>
      </w:r>
      <w:r w:rsidR="00B412DF">
        <w:rPr>
          <w:rFonts w:ascii="Verdana" w:hAnsi="Verdana" w:eastAsia="Times New Roman" w:cs="Calibri"/>
          <w:color w:val="000000"/>
          <w:sz w:val="22"/>
          <w:szCs w:val="22"/>
          <w:lang w:eastAsia="es-CO"/>
        </w:rPr>
        <w:t xml:space="preserve">vento de </w:t>
      </w:r>
      <w:r w:rsidR="00162618">
        <w:rPr>
          <w:rFonts w:ascii="Verdana" w:hAnsi="Verdana" w:eastAsia="Times New Roman" w:cs="Calibri"/>
          <w:color w:val="000000"/>
          <w:sz w:val="22"/>
          <w:szCs w:val="22"/>
          <w:lang w:eastAsia="es-CO"/>
        </w:rPr>
        <w:t>R</w:t>
      </w:r>
      <w:r w:rsidR="00B412DF">
        <w:rPr>
          <w:rFonts w:ascii="Verdana" w:hAnsi="Verdana" w:eastAsia="Times New Roman" w:cs="Calibri"/>
          <w:color w:val="000000"/>
          <w:sz w:val="22"/>
          <w:szCs w:val="22"/>
          <w:lang w:eastAsia="es-CO"/>
        </w:rPr>
        <w:t>iesgo</w:t>
      </w:r>
      <w:r w:rsidR="00162618">
        <w:rPr>
          <w:rFonts w:ascii="Verdana" w:hAnsi="Verdana" w:eastAsia="Times New Roman" w:cs="Calibri"/>
          <w:color w:val="000000"/>
          <w:sz w:val="22"/>
          <w:szCs w:val="22"/>
          <w:lang w:eastAsia="es-CO"/>
        </w:rPr>
        <w:t xml:space="preserve"> 9.1. </w:t>
      </w:r>
    </w:p>
    <w:p w:rsidRPr="00821320" w:rsidR="00162618" w:rsidP="00B412DF" w:rsidRDefault="00162618" w14:paraId="786CAC09" w14:textId="77777777">
      <w:pPr>
        <w:contextualSpacing/>
        <w:jc w:val="both"/>
        <w:rPr>
          <w:rFonts w:ascii="Verdana" w:hAnsi="Verdana"/>
          <w:sz w:val="22"/>
          <w:szCs w:val="22"/>
        </w:rPr>
      </w:pPr>
    </w:p>
    <w:p w:rsidRPr="00821320" w:rsidR="00CE200A" w:rsidP="00B412DF" w:rsidRDefault="00CE200A" w14:paraId="7C10BDB7" w14:textId="77777777">
      <w:pPr>
        <w:contextualSpacing/>
        <w:jc w:val="both"/>
        <w:rPr>
          <w:rFonts w:ascii="Verdana" w:hAnsi="Verdana"/>
          <w:sz w:val="22"/>
          <w:szCs w:val="22"/>
        </w:rPr>
      </w:pPr>
      <w:r w:rsidRPr="00821320">
        <w:rPr>
          <w:rFonts w:ascii="Verdana" w:hAnsi="Verdana"/>
          <w:sz w:val="22"/>
          <w:szCs w:val="22"/>
        </w:rPr>
        <w:t>Por su parte, en torno al cumplimiento por la Administración Municipal del límite de gastos administrativos para las vigencias 2021</w:t>
      </w:r>
      <w:r w:rsidRPr="00821320" w:rsidR="00AB51EB">
        <w:rPr>
          <w:rFonts w:ascii="Verdana" w:hAnsi="Verdana"/>
          <w:sz w:val="22"/>
          <w:szCs w:val="22"/>
        </w:rPr>
        <w:t>,</w:t>
      </w:r>
      <w:r w:rsidRPr="00821320">
        <w:rPr>
          <w:rFonts w:ascii="Verdana" w:hAnsi="Verdana"/>
          <w:sz w:val="22"/>
          <w:szCs w:val="22"/>
        </w:rPr>
        <w:t xml:space="preserve"> 2022</w:t>
      </w:r>
      <w:r w:rsidRPr="00821320" w:rsidR="00AB51EB">
        <w:rPr>
          <w:rFonts w:ascii="Verdana" w:hAnsi="Verdana"/>
          <w:sz w:val="22"/>
          <w:szCs w:val="22"/>
        </w:rPr>
        <w:t xml:space="preserve"> y 2023</w:t>
      </w:r>
      <w:r w:rsidRPr="00821320">
        <w:rPr>
          <w:rFonts w:ascii="Verdana" w:hAnsi="Verdana"/>
          <w:sz w:val="22"/>
          <w:szCs w:val="22"/>
        </w:rPr>
        <w:t>, el Municipio presentó durante la vigencia 2022 un exceso de gasto administrativo por $220 millones con respecto al límite autorizado por el documento de distribución DD_SGP-71-2022, como se identifica en la siguiente tabla: </w:t>
      </w:r>
    </w:p>
    <w:p w:rsidRPr="00821320" w:rsidR="00AB51EB" w:rsidP="00B412DF" w:rsidRDefault="00CE200A" w14:paraId="294B1DC7" w14:textId="77777777">
      <w:pPr>
        <w:contextualSpacing/>
        <w:jc w:val="both"/>
        <w:rPr>
          <w:rFonts w:ascii="Verdana" w:hAnsi="Verdana"/>
          <w:sz w:val="22"/>
          <w:szCs w:val="22"/>
        </w:rPr>
      </w:pPr>
      <w:r w:rsidRPr="00821320">
        <w:rPr>
          <w:rFonts w:ascii="Verdana" w:hAnsi="Verdana"/>
          <w:sz w:val="22"/>
          <w:szCs w:val="22"/>
        </w:rPr>
        <w:t> </w:t>
      </w:r>
    </w:p>
    <w:tbl>
      <w:tblPr>
        <w:tblW w:w="8041" w:type="dxa"/>
        <w:jc w:val="center"/>
        <w:tblCellMar>
          <w:left w:w="70" w:type="dxa"/>
          <w:right w:w="70" w:type="dxa"/>
        </w:tblCellMar>
        <w:tblLook w:val="04A0" w:firstRow="1" w:lastRow="0" w:firstColumn="1" w:lastColumn="0" w:noHBand="0" w:noVBand="1"/>
      </w:tblPr>
      <w:tblGrid>
        <w:gridCol w:w="2277"/>
        <w:gridCol w:w="2006"/>
        <w:gridCol w:w="1765"/>
        <w:gridCol w:w="1993"/>
      </w:tblGrid>
      <w:tr w:rsidRPr="00821320" w:rsidR="00F67ADD" w:rsidTr="004B0C5C" w14:paraId="4F135256" w14:textId="77777777">
        <w:trPr>
          <w:trHeight w:val="23"/>
          <w:jc w:val="center"/>
        </w:trPr>
        <w:tc>
          <w:tcPr>
            <w:tcW w:w="8041" w:type="dxa"/>
            <w:gridSpan w:val="4"/>
            <w:tcBorders>
              <w:top w:val="single" w:color="auto" w:sz="8" w:space="0"/>
              <w:left w:val="single" w:color="auto" w:sz="8" w:space="0"/>
              <w:bottom w:val="single" w:color="auto" w:sz="8" w:space="0"/>
              <w:right w:val="single" w:color="000000" w:sz="8" w:space="0"/>
            </w:tcBorders>
            <w:shd w:val="clear" w:color="000000" w:fill="B48C41"/>
            <w:vAlign w:val="center"/>
            <w:hideMark/>
          </w:tcPr>
          <w:p w:rsidRPr="00821320" w:rsidR="00F67ADD" w:rsidP="00B412DF" w:rsidRDefault="00F67ADD" w14:paraId="41C21E5B" w14:textId="77777777">
            <w:pPr>
              <w:jc w:val="center"/>
              <w:rPr>
                <w:rFonts w:ascii="Verdana" w:hAnsi="Verdana" w:cs="Calibri"/>
                <w:b/>
                <w:bCs/>
                <w:color w:val="FFFFFF"/>
                <w:sz w:val="18"/>
                <w:szCs w:val="18"/>
                <w:lang w:val="es-CO" w:eastAsia="es-CO"/>
              </w:rPr>
            </w:pPr>
            <w:r w:rsidRPr="00821320">
              <w:rPr>
                <w:rFonts w:ascii="Verdana" w:hAnsi="Verdana" w:cs="Calibri"/>
                <w:b/>
                <w:bCs/>
                <w:color w:val="FFFFFF"/>
                <w:sz w:val="18"/>
                <w:szCs w:val="18"/>
                <w:lang w:eastAsia="es-CO"/>
              </w:rPr>
              <w:t>TABLA 3. GASTOS ADMINISTRATIVOS</w:t>
            </w:r>
          </w:p>
        </w:tc>
      </w:tr>
      <w:tr w:rsidRPr="00821320" w:rsidR="00F67ADD" w:rsidTr="004B0C5C" w14:paraId="50E1979F" w14:textId="77777777">
        <w:trPr>
          <w:trHeight w:val="23"/>
          <w:jc w:val="center"/>
        </w:trPr>
        <w:tc>
          <w:tcPr>
            <w:tcW w:w="8041" w:type="dxa"/>
            <w:gridSpan w:val="4"/>
            <w:tcBorders>
              <w:top w:val="single" w:color="auto" w:sz="8" w:space="0"/>
              <w:left w:val="single" w:color="auto" w:sz="8" w:space="0"/>
              <w:bottom w:val="single" w:color="auto" w:sz="8" w:space="0"/>
              <w:right w:val="single" w:color="000000" w:sz="8" w:space="0"/>
            </w:tcBorders>
            <w:shd w:val="clear" w:color="000000" w:fill="B48C41"/>
            <w:vAlign w:val="center"/>
            <w:hideMark/>
          </w:tcPr>
          <w:p w:rsidRPr="00821320" w:rsidR="00F67ADD" w:rsidP="00B412DF" w:rsidRDefault="00F67ADD" w14:paraId="334A9FCF" w14:textId="77777777">
            <w:pPr>
              <w:jc w:val="center"/>
              <w:rPr>
                <w:rFonts w:ascii="Verdana" w:hAnsi="Verdana" w:cs="Calibri"/>
                <w:b/>
                <w:bCs/>
                <w:color w:val="FFFFFF"/>
                <w:sz w:val="18"/>
                <w:szCs w:val="18"/>
                <w:lang w:val="es-CO" w:eastAsia="es-CO"/>
              </w:rPr>
            </w:pPr>
            <w:r w:rsidRPr="00821320">
              <w:rPr>
                <w:rFonts w:ascii="Verdana" w:hAnsi="Verdana" w:cs="Calibri"/>
                <w:b/>
                <w:bCs/>
                <w:color w:val="FFFFFF"/>
                <w:sz w:val="18"/>
                <w:szCs w:val="18"/>
                <w:lang w:eastAsia="es-CO"/>
              </w:rPr>
              <w:t>(MILLONES DE $)</w:t>
            </w:r>
          </w:p>
        </w:tc>
      </w:tr>
      <w:tr w:rsidRPr="00821320" w:rsidR="00F67ADD" w:rsidTr="00F67ADD" w14:paraId="2B10D033" w14:textId="77777777">
        <w:trPr>
          <w:trHeight w:val="23"/>
          <w:jc w:val="center"/>
        </w:trPr>
        <w:tc>
          <w:tcPr>
            <w:tcW w:w="2277" w:type="dxa"/>
            <w:tcBorders>
              <w:top w:val="nil"/>
              <w:left w:val="single" w:color="auto" w:sz="8" w:space="0"/>
              <w:bottom w:val="single" w:color="auto" w:sz="8" w:space="0"/>
              <w:right w:val="single" w:color="auto" w:sz="8" w:space="0"/>
            </w:tcBorders>
            <w:shd w:val="clear" w:color="000000" w:fill="F1EADA"/>
            <w:noWrap/>
            <w:vAlign w:val="center"/>
            <w:hideMark/>
          </w:tcPr>
          <w:p w:rsidRPr="00821320" w:rsidR="00F67ADD" w:rsidP="00B412DF" w:rsidRDefault="00F67ADD" w14:paraId="79829D47" w14:textId="77777777">
            <w:pPr>
              <w:jc w:val="center"/>
              <w:rPr>
                <w:rFonts w:ascii="Verdana" w:hAnsi="Verdana" w:cs="Calibri"/>
                <w:b/>
                <w:bCs/>
                <w:color w:val="000000"/>
                <w:sz w:val="18"/>
                <w:szCs w:val="18"/>
                <w:lang w:val="es-CO" w:eastAsia="es-CO"/>
              </w:rPr>
            </w:pPr>
            <w:r w:rsidRPr="00821320">
              <w:rPr>
                <w:rFonts w:ascii="Verdana" w:hAnsi="Verdana" w:cs="Calibri"/>
                <w:b/>
                <w:bCs/>
                <w:color w:val="000000"/>
                <w:sz w:val="18"/>
                <w:szCs w:val="18"/>
                <w:lang w:eastAsia="es-CO"/>
              </w:rPr>
              <w:t>Vigencia</w:t>
            </w:r>
          </w:p>
        </w:tc>
        <w:tc>
          <w:tcPr>
            <w:tcW w:w="2006" w:type="dxa"/>
            <w:tcBorders>
              <w:top w:val="nil"/>
              <w:left w:val="nil"/>
              <w:bottom w:val="single" w:color="auto" w:sz="8" w:space="0"/>
              <w:right w:val="single" w:color="auto" w:sz="8" w:space="0"/>
            </w:tcBorders>
            <w:shd w:val="clear" w:color="000000" w:fill="F1EADA"/>
            <w:noWrap/>
            <w:vAlign w:val="center"/>
            <w:hideMark/>
          </w:tcPr>
          <w:p w:rsidRPr="00821320" w:rsidR="00F67ADD" w:rsidP="00B412DF" w:rsidRDefault="00F67ADD" w14:paraId="22D8A9ED" w14:textId="77777777">
            <w:pPr>
              <w:jc w:val="center"/>
              <w:rPr>
                <w:rFonts w:ascii="Verdana" w:hAnsi="Verdana" w:cs="Calibri"/>
                <w:b/>
                <w:bCs/>
                <w:color w:val="000000"/>
                <w:sz w:val="18"/>
                <w:szCs w:val="18"/>
                <w:lang w:val="es-CO" w:eastAsia="es-CO"/>
              </w:rPr>
            </w:pPr>
            <w:r w:rsidRPr="00821320">
              <w:rPr>
                <w:rFonts w:ascii="Verdana" w:hAnsi="Verdana" w:cs="Calibri"/>
                <w:b/>
                <w:bCs/>
                <w:color w:val="000000"/>
                <w:sz w:val="18"/>
                <w:szCs w:val="18"/>
                <w:lang w:eastAsia="es-CO"/>
              </w:rPr>
              <w:t>2021</w:t>
            </w:r>
          </w:p>
        </w:tc>
        <w:tc>
          <w:tcPr>
            <w:tcW w:w="1765" w:type="dxa"/>
            <w:tcBorders>
              <w:top w:val="nil"/>
              <w:left w:val="nil"/>
              <w:bottom w:val="single" w:color="auto" w:sz="8" w:space="0"/>
              <w:right w:val="single" w:color="auto" w:sz="8" w:space="0"/>
            </w:tcBorders>
            <w:shd w:val="clear" w:color="000000" w:fill="F1EADA"/>
            <w:noWrap/>
            <w:vAlign w:val="center"/>
            <w:hideMark/>
          </w:tcPr>
          <w:p w:rsidRPr="00821320" w:rsidR="00F67ADD" w:rsidP="00B412DF" w:rsidRDefault="00F67ADD" w14:paraId="6CFBA9C2" w14:textId="77777777">
            <w:pPr>
              <w:jc w:val="center"/>
              <w:rPr>
                <w:rFonts w:ascii="Verdana" w:hAnsi="Verdana" w:cs="Calibri"/>
                <w:b/>
                <w:bCs/>
                <w:color w:val="000000"/>
                <w:sz w:val="18"/>
                <w:szCs w:val="18"/>
                <w:lang w:val="es-CO" w:eastAsia="es-CO"/>
              </w:rPr>
            </w:pPr>
            <w:r w:rsidRPr="00821320">
              <w:rPr>
                <w:rFonts w:ascii="Verdana" w:hAnsi="Verdana" w:cs="Calibri"/>
                <w:b/>
                <w:bCs/>
                <w:color w:val="000000"/>
                <w:sz w:val="18"/>
                <w:szCs w:val="18"/>
                <w:lang w:eastAsia="es-CO"/>
              </w:rPr>
              <w:t>2022</w:t>
            </w:r>
          </w:p>
        </w:tc>
        <w:tc>
          <w:tcPr>
            <w:tcW w:w="1993" w:type="dxa"/>
            <w:tcBorders>
              <w:top w:val="nil"/>
              <w:left w:val="nil"/>
              <w:bottom w:val="single" w:color="auto" w:sz="8" w:space="0"/>
              <w:right w:val="single" w:color="auto" w:sz="8" w:space="0"/>
            </w:tcBorders>
            <w:shd w:val="clear" w:color="000000" w:fill="F1EADA"/>
            <w:vAlign w:val="center"/>
            <w:hideMark/>
          </w:tcPr>
          <w:p w:rsidRPr="00821320" w:rsidR="00F67ADD" w:rsidP="00B412DF" w:rsidRDefault="00F67ADD" w14:paraId="0DAC6E51" w14:textId="77777777">
            <w:pPr>
              <w:jc w:val="center"/>
              <w:rPr>
                <w:rFonts w:ascii="Verdana" w:hAnsi="Verdana" w:cs="Calibri"/>
                <w:b/>
                <w:bCs/>
                <w:color w:val="000000"/>
                <w:sz w:val="18"/>
                <w:szCs w:val="18"/>
                <w:lang w:val="es-CO" w:eastAsia="es-CO"/>
              </w:rPr>
            </w:pPr>
            <w:r w:rsidRPr="00821320">
              <w:rPr>
                <w:rFonts w:ascii="Verdana" w:hAnsi="Verdana" w:cs="Calibri"/>
                <w:b/>
                <w:bCs/>
                <w:color w:val="000000"/>
                <w:sz w:val="18"/>
                <w:szCs w:val="18"/>
                <w:lang w:eastAsia="es-CO"/>
              </w:rPr>
              <w:t>2023</w:t>
            </w:r>
          </w:p>
        </w:tc>
      </w:tr>
      <w:tr w:rsidRPr="00821320" w:rsidR="00F67ADD" w:rsidTr="00F67ADD" w14:paraId="6FF8CABE" w14:textId="77777777">
        <w:trPr>
          <w:trHeight w:val="23"/>
          <w:jc w:val="center"/>
        </w:trPr>
        <w:tc>
          <w:tcPr>
            <w:tcW w:w="2277" w:type="dxa"/>
            <w:tcBorders>
              <w:top w:val="nil"/>
              <w:left w:val="single" w:color="auto" w:sz="8" w:space="0"/>
              <w:bottom w:val="single" w:color="auto" w:sz="8" w:space="0"/>
              <w:right w:val="single" w:color="auto" w:sz="8" w:space="0"/>
            </w:tcBorders>
            <w:vAlign w:val="center"/>
            <w:hideMark/>
          </w:tcPr>
          <w:p w:rsidRPr="00821320" w:rsidR="00F67ADD" w:rsidP="00B412DF" w:rsidRDefault="00F67ADD" w14:paraId="3F1005E6" w14:textId="77777777">
            <w:pPr>
              <w:jc w:val="center"/>
              <w:rPr>
                <w:rFonts w:ascii="Verdana" w:hAnsi="Verdana" w:cs="Calibri"/>
                <w:i/>
                <w:iCs/>
                <w:color w:val="000000"/>
                <w:sz w:val="18"/>
                <w:szCs w:val="18"/>
                <w:lang w:val="es-CO" w:eastAsia="es-CO"/>
              </w:rPr>
            </w:pPr>
            <w:r w:rsidRPr="00821320">
              <w:rPr>
                <w:rFonts w:ascii="Verdana" w:hAnsi="Verdana" w:cs="Calibri"/>
                <w:i/>
                <w:iCs/>
                <w:color w:val="000000"/>
                <w:sz w:val="18"/>
                <w:szCs w:val="18"/>
                <w:lang w:eastAsia="es-CO"/>
              </w:rPr>
              <w:t>Autorizado</w:t>
            </w:r>
          </w:p>
        </w:tc>
        <w:tc>
          <w:tcPr>
            <w:tcW w:w="2006" w:type="dxa"/>
            <w:tcBorders>
              <w:top w:val="nil"/>
              <w:left w:val="nil"/>
              <w:bottom w:val="single" w:color="auto" w:sz="8" w:space="0"/>
              <w:right w:val="single" w:color="auto" w:sz="8" w:space="0"/>
            </w:tcBorders>
            <w:vAlign w:val="center"/>
            <w:hideMark/>
          </w:tcPr>
          <w:p w:rsidRPr="00821320" w:rsidR="00F67ADD" w:rsidP="00B412DF" w:rsidRDefault="00F67ADD" w14:paraId="64BF2C6F"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eastAsia="es-CO"/>
              </w:rPr>
              <w:t>7.397</w:t>
            </w:r>
          </w:p>
        </w:tc>
        <w:tc>
          <w:tcPr>
            <w:tcW w:w="1765" w:type="dxa"/>
            <w:tcBorders>
              <w:top w:val="nil"/>
              <w:left w:val="nil"/>
              <w:bottom w:val="single" w:color="auto" w:sz="8" w:space="0"/>
              <w:right w:val="single" w:color="auto" w:sz="8" w:space="0"/>
            </w:tcBorders>
            <w:vAlign w:val="center"/>
            <w:hideMark/>
          </w:tcPr>
          <w:p w:rsidRPr="00821320" w:rsidR="00F67ADD" w:rsidP="00B412DF" w:rsidRDefault="00F67ADD" w14:paraId="15187D09"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eastAsia="es-CO"/>
              </w:rPr>
              <w:t>8.038</w:t>
            </w:r>
          </w:p>
        </w:tc>
        <w:tc>
          <w:tcPr>
            <w:tcW w:w="1993" w:type="dxa"/>
            <w:tcBorders>
              <w:top w:val="nil"/>
              <w:left w:val="nil"/>
              <w:bottom w:val="single" w:color="auto" w:sz="8" w:space="0"/>
              <w:right w:val="single" w:color="auto" w:sz="8" w:space="0"/>
            </w:tcBorders>
            <w:vAlign w:val="center"/>
            <w:hideMark/>
          </w:tcPr>
          <w:p w:rsidRPr="00821320" w:rsidR="00F67ADD" w:rsidP="00B412DF" w:rsidRDefault="00F67ADD" w14:paraId="67818C85"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eastAsia="es-CO"/>
              </w:rPr>
              <w:t>9.175</w:t>
            </w:r>
          </w:p>
        </w:tc>
      </w:tr>
      <w:tr w:rsidRPr="00821320" w:rsidR="00F67ADD" w:rsidTr="00F67ADD" w14:paraId="034E370F" w14:textId="77777777">
        <w:trPr>
          <w:trHeight w:val="23"/>
          <w:jc w:val="center"/>
        </w:trPr>
        <w:tc>
          <w:tcPr>
            <w:tcW w:w="2277" w:type="dxa"/>
            <w:tcBorders>
              <w:top w:val="nil"/>
              <w:left w:val="single" w:color="auto" w:sz="8" w:space="0"/>
              <w:bottom w:val="single" w:color="auto" w:sz="8" w:space="0"/>
              <w:right w:val="single" w:color="auto" w:sz="8" w:space="0"/>
            </w:tcBorders>
            <w:vAlign w:val="center"/>
            <w:hideMark/>
          </w:tcPr>
          <w:p w:rsidRPr="00821320" w:rsidR="00F67ADD" w:rsidP="00B412DF" w:rsidRDefault="00F67ADD" w14:paraId="3686C19A" w14:textId="77777777">
            <w:pPr>
              <w:jc w:val="center"/>
              <w:rPr>
                <w:rFonts w:ascii="Verdana" w:hAnsi="Verdana" w:cs="Calibri"/>
                <w:i/>
                <w:iCs/>
                <w:color w:val="000000"/>
                <w:sz w:val="18"/>
                <w:szCs w:val="18"/>
                <w:lang w:val="es-CO" w:eastAsia="es-CO"/>
              </w:rPr>
            </w:pPr>
            <w:r w:rsidRPr="00821320">
              <w:rPr>
                <w:rFonts w:ascii="Verdana" w:hAnsi="Verdana" w:cs="Calibri"/>
                <w:i/>
                <w:iCs/>
                <w:color w:val="000000"/>
                <w:sz w:val="18"/>
                <w:szCs w:val="18"/>
                <w:lang w:eastAsia="es-CO"/>
              </w:rPr>
              <w:t>Ejecutado</w:t>
            </w:r>
          </w:p>
        </w:tc>
        <w:tc>
          <w:tcPr>
            <w:tcW w:w="2006" w:type="dxa"/>
            <w:tcBorders>
              <w:top w:val="nil"/>
              <w:left w:val="nil"/>
              <w:bottom w:val="single" w:color="auto" w:sz="8" w:space="0"/>
              <w:right w:val="single" w:color="auto" w:sz="8" w:space="0"/>
            </w:tcBorders>
            <w:vAlign w:val="center"/>
            <w:hideMark/>
          </w:tcPr>
          <w:p w:rsidRPr="00821320" w:rsidR="00F67ADD" w:rsidP="00B412DF" w:rsidRDefault="00F67ADD" w14:paraId="6ABDFE0B"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eastAsia="es-CO"/>
              </w:rPr>
              <w:t>7.392</w:t>
            </w:r>
          </w:p>
        </w:tc>
        <w:tc>
          <w:tcPr>
            <w:tcW w:w="1765" w:type="dxa"/>
            <w:tcBorders>
              <w:top w:val="nil"/>
              <w:left w:val="nil"/>
              <w:bottom w:val="single" w:color="auto" w:sz="8" w:space="0"/>
              <w:right w:val="single" w:color="auto" w:sz="8" w:space="0"/>
            </w:tcBorders>
            <w:vAlign w:val="center"/>
            <w:hideMark/>
          </w:tcPr>
          <w:p w:rsidRPr="00821320" w:rsidR="00F67ADD" w:rsidP="00B412DF" w:rsidRDefault="00F67ADD" w14:paraId="15C7E8AE"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eastAsia="es-CO"/>
              </w:rPr>
              <w:t>8.258</w:t>
            </w:r>
          </w:p>
        </w:tc>
        <w:tc>
          <w:tcPr>
            <w:tcW w:w="1993" w:type="dxa"/>
            <w:tcBorders>
              <w:top w:val="nil"/>
              <w:left w:val="nil"/>
              <w:bottom w:val="single" w:color="auto" w:sz="8" w:space="0"/>
              <w:right w:val="single" w:color="auto" w:sz="8" w:space="0"/>
            </w:tcBorders>
            <w:vAlign w:val="center"/>
            <w:hideMark/>
          </w:tcPr>
          <w:p w:rsidRPr="00821320" w:rsidR="00F67ADD" w:rsidP="00B412DF" w:rsidRDefault="00F67ADD" w14:paraId="31361847"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val="es-CO" w:eastAsia="es-CO"/>
              </w:rPr>
              <w:t>8.922</w:t>
            </w:r>
          </w:p>
        </w:tc>
      </w:tr>
      <w:tr w:rsidRPr="00821320" w:rsidR="00F67ADD" w:rsidTr="00F67ADD" w14:paraId="104A87A4" w14:textId="77777777">
        <w:trPr>
          <w:trHeight w:val="23"/>
          <w:jc w:val="center"/>
        </w:trPr>
        <w:tc>
          <w:tcPr>
            <w:tcW w:w="2277" w:type="dxa"/>
            <w:tcBorders>
              <w:top w:val="nil"/>
              <w:left w:val="single" w:color="auto" w:sz="8" w:space="0"/>
              <w:bottom w:val="single" w:color="auto" w:sz="8" w:space="0"/>
              <w:right w:val="single" w:color="auto" w:sz="8" w:space="0"/>
            </w:tcBorders>
            <w:shd w:val="clear" w:color="000000" w:fill="B48C41"/>
            <w:vAlign w:val="center"/>
            <w:hideMark/>
          </w:tcPr>
          <w:p w:rsidRPr="00821320" w:rsidR="00F67ADD" w:rsidP="00B412DF" w:rsidRDefault="00F67ADD" w14:paraId="6AA2F710" w14:textId="77777777">
            <w:pPr>
              <w:jc w:val="center"/>
              <w:rPr>
                <w:rFonts w:ascii="Verdana" w:hAnsi="Verdana" w:cs="Calibri"/>
                <w:b/>
                <w:bCs/>
                <w:color w:val="FFFFFF"/>
                <w:sz w:val="18"/>
                <w:szCs w:val="18"/>
                <w:lang w:val="es-CO" w:eastAsia="es-CO"/>
              </w:rPr>
            </w:pPr>
            <w:r w:rsidRPr="00821320">
              <w:rPr>
                <w:rFonts w:ascii="Verdana" w:hAnsi="Verdana" w:cs="Calibri"/>
                <w:b/>
                <w:bCs/>
                <w:color w:val="FFFFFF"/>
                <w:sz w:val="18"/>
                <w:szCs w:val="18"/>
                <w:lang w:eastAsia="es-CO"/>
              </w:rPr>
              <w:t>DIFERENCIA</w:t>
            </w:r>
          </w:p>
        </w:tc>
        <w:tc>
          <w:tcPr>
            <w:tcW w:w="2006" w:type="dxa"/>
            <w:tcBorders>
              <w:top w:val="nil"/>
              <w:left w:val="nil"/>
              <w:bottom w:val="single" w:color="auto" w:sz="8" w:space="0"/>
              <w:right w:val="single" w:color="auto" w:sz="8" w:space="0"/>
            </w:tcBorders>
            <w:shd w:val="clear" w:color="000000" w:fill="B48C41"/>
            <w:vAlign w:val="center"/>
            <w:hideMark/>
          </w:tcPr>
          <w:p w:rsidRPr="00821320" w:rsidR="00F67ADD" w:rsidP="00B412DF" w:rsidRDefault="00F67ADD" w14:paraId="08ED1EFF" w14:textId="77777777">
            <w:pPr>
              <w:jc w:val="center"/>
              <w:rPr>
                <w:rFonts w:ascii="Verdana" w:hAnsi="Verdana" w:cs="Calibri"/>
                <w:b/>
                <w:bCs/>
                <w:color w:val="FFFFFF"/>
                <w:sz w:val="18"/>
                <w:szCs w:val="18"/>
                <w:lang w:val="es-CO" w:eastAsia="es-CO"/>
              </w:rPr>
            </w:pPr>
            <w:r w:rsidRPr="00821320">
              <w:rPr>
                <w:rFonts w:ascii="Verdana" w:hAnsi="Verdana" w:cs="Calibri"/>
                <w:b/>
                <w:bCs/>
                <w:color w:val="FFFFFF"/>
                <w:sz w:val="18"/>
                <w:szCs w:val="18"/>
                <w:lang w:eastAsia="es-CO"/>
              </w:rPr>
              <w:t>5</w:t>
            </w:r>
          </w:p>
        </w:tc>
        <w:tc>
          <w:tcPr>
            <w:tcW w:w="1765" w:type="dxa"/>
            <w:tcBorders>
              <w:top w:val="nil"/>
              <w:left w:val="nil"/>
              <w:bottom w:val="single" w:color="auto" w:sz="8" w:space="0"/>
              <w:right w:val="single" w:color="auto" w:sz="8" w:space="0"/>
            </w:tcBorders>
            <w:shd w:val="clear" w:color="000000" w:fill="B48C41"/>
            <w:vAlign w:val="center"/>
            <w:hideMark/>
          </w:tcPr>
          <w:p w:rsidRPr="00821320" w:rsidR="00F67ADD" w:rsidP="00B412DF" w:rsidRDefault="00F67ADD" w14:paraId="0BCAE2A0" w14:textId="77777777">
            <w:pPr>
              <w:jc w:val="center"/>
              <w:rPr>
                <w:rFonts w:ascii="Verdana" w:hAnsi="Verdana" w:cs="Calibri"/>
                <w:b/>
                <w:bCs/>
                <w:color w:val="FFFFFF"/>
                <w:sz w:val="18"/>
                <w:szCs w:val="18"/>
                <w:lang w:val="es-CO" w:eastAsia="es-CO"/>
              </w:rPr>
            </w:pPr>
            <w:r w:rsidRPr="00821320">
              <w:rPr>
                <w:rFonts w:ascii="Verdana" w:hAnsi="Verdana" w:cs="Calibri"/>
                <w:b/>
                <w:bCs/>
                <w:color w:val="FFFFFF"/>
                <w:sz w:val="18"/>
                <w:szCs w:val="18"/>
                <w:lang w:eastAsia="es-CO"/>
              </w:rPr>
              <w:t>-220</w:t>
            </w:r>
          </w:p>
        </w:tc>
        <w:tc>
          <w:tcPr>
            <w:tcW w:w="1993" w:type="dxa"/>
            <w:tcBorders>
              <w:top w:val="nil"/>
              <w:left w:val="nil"/>
              <w:bottom w:val="single" w:color="auto" w:sz="8" w:space="0"/>
              <w:right w:val="single" w:color="auto" w:sz="8" w:space="0"/>
            </w:tcBorders>
            <w:shd w:val="clear" w:color="000000" w:fill="B48C41"/>
            <w:vAlign w:val="center"/>
            <w:hideMark/>
          </w:tcPr>
          <w:p w:rsidRPr="00821320" w:rsidR="00F67ADD" w:rsidP="00B412DF" w:rsidRDefault="00F67ADD" w14:paraId="0164BA45" w14:textId="77777777">
            <w:pPr>
              <w:jc w:val="center"/>
              <w:rPr>
                <w:rFonts w:ascii="Verdana" w:hAnsi="Verdana" w:cs="Calibri"/>
                <w:b/>
                <w:bCs/>
                <w:color w:val="FFFFFF"/>
                <w:sz w:val="18"/>
                <w:szCs w:val="18"/>
                <w:lang w:val="es-CO" w:eastAsia="es-CO"/>
              </w:rPr>
            </w:pPr>
            <w:r w:rsidRPr="00821320">
              <w:rPr>
                <w:rFonts w:ascii="Verdana" w:hAnsi="Verdana" w:cs="Calibri"/>
                <w:b/>
                <w:bCs/>
                <w:color w:val="FFFFFF"/>
                <w:sz w:val="18"/>
                <w:szCs w:val="18"/>
                <w:lang w:eastAsia="es-CO"/>
              </w:rPr>
              <w:t>253</w:t>
            </w:r>
          </w:p>
        </w:tc>
      </w:tr>
    </w:tbl>
    <w:p w:rsidRPr="00821320" w:rsidR="00F67ADD" w:rsidP="00B412DF" w:rsidRDefault="00F67ADD" w14:paraId="16425641" w14:textId="77777777">
      <w:pPr>
        <w:contextualSpacing/>
        <w:jc w:val="center"/>
        <w:rPr>
          <w:rFonts w:ascii="Verdana" w:hAnsi="Verdana"/>
          <w:kern w:val="2"/>
          <w:sz w:val="18"/>
          <w:szCs w:val="18"/>
          <w:lang w:eastAsia="en-US"/>
        </w:rPr>
      </w:pPr>
      <w:r w:rsidRPr="00821320">
        <w:rPr>
          <w:rFonts w:ascii="Verdana" w:hAnsi="Verdana"/>
          <w:sz w:val="18"/>
          <w:szCs w:val="18"/>
        </w:rPr>
        <w:t>Fuente: Ejecuciones presupuestales suministradas por la Entidad para las vigencias 2021,2022 y 2023</w:t>
      </w:r>
    </w:p>
    <w:p w:rsidRPr="00821320" w:rsidR="00CE200A" w:rsidP="00B412DF" w:rsidRDefault="00CE200A" w14:paraId="09F3B905" w14:textId="77777777">
      <w:pPr>
        <w:contextualSpacing/>
        <w:jc w:val="both"/>
        <w:rPr>
          <w:rFonts w:ascii="Verdana" w:hAnsi="Verdana"/>
          <w:b/>
          <w:sz w:val="22"/>
          <w:szCs w:val="22"/>
        </w:rPr>
      </w:pPr>
    </w:p>
    <w:p w:rsidRPr="00821320" w:rsidR="00CE200A" w:rsidP="09D98981" w:rsidRDefault="00CE200A" w14:paraId="660DB5E4" w14:textId="77777777" w14:noSpellErr="1">
      <w:pPr>
        <w:spacing/>
        <w:contextualSpacing/>
        <w:jc w:val="both"/>
        <w:rPr>
          <w:rFonts w:ascii="Verdana" w:hAnsi="Verdana"/>
          <w:sz w:val="22"/>
          <w:szCs w:val="22"/>
          <w:lang w:val="es-ES"/>
        </w:rPr>
      </w:pPr>
      <w:r w:rsidRPr="09D98981" w:rsidR="00CE200A">
        <w:rPr>
          <w:rFonts w:ascii="Verdana" w:hAnsi="Verdana"/>
          <w:sz w:val="22"/>
          <w:szCs w:val="22"/>
          <w:lang w:val="es-ES"/>
        </w:rPr>
        <w:t>De acuerdo con lo anterior, la Entidad no cumplió con los límites de gastos administrativos definidos por la Nación para la Secretaría de Educación</w:t>
      </w:r>
      <w:r w:rsidRPr="09D98981" w:rsidR="00AB51EB">
        <w:rPr>
          <w:rFonts w:ascii="Verdana" w:hAnsi="Verdana"/>
          <w:sz w:val="22"/>
          <w:szCs w:val="22"/>
          <w:lang w:val="es-ES"/>
        </w:rPr>
        <w:t xml:space="preserve"> en 2022</w:t>
      </w:r>
      <w:r w:rsidRPr="09D98981" w:rsidR="00CE200A">
        <w:rPr>
          <w:rFonts w:ascii="Verdana" w:hAnsi="Verdana"/>
          <w:sz w:val="22"/>
          <w:szCs w:val="22"/>
          <w:lang w:val="es-ES"/>
        </w:rPr>
        <w:t xml:space="preserve"> y </w:t>
      </w:r>
      <w:r w:rsidRPr="09D98981" w:rsidR="00563A7E">
        <w:rPr>
          <w:rFonts w:ascii="Verdana" w:hAnsi="Verdana"/>
          <w:sz w:val="22"/>
          <w:szCs w:val="22"/>
          <w:lang w:val="es-ES"/>
        </w:rPr>
        <w:t xml:space="preserve">el monto excedido </w:t>
      </w:r>
      <w:r w:rsidRPr="09D98981" w:rsidR="00CE200A">
        <w:rPr>
          <w:rFonts w:ascii="Verdana" w:hAnsi="Verdana"/>
          <w:sz w:val="22"/>
          <w:szCs w:val="22"/>
          <w:lang w:val="es-ES"/>
        </w:rPr>
        <w:t>debe ser compensado por la Entidad con recursos propios</w:t>
      </w:r>
      <w:r w:rsidRPr="09D98981" w:rsidR="00563A7E">
        <w:rPr>
          <w:rFonts w:ascii="Verdana" w:hAnsi="Verdana"/>
          <w:sz w:val="22"/>
          <w:szCs w:val="22"/>
          <w:lang w:val="es-ES"/>
        </w:rPr>
        <w:t>, en virtud del artículo 31 de la Ley 1176 de 2007</w:t>
      </w:r>
      <w:r w:rsidRPr="09D98981" w:rsidR="00CE200A">
        <w:rPr>
          <w:rFonts w:ascii="Verdana" w:hAnsi="Verdana"/>
          <w:sz w:val="22"/>
          <w:szCs w:val="22"/>
          <w:lang w:val="es-ES"/>
        </w:rPr>
        <w:t>.</w:t>
      </w:r>
    </w:p>
    <w:p w:rsidRPr="00821320" w:rsidR="00CE200A" w:rsidP="00B412DF" w:rsidRDefault="00CE200A" w14:paraId="3707CF72" w14:textId="77777777">
      <w:pPr>
        <w:contextualSpacing/>
        <w:jc w:val="both"/>
        <w:rPr>
          <w:rFonts w:ascii="Verdana" w:hAnsi="Verdana"/>
          <w:b/>
          <w:sz w:val="22"/>
          <w:szCs w:val="22"/>
          <w:lang w:val="es-CO"/>
        </w:rPr>
      </w:pPr>
    </w:p>
    <w:p w:rsidRPr="00821320" w:rsidR="00CE200A" w:rsidP="00B412DF" w:rsidRDefault="00CE200A" w14:paraId="41AE21E1" w14:textId="77777777">
      <w:pPr>
        <w:pStyle w:val="Ttulo2"/>
        <w:spacing w:before="0"/>
        <w:rPr>
          <w:rFonts w:ascii="Verdana" w:hAnsi="Verdana"/>
          <w:b/>
          <w:bCs/>
          <w:color w:val="auto"/>
          <w:sz w:val="22"/>
          <w:szCs w:val="22"/>
        </w:rPr>
      </w:pPr>
      <w:r w:rsidRPr="00821320">
        <w:rPr>
          <w:rFonts w:ascii="Verdana" w:hAnsi="Verdana"/>
          <w:b/>
          <w:bCs/>
          <w:color w:val="auto"/>
          <w:sz w:val="22"/>
          <w:szCs w:val="22"/>
        </w:rPr>
        <w:t>Cierre Fiscal.</w:t>
      </w:r>
    </w:p>
    <w:p w:rsidRPr="00821320" w:rsidR="00CE200A" w:rsidP="00B412DF" w:rsidRDefault="00CE200A" w14:paraId="505689EE" w14:textId="77777777">
      <w:pPr>
        <w:jc w:val="both"/>
        <w:rPr>
          <w:rFonts w:ascii="Verdana" w:hAnsi="Verdana"/>
          <w:b/>
          <w:sz w:val="22"/>
          <w:szCs w:val="22"/>
        </w:rPr>
      </w:pPr>
    </w:p>
    <w:p w:rsidRPr="00821320" w:rsidR="00F67ADD" w:rsidP="00B412DF" w:rsidRDefault="00CE200A" w14:paraId="22F65D75" w14:textId="77777777">
      <w:pPr>
        <w:jc w:val="both"/>
        <w:textAlignment w:val="baseline"/>
        <w:rPr>
          <w:rFonts w:ascii="Verdana" w:hAnsi="Verdana" w:cs="Arial"/>
          <w:sz w:val="22"/>
          <w:szCs w:val="22"/>
          <w:lang w:eastAsia="es-CO"/>
        </w:rPr>
      </w:pPr>
      <w:r w:rsidRPr="00821320">
        <w:rPr>
          <w:rFonts w:ascii="Verdana" w:hAnsi="Verdana" w:eastAsia="Times New Roman" w:cs="Arial"/>
          <w:sz w:val="22"/>
          <w:szCs w:val="22"/>
          <w:lang w:eastAsia="es-CO"/>
        </w:rPr>
        <w:t>Al analizar las ejecuciones presupuestales de ingresos y gastos, para la vigencia 2021, el resultado presupuestal fue superavitario para el Sector Educación en $1.334 millones, en donde debieron constituirse reservas por $31 millones, cuentas por pagar por $834 millones. De igual manera, durante la vigencia 2022, el resultado presupuestal fue superavitario para el Sector en $220 millones, se constituyeron reservas por $795 millones, cuentas por pagar por $320 millones</w:t>
      </w:r>
      <w:r w:rsidRPr="00821320" w:rsidR="00F67ADD">
        <w:rPr>
          <w:rFonts w:ascii="Verdana" w:hAnsi="Verdana" w:eastAsia="Times New Roman" w:cs="Arial"/>
          <w:sz w:val="22"/>
          <w:szCs w:val="22"/>
          <w:lang w:eastAsia="es-CO"/>
        </w:rPr>
        <w:t>.</w:t>
      </w:r>
      <w:r w:rsidRPr="00821320">
        <w:rPr>
          <w:rFonts w:ascii="Verdana" w:hAnsi="Verdana" w:eastAsia="Times New Roman" w:cs="Arial"/>
          <w:sz w:val="22"/>
          <w:szCs w:val="22"/>
          <w:lang w:eastAsia="es-CO"/>
        </w:rPr>
        <w:t xml:space="preserve"> </w:t>
      </w:r>
      <w:r w:rsidRPr="00821320" w:rsidR="00F67ADD">
        <w:rPr>
          <w:rFonts w:ascii="Verdana" w:hAnsi="Verdana" w:cs="Arial"/>
          <w:sz w:val="22"/>
          <w:szCs w:val="22"/>
          <w:lang w:eastAsia="es-CO"/>
        </w:rPr>
        <w:t xml:space="preserve">Para finalizar, </w:t>
      </w:r>
      <w:r w:rsidR="00B412DF">
        <w:rPr>
          <w:rFonts w:ascii="Verdana" w:hAnsi="Verdana" w:cs="Arial"/>
          <w:sz w:val="22"/>
          <w:szCs w:val="22"/>
          <w:lang w:eastAsia="es-CO"/>
        </w:rPr>
        <w:t xml:space="preserve">el análisis de </w:t>
      </w:r>
      <w:r w:rsidRPr="00821320" w:rsidR="00F67ADD">
        <w:rPr>
          <w:rFonts w:ascii="Verdana" w:hAnsi="Verdana" w:cs="Arial"/>
          <w:sz w:val="22"/>
          <w:szCs w:val="22"/>
          <w:lang w:eastAsia="es-CO"/>
        </w:rPr>
        <w:t>la vigencia 2023 dio como resultado un superávit de $167 millones, reservas por $36 millones y cuentas por pagar $184 millones, el detalle a continuación: </w:t>
      </w:r>
    </w:p>
    <w:p w:rsidRPr="00821320" w:rsidR="00F67ADD" w:rsidP="00B412DF" w:rsidRDefault="00F67ADD" w14:paraId="606C1DDB" w14:textId="77777777">
      <w:pPr>
        <w:jc w:val="both"/>
        <w:textAlignment w:val="baseline"/>
        <w:rPr>
          <w:rFonts w:ascii="Verdana" w:hAnsi="Verdana" w:cs="Calibri"/>
          <w:b/>
          <w:bCs/>
          <w:color w:val="FFFFFF" w:themeColor="background1"/>
          <w:sz w:val="18"/>
          <w:szCs w:val="18"/>
          <w:lang w:eastAsia="es-CO"/>
        </w:rPr>
      </w:pPr>
      <w:r w:rsidRPr="00821320">
        <w:rPr>
          <w:rFonts w:ascii="Verdana" w:hAnsi="Verdana" w:cs="Arial"/>
          <w:sz w:val="22"/>
          <w:szCs w:val="22"/>
          <w:lang w:eastAsia="es-CO"/>
        </w:rPr>
        <w:t> </w:t>
      </w:r>
    </w:p>
    <w:tbl>
      <w:tblPr>
        <w:tblW w:w="7897" w:type="dxa"/>
        <w:jc w:val="center"/>
        <w:tblCellMar>
          <w:left w:w="70" w:type="dxa"/>
          <w:right w:w="70" w:type="dxa"/>
        </w:tblCellMar>
        <w:tblLook w:val="04A0" w:firstRow="1" w:lastRow="0" w:firstColumn="1" w:lastColumn="0" w:noHBand="0" w:noVBand="1"/>
      </w:tblPr>
      <w:tblGrid>
        <w:gridCol w:w="3008"/>
        <w:gridCol w:w="1689"/>
        <w:gridCol w:w="1567"/>
        <w:gridCol w:w="1633"/>
      </w:tblGrid>
      <w:tr w:rsidRPr="00821320" w:rsidR="00F67ADD" w:rsidTr="004B0C5C" w14:paraId="6BE818A5" w14:textId="77777777">
        <w:trPr>
          <w:trHeight w:val="21"/>
          <w:jc w:val="center"/>
        </w:trPr>
        <w:tc>
          <w:tcPr>
            <w:tcW w:w="7897" w:type="dxa"/>
            <w:gridSpan w:val="4"/>
            <w:tcBorders>
              <w:top w:val="single" w:color="auto" w:sz="8" w:space="0"/>
              <w:left w:val="single" w:color="auto" w:sz="8" w:space="0"/>
              <w:bottom w:val="single" w:color="auto" w:sz="8" w:space="0"/>
              <w:right w:val="single" w:color="000000" w:sz="8" w:space="0"/>
            </w:tcBorders>
            <w:shd w:val="clear" w:color="000000" w:fill="B48C41"/>
            <w:hideMark/>
          </w:tcPr>
          <w:p w:rsidRPr="00821320" w:rsidR="00F67ADD" w:rsidP="00B412DF" w:rsidRDefault="00F67ADD" w14:paraId="2EC237EC" w14:textId="77777777">
            <w:pPr>
              <w:jc w:val="center"/>
              <w:rPr>
                <w:rFonts w:ascii="Verdana" w:hAnsi="Verdana" w:cs="Calibri"/>
                <w:b/>
                <w:bCs/>
                <w:color w:val="FFFFFF"/>
                <w:sz w:val="18"/>
                <w:szCs w:val="18"/>
                <w:lang w:val="es-CO" w:eastAsia="es-CO"/>
              </w:rPr>
            </w:pPr>
            <w:r w:rsidRPr="00821320">
              <w:rPr>
                <w:rFonts w:ascii="Verdana" w:hAnsi="Verdana" w:cs="Calibri"/>
                <w:b/>
                <w:bCs/>
                <w:color w:val="FFFFFF"/>
                <w:sz w:val="18"/>
                <w:szCs w:val="18"/>
                <w:lang w:eastAsia="es-CO"/>
              </w:rPr>
              <w:t>TABLA 4. INFORMACIÓN DE CIERRE PRESUPUESTAL- EN MILLONES DE $</w:t>
            </w:r>
          </w:p>
        </w:tc>
      </w:tr>
      <w:tr w:rsidRPr="00821320" w:rsidR="00F67ADD" w:rsidTr="00F67ADD" w14:paraId="212A4D8B" w14:textId="77777777">
        <w:trPr>
          <w:trHeight w:val="21"/>
          <w:jc w:val="center"/>
        </w:trPr>
        <w:tc>
          <w:tcPr>
            <w:tcW w:w="3008" w:type="dxa"/>
            <w:tcBorders>
              <w:top w:val="nil"/>
              <w:left w:val="single" w:color="auto" w:sz="8" w:space="0"/>
              <w:bottom w:val="single" w:color="auto" w:sz="8" w:space="0"/>
              <w:right w:val="single" w:color="auto" w:sz="8" w:space="0"/>
            </w:tcBorders>
            <w:shd w:val="clear" w:color="000000" w:fill="F1EADA"/>
            <w:noWrap/>
            <w:hideMark/>
          </w:tcPr>
          <w:p w:rsidRPr="00821320" w:rsidR="00F67ADD" w:rsidP="00B412DF" w:rsidRDefault="00F67ADD" w14:paraId="42066FD2" w14:textId="77777777">
            <w:pPr>
              <w:jc w:val="center"/>
              <w:rPr>
                <w:rFonts w:ascii="Verdana" w:hAnsi="Verdana" w:cs="Calibri"/>
                <w:b/>
                <w:bCs/>
                <w:color w:val="000000"/>
                <w:sz w:val="18"/>
                <w:szCs w:val="18"/>
                <w:lang w:val="es-CO" w:eastAsia="es-CO"/>
              </w:rPr>
            </w:pPr>
            <w:r w:rsidRPr="00821320">
              <w:rPr>
                <w:rFonts w:ascii="Verdana" w:hAnsi="Verdana" w:cs="Calibri"/>
                <w:b/>
                <w:bCs/>
                <w:color w:val="000000"/>
                <w:sz w:val="18"/>
                <w:szCs w:val="18"/>
                <w:lang w:eastAsia="es-CO"/>
              </w:rPr>
              <w:t>Vigencia</w:t>
            </w:r>
          </w:p>
        </w:tc>
        <w:tc>
          <w:tcPr>
            <w:tcW w:w="1689" w:type="dxa"/>
            <w:tcBorders>
              <w:top w:val="nil"/>
              <w:left w:val="nil"/>
              <w:bottom w:val="single" w:color="auto" w:sz="8" w:space="0"/>
              <w:right w:val="single" w:color="auto" w:sz="8" w:space="0"/>
            </w:tcBorders>
            <w:shd w:val="clear" w:color="000000" w:fill="F1EADA"/>
            <w:noWrap/>
            <w:hideMark/>
          </w:tcPr>
          <w:p w:rsidRPr="00821320" w:rsidR="00F67ADD" w:rsidP="00B412DF" w:rsidRDefault="00F67ADD" w14:paraId="0BFCAB20" w14:textId="77777777">
            <w:pPr>
              <w:jc w:val="center"/>
              <w:rPr>
                <w:rFonts w:ascii="Verdana" w:hAnsi="Verdana" w:cs="Calibri"/>
                <w:b/>
                <w:bCs/>
                <w:color w:val="000000"/>
                <w:sz w:val="18"/>
                <w:szCs w:val="18"/>
                <w:lang w:val="es-CO" w:eastAsia="es-CO"/>
              </w:rPr>
            </w:pPr>
            <w:r w:rsidRPr="00821320">
              <w:rPr>
                <w:rFonts w:ascii="Verdana" w:hAnsi="Verdana" w:cs="Calibri"/>
                <w:b/>
                <w:bCs/>
                <w:color w:val="000000"/>
                <w:sz w:val="18"/>
                <w:szCs w:val="18"/>
                <w:lang w:eastAsia="es-CO"/>
              </w:rPr>
              <w:t>2021</w:t>
            </w:r>
          </w:p>
        </w:tc>
        <w:tc>
          <w:tcPr>
            <w:tcW w:w="1567" w:type="dxa"/>
            <w:tcBorders>
              <w:top w:val="nil"/>
              <w:left w:val="nil"/>
              <w:bottom w:val="single" w:color="auto" w:sz="8" w:space="0"/>
              <w:right w:val="single" w:color="auto" w:sz="8" w:space="0"/>
            </w:tcBorders>
            <w:shd w:val="clear" w:color="000000" w:fill="F1EADA"/>
            <w:noWrap/>
            <w:hideMark/>
          </w:tcPr>
          <w:p w:rsidRPr="00821320" w:rsidR="00F67ADD" w:rsidP="00B412DF" w:rsidRDefault="00F67ADD" w14:paraId="773DAA50" w14:textId="77777777">
            <w:pPr>
              <w:jc w:val="center"/>
              <w:rPr>
                <w:rFonts w:ascii="Verdana" w:hAnsi="Verdana" w:cs="Calibri"/>
                <w:b/>
                <w:bCs/>
                <w:color w:val="000000"/>
                <w:sz w:val="18"/>
                <w:szCs w:val="18"/>
                <w:lang w:val="es-CO" w:eastAsia="es-CO"/>
              </w:rPr>
            </w:pPr>
            <w:r w:rsidRPr="00821320">
              <w:rPr>
                <w:rFonts w:ascii="Verdana" w:hAnsi="Verdana" w:cs="Calibri"/>
                <w:b/>
                <w:bCs/>
                <w:color w:val="000000"/>
                <w:sz w:val="18"/>
                <w:szCs w:val="18"/>
                <w:lang w:eastAsia="es-CO"/>
              </w:rPr>
              <w:t>2022</w:t>
            </w:r>
          </w:p>
        </w:tc>
        <w:tc>
          <w:tcPr>
            <w:tcW w:w="1633" w:type="dxa"/>
            <w:tcBorders>
              <w:top w:val="nil"/>
              <w:left w:val="nil"/>
              <w:bottom w:val="single" w:color="auto" w:sz="8" w:space="0"/>
              <w:right w:val="single" w:color="auto" w:sz="8" w:space="0"/>
            </w:tcBorders>
            <w:shd w:val="clear" w:color="000000" w:fill="F1EADA"/>
            <w:hideMark/>
          </w:tcPr>
          <w:p w:rsidRPr="00821320" w:rsidR="00F67ADD" w:rsidP="00B412DF" w:rsidRDefault="00F67ADD" w14:paraId="13BBA80A" w14:textId="77777777">
            <w:pPr>
              <w:jc w:val="center"/>
              <w:rPr>
                <w:rFonts w:ascii="Verdana" w:hAnsi="Verdana" w:cs="Calibri"/>
                <w:b/>
                <w:bCs/>
                <w:color w:val="000000"/>
                <w:sz w:val="18"/>
                <w:szCs w:val="18"/>
                <w:lang w:val="es-CO" w:eastAsia="es-CO"/>
              </w:rPr>
            </w:pPr>
            <w:r w:rsidRPr="00821320">
              <w:rPr>
                <w:rFonts w:ascii="Verdana" w:hAnsi="Verdana" w:cs="Calibri"/>
                <w:b/>
                <w:bCs/>
                <w:color w:val="000000"/>
                <w:sz w:val="18"/>
                <w:szCs w:val="18"/>
                <w:lang w:eastAsia="es-CO"/>
              </w:rPr>
              <w:t>2023</w:t>
            </w:r>
          </w:p>
        </w:tc>
      </w:tr>
      <w:tr w:rsidRPr="00821320" w:rsidR="00F67ADD" w:rsidTr="00F67ADD" w14:paraId="5E6FF2CD" w14:textId="77777777">
        <w:trPr>
          <w:trHeight w:val="21"/>
          <w:jc w:val="center"/>
        </w:trPr>
        <w:tc>
          <w:tcPr>
            <w:tcW w:w="3008" w:type="dxa"/>
            <w:tcBorders>
              <w:top w:val="nil"/>
              <w:left w:val="single" w:color="auto" w:sz="8" w:space="0"/>
              <w:bottom w:val="single" w:color="auto" w:sz="8" w:space="0"/>
              <w:right w:val="single" w:color="auto" w:sz="8" w:space="0"/>
            </w:tcBorders>
            <w:hideMark/>
          </w:tcPr>
          <w:p w:rsidRPr="00821320" w:rsidR="00F67ADD" w:rsidP="00B412DF" w:rsidRDefault="00F67ADD" w14:paraId="6EED9307" w14:textId="77777777">
            <w:pPr>
              <w:rPr>
                <w:rFonts w:ascii="Verdana" w:hAnsi="Verdana" w:cs="Calibri"/>
                <w:color w:val="000000"/>
                <w:sz w:val="18"/>
                <w:szCs w:val="18"/>
                <w:lang w:val="es-CO" w:eastAsia="es-CO"/>
              </w:rPr>
            </w:pPr>
            <w:r w:rsidRPr="00821320">
              <w:rPr>
                <w:rFonts w:ascii="Verdana" w:hAnsi="Verdana" w:cs="Calibri"/>
                <w:color w:val="000000"/>
                <w:sz w:val="18"/>
                <w:szCs w:val="18"/>
                <w:lang w:eastAsia="es-CO"/>
              </w:rPr>
              <w:t>(1) Ingresos</w:t>
            </w:r>
          </w:p>
        </w:tc>
        <w:tc>
          <w:tcPr>
            <w:tcW w:w="1689" w:type="dxa"/>
            <w:tcBorders>
              <w:top w:val="nil"/>
              <w:left w:val="nil"/>
              <w:bottom w:val="single" w:color="auto" w:sz="8" w:space="0"/>
              <w:right w:val="single" w:color="auto" w:sz="8" w:space="0"/>
            </w:tcBorders>
            <w:hideMark/>
          </w:tcPr>
          <w:p w:rsidRPr="00821320" w:rsidR="00F67ADD" w:rsidP="00B412DF" w:rsidRDefault="00F67ADD" w14:paraId="2B2E62F7"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eastAsia="es-CO"/>
              </w:rPr>
              <w:t>105.813</w:t>
            </w:r>
          </w:p>
        </w:tc>
        <w:tc>
          <w:tcPr>
            <w:tcW w:w="1567" w:type="dxa"/>
            <w:tcBorders>
              <w:top w:val="nil"/>
              <w:left w:val="nil"/>
              <w:bottom w:val="single" w:color="auto" w:sz="8" w:space="0"/>
              <w:right w:val="single" w:color="auto" w:sz="8" w:space="0"/>
            </w:tcBorders>
            <w:hideMark/>
          </w:tcPr>
          <w:p w:rsidRPr="00821320" w:rsidR="00F67ADD" w:rsidP="00B412DF" w:rsidRDefault="00F67ADD" w14:paraId="2D97551B"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eastAsia="es-CO"/>
              </w:rPr>
              <w:t>109.026</w:t>
            </w:r>
          </w:p>
        </w:tc>
        <w:tc>
          <w:tcPr>
            <w:tcW w:w="1633" w:type="dxa"/>
            <w:tcBorders>
              <w:top w:val="nil"/>
              <w:left w:val="nil"/>
              <w:bottom w:val="single" w:color="auto" w:sz="8" w:space="0"/>
              <w:right w:val="single" w:color="auto" w:sz="8" w:space="0"/>
            </w:tcBorders>
            <w:hideMark/>
          </w:tcPr>
          <w:p w:rsidRPr="00821320" w:rsidR="00F67ADD" w:rsidP="00B412DF" w:rsidRDefault="00F67ADD" w14:paraId="21A8A934"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eastAsia="es-CO"/>
              </w:rPr>
              <w:t>120.858</w:t>
            </w:r>
          </w:p>
        </w:tc>
      </w:tr>
      <w:tr w:rsidRPr="00821320" w:rsidR="00F67ADD" w:rsidTr="00F67ADD" w14:paraId="201851C2" w14:textId="77777777">
        <w:trPr>
          <w:trHeight w:val="21"/>
          <w:jc w:val="center"/>
        </w:trPr>
        <w:tc>
          <w:tcPr>
            <w:tcW w:w="3008" w:type="dxa"/>
            <w:tcBorders>
              <w:top w:val="nil"/>
              <w:left w:val="single" w:color="auto" w:sz="8" w:space="0"/>
              <w:bottom w:val="single" w:color="auto" w:sz="8" w:space="0"/>
              <w:right w:val="single" w:color="auto" w:sz="8" w:space="0"/>
            </w:tcBorders>
            <w:hideMark/>
          </w:tcPr>
          <w:p w:rsidRPr="00821320" w:rsidR="00F67ADD" w:rsidP="00B412DF" w:rsidRDefault="00F67ADD" w14:paraId="07C2842F" w14:textId="77777777">
            <w:pPr>
              <w:rPr>
                <w:rFonts w:ascii="Verdana" w:hAnsi="Verdana" w:cs="Calibri"/>
                <w:color w:val="000000"/>
                <w:sz w:val="18"/>
                <w:szCs w:val="18"/>
                <w:lang w:val="es-CO" w:eastAsia="es-CO"/>
              </w:rPr>
            </w:pPr>
            <w:r w:rsidRPr="00821320">
              <w:rPr>
                <w:rFonts w:ascii="Verdana" w:hAnsi="Verdana" w:cs="Calibri"/>
                <w:color w:val="000000"/>
                <w:sz w:val="18"/>
                <w:szCs w:val="18"/>
                <w:lang w:eastAsia="es-CO"/>
              </w:rPr>
              <w:t>(2) Compromisos</w:t>
            </w:r>
          </w:p>
        </w:tc>
        <w:tc>
          <w:tcPr>
            <w:tcW w:w="1689" w:type="dxa"/>
            <w:tcBorders>
              <w:top w:val="nil"/>
              <w:left w:val="nil"/>
              <w:bottom w:val="single" w:color="auto" w:sz="8" w:space="0"/>
              <w:right w:val="single" w:color="auto" w:sz="8" w:space="0"/>
            </w:tcBorders>
            <w:hideMark/>
          </w:tcPr>
          <w:p w:rsidRPr="00821320" w:rsidR="00F67ADD" w:rsidP="00B412DF" w:rsidRDefault="00F67ADD" w14:paraId="4C55AD28"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eastAsia="es-CO"/>
              </w:rPr>
              <w:t>104.479</w:t>
            </w:r>
          </w:p>
        </w:tc>
        <w:tc>
          <w:tcPr>
            <w:tcW w:w="1567" w:type="dxa"/>
            <w:tcBorders>
              <w:top w:val="nil"/>
              <w:left w:val="nil"/>
              <w:bottom w:val="single" w:color="auto" w:sz="8" w:space="0"/>
              <w:right w:val="single" w:color="auto" w:sz="8" w:space="0"/>
            </w:tcBorders>
            <w:hideMark/>
          </w:tcPr>
          <w:p w:rsidRPr="00821320" w:rsidR="00F67ADD" w:rsidP="00B412DF" w:rsidRDefault="00F67ADD" w14:paraId="0DE0A636"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eastAsia="es-CO"/>
              </w:rPr>
              <w:t>108.806</w:t>
            </w:r>
          </w:p>
        </w:tc>
        <w:tc>
          <w:tcPr>
            <w:tcW w:w="1633" w:type="dxa"/>
            <w:tcBorders>
              <w:top w:val="nil"/>
              <w:left w:val="nil"/>
              <w:bottom w:val="single" w:color="auto" w:sz="8" w:space="0"/>
              <w:right w:val="single" w:color="auto" w:sz="8" w:space="0"/>
            </w:tcBorders>
            <w:hideMark/>
          </w:tcPr>
          <w:p w:rsidRPr="00821320" w:rsidR="00F67ADD" w:rsidP="00B412DF" w:rsidRDefault="00F67ADD" w14:paraId="7E550E73"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val="es-CO" w:eastAsia="es-CO"/>
              </w:rPr>
              <w:t>120.691</w:t>
            </w:r>
          </w:p>
        </w:tc>
      </w:tr>
      <w:tr w:rsidRPr="00821320" w:rsidR="00F67ADD" w:rsidTr="00F67ADD" w14:paraId="0A7B65A9" w14:textId="77777777">
        <w:trPr>
          <w:trHeight w:val="21"/>
          <w:jc w:val="center"/>
        </w:trPr>
        <w:tc>
          <w:tcPr>
            <w:tcW w:w="3008" w:type="dxa"/>
            <w:tcBorders>
              <w:top w:val="nil"/>
              <w:left w:val="single" w:color="auto" w:sz="8" w:space="0"/>
              <w:bottom w:val="single" w:color="auto" w:sz="8" w:space="0"/>
              <w:right w:val="single" w:color="auto" w:sz="8" w:space="0"/>
            </w:tcBorders>
            <w:hideMark/>
          </w:tcPr>
          <w:p w:rsidRPr="00821320" w:rsidR="00F67ADD" w:rsidP="00B412DF" w:rsidRDefault="00F67ADD" w14:paraId="60053C3E" w14:textId="77777777">
            <w:pPr>
              <w:rPr>
                <w:rFonts w:ascii="Verdana" w:hAnsi="Verdana" w:cs="Calibri"/>
                <w:color w:val="000000"/>
                <w:sz w:val="18"/>
                <w:szCs w:val="18"/>
                <w:lang w:val="es-CO" w:eastAsia="es-CO"/>
              </w:rPr>
            </w:pPr>
            <w:r w:rsidRPr="00821320">
              <w:rPr>
                <w:rFonts w:ascii="Verdana" w:hAnsi="Verdana" w:cs="Calibri"/>
                <w:color w:val="000000"/>
                <w:sz w:val="18"/>
                <w:szCs w:val="18"/>
                <w:lang w:eastAsia="es-CO"/>
              </w:rPr>
              <w:t>(3) Obligaciones</w:t>
            </w:r>
          </w:p>
        </w:tc>
        <w:tc>
          <w:tcPr>
            <w:tcW w:w="1689" w:type="dxa"/>
            <w:tcBorders>
              <w:top w:val="nil"/>
              <w:left w:val="nil"/>
              <w:bottom w:val="single" w:color="auto" w:sz="8" w:space="0"/>
              <w:right w:val="single" w:color="auto" w:sz="8" w:space="0"/>
            </w:tcBorders>
            <w:hideMark/>
          </w:tcPr>
          <w:p w:rsidRPr="00821320" w:rsidR="00F67ADD" w:rsidP="00B412DF" w:rsidRDefault="00F67ADD" w14:paraId="43E4FC47"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eastAsia="es-CO"/>
              </w:rPr>
              <w:t>104.449</w:t>
            </w:r>
          </w:p>
        </w:tc>
        <w:tc>
          <w:tcPr>
            <w:tcW w:w="1567" w:type="dxa"/>
            <w:tcBorders>
              <w:top w:val="nil"/>
              <w:left w:val="nil"/>
              <w:bottom w:val="single" w:color="auto" w:sz="8" w:space="0"/>
              <w:right w:val="single" w:color="auto" w:sz="8" w:space="0"/>
            </w:tcBorders>
            <w:hideMark/>
          </w:tcPr>
          <w:p w:rsidRPr="00821320" w:rsidR="00F67ADD" w:rsidP="00B412DF" w:rsidRDefault="00F67ADD" w14:paraId="42AEFCE5"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eastAsia="es-CO"/>
              </w:rPr>
              <w:t>108.011</w:t>
            </w:r>
          </w:p>
        </w:tc>
        <w:tc>
          <w:tcPr>
            <w:tcW w:w="1633" w:type="dxa"/>
            <w:tcBorders>
              <w:top w:val="nil"/>
              <w:left w:val="nil"/>
              <w:bottom w:val="single" w:color="auto" w:sz="8" w:space="0"/>
              <w:right w:val="single" w:color="auto" w:sz="8" w:space="0"/>
            </w:tcBorders>
            <w:hideMark/>
          </w:tcPr>
          <w:p w:rsidRPr="00821320" w:rsidR="00F67ADD" w:rsidP="00B412DF" w:rsidRDefault="00F67ADD" w14:paraId="4E28B382"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val="es-CO" w:eastAsia="es-CO"/>
              </w:rPr>
              <w:t>120.655</w:t>
            </w:r>
          </w:p>
        </w:tc>
      </w:tr>
      <w:tr w:rsidRPr="00821320" w:rsidR="00F67ADD" w:rsidTr="00F67ADD" w14:paraId="40DC20C5" w14:textId="77777777">
        <w:trPr>
          <w:trHeight w:val="21"/>
          <w:jc w:val="center"/>
        </w:trPr>
        <w:tc>
          <w:tcPr>
            <w:tcW w:w="3008" w:type="dxa"/>
            <w:tcBorders>
              <w:top w:val="nil"/>
              <w:left w:val="single" w:color="auto" w:sz="8" w:space="0"/>
              <w:bottom w:val="single" w:color="auto" w:sz="8" w:space="0"/>
              <w:right w:val="single" w:color="auto" w:sz="8" w:space="0"/>
            </w:tcBorders>
            <w:hideMark/>
          </w:tcPr>
          <w:p w:rsidRPr="00821320" w:rsidR="00F67ADD" w:rsidP="00B412DF" w:rsidRDefault="00F67ADD" w14:paraId="3AF7B94B" w14:textId="77777777">
            <w:pPr>
              <w:rPr>
                <w:rFonts w:ascii="Verdana" w:hAnsi="Verdana" w:cs="Calibri"/>
                <w:color w:val="000000"/>
                <w:sz w:val="18"/>
                <w:szCs w:val="18"/>
                <w:lang w:val="es-CO" w:eastAsia="es-CO"/>
              </w:rPr>
            </w:pPr>
            <w:r w:rsidRPr="00821320">
              <w:rPr>
                <w:rFonts w:ascii="Verdana" w:hAnsi="Verdana" w:cs="Calibri"/>
                <w:color w:val="000000"/>
                <w:sz w:val="18"/>
                <w:szCs w:val="18"/>
                <w:lang w:eastAsia="es-CO"/>
              </w:rPr>
              <w:t>(4) Pagos</w:t>
            </w:r>
          </w:p>
        </w:tc>
        <w:tc>
          <w:tcPr>
            <w:tcW w:w="1689" w:type="dxa"/>
            <w:tcBorders>
              <w:top w:val="nil"/>
              <w:left w:val="nil"/>
              <w:bottom w:val="single" w:color="auto" w:sz="8" w:space="0"/>
              <w:right w:val="single" w:color="auto" w:sz="8" w:space="0"/>
            </w:tcBorders>
            <w:hideMark/>
          </w:tcPr>
          <w:p w:rsidRPr="00821320" w:rsidR="00F67ADD" w:rsidP="00B412DF" w:rsidRDefault="00F67ADD" w14:paraId="4C8C553A"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eastAsia="es-CO"/>
              </w:rPr>
              <w:t>103.615</w:t>
            </w:r>
          </w:p>
        </w:tc>
        <w:tc>
          <w:tcPr>
            <w:tcW w:w="1567" w:type="dxa"/>
            <w:tcBorders>
              <w:top w:val="nil"/>
              <w:left w:val="nil"/>
              <w:bottom w:val="single" w:color="auto" w:sz="8" w:space="0"/>
              <w:right w:val="single" w:color="auto" w:sz="8" w:space="0"/>
            </w:tcBorders>
            <w:hideMark/>
          </w:tcPr>
          <w:p w:rsidRPr="00821320" w:rsidR="00F67ADD" w:rsidP="00B412DF" w:rsidRDefault="00F67ADD" w14:paraId="3EAE69E3"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eastAsia="es-CO"/>
              </w:rPr>
              <w:t>107.691</w:t>
            </w:r>
          </w:p>
        </w:tc>
        <w:tc>
          <w:tcPr>
            <w:tcW w:w="1633" w:type="dxa"/>
            <w:tcBorders>
              <w:top w:val="nil"/>
              <w:left w:val="nil"/>
              <w:bottom w:val="single" w:color="auto" w:sz="8" w:space="0"/>
              <w:right w:val="single" w:color="auto" w:sz="8" w:space="0"/>
            </w:tcBorders>
            <w:hideMark/>
          </w:tcPr>
          <w:p w:rsidRPr="00821320" w:rsidR="00F67ADD" w:rsidP="00B412DF" w:rsidRDefault="00F67ADD" w14:paraId="4420FECF"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val="es-CO" w:eastAsia="es-CO"/>
              </w:rPr>
              <w:t>120.471</w:t>
            </w:r>
          </w:p>
        </w:tc>
      </w:tr>
      <w:tr w:rsidRPr="00821320" w:rsidR="00F67ADD" w:rsidTr="00F67ADD" w14:paraId="2C64B199" w14:textId="77777777">
        <w:trPr>
          <w:trHeight w:val="21"/>
          <w:jc w:val="center"/>
        </w:trPr>
        <w:tc>
          <w:tcPr>
            <w:tcW w:w="3008" w:type="dxa"/>
            <w:tcBorders>
              <w:top w:val="nil"/>
              <w:left w:val="single" w:color="auto" w:sz="8" w:space="0"/>
              <w:bottom w:val="single" w:color="auto" w:sz="8" w:space="0"/>
              <w:right w:val="single" w:color="auto" w:sz="8" w:space="0"/>
            </w:tcBorders>
            <w:hideMark/>
          </w:tcPr>
          <w:p w:rsidRPr="00821320" w:rsidR="00F67ADD" w:rsidP="00B412DF" w:rsidRDefault="00F67ADD" w14:paraId="57E1E9AD" w14:textId="77777777">
            <w:pPr>
              <w:rPr>
                <w:rFonts w:ascii="Verdana" w:hAnsi="Verdana" w:cs="Calibri"/>
                <w:color w:val="000000"/>
                <w:sz w:val="18"/>
                <w:szCs w:val="18"/>
                <w:lang w:val="es-CO" w:eastAsia="es-CO"/>
              </w:rPr>
            </w:pPr>
            <w:r w:rsidRPr="00821320">
              <w:rPr>
                <w:rFonts w:ascii="Verdana" w:hAnsi="Verdana" w:cs="Calibri"/>
                <w:color w:val="000000"/>
                <w:sz w:val="18"/>
                <w:szCs w:val="18"/>
                <w:lang w:eastAsia="es-CO"/>
              </w:rPr>
              <w:t>Déficit o superávit (1) - (2)</w:t>
            </w:r>
          </w:p>
        </w:tc>
        <w:tc>
          <w:tcPr>
            <w:tcW w:w="1689" w:type="dxa"/>
            <w:tcBorders>
              <w:top w:val="nil"/>
              <w:left w:val="nil"/>
              <w:bottom w:val="single" w:color="auto" w:sz="8" w:space="0"/>
              <w:right w:val="single" w:color="auto" w:sz="8" w:space="0"/>
            </w:tcBorders>
            <w:hideMark/>
          </w:tcPr>
          <w:p w:rsidRPr="00821320" w:rsidR="00F67ADD" w:rsidP="00B412DF" w:rsidRDefault="00F67ADD" w14:paraId="10CE6FF6"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eastAsia="es-CO"/>
              </w:rPr>
              <w:t>1.334</w:t>
            </w:r>
          </w:p>
        </w:tc>
        <w:tc>
          <w:tcPr>
            <w:tcW w:w="1567" w:type="dxa"/>
            <w:tcBorders>
              <w:top w:val="nil"/>
              <w:left w:val="nil"/>
              <w:bottom w:val="single" w:color="auto" w:sz="8" w:space="0"/>
              <w:right w:val="single" w:color="auto" w:sz="8" w:space="0"/>
            </w:tcBorders>
            <w:hideMark/>
          </w:tcPr>
          <w:p w:rsidRPr="00821320" w:rsidR="00F67ADD" w:rsidP="00B412DF" w:rsidRDefault="00F67ADD" w14:paraId="5AA9E93D"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eastAsia="es-CO"/>
              </w:rPr>
              <w:t>220</w:t>
            </w:r>
          </w:p>
        </w:tc>
        <w:tc>
          <w:tcPr>
            <w:tcW w:w="1633" w:type="dxa"/>
            <w:tcBorders>
              <w:top w:val="nil"/>
              <w:left w:val="nil"/>
              <w:bottom w:val="single" w:color="auto" w:sz="8" w:space="0"/>
              <w:right w:val="single" w:color="auto" w:sz="8" w:space="0"/>
            </w:tcBorders>
            <w:hideMark/>
          </w:tcPr>
          <w:p w:rsidRPr="00821320" w:rsidR="00F67ADD" w:rsidP="00B412DF" w:rsidRDefault="00F67ADD" w14:paraId="43659DD4"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eastAsia="es-CO"/>
              </w:rPr>
              <w:t>167</w:t>
            </w:r>
          </w:p>
        </w:tc>
      </w:tr>
      <w:tr w:rsidRPr="00821320" w:rsidR="00F67ADD" w:rsidTr="00F67ADD" w14:paraId="57982896" w14:textId="77777777">
        <w:trPr>
          <w:trHeight w:val="21"/>
          <w:jc w:val="center"/>
        </w:trPr>
        <w:tc>
          <w:tcPr>
            <w:tcW w:w="3008" w:type="dxa"/>
            <w:tcBorders>
              <w:top w:val="nil"/>
              <w:left w:val="single" w:color="auto" w:sz="8" w:space="0"/>
              <w:bottom w:val="single" w:color="auto" w:sz="8" w:space="0"/>
              <w:right w:val="single" w:color="auto" w:sz="8" w:space="0"/>
            </w:tcBorders>
            <w:hideMark/>
          </w:tcPr>
          <w:p w:rsidRPr="00821320" w:rsidR="00F67ADD" w:rsidP="00B412DF" w:rsidRDefault="00F67ADD" w14:paraId="2DFDFD6B" w14:textId="77777777">
            <w:pPr>
              <w:rPr>
                <w:rFonts w:ascii="Verdana" w:hAnsi="Verdana" w:cs="Calibri"/>
                <w:color w:val="000000"/>
                <w:sz w:val="18"/>
                <w:szCs w:val="18"/>
                <w:lang w:val="es-CO" w:eastAsia="es-CO"/>
              </w:rPr>
            </w:pPr>
            <w:r w:rsidRPr="00821320">
              <w:rPr>
                <w:rFonts w:ascii="Verdana" w:hAnsi="Verdana" w:cs="Calibri"/>
                <w:color w:val="000000"/>
                <w:sz w:val="18"/>
                <w:szCs w:val="18"/>
                <w:lang w:eastAsia="es-CO"/>
              </w:rPr>
              <w:t>Reservas (2) - (3)</w:t>
            </w:r>
          </w:p>
        </w:tc>
        <w:tc>
          <w:tcPr>
            <w:tcW w:w="1689" w:type="dxa"/>
            <w:tcBorders>
              <w:top w:val="nil"/>
              <w:left w:val="nil"/>
              <w:bottom w:val="single" w:color="auto" w:sz="8" w:space="0"/>
              <w:right w:val="single" w:color="auto" w:sz="8" w:space="0"/>
            </w:tcBorders>
            <w:hideMark/>
          </w:tcPr>
          <w:p w:rsidRPr="00821320" w:rsidR="00F67ADD" w:rsidP="00B412DF" w:rsidRDefault="00F67ADD" w14:paraId="03EFCC9D"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eastAsia="es-CO"/>
              </w:rPr>
              <w:t>31</w:t>
            </w:r>
          </w:p>
        </w:tc>
        <w:tc>
          <w:tcPr>
            <w:tcW w:w="1567" w:type="dxa"/>
            <w:tcBorders>
              <w:top w:val="nil"/>
              <w:left w:val="nil"/>
              <w:bottom w:val="single" w:color="auto" w:sz="8" w:space="0"/>
              <w:right w:val="single" w:color="auto" w:sz="8" w:space="0"/>
            </w:tcBorders>
            <w:hideMark/>
          </w:tcPr>
          <w:p w:rsidRPr="00821320" w:rsidR="00F67ADD" w:rsidP="00B412DF" w:rsidRDefault="00F67ADD" w14:paraId="2189553D"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eastAsia="es-CO"/>
              </w:rPr>
              <w:t>795</w:t>
            </w:r>
          </w:p>
        </w:tc>
        <w:tc>
          <w:tcPr>
            <w:tcW w:w="1633" w:type="dxa"/>
            <w:tcBorders>
              <w:top w:val="nil"/>
              <w:left w:val="nil"/>
              <w:bottom w:val="single" w:color="auto" w:sz="8" w:space="0"/>
              <w:right w:val="single" w:color="auto" w:sz="8" w:space="0"/>
            </w:tcBorders>
            <w:hideMark/>
          </w:tcPr>
          <w:p w:rsidRPr="00821320" w:rsidR="00F67ADD" w:rsidP="00B412DF" w:rsidRDefault="00F67ADD" w14:paraId="2C97D376"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eastAsia="es-CO"/>
              </w:rPr>
              <w:t>36</w:t>
            </w:r>
          </w:p>
        </w:tc>
      </w:tr>
      <w:tr w:rsidRPr="00821320" w:rsidR="00F67ADD" w:rsidTr="00F67ADD" w14:paraId="3C5C3776" w14:textId="77777777">
        <w:trPr>
          <w:trHeight w:val="21"/>
          <w:jc w:val="center"/>
        </w:trPr>
        <w:tc>
          <w:tcPr>
            <w:tcW w:w="3008" w:type="dxa"/>
            <w:tcBorders>
              <w:top w:val="nil"/>
              <w:left w:val="single" w:color="auto" w:sz="8" w:space="0"/>
              <w:bottom w:val="single" w:color="auto" w:sz="8" w:space="0"/>
              <w:right w:val="single" w:color="auto" w:sz="8" w:space="0"/>
            </w:tcBorders>
            <w:hideMark/>
          </w:tcPr>
          <w:p w:rsidRPr="00821320" w:rsidR="00F67ADD" w:rsidP="00B412DF" w:rsidRDefault="00F67ADD" w14:paraId="0359F0B7" w14:textId="77777777">
            <w:pPr>
              <w:rPr>
                <w:rFonts w:ascii="Verdana" w:hAnsi="Verdana" w:cs="Calibri"/>
                <w:color w:val="000000"/>
                <w:sz w:val="18"/>
                <w:szCs w:val="18"/>
                <w:lang w:val="es-CO" w:eastAsia="es-CO"/>
              </w:rPr>
            </w:pPr>
            <w:r w:rsidRPr="00821320">
              <w:rPr>
                <w:rFonts w:ascii="Verdana" w:hAnsi="Verdana" w:cs="Calibri"/>
                <w:color w:val="000000"/>
                <w:sz w:val="18"/>
                <w:szCs w:val="18"/>
                <w:lang w:eastAsia="es-CO"/>
              </w:rPr>
              <w:t>Cuentas por pagar (3) – (4)</w:t>
            </w:r>
          </w:p>
        </w:tc>
        <w:tc>
          <w:tcPr>
            <w:tcW w:w="1689" w:type="dxa"/>
            <w:tcBorders>
              <w:top w:val="nil"/>
              <w:left w:val="nil"/>
              <w:bottom w:val="single" w:color="auto" w:sz="8" w:space="0"/>
              <w:right w:val="single" w:color="auto" w:sz="8" w:space="0"/>
            </w:tcBorders>
            <w:hideMark/>
          </w:tcPr>
          <w:p w:rsidRPr="00821320" w:rsidR="00F67ADD" w:rsidP="00B412DF" w:rsidRDefault="00F67ADD" w14:paraId="2C745760"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eastAsia="es-CO"/>
              </w:rPr>
              <w:t>834</w:t>
            </w:r>
          </w:p>
        </w:tc>
        <w:tc>
          <w:tcPr>
            <w:tcW w:w="1567" w:type="dxa"/>
            <w:tcBorders>
              <w:top w:val="nil"/>
              <w:left w:val="nil"/>
              <w:bottom w:val="single" w:color="auto" w:sz="8" w:space="0"/>
              <w:right w:val="single" w:color="auto" w:sz="8" w:space="0"/>
            </w:tcBorders>
            <w:hideMark/>
          </w:tcPr>
          <w:p w:rsidRPr="00821320" w:rsidR="00F67ADD" w:rsidP="00B412DF" w:rsidRDefault="00F67ADD" w14:paraId="0648CEE0"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eastAsia="es-CO"/>
              </w:rPr>
              <w:t>320</w:t>
            </w:r>
          </w:p>
        </w:tc>
        <w:tc>
          <w:tcPr>
            <w:tcW w:w="1633" w:type="dxa"/>
            <w:tcBorders>
              <w:top w:val="nil"/>
              <w:left w:val="nil"/>
              <w:bottom w:val="single" w:color="auto" w:sz="8" w:space="0"/>
              <w:right w:val="single" w:color="auto" w:sz="8" w:space="0"/>
            </w:tcBorders>
            <w:hideMark/>
          </w:tcPr>
          <w:p w:rsidRPr="00821320" w:rsidR="00F67ADD" w:rsidP="00B412DF" w:rsidRDefault="00F67ADD" w14:paraId="3235286A" w14:textId="77777777">
            <w:pPr>
              <w:jc w:val="right"/>
              <w:rPr>
                <w:rFonts w:ascii="Verdana" w:hAnsi="Verdana" w:cs="Calibri"/>
                <w:color w:val="000000"/>
                <w:sz w:val="18"/>
                <w:szCs w:val="18"/>
                <w:lang w:val="es-CO" w:eastAsia="es-CO"/>
              </w:rPr>
            </w:pPr>
            <w:r w:rsidRPr="00821320">
              <w:rPr>
                <w:rFonts w:ascii="Verdana" w:hAnsi="Verdana" w:cs="Calibri"/>
                <w:color w:val="000000"/>
                <w:sz w:val="18"/>
                <w:szCs w:val="18"/>
                <w:lang w:eastAsia="es-CO"/>
              </w:rPr>
              <w:t>184</w:t>
            </w:r>
          </w:p>
        </w:tc>
      </w:tr>
    </w:tbl>
    <w:p w:rsidRPr="00821320" w:rsidR="00F67ADD" w:rsidP="00B412DF" w:rsidRDefault="00F67ADD" w14:paraId="38C87240" w14:textId="77777777">
      <w:pPr>
        <w:jc w:val="center"/>
        <w:textAlignment w:val="baseline"/>
        <w:rPr>
          <w:rFonts w:ascii="Verdana" w:hAnsi="Verdana" w:cs="Segoe UI"/>
          <w:sz w:val="18"/>
          <w:szCs w:val="18"/>
          <w:lang w:eastAsia="es-CO"/>
        </w:rPr>
      </w:pPr>
      <w:r w:rsidRPr="00821320">
        <w:rPr>
          <w:rFonts w:ascii="Verdana" w:hAnsi="Verdana" w:cs="Arial"/>
          <w:color w:val="000000" w:themeColor="text1"/>
          <w:sz w:val="18"/>
          <w:szCs w:val="18"/>
          <w:lang w:eastAsia="es-CO"/>
        </w:rPr>
        <w:t>Fuente: Ejecuciones presupuestales para las vigencias 2021, 2022 y 2023 suministradas por el Municipio de Yopal.</w:t>
      </w:r>
    </w:p>
    <w:p w:rsidRPr="00821320" w:rsidR="00F67ADD" w:rsidP="00B412DF" w:rsidRDefault="00F67ADD" w14:paraId="7CD3C68E" w14:textId="77777777">
      <w:pPr>
        <w:jc w:val="both"/>
        <w:textAlignment w:val="baseline"/>
        <w:rPr>
          <w:rFonts w:ascii="Verdana" w:hAnsi="Verdana" w:cs="Arial"/>
          <w:sz w:val="22"/>
          <w:szCs w:val="22"/>
          <w:lang w:eastAsia="es-CO"/>
        </w:rPr>
      </w:pPr>
    </w:p>
    <w:p w:rsidRPr="00821320" w:rsidR="00CE200A" w:rsidP="00B412DF" w:rsidRDefault="00CE200A" w14:paraId="63753676" w14:textId="77777777">
      <w:pPr>
        <w:jc w:val="both"/>
        <w:textAlignment w:val="baseline"/>
        <w:rPr>
          <w:rFonts w:ascii="Verdana" w:hAnsi="Verdana" w:eastAsia="Times New Roman" w:cs="Segoe UI"/>
          <w:sz w:val="22"/>
          <w:szCs w:val="22"/>
          <w:lang w:eastAsia="es-CO"/>
        </w:rPr>
      </w:pPr>
      <w:r w:rsidRPr="00821320">
        <w:rPr>
          <w:rFonts w:ascii="Verdana" w:hAnsi="Verdana" w:eastAsia="Times New Roman" w:cs="Arial"/>
          <w:color w:val="000000"/>
          <w:sz w:val="22"/>
          <w:szCs w:val="22"/>
          <w:lang w:eastAsia="es-CO"/>
        </w:rPr>
        <w:t> </w:t>
      </w:r>
      <w:r w:rsidRPr="00821320">
        <w:rPr>
          <w:rFonts w:ascii="Verdana" w:hAnsi="Verdana" w:eastAsia="Times New Roman" w:cs="Arial"/>
          <w:sz w:val="22"/>
          <w:szCs w:val="22"/>
          <w:lang w:eastAsia="es-CO"/>
        </w:rPr>
        <w:t xml:space="preserve">Adicionalmente, a partir del análisis de la consistencia de la información reportada al FUT por el Municipio para las Categorías de Ingresos, Gastos de Inversión, Gastos de Funcionamiento </w:t>
      </w:r>
      <w:r w:rsidRPr="00821320" w:rsidR="00563A7E">
        <w:rPr>
          <w:rFonts w:ascii="Verdana" w:hAnsi="Verdana" w:eastAsia="Times New Roman" w:cs="Arial"/>
          <w:sz w:val="22"/>
          <w:szCs w:val="22"/>
          <w:lang w:eastAsia="es-CO"/>
        </w:rPr>
        <w:t xml:space="preserve">en </w:t>
      </w:r>
      <w:r w:rsidRPr="00821320">
        <w:rPr>
          <w:rFonts w:ascii="Verdana" w:hAnsi="Verdana" w:eastAsia="Times New Roman" w:cs="Arial"/>
          <w:sz w:val="22"/>
          <w:szCs w:val="22"/>
          <w:lang w:eastAsia="es-CO"/>
        </w:rPr>
        <w:t>la vigencia 2021, se evidencia</w:t>
      </w:r>
      <w:r w:rsidRPr="00821320" w:rsidR="00563A7E">
        <w:rPr>
          <w:rFonts w:ascii="Verdana" w:hAnsi="Verdana" w:eastAsia="Times New Roman" w:cs="Arial"/>
          <w:sz w:val="22"/>
          <w:szCs w:val="22"/>
          <w:lang w:eastAsia="es-CO"/>
        </w:rPr>
        <w:t>ron</w:t>
      </w:r>
      <w:r w:rsidRPr="00821320">
        <w:rPr>
          <w:rFonts w:ascii="Verdana" w:hAnsi="Verdana" w:eastAsia="Times New Roman" w:cs="Arial"/>
          <w:sz w:val="22"/>
          <w:szCs w:val="22"/>
          <w:lang w:eastAsia="es-CO"/>
        </w:rPr>
        <w:t xml:space="preserve"> diferencias con las cifras que la Entidad reportó, como se muestra a continuación: </w:t>
      </w:r>
    </w:p>
    <w:p w:rsidRPr="00821320" w:rsidR="00CE200A" w:rsidP="00B412DF" w:rsidRDefault="00CE200A" w14:paraId="22B736E5" w14:textId="77777777">
      <w:pPr>
        <w:jc w:val="both"/>
        <w:textAlignment w:val="baseline"/>
        <w:rPr>
          <w:rFonts w:ascii="Verdana" w:hAnsi="Verdana" w:eastAsia="Times New Roman" w:cs="Segoe UI"/>
          <w:sz w:val="22"/>
          <w:szCs w:val="22"/>
          <w:lang w:eastAsia="es-CO"/>
        </w:rPr>
      </w:pPr>
      <w:r w:rsidRPr="00821320">
        <w:rPr>
          <w:rFonts w:ascii="Verdana" w:hAnsi="Verdana" w:eastAsia="Times New Roman" w:cs="Arial"/>
          <w:sz w:val="22"/>
          <w:szCs w:val="22"/>
          <w:lang w:eastAsia="es-CO"/>
        </w:rPr>
        <w:t> </w:t>
      </w:r>
    </w:p>
    <w:tbl>
      <w:tblPr>
        <w:tblW w:w="8440" w:type="dxa"/>
        <w:tblCellMar>
          <w:left w:w="70" w:type="dxa"/>
          <w:right w:w="70" w:type="dxa"/>
        </w:tblCellMar>
        <w:tblLook w:val="04A0" w:firstRow="1" w:lastRow="0" w:firstColumn="1" w:lastColumn="0" w:noHBand="0" w:noVBand="1"/>
      </w:tblPr>
      <w:tblGrid>
        <w:gridCol w:w="2840"/>
        <w:gridCol w:w="1686"/>
        <w:gridCol w:w="2694"/>
        <w:gridCol w:w="1220"/>
      </w:tblGrid>
      <w:tr w:rsidRPr="00821320" w:rsidR="00CE200A" w:rsidTr="00CE200A" w14:paraId="44A9EA5F" w14:textId="77777777">
        <w:trPr>
          <w:trHeight w:val="20"/>
        </w:trPr>
        <w:tc>
          <w:tcPr>
            <w:tcW w:w="8440" w:type="dxa"/>
            <w:gridSpan w:val="4"/>
            <w:tcBorders>
              <w:top w:val="single" w:color="auto" w:sz="8" w:space="0"/>
              <w:left w:val="single" w:color="auto" w:sz="8" w:space="0"/>
              <w:bottom w:val="single" w:color="auto" w:sz="8" w:space="0"/>
              <w:right w:val="single" w:color="000000" w:themeColor="text1" w:sz="4" w:space="0"/>
            </w:tcBorders>
            <w:shd w:val="clear" w:color="auto" w:fill="B48C41"/>
            <w:vAlign w:val="center"/>
            <w:hideMark/>
          </w:tcPr>
          <w:p w:rsidRPr="00821320" w:rsidR="00CE200A" w:rsidP="00B412DF" w:rsidRDefault="00CE200A" w14:paraId="69C1A37D" w14:textId="77777777">
            <w:pPr>
              <w:jc w:val="center"/>
              <w:rPr>
                <w:rFonts w:ascii="Verdana" w:hAnsi="Verdana" w:eastAsia="Times New Roman" w:cs="Calibri"/>
                <w:b/>
                <w:bCs/>
                <w:color w:val="FFFFFF" w:themeColor="background1"/>
                <w:sz w:val="18"/>
                <w:szCs w:val="18"/>
                <w:lang w:eastAsia="es-CO"/>
              </w:rPr>
            </w:pPr>
            <w:r w:rsidRPr="00821320">
              <w:rPr>
                <w:rFonts w:ascii="Verdana" w:hAnsi="Verdana" w:eastAsia="Times New Roman" w:cs="Calibri"/>
                <w:b/>
                <w:bCs/>
                <w:color w:val="FFFFFF" w:themeColor="background1"/>
                <w:sz w:val="18"/>
                <w:szCs w:val="18"/>
                <w:lang w:eastAsia="es-CO"/>
              </w:rPr>
              <w:t>TABLA 5. DIFERENCIA ENTRE REPORTE FUT Y EJECUCIÓN PRESUPUESTAL– EN MILLONES DE $</w:t>
            </w:r>
          </w:p>
        </w:tc>
      </w:tr>
      <w:tr w:rsidRPr="00821320" w:rsidR="00CE200A" w:rsidTr="00CE200A" w14:paraId="5BA62A5C" w14:textId="77777777">
        <w:trPr>
          <w:trHeight w:val="20"/>
        </w:trPr>
        <w:tc>
          <w:tcPr>
            <w:tcW w:w="2840" w:type="dxa"/>
            <w:tcBorders>
              <w:top w:val="nil"/>
              <w:left w:val="single" w:color="auto" w:sz="8" w:space="0"/>
              <w:bottom w:val="single" w:color="auto" w:sz="8" w:space="0"/>
              <w:right w:val="single" w:color="auto" w:sz="8" w:space="0"/>
            </w:tcBorders>
            <w:shd w:val="clear" w:color="auto" w:fill="F1EADA"/>
            <w:noWrap/>
            <w:vAlign w:val="center"/>
            <w:hideMark/>
          </w:tcPr>
          <w:p w:rsidRPr="00821320" w:rsidR="00CE200A" w:rsidP="00B412DF" w:rsidRDefault="00CE200A" w14:paraId="459110EF" w14:textId="77777777">
            <w:pPr>
              <w:jc w:val="center"/>
              <w:rPr>
                <w:rFonts w:ascii="Verdana" w:hAnsi="Verdana" w:eastAsia="Times New Roman" w:cs="Calibri"/>
                <w:b/>
                <w:bCs/>
                <w:color w:val="000000"/>
                <w:sz w:val="18"/>
                <w:szCs w:val="18"/>
                <w:lang w:eastAsia="es-CO"/>
              </w:rPr>
            </w:pPr>
            <w:r w:rsidRPr="00821320">
              <w:rPr>
                <w:rFonts w:ascii="Verdana" w:hAnsi="Verdana" w:eastAsia="Times New Roman" w:cs="Calibri"/>
                <w:b/>
                <w:bCs/>
                <w:color w:val="000000"/>
                <w:sz w:val="18"/>
                <w:szCs w:val="18"/>
                <w:lang w:eastAsia="es-CO"/>
              </w:rPr>
              <w:t>Vigencia</w:t>
            </w:r>
          </w:p>
        </w:tc>
        <w:tc>
          <w:tcPr>
            <w:tcW w:w="5600" w:type="dxa"/>
            <w:gridSpan w:val="3"/>
            <w:tcBorders>
              <w:top w:val="single" w:color="auto" w:sz="8" w:space="0"/>
              <w:left w:val="nil"/>
              <w:bottom w:val="single" w:color="auto" w:sz="8" w:space="0"/>
              <w:right w:val="single" w:color="000000" w:themeColor="text1" w:sz="8" w:space="0"/>
            </w:tcBorders>
            <w:shd w:val="clear" w:color="auto" w:fill="F1EADA"/>
            <w:noWrap/>
            <w:vAlign w:val="center"/>
            <w:hideMark/>
          </w:tcPr>
          <w:p w:rsidRPr="00821320" w:rsidR="00CE200A" w:rsidP="00B412DF" w:rsidRDefault="00CE200A" w14:paraId="6943732B" w14:textId="77777777">
            <w:pPr>
              <w:jc w:val="center"/>
              <w:rPr>
                <w:rFonts w:ascii="Verdana" w:hAnsi="Verdana" w:eastAsia="Times New Roman" w:cs="Calibri"/>
                <w:b/>
                <w:bCs/>
                <w:color w:val="000000"/>
                <w:sz w:val="18"/>
                <w:szCs w:val="18"/>
                <w:lang w:eastAsia="es-CO"/>
              </w:rPr>
            </w:pPr>
            <w:r w:rsidRPr="00821320">
              <w:rPr>
                <w:rFonts w:ascii="Verdana" w:hAnsi="Verdana" w:eastAsia="Times New Roman" w:cs="Calibri"/>
                <w:b/>
                <w:bCs/>
                <w:color w:val="000000"/>
                <w:sz w:val="18"/>
                <w:szCs w:val="18"/>
                <w:lang w:eastAsia="es-CO"/>
              </w:rPr>
              <w:t>2021</w:t>
            </w:r>
          </w:p>
        </w:tc>
      </w:tr>
      <w:tr w:rsidRPr="00821320" w:rsidR="00CE200A" w:rsidTr="00B412DF" w14:paraId="654B1366" w14:textId="77777777">
        <w:trPr>
          <w:trHeight w:val="20"/>
        </w:trPr>
        <w:tc>
          <w:tcPr>
            <w:tcW w:w="2840" w:type="dxa"/>
            <w:tcBorders>
              <w:top w:val="nil"/>
              <w:left w:val="single" w:color="auto" w:sz="8" w:space="0"/>
              <w:bottom w:val="single" w:color="auto" w:sz="8" w:space="0"/>
              <w:right w:val="single" w:color="auto" w:sz="8" w:space="0"/>
            </w:tcBorders>
            <w:shd w:val="clear" w:color="auto" w:fill="F1EADA"/>
            <w:vAlign w:val="center"/>
            <w:hideMark/>
          </w:tcPr>
          <w:p w:rsidRPr="00821320" w:rsidR="00CE200A" w:rsidP="00B412DF" w:rsidRDefault="00CE200A" w14:paraId="10B4014A" w14:textId="77777777">
            <w:pPr>
              <w:jc w:val="center"/>
              <w:rPr>
                <w:rFonts w:ascii="Verdana" w:hAnsi="Verdana" w:eastAsia="Times New Roman" w:cs="Calibri"/>
                <w:b/>
                <w:bCs/>
                <w:color w:val="000000"/>
                <w:sz w:val="18"/>
                <w:szCs w:val="18"/>
                <w:lang w:eastAsia="es-CO"/>
              </w:rPr>
            </w:pPr>
            <w:r w:rsidRPr="00821320">
              <w:rPr>
                <w:rFonts w:ascii="Verdana" w:hAnsi="Verdana" w:eastAsia="Times New Roman" w:cs="Calibri"/>
                <w:b/>
                <w:bCs/>
                <w:color w:val="000000"/>
                <w:sz w:val="18"/>
                <w:szCs w:val="18"/>
                <w:lang w:eastAsia="es-CO"/>
              </w:rPr>
              <w:t>Concepto</w:t>
            </w:r>
          </w:p>
        </w:tc>
        <w:tc>
          <w:tcPr>
            <w:tcW w:w="1686" w:type="dxa"/>
            <w:tcBorders>
              <w:top w:val="nil"/>
              <w:left w:val="nil"/>
              <w:bottom w:val="single" w:color="auto" w:sz="8" w:space="0"/>
              <w:right w:val="single" w:color="auto" w:sz="8" w:space="0"/>
            </w:tcBorders>
            <w:shd w:val="clear" w:color="auto" w:fill="F1EADA"/>
            <w:vAlign w:val="center"/>
            <w:hideMark/>
          </w:tcPr>
          <w:p w:rsidRPr="00821320" w:rsidR="00CE200A" w:rsidP="00B412DF" w:rsidRDefault="00CE200A" w14:paraId="64A21CA4" w14:textId="77777777">
            <w:pPr>
              <w:jc w:val="center"/>
              <w:rPr>
                <w:rFonts w:ascii="Verdana" w:hAnsi="Verdana" w:eastAsia="Times New Roman" w:cs="Calibri"/>
                <w:b/>
                <w:bCs/>
                <w:color w:val="000000"/>
                <w:sz w:val="18"/>
                <w:szCs w:val="18"/>
                <w:lang w:eastAsia="es-CO"/>
              </w:rPr>
            </w:pPr>
            <w:r w:rsidRPr="00821320">
              <w:rPr>
                <w:rFonts w:ascii="Verdana" w:hAnsi="Verdana" w:eastAsia="Times New Roman" w:cs="Calibri"/>
                <w:b/>
                <w:bCs/>
                <w:color w:val="000000"/>
                <w:sz w:val="18"/>
                <w:szCs w:val="18"/>
                <w:lang w:eastAsia="es-CO"/>
              </w:rPr>
              <w:t>Cierre Fiscal (Reporte FUT)</w:t>
            </w:r>
          </w:p>
        </w:tc>
        <w:tc>
          <w:tcPr>
            <w:tcW w:w="2694" w:type="dxa"/>
            <w:tcBorders>
              <w:top w:val="nil"/>
              <w:left w:val="nil"/>
              <w:bottom w:val="single" w:color="auto" w:sz="8" w:space="0"/>
              <w:right w:val="single" w:color="auto" w:sz="8" w:space="0"/>
            </w:tcBorders>
            <w:shd w:val="clear" w:color="auto" w:fill="F1EADA"/>
            <w:vAlign w:val="center"/>
            <w:hideMark/>
          </w:tcPr>
          <w:p w:rsidRPr="00821320" w:rsidR="00CE200A" w:rsidP="00B412DF" w:rsidRDefault="00CE200A" w14:paraId="3A31B897" w14:textId="77777777">
            <w:pPr>
              <w:jc w:val="center"/>
              <w:rPr>
                <w:rFonts w:ascii="Verdana" w:hAnsi="Verdana" w:eastAsia="Times New Roman" w:cs="Calibri"/>
                <w:b/>
                <w:bCs/>
                <w:color w:val="000000"/>
                <w:sz w:val="18"/>
                <w:szCs w:val="18"/>
                <w:lang w:eastAsia="es-CO"/>
              </w:rPr>
            </w:pPr>
            <w:r w:rsidRPr="00821320">
              <w:rPr>
                <w:rFonts w:ascii="Verdana" w:hAnsi="Verdana" w:eastAsia="Times New Roman" w:cs="Calibri"/>
                <w:b/>
                <w:bCs/>
                <w:color w:val="000000"/>
                <w:sz w:val="18"/>
                <w:szCs w:val="18"/>
                <w:lang w:eastAsia="es-CO"/>
              </w:rPr>
              <w:t>Cierre Fiscal</w:t>
            </w:r>
            <w:r w:rsidRPr="00821320">
              <w:rPr>
                <w:rFonts w:ascii="Verdana" w:hAnsi="Verdana" w:eastAsia="Times New Roman" w:cs="Calibri"/>
                <w:color w:val="000000"/>
                <w:sz w:val="18"/>
                <w:szCs w:val="18"/>
                <w:lang w:eastAsia="es-CO"/>
              </w:rPr>
              <w:t> </w:t>
            </w:r>
            <w:r w:rsidRPr="00821320">
              <w:rPr>
                <w:rFonts w:ascii="Verdana" w:hAnsi="Verdana" w:eastAsia="Times New Roman" w:cs="Calibri"/>
                <w:b/>
                <w:bCs/>
                <w:color w:val="000000"/>
                <w:sz w:val="18"/>
                <w:szCs w:val="18"/>
                <w:lang w:eastAsia="es-CO"/>
              </w:rPr>
              <w:t>(Ejecución Presupuestal)</w:t>
            </w:r>
          </w:p>
        </w:tc>
        <w:tc>
          <w:tcPr>
            <w:tcW w:w="1220" w:type="dxa"/>
            <w:tcBorders>
              <w:top w:val="nil"/>
              <w:left w:val="nil"/>
              <w:bottom w:val="single" w:color="auto" w:sz="8" w:space="0"/>
              <w:right w:val="single" w:color="auto" w:sz="8" w:space="0"/>
            </w:tcBorders>
            <w:shd w:val="clear" w:color="auto" w:fill="F1EADA"/>
            <w:vAlign w:val="center"/>
            <w:hideMark/>
          </w:tcPr>
          <w:p w:rsidRPr="00821320" w:rsidR="00CE200A" w:rsidP="00B412DF" w:rsidRDefault="00CE200A" w14:paraId="208339BF" w14:textId="77777777">
            <w:pPr>
              <w:jc w:val="center"/>
              <w:rPr>
                <w:rFonts w:ascii="Verdana" w:hAnsi="Verdana" w:eastAsia="Times New Roman" w:cs="Calibri"/>
                <w:b/>
                <w:bCs/>
                <w:color w:val="000000"/>
                <w:sz w:val="18"/>
                <w:szCs w:val="18"/>
                <w:lang w:eastAsia="es-CO"/>
              </w:rPr>
            </w:pPr>
            <w:r w:rsidRPr="00821320">
              <w:rPr>
                <w:rFonts w:ascii="Verdana" w:hAnsi="Verdana" w:eastAsia="Times New Roman" w:cs="Calibri"/>
                <w:b/>
                <w:bCs/>
                <w:color w:val="000000"/>
                <w:sz w:val="18"/>
                <w:szCs w:val="18"/>
                <w:lang w:eastAsia="es-CO"/>
              </w:rPr>
              <w:t>Diferencia</w:t>
            </w:r>
          </w:p>
        </w:tc>
      </w:tr>
      <w:tr w:rsidRPr="00821320" w:rsidR="00CE200A" w:rsidTr="00B412DF" w14:paraId="4052C832" w14:textId="77777777">
        <w:trPr>
          <w:trHeight w:val="20"/>
        </w:trPr>
        <w:tc>
          <w:tcPr>
            <w:tcW w:w="2840" w:type="dxa"/>
            <w:tcBorders>
              <w:top w:val="single" w:color="auto" w:sz="4" w:space="0"/>
              <w:left w:val="single" w:color="auto" w:sz="8" w:space="0"/>
              <w:bottom w:val="single" w:color="auto" w:sz="4" w:space="0"/>
              <w:right w:val="single" w:color="auto" w:sz="4" w:space="0"/>
            </w:tcBorders>
            <w:vAlign w:val="center"/>
            <w:hideMark/>
          </w:tcPr>
          <w:p w:rsidRPr="00821320" w:rsidR="00CE200A" w:rsidP="00B412DF" w:rsidRDefault="00CE200A" w14:paraId="0C34270B"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 Ingresos (Recaudados)</w:t>
            </w:r>
          </w:p>
        </w:tc>
        <w:tc>
          <w:tcPr>
            <w:tcW w:w="1686" w:type="dxa"/>
            <w:tcBorders>
              <w:top w:val="single" w:color="auto" w:sz="4" w:space="0"/>
              <w:left w:val="nil"/>
              <w:bottom w:val="single" w:color="auto" w:sz="4" w:space="0"/>
              <w:right w:val="single" w:color="auto" w:sz="4" w:space="0"/>
            </w:tcBorders>
            <w:vAlign w:val="center"/>
            <w:hideMark/>
          </w:tcPr>
          <w:p w:rsidRPr="00821320" w:rsidR="00CE200A" w:rsidP="00B412DF" w:rsidRDefault="00CE200A" w14:paraId="47CA958E"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106.401</w:t>
            </w:r>
          </w:p>
        </w:tc>
        <w:tc>
          <w:tcPr>
            <w:tcW w:w="2694" w:type="dxa"/>
            <w:tcBorders>
              <w:top w:val="single" w:color="auto" w:sz="4" w:space="0"/>
              <w:left w:val="nil"/>
              <w:bottom w:val="single" w:color="auto" w:sz="4" w:space="0"/>
              <w:right w:val="single" w:color="auto" w:sz="4" w:space="0"/>
            </w:tcBorders>
            <w:vAlign w:val="center"/>
            <w:hideMark/>
          </w:tcPr>
          <w:p w:rsidRPr="00821320" w:rsidR="00CE200A" w:rsidP="00B412DF" w:rsidRDefault="00CE200A" w14:paraId="41D84A25"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105.813</w:t>
            </w:r>
          </w:p>
        </w:tc>
        <w:tc>
          <w:tcPr>
            <w:tcW w:w="1220" w:type="dxa"/>
            <w:tcBorders>
              <w:top w:val="single" w:color="auto" w:sz="4" w:space="0"/>
              <w:left w:val="nil"/>
              <w:bottom w:val="single" w:color="auto" w:sz="4" w:space="0"/>
              <w:right w:val="single" w:color="auto" w:sz="8" w:space="0"/>
            </w:tcBorders>
            <w:vAlign w:val="center"/>
            <w:hideMark/>
          </w:tcPr>
          <w:p w:rsidRPr="00821320" w:rsidR="00CE200A" w:rsidP="00B412DF" w:rsidRDefault="00CE200A" w14:paraId="21A133F3" w14:textId="77777777">
            <w:pPr>
              <w:jc w:val="center"/>
              <w:rPr>
                <w:rFonts w:ascii="Verdana" w:hAnsi="Verdana" w:eastAsia="Times New Roman" w:cs="Calibri"/>
                <w:color w:val="FF0000"/>
                <w:sz w:val="18"/>
                <w:szCs w:val="18"/>
                <w:lang w:eastAsia="es-CO"/>
              </w:rPr>
            </w:pPr>
            <w:r w:rsidRPr="00821320">
              <w:rPr>
                <w:rFonts w:ascii="Verdana" w:hAnsi="Verdana" w:eastAsia="Times New Roman" w:cs="Calibri"/>
                <w:color w:val="FF0000"/>
                <w:sz w:val="18"/>
                <w:szCs w:val="18"/>
                <w:lang w:eastAsia="es-CO"/>
              </w:rPr>
              <w:t>588</w:t>
            </w:r>
          </w:p>
        </w:tc>
      </w:tr>
      <w:tr w:rsidRPr="00821320" w:rsidR="00CE200A" w:rsidTr="00B412DF" w14:paraId="5BFBD66D" w14:textId="77777777">
        <w:trPr>
          <w:trHeight w:val="20"/>
        </w:trPr>
        <w:tc>
          <w:tcPr>
            <w:tcW w:w="2840" w:type="dxa"/>
            <w:tcBorders>
              <w:top w:val="nil"/>
              <w:left w:val="single" w:color="auto" w:sz="8" w:space="0"/>
              <w:bottom w:val="single" w:color="auto" w:sz="4" w:space="0"/>
              <w:right w:val="single" w:color="auto" w:sz="4" w:space="0"/>
            </w:tcBorders>
            <w:vAlign w:val="center"/>
            <w:hideMark/>
          </w:tcPr>
          <w:p w:rsidRPr="00821320" w:rsidR="00CE200A" w:rsidP="00B412DF" w:rsidRDefault="00CE200A" w14:paraId="42D6F49D"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2. Gastos (Comprometidos)</w:t>
            </w:r>
          </w:p>
        </w:tc>
        <w:tc>
          <w:tcPr>
            <w:tcW w:w="1686" w:type="dxa"/>
            <w:tcBorders>
              <w:top w:val="nil"/>
              <w:left w:val="nil"/>
              <w:bottom w:val="single" w:color="auto" w:sz="4" w:space="0"/>
              <w:right w:val="single" w:color="auto" w:sz="4" w:space="0"/>
            </w:tcBorders>
            <w:vAlign w:val="center"/>
            <w:hideMark/>
          </w:tcPr>
          <w:p w:rsidRPr="00821320" w:rsidR="00CE200A" w:rsidP="00B412DF" w:rsidRDefault="00CE200A" w14:paraId="4B730BB1"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104.492</w:t>
            </w:r>
          </w:p>
        </w:tc>
        <w:tc>
          <w:tcPr>
            <w:tcW w:w="2694" w:type="dxa"/>
            <w:tcBorders>
              <w:top w:val="nil"/>
              <w:left w:val="nil"/>
              <w:bottom w:val="single" w:color="auto" w:sz="4" w:space="0"/>
              <w:right w:val="single" w:color="auto" w:sz="4" w:space="0"/>
            </w:tcBorders>
            <w:vAlign w:val="center"/>
            <w:hideMark/>
          </w:tcPr>
          <w:p w:rsidRPr="00821320" w:rsidR="00CE200A" w:rsidP="00B412DF" w:rsidRDefault="00CE200A" w14:paraId="17946B48"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104.479</w:t>
            </w:r>
          </w:p>
        </w:tc>
        <w:tc>
          <w:tcPr>
            <w:tcW w:w="1220" w:type="dxa"/>
            <w:tcBorders>
              <w:top w:val="nil"/>
              <w:left w:val="nil"/>
              <w:bottom w:val="single" w:color="auto" w:sz="4" w:space="0"/>
              <w:right w:val="single" w:color="auto" w:sz="8" w:space="0"/>
            </w:tcBorders>
            <w:vAlign w:val="center"/>
            <w:hideMark/>
          </w:tcPr>
          <w:p w:rsidRPr="00821320" w:rsidR="00CE200A" w:rsidP="00B412DF" w:rsidRDefault="00151A1B" w14:paraId="33E464CD" w14:textId="77777777">
            <w:pPr>
              <w:jc w:val="center"/>
              <w:rPr>
                <w:rFonts w:ascii="Verdana" w:hAnsi="Verdana" w:eastAsia="Times New Roman" w:cs="Calibri"/>
                <w:color w:val="FF0000"/>
                <w:sz w:val="18"/>
                <w:szCs w:val="18"/>
                <w:lang w:eastAsia="es-CO"/>
              </w:rPr>
            </w:pPr>
            <w:r w:rsidRPr="00821320">
              <w:rPr>
                <w:rFonts w:ascii="Verdana" w:hAnsi="Verdana" w:eastAsia="Times New Roman" w:cs="Calibri"/>
                <w:color w:val="FF0000"/>
                <w:sz w:val="18"/>
                <w:szCs w:val="18"/>
                <w:lang w:eastAsia="es-CO"/>
              </w:rPr>
              <w:t>1</w:t>
            </w:r>
            <w:r w:rsidRPr="00821320" w:rsidR="00CE200A">
              <w:rPr>
                <w:rFonts w:ascii="Verdana" w:hAnsi="Verdana" w:eastAsia="Times New Roman" w:cs="Calibri"/>
                <w:color w:val="FF0000"/>
                <w:sz w:val="18"/>
                <w:szCs w:val="18"/>
                <w:lang w:eastAsia="es-CO"/>
              </w:rPr>
              <w:t>2</w:t>
            </w:r>
          </w:p>
        </w:tc>
      </w:tr>
      <w:tr w:rsidRPr="00821320" w:rsidR="00CE200A" w:rsidTr="00B412DF" w14:paraId="686384E6" w14:textId="77777777">
        <w:trPr>
          <w:trHeight w:val="20"/>
        </w:trPr>
        <w:tc>
          <w:tcPr>
            <w:tcW w:w="2840" w:type="dxa"/>
            <w:tcBorders>
              <w:top w:val="nil"/>
              <w:left w:val="single" w:color="auto" w:sz="8" w:space="0"/>
              <w:bottom w:val="single" w:color="auto" w:sz="4" w:space="0"/>
              <w:right w:val="single" w:color="auto" w:sz="4" w:space="0"/>
            </w:tcBorders>
            <w:vAlign w:val="center"/>
            <w:hideMark/>
          </w:tcPr>
          <w:p w:rsidRPr="00821320" w:rsidR="00CE200A" w:rsidP="00B412DF" w:rsidRDefault="00CE200A" w14:paraId="675DF826"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3. Gastos (Obligados)</w:t>
            </w:r>
          </w:p>
        </w:tc>
        <w:tc>
          <w:tcPr>
            <w:tcW w:w="1686" w:type="dxa"/>
            <w:tcBorders>
              <w:top w:val="nil"/>
              <w:left w:val="nil"/>
              <w:bottom w:val="single" w:color="auto" w:sz="4" w:space="0"/>
              <w:right w:val="single" w:color="auto" w:sz="4" w:space="0"/>
            </w:tcBorders>
            <w:vAlign w:val="center"/>
            <w:hideMark/>
          </w:tcPr>
          <w:p w:rsidRPr="00821320" w:rsidR="00CE200A" w:rsidP="00B412DF" w:rsidRDefault="00CE200A" w14:paraId="1B05C0DE"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104.461</w:t>
            </w:r>
          </w:p>
        </w:tc>
        <w:tc>
          <w:tcPr>
            <w:tcW w:w="2694" w:type="dxa"/>
            <w:tcBorders>
              <w:top w:val="nil"/>
              <w:left w:val="nil"/>
              <w:bottom w:val="single" w:color="auto" w:sz="4" w:space="0"/>
              <w:right w:val="single" w:color="auto" w:sz="4" w:space="0"/>
            </w:tcBorders>
            <w:vAlign w:val="center"/>
            <w:hideMark/>
          </w:tcPr>
          <w:p w:rsidRPr="00821320" w:rsidR="00CE200A" w:rsidP="00B412DF" w:rsidRDefault="00CE200A" w14:paraId="46C4D02D"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104.449</w:t>
            </w:r>
          </w:p>
        </w:tc>
        <w:tc>
          <w:tcPr>
            <w:tcW w:w="1220" w:type="dxa"/>
            <w:tcBorders>
              <w:top w:val="nil"/>
              <w:left w:val="nil"/>
              <w:bottom w:val="single" w:color="auto" w:sz="4" w:space="0"/>
              <w:right w:val="single" w:color="auto" w:sz="8" w:space="0"/>
            </w:tcBorders>
            <w:vAlign w:val="center"/>
            <w:hideMark/>
          </w:tcPr>
          <w:p w:rsidRPr="00821320" w:rsidR="00CE200A" w:rsidP="00B412DF" w:rsidRDefault="00CE200A" w14:paraId="07732BC9" w14:textId="77777777">
            <w:pPr>
              <w:jc w:val="center"/>
              <w:rPr>
                <w:rFonts w:ascii="Verdana" w:hAnsi="Verdana" w:eastAsia="Times New Roman" w:cs="Calibri"/>
                <w:color w:val="FF0000"/>
                <w:sz w:val="18"/>
                <w:szCs w:val="18"/>
                <w:lang w:eastAsia="es-CO"/>
              </w:rPr>
            </w:pPr>
            <w:r w:rsidRPr="00821320">
              <w:rPr>
                <w:rFonts w:ascii="Verdana" w:hAnsi="Verdana" w:eastAsia="Times New Roman" w:cs="Calibri"/>
                <w:color w:val="FF0000"/>
                <w:sz w:val="18"/>
                <w:szCs w:val="18"/>
                <w:lang w:eastAsia="es-CO"/>
              </w:rPr>
              <w:t>12</w:t>
            </w:r>
          </w:p>
        </w:tc>
      </w:tr>
      <w:tr w:rsidRPr="00821320" w:rsidR="00CE200A" w:rsidTr="00B412DF" w14:paraId="2B8FDC38" w14:textId="77777777">
        <w:trPr>
          <w:trHeight w:val="20"/>
        </w:trPr>
        <w:tc>
          <w:tcPr>
            <w:tcW w:w="2840" w:type="dxa"/>
            <w:tcBorders>
              <w:top w:val="nil"/>
              <w:left w:val="single" w:color="auto" w:sz="8" w:space="0"/>
              <w:bottom w:val="single" w:color="auto" w:sz="4" w:space="0"/>
              <w:right w:val="single" w:color="auto" w:sz="4" w:space="0"/>
            </w:tcBorders>
            <w:vAlign w:val="center"/>
            <w:hideMark/>
          </w:tcPr>
          <w:p w:rsidRPr="00821320" w:rsidR="00CE200A" w:rsidP="00B412DF" w:rsidRDefault="00CE200A" w14:paraId="4CEE6550"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4. Pagos</w:t>
            </w:r>
          </w:p>
        </w:tc>
        <w:tc>
          <w:tcPr>
            <w:tcW w:w="1686" w:type="dxa"/>
            <w:tcBorders>
              <w:top w:val="nil"/>
              <w:left w:val="nil"/>
              <w:bottom w:val="single" w:color="auto" w:sz="4" w:space="0"/>
              <w:right w:val="single" w:color="auto" w:sz="4" w:space="0"/>
            </w:tcBorders>
            <w:vAlign w:val="center"/>
            <w:hideMark/>
          </w:tcPr>
          <w:p w:rsidRPr="00821320" w:rsidR="00CE200A" w:rsidP="00B412DF" w:rsidRDefault="00CE200A" w14:paraId="70B18E45"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103.627</w:t>
            </w:r>
          </w:p>
        </w:tc>
        <w:tc>
          <w:tcPr>
            <w:tcW w:w="2694" w:type="dxa"/>
            <w:tcBorders>
              <w:top w:val="nil"/>
              <w:left w:val="nil"/>
              <w:bottom w:val="single" w:color="auto" w:sz="4" w:space="0"/>
              <w:right w:val="single" w:color="auto" w:sz="4" w:space="0"/>
            </w:tcBorders>
            <w:vAlign w:val="center"/>
            <w:hideMark/>
          </w:tcPr>
          <w:p w:rsidRPr="00821320" w:rsidR="00CE200A" w:rsidP="00B412DF" w:rsidRDefault="00CE200A" w14:paraId="66ABCF98"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103.615</w:t>
            </w:r>
          </w:p>
        </w:tc>
        <w:tc>
          <w:tcPr>
            <w:tcW w:w="1220" w:type="dxa"/>
            <w:tcBorders>
              <w:top w:val="nil"/>
              <w:left w:val="nil"/>
              <w:bottom w:val="single" w:color="auto" w:sz="4" w:space="0"/>
              <w:right w:val="single" w:color="auto" w:sz="8" w:space="0"/>
            </w:tcBorders>
            <w:vAlign w:val="center"/>
            <w:hideMark/>
          </w:tcPr>
          <w:p w:rsidRPr="00821320" w:rsidR="00CE200A" w:rsidP="00B412DF" w:rsidRDefault="00CE200A" w14:paraId="6847F506" w14:textId="77777777">
            <w:pPr>
              <w:jc w:val="center"/>
              <w:rPr>
                <w:rFonts w:ascii="Verdana" w:hAnsi="Verdana" w:eastAsia="Times New Roman" w:cs="Calibri"/>
                <w:color w:val="FF0000"/>
                <w:sz w:val="18"/>
                <w:szCs w:val="18"/>
                <w:lang w:eastAsia="es-CO"/>
              </w:rPr>
            </w:pPr>
            <w:r w:rsidRPr="00821320">
              <w:rPr>
                <w:rFonts w:ascii="Verdana" w:hAnsi="Verdana" w:eastAsia="Times New Roman" w:cs="Calibri"/>
                <w:color w:val="FF0000"/>
                <w:sz w:val="18"/>
                <w:szCs w:val="18"/>
                <w:lang w:eastAsia="es-CO"/>
              </w:rPr>
              <w:t>12</w:t>
            </w:r>
          </w:p>
        </w:tc>
      </w:tr>
      <w:tr w:rsidRPr="00821320" w:rsidR="00CE200A" w:rsidTr="00B412DF" w14:paraId="629831D2" w14:textId="77777777">
        <w:trPr>
          <w:trHeight w:val="20"/>
        </w:trPr>
        <w:tc>
          <w:tcPr>
            <w:tcW w:w="2840" w:type="dxa"/>
            <w:tcBorders>
              <w:top w:val="nil"/>
              <w:left w:val="single" w:color="auto" w:sz="8" w:space="0"/>
              <w:bottom w:val="single" w:color="auto" w:sz="4" w:space="0"/>
              <w:right w:val="single" w:color="auto" w:sz="4" w:space="0"/>
            </w:tcBorders>
            <w:vAlign w:val="center"/>
            <w:hideMark/>
          </w:tcPr>
          <w:p w:rsidRPr="00821320" w:rsidR="00CE200A" w:rsidP="00B412DF" w:rsidRDefault="00CE200A" w14:paraId="49001F8B"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Déficit o superávit (1) - (2)</w:t>
            </w:r>
          </w:p>
        </w:tc>
        <w:tc>
          <w:tcPr>
            <w:tcW w:w="1686" w:type="dxa"/>
            <w:tcBorders>
              <w:top w:val="nil"/>
              <w:left w:val="nil"/>
              <w:bottom w:val="single" w:color="auto" w:sz="4" w:space="0"/>
              <w:right w:val="single" w:color="auto" w:sz="4" w:space="0"/>
            </w:tcBorders>
            <w:vAlign w:val="center"/>
            <w:hideMark/>
          </w:tcPr>
          <w:p w:rsidRPr="00821320" w:rsidR="00CE200A" w:rsidP="00B412DF" w:rsidRDefault="00CE200A" w14:paraId="24C6F11D"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1.909</w:t>
            </w:r>
          </w:p>
        </w:tc>
        <w:tc>
          <w:tcPr>
            <w:tcW w:w="2694" w:type="dxa"/>
            <w:tcBorders>
              <w:top w:val="nil"/>
              <w:left w:val="nil"/>
              <w:bottom w:val="single" w:color="auto" w:sz="4" w:space="0"/>
              <w:right w:val="single" w:color="auto" w:sz="4" w:space="0"/>
            </w:tcBorders>
            <w:vAlign w:val="center"/>
            <w:hideMark/>
          </w:tcPr>
          <w:p w:rsidRPr="00821320" w:rsidR="00CE200A" w:rsidP="00B412DF" w:rsidRDefault="00CE200A" w14:paraId="7F1CA24C"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1.334</w:t>
            </w:r>
          </w:p>
        </w:tc>
        <w:tc>
          <w:tcPr>
            <w:tcW w:w="1220" w:type="dxa"/>
            <w:tcBorders>
              <w:top w:val="nil"/>
              <w:left w:val="nil"/>
              <w:bottom w:val="single" w:color="auto" w:sz="4" w:space="0"/>
              <w:right w:val="single" w:color="auto" w:sz="8" w:space="0"/>
            </w:tcBorders>
            <w:vAlign w:val="center"/>
            <w:hideMark/>
          </w:tcPr>
          <w:p w:rsidRPr="00821320" w:rsidR="00CE200A" w:rsidP="00B412DF" w:rsidRDefault="00CE200A" w14:paraId="088B49BB" w14:textId="77777777">
            <w:pPr>
              <w:jc w:val="center"/>
              <w:rPr>
                <w:rFonts w:ascii="Verdana" w:hAnsi="Verdana" w:eastAsia="Times New Roman" w:cs="Calibri"/>
                <w:color w:val="FF0000"/>
                <w:sz w:val="18"/>
                <w:szCs w:val="18"/>
                <w:lang w:eastAsia="es-CO"/>
              </w:rPr>
            </w:pPr>
            <w:r w:rsidRPr="00821320">
              <w:rPr>
                <w:rFonts w:ascii="Verdana" w:hAnsi="Verdana" w:eastAsia="Times New Roman" w:cs="Calibri"/>
                <w:color w:val="FF0000"/>
                <w:sz w:val="18"/>
                <w:szCs w:val="18"/>
                <w:lang w:eastAsia="es-CO"/>
              </w:rPr>
              <w:t>575</w:t>
            </w:r>
          </w:p>
        </w:tc>
      </w:tr>
      <w:tr w:rsidRPr="00821320" w:rsidR="00CE200A" w:rsidTr="00B412DF" w14:paraId="0364EFEF" w14:textId="77777777">
        <w:trPr>
          <w:trHeight w:val="20"/>
        </w:trPr>
        <w:tc>
          <w:tcPr>
            <w:tcW w:w="2840" w:type="dxa"/>
            <w:tcBorders>
              <w:top w:val="nil"/>
              <w:left w:val="single" w:color="auto" w:sz="8" w:space="0"/>
              <w:bottom w:val="single" w:color="auto" w:sz="4" w:space="0"/>
              <w:right w:val="single" w:color="auto" w:sz="4" w:space="0"/>
            </w:tcBorders>
            <w:vAlign w:val="center"/>
            <w:hideMark/>
          </w:tcPr>
          <w:p w:rsidRPr="00821320" w:rsidR="00CE200A" w:rsidP="00B412DF" w:rsidRDefault="00CE200A" w14:paraId="03BC298C"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Reservas (2) - (3)</w:t>
            </w:r>
          </w:p>
        </w:tc>
        <w:tc>
          <w:tcPr>
            <w:tcW w:w="1686" w:type="dxa"/>
            <w:tcBorders>
              <w:top w:val="nil"/>
              <w:left w:val="nil"/>
              <w:bottom w:val="single" w:color="auto" w:sz="4" w:space="0"/>
              <w:right w:val="single" w:color="auto" w:sz="4" w:space="0"/>
            </w:tcBorders>
            <w:vAlign w:val="center"/>
            <w:hideMark/>
          </w:tcPr>
          <w:p w:rsidRPr="00821320" w:rsidR="00CE200A" w:rsidP="00B412DF" w:rsidRDefault="00CE200A" w14:paraId="649294AF"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31</w:t>
            </w:r>
          </w:p>
        </w:tc>
        <w:tc>
          <w:tcPr>
            <w:tcW w:w="2694" w:type="dxa"/>
            <w:tcBorders>
              <w:top w:val="nil"/>
              <w:left w:val="nil"/>
              <w:bottom w:val="single" w:color="auto" w:sz="4" w:space="0"/>
              <w:right w:val="single" w:color="auto" w:sz="4" w:space="0"/>
            </w:tcBorders>
            <w:vAlign w:val="center"/>
            <w:hideMark/>
          </w:tcPr>
          <w:p w:rsidRPr="00821320" w:rsidR="00CE200A" w:rsidP="00B412DF" w:rsidRDefault="00CE200A" w14:paraId="665ED996"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31</w:t>
            </w:r>
          </w:p>
        </w:tc>
        <w:tc>
          <w:tcPr>
            <w:tcW w:w="1220" w:type="dxa"/>
            <w:tcBorders>
              <w:top w:val="nil"/>
              <w:left w:val="nil"/>
              <w:bottom w:val="single" w:color="auto" w:sz="4" w:space="0"/>
              <w:right w:val="single" w:color="auto" w:sz="8" w:space="0"/>
            </w:tcBorders>
            <w:vAlign w:val="center"/>
            <w:hideMark/>
          </w:tcPr>
          <w:p w:rsidRPr="00821320" w:rsidR="00CE200A" w:rsidP="00B412DF" w:rsidRDefault="00CE200A" w14:paraId="5FCE2B6D"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0</w:t>
            </w:r>
          </w:p>
        </w:tc>
      </w:tr>
      <w:tr w:rsidRPr="00821320" w:rsidR="00CE200A" w:rsidTr="00B412DF" w14:paraId="33F825DF" w14:textId="77777777">
        <w:trPr>
          <w:trHeight w:val="20"/>
        </w:trPr>
        <w:tc>
          <w:tcPr>
            <w:tcW w:w="2840" w:type="dxa"/>
            <w:tcBorders>
              <w:top w:val="nil"/>
              <w:left w:val="single" w:color="auto" w:sz="8" w:space="0"/>
              <w:bottom w:val="single" w:color="auto" w:sz="4" w:space="0"/>
              <w:right w:val="single" w:color="auto" w:sz="4" w:space="0"/>
            </w:tcBorders>
            <w:vAlign w:val="center"/>
            <w:hideMark/>
          </w:tcPr>
          <w:p w:rsidRPr="00821320" w:rsidR="00CE200A" w:rsidP="00B412DF" w:rsidRDefault="00CE200A" w14:paraId="5255568D"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Cuentas por pagar (3) – (4)</w:t>
            </w:r>
          </w:p>
        </w:tc>
        <w:tc>
          <w:tcPr>
            <w:tcW w:w="1686" w:type="dxa"/>
            <w:tcBorders>
              <w:top w:val="nil"/>
              <w:left w:val="nil"/>
              <w:bottom w:val="single" w:color="auto" w:sz="4" w:space="0"/>
              <w:right w:val="single" w:color="auto" w:sz="4" w:space="0"/>
            </w:tcBorders>
            <w:vAlign w:val="center"/>
            <w:hideMark/>
          </w:tcPr>
          <w:p w:rsidRPr="00821320" w:rsidR="00CE200A" w:rsidP="00B412DF" w:rsidRDefault="00CE200A" w14:paraId="2EE637F0"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834</w:t>
            </w:r>
          </w:p>
        </w:tc>
        <w:tc>
          <w:tcPr>
            <w:tcW w:w="2694" w:type="dxa"/>
            <w:tcBorders>
              <w:top w:val="nil"/>
              <w:left w:val="nil"/>
              <w:bottom w:val="single" w:color="auto" w:sz="4" w:space="0"/>
              <w:right w:val="single" w:color="auto" w:sz="4" w:space="0"/>
            </w:tcBorders>
            <w:vAlign w:val="center"/>
            <w:hideMark/>
          </w:tcPr>
          <w:p w:rsidRPr="00821320" w:rsidR="00CE200A" w:rsidP="00B412DF" w:rsidRDefault="00CE200A" w14:paraId="50FCCE6C"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834</w:t>
            </w:r>
          </w:p>
        </w:tc>
        <w:tc>
          <w:tcPr>
            <w:tcW w:w="1220" w:type="dxa"/>
            <w:tcBorders>
              <w:top w:val="nil"/>
              <w:left w:val="nil"/>
              <w:bottom w:val="single" w:color="auto" w:sz="4" w:space="0"/>
              <w:right w:val="single" w:color="auto" w:sz="8" w:space="0"/>
            </w:tcBorders>
            <w:vAlign w:val="center"/>
            <w:hideMark/>
          </w:tcPr>
          <w:p w:rsidRPr="00821320" w:rsidR="00CE200A" w:rsidP="00B412DF" w:rsidRDefault="00CE200A" w14:paraId="0D87F614"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0</w:t>
            </w:r>
            <w:r w:rsidRPr="00821320" w:rsidR="00151A1B">
              <w:rPr>
                <w:rFonts w:ascii="Verdana" w:hAnsi="Verdana" w:eastAsia="Times New Roman" w:cs="Calibri"/>
                <w:color w:val="000000"/>
                <w:sz w:val="18"/>
                <w:szCs w:val="18"/>
                <w:lang w:eastAsia="es-CO"/>
              </w:rPr>
              <w:t xml:space="preserve"> </w:t>
            </w:r>
          </w:p>
        </w:tc>
      </w:tr>
    </w:tbl>
    <w:p w:rsidRPr="00821320" w:rsidR="00CE200A" w:rsidP="00B412DF" w:rsidRDefault="00CE200A" w14:paraId="51D1B63A" w14:textId="77777777">
      <w:pPr>
        <w:jc w:val="center"/>
        <w:textAlignment w:val="baseline"/>
        <w:rPr>
          <w:rFonts w:ascii="Verdana" w:hAnsi="Verdana" w:eastAsia="Times New Roman" w:cs="Segoe UI"/>
          <w:sz w:val="18"/>
          <w:szCs w:val="18"/>
          <w:lang w:eastAsia="es-CO"/>
        </w:rPr>
      </w:pPr>
      <w:r w:rsidRPr="00821320">
        <w:rPr>
          <w:rFonts w:ascii="Verdana" w:hAnsi="Verdana" w:eastAsia="Times New Roman" w:cs="Arial"/>
          <w:color w:val="000000"/>
          <w:sz w:val="18"/>
          <w:szCs w:val="18"/>
          <w:lang w:eastAsia="es-CO"/>
        </w:rPr>
        <w:lastRenderedPageBreak/>
        <w:t>Fuente: Cálculos DAF con base en la ejecución presupuestal 2021 suministrada por el Municipio de Yopal e información tomada de la Categoría de Ingresos y Gastos de Inversión del Formulario Único Territorial.</w:t>
      </w:r>
    </w:p>
    <w:p w:rsidRPr="00821320" w:rsidR="00CE200A" w:rsidP="00B412DF" w:rsidRDefault="00CE200A" w14:paraId="75489D38" w14:textId="77777777">
      <w:pPr>
        <w:jc w:val="both"/>
        <w:textAlignment w:val="baseline"/>
        <w:rPr>
          <w:rFonts w:ascii="Verdana" w:hAnsi="Verdana" w:eastAsia="Times New Roman" w:cs="Segoe UI"/>
          <w:sz w:val="22"/>
          <w:szCs w:val="22"/>
          <w:lang w:eastAsia="es-CO"/>
        </w:rPr>
      </w:pPr>
      <w:r w:rsidRPr="00821320">
        <w:rPr>
          <w:rFonts w:ascii="Verdana" w:hAnsi="Verdana" w:eastAsia="Times New Roman" w:cs="Arial"/>
          <w:sz w:val="22"/>
          <w:szCs w:val="22"/>
          <w:lang w:eastAsia="es-CO"/>
        </w:rPr>
        <w:t> </w:t>
      </w:r>
    </w:p>
    <w:p w:rsidRPr="00821320" w:rsidR="00CE200A" w:rsidP="00B412DF" w:rsidRDefault="00CE200A" w14:paraId="7DC4587D" w14:textId="77777777">
      <w:pPr>
        <w:jc w:val="both"/>
        <w:textAlignment w:val="baseline"/>
        <w:rPr>
          <w:rFonts w:ascii="Verdana" w:hAnsi="Verdana" w:eastAsia="Times New Roman" w:cs="Segoe UI"/>
          <w:sz w:val="22"/>
          <w:szCs w:val="22"/>
          <w:lang w:eastAsia="es-CO"/>
        </w:rPr>
      </w:pPr>
      <w:r w:rsidRPr="00821320">
        <w:rPr>
          <w:rFonts w:ascii="Verdana" w:hAnsi="Verdana" w:eastAsia="Times New Roman" w:cs="Arial"/>
          <w:sz w:val="22"/>
          <w:szCs w:val="22"/>
          <w:lang w:eastAsia="es-CO"/>
        </w:rPr>
        <w:t>Ahora bien, para la vigencia 2022, la Entidad m</w:t>
      </w:r>
      <w:r w:rsidRPr="00821320" w:rsidR="00563A7E">
        <w:rPr>
          <w:rFonts w:ascii="Verdana" w:hAnsi="Verdana" w:eastAsia="Times New Roman" w:cs="Arial"/>
          <w:sz w:val="22"/>
          <w:szCs w:val="22"/>
          <w:lang w:eastAsia="es-CO"/>
        </w:rPr>
        <w:t xml:space="preserve">ostró </w:t>
      </w:r>
      <w:r w:rsidRPr="00821320">
        <w:rPr>
          <w:rFonts w:ascii="Verdana" w:hAnsi="Verdana" w:eastAsia="Times New Roman" w:cs="Arial"/>
          <w:sz w:val="22"/>
          <w:szCs w:val="22"/>
          <w:lang w:eastAsia="es-CO"/>
        </w:rPr>
        <w:t>consistencia entre lo registrado en la ejecución presupuestal y la información reportada al FUT</w:t>
      </w:r>
      <w:r w:rsidRPr="00821320" w:rsidR="00522100">
        <w:rPr>
          <w:rFonts w:ascii="Verdana" w:hAnsi="Verdana" w:eastAsia="Times New Roman" w:cs="Arial"/>
          <w:sz w:val="22"/>
          <w:szCs w:val="22"/>
          <w:lang w:eastAsia="es-CO"/>
        </w:rPr>
        <w:t xml:space="preserve"> en formulario de cierre fiscal</w:t>
      </w:r>
      <w:r w:rsidRPr="00821320">
        <w:rPr>
          <w:rFonts w:ascii="Verdana" w:hAnsi="Verdana" w:eastAsia="Times New Roman" w:cs="Arial"/>
          <w:sz w:val="22"/>
          <w:szCs w:val="22"/>
          <w:lang w:eastAsia="es-CO"/>
        </w:rPr>
        <w:t xml:space="preserve">. No obstante, el saldo en </w:t>
      </w:r>
      <w:proofErr w:type="gramStart"/>
      <w:r w:rsidRPr="00821320">
        <w:rPr>
          <w:rFonts w:ascii="Verdana" w:hAnsi="Verdana" w:eastAsia="Times New Roman" w:cs="Arial"/>
          <w:sz w:val="22"/>
          <w:szCs w:val="22"/>
          <w:lang w:eastAsia="es-CO"/>
        </w:rPr>
        <w:t>caja</w:t>
      </w:r>
      <w:proofErr w:type="gramEnd"/>
      <w:r w:rsidRPr="00821320">
        <w:rPr>
          <w:rFonts w:ascii="Verdana" w:hAnsi="Verdana" w:eastAsia="Times New Roman" w:cs="Arial"/>
          <w:sz w:val="22"/>
          <w:szCs w:val="22"/>
          <w:lang w:eastAsia="es-CO"/>
        </w:rPr>
        <w:t xml:space="preserve"> y bancos calculado con base en los extractos bancarios suministrados present</w:t>
      </w:r>
      <w:r w:rsidRPr="00821320" w:rsidR="00563A7E">
        <w:rPr>
          <w:rFonts w:ascii="Verdana" w:hAnsi="Verdana" w:eastAsia="Times New Roman" w:cs="Arial"/>
          <w:sz w:val="22"/>
          <w:szCs w:val="22"/>
          <w:lang w:eastAsia="es-CO"/>
        </w:rPr>
        <w:t>ó</w:t>
      </w:r>
      <w:r w:rsidRPr="00821320">
        <w:rPr>
          <w:rFonts w:ascii="Verdana" w:hAnsi="Verdana" w:eastAsia="Times New Roman" w:cs="Arial"/>
          <w:sz w:val="22"/>
          <w:szCs w:val="22"/>
          <w:lang w:eastAsia="es-CO"/>
        </w:rPr>
        <w:t xml:space="preserve"> una diferencia significativa frente al reporte al Cierre Fiscal del FUT ($3.534 millones)</w:t>
      </w:r>
      <w:r w:rsidRPr="00821320" w:rsidR="00563A7E">
        <w:rPr>
          <w:rFonts w:ascii="Verdana" w:hAnsi="Verdana" w:eastAsia="Times New Roman" w:cs="Arial"/>
          <w:sz w:val="22"/>
          <w:szCs w:val="22"/>
          <w:lang w:eastAsia="es-CO"/>
        </w:rPr>
        <w:t>. E</w:t>
      </w:r>
      <w:r w:rsidRPr="00821320">
        <w:rPr>
          <w:rFonts w:ascii="Verdana" w:hAnsi="Verdana" w:eastAsia="Times New Roman" w:cs="Arial"/>
          <w:sz w:val="22"/>
          <w:szCs w:val="22"/>
          <w:lang w:eastAsia="es-CO"/>
        </w:rPr>
        <w:t>l detalle a continuación:</w:t>
      </w:r>
    </w:p>
    <w:p w:rsidRPr="00821320" w:rsidR="00CE200A" w:rsidP="00B412DF" w:rsidRDefault="00CE200A" w14:paraId="7083AA05" w14:textId="77777777">
      <w:pPr>
        <w:jc w:val="both"/>
        <w:textAlignment w:val="baseline"/>
        <w:rPr>
          <w:rFonts w:ascii="Verdana" w:hAnsi="Verdana" w:eastAsia="Times New Roman" w:cs="Segoe UI"/>
          <w:sz w:val="22"/>
          <w:szCs w:val="22"/>
          <w:lang w:eastAsia="es-CO"/>
        </w:rPr>
      </w:pPr>
      <w:r w:rsidRPr="00821320">
        <w:rPr>
          <w:rFonts w:ascii="Verdana" w:hAnsi="Verdana" w:eastAsia="Times New Roman" w:cs="Arial"/>
          <w:sz w:val="22"/>
          <w:szCs w:val="22"/>
          <w:lang w:eastAsia="es-CO"/>
        </w:rPr>
        <w:t> </w:t>
      </w:r>
    </w:p>
    <w:tbl>
      <w:tblPr>
        <w:tblW w:w="8720" w:type="dxa"/>
        <w:tblCellMar>
          <w:left w:w="70" w:type="dxa"/>
          <w:right w:w="70" w:type="dxa"/>
        </w:tblCellMar>
        <w:tblLook w:val="04A0" w:firstRow="1" w:lastRow="0" w:firstColumn="1" w:lastColumn="0" w:noHBand="0" w:noVBand="1"/>
      </w:tblPr>
      <w:tblGrid>
        <w:gridCol w:w="2840"/>
        <w:gridCol w:w="1828"/>
        <w:gridCol w:w="2835"/>
        <w:gridCol w:w="1217"/>
      </w:tblGrid>
      <w:tr w:rsidRPr="00821320" w:rsidR="00CE200A" w:rsidTr="00CE200A" w14:paraId="58C86A15" w14:textId="77777777">
        <w:trPr>
          <w:trHeight w:val="20"/>
        </w:trPr>
        <w:tc>
          <w:tcPr>
            <w:tcW w:w="8720" w:type="dxa"/>
            <w:gridSpan w:val="4"/>
            <w:tcBorders>
              <w:top w:val="single" w:color="auto" w:sz="8" w:space="0"/>
              <w:left w:val="single" w:color="auto" w:sz="8" w:space="0"/>
              <w:bottom w:val="single" w:color="auto" w:sz="8" w:space="0"/>
              <w:right w:val="single" w:color="000000" w:themeColor="text1" w:sz="4" w:space="0"/>
            </w:tcBorders>
            <w:shd w:val="clear" w:color="auto" w:fill="B48C41"/>
            <w:vAlign w:val="center"/>
            <w:hideMark/>
          </w:tcPr>
          <w:p w:rsidRPr="00821320" w:rsidR="00CE200A" w:rsidP="00B412DF" w:rsidRDefault="00CE200A" w14:paraId="061E7057" w14:textId="77777777">
            <w:pPr>
              <w:jc w:val="center"/>
              <w:rPr>
                <w:rFonts w:ascii="Verdana" w:hAnsi="Verdana" w:eastAsia="Times New Roman" w:cs="Calibri"/>
                <w:b/>
                <w:bCs/>
                <w:color w:val="FFFFFF" w:themeColor="background1"/>
                <w:sz w:val="18"/>
                <w:szCs w:val="18"/>
                <w:lang w:eastAsia="es-CO"/>
              </w:rPr>
            </w:pPr>
            <w:r w:rsidRPr="00821320">
              <w:rPr>
                <w:rFonts w:ascii="Verdana" w:hAnsi="Verdana" w:eastAsia="Times New Roman" w:cs="Calibri"/>
                <w:b/>
                <w:bCs/>
                <w:color w:val="FFFFFF" w:themeColor="background1"/>
                <w:sz w:val="18"/>
                <w:szCs w:val="18"/>
                <w:lang w:eastAsia="es-CO"/>
              </w:rPr>
              <w:t xml:space="preserve">TABLA 6. DIFERENCIA ENTRE REPORTE </w:t>
            </w:r>
            <w:r w:rsidR="00112712">
              <w:rPr>
                <w:rFonts w:ascii="Verdana" w:hAnsi="Verdana" w:eastAsia="Times New Roman" w:cs="Calibri"/>
                <w:b/>
                <w:bCs/>
                <w:color w:val="FFFFFF" w:themeColor="background1"/>
                <w:sz w:val="18"/>
                <w:szCs w:val="18"/>
                <w:lang w:eastAsia="es-CO"/>
              </w:rPr>
              <w:t>CUIPO</w:t>
            </w:r>
            <w:r w:rsidRPr="00821320" w:rsidR="00112712">
              <w:rPr>
                <w:rFonts w:ascii="Verdana" w:hAnsi="Verdana" w:eastAsia="Times New Roman" w:cs="Calibri"/>
                <w:b/>
                <w:bCs/>
                <w:color w:val="FFFFFF" w:themeColor="background1"/>
                <w:sz w:val="18"/>
                <w:szCs w:val="18"/>
                <w:lang w:eastAsia="es-CO"/>
              </w:rPr>
              <w:t xml:space="preserve"> </w:t>
            </w:r>
            <w:r w:rsidRPr="00821320">
              <w:rPr>
                <w:rFonts w:ascii="Verdana" w:hAnsi="Verdana" w:eastAsia="Times New Roman" w:cs="Calibri"/>
                <w:b/>
                <w:bCs/>
                <w:color w:val="FFFFFF" w:themeColor="background1"/>
                <w:sz w:val="18"/>
                <w:szCs w:val="18"/>
                <w:lang w:eastAsia="es-CO"/>
              </w:rPr>
              <w:t>Y EJECUCIÓN PRESUPUESTAL– EN MILLONES DE $</w:t>
            </w:r>
          </w:p>
        </w:tc>
      </w:tr>
      <w:tr w:rsidRPr="00821320" w:rsidR="00CE200A" w:rsidTr="00CE200A" w14:paraId="07B23CE7" w14:textId="77777777">
        <w:trPr>
          <w:trHeight w:val="20"/>
        </w:trPr>
        <w:tc>
          <w:tcPr>
            <w:tcW w:w="2840" w:type="dxa"/>
            <w:tcBorders>
              <w:top w:val="nil"/>
              <w:left w:val="single" w:color="auto" w:sz="8" w:space="0"/>
              <w:bottom w:val="single" w:color="auto" w:sz="8" w:space="0"/>
              <w:right w:val="single" w:color="auto" w:sz="8" w:space="0"/>
            </w:tcBorders>
            <w:shd w:val="clear" w:color="auto" w:fill="F1EADA"/>
            <w:noWrap/>
            <w:vAlign w:val="center"/>
            <w:hideMark/>
          </w:tcPr>
          <w:p w:rsidRPr="00821320" w:rsidR="00CE200A" w:rsidP="00B412DF" w:rsidRDefault="00CE200A" w14:paraId="1B9A957A" w14:textId="77777777">
            <w:pPr>
              <w:jc w:val="center"/>
              <w:rPr>
                <w:rFonts w:ascii="Verdana" w:hAnsi="Verdana" w:eastAsia="Times New Roman" w:cs="Calibri"/>
                <w:b/>
                <w:bCs/>
                <w:color w:val="000000"/>
                <w:sz w:val="18"/>
                <w:szCs w:val="18"/>
                <w:lang w:eastAsia="es-CO"/>
              </w:rPr>
            </w:pPr>
            <w:r w:rsidRPr="00821320">
              <w:rPr>
                <w:rFonts w:ascii="Verdana" w:hAnsi="Verdana" w:eastAsia="Times New Roman" w:cs="Calibri"/>
                <w:b/>
                <w:bCs/>
                <w:color w:val="000000"/>
                <w:sz w:val="18"/>
                <w:szCs w:val="18"/>
                <w:lang w:eastAsia="es-CO"/>
              </w:rPr>
              <w:t>Vigencia</w:t>
            </w:r>
          </w:p>
        </w:tc>
        <w:tc>
          <w:tcPr>
            <w:tcW w:w="5880" w:type="dxa"/>
            <w:gridSpan w:val="3"/>
            <w:tcBorders>
              <w:top w:val="single" w:color="auto" w:sz="8" w:space="0"/>
              <w:left w:val="nil"/>
              <w:bottom w:val="single" w:color="auto" w:sz="8" w:space="0"/>
              <w:right w:val="single" w:color="000000" w:themeColor="text1" w:sz="8" w:space="0"/>
            </w:tcBorders>
            <w:shd w:val="clear" w:color="auto" w:fill="F1EADA"/>
            <w:noWrap/>
            <w:vAlign w:val="center"/>
            <w:hideMark/>
          </w:tcPr>
          <w:p w:rsidRPr="00821320" w:rsidR="00CE200A" w:rsidP="00B412DF" w:rsidRDefault="00CE200A" w14:paraId="146527BD" w14:textId="77777777">
            <w:pPr>
              <w:jc w:val="center"/>
              <w:rPr>
                <w:rFonts w:ascii="Verdana" w:hAnsi="Verdana" w:eastAsia="Times New Roman" w:cs="Calibri"/>
                <w:b/>
                <w:bCs/>
                <w:color w:val="000000"/>
                <w:sz w:val="18"/>
                <w:szCs w:val="18"/>
                <w:lang w:eastAsia="es-CO"/>
              </w:rPr>
            </w:pPr>
            <w:r w:rsidRPr="00821320">
              <w:rPr>
                <w:rFonts w:ascii="Verdana" w:hAnsi="Verdana" w:eastAsia="Times New Roman" w:cs="Calibri"/>
                <w:b/>
                <w:bCs/>
                <w:color w:val="000000"/>
                <w:sz w:val="18"/>
                <w:szCs w:val="18"/>
                <w:lang w:eastAsia="es-CO"/>
              </w:rPr>
              <w:t>2022</w:t>
            </w:r>
          </w:p>
        </w:tc>
      </w:tr>
      <w:tr w:rsidRPr="00821320" w:rsidR="00CE200A" w:rsidTr="00B412DF" w14:paraId="08EA2EB9" w14:textId="77777777">
        <w:trPr>
          <w:trHeight w:val="20"/>
        </w:trPr>
        <w:tc>
          <w:tcPr>
            <w:tcW w:w="2840" w:type="dxa"/>
            <w:tcBorders>
              <w:top w:val="nil"/>
              <w:left w:val="single" w:color="auto" w:sz="8" w:space="0"/>
              <w:bottom w:val="single" w:color="auto" w:sz="8" w:space="0"/>
              <w:right w:val="single" w:color="auto" w:sz="8" w:space="0"/>
            </w:tcBorders>
            <w:shd w:val="clear" w:color="auto" w:fill="F1EADA"/>
            <w:vAlign w:val="center"/>
            <w:hideMark/>
          </w:tcPr>
          <w:p w:rsidRPr="00821320" w:rsidR="00CE200A" w:rsidP="00B412DF" w:rsidRDefault="00CE200A" w14:paraId="5BD72915" w14:textId="77777777">
            <w:pPr>
              <w:jc w:val="center"/>
              <w:rPr>
                <w:rFonts w:ascii="Verdana" w:hAnsi="Verdana" w:eastAsia="Times New Roman" w:cs="Calibri"/>
                <w:b/>
                <w:bCs/>
                <w:color w:val="000000"/>
                <w:sz w:val="18"/>
                <w:szCs w:val="18"/>
                <w:lang w:eastAsia="es-CO"/>
              </w:rPr>
            </w:pPr>
            <w:r w:rsidRPr="00821320">
              <w:rPr>
                <w:rFonts w:ascii="Verdana" w:hAnsi="Verdana" w:eastAsia="Times New Roman" w:cs="Calibri"/>
                <w:b/>
                <w:bCs/>
                <w:color w:val="000000"/>
                <w:sz w:val="18"/>
                <w:szCs w:val="18"/>
                <w:lang w:eastAsia="es-CO"/>
              </w:rPr>
              <w:t>Concepto</w:t>
            </w:r>
          </w:p>
        </w:tc>
        <w:tc>
          <w:tcPr>
            <w:tcW w:w="1828" w:type="dxa"/>
            <w:tcBorders>
              <w:top w:val="nil"/>
              <w:left w:val="nil"/>
              <w:bottom w:val="single" w:color="auto" w:sz="8" w:space="0"/>
              <w:right w:val="single" w:color="auto" w:sz="8" w:space="0"/>
            </w:tcBorders>
            <w:shd w:val="clear" w:color="auto" w:fill="F1EADA"/>
            <w:vAlign w:val="center"/>
            <w:hideMark/>
          </w:tcPr>
          <w:p w:rsidRPr="00821320" w:rsidR="00CE200A" w:rsidP="00B412DF" w:rsidRDefault="00CE200A" w14:paraId="684FE930" w14:textId="77777777">
            <w:pPr>
              <w:jc w:val="center"/>
              <w:rPr>
                <w:rFonts w:ascii="Verdana" w:hAnsi="Verdana" w:eastAsia="Times New Roman" w:cs="Calibri"/>
                <w:b/>
                <w:bCs/>
                <w:color w:val="000000"/>
                <w:sz w:val="18"/>
                <w:szCs w:val="18"/>
                <w:lang w:eastAsia="es-CO"/>
              </w:rPr>
            </w:pPr>
            <w:r w:rsidRPr="00821320">
              <w:rPr>
                <w:rFonts w:ascii="Verdana" w:hAnsi="Verdana" w:eastAsia="Times New Roman" w:cs="Calibri"/>
                <w:b/>
                <w:bCs/>
                <w:color w:val="000000"/>
                <w:sz w:val="18"/>
                <w:szCs w:val="18"/>
                <w:lang w:eastAsia="es-CO"/>
              </w:rPr>
              <w:t>Cierre Fiscal (Reporte FUT)</w:t>
            </w:r>
          </w:p>
        </w:tc>
        <w:tc>
          <w:tcPr>
            <w:tcW w:w="2835" w:type="dxa"/>
            <w:tcBorders>
              <w:top w:val="nil"/>
              <w:left w:val="nil"/>
              <w:bottom w:val="single" w:color="auto" w:sz="8" w:space="0"/>
              <w:right w:val="single" w:color="auto" w:sz="8" w:space="0"/>
            </w:tcBorders>
            <w:shd w:val="clear" w:color="auto" w:fill="F1EADA"/>
            <w:vAlign w:val="center"/>
            <w:hideMark/>
          </w:tcPr>
          <w:p w:rsidRPr="00821320" w:rsidR="00CE200A" w:rsidP="00B412DF" w:rsidRDefault="00CE200A" w14:paraId="5CB1B91E" w14:textId="77777777">
            <w:pPr>
              <w:jc w:val="center"/>
              <w:rPr>
                <w:rFonts w:ascii="Verdana" w:hAnsi="Verdana" w:eastAsia="Times New Roman" w:cs="Calibri"/>
                <w:b/>
                <w:bCs/>
                <w:color w:val="000000"/>
                <w:sz w:val="18"/>
                <w:szCs w:val="18"/>
                <w:lang w:eastAsia="es-CO"/>
              </w:rPr>
            </w:pPr>
            <w:r w:rsidRPr="00821320">
              <w:rPr>
                <w:rFonts w:ascii="Verdana" w:hAnsi="Verdana" w:eastAsia="Times New Roman" w:cs="Calibri"/>
                <w:b/>
                <w:bCs/>
                <w:color w:val="000000"/>
                <w:sz w:val="18"/>
                <w:szCs w:val="18"/>
                <w:lang w:eastAsia="es-CO"/>
              </w:rPr>
              <w:t>Cierre Fiscal</w:t>
            </w:r>
            <w:r w:rsidRPr="00821320">
              <w:rPr>
                <w:rFonts w:ascii="Verdana" w:hAnsi="Verdana" w:eastAsia="Times New Roman" w:cs="Calibri"/>
                <w:color w:val="000000"/>
                <w:sz w:val="18"/>
                <w:szCs w:val="18"/>
                <w:lang w:eastAsia="es-CO"/>
              </w:rPr>
              <w:t> </w:t>
            </w:r>
            <w:r w:rsidRPr="00821320">
              <w:rPr>
                <w:rFonts w:ascii="Verdana" w:hAnsi="Verdana" w:eastAsia="Times New Roman" w:cs="Calibri"/>
                <w:b/>
                <w:bCs/>
                <w:color w:val="000000"/>
                <w:sz w:val="18"/>
                <w:szCs w:val="18"/>
                <w:lang w:eastAsia="es-CO"/>
              </w:rPr>
              <w:t>(Ejecución Presupuestal)</w:t>
            </w:r>
          </w:p>
        </w:tc>
        <w:tc>
          <w:tcPr>
            <w:tcW w:w="1217" w:type="dxa"/>
            <w:tcBorders>
              <w:top w:val="nil"/>
              <w:left w:val="nil"/>
              <w:bottom w:val="single" w:color="auto" w:sz="8" w:space="0"/>
              <w:right w:val="single" w:color="auto" w:sz="8" w:space="0"/>
            </w:tcBorders>
            <w:shd w:val="clear" w:color="auto" w:fill="F1EADA"/>
            <w:vAlign w:val="center"/>
            <w:hideMark/>
          </w:tcPr>
          <w:p w:rsidRPr="00821320" w:rsidR="00CE200A" w:rsidP="00B412DF" w:rsidRDefault="00CE200A" w14:paraId="29179635" w14:textId="77777777">
            <w:pPr>
              <w:jc w:val="center"/>
              <w:rPr>
                <w:rFonts w:ascii="Verdana" w:hAnsi="Verdana" w:eastAsia="Times New Roman" w:cs="Calibri"/>
                <w:b/>
                <w:bCs/>
                <w:color w:val="000000"/>
                <w:sz w:val="18"/>
                <w:szCs w:val="18"/>
                <w:lang w:eastAsia="es-CO"/>
              </w:rPr>
            </w:pPr>
            <w:r w:rsidRPr="00821320">
              <w:rPr>
                <w:rFonts w:ascii="Verdana" w:hAnsi="Verdana" w:eastAsia="Times New Roman" w:cs="Calibri"/>
                <w:b/>
                <w:bCs/>
                <w:color w:val="000000"/>
                <w:sz w:val="18"/>
                <w:szCs w:val="18"/>
                <w:lang w:eastAsia="es-CO"/>
              </w:rPr>
              <w:t>Diferencia</w:t>
            </w:r>
          </w:p>
        </w:tc>
      </w:tr>
      <w:tr w:rsidRPr="00821320" w:rsidR="00CE200A" w:rsidTr="00B412DF" w14:paraId="65A34127" w14:textId="77777777">
        <w:trPr>
          <w:trHeight w:val="20"/>
        </w:trPr>
        <w:tc>
          <w:tcPr>
            <w:tcW w:w="2840" w:type="dxa"/>
            <w:tcBorders>
              <w:top w:val="single" w:color="auto" w:sz="4" w:space="0"/>
              <w:left w:val="single" w:color="auto" w:sz="8" w:space="0"/>
              <w:bottom w:val="single" w:color="auto" w:sz="4" w:space="0"/>
              <w:right w:val="single" w:color="auto" w:sz="4" w:space="0"/>
            </w:tcBorders>
            <w:vAlign w:val="center"/>
            <w:hideMark/>
          </w:tcPr>
          <w:p w:rsidRPr="00821320" w:rsidR="00CE200A" w:rsidP="00B412DF" w:rsidRDefault="00CE200A" w14:paraId="1B0F1CEA"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 Ingresos (Recaudados)</w:t>
            </w:r>
          </w:p>
        </w:tc>
        <w:tc>
          <w:tcPr>
            <w:tcW w:w="1828" w:type="dxa"/>
            <w:tcBorders>
              <w:top w:val="single" w:color="auto" w:sz="4" w:space="0"/>
              <w:left w:val="nil"/>
              <w:bottom w:val="single" w:color="auto" w:sz="4" w:space="0"/>
              <w:right w:val="single" w:color="auto" w:sz="4" w:space="0"/>
            </w:tcBorders>
            <w:vAlign w:val="center"/>
            <w:hideMark/>
          </w:tcPr>
          <w:p w:rsidRPr="00821320" w:rsidR="00CE200A" w:rsidP="00B412DF" w:rsidRDefault="00CE200A" w14:paraId="2DD50F35"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109.026</w:t>
            </w:r>
          </w:p>
        </w:tc>
        <w:tc>
          <w:tcPr>
            <w:tcW w:w="2835" w:type="dxa"/>
            <w:tcBorders>
              <w:top w:val="single" w:color="auto" w:sz="4" w:space="0"/>
              <w:left w:val="nil"/>
              <w:bottom w:val="single" w:color="auto" w:sz="4" w:space="0"/>
              <w:right w:val="single" w:color="auto" w:sz="4" w:space="0"/>
            </w:tcBorders>
            <w:vAlign w:val="center"/>
            <w:hideMark/>
          </w:tcPr>
          <w:p w:rsidRPr="00821320" w:rsidR="00CE200A" w:rsidP="00B412DF" w:rsidRDefault="00CE200A" w14:paraId="61B521B2"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109.026</w:t>
            </w:r>
          </w:p>
        </w:tc>
        <w:tc>
          <w:tcPr>
            <w:tcW w:w="1217" w:type="dxa"/>
            <w:tcBorders>
              <w:top w:val="single" w:color="auto" w:sz="4" w:space="0"/>
              <w:left w:val="nil"/>
              <w:bottom w:val="single" w:color="auto" w:sz="4" w:space="0"/>
              <w:right w:val="single" w:color="auto" w:sz="8" w:space="0"/>
            </w:tcBorders>
            <w:vAlign w:val="center"/>
            <w:hideMark/>
          </w:tcPr>
          <w:p w:rsidRPr="00821320" w:rsidR="00CE200A" w:rsidP="00B412DF" w:rsidRDefault="00CE200A" w14:paraId="7CDA8167"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0</w:t>
            </w:r>
          </w:p>
        </w:tc>
      </w:tr>
      <w:tr w:rsidRPr="00821320" w:rsidR="00CE200A" w:rsidTr="00B412DF" w14:paraId="1D045A42" w14:textId="77777777">
        <w:trPr>
          <w:trHeight w:val="20"/>
        </w:trPr>
        <w:tc>
          <w:tcPr>
            <w:tcW w:w="2840" w:type="dxa"/>
            <w:tcBorders>
              <w:top w:val="nil"/>
              <w:left w:val="single" w:color="auto" w:sz="8" w:space="0"/>
              <w:bottom w:val="single" w:color="auto" w:sz="4" w:space="0"/>
              <w:right w:val="single" w:color="auto" w:sz="4" w:space="0"/>
            </w:tcBorders>
            <w:vAlign w:val="center"/>
            <w:hideMark/>
          </w:tcPr>
          <w:p w:rsidRPr="00821320" w:rsidR="00CE200A" w:rsidP="00B412DF" w:rsidRDefault="00CE200A" w14:paraId="4307755F"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2. Gastos (Comprometidos)</w:t>
            </w:r>
          </w:p>
        </w:tc>
        <w:tc>
          <w:tcPr>
            <w:tcW w:w="1828" w:type="dxa"/>
            <w:tcBorders>
              <w:top w:val="nil"/>
              <w:left w:val="nil"/>
              <w:bottom w:val="single" w:color="auto" w:sz="4" w:space="0"/>
              <w:right w:val="single" w:color="auto" w:sz="4" w:space="0"/>
            </w:tcBorders>
            <w:vAlign w:val="center"/>
            <w:hideMark/>
          </w:tcPr>
          <w:p w:rsidRPr="00821320" w:rsidR="00CE200A" w:rsidP="00B412DF" w:rsidRDefault="00CE200A" w14:paraId="102E8F30"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108.806</w:t>
            </w:r>
          </w:p>
        </w:tc>
        <w:tc>
          <w:tcPr>
            <w:tcW w:w="2835" w:type="dxa"/>
            <w:tcBorders>
              <w:top w:val="nil"/>
              <w:left w:val="nil"/>
              <w:bottom w:val="single" w:color="auto" w:sz="4" w:space="0"/>
              <w:right w:val="single" w:color="auto" w:sz="4" w:space="0"/>
            </w:tcBorders>
            <w:vAlign w:val="center"/>
            <w:hideMark/>
          </w:tcPr>
          <w:p w:rsidRPr="00821320" w:rsidR="00CE200A" w:rsidP="00B412DF" w:rsidRDefault="00CE200A" w14:paraId="6537D776"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108.806</w:t>
            </w:r>
          </w:p>
        </w:tc>
        <w:tc>
          <w:tcPr>
            <w:tcW w:w="1217" w:type="dxa"/>
            <w:tcBorders>
              <w:top w:val="nil"/>
              <w:left w:val="nil"/>
              <w:bottom w:val="single" w:color="auto" w:sz="4" w:space="0"/>
              <w:right w:val="single" w:color="auto" w:sz="8" w:space="0"/>
            </w:tcBorders>
            <w:vAlign w:val="center"/>
            <w:hideMark/>
          </w:tcPr>
          <w:p w:rsidRPr="00821320" w:rsidR="00CE200A" w:rsidP="00B412DF" w:rsidRDefault="00CE200A" w14:paraId="2A51BE75"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0</w:t>
            </w:r>
          </w:p>
        </w:tc>
      </w:tr>
      <w:tr w:rsidRPr="00821320" w:rsidR="00CE200A" w:rsidTr="00B412DF" w14:paraId="0FC80C11" w14:textId="77777777">
        <w:trPr>
          <w:trHeight w:val="20"/>
        </w:trPr>
        <w:tc>
          <w:tcPr>
            <w:tcW w:w="2840" w:type="dxa"/>
            <w:tcBorders>
              <w:top w:val="nil"/>
              <w:left w:val="single" w:color="auto" w:sz="8" w:space="0"/>
              <w:bottom w:val="single" w:color="auto" w:sz="4" w:space="0"/>
              <w:right w:val="single" w:color="auto" w:sz="4" w:space="0"/>
            </w:tcBorders>
            <w:vAlign w:val="center"/>
            <w:hideMark/>
          </w:tcPr>
          <w:p w:rsidRPr="00821320" w:rsidR="00CE200A" w:rsidP="00B412DF" w:rsidRDefault="00CE200A" w14:paraId="4B0761F4"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3. Gastos (Obligados)</w:t>
            </w:r>
          </w:p>
        </w:tc>
        <w:tc>
          <w:tcPr>
            <w:tcW w:w="1828" w:type="dxa"/>
            <w:tcBorders>
              <w:top w:val="nil"/>
              <w:left w:val="nil"/>
              <w:bottom w:val="single" w:color="auto" w:sz="4" w:space="0"/>
              <w:right w:val="single" w:color="auto" w:sz="4" w:space="0"/>
            </w:tcBorders>
            <w:vAlign w:val="center"/>
            <w:hideMark/>
          </w:tcPr>
          <w:p w:rsidRPr="00821320" w:rsidR="00CE200A" w:rsidP="00B412DF" w:rsidRDefault="00CE200A" w14:paraId="7545AE85"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108.011</w:t>
            </w:r>
          </w:p>
        </w:tc>
        <w:tc>
          <w:tcPr>
            <w:tcW w:w="2835" w:type="dxa"/>
            <w:tcBorders>
              <w:top w:val="nil"/>
              <w:left w:val="nil"/>
              <w:bottom w:val="single" w:color="auto" w:sz="4" w:space="0"/>
              <w:right w:val="single" w:color="auto" w:sz="4" w:space="0"/>
            </w:tcBorders>
            <w:vAlign w:val="center"/>
            <w:hideMark/>
          </w:tcPr>
          <w:p w:rsidRPr="00821320" w:rsidR="00CE200A" w:rsidP="00B412DF" w:rsidRDefault="00CE200A" w14:paraId="0D451F34"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108.011</w:t>
            </w:r>
          </w:p>
        </w:tc>
        <w:tc>
          <w:tcPr>
            <w:tcW w:w="1217" w:type="dxa"/>
            <w:tcBorders>
              <w:top w:val="nil"/>
              <w:left w:val="nil"/>
              <w:bottom w:val="single" w:color="auto" w:sz="4" w:space="0"/>
              <w:right w:val="single" w:color="auto" w:sz="8" w:space="0"/>
            </w:tcBorders>
            <w:vAlign w:val="center"/>
            <w:hideMark/>
          </w:tcPr>
          <w:p w:rsidRPr="00821320" w:rsidR="00CE200A" w:rsidP="00B412DF" w:rsidRDefault="00CE200A" w14:paraId="2FCABD2C"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0</w:t>
            </w:r>
          </w:p>
        </w:tc>
      </w:tr>
      <w:tr w:rsidRPr="00821320" w:rsidR="00CE200A" w:rsidTr="00B412DF" w14:paraId="050841EE" w14:textId="77777777">
        <w:trPr>
          <w:trHeight w:val="20"/>
        </w:trPr>
        <w:tc>
          <w:tcPr>
            <w:tcW w:w="2840" w:type="dxa"/>
            <w:tcBorders>
              <w:top w:val="nil"/>
              <w:left w:val="single" w:color="auto" w:sz="8" w:space="0"/>
              <w:bottom w:val="single" w:color="auto" w:sz="4" w:space="0"/>
              <w:right w:val="single" w:color="auto" w:sz="4" w:space="0"/>
            </w:tcBorders>
            <w:vAlign w:val="center"/>
            <w:hideMark/>
          </w:tcPr>
          <w:p w:rsidRPr="00821320" w:rsidR="00CE200A" w:rsidP="00B412DF" w:rsidRDefault="00CE200A" w14:paraId="08839BCE"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4. Pagos</w:t>
            </w:r>
          </w:p>
        </w:tc>
        <w:tc>
          <w:tcPr>
            <w:tcW w:w="1828" w:type="dxa"/>
            <w:tcBorders>
              <w:top w:val="nil"/>
              <w:left w:val="nil"/>
              <w:bottom w:val="single" w:color="auto" w:sz="4" w:space="0"/>
              <w:right w:val="single" w:color="auto" w:sz="4" w:space="0"/>
            </w:tcBorders>
            <w:vAlign w:val="center"/>
            <w:hideMark/>
          </w:tcPr>
          <w:p w:rsidRPr="00821320" w:rsidR="00CE200A" w:rsidP="00B412DF" w:rsidRDefault="00CE200A" w14:paraId="3BFCE715"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107.691</w:t>
            </w:r>
          </w:p>
        </w:tc>
        <w:tc>
          <w:tcPr>
            <w:tcW w:w="2835" w:type="dxa"/>
            <w:tcBorders>
              <w:top w:val="nil"/>
              <w:left w:val="nil"/>
              <w:bottom w:val="single" w:color="auto" w:sz="4" w:space="0"/>
              <w:right w:val="single" w:color="auto" w:sz="4" w:space="0"/>
            </w:tcBorders>
            <w:vAlign w:val="center"/>
            <w:hideMark/>
          </w:tcPr>
          <w:p w:rsidRPr="00821320" w:rsidR="00CE200A" w:rsidP="00B412DF" w:rsidRDefault="00CE200A" w14:paraId="7039E1C6"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107.691</w:t>
            </w:r>
          </w:p>
        </w:tc>
        <w:tc>
          <w:tcPr>
            <w:tcW w:w="1217" w:type="dxa"/>
            <w:tcBorders>
              <w:top w:val="nil"/>
              <w:left w:val="nil"/>
              <w:bottom w:val="single" w:color="auto" w:sz="4" w:space="0"/>
              <w:right w:val="single" w:color="auto" w:sz="8" w:space="0"/>
            </w:tcBorders>
            <w:vAlign w:val="center"/>
            <w:hideMark/>
          </w:tcPr>
          <w:p w:rsidRPr="00821320" w:rsidR="00CE200A" w:rsidP="00B412DF" w:rsidRDefault="00CE200A" w14:paraId="77975E44"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0</w:t>
            </w:r>
          </w:p>
        </w:tc>
      </w:tr>
      <w:tr w:rsidRPr="00821320" w:rsidR="00CE200A" w:rsidTr="00B412DF" w14:paraId="765E7359" w14:textId="77777777">
        <w:trPr>
          <w:trHeight w:val="20"/>
        </w:trPr>
        <w:tc>
          <w:tcPr>
            <w:tcW w:w="2840" w:type="dxa"/>
            <w:tcBorders>
              <w:top w:val="nil"/>
              <w:left w:val="single" w:color="auto" w:sz="8" w:space="0"/>
              <w:bottom w:val="single" w:color="auto" w:sz="4" w:space="0"/>
              <w:right w:val="single" w:color="auto" w:sz="4" w:space="0"/>
            </w:tcBorders>
            <w:vAlign w:val="center"/>
            <w:hideMark/>
          </w:tcPr>
          <w:p w:rsidRPr="00821320" w:rsidR="00CE200A" w:rsidP="00B412DF" w:rsidRDefault="00CE200A" w14:paraId="28D5F83E"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Déficit o superávit (1) - (2)</w:t>
            </w:r>
          </w:p>
        </w:tc>
        <w:tc>
          <w:tcPr>
            <w:tcW w:w="1828" w:type="dxa"/>
            <w:tcBorders>
              <w:top w:val="nil"/>
              <w:left w:val="nil"/>
              <w:bottom w:val="single" w:color="auto" w:sz="4" w:space="0"/>
              <w:right w:val="single" w:color="auto" w:sz="4" w:space="0"/>
            </w:tcBorders>
            <w:vAlign w:val="center"/>
            <w:hideMark/>
          </w:tcPr>
          <w:p w:rsidRPr="00821320" w:rsidR="00CE200A" w:rsidP="00B412DF" w:rsidRDefault="00CE200A" w14:paraId="33A11F84"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220</w:t>
            </w:r>
          </w:p>
        </w:tc>
        <w:tc>
          <w:tcPr>
            <w:tcW w:w="2835" w:type="dxa"/>
            <w:tcBorders>
              <w:top w:val="nil"/>
              <w:left w:val="nil"/>
              <w:bottom w:val="single" w:color="auto" w:sz="4" w:space="0"/>
              <w:right w:val="single" w:color="auto" w:sz="4" w:space="0"/>
            </w:tcBorders>
            <w:vAlign w:val="center"/>
            <w:hideMark/>
          </w:tcPr>
          <w:p w:rsidRPr="00821320" w:rsidR="00CE200A" w:rsidP="00B412DF" w:rsidRDefault="00CE200A" w14:paraId="4742DF3F"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220</w:t>
            </w:r>
          </w:p>
        </w:tc>
        <w:tc>
          <w:tcPr>
            <w:tcW w:w="1217" w:type="dxa"/>
            <w:tcBorders>
              <w:top w:val="nil"/>
              <w:left w:val="nil"/>
              <w:bottom w:val="single" w:color="auto" w:sz="4" w:space="0"/>
              <w:right w:val="single" w:color="auto" w:sz="8" w:space="0"/>
            </w:tcBorders>
            <w:vAlign w:val="center"/>
            <w:hideMark/>
          </w:tcPr>
          <w:p w:rsidRPr="00821320" w:rsidR="00CE200A" w:rsidP="00B412DF" w:rsidRDefault="00CE200A" w14:paraId="6B7B5AFC"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0</w:t>
            </w:r>
          </w:p>
        </w:tc>
      </w:tr>
      <w:tr w:rsidRPr="00821320" w:rsidR="00CE200A" w:rsidTr="00B412DF" w14:paraId="16ECC253" w14:textId="77777777">
        <w:trPr>
          <w:trHeight w:val="20"/>
        </w:trPr>
        <w:tc>
          <w:tcPr>
            <w:tcW w:w="2840" w:type="dxa"/>
            <w:tcBorders>
              <w:top w:val="nil"/>
              <w:left w:val="single" w:color="auto" w:sz="8" w:space="0"/>
              <w:bottom w:val="single" w:color="auto" w:sz="4" w:space="0"/>
              <w:right w:val="single" w:color="auto" w:sz="4" w:space="0"/>
            </w:tcBorders>
            <w:vAlign w:val="center"/>
            <w:hideMark/>
          </w:tcPr>
          <w:p w:rsidRPr="00821320" w:rsidR="00CE200A" w:rsidP="00B412DF" w:rsidRDefault="00CE200A" w14:paraId="207C1CA3"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Reservas (2) - (3)</w:t>
            </w:r>
          </w:p>
        </w:tc>
        <w:tc>
          <w:tcPr>
            <w:tcW w:w="1828" w:type="dxa"/>
            <w:tcBorders>
              <w:top w:val="nil"/>
              <w:left w:val="nil"/>
              <w:bottom w:val="single" w:color="auto" w:sz="4" w:space="0"/>
              <w:right w:val="single" w:color="auto" w:sz="4" w:space="0"/>
            </w:tcBorders>
            <w:vAlign w:val="center"/>
            <w:hideMark/>
          </w:tcPr>
          <w:p w:rsidRPr="00821320" w:rsidR="00CE200A" w:rsidP="00B412DF" w:rsidRDefault="00CE200A" w14:paraId="54636411"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795</w:t>
            </w:r>
          </w:p>
        </w:tc>
        <w:tc>
          <w:tcPr>
            <w:tcW w:w="2835" w:type="dxa"/>
            <w:tcBorders>
              <w:top w:val="nil"/>
              <w:left w:val="nil"/>
              <w:bottom w:val="single" w:color="auto" w:sz="4" w:space="0"/>
              <w:right w:val="single" w:color="auto" w:sz="4" w:space="0"/>
            </w:tcBorders>
            <w:vAlign w:val="center"/>
            <w:hideMark/>
          </w:tcPr>
          <w:p w:rsidRPr="00821320" w:rsidR="00CE200A" w:rsidP="00B412DF" w:rsidRDefault="00CE200A" w14:paraId="0402CBA0"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795</w:t>
            </w:r>
          </w:p>
        </w:tc>
        <w:tc>
          <w:tcPr>
            <w:tcW w:w="1217" w:type="dxa"/>
            <w:tcBorders>
              <w:top w:val="nil"/>
              <w:left w:val="nil"/>
              <w:bottom w:val="single" w:color="auto" w:sz="4" w:space="0"/>
              <w:right w:val="single" w:color="auto" w:sz="8" w:space="0"/>
            </w:tcBorders>
            <w:vAlign w:val="center"/>
            <w:hideMark/>
          </w:tcPr>
          <w:p w:rsidRPr="00821320" w:rsidR="00CE200A" w:rsidP="00B412DF" w:rsidRDefault="00CE200A" w14:paraId="7A4A7EBB"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0</w:t>
            </w:r>
          </w:p>
        </w:tc>
      </w:tr>
      <w:tr w:rsidRPr="00821320" w:rsidR="00CE200A" w:rsidTr="00B412DF" w14:paraId="12F468AB" w14:textId="77777777">
        <w:trPr>
          <w:trHeight w:val="20"/>
        </w:trPr>
        <w:tc>
          <w:tcPr>
            <w:tcW w:w="2840" w:type="dxa"/>
            <w:tcBorders>
              <w:top w:val="nil"/>
              <w:left w:val="single" w:color="auto" w:sz="8" w:space="0"/>
              <w:bottom w:val="single" w:color="auto" w:sz="4" w:space="0"/>
              <w:right w:val="single" w:color="auto" w:sz="4" w:space="0"/>
            </w:tcBorders>
            <w:vAlign w:val="center"/>
            <w:hideMark/>
          </w:tcPr>
          <w:p w:rsidRPr="00821320" w:rsidR="00CE200A" w:rsidP="00B412DF" w:rsidRDefault="00CE200A" w14:paraId="13E79D55"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Cuentas por pagar (3) – (4)</w:t>
            </w:r>
          </w:p>
        </w:tc>
        <w:tc>
          <w:tcPr>
            <w:tcW w:w="1828" w:type="dxa"/>
            <w:tcBorders>
              <w:top w:val="nil"/>
              <w:left w:val="nil"/>
              <w:bottom w:val="single" w:color="auto" w:sz="4" w:space="0"/>
              <w:right w:val="single" w:color="auto" w:sz="4" w:space="0"/>
            </w:tcBorders>
            <w:vAlign w:val="center"/>
            <w:hideMark/>
          </w:tcPr>
          <w:p w:rsidRPr="00821320" w:rsidR="00CE200A" w:rsidP="00B412DF" w:rsidRDefault="00CE200A" w14:paraId="378B7BAE"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320</w:t>
            </w:r>
          </w:p>
        </w:tc>
        <w:tc>
          <w:tcPr>
            <w:tcW w:w="2835" w:type="dxa"/>
            <w:tcBorders>
              <w:top w:val="nil"/>
              <w:left w:val="nil"/>
              <w:bottom w:val="single" w:color="auto" w:sz="4" w:space="0"/>
              <w:right w:val="single" w:color="auto" w:sz="4" w:space="0"/>
            </w:tcBorders>
            <w:vAlign w:val="center"/>
            <w:hideMark/>
          </w:tcPr>
          <w:p w:rsidRPr="00821320" w:rsidR="00CE200A" w:rsidP="00B412DF" w:rsidRDefault="00CE200A" w14:paraId="7D1485B8"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320</w:t>
            </w:r>
          </w:p>
        </w:tc>
        <w:tc>
          <w:tcPr>
            <w:tcW w:w="1217" w:type="dxa"/>
            <w:tcBorders>
              <w:top w:val="nil"/>
              <w:left w:val="nil"/>
              <w:bottom w:val="single" w:color="auto" w:sz="4" w:space="0"/>
              <w:right w:val="single" w:color="auto" w:sz="8" w:space="0"/>
            </w:tcBorders>
            <w:vAlign w:val="center"/>
            <w:hideMark/>
          </w:tcPr>
          <w:p w:rsidRPr="00821320" w:rsidR="00CE200A" w:rsidP="00B412DF" w:rsidRDefault="00CE200A" w14:paraId="175AD6F0"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0</w:t>
            </w:r>
          </w:p>
        </w:tc>
      </w:tr>
      <w:tr w:rsidRPr="00821320" w:rsidR="00CE200A" w:rsidTr="00B412DF" w14:paraId="3409B263" w14:textId="77777777">
        <w:trPr>
          <w:trHeight w:val="20"/>
        </w:trPr>
        <w:tc>
          <w:tcPr>
            <w:tcW w:w="2840" w:type="dxa"/>
            <w:tcBorders>
              <w:top w:val="nil"/>
              <w:left w:val="single" w:color="auto" w:sz="8" w:space="0"/>
              <w:bottom w:val="single" w:color="auto" w:sz="8" w:space="0"/>
              <w:right w:val="single" w:color="auto" w:sz="4" w:space="0"/>
            </w:tcBorders>
            <w:vAlign w:val="center"/>
            <w:hideMark/>
          </w:tcPr>
          <w:p w:rsidRPr="00821320" w:rsidR="00CE200A" w:rsidP="00B412DF" w:rsidRDefault="00CE200A" w14:paraId="4560136E"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 xml:space="preserve">Saldo en </w:t>
            </w:r>
            <w:proofErr w:type="gramStart"/>
            <w:r w:rsidRPr="00821320">
              <w:rPr>
                <w:rFonts w:ascii="Verdana" w:hAnsi="Verdana" w:eastAsia="Times New Roman" w:cs="Calibri"/>
                <w:color w:val="000000"/>
                <w:sz w:val="18"/>
                <w:szCs w:val="18"/>
                <w:lang w:eastAsia="es-CO"/>
              </w:rPr>
              <w:t>caja</w:t>
            </w:r>
            <w:proofErr w:type="gramEnd"/>
            <w:r w:rsidRPr="00821320">
              <w:rPr>
                <w:rFonts w:ascii="Verdana" w:hAnsi="Verdana" w:eastAsia="Times New Roman" w:cs="Calibri"/>
                <w:color w:val="000000"/>
                <w:sz w:val="18"/>
                <w:szCs w:val="18"/>
                <w:lang w:eastAsia="es-CO"/>
              </w:rPr>
              <w:t xml:space="preserve"> y bancos</w:t>
            </w:r>
          </w:p>
        </w:tc>
        <w:tc>
          <w:tcPr>
            <w:tcW w:w="1828" w:type="dxa"/>
            <w:tcBorders>
              <w:top w:val="nil"/>
              <w:left w:val="nil"/>
              <w:bottom w:val="single" w:color="auto" w:sz="8" w:space="0"/>
              <w:right w:val="single" w:color="auto" w:sz="4" w:space="0"/>
            </w:tcBorders>
            <w:vAlign w:val="center"/>
            <w:hideMark/>
          </w:tcPr>
          <w:p w:rsidRPr="00821320" w:rsidR="00CE200A" w:rsidP="00B412DF" w:rsidRDefault="00CE200A" w14:paraId="11D63C5B"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2.823</w:t>
            </w:r>
          </w:p>
        </w:tc>
        <w:tc>
          <w:tcPr>
            <w:tcW w:w="2835" w:type="dxa"/>
            <w:tcBorders>
              <w:top w:val="nil"/>
              <w:left w:val="nil"/>
              <w:bottom w:val="single" w:color="auto" w:sz="8" w:space="0"/>
              <w:right w:val="single" w:color="auto" w:sz="4" w:space="0"/>
            </w:tcBorders>
            <w:vAlign w:val="center"/>
            <w:hideMark/>
          </w:tcPr>
          <w:p w:rsidRPr="00821320" w:rsidR="00CE200A" w:rsidP="00B412DF" w:rsidRDefault="00CE200A" w14:paraId="62D616EB"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6.357</w:t>
            </w:r>
          </w:p>
        </w:tc>
        <w:tc>
          <w:tcPr>
            <w:tcW w:w="1217" w:type="dxa"/>
            <w:tcBorders>
              <w:top w:val="nil"/>
              <w:left w:val="nil"/>
              <w:bottom w:val="single" w:color="auto" w:sz="8" w:space="0"/>
              <w:right w:val="single" w:color="auto" w:sz="8" w:space="0"/>
            </w:tcBorders>
            <w:vAlign w:val="center"/>
            <w:hideMark/>
          </w:tcPr>
          <w:p w:rsidRPr="00821320" w:rsidR="00CE200A" w:rsidP="00B412DF" w:rsidRDefault="00CE200A" w14:paraId="4A3A277D"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FF0000"/>
                <w:sz w:val="18"/>
                <w:szCs w:val="18"/>
                <w:lang w:eastAsia="es-CO"/>
              </w:rPr>
              <w:t>-3.534</w:t>
            </w:r>
          </w:p>
        </w:tc>
      </w:tr>
    </w:tbl>
    <w:p w:rsidRPr="00821320" w:rsidR="00522100" w:rsidP="00B412DF" w:rsidRDefault="00CE200A" w14:paraId="730D60D8" w14:textId="77777777">
      <w:pPr>
        <w:jc w:val="center"/>
        <w:textAlignment w:val="baseline"/>
        <w:rPr>
          <w:rFonts w:ascii="Verdana" w:hAnsi="Verdana" w:eastAsia="Times New Roman" w:cs="Arial"/>
          <w:color w:val="000000"/>
          <w:sz w:val="22"/>
          <w:szCs w:val="22"/>
          <w:lang w:eastAsia="es-CO"/>
        </w:rPr>
      </w:pPr>
      <w:r w:rsidRPr="00821320">
        <w:rPr>
          <w:rFonts w:ascii="Verdana" w:hAnsi="Verdana" w:eastAsia="Times New Roman" w:cs="Arial"/>
          <w:color w:val="000000"/>
          <w:sz w:val="18"/>
          <w:szCs w:val="18"/>
          <w:lang w:eastAsia="es-CO"/>
        </w:rPr>
        <w:t>Fuente: Cálculos DAF con base en la ejecución presupuestal 2022 y extractos bancarios suministrados por el Municipio de Yopal e información tomada del Formulario de Ejecución de Gastos del CUIPO y Cierre Fiscal del FUT</w:t>
      </w:r>
      <w:r w:rsidRPr="00821320">
        <w:rPr>
          <w:rFonts w:ascii="Verdana" w:hAnsi="Verdana" w:eastAsia="Times New Roman" w:cs="Arial"/>
          <w:color w:val="000000"/>
          <w:sz w:val="22"/>
          <w:szCs w:val="22"/>
          <w:lang w:eastAsia="es-CO"/>
        </w:rPr>
        <w:t>.</w:t>
      </w:r>
    </w:p>
    <w:p w:rsidRPr="00821320" w:rsidR="00522100" w:rsidP="00B412DF" w:rsidRDefault="00522100" w14:paraId="63493959" w14:textId="77777777">
      <w:pPr>
        <w:jc w:val="center"/>
        <w:textAlignment w:val="baseline"/>
        <w:rPr>
          <w:rFonts w:ascii="Verdana" w:hAnsi="Verdana" w:eastAsia="Times New Roman" w:cs="Arial"/>
          <w:color w:val="000000"/>
          <w:sz w:val="22"/>
          <w:szCs w:val="22"/>
          <w:lang w:eastAsia="es-CO"/>
        </w:rPr>
      </w:pPr>
    </w:p>
    <w:p w:rsidRPr="00821320" w:rsidR="00F67ADD" w:rsidP="00B412DF" w:rsidRDefault="00F67ADD" w14:paraId="0B2A0758" w14:textId="77777777">
      <w:pPr>
        <w:contextualSpacing/>
        <w:jc w:val="both"/>
        <w:rPr>
          <w:rFonts w:ascii="Verdana" w:hAnsi="Verdana" w:cs="Arial"/>
          <w:sz w:val="22"/>
          <w:szCs w:val="22"/>
          <w:lang w:eastAsia="es-CO"/>
        </w:rPr>
      </w:pPr>
      <w:r w:rsidRPr="00821320">
        <w:rPr>
          <w:rFonts w:ascii="Verdana" w:hAnsi="Verdana" w:cs="Arial"/>
          <w:sz w:val="22"/>
          <w:szCs w:val="22"/>
          <w:lang w:eastAsia="es-CO"/>
        </w:rPr>
        <w:t xml:space="preserve">Para la vigencia 2023, </w:t>
      </w:r>
      <w:r w:rsidRPr="00821320" w:rsidR="00A517BF">
        <w:rPr>
          <w:rFonts w:ascii="Verdana" w:hAnsi="Verdana" w:cs="Arial"/>
          <w:sz w:val="22"/>
          <w:szCs w:val="22"/>
          <w:lang w:eastAsia="es-CO"/>
        </w:rPr>
        <w:t xml:space="preserve">se identificaron </w:t>
      </w:r>
      <w:r w:rsidRPr="00821320" w:rsidR="00FE1869">
        <w:rPr>
          <w:rFonts w:ascii="Verdana" w:hAnsi="Verdana" w:cs="Arial"/>
          <w:sz w:val="22"/>
          <w:szCs w:val="22"/>
          <w:lang w:eastAsia="es-CO"/>
        </w:rPr>
        <w:t>diferencias entre lo registrado en la ejecución presupuestal y lo reportado en CUIPO, el detalle a continuación</w:t>
      </w:r>
      <w:r w:rsidRPr="00821320">
        <w:rPr>
          <w:rFonts w:ascii="Verdana" w:hAnsi="Verdana" w:cs="Arial"/>
          <w:sz w:val="22"/>
          <w:szCs w:val="22"/>
          <w:lang w:eastAsia="es-CO"/>
        </w:rPr>
        <w:t>:</w:t>
      </w:r>
    </w:p>
    <w:p w:rsidRPr="00821320" w:rsidR="00F67ADD" w:rsidP="00B412DF" w:rsidRDefault="00F67ADD" w14:paraId="66685FAE" w14:textId="77777777">
      <w:pPr>
        <w:contextualSpacing/>
        <w:jc w:val="both"/>
        <w:rPr>
          <w:rFonts w:ascii="Verdana" w:hAnsi="Verdana" w:cs="Segoe UI"/>
          <w:sz w:val="22"/>
          <w:szCs w:val="22"/>
          <w:lang w:eastAsia="es-CO"/>
        </w:rPr>
      </w:pPr>
    </w:p>
    <w:tbl>
      <w:tblPr>
        <w:tblW w:w="9038" w:type="dxa"/>
        <w:jc w:val="center"/>
        <w:tblCellMar>
          <w:left w:w="70" w:type="dxa"/>
          <w:right w:w="70" w:type="dxa"/>
        </w:tblCellMar>
        <w:tblLook w:val="04A0" w:firstRow="1" w:lastRow="0" w:firstColumn="1" w:lastColumn="0" w:noHBand="0" w:noVBand="1"/>
      </w:tblPr>
      <w:tblGrid>
        <w:gridCol w:w="3109"/>
        <w:gridCol w:w="1984"/>
        <w:gridCol w:w="2552"/>
        <w:gridCol w:w="1393"/>
      </w:tblGrid>
      <w:tr w:rsidRPr="00821320" w:rsidR="00F67ADD" w:rsidTr="00B412DF" w14:paraId="1C3BF1EC" w14:textId="77777777">
        <w:trPr>
          <w:trHeight w:val="20"/>
          <w:jc w:val="center"/>
        </w:trPr>
        <w:tc>
          <w:tcPr>
            <w:tcW w:w="9038" w:type="dxa"/>
            <w:gridSpan w:val="4"/>
            <w:tcBorders>
              <w:top w:val="single" w:color="auto" w:sz="8" w:space="0"/>
              <w:left w:val="single" w:color="auto" w:sz="8" w:space="0"/>
              <w:bottom w:val="single" w:color="auto" w:sz="8" w:space="0"/>
              <w:right w:val="single" w:color="000000" w:sz="8" w:space="0"/>
            </w:tcBorders>
            <w:shd w:val="clear" w:color="000000" w:fill="B48C41"/>
            <w:hideMark/>
          </w:tcPr>
          <w:p w:rsidRPr="00821320" w:rsidR="00F67ADD" w:rsidP="00B412DF" w:rsidRDefault="00F67ADD" w14:paraId="4D2B9690" w14:textId="77777777">
            <w:pPr>
              <w:jc w:val="center"/>
              <w:rPr>
                <w:rFonts w:ascii="Verdana" w:hAnsi="Verdana" w:cs="Calibri"/>
                <w:b/>
                <w:bCs/>
                <w:color w:val="FFFFFF"/>
                <w:sz w:val="18"/>
                <w:szCs w:val="18"/>
                <w:lang w:val="es-CO" w:eastAsia="es-CO"/>
              </w:rPr>
            </w:pPr>
            <w:r w:rsidRPr="00821320">
              <w:rPr>
                <w:rFonts w:ascii="Verdana" w:hAnsi="Verdana" w:cs="Calibri"/>
                <w:b/>
                <w:bCs/>
                <w:color w:val="FFFFFF"/>
                <w:sz w:val="18"/>
                <w:szCs w:val="18"/>
                <w:lang w:eastAsia="es-CO"/>
              </w:rPr>
              <w:t xml:space="preserve">TABLA </w:t>
            </w:r>
            <w:r w:rsidR="00112712">
              <w:rPr>
                <w:rFonts w:ascii="Verdana" w:hAnsi="Verdana" w:cs="Calibri"/>
                <w:b/>
                <w:bCs/>
                <w:color w:val="FFFFFF"/>
                <w:sz w:val="18"/>
                <w:szCs w:val="18"/>
                <w:lang w:eastAsia="es-CO"/>
              </w:rPr>
              <w:t>7</w:t>
            </w:r>
            <w:r w:rsidRPr="00821320">
              <w:rPr>
                <w:rFonts w:ascii="Verdana" w:hAnsi="Verdana" w:cs="Calibri"/>
                <w:b/>
                <w:bCs/>
                <w:color w:val="FFFFFF"/>
                <w:sz w:val="18"/>
                <w:szCs w:val="18"/>
                <w:lang w:eastAsia="es-CO"/>
              </w:rPr>
              <w:t>. DIFERENCIA ENTRE REPORTE FUT Y EJECUCIÓN PRESUPUESTAL– EN MILLONES DE $</w:t>
            </w:r>
          </w:p>
        </w:tc>
      </w:tr>
      <w:tr w:rsidRPr="00821320" w:rsidR="00F67ADD" w:rsidTr="00B412DF" w14:paraId="29F06FFA" w14:textId="77777777">
        <w:trPr>
          <w:trHeight w:val="20"/>
          <w:jc w:val="center"/>
        </w:trPr>
        <w:tc>
          <w:tcPr>
            <w:tcW w:w="3109" w:type="dxa"/>
            <w:tcBorders>
              <w:top w:val="nil"/>
              <w:left w:val="single" w:color="auto" w:sz="8" w:space="0"/>
              <w:bottom w:val="single" w:color="auto" w:sz="8" w:space="0"/>
              <w:right w:val="single" w:color="auto" w:sz="8" w:space="0"/>
            </w:tcBorders>
            <w:shd w:val="clear" w:color="000000" w:fill="F1EADA"/>
            <w:noWrap/>
            <w:hideMark/>
          </w:tcPr>
          <w:p w:rsidRPr="00821320" w:rsidR="00F67ADD" w:rsidP="00B412DF" w:rsidRDefault="00F67ADD" w14:paraId="42BCBBE2" w14:textId="77777777">
            <w:pPr>
              <w:jc w:val="center"/>
              <w:rPr>
                <w:rFonts w:ascii="Verdana" w:hAnsi="Verdana" w:cs="Calibri"/>
                <w:b/>
                <w:bCs/>
                <w:color w:val="000000"/>
                <w:sz w:val="18"/>
                <w:szCs w:val="18"/>
                <w:lang w:val="es-CO" w:eastAsia="es-CO"/>
              </w:rPr>
            </w:pPr>
            <w:r w:rsidRPr="00821320">
              <w:rPr>
                <w:rFonts w:ascii="Verdana" w:hAnsi="Verdana" w:cs="Calibri"/>
                <w:b/>
                <w:bCs/>
                <w:color w:val="000000"/>
                <w:sz w:val="18"/>
                <w:szCs w:val="18"/>
                <w:lang w:eastAsia="es-CO"/>
              </w:rPr>
              <w:t>Vigencia</w:t>
            </w:r>
          </w:p>
        </w:tc>
        <w:tc>
          <w:tcPr>
            <w:tcW w:w="5929" w:type="dxa"/>
            <w:gridSpan w:val="3"/>
            <w:tcBorders>
              <w:top w:val="single" w:color="auto" w:sz="8" w:space="0"/>
              <w:left w:val="nil"/>
              <w:bottom w:val="single" w:color="auto" w:sz="8" w:space="0"/>
              <w:right w:val="single" w:color="000000" w:sz="8" w:space="0"/>
            </w:tcBorders>
            <w:shd w:val="clear" w:color="000000" w:fill="F1EADA"/>
            <w:noWrap/>
            <w:hideMark/>
          </w:tcPr>
          <w:p w:rsidRPr="00821320" w:rsidR="00F67ADD" w:rsidP="00B412DF" w:rsidRDefault="00F67ADD" w14:paraId="5D809C13" w14:textId="77777777">
            <w:pPr>
              <w:jc w:val="center"/>
              <w:rPr>
                <w:rFonts w:ascii="Verdana" w:hAnsi="Verdana" w:cs="Calibri"/>
                <w:b/>
                <w:bCs/>
                <w:color w:val="000000"/>
                <w:sz w:val="18"/>
                <w:szCs w:val="18"/>
                <w:lang w:val="es-CO" w:eastAsia="es-CO"/>
              </w:rPr>
            </w:pPr>
            <w:r w:rsidRPr="00821320">
              <w:rPr>
                <w:rFonts w:ascii="Verdana" w:hAnsi="Verdana" w:cs="Calibri"/>
                <w:b/>
                <w:bCs/>
                <w:color w:val="000000"/>
                <w:sz w:val="18"/>
                <w:szCs w:val="18"/>
                <w:lang w:eastAsia="es-CO"/>
              </w:rPr>
              <w:t>2023</w:t>
            </w:r>
          </w:p>
        </w:tc>
      </w:tr>
      <w:tr w:rsidRPr="00821320" w:rsidR="00F67ADD" w:rsidTr="00B412DF" w14:paraId="657B4F62" w14:textId="77777777">
        <w:trPr>
          <w:trHeight w:val="20"/>
          <w:jc w:val="center"/>
        </w:trPr>
        <w:tc>
          <w:tcPr>
            <w:tcW w:w="3109" w:type="dxa"/>
            <w:tcBorders>
              <w:top w:val="nil"/>
              <w:left w:val="single" w:color="auto" w:sz="8" w:space="0"/>
              <w:bottom w:val="single" w:color="auto" w:sz="8" w:space="0"/>
              <w:right w:val="single" w:color="auto" w:sz="8" w:space="0"/>
            </w:tcBorders>
            <w:shd w:val="clear" w:color="000000" w:fill="F1EADA"/>
            <w:hideMark/>
          </w:tcPr>
          <w:p w:rsidRPr="00821320" w:rsidR="00F67ADD" w:rsidP="00B412DF" w:rsidRDefault="00F67ADD" w14:paraId="080492F4" w14:textId="77777777">
            <w:pPr>
              <w:jc w:val="center"/>
              <w:rPr>
                <w:rFonts w:ascii="Verdana" w:hAnsi="Verdana" w:cs="Calibri"/>
                <w:b/>
                <w:bCs/>
                <w:color w:val="000000"/>
                <w:sz w:val="18"/>
                <w:szCs w:val="18"/>
                <w:lang w:val="es-CO" w:eastAsia="es-CO"/>
              </w:rPr>
            </w:pPr>
            <w:r w:rsidRPr="00821320">
              <w:rPr>
                <w:rFonts w:ascii="Verdana" w:hAnsi="Verdana" w:cs="Calibri"/>
                <w:b/>
                <w:bCs/>
                <w:color w:val="000000"/>
                <w:sz w:val="18"/>
                <w:szCs w:val="18"/>
                <w:lang w:eastAsia="es-CO"/>
              </w:rPr>
              <w:t>Concepto</w:t>
            </w:r>
          </w:p>
        </w:tc>
        <w:tc>
          <w:tcPr>
            <w:tcW w:w="1984" w:type="dxa"/>
            <w:tcBorders>
              <w:top w:val="nil"/>
              <w:left w:val="nil"/>
              <w:bottom w:val="single" w:color="auto" w:sz="8" w:space="0"/>
              <w:right w:val="single" w:color="auto" w:sz="8" w:space="0"/>
            </w:tcBorders>
            <w:shd w:val="clear" w:color="000000" w:fill="F1EADA"/>
            <w:hideMark/>
          </w:tcPr>
          <w:p w:rsidRPr="00821320" w:rsidR="00F67ADD" w:rsidP="00B412DF" w:rsidRDefault="00F67ADD" w14:paraId="328658E8" w14:textId="77777777">
            <w:pPr>
              <w:jc w:val="center"/>
              <w:rPr>
                <w:rFonts w:ascii="Verdana" w:hAnsi="Verdana" w:cs="Calibri"/>
                <w:b/>
                <w:bCs/>
                <w:color w:val="000000"/>
                <w:sz w:val="18"/>
                <w:szCs w:val="18"/>
                <w:lang w:val="es-CO" w:eastAsia="es-CO"/>
              </w:rPr>
            </w:pPr>
            <w:r w:rsidRPr="00821320">
              <w:rPr>
                <w:rFonts w:ascii="Verdana" w:hAnsi="Verdana" w:cs="Calibri"/>
                <w:b/>
                <w:bCs/>
                <w:color w:val="000000"/>
                <w:sz w:val="18"/>
                <w:szCs w:val="18"/>
                <w:lang w:eastAsia="es-CO"/>
              </w:rPr>
              <w:t>Cierre Fiscal (Reporte</w:t>
            </w:r>
            <w:r w:rsidR="00112712">
              <w:rPr>
                <w:rFonts w:ascii="Verdana" w:hAnsi="Verdana" w:cs="Calibri"/>
                <w:b/>
                <w:bCs/>
                <w:color w:val="000000"/>
                <w:sz w:val="18"/>
                <w:szCs w:val="18"/>
                <w:lang w:eastAsia="es-CO"/>
              </w:rPr>
              <w:t xml:space="preserve"> CUIPO</w:t>
            </w:r>
            <w:r w:rsidRPr="00821320">
              <w:rPr>
                <w:rFonts w:ascii="Verdana" w:hAnsi="Verdana" w:cs="Calibri"/>
                <w:b/>
                <w:bCs/>
                <w:color w:val="000000"/>
                <w:sz w:val="18"/>
                <w:szCs w:val="18"/>
                <w:lang w:eastAsia="es-CO"/>
              </w:rPr>
              <w:t>)</w:t>
            </w:r>
          </w:p>
        </w:tc>
        <w:tc>
          <w:tcPr>
            <w:tcW w:w="2552" w:type="dxa"/>
            <w:tcBorders>
              <w:top w:val="nil"/>
              <w:left w:val="nil"/>
              <w:bottom w:val="single" w:color="auto" w:sz="8" w:space="0"/>
              <w:right w:val="single" w:color="auto" w:sz="8" w:space="0"/>
            </w:tcBorders>
            <w:shd w:val="clear" w:color="000000" w:fill="F1EADA"/>
            <w:hideMark/>
          </w:tcPr>
          <w:p w:rsidRPr="00821320" w:rsidR="00F67ADD" w:rsidP="00B412DF" w:rsidRDefault="00F67ADD" w14:paraId="670D93F2" w14:textId="77777777">
            <w:pPr>
              <w:jc w:val="center"/>
              <w:rPr>
                <w:rFonts w:ascii="Verdana" w:hAnsi="Verdana" w:cs="Calibri"/>
                <w:b/>
                <w:bCs/>
                <w:color w:val="000000"/>
                <w:sz w:val="18"/>
                <w:szCs w:val="18"/>
                <w:lang w:val="es-CO" w:eastAsia="es-CO"/>
              </w:rPr>
            </w:pPr>
            <w:r w:rsidRPr="00821320">
              <w:rPr>
                <w:rFonts w:ascii="Verdana" w:hAnsi="Verdana" w:cs="Calibri"/>
                <w:b/>
                <w:bCs/>
                <w:color w:val="000000"/>
                <w:sz w:val="18"/>
                <w:szCs w:val="18"/>
                <w:lang w:eastAsia="es-CO"/>
              </w:rPr>
              <w:t>Cierre Fiscal</w:t>
            </w:r>
            <w:r w:rsidRPr="00821320">
              <w:rPr>
                <w:rFonts w:ascii="Verdana" w:hAnsi="Verdana" w:cs="Calibri"/>
                <w:color w:val="000000"/>
                <w:sz w:val="18"/>
                <w:szCs w:val="18"/>
                <w:lang w:eastAsia="es-CO"/>
              </w:rPr>
              <w:t> </w:t>
            </w:r>
            <w:r w:rsidRPr="00821320">
              <w:rPr>
                <w:rFonts w:ascii="Verdana" w:hAnsi="Verdana" w:cs="Calibri"/>
                <w:b/>
                <w:bCs/>
                <w:color w:val="000000"/>
                <w:sz w:val="18"/>
                <w:szCs w:val="18"/>
                <w:lang w:eastAsia="es-CO"/>
              </w:rPr>
              <w:t>(Ejecución Presupuestal)</w:t>
            </w:r>
          </w:p>
        </w:tc>
        <w:tc>
          <w:tcPr>
            <w:tcW w:w="1393" w:type="dxa"/>
            <w:tcBorders>
              <w:top w:val="nil"/>
              <w:left w:val="nil"/>
              <w:bottom w:val="single" w:color="auto" w:sz="8" w:space="0"/>
              <w:right w:val="single" w:color="auto" w:sz="8" w:space="0"/>
            </w:tcBorders>
            <w:shd w:val="clear" w:color="000000" w:fill="F1EADA"/>
            <w:hideMark/>
          </w:tcPr>
          <w:p w:rsidRPr="00821320" w:rsidR="00F67ADD" w:rsidP="00B412DF" w:rsidRDefault="00F67ADD" w14:paraId="0EF198B0" w14:textId="77777777">
            <w:pPr>
              <w:jc w:val="center"/>
              <w:rPr>
                <w:rFonts w:ascii="Verdana" w:hAnsi="Verdana" w:cs="Calibri"/>
                <w:b/>
                <w:bCs/>
                <w:color w:val="000000"/>
                <w:sz w:val="18"/>
                <w:szCs w:val="18"/>
                <w:lang w:val="es-CO" w:eastAsia="es-CO"/>
              </w:rPr>
            </w:pPr>
            <w:r w:rsidRPr="00821320">
              <w:rPr>
                <w:rFonts w:ascii="Verdana" w:hAnsi="Verdana" w:cs="Calibri"/>
                <w:b/>
                <w:bCs/>
                <w:color w:val="000000"/>
                <w:sz w:val="18"/>
                <w:szCs w:val="18"/>
                <w:lang w:eastAsia="es-CO"/>
              </w:rPr>
              <w:t>Diferencia</w:t>
            </w:r>
          </w:p>
        </w:tc>
      </w:tr>
      <w:tr w:rsidRPr="00821320" w:rsidR="00F67ADD" w:rsidTr="00B412DF" w14:paraId="051A782F" w14:textId="77777777">
        <w:trPr>
          <w:trHeight w:val="20"/>
          <w:jc w:val="center"/>
        </w:trPr>
        <w:tc>
          <w:tcPr>
            <w:tcW w:w="3109" w:type="dxa"/>
            <w:tcBorders>
              <w:top w:val="nil"/>
              <w:left w:val="single" w:color="auto" w:sz="8" w:space="0"/>
              <w:bottom w:val="single" w:color="auto" w:sz="8" w:space="0"/>
              <w:right w:val="single" w:color="auto" w:sz="8" w:space="0"/>
            </w:tcBorders>
            <w:vAlign w:val="center"/>
            <w:hideMark/>
          </w:tcPr>
          <w:p w:rsidRPr="00821320" w:rsidR="00F67ADD" w:rsidP="00B412DF" w:rsidRDefault="00F67ADD" w14:paraId="46A14C53" w14:textId="77777777">
            <w:pPr>
              <w:rPr>
                <w:rFonts w:ascii="Verdana" w:hAnsi="Verdana" w:cs="Calibri"/>
                <w:color w:val="000000"/>
                <w:sz w:val="18"/>
                <w:szCs w:val="18"/>
                <w:lang w:val="es-CO" w:eastAsia="es-CO"/>
              </w:rPr>
            </w:pPr>
            <w:r w:rsidRPr="00821320">
              <w:rPr>
                <w:rFonts w:ascii="Verdana" w:hAnsi="Verdana" w:cs="Calibri"/>
                <w:color w:val="000000"/>
                <w:sz w:val="18"/>
                <w:szCs w:val="18"/>
                <w:lang w:eastAsia="es-CO"/>
              </w:rPr>
              <w:t>1. Ingresos (Recaudados)</w:t>
            </w:r>
          </w:p>
        </w:tc>
        <w:tc>
          <w:tcPr>
            <w:tcW w:w="1984" w:type="dxa"/>
            <w:tcBorders>
              <w:top w:val="nil"/>
              <w:left w:val="nil"/>
              <w:bottom w:val="single" w:color="auto" w:sz="8" w:space="0"/>
              <w:right w:val="single" w:color="auto" w:sz="8" w:space="0"/>
            </w:tcBorders>
            <w:hideMark/>
          </w:tcPr>
          <w:p w:rsidRPr="00821320" w:rsidR="00F67ADD" w:rsidP="00B412DF" w:rsidRDefault="00F67ADD" w14:paraId="34F9F14E"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eastAsia="es-CO"/>
              </w:rPr>
              <w:t>120.858</w:t>
            </w:r>
          </w:p>
        </w:tc>
        <w:tc>
          <w:tcPr>
            <w:tcW w:w="2552" w:type="dxa"/>
            <w:tcBorders>
              <w:top w:val="nil"/>
              <w:left w:val="nil"/>
              <w:bottom w:val="single" w:color="auto" w:sz="8" w:space="0"/>
              <w:right w:val="single" w:color="auto" w:sz="8" w:space="0"/>
            </w:tcBorders>
            <w:hideMark/>
          </w:tcPr>
          <w:p w:rsidRPr="00821320" w:rsidR="00F67ADD" w:rsidP="00B412DF" w:rsidRDefault="00F67ADD" w14:paraId="73AB1F6A"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eastAsia="es-CO"/>
              </w:rPr>
              <w:t>120.858</w:t>
            </w:r>
          </w:p>
        </w:tc>
        <w:tc>
          <w:tcPr>
            <w:tcW w:w="1393" w:type="dxa"/>
            <w:tcBorders>
              <w:top w:val="nil"/>
              <w:left w:val="nil"/>
              <w:bottom w:val="single" w:color="auto" w:sz="8" w:space="0"/>
              <w:right w:val="single" w:color="auto" w:sz="8" w:space="0"/>
            </w:tcBorders>
            <w:hideMark/>
          </w:tcPr>
          <w:p w:rsidRPr="00821320" w:rsidR="00F67ADD" w:rsidP="00B412DF" w:rsidRDefault="00F67ADD" w14:paraId="06E11CCC"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eastAsia="es-CO"/>
              </w:rPr>
              <w:t>0</w:t>
            </w:r>
          </w:p>
        </w:tc>
      </w:tr>
      <w:tr w:rsidRPr="00821320" w:rsidR="00F67ADD" w:rsidTr="00B412DF" w14:paraId="2F5C44A4" w14:textId="77777777">
        <w:trPr>
          <w:trHeight w:val="20"/>
          <w:jc w:val="center"/>
        </w:trPr>
        <w:tc>
          <w:tcPr>
            <w:tcW w:w="3109" w:type="dxa"/>
            <w:tcBorders>
              <w:top w:val="nil"/>
              <w:left w:val="single" w:color="auto" w:sz="8" w:space="0"/>
              <w:bottom w:val="single" w:color="auto" w:sz="8" w:space="0"/>
              <w:right w:val="single" w:color="auto" w:sz="8" w:space="0"/>
            </w:tcBorders>
            <w:vAlign w:val="center"/>
            <w:hideMark/>
          </w:tcPr>
          <w:p w:rsidRPr="00821320" w:rsidR="00F67ADD" w:rsidP="00B412DF" w:rsidRDefault="00F67ADD" w14:paraId="63814DC8" w14:textId="77777777">
            <w:pPr>
              <w:rPr>
                <w:rFonts w:ascii="Verdana" w:hAnsi="Verdana" w:cs="Calibri"/>
                <w:color w:val="000000"/>
                <w:sz w:val="18"/>
                <w:szCs w:val="18"/>
                <w:lang w:val="es-CO" w:eastAsia="es-CO"/>
              </w:rPr>
            </w:pPr>
            <w:r w:rsidRPr="00821320">
              <w:rPr>
                <w:rFonts w:ascii="Verdana" w:hAnsi="Verdana" w:cs="Calibri"/>
                <w:color w:val="000000"/>
                <w:sz w:val="18"/>
                <w:szCs w:val="18"/>
                <w:lang w:eastAsia="es-CO"/>
              </w:rPr>
              <w:t>2. Gastos (Comprometidos)</w:t>
            </w:r>
          </w:p>
        </w:tc>
        <w:tc>
          <w:tcPr>
            <w:tcW w:w="1984" w:type="dxa"/>
            <w:tcBorders>
              <w:top w:val="nil"/>
              <w:left w:val="nil"/>
              <w:bottom w:val="single" w:color="auto" w:sz="8" w:space="0"/>
              <w:right w:val="single" w:color="auto" w:sz="8" w:space="0"/>
            </w:tcBorders>
            <w:hideMark/>
          </w:tcPr>
          <w:p w:rsidRPr="00821320" w:rsidR="00F67ADD" w:rsidP="00B412DF" w:rsidRDefault="00F67ADD" w14:paraId="7291E006"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val="es-CO" w:eastAsia="es-CO"/>
              </w:rPr>
              <w:t>119.317</w:t>
            </w:r>
          </w:p>
        </w:tc>
        <w:tc>
          <w:tcPr>
            <w:tcW w:w="2552" w:type="dxa"/>
            <w:tcBorders>
              <w:top w:val="nil"/>
              <w:left w:val="nil"/>
              <w:bottom w:val="single" w:color="auto" w:sz="8" w:space="0"/>
              <w:right w:val="single" w:color="auto" w:sz="8" w:space="0"/>
            </w:tcBorders>
            <w:hideMark/>
          </w:tcPr>
          <w:p w:rsidRPr="00821320" w:rsidR="00F67ADD" w:rsidP="00B412DF" w:rsidRDefault="00F67ADD" w14:paraId="614C355F"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val="es-CO" w:eastAsia="es-CO"/>
              </w:rPr>
              <w:t>120.691</w:t>
            </w:r>
          </w:p>
        </w:tc>
        <w:tc>
          <w:tcPr>
            <w:tcW w:w="1393" w:type="dxa"/>
            <w:tcBorders>
              <w:top w:val="nil"/>
              <w:left w:val="nil"/>
              <w:bottom w:val="single" w:color="auto" w:sz="8" w:space="0"/>
              <w:right w:val="single" w:color="auto" w:sz="8" w:space="0"/>
            </w:tcBorders>
            <w:hideMark/>
          </w:tcPr>
          <w:p w:rsidRPr="00821320" w:rsidR="00F67ADD" w:rsidP="00B412DF" w:rsidRDefault="00F67ADD" w14:paraId="43A86CA1" w14:textId="77777777">
            <w:pPr>
              <w:jc w:val="center"/>
              <w:rPr>
                <w:rFonts w:ascii="Verdana" w:hAnsi="Verdana" w:cs="Calibri"/>
                <w:color w:val="FF0000"/>
                <w:sz w:val="18"/>
                <w:szCs w:val="18"/>
                <w:lang w:val="es-CO" w:eastAsia="es-CO"/>
              </w:rPr>
            </w:pPr>
            <w:r w:rsidRPr="00821320">
              <w:rPr>
                <w:rFonts w:ascii="Verdana" w:hAnsi="Verdana" w:cs="Calibri"/>
                <w:color w:val="FF0000"/>
                <w:sz w:val="18"/>
                <w:szCs w:val="18"/>
                <w:lang w:eastAsia="es-CO"/>
              </w:rPr>
              <w:t>-1.374</w:t>
            </w:r>
          </w:p>
        </w:tc>
      </w:tr>
      <w:tr w:rsidRPr="00821320" w:rsidR="00F67ADD" w:rsidTr="00B412DF" w14:paraId="3675F843" w14:textId="77777777">
        <w:trPr>
          <w:trHeight w:val="20"/>
          <w:jc w:val="center"/>
        </w:trPr>
        <w:tc>
          <w:tcPr>
            <w:tcW w:w="3109" w:type="dxa"/>
            <w:tcBorders>
              <w:top w:val="nil"/>
              <w:left w:val="single" w:color="auto" w:sz="8" w:space="0"/>
              <w:bottom w:val="single" w:color="auto" w:sz="8" w:space="0"/>
              <w:right w:val="single" w:color="auto" w:sz="8" w:space="0"/>
            </w:tcBorders>
            <w:vAlign w:val="center"/>
            <w:hideMark/>
          </w:tcPr>
          <w:p w:rsidRPr="00821320" w:rsidR="00F67ADD" w:rsidP="00B412DF" w:rsidRDefault="00F67ADD" w14:paraId="01C20D7E" w14:textId="77777777">
            <w:pPr>
              <w:rPr>
                <w:rFonts w:ascii="Verdana" w:hAnsi="Verdana" w:cs="Calibri"/>
                <w:color w:val="000000"/>
                <w:sz w:val="18"/>
                <w:szCs w:val="18"/>
                <w:lang w:val="es-CO" w:eastAsia="es-CO"/>
              </w:rPr>
            </w:pPr>
            <w:r w:rsidRPr="00821320">
              <w:rPr>
                <w:rFonts w:ascii="Verdana" w:hAnsi="Verdana" w:cs="Calibri"/>
                <w:color w:val="000000"/>
                <w:sz w:val="18"/>
                <w:szCs w:val="18"/>
                <w:lang w:eastAsia="es-CO"/>
              </w:rPr>
              <w:t>3. Gastos (Obligados)</w:t>
            </w:r>
          </w:p>
        </w:tc>
        <w:tc>
          <w:tcPr>
            <w:tcW w:w="1984" w:type="dxa"/>
            <w:tcBorders>
              <w:top w:val="nil"/>
              <w:left w:val="nil"/>
              <w:bottom w:val="single" w:color="auto" w:sz="8" w:space="0"/>
              <w:right w:val="single" w:color="auto" w:sz="8" w:space="0"/>
            </w:tcBorders>
            <w:hideMark/>
          </w:tcPr>
          <w:p w:rsidRPr="00821320" w:rsidR="00F67ADD" w:rsidP="00B412DF" w:rsidRDefault="00F67ADD" w14:paraId="0C8C39F2"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val="es-CO" w:eastAsia="es-CO"/>
              </w:rPr>
              <w:t>119.282</w:t>
            </w:r>
          </w:p>
        </w:tc>
        <w:tc>
          <w:tcPr>
            <w:tcW w:w="2552" w:type="dxa"/>
            <w:tcBorders>
              <w:top w:val="nil"/>
              <w:left w:val="nil"/>
              <w:bottom w:val="single" w:color="auto" w:sz="8" w:space="0"/>
              <w:right w:val="single" w:color="auto" w:sz="8" w:space="0"/>
            </w:tcBorders>
            <w:hideMark/>
          </w:tcPr>
          <w:p w:rsidRPr="00821320" w:rsidR="00F67ADD" w:rsidP="00B412DF" w:rsidRDefault="00F67ADD" w14:paraId="7A97C1F8"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val="es-CO" w:eastAsia="es-CO"/>
              </w:rPr>
              <w:t>120.655</w:t>
            </w:r>
          </w:p>
        </w:tc>
        <w:tc>
          <w:tcPr>
            <w:tcW w:w="1393" w:type="dxa"/>
            <w:tcBorders>
              <w:top w:val="nil"/>
              <w:left w:val="nil"/>
              <w:bottom w:val="single" w:color="auto" w:sz="8" w:space="0"/>
              <w:right w:val="single" w:color="auto" w:sz="8" w:space="0"/>
            </w:tcBorders>
            <w:hideMark/>
          </w:tcPr>
          <w:p w:rsidRPr="00821320" w:rsidR="00F67ADD" w:rsidP="00B412DF" w:rsidRDefault="00F67ADD" w14:paraId="2AF93BC0" w14:textId="77777777">
            <w:pPr>
              <w:jc w:val="center"/>
              <w:rPr>
                <w:rFonts w:ascii="Verdana" w:hAnsi="Verdana" w:cs="Calibri"/>
                <w:color w:val="FF0000"/>
                <w:sz w:val="18"/>
                <w:szCs w:val="18"/>
                <w:lang w:val="es-CO" w:eastAsia="es-CO"/>
              </w:rPr>
            </w:pPr>
            <w:r w:rsidRPr="00821320">
              <w:rPr>
                <w:rFonts w:ascii="Verdana" w:hAnsi="Verdana" w:cs="Calibri"/>
                <w:color w:val="FF0000"/>
                <w:sz w:val="18"/>
                <w:szCs w:val="18"/>
                <w:lang w:eastAsia="es-CO"/>
              </w:rPr>
              <w:t>-1.373</w:t>
            </w:r>
          </w:p>
        </w:tc>
      </w:tr>
      <w:tr w:rsidRPr="00821320" w:rsidR="00F67ADD" w:rsidTr="00B412DF" w14:paraId="75F678AD" w14:textId="77777777">
        <w:trPr>
          <w:trHeight w:val="20"/>
          <w:jc w:val="center"/>
        </w:trPr>
        <w:tc>
          <w:tcPr>
            <w:tcW w:w="3109" w:type="dxa"/>
            <w:tcBorders>
              <w:top w:val="nil"/>
              <w:left w:val="single" w:color="auto" w:sz="8" w:space="0"/>
              <w:bottom w:val="single" w:color="auto" w:sz="8" w:space="0"/>
              <w:right w:val="single" w:color="auto" w:sz="8" w:space="0"/>
            </w:tcBorders>
            <w:vAlign w:val="center"/>
            <w:hideMark/>
          </w:tcPr>
          <w:p w:rsidRPr="00821320" w:rsidR="00F67ADD" w:rsidP="00B412DF" w:rsidRDefault="00F67ADD" w14:paraId="66C1EF10" w14:textId="77777777">
            <w:pPr>
              <w:rPr>
                <w:rFonts w:ascii="Verdana" w:hAnsi="Verdana" w:cs="Calibri"/>
                <w:color w:val="000000"/>
                <w:sz w:val="18"/>
                <w:szCs w:val="18"/>
                <w:lang w:val="es-CO" w:eastAsia="es-CO"/>
              </w:rPr>
            </w:pPr>
            <w:r w:rsidRPr="00821320">
              <w:rPr>
                <w:rFonts w:ascii="Verdana" w:hAnsi="Verdana" w:cs="Calibri"/>
                <w:color w:val="000000"/>
                <w:sz w:val="18"/>
                <w:szCs w:val="18"/>
                <w:lang w:eastAsia="es-CO"/>
              </w:rPr>
              <w:t>4. Pagos</w:t>
            </w:r>
          </w:p>
        </w:tc>
        <w:tc>
          <w:tcPr>
            <w:tcW w:w="1984" w:type="dxa"/>
            <w:tcBorders>
              <w:top w:val="nil"/>
              <w:left w:val="nil"/>
              <w:bottom w:val="single" w:color="auto" w:sz="8" w:space="0"/>
              <w:right w:val="single" w:color="auto" w:sz="8" w:space="0"/>
            </w:tcBorders>
            <w:hideMark/>
          </w:tcPr>
          <w:p w:rsidRPr="00821320" w:rsidR="00F67ADD" w:rsidP="00B412DF" w:rsidRDefault="00F67ADD" w14:paraId="38FD3904"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val="es-CO" w:eastAsia="es-CO"/>
              </w:rPr>
              <w:t>119.087</w:t>
            </w:r>
          </w:p>
        </w:tc>
        <w:tc>
          <w:tcPr>
            <w:tcW w:w="2552" w:type="dxa"/>
            <w:tcBorders>
              <w:top w:val="nil"/>
              <w:left w:val="nil"/>
              <w:bottom w:val="single" w:color="auto" w:sz="8" w:space="0"/>
              <w:right w:val="single" w:color="auto" w:sz="8" w:space="0"/>
            </w:tcBorders>
            <w:hideMark/>
          </w:tcPr>
          <w:p w:rsidRPr="00821320" w:rsidR="00F67ADD" w:rsidP="00B412DF" w:rsidRDefault="00F67ADD" w14:paraId="6581201F"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val="es-CO" w:eastAsia="es-CO"/>
              </w:rPr>
              <w:t>120.471</w:t>
            </w:r>
          </w:p>
        </w:tc>
        <w:tc>
          <w:tcPr>
            <w:tcW w:w="1393" w:type="dxa"/>
            <w:tcBorders>
              <w:top w:val="nil"/>
              <w:left w:val="nil"/>
              <w:bottom w:val="single" w:color="auto" w:sz="8" w:space="0"/>
              <w:right w:val="single" w:color="auto" w:sz="8" w:space="0"/>
            </w:tcBorders>
            <w:hideMark/>
          </w:tcPr>
          <w:p w:rsidRPr="00821320" w:rsidR="00F67ADD" w:rsidP="00B412DF" w:rsidRDefault="00F67ADD" w14:paraId="25BA4504" w14:textId="77777777">
            <w:pPr>
              <w:jc w:val="center"/>
              <w:rPr>
                <w:rFonts w:ascii="Verdana" w:hAnsi="Verdana" w:cs="Calibri"/>
                <w:color w:val="FF0000"/>
                <w:sz w:val="18"/>
                <w:szCs w:val="18"/>
                <w:lang w:val="es-CO" w:eastAsia="es-CO"/>
              </w:rPr>
            </w:pPr>
            <w:r w:rsidRPr="00821320">
              <w:rPr>
                <w:rFonts w:ascii="Verdana" w:hAnsi="Verdana" w:cs="Calibri"/>
                <w:color w:val="FF0000"/>
                <w:sz w:val="18"/>
                <w:szCs w:val="18"/>
                <w:lang w:eastAsia="es-CO"/>
              </w:rPr>
              <w:t>-1.384</w:t>
            </w:r>
          </w:p>
        </w:tc>
      </w:tr>
      <w:tr w:rsidRPr="00821320" w:rsidR="00F67ADD" w:rsidTr="00B412DF" w14:paraId="3F175025" w14:textId="77777777">
        <w:trPr>
          <w:trHeight w:val="20"/>
          <w:jc w:val="center"/>
        </w:trPr>
        <w:tc>
          <w:tcPr>
            <w:tcW w:w="3109" w:type="dxa"/>
            <w:tcBorders>
              <w:top w:val="nil"/>
              <w:left w:val="single" w:color="auto" w:sz="8" w:space="0"/>
              <w:bottom w:val="single" w:color="auto" w:sz="8" w:space="0"/>
              <w:right w:val="single" w:color="auto" w:sz="8" w:space="0"/>
            </w:tcBorders>
            <w:vAlign w:val="center"/>
            <w:hideMark/>
          </w:tcPr>
          <w:p w:rsidRPr="00821320" w:rsidR="00F67ADD" w:rsidP="00B412DF" w:rsidRDefault="00F67ADD" w14:paraId="0B8076F8" w14:textId="77777777">
            <w:pPr>
              <w:rPr>
                <w:rFonts w:ascii="Verdana" w:hAnsi="Verdana" w:cs="Calibri"/>
                <w:color w:val="000000"/>
                <w:sz w:val="18"/>
                <w:szCs w:val="18"/>
                <w:lang w:val="es-CO" w:eastAsia="es-CO"/>
              </w:rPr>
            </w:pPr>
            <w:r w:rsidRPr="00821320">
              <w:rPr>
                <w:rFonts w:ascii="Verdana" w:hAnsi="Verdana" w:cs="Calibri"/>
                <w:color w:val="000000"/>
                <w:sz w:val="18"/>
                <w:szCs w:val="18"/>
                <w:lang w:eastAsia="es-CO"/>
              </w:rPr>
              <w:t>Déficit o superávit (1) - (2)</w:t>
            </w:r>
          </w:p>
        </w:tc>
        <w:tc>
          <w:tcPr>
            <w:tcW w:w="1984" w:type="dxa"/>
            <w:tcBorders>
              <w:top w:val="nil"/>
              <w:left w:val="nil"/>
              <w:bottom w:val="single" w:color="auto" w:sz="8" w:space="0"/>
              <w:right w:val="single" w:color="auto" w:sz="8" w:space="0"/>
            </w:tcBorders>
            <w:hideMark/>
          </w:tcPr>
          <w:p w:rsidRPr="00821320" w:rsidR="00F67ADD" w:rsidP="00B412DF" w:rsidRDefault="00F67ADD" w14:paraId="5A60ADC8"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val="es-CO" w:eastAsia="es-CO"/>
              </w:rPr>
              <w:t>1.541</w:t>
            </w:r>
          </w:p>
        </w:tc>
        <w:tc>
          <w:tcPr>
            <w:tcW w:w="2552" w:type="dxa"/>
            <w:tcBorders>
              <w:top w:val="nil"/>
              <w:left w:val="nil"/>
              <w:bottom w:val="single" w:color="auto" w:sz="8" w:space="0"/>
              <w:right w:val="single" w:color="auto" w:sz="8" w:space="0"/>
            </w:tcBorders>
            <w:hideMark/>
          </w:tcPr>
          <w:p w:rsidRPr="00821320" w:rsidR="00F67ADD" w:rsidP="00B412DF" w:rsidRDefault="00F67ADD" w14:paraId="49F7B982"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eastAsia="es-CO"/>
              </w:rPr>
              <w:t>167</w:t>
            </w:r>
          </w:p>
        </w:tc>
        <w:tc>
          <w:tcPr>
            <w:tcW w:w="1393" w:type="dxa"/>
            <w:tcBorders>
              <w:top w:val="nil"/>
              <w:left w:val="nil"/>
              <w:bottom w:val="single" w:color="auto" w:sz="8" w:space="0"/>
              <w:right w:val="single" w:color="auto" w:sz="8" w:space="0"/>
            </w:tcBorders>
            <w:hideMark/>
          </w:tcPr>
          <w:p w:rsidRPr="00821320" w:rsidR="00F67ADD" w:rsidP="00B412DF" w:rsidRDefault="00F67ADD" w14:paraId="3F9480A0" w14:textId="77777777">
            <w:pPr>
              <w:jc w:val="center"/>
              <w:rPr>
                <w:rFonts w:ascii="Verdana" w:hAnsi="Verdana" w:cs="Calibri"/>
                <w:color w:val="FF0000"/>
                <w:sz w:val="18"/>
                <w:szCs w:val="18"/>
                <w:lang w:val="es-CO" w:eastAsia="es-CO"/>
              </w:rPr>
            </w:pPr>
            <w:r w:rsidRPr="00821320">
              <w:rPr>
                <w:rFonts w:ascii="Verdana" w:hAnsi="Verdana" w:cs="Calibri"/>
                <w:color w:val="FF0000"/>
                <w:sz w:val="18"/>
                <w:szCs w:val="18"/>
                <w:lang w:eastAsia="es-CO"/>
              </w:rPr>
              <w:t>1.374</w:t>
            </w:r>
          </w:p>
        </w:tc>
      </w:tr>
      <w:tr w:rsidRPr="00821320" w:rsidR="00F67ADD" w:rsidTr="00B412DF" w14:paraId="20AD9461" w14:textId="77777777">
        <w:trPr>
          <w:trHeight w:val="20"/>
          <w:jc w:val="center"/>
        </w:trPr>
        <w:tc>
          <w:tcPr>
            <w:tcW w:w="3109" w:type="dxa"/>
            <w:tcBorders>
              <w:top w:val="nil"/>
              <w:left w:val="single" w:color="auto" w:sz="8" w:space="0"/>
              <w:bottom w:val="single" w:color="auto" w:sz="8" w:space="0"/>
              <w:right w:val="single" w:color="auto" w:sz="8" w:space="0"/>
            </w:tcBorders>
            <w:vAlign w:val="center"/>
            <w:hideMark/>
          </w:tcPr>
          <w:p w:rsidRPr="00821320" w:rsidR="00F67ADD" w:rsidP="00B412DF" w:rsidRDefault="00F67ADD" w14:paraId="7C6A62FF" w14:textId="77777777">
            <w:pPr>
              <w:rPr>
                <w:rFonts w:ascii="Verdana" w:hAnsi="Verdana" w:cs="Calibri"/>
                <w:color w:val="000000"/>
                <w:sz w:val="18"/>
                <w:szCs w:val="18"/>
                <w:lang w:val="es-CO" w:eastAsia="es-CO"/>
              </w:rPr>
            </w:pPr>
            <w:r w:rsidRPr="00821320">
              <w:rPr>
                <w:rFonts w:ascii="Verdana" w:hAnsi="Verdana" w:cs="Calibri"/>
                <w:color w:val="000000"/>
                <w:sz w:val="18"/>
                <w:szCs w:val="18"/>
                <w:lang w:eastAsia="es-CO"/>
              </w:rPr>
              <w:t>Reservas (2) - (3)</w:t>
            </w:r>
          </w:p>
        </w:tc>
        <w:tc>
          <w:tcPr>
            <w:tcW w:w="1984" w:type="dxa"/>
            <w:tcBorders>
              <w:top w:val="nil"/>
              <w:left w:val="nil"/>
              <w:bottom w:val="single" w:color="auto" w:sz="8" w:space="0"/>
              <w:right w:val="single" w:color="auto" w:sz="8" w:space="0"/>
            </w:tcBorders>
            <w:hideMark/>
          </w:tcPr>
          <w:p w:rsidRPr="00821320" w:rsidR="00F67ADD" w:rsidP="00B412DF" w:rsidRDefault="00F67ADD" w14:paraId="1864BC63"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val="es-CO" w:eastAsia="es-CO"/>
              </w:rPr>
              <w:t>35</w:t>
            </w:r>
          </w:p>
        </w:tc>
        <w:tc>
          <w:tcPr>
            <w:tcW w:w="2552" w:type="dxa"/>
            <w:tcBorders>
              <w:top w:val="nil"/>
              <w:left w:val="nil"/>
              <w:bottom w:val="single" w:color="auto" w:sz="8" w:space="0"/>
              <w:right w:val="single" w:color="auto" w:sz="8" w:space="0"/>
            </w:tcBorders>
            <w:hideMark/>
          </w:tcPr>
          <w:p w:rsidRPr="00821320" w:rsidR="00F67ADD" w:rsidP="00B412DF" w:rsidRDefault="00F67ADD" w14:paraId="6B9BDD3B"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eastAsia="es-CO"/>
              </w:rPr>
              <w:t>36</w:t>
            </w:r>
          </w:p>
        </w:tc>
        <w:tc>
          <w:tcPr>
            <w:tcW w:w="1393" w:type="dxa"/>
            <w:tcBorders>
              <w:top w:val="nil"/>
              <w:left w:val="nil"/>
              <w:bottom w:val="single" w:color="auto" w:sz="8" w:space="0"/>
              <w:right w:val="single" w:color="auto" w:sz="8" w:space="0"/>
            </w:tcBorders>
            <w:hideMark/>
          </w:tcPr>
          <w:p w:rsidRPr="00821320" w:rsidR="00F67ADD" w:rsidP="00B412DF" w:rsidRDefault="00F67ADD" w14:paraId="55831446" w14:textId="77777777">
            <w:pPr>
              <w:jc w:val="center"/>
              <w:rPr>
                <w:rFonts w:ascii="Verdana" w:hAnsi="Verdana" w:cs="Calibri"/>
                <w:color w:val="FF0000"/>
                <w:sz w:val="18"/>
                <w:szCs w:val="18"/>
                <w:lang w:val="es-CO" w:eastAsia="es-CO"/>
              </w:rPr>
            </w:pPr>
            <w:r w:rsidRPr="00821320">
              <w:rPr>
                <w:rFonts w:ascii="Verdana" w:hAnsi="Verdana" w:cs="Calibri"/>
                <w:color w:val="FF0000"/>
                <w:sz w:val="18"/>
                <w:szCs w:val="18"/>
                <w:lang w:eastAsia="es-CO"/>
              </w:rPr>
              <w:t>-0,48</w:t>
            </w:r>
          </w:p>
        </w:tc>
      </w:tr>
      <w:tr w:rsidRPr="00821320" w:rsidR="00F67ADD" w:rsidTr="00B412DF" w14:paraId="2541547E" w14:textId="77777777">
        <w:trPr>
          <w:trHeight w:val="20"/>
          <w:jc w:val="center"/>
        </w:trPr>
        <w:tc>
          <w:tcPr>
            <w:tcW w:w="3109" w:type="dxa"/>
            <w:tcBorders>
              <w:top w:val="nil"/>
              <w:left w:val="single" w:color="auto" w:sz="8" w:space="0"/>
              <w:bottom w:val="single" w:color="auto" w:sz="8" w:space="0"/>
              <w:right w:val="single" w:color="auto" w:sz="8" w:space="0"/>
            </w:tcBorders>
            <w:vAlign w:val="center"/>
            <w:hideMark/>
          </w:tcPr>
          <w:p w:rsidRPr="00821320" w:rsidR="00F67ADD" w:rsidP="00B412DF" w:rsidRDefault="00F67ADD" w14:paraId="3E2203A3" w14:textId="77777777">
            <w:pPr>
              <w:rPr>
                <w:rFonts w:ascii="Verdana" w:hAnsi="Verdana" w:cs="Calibri"/>
                <w:color w:val="000000"/>
                <w:sz w:val="18"/>
                <w:szCs w:val="18"/>
                <w:lang w:val="es-CO" w:eastAsia="es-CO"/>
              </w:rPr>
            </w:pPr>
            <w:r w:rsidRPr="00821320">
              <w:rPr>
                <w:rFonts w:ascii="Verdana" w:hAnsi="Verdana" w:cs="Calibri"/>
                <w:color w:val="000000"/>
                <w:sz w:val="18"/>
                <w:szCs w:val="18"/>
                <w:lang w:eastAsia="es-CO"/>
              </w:rPr>
              <w:t>Cuentas por pagar (3) – (4)</w:t>
            </w:r>
          </w:p>
        </w:tc>
        <w:tc>
          <w:tcPr>
            <w:tcW w:w="1984" w:type="dxa"/>
            <w:tcBorders>
              <w:top w:val="nil"/>
              <w:left w:val="nil"/>
              <w:bottom w:val="single" w:color="auto" w:sz="8" w:space="0"/>
              <w:right w:val="single" w:color="auto" w:sz="8" w:space="0"/>
            </w:tcBorders>
            <w:hideMark/>
          </w:tcPr>
          <w:p w:rsidRPr="00821320" w:rsidR="00F67ADD" w:rsidP="00B412DF" w:rsidRDefault="00F67ADD" w14:paraId="39F2591C"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val="es-CO" w:eastAsia="es-CO"/>
              </w:rPr>
              <w:t>195</w:t>
            </w:r>
          </w:p>
        </w:tc>
        <w:tc>
          <w:tcPr>
            <w:tcW w:w="2552" w:type="dxa"/>
            <w:tcBorders>
              <w:top w:val="nil"/>
              <w:left w:val="nil"/>
              <w:bottom w:val="single" w:color="auto" w:sz="8" w:space="0"/>
              <w:right w:val="single" w:color="auto" w:sz="8" w:space="0"/>
            </w:tcBorders>
            <w:hideMark/>
          </w:tcPr>
          <w:p w:rsidRPr="00821320" w:rsidR="00F67ADD" w:rsidP="00B412DF" w:rsidRDefault="00F67ADD" w14:paraId="2151594C" w14:textId="77777777">
            <w:pPr>
              <w:jc w:val="center"/>
              <w:rPr>
                <w:rFonts w:ascii="Verdana" w:hAnsi="Verdana" w:cs="Calibri"/>
                <w:color w:val="000000"/>
                <w:sz w:val="18"/>
                <w:szCs w:val="18"/>
                <w:lang w:val="es-CO" w:eastAsia="es-CO"/>
              </w:rPr>
            </w:pPr>
            <w:r w:rsidRPr="00821320">
              <w:rPr>
                <w:rFonts w:ascii="Verdana" w:hAnsi="Verdana" w:cs="Calibri"/>
                <w:color w:val="000000"/>
                <w:sz w:val="18"/>
                <w:szCs w:val="18"/>
                <w:lang w:eastAsia="es-CO"/>
              </w:rPr>
              <w:t>184</w:t>
            </w:r>
          </w:p>
        </w:tc>
        <w:tc>
          <w:tcPr>
            <w:tcW w:w="1393" w:type="dxa"/>
            <w:tcBorders>
              <w:top w:val="nil"/>
              <w:left w:val="nil"/>
              <w:bottom w:val="single" w:color="auto" w:sz="8" w:space="0"/>
              <w:right w:val="single" w:color="auto" w:sz="8" w:space="0"/>
            </w:tcBorders>
            <w:hideMark/>
          </w:tcPr>
          <w:p w:rsidRPr="00821320" w:rsidR="00F67ADD" w:rsidP="00B412DF" w:rsidRDefault="00F67ADD" w14:paraId="48DB6F15" w14:textId="77777777">
            <w:pPr>
              <w:jc w:val="center"/>
              <w:rPr>
                <w:rFonts w:ascii="Verdana" w:hAnsi="Verdana" w:cs="Calibri"/>
                <w:color w:val="FF0000"/>
                <w:sz w:val="18"/>
                <w:szCs w:val="18"/>
                <w:lang w:val="es-CO" w:eastAsia="es-CO"/>
              </w:rPr>
            </w:pPr>
            <w:r w:rsidRPr="00821320">
              <w:rPr>
                <w:rFonts w:ascii="Verdana" w:hAnsi="Verdana" w:cs="Calibri"/>
                <w:color w:val="FF0000"/>
                <w:sz w:val="18"/>
                <w:szCs w:val="18"/>
                <w:lang w:eastAsia="es-CO"/>
              </w:rPr>
              <w:t>11</w:t>
            </w:r>
          </w:p>
        </w:tc>
      </w:tr>
    </w:tbl>
    <w:p w:rsidRPr="00821320" w:rsidR="00F67ADD" w:rsidP="00B412DF" w:rsidRDefault="00F67ADD" w14:paraId="565333C6" w14:textId="77777777">
      <w:pPr>
        <w:jc w:val="center"/>
        <w:textAlignment w:val="baseline"/>
        <w:rPr>
          <w:rFonts w:ascii="Verdana" w:hAnsi="Verdana" w:cs="Segoe UI"/>
          <w:sz w:val="22"/>
          <w:szCs w:val="22"/>
          <w:lang w:eastAsia="es-CO"/>
        </w:rPr>
      </w:pPr>
      <w:r w:rsidRPr="00821320">
        <w:rPr>
          <w:rFonts w:ascii="Verdana" w:hAnsi="Verdana" w:cs="Arial"/>
          <w:color w:val="000000"/>
          <w:sz w:val="18"/>
          <w:szCs w:val="18"/>
          <w:lang w:eastAsia="es-CO"/>
        </w:rPr>
        <w:t xml:space="preserve">Fuente: Cálculos DAF con base en la ejecución presupuestal 2023 </w:t>
      </w:r>
      <w:r w:rsidRPr="00821320" w:rsidR="00FE1869">
        <w:rPr>
          <w:rFonts w:ascii="Verdana" w:hAnsi="Verdana" w:cs="Arial"/>
          <w:color w:val="000000"/>
          <w:sz w:val="18"/>
          <w:szCs w:val="18"/>
          <w:lang w:eastAsia="es-CO"/>
        </w:rPr>
        <w:t xml:space="preserve">y reporte CUIPO </w:t>
      </w:r>
      <w:r w:rsidRPr="00821320" w:rsidR="00FE1869">
        <w:rPr>
          <w:rFonts w:ascii="Verdana" w:hAnsi="Verdana"/>
          <w:sz w:val="18"/>
          <w:szCs w:val="18"/>
        </w:rPr>
        <w:t>a 31 de diciembre de 2023</w:t>
      </w:r>
      <w:r w:rsidRPr="00821320" w:rsidR="00FE1869">
        <w:rPr>
          <w:rFonts w:ascii="Verdana" w:hAnsi="Verdana" w:cs="Arial"/>
          <w:color w:val="000000"/>
          <w:sz w:val="18"/>
          <w:szCs w:val="18"/>
          <w:lang w:eastAsia="es-CO"/>
        </w:rPr>
        <w:t>.</w:t>
      </w:r>
    </w:p>
    <w:p w:rsidRPr="00821320" w:rsidR="00522100" w:rsidP="00B412DF" w:rsidRDefault="00522100" w14:paraId="50F61024" w14:textId="77777777">
      <w:pPr>
        <w:jc w:val="center"/>
        <w:textAlignment w:val="baseline"/>
        <w:rPr>
          <w:rFonts w:ascii="Verdana" w:hAnsi="Verdana" w:eastAsia="Times New Roman" w:cs="Segoe UI"/>
          <w:sz w:val="22"/>
          <w:szCs w:val="22"/>
          <w:lang w:eastAsia="es-CO"/>
        </w:rPr>
      </w:pPr>
    </w:p>
    <w:p w:rsidRPr="00821320" w:rsidR="00CE200A" w:rsidP="00B412DF" w:rsidRDefault="00CE200A" w14:paraId="0AD60D6C" w14:textId="77777777">
      <w:pPr>
        <w:pStyle w:val="Ttulo2"/>
        <w:numPr>
          <w:ilvl w:val="0"/>
          <w:numId w:val="21"/>
        </w:numPr>
        <w:spacing w:before="0"/>
        <w:ind w:left="426" w:hanging="426"/>
        <w:rPr>
          <w:rFonts w:ascii="Verdana" w:hAnsi="Verdana"/>
          <w:b/>
          <w:bCs/>
          <w:color w:val="auto"/>
          <w:sz w:val="22"/>
          <w:szCs w:val="22"/>
        </w:rPr>
      </w:pPr>
      <w:r w:rsidRPr="00821320">
        <w:rPr>
          <w:rFonts w:ascii="Verdana" w:hAnsi="Verdana"/>
          <w:b/>
          <w:bCs/>
          <w:color w:val="auto"/>
          <w:sz w:val="22"/>
          <w:szCs w:val="22"/>
        </w:rPr>
        <w:t>Análisis sectorial.</w:t>
      </w:r>
    </w:p>
    <w:p w:rsidRPr="00821320" w:rsidR="00CE200A" w:rsidP="00B412DF" w:rsidRDefault="00CE200A" w14:paraId="50CDA1A1" w14:textId="77777777">
      <w:pPr>
        <w:jc w:val="both"/>
        <w:rPr>
          <w:rFonts w:ascii="Verdana" w:hAnsi="Verdana"/>
          <w:sz w:val="22"/>
          <w:szCs w:val="22"/>
        </w:rPr>
      </w:pPr>
    </w:p>
    <w:p w:rsidRPr="00821320" w:rsidR="00CE200A" w:rsidP="00B412DF" w:rsidRDefault="00CE200A" w14:paraId="7BBE7C92" w14:textId="77777777">
      <w:pPr>
        <w:contextualSpacing/>
        <w:jc w:val="both"/>
        <w:rPr>
          <w:rFonts w:ascii="Verdana" w:hAnsi="Verdana"/>
          <w:sz w:val="22"/>
          <w:szCs w:val="22"/>
        </w:rPr>
      </w:pPr>
      <w:r w:rsidRPr="00821320">
        <w:rPr>
          <w:rFonts w:ascii="Verdana" w:hAnsi="Verdana"/>
          <w:sz w:val="22"/>
          <w:szCs w:val="22"/>
        </w:rPr>
        <w:lastRenderedPageBreak/>
        <w:t>El diagnóstico de los principales temas del Sector Educación revisados con la información remitida por el Municipio de Yopal, según el oficio con radicado 1-2023-051977 del 21 de junio de 2023 permitió que se identificaran los inconvenientes que se describen a continuación: </w:t>
      </w:r>
    </w:p>
    <w:p w:rsidRPr="00821320" w:rsidR="00CE200A" w:rsidP="00B412DF" w:rsidRDefault="00CE200A" w14:paraId="55BDDA22" w14:textId="77777777">
      <w:pPr>
        <w:contextualSpacing/>
        <w:jc w:val="both"/>
        <w:rPr>
          <w:rFonts w:ascii="Verdana" w:hAnsi="Verdana"/>
          <w:sz w:val="22"/>
          <w:szCs w:val="22"/>
        </w:rPr>
      </w:pPr>
      <w:r w:rsidRPr="00821320">
        <w:rPr>
          <w:rFonts w:ascii="Verdana" w:hAnsi="Verdana"/>
          <w:sz w:val="22"/>
          <w:szCs w:val="22"/>
        </w:rPr>
        <w:t> </w:t>
      </w:r>
    </w:p>
    <w:p w:rsidRPr="00821320" w:rsidR="00CE200A" w:rsidP="00B412DF" w:rsidRDefault="00CE200A" w14:paraId="6F66362C" w14:textId="77777777">
      <w:pPr>
        <w:contextualSpacing/>
        <w:jc w:val="both"/>
        <w:rPr>
          <w:rFonts w:ascii="Verdana" w:hAnsi="Verdana"/>
          <w:sz w:val="22"/>
          <w:szCs w:val="22"/>
        </w:rPr>
      </w:pPr>
      <w:r w:rsidRPr="00821320">
        <w:rPr>
          <w:rFonts w:ascii="Verdana" w:hAnsi="Verdana"/>
          <w:b/>
          <w:bCs/>
          <w:sz w:val="22"/>
          <w:szCs w:val="22"/>
        </w:rPr>
        <w:t>En material financiera y fiscal</w:t>
      </w:r>
      <w:r w:rsidRPr="00821320">
        <w:rPr>
          <w:rFonts w:ascii="Verdana" w:hAnsi="Verdana"/>
          <w:sz w:val="22"/>
          <w:szCs w:val="22"/>
        </w:rPr>
        <w:t>, la Entidad realizó el pago de Prima Técnica para Administrativos de la Secretaría de Educación con recursos del Sistema General de Participaciones. Con respecto al reporte de información en el FUT y en CUIPO, se identificaron inconsistencias en las vigencias 2021 y 2022 (se configura</w:t>
      </w:r>
      <w:r w:rsidRPr="00821320" w:rsidR="00563A7E">
        <w:rPr>
          <w:rFonts w:ascii="Verdana" w:hAnsi="Verdana"/>
          <w:sz w:val="22"/>
          <w:szCs w:val="22"/>
        </w:rPr>
        <w:t>ro</w:t>
      </w:r>
      <w:r w:rsidRPr="00821320">
        <w:rPr>
          <w:rFonts w:ascii="Verdana" w:hAnsi="Verdana"/>
          <w:sz w:val="22"/>
          <w:szCs w:val="22"/>
        </w:rPr>
        <w:t>n los eventos</w:t>
      </w:r>
      <w:r w:rsidRPr="00821320" w:rsidR="00563A7E">
        <w:rPr>
          <w:rFonts w:ascii="Verdana" w:hAnsi="Verdana"/>
          <w:sz w:val="22"/>
          <w:szCs w:val="22"/>
        </w:rPr>
        <w:t xml:space="preserve"> de riesgo</w:t>
      </w:r>
      <w:r w:rsidRPr="00821320">
        <w:rPr>
          <w:rFonts w:ascii="Verdana" w:hAnsi="Verdana"/>
          <w:sz w:val="22"/>
          <w:szCs w:val="22"/>
        </w:rPr>
        <w:t xml:space="preserve"> 9.1 y 9.</w:t>
      </w:r>
      <w:r w:rsidRPr="00821320" w:rsidR="00563A7E">
        <w:rPr>
          <w:rFonts w:ascii="Verdana" w:hAnsi="Verdana"/>
          <w:sz w:val="22"/>
          <w:szCs w:val="22"/>
        </w:rPr>
        <w:t>18</w:t>
      </w:r>
      <w:r w:rsidRPr="00821320">
        <w:rPr>
          <w:rFonts w:ascii="Verdana" w:hAnsi="Verdana"/>
          <w:sz w:val="22"/>
          <w:szCs w:val="22"/>
        </w:rPr>
        <w:t>).</w:t>
      </w:r>
      <w:r w:rsidRPr="00821320" w:rsidR="00151A1B">
        <w:rPr>
          <w:rFonts w:ascii="Verdana" w:hAnsi="Verdana"/>
          <w:sz w:val="22"/>
          <w:szCs w:val="22"/>
        </w:rPr>
        <w:t xml:space="preserve"> </w:t>
      </w:r>
    </w:p>
    <w:p w:rsidRPr="00821320" w:rsidR="00CE200A" w:rsidP="00B412DF" w:rsidRDefault="00CE200A" w14:paraId="3F391E6F" w14:textId="77777777">
      <w:pPr>
        <w:contextualSpacing/>
        <w:jc w:val="both"/>
        <w:rPr>
          <w:rFonts w:ascii="Verdana" w:hAnsi="Verdana"/>
          <w:sz w:val="22"/>
          <w:szCs w:val="22"/>
        </w:rPr>
      </w:pPr>
    </w:p>
    <w:p w:rsidRPr="00AC2CA2" w:rsidR="0024544C" w:rsidP="00B412DF" w:rsidRDefault="00CE200A" w14:paraId="0D516A42" w14:textId="77777777">
      <w:pPr>
        <w:contextualSpacing/>
        <w:jc w:val="both"/>
        <w:rPr>
          <w:rFonts w:ascii="Verdana" w:hAnsi="Verdana"/>
          <w:sz w:val="22"/>
          <w:szCs w:val="22"/>
        </w:rPr>
      </w:pPr>
      <w:r w:rsidRPr="00821320">
        <w:rPr>
          <w:rFonts w:ascii="Verdana" w:hAnsi="Verdana"/>
          <w:b/>
          <w:bCs/>
          <w:sz w:val="22"/>
          <w:szCs w:val="22"/>
        </w:rPr>
        <w:t>Frente a los aspectos contractuales</w:t>
      </w:r>
      <w:r w:rsidRPr="00821320">
        <w:rPr>
          <w:rFonts w:ascii="Verdana" w:hAnsi="Verdana"/>
          <w:sz w:val="22"/>
          <w:szCs w:val="22"/>
        </w:rPr>
        <w:t>, el Municipio no publicó la totalidad de los documentos requeridos para los procesos contractuales adelantados, cuando la ley lo exige (se configur</w:t>
      </w:r>
      <w:r w:rsidRPr="00821320" w:rsidR="00563A7E">
        <w:rPr>
          <w:rFonts w:ascii="Verdana" w:hAnsi="Verdana"/>
          <w:sz w:val="22"/>
          <w:szCs w:val="22"/>
        </w:rPr>
        <w:t>ó</w:t>
      </w:r>
      <w:r w:rsidRPr="00821320">
        <w:rPr>
          <w:rFonts w:ascii="Verdana" w:hAnsi="Verdana"/>
          <w:sz w:val="22"/>
          <w:szCs w:val="22"/>
        </w:rPr>
        <w:t xml:space="preserve"> </w:t>
      </w:r>
      <w:r w:rsidRPr="00821320" w:rsidR="00563A7E">
        <w:rPr>
          <w:rFonts w:ascii="Verdana" w:hAnsi="Verdana"/>
          <w:sz w:val="22"/>
          <w:szCs w:val="22"/>
        </w:rPr>
        <w:t xml:space="preserve">el </w:t>
      </w:r>
      <w:r w:rsidRPr="00821320">
        <w:rPr>
          <w:rFonts w:ascii="Verdana" w:hAnsi="Verdana"/>
          <w:sz w:val="22"/>
          <w:szCs w:val="22"/>
        </w:rPr>
        <w:t>evento de riesgo 9.10). As</w:t>
      </w:r>
      <w:r w:rsidRPr="00821320" w:rsidR="00A72233">
        <w:rPr>
          <w:rFonts w:ascii="Verdana" w:hAnsi="Verdana"/>
          <w:sz w:val="22"/>
          <w:szCs w:val="22"/>
        </w:rPr>
        <w:t xml:space="preserve">í </w:t>
      </w:r>
      <w:r w:rsidRPr="00821320">
        <w:rPr>
          <w:rFonts w:ascii="Verdana" w:hAnsi="Verdana"/>
          <w:sz w:val="22"/>
          <w:szCs w:val="22"/>
        </w:rPr>
        <w:t>mismo, se identificó que la Entidad realizó la contratación tardía para el suministro de la dotación de vestuario y calzado de labor establecida por la Ley 70 de 1988 y su Decreto reglamentario</w:t>
      </w:r>
      <w:r w:rsidRPr="00821320" w:rsidR="00C01637">
        <w:rPr>
          <w:rFonts w:ascii="Verdana" w:hAnsi="Verdana"/>
          <w:sz w:val="22"/>
          <w:szCs w:val="22"/>
        </w:rPr>
        <w:t xml:space="preserve"> </w:t>
      </w:r>
      <w:r w:rsidRPr="00821320" w:rsidR="008D1EC0">
        <w:rPr>
          <w:rFonts w:ascii="Verdana" w:hAnsi="Verdana"/>
          <w:sz w:val="22"/>
          <w:szCs w:val="22"/>
        </w:rPr>
        <w:t>(se configura evento de riesgo 9.1</w:t>
      </w:r>
      <w:r w:rsidRPr="00821320" w:rsidR="00355945">
        <w:rPr>
          <w:rFonts w:ascii="Verdana" w:hAnsi="Verdana"/>
          <w:sz w:val="22"/>
          <w:szCs w:val="22"/>
        </w:rPr>
        <w:t>7</w:t>
      </w:r>
      <w:r w:rsidRPr="00821320" w:rsidR="008D1EC0">
        <w:rPr>
          <w:rFonts w:ascii="Verdana" w:hAnsi="Verdana"/>
          <w:sz w:val="22"/>
          <w:szCs w:val="22"/>
        </w:rPr>
        <w:t>)</w:t>
      </w:r>
      <w:r w:rsidRPr="00821320" w:rsidR="00B0369A">
        <w:rPr>
          <w:rFonts w:ascii="Verdana" w:hAnsi="Verdana"/>
          <w:sz w:val="22"/>
          <w:szCs w:val="22"/>
        </w:rPr>
        <w:t xml:space="preserve">. </w:t>
      </w:r>
      <w:r w:rsidRPr="00821320" w:rsidR="00357DFD">
        <w:rPr>
          <w:rFonts w:ascii="Verdana" w:hAnsi="Verdana"/>
          <w:sz w:val="22"/>
          <w:szCs w:val="22"/>
        </w:rPr>
        <w:t>Adicionalmente, la Entidad superó el límite de gasto administrativo durante la vigencia 2022 (se configura evento de riesgo 9.4). </w:t>
      </w:r>
    </w:p>
    <w:p w:rsidRPr="00821320" w:rsidR="00C01637" w:rsidP="00B412DF" w:rsidRDefault="00C01637" w14:paraId="076628F7" w14:textId="77777777">
      <w:pPr>
        <w:contextualSpacing/>
        <w:jc w:val="both"/>
        <w:rPr>
          <w:rFonts w:ascii="Verdana" w:hAnsi="Verdana"/>
          <w:sz w:val="22"/>
          <w:szCs w:val="22"/>
        </w:rPr>
      </w:pPr>
    </w:p>
    <w:p w:rsidRPr="00821320" w:rsidR="00C01637" w:rsidP="00B412DF" w:rsidRDefault="00C01637" w14:paraId="753E4E0A" w14:textId="77777777">
      <w:pPr>
        <w:jc w:val="both"/>
        <w:rPr>
          <w:rFonts w:ascii="Verdana" w:hAnsi="Verdana" w:eastAsia="Times New Roman" w:cs="Arial"/>
          <w:b/>
          <w:bCs/>
          <w:sz w:val="22"/>
          <w:szCs w:val="22"/>
        </w:rPr>
      </w:pPr>
      <w:r w:rsidRPr="00821320">
        <w:rPr>
          <w:rFonts w:ascii="Verdana" w:hAnsi="Verdana"/>
          <w:sz w:val="22"/>
          <w:szCs w:val="22"/>
        </w:rPr>
        <w:t xml:space="preserve">Además, la Entidad demostró </w:t>
      </w:r>
      <w:r w:rsidR="00112712">
        <w:rPr>
          <w:rFonts w:ascii="Verdana" w:hAnsi="Verdana"/>
          <w:sz w:val="22"/>
          <w:szCs w:val="22"/>
        </w:rPr>
        <w:t xml:space="preserve">faltas al </w:t>
      </w:r>
      <w:r w:rsidRPr="00112712" w:rsidR="00112712">
        <w:rPr>
          <w:rFonts w:ascii="Verdana" w:hAnsi="Verdana" w:cs="Arial"/>
          <w:sz w:val="22"/>
          <w:szCs w:val="22"/>
        </w:rPr>
        <w:t>principio de Planeación Contractual</w:t>
      </w:r>
      <w:r w:rsidRPr="00821320">
        <w:rPr>
          <w:rFonts w:ascii="Verdana" w:hAnsi="Verdana" w:eastAsia="Times New Roman" w:cs="Arial"/>
          <w:b/>
          <w:bCs/>
          <w:sz w:val="22"/>
          <w:szCs w:val="22"/>
        </w:rPr>
        <w:t>:</w:t>
      </w:r>
    </w:p>
    <w:p w:rsidRPr="00821320" w:rsidR="00C01637" w:rsidP="00B412DF" w:rsidRDefault="00C01637" w14:paraId="7244CC51" w14:textId="77777777">
      <w:pPr>
        <w:pStyle w:val="Default"/>
        <w:jc w:val="both"/>
        <w:rPr>
          <w:rFonts w:ascii="Verdana" w:hAnsi="Verdana"/>
          <w:sz w:val="22"/>
          <w:szCs w:val="22"/>
        </w:rPr>
      </w:pPr>
    </w:p>
    <w:p w:rsidRPr="00821320" w:rsidR="00C01637" w:rsidP="00B412DF" w:rsidRDefault="00C01637" w14:paraId="545F34D6" w14:textId="77777777">
      <w:pPr>
        <w:pStyle w:val="Default"/>
        <w:jc w:val="both"/>
        <w:rPr>
          <w:rFonts w:ascii="Verdana" w:hAnsi="Verdana"/>
          <w:sz w:val="22"/>
          <w:szCs w:val="22"/>
        </w:rPr>
      </w:pPr>
      <w:r w:rsidRPr="00821320">
        <w:rPr>
          <w:rFonts w:ascii="Verdana" w:hAnsi="Verdana"/>
          <w:sz w:val="22"/>
          <w:szCs w:val="22"/>
        </w:rPr>
        <w:t xml:space="preserve">De acuerdo con la Sentencia 31447 de 2007 de la consejera Ponente Ruth Stella Correa Palacio del Consejo de Estado al abordar los principios de la contratación estatal, indicó que: </w:t>
      </w:r>
    </w:p>
    <w:p w:rsidRPr="00821320" w:rsidR="00C01637" w:rsidP="00B412DF" w:rsidRDefault="00C01637" w14:paraId="637AE7DB" w14:textId="77777777">
      <w:pPr>
        <w:pStyle w:val="Default"/>
        <w:ind w:left="1416"/>
        <w:jc w:val="both"/>
        <w:rPr>
          <w:rFonts w:ascii="Verdana" w:hAnsi="Verdana"/>
          <w:i/>
          <w:iCs/>
          <w:color w:val="323232"/>
          <w:sz w:val="22"/>
          <w:szCs w:val="22"/>
        </w:rPr>
      </w:pPr>
    </w:p>
    <w:p w:rsidRPr="00821320" w:rsidR="00C01637" w:rsidP="00B412DF" w:rsidRDefault="00C01637" w14:paraId="7D1DAEE5" w14:textId="77777777">
      <w:pPr>
        <w:pStyle w:val="Default"/>
        <w:ind w:left="567"/>
        <w:jc w:val="both"/>
        <w:rPr>
          <w:rFonts w:ascii="Verdana" w:hAnsi="Verdana"/>
          <w:i/>
          <w:iCs/>
          <w:color w:val="auto"/>
          <w:sz w:val="18"/>
          <w:szCs w:val="18"/>
        </w:rPr>
      </w:pPr>
      <w:r w:rsidRPr="00821320">
        <w:rPr>
          <w:rFonts w:ascii="Verdana" w:hAnsi="Verdana"/>
          <w:i/>
          <w:iCs/>
          <w:color w:val="auto"/>
          <w:sz w:val="18"/>
          <w:szCs w:val="18"/>
        </w:rPr>
        <w:t xml:space="preserve">“Ahora bien, la doctrina y la jurisprudencia han esbozado como principios fundamentales del proceso licitatorio los de libertad de concurrencia, igualdad, publicidad y transparencia. </w:t>
      </w:r>
      <w:r w:rsidRPr="00821320">
        <w:rPr>
          <w:rFonts w:ascii="Verdana" w:hAnsi="Verdana"/>
          <w:i/>
          <w:iCs/>
          <w:color w:val="auto"/>
          <w:sz w:val="18"/>
          <w:szCs w:val="18"/>
          <w:u w:val="single"/>
        </w:rPr>
        <w:t>La Ley 80 de 1993 consagró como principios de la contratación estatal los de transparencia, economía y responsabilidad, a los cuales ha sumado los de planeación y el de selección objetiva</w:t>
      </w:r>
      <w:r w:rsidRPr="00821320">
        <w:rPr>
          <w:rFonts w:ascii="Verdana" w:hAnsi="Verdana"/>
          <w:i/>
          <w:iCs/>
          <w:color w:val="auto"/>
          <w:sz w:val="18"/>
          <w:szCs w:val="18"/>
        </w:rPr>
        <w:t xml:space="preserve">. Por lo demás, el procedimiento precontractual que adelanta la administración es un típico procedimiento administrativo, sujeto a los principios orientadores de economía, celeridad, eficacia, imparcialidad, publicidad y contradicción, señalados en el artículo 3 del C.C.A. y en el artículo 209 de la Carta. </w:t>
      </w:r>
    </w:p>
    <w:p w:rsidRPr="00821320" w:rsidR="00C01637" w:rsidP="00B412DF" w:rsidRDefault="00C01637" w14:paraId="76CB8E6F" w14:textId="77777777">
      <w:pPr>
        <w:pStyle w:val="Default"/>
        <w:ind w:left="567"/>
        <w:jc w:val="both"/>
        <w:rPr>
          <w:rFonts w:ascii="Verdana" w:hAnsi="Verdana"/>
          <w:i/>
          <w:iCs/>
          <w:color w:val="auto"/>
          <w:sz w:val="18"/>
          <w:szCs w:val="18"/>
        </w:rPr>
      </w:pPr>
    </w:p>
    <w:p w:rsidRPr="00821320" w:rsidR="00C01637" w:rsidP="00B412DF" w:rsidRDefault="00C01637" w14:paraId="7A243347" w14:textId="77777777">
      <w:pPr>
        <w:ind w:left="567"/>
        <w:jc w:val="both"/>
        <w:rPr>
          <w:rFonts w:ascii="Verdana" w:hAnsi="Verdana" w:cs="Arial"/>
          <w:i/>
          <w:iCs/>
          <w:sz w:val="18"/>
          <w:szCs w:val="18"/>
          <w:u w:val="single"/>
        </w:rPr>
      </w:pPr>
      <w:r w:rsidRPr="00821320">
        <w:rPr>
          <w:rFonts w:ascii="Verdana" w:hAnsi="Verdana" w:cs="Arial"/>
          <w:i/>
          <w:iCs/>
          <w:sz w:val="18"/>
          <w:szCs w:val="18"/>
          <w:u w:val="single"/>
        </w:rPr>
        <w:t>Por tanto, el principio de economía en cuya esencia se encuentra el deber de planeación del contrato "(…) significa que el Estado está obligado a actuar con alto grado de eficiencia y eficacia para que se protejan los recursos públicos fiscales, con sujeción estricta al orden jurídico. De tal manera que es cuestionable todo acto de negligencia, desidia o falta de planeación u organización estatal en la toma de decisiones públicas, que generan situaciones contrarias a la ley".</w:t>
      </w:r>
    </w:p>
    <w:p w:rsidRPr="00821320" w:rsidR="00C01637" w:rsidP="00B412DF" w:rsidRDefault="00C01637" w14:paraId="59D02DD7" w14:textId="77777777">
      <w:pPr>
        <w:ind w:left="567"/>
        <w:jc w:val="both"/>
        <w:rPr>
          <w:rFonts w:ascii="Verdana" w:hAnsi="Verdana" w:cs="Arial"/>
          <w:i/>
          <w:iCs/>
          <w:sz w:val="18"/>
          <w:szCs w:val="18"/>
          <w:u w:val="single"/>
        </w:rPr>
      </w:pPr>
    </w:p>
    <w:p w:rsidRPr="00821320" w:rsidR="00C01637" w:rsidP="00B412DF" w:rsidRDefault="00C01637" w14:paraId="227B8579" w14:textId="77777777">
      <w:pPr>
        <w:ind w:left="567"/>
        <w:jc w:val="both"/>
        <w:rPr>
          <w:rFonts w:ascii="Verdana" w:hAnsi="Verdana" w:cs="Arial"/>
          <w:i/>
          <w:iCs/>
          <w:sz w:val="18"/>
          <w:szCs w:val="18"/>
          <w:u w:val="single"/>
        </w:rPr>
      </w:pPr>
      <w:r w:rsidRPr="00821320">
        <w:rPr>
          <w:rFonts w:ascii="Verdana" w:hAnsi="Verdana"/>
          <w:i/>
          <w:iCs/>
          <w:sz w:val="18"/>
          <w:szCs w:val="18"/>
        </w:rPr>
        <w:t xml:space="preserve">Según lo expuesto en la anterior jurisprudencia los criterios de selección varían en cada proceso y dependen de una adecuada etapa de planeación que efectúe la entidad para adelantar el proceso de licitación pública o concurso de méritos, es decir, de la realización de unos apropiados estudios previos que aseguren la consagración de unos criterios de selección esenciales, que le permitan a la entidad un grado de certeza de que la propuesta a escoger garantizará el desarrollo del objeto contractual materia de la adjudicación en el proceso de selección (artículos 24 numeral 5, apartes b y c; 25 numeral y ss.; y 26 </w:t>
      </w:r>
      <w:r w:rsidRPr="00821320">
        <w:rPr>
          <w:rFonts w:ascii="Verdana" w:hAnsi="Verdana"/>
          <w:i/>
          <w:iCs/>
          <w:sz w:val="18"/>
          <w:szCs w:val="18"/>
        </w:rPr>
        <w:lastRenderedPageBreak/>
        <w:t xml:space="preserve">numerales 1 y 3, entre otros, de la Ley 80 de 1993) con otras palabras, los pliegos de condiciones o los términos de referencia, que se deben elaborar por la entidad pública con la debida antelación a la apertura del proceso (numerales 5 y 12 del artículo 25 en concordancia con el numeral 2º del artículo 30 de la Ley 80 de 1993), son los instrumentos que hacen realidad el deber de selección objetiva, como quiera que determinan las reglas que posibilitan la selección de la propuesta más favorable”. </w:t>
      </w:r>
    </w:p>
    <w:p w:rsidRPr="00821320" w:rsidR="00C01637" w:rsidP="00B412DF" w:rsidRDefault="00C01637" w14:paraId="77BC29CD" w14:textId="77777777">
      <w:pPr>
        <w:pStyle w:val="Default"/>
        <w:ind w:left="1416"/>
        <w:jc w:val="both"/>
        <w:rPr>
          <w:rFonts w:ascii="Verdana" w:hAnsi="Verdana"/>
          <w:i/>
          <w:iCs/>
          <w:color w:val="auto"/>
          <w:sz w:val="22"/>
          <w:szCs w:val="22"/>
        </w:rPr>
      </w:pPr>
    </w:p>
    <w:p w:rsidRPr="00821320" w:rsidR="00C01637" w:rsidP="00B412DF" w:rsidRDefault="00C01637" w14:paraId="089C9C2E" w14:textId="77777777">
      <w:pPr>
        <w:pStyle w:val="Default"/>
        <w:jc w:val="both"/>
        <w:rPr>
          <w:rFonts w:ascii="Verdana" w:hAnsi="Verdana"/>
          <w:color w:val="auto"/>
          <w:sz w:val="22"/>
          <w:szCs w:val="22"/>
        </w:rPr>
      </w:pPr>
      <w:r w:rsidRPr="00821320">
        <w:rPr>
          <w:rFonts w:ascii="Verdana" w:hAnsi="Verdana"/>
          <w:color w:val="auto"/>
          <w:sz w:val="22"/>
          <w:szCs w:val="22"/>
        </w:rPr>
        <w:t xml:space="preserve">Aunado a lo anterior, el Consejo de Estado ha reiterado que: </w:t>
      </w:r>
    </w:p>
    <w:p w:rsidRPr="00821320" w:rsidR="00C01637" w:rsidP="00B412DF" w:rsidRDefault="00C01637" w14:paraId="7B204A2D" w14:textId="77777777">
      <w:pPr>
        <w:pStyle w:val="Default"/>
        <w:jc w:val="both"/>
        <w:rPr>
          <w:rFonts w:ascii="Verdana" w:hAnsi="Verdana"/>
          <w:color w:val="auto"/>
          <w:sz w:val="22"/>
          <w:szCs w:val="22"/>
        </w:rPr>
      </w:pPr>
    </w:p>
    <w:p w:rsidRPr="00821320" w:rsidR="00C01637" w:rsidP="00B412DF" w:rsidRDefault="00C01637" w14:paraId="20CAACC4" w14:textId="77777777">
      <w:pPr>
        <w:pStyle w:val="Default"/>
        <w:ind w:left="567"/>
        <w:jc w:val="both"/>
        <w:rPr>
          <w:rFonts w:ascii="Verdana" w:hAnsi="Verdana"/>
          <w:i/>
          <w:iCs/>
          <w:color w:val="auto"/>
          <w:sz w:val="18"/>
          <w:szCs w:val="18"/>
        </w:rPr>
      </w:pPr>
      <w:r w:rsidRPr="00821320">
        <w:rPr>
          <w:rFonts w:ascii="Verdana" w:hAnsi="Verdana"/>
          <w:i/>
          <w:iCs/>
          <w:color w:val="auto"/>
          <w:sz w:val="18"/>
          <w:szCs w:val="18"/>
        </w:rPr>
        <w:t xml:space="preserve">“En tal virtud, el deber de planeación, en tanto manifestación del principio de economía, tiene por finalidad asegurar que todo proyecto esté precedido de los estudios de orden técnico, financiero y jurídico requeridos para determinar su viabilidad económica y técnica y así poder establecer la conveniencia o no del objeto por contratar; si resulta o no necesario celebrar el respectivo negocio jurídico y su adecuación a los planes de inversión, de adquisición o compras, presupuesto y ley de apropiaciones, según el caso; y de ser necesario, deberá estar acompañado, además, de los diseños, planos y evaluaciones de prefactibilidad o factibilidad; qué modalidades contractuales pueden utilizarse y cuál de ellas resulta ser la más aconsejable; las características que deba reunir el bien o servicio objeto de licitación; así como los costos y recursos que su celebración y ejecución demanden. </w:t>
      </w:r>
    </w:p>
    <w:p w:rsidRPr="00821320" w:rsidR="00C01637" w:rsidP="00B412DF" w:rsidRDefault="00C01637" w14:paraId="1A529DF8" w14:textId="77777777">
      <w:pPr>
        <w:pStyle w:val="Default"/>
        <w:ind w:left="567"/>
        <w:jc w:val="both"/>
        <w:rPr>
          <w:rFonts w:ascii="Verdana" w:hAnsi="Verdana"/>
          <w:i/>
          <w:iCs/>
          <w:color w:val="auto"/>
          <w:sz w:val="18"/>
          <w:szCs w:val="18"/>
        </w:rPr>
      </w:pPr>
    </w:p>
    <w:p w:rsidRPr="00821320" w:rsidR="00C01637" w:rsidP="00B412DF" w:rsidRDefault="00C01637" w14:paraId="6E82E07F" w14:textId="77777777">
      <w:pPr>
        <w:pStyle w:val="Default"/>
        <w:ind w:left="567"/>
        <w:jc w:val="both"/>
        <w:rPr>
          <w:rFonts w:ascii="Verdana" w:hAnsi="Verdana"/>
          <w:i/>
          <w:iCs/>
          <w:color w:val="auto"/>
          <w:sz w:val="18"/>
          <w:szCs w:val="18"/>
        </w:rPr>
      </w:pPr>
      <w:r w:rsidRPr="00821320">
        <w:rPr>
          <w:rFonts w:ascii="Verdana" w:hAnsi="Verdana"/>
          <w:i/>
          <w:iCs/>
          <w:color w:val="auto"/>
          <w:sz w:val="18"/>
          <w:szCs w:val="18"/>
        </w:rPr>
        <w:t>En una palabra, el proceso contractual deberá estar precedido de los estudios técnicos, financieros y jurídicos que se requieran en orden a determinar su viabilidad económica y técnica, así como la modalidad de proceso de selección que debe adelantar la entidad pública, con las finalidades sociales -ínsitas a esa prestación-, alto grado de eficiencia y eficacia en orden no sólo a proteger los recursos públicos fiscales representados en los bienes afectos al servicio, con sujeción estricta al orden jurídico, sino a garantizar las funciones que en interés general debe desarrollar y una prestación eficiente de los servicios que le son asignados por la ley”</w:t>
      </w:r>
      <w:r w:rsidRPr="00821320">
        <w:rPr>
          <w:rStyle w:val="Refdenotaalpie"/>
          <w:rFonts w:ascii="Verdana" w:hAnsi="Verdana" w:cs="Arial"/>
          <w:i/>
          <w:iCs/>
          <w:color w:val="auto"/>
          <w:sz w:val="18"/>
          <w:szCs w:val="18"/>
        </w:rPr>
        <w:footnoteReference w:id="1"/>
      </w:r>
    </w:p>
    <w:p w:rsidRPr="00821320" w:rsidR="00C01637" w:rsidP="00B412DF" w:rsidRDefault="00C01637" w14:paraId="2DEB6B30" w14:textId="77777777">
      <w:pPr>
        <w:jc w:val="both"/>
        <w:rPr>
          <w:rFonts w:ascii="Verdana" w:hAnsi="Verdana" w:cs="Arial"/>
        </w:rPr>
      </w:pPr>
    </w:p>
    <w:p w:rsidRPr="00821320" w:rsidR="00C01637" w:rsidP="00B412DF" w:rsidRDefault="00C01637" w14:paraId="3B7BDE70" w14:textId="77777777">
      <w:pPr>
        <w:jc w:val="both"/>
        <w:rPr>
          <w:rFonts w:ascii="Verdana" w:hAnsi="Verdana" w:cs="Arial"/>
          <w:sz w:val="22"/>
          <w:szCs w:val="22"/>
        </w:rPr>
      </w:pPr>
      <w:r w:rsidRPr="00821320">
        <w:rPr>
          <w:rFonts w:ascii="Verdana" w:hAnsi="Verdana" w:cs="Arial"/>
          <w:sz w:val="22"/>
          <w:szCs w:val="22"/>
        </w:rPr>
        <w:t>De lo anterior, se reconoce que los procesos de contratación deben adelantarse con la mayor rigurosidad, previendo aspectos como las figuras contractuales que son aplicables y que se acompasan con las necesidades de contratación de las entidades, de tal forma que las actuaciones administrativas en materia de contratación sean eficientes y efectivas de acuerdo con la normatividad.</w:t>
      </w:r>
    </w:p>
    <w:p w:rsidRPr="00821320" w:rsidR="00C01637" w:rsidP="00B412DF" w:rsidRDefault="00C01637" w14:paraId="1A114BE7" w14:textId="77777777">
      <w:pPr>
        <w:jc w:val="both"/>
        <w:rPr>
          <w:rFonts w:ascii="Verdana" w:hAnsi="Verdana" w:cs="Arial"/>
          <w:sz w:val="22"/>
          <w:szCs w:val="22"/>
        </w:rPr>
      </w:pPr>
    </w:p>
    <w:p w:rsidRPr="00821320" w:rsidR="00C01637" w:rsidP="00B412DF" w:rsidRDefault="00C01637" w14:paraId="24998EE6" w14:textId="77777777">
      <w:pPr>
        <w:jc w:val="both"/>
        <w:rPr>
          <w:rFonts w:ascii="Verdana" w:hAnsi="Verdana" w:cs="Arial"/>
          <w:sz w:val="22"/>
          <w:szCs w:val="22"/>
        </w:rPr>
      </w:pPr>
      <w:r w:rsidRPr="00821320">
        <w:rPr>
          <w:rFonts w:ascii="Verdana" w:hAnsi="Verdana" w:cs="Arial"/>
          <w:sz w:val="22"/>
          <w:szCs w:val="22"/>
        </w:rPr>
        <w:t xml:space="preserve">Por otro lado, las actuaciones de las entidades territoriales deben estar encaminadas al cumplimiento de los fines del Estado dentro del marco de la función administrativa. En este sentido, y en cuanto a la ejecución de los recursos públicos se debe tener en cuenta el deber tanto de la Nación como de las entidades territoriales de estructurar los planes de desarrollo en armonía con las mismas finalidades, de tal forma que exista universalidad en la mitigación de las precariedades de la población, haciendo un especial énfasis en la población con mayor insatisfacción de sus necesidades básicas, de acuerdo con lo establecido en el artículo 209 de la Constitución Política. La Corte Constitucional, en sentencia C – 826 del 13 de noviembre de 2013 ha desarrollado los principios </w:t>
      </w:r>
      <w:r w:rsidRPr="00821320">
        <w:rPr>
          <w:rFonts w:ascii="Verdana" w:hAnsi="Verdana" w:cs="Arial"/>
          <w:sz w:val="22"/>
          <w:szCs w:val="22"/>
        </w:rPr>
        <w:lastRenderedPageBreak/>
        <w:t>de eficacia y eficiencia en el marco de la función pública, en los siguientes términos:</w:t>
      </w:r>
    </w:p>
    <w:p w:rsidRPr="00821320" w:rsidR="00C01637" w:rsidP="00B412DF" w:rsidRDefault="00C01637" w14:paraId="320BC6F3" w14:textId="77777777">
      <w:pPr>
        <w:jc w:val="both"/>
        <w:rPr>
          <w:rFonts w:ascii="Verdana" w:hAnsi="Verdana" w:cs="Arial"/>
          <w:sz w:val="22"/>
          <w:szCs w:val="22"/>
        </w:rPr>
      </w:pPr>
    </w:p>
    <w:p w:rsidRPr="00821320" w:rsidR="00C01637" w:rsidP="00B412DF" w:rsidRDefault="00C01637" w14:paraId="08DC375D" w14:textId="77777777">
      <w:pPr>
        <w:ind w:left="567" w:right="50"/>
        <w:jc w:val="both"/>
        <w:rPr>
          <w:rFonts w:ascii="Verdana" w:hAnsi="Verdana" w:cs="Arial"/>
          <w:sz w:val="18"/>
          <w:szCs w:val="18"/>
        </w:rPr>
      </w:pPr>
      <w:r w:rsidRPr="00821320">
        <w:rPr>
          <w:rFonts w:ascii="Verdana" w:hAnsi="Verdana" w:cs="Arial"/>
          <w:i/>
          <w:iCs/>
          <w:sz w:val="18"/>
          <w:szCs w:val="18"/>
        </w:rPr>
        <w:t>“ (…) Por su parte, en lo que atañe al principio de eficiencia la jurisprudencia de este Tribunal ha señalado que se trata de la máxima racionalidad de la relación costos-beneficios, de manera que la administración pública tiene el deber de maximizar el rendimiento o los resultados, con costos menores, por cuanto los recursos financieros de Hacienda, que tienden a limitados, deben ser bien planificados por el Estado para que tengan como fin satisfacer las necesidades prioritarias de la comunidad sin el despilfarro del gasto público. Lo anterior significa, que la eficiencia presupone que el Estado, por el interés general, está obligado a tener una planeación adecuada del gasto, y maximizar la relación costos – beneficios.</w:t>
      </w:r>
      <w:r w:rsidRPr="00821320">
        <w:rPr>
          <w:rFonts w:ascii="Verdana" w:hAnsi="Verdana" w:cs="Arial"/>
          <w:sz w:val="18"/>
          <w:szCs w:val="18"/>
        </w:rPr>
        <w:t> </w:t>
      </w:r>
    </w:p>
    <w:p w:rsidRPr="00821320" w:rsidR="00C01637" w:rsidP="00B412DF" w:rsidRDefault="00C01637" w14:paraId="0344B186" w14:textId="77777777">
      <w:pPr>
        <w:ind w:left="567" w:right="50"/>
        <w:jc w:val="both"/>
        <w:rPr>
          <w:rFonts w:ascii="Verdana" w:hAnsi="Verdana" w:cs="Arial"/>
          <w:sz w:val="18"/>
          <w:szCs w:val="18"/>
        </w:rPr>
      </w:pPr>
    </w:p>
    <w:p w:rsidRPr="00821320" w:rsidR="00C01637" w:rsidP="00B412DF" w:rsidRDefault="00C01637" w14:paraId="7D5B00C6" w14:textId="77777777">
      <w:pPr>
        <w:ind w:left="567" w:right="50"/>
        <w:jc w:val="both"/>
        <w:rPr>
          <w:rFonts w:ascii="Verdana" w:hAnsi="Verdana" w:cs="Arial"/>
          <w:sz w:val="18"/>
          <w:szCs w:val="18"/>
        </w:rPr>
      </w:pPr>
      <w:r w:rsidRPr="00821320">
        <w:rPr>
          <w:rFonts w:ascii="Verdana" w:hAnsi="Verdana" w:cs="Arial"/>
          <w:i/>
          <w:iCs/>
          <w:sz w:val="18"/>
          <w:szCs w:val="18"/>
        </w:rPr>
        <w:t>Así, esta Corte ha hecho referencia clara a la implementación del principio de eficacia, afirmando que este principio de la administración impone deberes y obligaciones a las autoridades para garantizar la adopción de medidas de prevención y atención de los ciudadanos del país, para garantizar su dignidad y el goce efectivo de sus derechos, especialmente de aquellos que se encuentran en situaciones de vulnerabilidad y debilidad manifiesta, de la población carcelaria, de las víctimas de desastres naturales o del conflicto interno, población en estado de indigencia, de manera que en muchas ocasiones se ha ordenado a la administración pública la adopción de medidas necesarias que sean realmente eficaces para superar las crisis institucionales y humanitarias generadas por dichas situaciones, sin que para ello se presente como óbice argumentos de tipo presupuestal (…)”.</w:t>
      </w:r>
      <w:r w:rsidRPr="00821320">
        <w:rPr>
          <w:rFonts w:ascii="Verdana" w:hAnsi="Verdana" w:cs="Arial"/>
          <w:sz w:val="18"/>
          <w:szCs w:val="18"/>
        </w:rPr>
        <w:t> </w:t>
      </w:r>
    </w:p>
    <w:p w:rsidRPr="00821320" w:rsidR="00C01637" w:rsidP="00B412DF" w:rsidRDefault="00C01637" w14:paraId="27399462" w14:textId="77777777">
      <w:pPr>
        <w:jc w:val="both"/>
        <w:rPr>
          <w:rFonts w:ascii="Verdana" w:hAnsi="Verdana" w:cs="Arial"/>
          <w:sz w:val="22"/>
          <w:szCs w:val="22"/>
        </w:rPr>
      </w:pPr>
    </w:p>
    <w:p w:rsidRPr="00821320" w:rsidR="00C01637" w:rsidP="00B412DF" w:rsidRDefault="00C01637" w14:paraId="66FE4618" w14:textId="77777777">
      <w:pPr>
        <w:jc w:val="both"/>
        <w:rPr>
          <w:rFonts w:ascii="Verdana" w:hAnsi="Verdana"/>
          <w:sz w:val="22"/>
          <w:szCs w:val="22"/>
        </w:rPr>
      </w:pPr>
      <w:r w:rsidRPr="00821320">
        <w:rPr>
          <w:rFonts w:ascii="Verdana" w:hAnsi="Verdana" w:cs="Arial"/>
          <w:sz w:val="22"/>
          <w:szCs w:val="22"/>
        </w:rPr>
        <w:t xml:space="preserve">Ahora bien, el Municipio de Yopal suscribió el </w:t>
      </w:r>
      <w:r w:rsidRPr="00821320">
        <w:rPr>
          <w:rFonts w:ascii="Verdana" w:hAnsi="Verdana"/>
          <w:sz w:val="22"/>
          <w:szCs w:val="22"/>
        </w:rPr>
        <w:t xml:space="preserve">contrato No. 0518 del 30 de abril de 2020 el cual tuvo como objeto: </w:t>
      </w:r>
      <w:r w:rsidRPr="00821320">
        <w:rPr>
          <w:rFonts w:ascii="Verdana" w:hAnsi="Verdana"/>
          <w:i/>
          <w:iCs/>
          <w:sz w:val="22"/>
          <w:szCs w:val="22"/>
        </w:rPr>
        <w:t>“Contratar el arrendamiento del inmueble ubicado en calle 11 no. 23- 52; carrera 23 no. 11 – 47; calle 12 no. 23 - 47 de Yopal, para el funcionamiento durante la vigencia 2020 de la sede preescolar y bachillerato de la institución educativa centro social del municipio de Yopal</w:t>
      </w:r>
      <w:r w:rsidRPr="00821320">
        <w:rPr>
          <w:rFonts w:ascii="Verdana" w:hAnsi="Verdana"/>
          <w:sz w:val="22"/>
          <w:szCs w:val="22"/>
        </w:rPr>
        <w:t>” por un plazo de ocho (8) meses con un valor total de $444.4 millones y mensual de $55.5 millones. Al verificar el histórico de arrendamientos publicado por la Entidad se evidencia que durante 2019 el valor mensual del inmueble fue de $42 millones. Es decir, de una vigencia a otra (2019 a 2020) el valor mensual aumentó en un 32,1%</w:t>
      </w:r>
    </w:p>
    <w:p w:rsidRPr="00821320" w:rsidR="00C01637" w:rsidP="00B412DF" w:rsidRDefault="00C01637" w14:paraId="43D40666" w14:textId="77777777">
      <w:pPr>
        <w:jc w:val="both"/>
        <w:rPr>
          <w:rFonts w:ascii="Verdana" w:hAnsi="Verdana"/>
          <w:sz w:val="22"/>
          <w:szCs w:val="22"/>
        </w:rPr>
      </w:pPr>
    </w:p>
    <w:p w:rsidRPr="00821320" w:rsidR="00C01637" w:rsidP="00B412DF" w:rsidRDefault="00C01637" w14:paraId="38063E50" w14:textId="77777777">
      <w:pPr>
        <w:jc w:val="both"/>
        <w:rPr>
          <w:rFonts w:ascii="Verdana" w:hAnsi="Verdana"/>
          <w:sz w:val="22"/>
          <w:szCs w:val="22"/>
        </w:rPr>
      </w:pPr>
      <w:r w:rsidRPr="00821320">
        <w:rPr>
          <w:rFonts w:ascii="Verdana" w:hAnsi="Verdana"/>
          <w:sz w:val="22"/>
          <w:szCs w:val="22"/>
        </w:rPr>
        <w:t>Posteriormente, para la vigencia 2022, el Municipio suscribió el contrato No. 0508 del 25 de enero de 2022 que tenía como objeto el arriendo del mismo inmueble por un plazo de once (11) meses con un valor total de $330 millones y mensual de $30 millones. De esta manera se evidencia que el valor mensual respecto a 2020 se redujo en un 46%.</w:t>
      </w:r>
    </w:p>
    <w:p w:rsidRPr="00821320" w:rsidR="00C01637" w:rsidP="00B412DF" w:rsidRDefault="00C01637" w14:paraId="629152EF" w14:textId="77777777">
      <w:pPr>
        <w:jc w:val="both"/>
        <w:rPr>
          <w:rFonts w:ascii="Verdana" w:hAnsi="Verdana"/>
          <w:sz w:val="22"/>
          <w:szCs w:val="22"/>
        </w:rPr>
      </w:pPr>
    </w:p>
    <w:p w:rsidRPr="00821320" w:rsidR="00C01637" w:rsidP="00B412DF" w:rsidRDefault="00C01637" w14:paraId="7C278CC9" w14:textId="77777777">
      <w:pPr>
        <w:jc w:val="both"/>
        <w:rPr>
          <w:rStyle w:val="Hipervnculo"/>
          <w:rFonts w:ascii="Verdana" w:hAnsi="Verdana"/>
          <w:color w:val="auto"/>
          <w:sz w:val="22"/>
          <w:szCs w:val="22"/>
          <w:u w:val="none"/>
        </w:rPr>
      </w:pPr>
      <w:r w:rsidRPr="00821320">
        <w:rPr>
          <w:rFonts w:ascii="Verdana" w:hAnsi="Verdana" w:cs="Arial"/>
          <w:sz w:val="22"/>
          <w:szCs w:val="22"/>
        </w:rPr>
        <w:t xml:space="preserve">Así, conforme con lo anterior, el Municipio de Yopal refleja deficiencia en los ejercicios de planeación contractual en la ejecución de los recursos del SGP – Educación, en cuanto llevó a cabo procesos de contratación directa para el funcionamiento de la I.E Centro Social que presentan incongruencias en los valores mensuales pagados durante las vigencias referidas. </w:t>
      </w:r>
    </w:p>
    <w:p w:rsidRPr="00821320" w:rsidR="00C01637" w:rsidP="00B412DF" w:rsidRDefault="00C01637" w14:paraId="145105CA" w14:textId="77777777">
      <w:pPr>
        <w:jc w:val="both"/>
        <w:rPr>
          <w:rFonts w:ascii="Verdana" w:hAnsi="Verdana" w:cs="Arial"/>
          <w:sz w:val="22"/>
          <w:szCs w:val="22"/>
        </w:rPr>
      </w:pPr>
    </w:p>
    <w:p w:rsidRPr="00821320" w:rsidR="00C01637" w:rsidP="00B412DF" w:rsidRDefault="00C01637" w14:paraId="0357D926" w14:textId="77777777">
      <w:pPr>
        <w:jc w:val="both"/>
        <w:rPr>
          <w:rFonts w:ascii="Verdana" w:hAnsi="Verdana" w:cs="Arial"/>
          <w:sz w:val="22"/>
          <w:szCs w:val="22"/>
        </w:rPr>
      </w:pPr>
      <w:r w:rsidRPr="00821320">
        <w:rPr>
          <w:rStyle w:val="eop"/>
          <w:rFonts w:ascii="Verdana" w:hAnsi="Verdana" w:cs="Arial"/>
          <w:b/>
          <w:bCs/>
          <w:color w:val="000000"/>
          <w:sz w:val="22"/>
          <w:szCs w:val="22"/>
          <w:shd w:val="clear" w:color="auto" w:fill="FFFFFF"/>
        </w:rPr>
        <w:lastRenderedPageBreak/>
        <w:t>Evidencia:</w:t>
      </w:r>
      <w:r w:rsidRPr="00821320">
        <w:rPr>
          <w:rStyle w:val="eop"/>
          <w:rFonts w:ascii="Verdana" w:hAnsi="Verdana" w:cs="Arial"/>
          <w:color w:val="000000"/>
          <w:sz w:val="22"/>
          <w:szCs w:val="22"/>
          <w:shd w:val="clear" w:color="auto" w:fill="FFFFFF"/>
        </w:rPr>
        <w:t xml:space="preserve"> </w:t>
      </w:r>
      <w:r w:rsidRPr="00821320">
        <w:rPr>
          <w:rFonts w:ascii="Verdana" w:hAnsi="Verdana" w:cs="Arial"/>
          <w:sz w:val="22"/>
          <w:szCs w:val="22"/>
        </w:rPr>
        <w:t>Obra en el expediente digital en el Sistema Integrado Electrónico Documental- SIED del Ministerio de Hacienda y Crédito Público No. 44/2019/D028-PREDI el siguiente material probatorio:</w:t>
      </w:r>
    </w:p>
    <w:p w:rsidRPr="00821320" w:rsidR="00C01637" w:rsidP="00B412DF" w:rsidRDefault="00C01637" w14:paraId="5C323436" w14:textId="77777777">
      <w:pPr>
        <w:pStyle w:val="Sinespaciado"/>
        <w:numPr>
          <w:ilvl w:val="0"/>
          <w:numId w:val="30"/>
        </w:numPr>
        <w:ind w:left="284" w:hanging="284"/>
        <w:jc w:val="both"/>
        <w:rPr>
          <w:rFonts w:ascii="Verdana" w:hAnsi="Verdana" w:cs="Arial"/>
        </w:rPr>
      </w:pPr>
      <w:r w:rsidRPr="00821320">
        <w:rPr>
          <w:rFonts w:ascii="Verdana" w:hAnsi="Verdana" w:cs="Arial"/>
          <w:bCs/>
          <w:iCs/>
          <w:lang w:val="es-ES" w:eastAsia="es-ES"/>
        </w:rPr>
        <w:t xml:space="preserve">Consulta en el SECOP del Proceso No. </w:t>
      </w:r>
      <w:r w:rsidRPr="00821320">
        <w:rPr>
          <w:rFonts w:ascii="Verdana" w:hAnsi="Verdana" w:cs="Arial"/>
          <w:bCs/>
          <w:shd w:val="clear" w:color="auto" w:fill="FFFFFF"/>
        </w:rPr>
        <w:t>MYCA-SE-CD-002-2020</w:t>
      </w:r>
      <w:r w:rsidRPr="00821320">
        <w:rPr>
          <w:rFonts w:ascii="Verdana" w:hAnsi="Verdana" w:cs="Arial"/>
          <w:bCs/>
          <w:iCs/>
          <w:lang w:val="es-ES" w:eastAsia="es-ES"/>
        </w:rPr>
        <w:t xml:space="preserve">. </w:t>
      </w:r>
      <w:r w:rsidRPr="00821320">
        <w:rPr>
          <w:rFonts w:ascii="Verdana" w:hAnsi="Verdana" w:cs="Arial"/>
          <w:bCs/>
        </w:rPr>
        <w:t>Vigencia 2020. Sector Educación. Municipio</w:t>
      </w:r>
      <w:r w:rsidRPr="00821320">
        <w:rPr>
          <w:rFonts w:ascii="Verdana" w:hAnsi="Verdana" w:cs="Arial"/>
        </w:rPr>
        <w:t xml:space="preserve"> de Yopal. Serie </w:t>
      </w:r>
      <w:r w:rsidRPr="00821320">
        <w:rPr>
          <w:rFonts w:ascii="Verdana" w:hAnsi="Verdana" w:cs="Arial"/>
          <w:i/>
        </w:rPr>
        <w:t>“Historial de Seguimiento y Control a los Recursos del Sistema General de Participaciones-Ejecución y Seguimiento”</w:t>
      </w:r>
      <w:r w:rsidRPr="00821320">
        <w:rPr>
          <w:rFonts w:ascii="Verdana" w:hAnsi="Verdana" w:cs="Arial"/>
        </w:rPr>
        <w:t xml:space="preserve">. Expediente digital No. </w:t>
      </w:r>
      <w:r w:rsidRPr="00821320">
        <w:rPr>
          <w:rFonts w:ascii="Verdana" w:hAnsi="Verdana" w:cs="Arial"/>
          <w:lang w:val="es-ES"/>
        </w:rPr>
        <w:t>44/2019/D028-PREDI.</w:t>
      </w:r>
      <w:r w:rsidRPr="00821320">
        <w:rPr>
          <w:rFonts w:ascii="Verdana" w:hAnsi="Verdana" w:cs="Arial"/>
        </w:rPr>
        <w:t xml:space="preserve"> Enlace: </w:t>
      </w:r>
      <w:hyperlink w:history="1" r:id="rId12">
        <w:r w:rsidRPr="00821320">
          <w:rPr>
            <w:rStyle w:val="Hipervnculo"/>
            <w:rFonts w:ascii="Verdana" w:hAnsi="Verdana"/>
          </w:rPr>
          <w:t xml:space="preserve">eSigna </w:t>
        </w:r>
        <w:proofErr w:type="spellStart"/>
        <w:r w:rsidRPr="00821320">
          <w:rPr>
            <w:rStyle w:val="Hipervnculo"/>
            <w:rFonts w:ascii="Verdana" w:hAnsi="Verdana"/>
          </w:rPr>
          <w:t>DocumentViewer</w:t>
        </w:r>
        <w:proofErr w:type="spellEnd"/>
        <w:r w:rsidRPr="00821320">
          <w:rPr>
            <w:rStyle w:val="Hipervnculo"/>
            <w:rFonts w:ascii="Verdana" w:hAnsi="Verdana"/>
          </w:rPr>
          <w:t xml:space="preserve"> (</w:t>
        </w:r>
        <w:proofErr w:type="spellStart"/>
        <w:r w:rsidRPr="00821320">
          <w:rPr>
            <w:rStyle w:val="Hipervnculo"/>
            <w:rFonts w:ascii="Verdana" w:hAnsi="Verdana"/>
          </w:rPr>
          <w:t>minhacienda.red</w:t>
        </w:r>
        <w:proofErr w:type="spellEnd"/>
        <w:r w:rsidRPr="00821320">
          <w:rPr>
            <w:rStyle w:val="Hipervnculo"/>
            <w:rFonts w:ascii="Verdana" w:hAnsi="Verdana"/>
          </w:rPr>
          <w:t>)</w:t>
        </w:r>
      </w:hyperlink>
    </w:p>
    <w:p w:rsidRPr="00821320" w:rsidR="00C01637" w:rsidP="00B412DF" w:rsidRDefault="00C01637" w14:paraId="0D09D84F" w14:textId="77777777">
      <w:pPr>
        <w:pStyle w:val="Sinespaciado"/>
        <w:numPr>
          <w:ilvl w:val="0"/>
          <w:numId w:val="30"/>
        </w:numPr>
        <w:ind w:left="284" w:hanging="284"/>
        <w:jc w:val="both"/>
        <w:rPr>
          <w:rFonts w:ascii="Verdana" w:hAnsi="Verdana" w:cs="Arial"/>
        </w:rPr>
      </w:pPr>
      <w:r w:rsidRPr="00821320">
        <w:rPr>
          <w:rFonts w:ascii="Verdana" w:hAnsi="Verdana" w:cs="Arial"/>
          <w:bCs/>
          <w:iCs/>
          <w:lang w:val="es-ES" w:eastAsia="es-ES"/>
        </w:rPr>
        <w:t xml:space="preserve">Consulta en el SECOP del Proceso No. </w:t>
      </w:r>
      <w:r w:rsidRPr="00821320">
        <w:rPr>
          <w:rFonts w:ascii="Verdana" w:hAnsi="Verdana" w:cs="Arial"/>
          <w:bCs/>
          <w:shd w:val="clear" w:color="auto" w:fill="FFFFFF"/>
        </w:rPr>
        <w:t>MYCA-SED-CD-001-2022</w:t>
      </w:r>
      <w:r w:rsidRPr="00821320">
        <w:rPr>
          <w:rFonts w:ascii="Verdana" w:hAnsi="Verdana" w:cs="Arial"/>
          <w:bCs/>
          <w:iCs/>
          <w:lang w:val="es-ES" w:eastAsia="es-ES"/>
        </w:rPr>
        <w:t xml:space="preserve">. </w:t>
      </w:r>
      <w:r w:rsidRPr="00821320">
        <w:rPr>
          <w:rFonts w:ascii="Verdana" w:hAnsi="Verdana" w:cs="Arial"/>
          <w:bCs/>
        </w:rPr>
        <w:t>Vigencia 2022. Sector Educación. Municipio</w:t>
      </w:r>
      <w:r w:rsidRPr="00821320">
        <w:rPr>
          <w:rFonts w:ascii="Verdana" w:hAnsi="Verdana" w:cs="Arial"/>
        </w:rPr>
        <w:t xml:space="preserve"> de Yopal. Serie </w:t>
      </w:r>
      <w:r w:rsidRPr="00821320">
        <w:rPr>
          <w:rFonts w:ascii="Verdana" w:hAnsi="Verdana" w:cs="Arial"/>
          <w:i/>
        </w:rPr>
        <w:t>“Historial de Seguimiento y Control a los Recursos del Sistema General de Participaciones-Ejecución y Seguimiento”</w:t>
      </w:r>
      <w:r w:rsidRPr="00821320">
        <w:rPr>
          <w:rFonts w:ascii="Verdana" w:hAnsi="Verdana" w:cs="Arial"/>
        </w:rPr>
        <w:t xml:space="preserve">. Expediente digital No. </w:t>
      </w:r>
      <w:r w:rsidRPr="00821320">
        <w:rPr>
          <w:rFonts w:ascii="Verdana" w:hAnsi="Verdana" w:cs="Arial"/>
          <w:lang w:val="es-ES"/>
        </w:rPr>
        <w:t>44/2019/D028-PREDI.</w:t>
      </w:r>
      <w:r w:rsidRPr="00821320">
        <w:rPr>
          <w:rFonts w:ascii="Verdana" w:hAnsi="Verdana" w:cs="Arial"/>
        </w:rPr>
        <w:t xml:space="preserve"> Enlace:</w:t>
      </w:r>
      <w:r w:rsidRPr="00821320">
        <w:rPr>
          <w:rFonts w:ascii="Verdana" w:hAnsi="Verdana" w:eastAsia="Times New Roman" w:cs="Times New Roman"/>
          <w:color w:val="273144"/>
          <w:lang w:eastAsia="es-CO"/>
        </w:rPr>
        <w:t xml:space="preserve"> </w:t>
      </w:r>
      <w:hyperlink w:history="1" r:id="rId13">
        <w:r w:rsidRPr="00821320">
          <w:rPr>
            <w:rStyle w:val="Hipervnculo"/>
            <w:rFonts w:ascii="Verdana" w:hAnsi="Verdana"/>
          </w:rPr>
          <w:t xml:space="preserve">eSigna </w:t>
        </w:r>
        <w:proofErr w:type="spellStart"/>
        <w:r w:rsidRPr="00821320">
          <w:rPr>
            <w:rStyle w:val="Hipervnculo"/>
            <w:rFonts w:ascii="Verdana" w:hAnsi="Verdana"/>
          </w:rPr>
          <w:t>DocumentViewer</w:t>
        </w:r>
        <w:proofErr w:type="spellEnd"/>
        <w:r w:rsidRPr="00821320">
          <w:rPr>
            <w:rStyle w:val="Hipervnculo"/>
            <w:rFonts w:ascii="Verdana" w:hAnsi="Verdana"/>
          </w:rPr>
          <w:t xml:space="preserve"> (</w:t>
        </w:r>
        <w:proofErr w:type="spellStart"/>
        <w:r w:rsidRPr="00821320">
          <w:rPr>
            <w:rStyle w:val="Hipervnculo"/>
            <w:rFonts w:ascii="Verdana" w:hAnsi="Verdana"/>
          </w:rPr>
          <w:t>minhacienda.red</w:t>
        </w:r>
        <w:proofErr w:type="spellEnd"/>
        <w:r w:rsidRPr="00821320">
          <w:rPr>
            <w:rStyle w:val="Hipervnculo"/>
            <w:rFonts w:ascii="Verdana" w:hAnsi="Verdana"/>
          </w:rPr>
          <w:t>)</w:t>
        </w:r>
      </w:hyperlink>
    </w:p>
    <w:p w:rsidRPr="00821320" w:rsidR="00C01637" w:rsidP="00B412DF" w:rsidRDefault="00C01637" w14:paraId="4DBBF643" w14:textId="77777777">
      <w:pPr>
        <w:contextualSpacing/>
        <w:jc w:val="both"/>
        <w:rPr>
          <w:rFonts w:ascii="Verdana" w:hAnsi="Verdana"/>
          <w:sz w:val="22"/>
          <w:szCs w:val="22"/>
          <w:lang w:val="es-CO"/>
        </w:rPr>
      </w:pPr>
    </w:p>
    <w:p w:rsidRPr="00821320" w:rsidR="00C01637" w:rsidP="00B412DF" w:rsidRDefault="00C01637" w14:paraId="3EE33E95" w14:textId="77777777">
      <w:pPr>
        <w:contextualSpacing/>
        <w:jc w:val="both"/>
        <w:rPr>
          <w:rFonts w:ascii="Verdana" w:hAnsi="Verdana"/>
          <w:sz w:val="22"/>
          <w:szCs w:val="22"/>
        </w:rPr>
      </w:pPr>
      <w:r w:rsidRPr="00821320">
        <w:rPr>
          <w:rFonts w:ascii="Verdana" w:hAnsi="Verdana"/>
          <w:sz w:val="22"/>
          <w:szCs w:val="22"/>
        </w:rPr>
        <w:t>Por último, se identificó el pago de prima técnica a empleados</w:t>
      </w:r>
      <w:r w:rsidR="00357DFD">
        <w:rPr>
          <w:rFonts w:ascii="Verdana" w:hAnsi="Verdana"/>
          <w:sz w:val="22"/>
          <w:szCs w:val="22"/>
        </w:rPr>
        <w:t xml:space="preserve"> del sector</w:t>
      </w:r>
      <w:r w:rsidRPr="00821320">
        <w:rPr>
          <w:rFonts w:ascii="Verdana" w:hAnsi="Verdana"/>
          <w:sz w:val="22"/>
          <w:szCs w:val="22"/>
        </w:rPr>
        <w:t>:</w:t>
      </w:r>
    </w:p>
    <w:p w:rsidRPr="00821320" w:rsidR="0024544C" w:rsidP="00B412DF" w:rsidRDefault="0024544C" w14:paraId="2EE4B697" w14:textId="77777777">
      <w:pPr>
        <w:contextualSpacing/>
        <w:jc w:val="both"/>
        <w:rPr>
          <w:rFonts w:ascii="Verdana" w:hAnsi="Verdana"/>
          <w:sz w:val="22"/>
          <w:szCs w:val="22"/>
        </w:rPr>
      </w:pPr>
    </w:p>
    <w:p w:rsidRPr="00821320" w:rsidR="0024544C" w:rsidP="00B412DF" w:rsidRDefault="0024544C" w14:paraId="173D9E3E" w14:textId="77777777">
      <w:pPr>
        <w:jc w:val="both"/>
        <w:rPr>
          <w:rFonts w:ascii="Verdana" w:hAnsi="Verdana" w:eastAsia="Times New Roman" w:cs="Verdana"/>
          <w:b/>
          <w:bCs/>
          <w:color w:val="000000" w:themeColor="text1"/>
          <w:sz w:val="22"/>
          <w:szCs w:val="22"/>
        </w:rPr>
      </w:pPr>
      <w:r w:rsidRPr="00821320">
        <w:rPr>
          <w:rFonts w:ascii="Verdana" w:hAnsi="Verdana" w:eastAsia="Times New Roman" w:cs="Verdana"/>
          <w:b/>
          <w:bCs/>
          <w:color w:val="000000" w:themeColor="text1"/>
          <w:sz w:val="22"/>
          <w:szCs w:val="22"/>
        </w:rPr>
        <w:t>Respecto al régimen prestacional de los empleados públicos</w:t>
      </w:r>
    </w:p>
    <w:p w:rsidRPr="00821320" w:rsidR="0024544C" w:rsidP="00B412DF" w:rsidRDefault="0024544C" w14:paraId="31EC6CC4" w14:textId="77777777">
      <w:pPr>
        <w:jc w:val="both"/>
        <w:rPr>
          <w:rFonts w:ascii="Verdana" w:hAnsi="Verdana" w:cs="Arial"/>
          <w:sz w:val="22"/>
          <w:szCs w:val="22"/>
          <w:lang w:val="es-CO"/>
        </w:rPr>
      </w:pPr>
    </w:p>
    <w:p w:rsidRPr="00821320" w:rsidR="0024544C" w:rsidP="00B412DF" w:rsidRDefault="0024544C" w14:paraId="5615768A" w14:textId="77777777">
      <w:pPr>
        <w:jc w:val="both"/>
        <w:rPr>
          <w:rFonts w:ascii="Verdana" w:hAnsi="Verdana" w:cs="Arial"/>
          <w:sz w:val="22"/>
          <w:szCs w:val="22"/>
          <w:lang w:val="es-CO"/>
        </w:rPr>
      </w:pPr>
      <w:r w:rsidRPr="00821320">
        <w:rPr>
          <w:rFonts w:ascii="Verdana" w:hAnsi="Verdana" w:cs="Arial"/>
          <w:sz w:val="22"/>
          <w:szCs w:val="22"/>
          <w:lang w:val="es-CO"/>
        </w:rPr>
        <w:t>De conformidad con el artículo 150 de la Constitución Política, corresponde al Congreso de la República a través de las leyes, entre otras “</w:t>
      </w:r>
      <w:r w:rsidRPr="00821320">
        <w:rPr>
          <w:rFonts w:ascii="Verdana" w:hAnsi="Verdana" w:cs="Arial"/>
          <w:i/>
          <w:iCs/>
          <w:sz w:val="22"/>
          <w:szCs w:val="22"/>
          <w:lang w:val="es-CO"/>
        </w:rPr>
        <w:t>19. Dictar las normas generales, y señalar en ellas los objetivos y criterios a los cuales debe sujetarse el Gobierno para los siguientes efectos: […] e) Fijar el régimen salarial y prestacional de los empleados públicos, de los miembros del Congreso Nacional y la Fuerza Pública</w:t>
      </w:r>
      <w:r w:rsidRPr="00821320">
        <w:rPr>
          <w:rFonts w:ascii="Verdana" w:hAnsi="Verdana" w:cs="Arial"/>
          <w:sz w:val="22"/>
          <w:szCs w:val="22"/>
          <w:lang w:val="es-CO"/>
        </w:rPr>
        <w:t>”; en este sentido las asambleas departamentales y los concejos municipales carecen de competencia para determinar el régimen salarial y prestacional de los empleados públicos del nivel territorial.</w:t>
      </w:r>
    </w:p>
    <w:p w:rsidRPr="00821320" w:rsidR="0024544C" w:rsidP="00B412DF" w:rsidRDefault="0024544C" w14:paraId="10717616" w14:textId="77777777">
      <w:pPr>
        <w:jc w:val="both"/>
        <w:rPr>
          <w:rFonts w:ascii="Verdana" w:hAnsi="Verdana" w:cs="Arial"/>
          <w:sz w:val="22"/>
          <w:szCs w:val="22"/>
          <w:lang w:val="es-CO"/>
        </w:rPr>
      </w:pPr>
    </w:p>
    <w:p w:rsidRPr="00821320" w:rsidR="0024544C" w:rsidP="00B412DF" w:rsidRDefault="0024544C" w14:paraId="6BCBD752" w14:textId="77777777">
      <w:pPr>
        <w:jc w:val="both"/>
        <w:rPr>
          <w:rFonts w:ascii="Verdana" w:hAnsi="Verdana" w:cs="Arial"/>
          <w:sz w:val="22"/>
          <w:szCs w:val="22"/>
          <w:lang w:val="es-CO"/>
        </w:rPr>
      </w:pPr>
      <w:r w:rsidRPr="00821320">
        <w:rPr>
          <w:rFonts w:ascii="Verdana" w:hAnsi="Verdana" w:cs="Arial"/>
          <w:sz w:val="22"/>
          <w:szCs w:val="22"/>
          <w:lang w:val="es-CO"/>
        </w:rPr>
        <w:t>Respecto al régimen salarial de los empleados públicos, desde la expedición del Acto Legislativo No. 01 de 1968 que modificó la Constitución Política de 1886, posición recogida por el literal (e) del numeral 19 del artículo 150 de la Constitución Política de 1991, el único competente para fijar el régimen salarial y prestacional de los funcionarios públicos es el Congreso de la República.</w:t>
      </w:r>
    </w:p>
    <w:p w:rsidRPr="00821320" w:rsidR="0024544C" w:rsidP="00B412DF" w:rsidRDefault="0024544C" w14:paraId="061060E0" w14:textId="77777777">
      <w:pPr>
        <w:jc w:val="both"/>
        <w:rPr>
          <w:rFonts w:ascii="Verdana" w:hAnsi="Verdana" w:cs="Arial"/>
          <w:sz w:val="22"/>
          <w:szCs w:val="22"/>
        </w:rPr>
      </w:pPr>
    </w:p>
    <w:p w:rsidRPr="00821320" w:rsidR="0024544C" w:rsidP="00B412DF" w:rsidRDefault="0024544C" w14:paraId="3D611D0F" w14:textId="77777777">
      <w:pPr>
        <w:jc w:val="both"/>
        <w:rPr>
          <w:rFonts w:ascii="Verdana" w:hAnsi="Verdana" w:cs="Arial"/>
          <w:sz w:val="22"/>
          <w:szCs w:val="22"/>
        </w:rPr>
      </w:pPr>
      <w:r w:rsidRPr="00821320">
        <w:rPr>
          <w:rFonts w:ascii="Verdana" w:hAnsi="Verdana" w:cs="Arial"/>
          <w:sz w:val="22"/>
          <w:szCs w:val="22"/>
        </w:rPr>
        <w:t>Ahora bien, mediante la Ley 4 de 1992 el Congreso de la República otorgó de manera exclusiva al Gobierno Nacional la facultad para determinar el régimen salarial y prestacional de los empleados públicos, por lo cual las asambleas departamentales y los concejos distritales o municipales sólo están facultados para determinar las escalas de remuneración de los cargos de sus dependencias, según la categoría del empleo de que se trate y los gobernadores y alcaldes, para fijar los emolumentos de sus dependencias, teniendo en cuenta las estipulaciones que para el efecto dicten las asambleas departamentales y concejos distritales o municipales, emolumentos que en ningún caso pueden desconocer los límites máximos determinados por el Gobierno Nacional.</w:t>
      </w:r>
    </w:p>
    <w:p w:rsidRPr="00821320" w:rsidR="0024544C" w:rsidP="00B412DF" w:rsidRDefault="0024544C" w14:paraId="51A49E51" w14:textId="77777777">
      <w:pPr>
        <w:jc w:val="both"/>
        <w:rPr>
          <w:rFonts w:ascii="Verdana" w:hAnsi="Verdana" w:cs="Arial"/>
          <w:sz w:val="22"/>
          <w:szCs w:val="22"/>
        </w:rPr>
      </w:pPr>
    </w:p>
    <w:p w:rsidRPr="00821320" w:rsidR="0024544C" w:rsidP="00B412DF" w:rsidRDefault="0024544C" w14:paraId="335A6969" w14:textId="77777777">
      <w:pPr>
        <w:jc w:val="both"/>
        <w:rPr>
          <w:rFonts w:ascii="Verdana" w:hAnsi="Verdana" w:cs="Arial"/>
          <w:sz w:val="22"/>
          <w:szCs w:val="22"/>
        </w:rPr>
      </w:pPr>
      <w:r w:rsidRPr="00821320">
        <w:rPr>
          <w:rFonts w:ascii="Verdana" w:hAnsi="Verdana" w:cs="Arial"/>
          <w:sz w:val="22"/>
          <w:szCs w:val="22"/>
        </w:rPr>
        <w:lastRenderedPageBreak/>
        <w:t>En consecuencia, el artículo 10 y 12 de la Ley 4 de 1992 establecen que las corporaciones públicas territoriales no pueden abrogarse la facultad de determinar el régimen salarial o prestacional de los empleados públicos, por lo cual las prestaciones que se establezcan “</w:t>
      </w:r>
      <w:r w:rsidRPr="00821320">
        <w:rPr>
          <w:rFonts w:ascii="Verdana" w:hAnsi="Verdana" w:cs="Arial"/>
          <w:i/>
          <w:iCs/>
          <w:sz w:val="22"/>
          <w:szCs w:val="22"/>
        </w:rPr>
        <w:t>contraviniendo las disposiciones contenidas en la presente Ley o en los decretos que dicte el Gobierno Nacional en desarrollo de esta, carecerán de todo efecto y no crearán derechos adquiridos</w:t>
      </w:r>
      <w:r w:rsidRPr="00821320">
        <w:rPr>
          <w:rFonts w:ascii="Verdana" w:hAnsi="Verdana" w:cs="Arial"/>
          <w:sz w:val="22"/>
          <w:szCs w:val="22"/>
        </w:rPr>
        <w:t>”.</w:t>
      </w:r>
    </w:p>
    <w:p w:rsidRPr="00821320" w:rsidR="0024544C" w:rsidP="00B412DF" w:rsidRDefault="0024544C" w14:paraId="2E8AAEC6" w14:textId="77777777">
      <w:pPr>
        <w:jc w:val="both"/>
        <w:rPr>
          <w:rFonts w:ascii="Verdana" w:hAnsi="Verdana" w:cs="Arial"/>
          <w:sz w:val="22"/>
          <w:szCs w:val="22"/>
        </w:rPr>
      </w:pPr>
    </w:p>
    <w:p w:rsidRPr="00821320" w:rsidR="0024544C" w:rsidP="00B412DF" w:rsidRDefault="0024544C" w14:paraId="195F9C4D" w14:textId="77777777">
      <w:pPr>
        <w:jc w:val="both"/>
        <w:rPr>
          <w:rFonts w:ascii="Verdana" w:hAnsi="Verdana" w:eastAsiaTheme="minorEastAsia"/>
          <w:sz w:val="22"/>
          <w:szCs w:val="22"/>
          <w:lang w:val="es-CO" w:eastAsia="es-CO"/>
        </w:rPr>
      </w:pPr>
      <w:r w:rsidRPr="00821320">
        <w:rPr>
          <w:rFonts w:ascii="Verdana" w:hAnsi="Verdana" w:cs="Arial"/>
          <w:sz w:val="22"/>
          <w:szCs w:val="22"/>
          <w:lang w:val="es-CO"/>
        </w:rPr>
        <w:t>Ahora bien, respecto a la prima técnica para los empleados públicos del nivel territorial, es importante anotar que mediante Sentencia del 19 de marzo de 1998 con ponencia del Consejero Silvio Escudero Castro, el Consejo de Estado declaró nulo el artículo 13 del Decreto 2164 de 1991 que otorgó a los gobernadores y alcaldes la facultad para el reconocimiento de esta prestación salarial, por lo tanto, no tiene sustento jurídico dicho reconocimiento, ni genera derechos adquiridos para aquellos funcionarios a los que le fue reconocida dicha prima con antelación a 1991, conforme a lo estipulado por la Ley 4 de 1992.</w:t>
      </w:r>
    </w:p>
    <w:p w:rsidRPr="00821320" w:rsidR="0024544C" w:rsidP="00B412DF" w:rsidRDefault="0024544C" w14:paraId="03FBFC8F" w14:textId="77777777">
      <w:pPr>
        <w:jc w:val="both"/>
        <w:rPr>
          <w:rFonts w:ascii="Verdana" w:hAnsi="Verdana" w:cs="Arial"/>
          <w:sz w:val="22"/>
          <w:szCs w:val="22"/>
        </w:rPr>
      </w:pPr>
    </w:p>
    <w:p w:rsidRPr="00821320" w:rsidR="0024544C" w:rsidP="00B412DF" w:rsidRDefault="0024544C" w14:paraId="7514B178" w14:textId="77777777">
      <w:pPr>
        <w:jc w:val="both"/>
        <w:rPr>
          <w:rFonts w:ascii="Verdana" w:hAnsi="Verdana" w:cs="Arial"/>
          <w:sz w:val="22"/>
          <w:szCs w:val="22"/>
        </w:rPr>
      </w:pPr>
      <w:r w:rsidRPr="00821320">
        <w:rPr>
          <w:rFonts w:ascii="Verdana" w:hAnsi="Verdana" w:cs="Arial"/>
          <w:sz w:val="22"/>
          <w:szCs w:val="22"/>
        </w:rPr>
        <w:t xml:space="preserve">Dicho precedente fue reiterado por el alto tribunal por medio de la Sentencia </w:t>
      </w:r>
      <w:r w:rsidRPr="00821320">
        <w:rPr>
          <w:rFonts w:ascii="Verdana" w:hAnsi="Verdana" w:cs="Arial"/>
          <w:sz w:val="22"/>
          <w:szCs w:val="22"/>
          <w:lang w:val="es-CO"/>
        </w:rPr>
        <w:t xml:space="preserve">de radicado número 70001-23-31-000-2003-00095-02(1771-08) </w:t>
      </w:r>
      <w:r w:rsidRPr="00821320">
        <w:rPr>
          <w:rFonts w:ascii="Verdana" w:hAnsi="Verdana" w:cs="Arial"/>
          <w:sz w:val="22"/>
          <w:szCs w:val="22"/>
        </w:rPr>
        <w:t>del 28 de enero de 2010</w:t>
      </w:r>
      <w:r w:rsidRPr="00821320">
        <w:rPr>
          <w:rFonts w:ascii="Verdana" w:hAnsi="Verdana" w:cs="Arial"/>
          <w:sz w:val="22"/>
          <w:szCs w:val="22"/>
          <w:lang w:val="es-CO"/>
        </w:rPr>
        <w:t>, emitida por la Sección segunda de la Sala de lo Contencioso Administrativo y</w:t>
      </w:r>
      <w:r w:rsidRPr="00821320">
        <w:rPr>
          <w:rFonts w:ascii="Verdana" w:hAnsi="Verdana" w:cs="Arial"/>
          <w:sz w:val="22"/>
          <w:szCs w:val="22"/>
        </w:rPr>
        <w:t xml:space="preserve"> con ponencia del Magistrado Alfonso Vargas Rincón:</w:t>
      </w:r>
    </w:p>
    <w:p w:rsidRPr="00821320" w:rsidR="0024544C" w:rsidP="00B412DF" w:rsidRDefault="0024544C" w14:paraId="35E93949" w14:textId="77777777">
      <w:pPr>
        <w:ind w:left="567" w:right="567"/>
        <w:jc w:val="both"/>
        <w:rPr>
          <w:rFonts w:ascii="Verdana" w:hAnsi="Verdana" w:cs="Arial"/>
          <w:i/>
          <w:iCs/>
          <w:sz w:val="22"/>
          <w:szCs w:val="22"/>
        </w:rPr>
      </w:pPr>
    </w:p>
    <w:p w:rsidRPr="00112712" w:rsidR="0024544C" w:rsidP="00B412DF" w:rsidRDefault="0024544C" w14:paraId="4F47868D" w14:textId="77777777">
      <w:pPr>
        <w:ind w:left="567" w:right="49"/>
        <w:jc w:val="both"/>
        <w:rPr>
          <w:rFonts w:ascii="Verdana" w:hAnsi="Verdana" w:cs="Arial"/>
          <w:i/>
          <w:iCs/>
          <w:sz w:val="18"/>
          <w:szCs w:val="18"/>
        </w:rPr>
      </w:pPr>
      <w:r w:rsidRPr="00112712">
        <w:rPr>
          <w:rFonts w:ascii="Verdana" w:hAnsi="Verdana" w:cs="Arial"/>
          <w:i/>
          <w:iCs/>
          <w:sz w:val="18"/>
          <w:szCs w:val="18"/>
        </w:rPr>
        <w:t>“De los preceptos constitucionales transcritos, se puede apreciar que el Constituyente de 1968 estatuyó una competencia concurrente para la fijación del régimen salarial y prestacional de los empleados públicos, razón por la cual, encuentra la Sala que las entidades que profirieron los actos contentivos de las primas semestral y de antigüedad que reclama el demandante no tenían competencia para crear emolumentos a favor de los empleados a favor de los empleados del Departamento de Sucre.</w:t>
      </w:r>
    </w:p>
    <w:p w:rsidRPr="00112712" w:rsidR="0024544C" w:rsidP="00B412DF" w:rsidRDefault="0024544C" w14:paraId="0601B1AF" w14:textId="77777777">
      <w:pPr>
        <w:ind w:left="567" w:right="49"/>
        <w:jc w:val="both"/>
        <w:rPr>
          <w:rFonts w:ascii="Verdana" w:hAnsi="Verdana" w:cs="Arial"/>
          <w:i/>
          <w:iCs/>
          <w:sz w:val="18"/>
          <w:szCs w:val="18"/>
        </w:rPr>
      </w:pPr>
    </w:p>
    <w:p w:rsidRPr="00112712" w:rsidR="0024544C" w:rsidP="00B412DF" w:rsidRDefault="0024544C" w14:paraId="0A0A2D9E" w14:textId="77777777">
      <w:pPr>
        <w:ind w:left="567" w:right="49"/>
        <w:jc w:val="both"/>
        <w:rPr>
          <w:rFonts w:ascii="Verdana" w:hAnsi="Verdana" w:cs="Arial"/>
          <w:i/>
          <w:iCs/>
          <w:sz w:val="18"/>
          <w:szCs w:val="18"/>
        </w:rPr>
      </w:pPr>
      <w:r w:rsidRPr="00112712">
        <w:rPr>
          <w:rFonts w:ascii="Verdana" w:hAnsi="Verdana" w:cs="Arial"/>
          <w:i/>
          <w:iCs/>
          <w:sz w:val="18"/>
          <w:szCs w:val="18"/>
        </w:rPr>
        <w:t>De la lectura armónica de los artículos transcritos se puede concluir que a las Asambleas Departamentales le estaba asignada la competencia para determinar las escalas salariales más no para crear derechos salariales como es la prima semestral contenida en la Ordenanza 08 de 1985. En igual manera el Gobernador, quien debía someterse a lo reglado por la mencionada corporación en desarrollo de la función asignada.</w:t>
      </w:r>
    </w:p>
    <w:p w:rsidRPr="00112712" w:rsidR="0024544C" w:rsidP="00B412DF" w:rsidRDefault="0024544C" w14:paraId="4384ABDD" w14:textId="77777777">
      <w:pPr>
        <w:ind w:left="567" w:right="49"/>
        <w:jc w:val="both"/>
        <w:rPr>
          <w:rFonts w:ascii="Verdana" w:hAnsi="Verdana" w:cs="Arial"/>
          <w:i/>
          <w:iCs/>
          <w:sz w:val="18"/>
          <w:szCs w:val="18"/>
        </w:rPr>
      </w:pPr>
    </w:p>
    <w:p w:rsidRPr="00112712" w:rsidR="0024544C" w:rsidP="00B412DF" w:rsidRDefault="0024544C" w14:paraId="53C2103B" w14:textId="77777777">
      <w:pPr>
        <w:ind w:left="567" w:right="49"/>
        <w:jc w:val="both"/>
        <w:rPr>
          <w:rFonts w:ascii="Verdana" w:hAnsi="Verdana" w:cs="Arial"/>
          <w:i/>
          <w:iCs/>
          <w:sz w:val="18"/>
          <w:szCs w:val="18"/>
        </w:rPr>
      </w:pPr>
      <w:r w:rsidRPr="00112712">
        <w:rPr>
          <w:rFonts w:ascii="Verdana" w:hAnsi="Verdana" w:cs="Arial"/>
          <w:i/>
          <w:iCs/>
          <w:sz w:val="18"/>
          <w:szCs w:val="18"/>
        </w:rPr>
        <w:t>En tales circunstancias y en atención a lo anteriormente expuesto, comparte la Sala la decisión proferida por el Tribunal Administrativo de Sucre, en el sentido de inaplicar por inconstitucionalidad la Ordenanza 08 de 1985 y el Decreto 402 de 1988, en cumplimiento a lo dispuesto por el artículo 4 de la Constitución Política, pues como se precisó, el contenido de las mismas es contrario a la normatividad superior vigente si se tiene en cuenta que fueron proferidas por autoridades incompetentes.”</w:t>
      </w:r>
    </w:p>
    <w:p w:rsidRPr="00821320" w:rsidR="0024544C" w:rsidP="00B412DF" w:rsidRDefault="0024544C" w14:paraId="56F58432" w14:textId="77777777">
      <w:pPr>
        <w:jc w:val="both"/>
        <w:rPr>
          <w:rFonts w:ascii="Verdana" w:hAnsi="Verdana" w:cs="Arial"/>
          <w:sz w:val="22"/>
          <w:szCs w:val="22"/>
        </w:rPr>
      </w:pPr>
    </w:p>
    <w:p w:rsidRPr="00821320" w:rsidR="0024544C" w:rsidP="00B412DF" w:rsidRDefault="0024544C" w14:paraId="23DD470F" w14:textId="77777777">
      <w:pPr>
        <w:jc w:val="both"/>
        <w:rPr>
          <w:rFonts w:ascii="Verdana" w:hAnsi="Verdana" w:cs="Arial"/>
          <w:sz w:val="22"/>
          <w:szCs w:val="22"/>
        </w:rPr>
      </w:pPr>
      <w:r w:rsidRPr="00821320">
        <w:rPr>
          <w:rFonts w:ascii="Verdana" w:hAnsi="Verdana" w:cs="Arial"/>
          <w:sz w:val="22"/>
          <w:szCs w:val="22"/>
        </w:rPr>
        <w:t xml:space="preserve">Ulteriormente, el Consejo de Estado mediante concepto No. 2302 del 28 de febrero de 2017 con ponencia del </w:t>
      </w:r>
      <w:proofErr w:type="gramStart"/>
      <w:r w:rsidRPr="00821320">
        <w:rPr>
          <w:rFonts w:ascii="Verdana" w:hAnsi="Verdana" w:cs="Arial"/>
          <w:sz w:val="22"/>
          <w:szCs w:val="22"/>
        </w:rPr>
        <w:t>Consejero</w:t>
      </w:r>
      <w:proofErr w:type="gramEnd"/>
      <w:r w:rsidRPr="00821320">
        <w:rPr>
          <w:rFonts w:ascii="Verdana" w:hAnsi="Verdana" w:cs="Arial"/>
          <w:sz w:val="22"/>
          <w:szCs w:val="22"/>
        </w:rPr>
        <w:t xml:space="preserve"> Germán Alberto Bula Escobar, mencionó que:</w:t>
      </w:r>
    </w:p>
    <w:p w:rsidRPr="00821320" w:rsidR="0024544C" w:rsidP="00B412DF" w:rsidRDefault="0024544C" w14:paraId="7AFBDC91" w14:textId="77777777">
      <w:pPr>
        <w:ind w:left="709" w:right="709"/>
        <w:jc w:val="both"/>
        <w:rPr>
          <w:rFonts w:ascii="Verdana" w:hAnsi="Verdana" w:cs="Arial"/>
          <w:sz w:val="22"/>
          <w:szCs w:val="22"/>
        </w:rPr>
      </w:pPr>
    </w:p>
    <w:p w:rsidRPr="00112712" w:rsidR="0024544C" w:rsidP="00B412DF" w:rsidRDefault="0024544C" w14:paraId="2B49A9E0" w14:textId="77777777">
      <w:pPr>
        <w:ind w:left="567" w:right="49"/>
        <w:jc w:val="both"/>
        <w:rPr>
          <w:rFonts w:ascii="Verdana" w:hAnsi="Verdana" w:cs="Arial"/>
          <w:i/>
          <w:sz w:val="18"/>
          <w:szCs w:val="18"/>
        </w:rPr>
      </w:pPr>
      <w:r w:rsidRPr="00112712">
        <w:rPr>
          <w:rFonts w:ascii="Verdana" w:hAnsi="Verdana" w:cs="Arial"/>
          <w:sz w:val="18"/>
          <w:szCs w:val="18"/>
        </w:rPr>
        <w:t>“</w:t>
      </w:r>
      <w:r w:rsidRPr="00112712">
        <w:rPr>
          <w:rFonts w:ascii="Verdana" w:hAnsi="Verdana" w:cs="Arial"/>
          <w:i/>
          <w:sz w:val="18"/>
          <w:szCs w:val="18"/>
        </w:rPr>
        <w:t xml:space="preserve">La competencia para crear o suprimir un emolumento o factor prestacional o salarial no se encuentra radicada en las autoridades y corporaciones territoriales, pues a éstas les está permitido únicamente la determinación de la escala salarial y sus emolumentos dentro de </w:t>
      </w:r>
      <w:r w:rsidRPr="00112712">
        <w:rPr>
          <w:rFonts w:ascii="Verdana" w:hAnsi="Verdana" w:cs="Arial"/>
          <w:i/>
          <w:sz w:val="18"/>
          <w:szCs w:val="18"/>
        </w:rPr>
        <w:lastRenderedPageBreak/>
        <w:t>la competencia concurrente que tiene con el Gobierno nacional y el Congreso de la República.”</w:t>
      </w:r>
    </w:p>
    <w:p w:rsidRPr="00821320" w:rsidR="0024544C" w:rsidP="00B412DF" w:rsidRDefault="0024544C" w14:paraId="4406D250" w14:textId="77777777">
      <w:pPr>
        <w:jc w:val="both"/>
        <w:rPr>
          <w:rFonts w:ascii="Verdana" w:hAnsi="Verdana" w:cs="Arial"/>
          <w:sz w:val="22"/>
          <w:szCs w:val="22"/>
        </w:rPr>
      </w:pPr>
    </w:p>
    <w:p w:rsidRPr="00821320" w:rsidR="0024544C" w:rsidP="00B412DF" w:rsidRDefault="0024544C" w14:paraId="54BF1C08" w14:textId="77777777">
      <w:pPr>
        <w:jc w:val="both"/>
        <w:rPr>
          <w:rFonts w:ascii="Verdana" w:hAnsi="Verdana" w:cs="Arial"/>
          <w:sz w:val="22"/>
          <w:szCs w:val="22"/>
          <w:lang w:val="es-CO"/>
        </w:rPr>
      </w:pPr>
      <w:r w:rsidRPr="00821320">
        <w:rPr>
          <w:rFonts w:ascii="Verdana" w:hAnsi="Verdana" w:cs="Arial"/>
          <w:sz w:val="22"/>
          <w:szCs w:val="22"/>
          <w:lang w:val="es-CO"/>
        </w:rPr>
        <w:t xml:space="preserve">Es así </w:t>
      </w:r>
      <w:proofErr w:type="gramStart"/>
      <w:r w:rsidRPr="00821320">
        <w:rPr>
          <w:rFonts w:ascii="Verdana" w:hAnsi="Verdana" w:cs="Arial"/>
          <w:sz w:val="22"/>
          <w:szCs w:val="22"/>
          <w:lang w:val="es-CO"/>
        </w:rPr>
        <w:t>que</w:t>
      </w:r>
      <w:proofErr w:type="gramEnd"/>
      <w:r w:rsidRPr="00821320">
        <w:rPr>
          <w:rFonts w:ascii="Verdana" w:hAnsi="Verdana" w:cs="Arial"/>
          <w:sz w:val="22"/>
          <w:szCs w:val="22"/>
          <w:lang w:val="es-CO"/>
        </w:rPr>
        <w:t xml:space="preserve"> se ha reconocido de manera reiterada que el régimen prestacional de los servidores públicos solo puede ser definido por el nivel nacional, en específico por el Congreso de la República. Así mismo, no es posible que las entidades territoriales determinen primas extralegales con fuentes externas de financiación. Lo anterior no obsta para que, en el respeto de derechos adquiridos y la garantía de los derechos laborales, los docentes del nivel nacional que recibían primas técnicas que hayan sido descentralizados gocen de dichas erogaciones.</w:t>
      </w:r>
    </w:p>
    <w:p w:rsidRPr="00821320" w:rsidR="0024544C" w:rsidP="00B412DF" w:rsidRDefault="0024544C" w14:paraId="42A337FF" w14:textId="77777777">
      <w:pPr>
        <w:jc w:val="both"/>
        <w:rPr>
          <w:rFonts w:ascii="Verdana" w:hAnsi="Verdana" w:cs="Arial"/>
          <w:sz w:val="22"/>
          <w:szCs w:val="22"/>
          <w:lang w:val="es-CO"/>
        </w:rPr>
      </w:pPr>
    </w:p>
    <w:p w:rsidRPr="00821320" w:rsidR="0024544C" w:rsidP="00B412DF" w:rsidRDefault="0024544C" w14:paraId="0AA80A5B" w14:textId="77777777">
      <w:pPr>
        <w:jc w:val="both"/>
        <w:rPr>
          <w:rFonts w:ascii="Verdana" w:hAnsi="Verdana" w:eastAsia="Times New Roman" w:cs="Arial"/>
          <w:sz w:val="22"/>
          <w:szCs w:val="22"/>
          <w:lang w:val="es-CO"/>
        </w:rPr>
      </w:pPr>
      <w:r w:rsidRPr="00821320">
        <w:rPr>
          <w:rFonts w:ascii="Verdana" w:hAnsi="Verdana" w:cs="Arial"/>
          <w:sz w:val="22"/>
          <w:szCs w:val="22"/>
          <w:lang w:val="es-CO"/>
        </w:rPr>
        <w:t xml:space="preserve">De esta manera, </w:t>
      </w:r>
      <w:r w:rsidRPr="00821320">
        <w:rPr>
          <w:rFonts w:ascii="Verdana" w:hAnsi="Verdana" w:eastAsia="Times New Roman" w:cs="Arial"/>
          <w:sz w:val="22"/>
          <w:szCs w:val="22"/>
          <w:lang w:val="es-CO"/>
        </w:rPr>
        <w:t>El Ministerio de Educación Nacional a través de la Resolución 03528 del 16 de julio de 1993 reglamentó la asignación de la prima técnica para sus funcionarios de planta. Adicionalmente, mediante Resolución No. 05737 del 12 de julio de 1994 estableció la asignación de la prima técnica a otros funcionarios del orden nacional vinculados a la administración del servicio educativo en las entidades territoriales, dicha resolución establece:</w:t>
      </w:r>
    </w:p>
    <w:p w:rsidRPr="00112712" w:rsidR="0024544C" w:rsidP="00B412DF" w:rsidRDefault="0024544C" w14:paraId="6BA1FAEE" w14:textId="77777777">
      <w:pPr>
        <w:jc w:val="both"/>
        <w:rPr>
          <w:rFonts w:ascii="Verdana" w:hAnsi="Verdana" w:eastAsia="Times New Roman" w:cs="Arial"/>
          <w:sz w:val="20"/>
          <w:szCs w:val="20"/>
          <w:lang w:val="es-CO"/>
        </w:rPr>
      </w:pPr>
    </w:p>
    <w:p w:rsidRPr="00112712" w:rsidR="0024544C" w:rsidP="00B412DF" w:rsidRDefault="0024544C" w14:paraId="40246D4E" w14:textId="77777777">
      <w:pPr>
        <w:ind w:left="567"/>
        <w:jc w:val="both"/>
        <w:rPr>
          <w:rFonts w:ascii="Verdana" w:hAnsi="Verdana" w:eastAsia="Times New Roman" w:cs="Arial"/>
          <w:i/>
          <w:iCs/>
          <w:sz w:val="18"/>
          <w:szCs w:val="18"/>
          <w:lang w:val="es-CO"/>
        </w:rPr>
      </w:pPr>
      <w:r w:rsidRPr="00112712">
        <w:rPr>
          <w:rFonts w:ascii="Verdana" w:hAnsi="Verdana" w:eastAsia="Times New Roman" w:cs="Arial"/>
          <w:sz w:val="18"/>
          <w:szCs w:val="18"/>
          <w:lang w:val="es-CO"/>
        </w:rPr>
        <w:t>“</w:t>
      </w:r>
      <w:r w:rsidRPr="00112712">
        <w:rPr>
          <w:rFonts w:ascii="Verdana" w:hAnsi="Verdana" w:eastAsia="Times New Roman" w:cs="Arial"/>
          <w:b/>
          <w:bCs/>
          <w:i/>
          <w:iCs/>
          <w:sz w:val="18"/>
          <w:szCs w:val="18"/>
          <w:lang w:val="es-CO"/>
        </w:rPr>
        <w:t>ARTÍCULO 1:</w:t>
      </w:r>
      <w:r w:rsidRPr="00112712">
        <w:rPr>
          <w:rFonts w:ascii="Verdana" w:hAnsi="Verdana" w:eastAsia="Times New Roman" w:cs="Arial"/>
          <w:i/>
          <w:iCs/>
          <w:sz w:val="18"/>
          <w:szCs w:val="18"/>
          <w:lang w:val="es-CO"/>
        </w:rPr>
        <w:t xml:space="preserve"> Para el reconocimiento de la Prima Técnica a funcionarios administrativos del orden nacional que laboran en los Fondos Educativos Regionales, Oficinas Seccionales de Escalafón, Centros Experimentales Piloto, Centros Auxiliares de Servicios Docentes y Colegios Nacionales y Nacionalizados, se tendrán en cuenta las disposiciones contenidas en la Resolución No. 03528 de 1993 que reglamenta la asignación de la prima técnica para los funcionarios de planta del Ministerio de Educación Nacional. </w:t>
      </w:r>
    </w:p>
    <w:p w:rsidRPr="00112712" w:rsidR="0024544C" w:rsidP="00B412DF" w:rsidRDefault="0024544C" w14:paraId="50821217" w14:textId="77777777">
      <w:pPr>
        <w:ind w:left="567"/>
        <w:jc w:val="both"/>
        <w:rPr>
          <w:rFonts w:ascii="Verdana" w:hAnsi="Verdana" w:eastAsia="Times New Roman" w:cs="Arial"/>
          <w:i/>
          <w:iCs/>
          <w:sz w:val="18"/>
          <w:szCs w:val="18"/>
          <w:lang w:val="es-CO"/>
        </w:rPr>
      </w:pPr>
    </w:p>
    <w:p w:rsidRPr="00112712" w:rsidR="0024544C" w:rsidP="00B412DF" w:rsidRDefault="0024544C" w14:paraId="28FCE482" w14:textId="77777777">
      <w:pPr>
        <w:ind w:left="567"/>
        <w:jc w:val="both"/>
        <w:rPr>
          <w:rFonts w:ascii="Verdana" w:hAnsi="Verdana" w:eastAsia="Times New Roman" w:cs="Arial"/>
          <w:i/>
          <w:iCs/>
          <w:sz w:val="18"/>
          <w:szCs w:val="18"/>
          <w:lang w:val="es-CO"/>
        </w:rPr>
      </w:pPr>
      <w:r w:rsidRPr="00112712">
        <w:rPr>
          <w:rFonts w:ascii="Verdana" w:hAnsi="Verdana" w:eastAsia="Times New Roman" w:cs="Arial"/>
          <w:b/>
          <w:bCs/>
          <w:i/>
          <w:iCs/>
          <w:sz w:val="18"/>
          <w:szCs w:val="18"/>
          <w:lang w:val="es-CO"/>
        </w:rPr>
        <w:t>ARTÍCULO 2:</w:t>
      </w:r>
      <w:r w:rsidRPr="00112712">
        <w:rPr>
          <w:rFonts w:ascii="Verdana" w:hAnsi="Verdana" w:eastAsia="Times New Roman" w:cs="Arial"/>
          <w:i/>
          <w:iCs/>
          <w:sz w:val="18"/>
          <w:szCs w:val="18"/>
          <w:lang w:val="es-CO"/>
        </w:rPr>
        <w:t xml:space="preserve"> Los actos administrativos de reconocimiento de la prima técnica para los funcionarios indicados en el artículo anterior, serán proferidos por los Gobernadores y alcalde mayor de Santafé de Bogotá en calidad de presidentes de las Juntas Administradoras de los Fondos Educativos Regionales, siguiendo el procedimiento señalado en el artículo 6 del Decreto 16661 del 27 de junio de 1993. </w:t>
      </w:r>
    </w:p>
    <w:p w:rsidRPr="00112712" w:rsidR="0024544C" w:rsidP="00B412DF" w:rsidRDefault="0024544C" w14:paraId="08D71523" w14:textId="77777777">
      <w:pPr>
        <w:ind w:left="708"/>
        <w:jc w:val="both"/>
        <w:rPr>
          <w:rFonts w:ascii="Verdana" w:hAnsi="Verdana" w:eastAsia="Times New Roman" w:cs="Arial"/>
          <w:i/>
          <w:iCs/>
          <w:sz w:val="18"/>
          <w:szCs w:val="18"/>
          <w:lang w:val="es-CO"/>
        </w:rPr>
      </w:pPr>
    </w:p>
    <w:p w:rsidRPr="00112712" w:rsidR="0024544C" w:rsidP="00B412DF" w:rsidRDefault="0024544C" w14:paraId="3E52A540" w14:textId="77777777">
      <w:pPr>
        <w:ind w:left="567"/>
        <w:jc w:val="both"/>
        <w:rPr>
          <w:rFonts w:ascii="Verdana" w:hAnsi="Verdana" w:eastAsia="Times New Roman" w:cs="Arial"/>
          <w:sz w:val="18"/>
          <w:szCs w:val="18"/>
          <w:lang w:val="es-CO"/>
        </w:rPr>
      </w:pPr>
      <w:r w:rsidRPr="00112712">
        <w:rPr>
          <w:rFonts w:ascii="Verdana" w:hAnsi="Verdana" w:eastAsia="Times New Roman" w:cs="Arial"/>
          <w:b/>
          <w:bCs/>
          <w:i/>
          <w:iCs/>
          <w:sz w:val="18"/>
          <w:szCs w:val="18"/>
          <w:lang w:val="es-CO"/>
        </w:rPr>
        <w:t>ARTÍCULO 3:</w:t>
      </w:r>
      <w:r w:rsidRPr="00112712">
        <w:rPr>
          <w:rFonts w:ascii="Verdana" w:hAnsi="Verdana" w:eastAsia="Times New Roman" w:cs="Arial"/>
          <w:i/>
          <w:iCs/>
          <w:sz w:val="18"/>
          <w:szCs w:val="18"/>
          <w:lang w:val="es-CO"/>
        </w:rPr>
        <w:t xml:space="preserve"> Las solicitudes para asignación de prima técnica deberán ser formuladas individualmente por los interesados. Para el efecto, los jefes de personal competentes para la recepción y estudio de las solicitudes individuales son: a) Para los funcionarios del Fondo Educativo Regional, el representante del Ministerio de Educación Nacional ante el mismo organismo. b) Para los funcionarios de la Oficina Seccional de Escalafón, el jefe de </w:t>
      </w:r>
      <w:proofErr w:type="gramStart"/>
      <w:r w:rsidRPr="00112712">
        <w:rPr>
          <w:rFonts w:ascii="Verdana" w:hAnsi="Verdana" w:eastAsia="Times New Roman" w:cs="Arial"/>
          <w:i/>
          <w:iCs/>
          <w:sz w:val="18"/>
          <w:szCs w:val="18"/>
          <w:lang w:val="es-CO"/>
        </w:rPr>
        <w:t>la misma</w:t>
      </w:r>
      <w:proofErr w:type="gramEnd"/>
      <w:r w:rsidRPr="00112712">
        <w:rPr>
          <w:rFonts w:ascii="Verdana" w:hAnsi="Verdana" w:eastAsia="Times New Roman" w:cs="Arial"/>
          <w:i/>
          <w:iCs/>
          <w:sz w:val="18"/>
          <w:szCs w:val="18"/>
          <w:lang w:val="es-CO"/>
        </w:rPr>
        <w:t>. c) Para los funcionarios del Centro Experimental Piloto y el Centro Auxiliar de Servicios Docentes, los directores respectivos. d) Para los funcionarios de colegios nacionales y nacionalizados, el jefe de personal de la Secretaría de Educación o quien haga sus veces, de la entidad territorial (…)</w:t>
      </w:r>
      <w:r w:rsidRPr="00112712">
        <w:rPr>
          <w:rFonts w:ascii="Verdana" w:hAnsi="Verdana" w:eastAsia="Times New Roman" w:cs="Arial"/>
          <w:sz w:val="18"/>
          <w:szCs w:val="18"/>
          <w:lang w:val="es-CO"/>
        </w:rPr>
        <w:t>” (negrilla fuera de texto original).</w:t>
      </w:r>
    </w:p>
    <w:p w:rsidRPr="00821320" w:rsidR="0024544C" w:rsidP="00B412DF" w:rsidRDefault="0024544C" w14:paraId="039A514F" w14:textId="77777777">
      <w:pPr>
        <w:jc w:val="both"/>
        <w:rPr>
          <w:rFonts w:ascii="Verdana" w:hAnsi="Verdana" w:cs="Arial"/>
          <w:sz w:val="22"/>
          <w:szCs w:val="22"/>
          <w:lang w:val="es-ES_tradnl"/>
        </w:rPr>
      </w:pPr>
    </w:p>
    <w:p w:rsidRPr="00821320" w:rsidR="0024544C" w:rsidP="00B412DF" w:rsidRDefault="0024544C" w14:paraId="522DFAFF" w14:textId="77777777">
      <w:pPr>
        <w:jc w:val="both"/>
        <w:rPr>
          <w:rFonts w:ascii="Verdana" w:hAnsi="Verdana" w:eastAsia="Times New Roman" w:cs="Arial"/>
          <w:sz w:val="22"/>
          <w:szCs w:val="22"/>
        </w:rPr>
      </w:pPr>
      <w:r w:rsidRPr="00821320">
        <w:rPr>
          <w:rFonts w:ascii="Verdana" w:hAnsi="Verdana" w:eastAsia="Times New Roman" w:cs="Arial"/>
          <w:sz w:val="22"/>
          <w:szCs w:val="22"/>
        </w:rPr>
        <w:t xml:space="preserve">De acuerdo con la anterior normatividad, resulta evidente que la Entidad Territorial Certificada en educación es la encargada de verificar en cada una de las hojas de vida de los funcionarios que reciben la prima técnica, el cumplimiento de los requisitos, dentro de los cuales se encuentran: verificar el tipo de vinculación (nacional), determinar si al momento de la descentralización (1993) venían percibiendo la prima técnica y el cumplimiento de los requisitos </w:t>
      </w:r>
      <w:r w:rsidRPr="00821320">
        <w:rPr>
          <w:rFonts w:ascii="Verdana" w:hAnsi="Verdana" w:eastAsia="Times New Roman" w:cs="Arial"/>
          <w:sz w:val="22"/>
          <w:szCs w:val="22"/>
        </w:rPr>
        <w:lastRenderedPageBreak/>
        <w:t>establecidos en el Decreto 2164 de 1991, ya que son titulares de dicho reconocimiento.</w:t>
      </w:r>
    </w:p>
    <w:p w:rsidRPr="00821320" w:rsidR="0024544C" w:rsidP="00B412DF" w:rsidRDefault="0024544C" w14:paraId="4902E46C" w14:textId="77777777">
      <w:pPr>
        <w:jc w:val="both"/>
        <w:rPr>
          <w:rFonts w:ascii="Verdana" w:hAnsi="Verdana" w:eastAsia="Times New Roman" w:cs="Arial"/>
          <w:sz w:val="22"/>
          <w:szCs w:val="22"/>
        </w:rPr>
      </w:pPr>
    </w:p>
    <w:p w:rsidRPr="00821320" w:rsidR="0024544C" w:rsidP="00B412DF" w:rsidRDefault="0024544C" w14:paraId="0F01F0A2" w14:textId="77777777">
      <w:pPr>
        <w:jc w:val="both"/>
        <w:rPr>
          <w:rFonts w:ascii="Verdana" w:hAnsi="Verdana" w:eastAsia="Times New Roman" w:cs="Arial"/>
          <w:sz w:val="22"/>
          <w:szCs w:val="22"/>
        </w:rPr>
      </w:pPr>
      <w:r w:rsidRPr="00821320">
        <w:rPr>
          <w:rFonts w:ascii="Verdana" w:hAnsi="Verdana" w:eastAsia="Times New Roman" w:cs="Arial"/>
          <w:sz w:val="22"/>
          <w:szCs w:val="22"/>
        </w:rPr>
        <w:t>De igual manera, por tratarse de un procedimiento rogado, la entidad territorial es la encargada de verificar el cumplimiento de los requisitos del artículo 3 de la Resolución 05737 de 1994 y en general toda la documentación y cumplimiento de los requisitos de Ley para determinar quienes tenían el derecho.</w:t>
      </w:r>
    </w:p>
    <w:p w:rsidRPr="00821320" w:rsidR="0024544C" w:rsidP="00B412DF" w:rsidRDefault="0024544C" w14:paraId="587931D2" w14:textId="77777777">
      <w:pPr>
        <w:jc w:val="both"/>
        <w:rPr>
          <w:rFonts w:ascii="Verdana" w:hAnsi="Verdana" w:cs="Arial"/>
          <w:sz w:val="22"/>
          <w:szCs w:val="22"/>
        </w:rPr>
      </w:pPr>
    </w:p>
    <w:p w:rsidRPr="00821320" w:rsidR="0024544C" w:rsidP="00B412DF" w:rsidRDefault="0024544C" w14:paraId="3C791D41" w14:textId="77777777">
      <w:pPr>
        <w:jc w:val="both"/>
        <w:rPr>
          <w:rFonts w:ascii="Verdana" w:hAnsi="Verdana" w:cs="Arial"/>
          <w:color w:val="000000"/>
          <w:sz w:val="22"/>
          <w:szCs w:val="22"/>
        </w:rPr>
      </w:pPr>
      <w:bookmarkStart w:name="_Int_YdMNhvYq" w:id="4"/>
      <w:r w:rsidRPr="00821320">
        <w:rPr>
          <w:rFonts w:ascii="Verdana" w:hAnsi="Verdana" w:cs="Arial"/>
          <w:sz w:val="22"/>
          <w:szCs w:val="22"/>
        </w:rPr>
        <w:t xml:space="preserve">De otro lado, los recursos del Sistema General de Participaciones asignados a las entidades territoriales solo pueden ser utilizados para financiar las destinaciones establecidas en la normatividad vigente dentro del marco de sus competencias y funciones, a saber, el artículo 15 de la Ley 715 de 2001 establece que los recursos de la Participación para Educación se destinarán a: </w:t>
      </w:r>
      <w:r w:rsidRPr="00821320">
        <w:rPr>
          <w:rFonts w:ascii="Verdana" w:hAnsi="Verdana" w:cs="Arial"/>
          <w:color w:val="000000" w:themeColor="text1"/>
          <w:sz w:val="22"/>
          <w:szCs w:val="22"/>
        </w:rPr>
        <w:t>15.1.</w:t>
      </w:r>
      <w:bookmarkEnd w:id="4"/>
      <w:r w:rsidRPr="00821320">
        <w:rPr>
          <w:rFonts w:ascii="Verdana" w:hAnsi="Verdana" w:cs="Arial"/>
          <w:color w:val="000000" w:themeColor="text1"/>
          <w:sz w:val="22"/>
          <w:szCs w:val="22"/>
        </w:rPr>
        <w:t xml:space="preserve"> Pago del personal docente y administrativo de las instituciones educativas públicas, las contribuciones inherentes a la nómina y sus prestaciones sociales; 15.2. Construcción de la infraestructura, mantenimiento, pago de servicios públicos y funcionamiento de las instituciones educativas; 15.3. Provisión de la Canasta Educativa; y 15.4. Las destinadas a mantener, evaluar y promover la Calidad Educativa. </w:t>
      </w:r>
    </w:p>
    <w:p w:rsidRPr="00821320" w:rsidR="0024544C" w:rsidP="00B412DF" w:rsidRDefault="0024544C" w14:paraId="0D6429E6" w14:textId="77777777">
      <w:pPr>
        <w:jc w:val="both"/>
        <w:rPr>
          <w:rFonts w:ascii="Verdana" w:hAnsi="Verdana" w:cs="Arial"/>
          <w:color w:val="000000"/>
          <w:sz w:val="22"/>
          <w:szCs w:val="22"/>
        </w:rPr>
      </w:pPr>
    </w:p>
    <w:p w:rsidRPr="00821320" w:rsidR="0024544C" w:rsidP="00B412DF" w:rsidRDefault="0024544C" w14:paraId="56A80384" w14:textId="77777777">
      <w:pPr>
        <w:jc w:val="both"/>
        <w:rPr>
          <w:rFonts w:ascii="Verdana" w:hAnsi="Verdana" w:cs="Arial"/>
          <w:color w:val="000000"/>
          <w:sz w:val="22"/>
          <w:szCs w:val="22"/>
        </w:rPr>
      </w:pPr>
      <w:r w:rsidRPr="00821320">
        <w:rPr>
          <w:rFonts w:ascii="Verdana" w:hAnsi="Verdana" w:cs="Arial"/>
          <w:color w:val="000000" w:themeColor="text1"/>
          <w:sz w:val="22"/>
          <w:szCs w:val="22"/>
        </w:rPr>
        <w:t>Aunado a lo anterior, los recursos del Sistema General de Participaciones son rentas con destinación específica que, conforme a lo establecido por el numeral primero del artículo tercero de la Ley 617 de 2000 son las destinadas por ley o acto administrativo, de las corporaciones públicas de nivel territorial, a un fin determinado, por tanto, ningún otro acto bien sea una circular o directiva ministerial podrá crear nuevas destinaciones a estos recursos.</w:t>
      </w:r>
    </w:p>
    <w:p w:rsidRPr="00821320" w:rsidR="0024544C" w:rsidP="00B412DF" w:rsidRDefault="0024544C" w14:paraId="069BCA2E" w14:textId="77777777">
      <w:pPr>
        <w:jc w:val="both"/>
        <w:rPr>
          <w:rFonts w:ascii="Verdana" w:hAnsi="Verdana" w:cs="Arial"/>
          <w:color w:val="000000" w:themeColor="text1"/>
          <w:sz w:val="22"/>
          <w:szCs w:val="22"/>
        </w:rPr>
      </w:pPr>
    </w:p>
    <w:p w:rsidRPr="00821320" w:rsidR="0024544C" w:rsidP="00B412DF" w:rsidRDefault="0024544C" w14:paraId="21A7F76B" w14:textId="77777777">
      <w:pPr>
        <w:jc w:val="both"/>
        <w:rPr>
          <w:rFonts w:ascii="Verdana" w:hAnsi="Verdana" w:cs="Arial"/>
          <w:color w:val="000000" w:themeColor="text1"/>
          <w:sz w:val="22"/>
          <w:szCs w:val="22"/>
        </w:rPr>
      </w:pPr>
      <w:r w:rsidRPr="00821320">
        <w:rPr>
          <w:rFonts w:ascii="Verdana" w:hAnsi="Verdana" w:cs="Arial"/>
          <w:color w:val="000000" w:themeColor="text1"/>
          <w:sz w:val="22"/>
          <w:szCs w:val="22"/>
        </w:rPr>
        <w:t>De esta manera, si la entidad territorial adelanta pagos de primas técnicas a funcionarios que no tienen dicho derecho no solamente se encontraría contraviniendo las disposiciones del régimen salarial, sino que también se encontraría incurso en la realización de ejecuciones presupuestales no autorizadas financiadas con recursos del SGP. Por lo anterior, dicho pago implicaría un cambio en la destinación específica de los rubros provenientes del sistema.</w:t>
      </w:r>
    </w:p>
    <w:p w:rsidRPr="00821320" w:rsidR="0024544C" w:rsidP="00B412DF" w:rsidRDefault="0024544C" w14:paraId="43CB79E5" w14:textId="77777777">
      <w:pPr>
        <w:jc w:val="both"/>
        <w:rPr>
          <w:rFonts w:ascii="Verdana" w:hAnsi="Verdana" w:cs="Arial"/>
          <w:color w:val="000000" w:themeColor="text1"/>
          <w:sz w:val="22"/>
          <w:szCs w:val="22"/>
        </w:rPr>
      </w:pPr>
    </w:p>
    <w:p w:rsidRPr="00821320" w:rsidR="0024544C" w:rsidP="00B412DF" w:rsidRDefault="0024544C" w14:paraId="70101E9B" w14:textId="77777777">
      <w:pPr>
        <w:jc w:val="both"/>
        <w:rPr>
          <w:rFonts w:ascii="Verdana" w:hAnsi="Verdana" w:eastAsia="Times New Roman" w:cs="Arial"/>
          <w:sz w:val="22"/>
          <w:szCs w:val="22"/>
        </w:rPr>
      </w:pPr>
      <w:r w:rsidRPr="00821320">
        <w:rPr>
          <w:rFonts w:ascii="Verdana" w:hAnsi="Verdana" w:eastAsia="Times New Roman" w:cs="Arial"/>
          <w:sz w:val="22"/>
          <w:szCs w:val="22"/>
        </w:rPr>
        <w:t>Resulta necesario puntualizar que la prima técnica no es una prima de carácter extralegal, no obstante, si existen personas a las que les fue reconocida en virtud del artículo 13 del Decreto 2164 de 1991 declarado nulo, estas personas no tendrían el derecho, no solo en virtud de la nulidad, sino por tratarse de personas cuya vinculación es de carácter territorial. Por lo tanto, el único que puede determinar y corroborar la información que dé cuenta de estas situaciones es el municipio, ya que es allí donde reposan las hojas de vida de sus funcionarios.</w:t>
      </w:r>
    </w:p>
    <w:p w:rsidRPr="00821320" w:rsidR="0024544C" w:rsidP="00B412DF" w:rsidRDefault="0024544C" w14:paraId="35730709" w14:textId="77777777">
      <w:pPr>
        <w:jc w:val="both"/>
        <w:rPr>
          <w:rFonts w:ascii="Verdana" w:hAnsi="Verdana" w:eastAsia="Times New Roman" w:cs="Arial"/>
          <w:sz w:val="22"/>
          <w:szCs w:val="22"/>
        </w:rPr>
      </w:pPr>
    </w:p>
    <w:p w:rsidRPr="00821320" w:rsidR="0024544C" w:rsidP="00B412DF" w:rsidRDefault="0024544C" w14:paraId="18E1BF4F" w14:textId="77777777">
      <w:pPr>
        <w:jc w:val="both"/>
        <w:rPr>
          <w:rFonts w:ascii="Verdana" w:hAnsi="Verdana" w:eastAsia="Calibri" w:cs="Arial"/>
          <w:b/>
          <w:bCs/>
          <w:sz w:val="22"/>
          <w:szCs w:val="22"/>
          <w:lang w:val="es-CO" w:eastAsia="en-US"/>
        </w:rPr>
      </w:pPr>
      <w:r w:rsidRPr="00821320">
        <w:rPr>
          <w:rFonts w:ascii="Verdana" w:hAnsi="Verdana"/>
          <w:b/>
          <w:bCs/>
          <w:sz w:val="22"/>
          <w:szCs w:val="22"/>
        </w:rPr>
        <w:lastRenderedPageBreak/>
        <w:t xml:space="preserve">Riesgo latente por presunto cambio en la destinación específica del SGP - </w:t>
      </w:r>
      <w:r w:rsidRPr="00821320" w:rsidR="006B4792">
        <w:rPr>
          <w:rFonts w:ascii="Verdana" w:hAnsi="Verdana" w:eastAsia="Calibri" w:cs="Arial"/>
          <w:b/>
          <w:bCs/>
          <w:sz w:val="22"/>
          <w:szCs w:val="22"/>
          <w:lang w:val="es-CO" w:eastAsia="en-US"/>
        </w:rPr>
        <w:t>Educación</w:t>
      </w:r>
      <w:r w:rsidRPr="00821320">
        <w:rPr>
          <w:rFonts w:ascii="Verdana" w:hAnsi="Verdana"/>
          <w:b/>
          <w:bCs/>
          <w:sz w:val="22"/>
          <w:szCs w:val="22"/>
        </w:rPr>
        <w:t xml:space="preserve"> por falta de soportes documentales sobre el reconocimiento de prima técnica</w:t>
      </w:r>
    </w:p>
    <w:p w:rsidRPr="00821320" w:rsidR="0024544C" w:rsidP="00B412DF" w:rsidRDefault="0024544C" w14:paraId="277507C7" w14:textId="77777777">
      <w:pPr>
        <w:contextualSpacing/>
        <w:jc w:val="both"/>
        <w:rPr>
          <w:rFonts w:ascii="Verdana" w:hAnsi="Verdana"/>
          <w:sz w:val="22"/>
          <w:szCs w:val="22"/>
        </w:rPr>
      </w:pPr>
    </w:p>
    <w:p w:rsidRPr="00821320" w:rsidR="0024544C" w:rsidP="00B412DF" w:rsidRDefault="0024544C" w14:paraId="4FB81B1C" w14:textId="77777777">
      <w:pPr>
        <w:jc w:val="both"/>
        <w:rPr>
          <w:rFonts w:ascii="Verdana" w:hAnsi="Verdana" w:eastAsia="Verdana" w:cs="Verdana"/>
          <w:sz w:val="22"/>
          <w:szCs w:val="22"/>
        </w:rPr>
      </w:pPr>
      <w:r w:rsidRPr="00821320">
        <w:rPr>
          <w:rFonts w:ascii="Verdana" w:hAnsi="Verdana" w:eastAsia="Verdana" w:cs="Verdana"/>
          <w:sz w:val="22"/>
          <w:szCs w:val="22"/>
        </w:rPr>
        <w:t>Ahora bien, la auditoría de las ejecuciones presupuestales realizada por esta Dirección para las vigencias 2021 y 2022 con corte 31 de diciembre permitió determinar que el Municipio pagó la prima técnica para administrativos de la Secretaría de Educación por un valor total de $144.633.444 y $139.162.772 para cada vigencia respectivamente. Al respecto, la Entidad suministró cuadros de administrativos a los cuales se les pagó prima técnica (durante 2021 se les pagó a 11 funcionarios mientras que en 2022 se les pagó a 10 funcionarios este emolumento).</w:t>
      </w:r>
    </w:p>
    <w:p w:rsidRPr="00821320" w:rsidR="0024544C" w:rsidP="00B412DF" w:rsidRDefault="0024544C" w14:paraId="64F4D564" w14:textId="77777777">
      <w:pPr>
        <w:jc w:val="both"/>
        <w:rPr>
          <w:rFonts w:ascii="Verdana" w:hAnsi="Verdana" w:eastAsiaTheme="minorHAnsi" w:cstheme="minorBidi"/>
          <w:sz w:val="22"/>
          <w:szCs w:val="22"/>
        </w:rPr>
      </w:pPr>
    </w:p>
    <w:p w:rsidRPr="00821320" w:rsidR="0024544C" w:rsidP="00B412DF" w:rsidRDefault="0024544C" w14:paraId="1FAB3D77" w14:textId="77777777">
      <w:pPr>
        <w:jc w:val="both"/>
        <w:rPr>
          <w:rFonts w:ascii="Verdana" w:hAnsi="Verdana" w:eastAsia="Verdana" w:cs="Verdana"/>
          <w:i/>
          <w:iCs/>
          <w:sz w:val="22"/>
          <w:szCs w:val="22"/>
        </w:rPr>
      </w:pPr>
      <w:r w:rsidRPr="00821320">
        <w:rPr>
          <w:rFonts w:ascii="Verdana" w:hAnsi="Verdana" w:eastAsia="Verdana" w:cs="Verdana"/>
          <w:sz w:val="22"/>
          <w:szCs w:val="22"/>
        </w:rPr>
        <w:t xml:space="preserve">A partir de lo anterior, se solicitó a la Entidad Territorial el envío de los actos administrativos mediante los cuales se reconoció a los 10 funcionarios esta prima. Al respecto, el Municipio envió la Resolución No. 00112 de 1999 </w:t>
      </w:r>
      <w:r w:rsidRPr="00821320">
        <w:rPr>
          <w:rFonts w:ascii="Verdana" w:hAnsi="Verdana" w:eastAsia="Verdana" w:cs="Verdana"/>
          <w:i/>
          <w:iCs/>
          <w:sz w:val="22"/>
          <w:szCs w:val="22"/>
        </w:rPr>
        <w:t xml:space="preserve">“Por medio de la cual se reconoce y ordena el pago de la Prima Técnica consagrada en el Decreto 1661 de Junio 27 de 1991 y su Decreto reglamentario 2164 de Septiembre 17 de 1991, por evaluación del desempeño a funcionarios Administrativos del Orden Nacional que laboran en la Secretaría de Educación - Dirección Administrativa y Financiera - del antes Fondo Educativo Regional, Centro Experimental Piloto, Oficina Seccional de Escalafón, Equipo de Educacion Fundamental, Colegios Nacionalizados del Departamento, incorporados mediante Decreto No. 00573 de noviembre 26 de 1997”. </w:t>
      </w:r>
    </w:p>
    <w:p w:rsidRPr="00821320" w:rsidR="0024544C" w:rsidP="00B412DF" w:rsidRDefault="0024544C" w14:paraId="0761B36F" w14:textId="77777777">
      <w:pPr>
        <w:jc w:val="both"/>
        <w:rPr>
          <w:rFonts w:ascii="Verdana" w:hAnsi="Verdana" w:eastAsia="Verdana" w:cs="Verdana"/>
          <w:i/>
          <w:iCs/>
          <w:sz w:val="22"/>
          <w:szCs w:val="22"/>
        </w:rPr>
      </w:pPr>
    </w:p>
    <w:p w:rsidRPr="00821320" w:rsidR="0024544C" w:rsidP="00B412DF" w:rsidRDefault="0024544C" w14:paraId="4A2D5B73" w14:textId="77777777">
      <w:pPr>
        <w:jc w:val="both"/>
        <w:rPr>
          <w:rFonts w:ascii="Verdana" w:hAnsi="Verdana" w:eastAsia="Verdana" w:cs="Verdana"/>
          <w:sz w:val="22"/>
          <w:szCs w:val="22"/>
        </w:rPr>
      </w:pPr>
      <w:r w:rsidRPr="00821320">
        <w:rPr>
          <w:rFonts w:ascii="Verdana" w:hAnsi="Verdana" w:eastAsia="Verdana" w:cs="Verdana"/>
          <w:sz w:val="22"/>
          <w:szCs w:val="22"/>
        </w:rPr>
        <w:t xml:space="preserve">Posteriormente, se solicitó a la Entidad el Decreto No. 00573 del 26 de noviembre de 1997 con el fin de verificar si en dicha incorporación se encontraban enlistados los 10 funcionarios a los que se les paga actualmente la prima técnica, no obstante, el Municipio no la suministró. </w:t>
      </w:r>
    </w:p>
    <w:p w:rsidRPr="00821320" w:rsidR="0024544C" w:rsidP="00B412DF" w:rsidRDefault="0024544C" w14:paraId="491A3879" w14:textId="77777777">
      <w:pPr>
        <w:jc w:val="both"/>
        <w:rPr>
          <w:rFonts w:ascii="Verdana" w:hAnsi="Verdana" w:eastAsia="Verdana" w:cs="Verdana"/>
          <w:sz w:val="22"/>
          <w:szCs w:val="22"/>
        </w:rPr>
      </w:pPr>
    </w:p>
    <w:p w:rsidRPr="00821320" w:rsidR="0024544C" w:rsidP="00B412DF" w:rsidRDefault="0024544C" w14:paraId="0DF550CD" w14:textId="77777777">
      <w:pPr>
        <w:contextualSpacing/>
        <w:jc w:val="both"/>
        <w:rPr>
          <w:rFonts w:ascii="Verdana" w:hAnsi="Verdana"/>
          <w:sz w:val="22"/>
          <w:szCs w:val="22"/>
        </w:rPr>
      </w:pPr>
      <w:r w:rsidRPr="00821320">
        <w:rPr>
          <w:rFonts w:ascii="Verdana" w:hAnsi="Verdana" w:eastAsia="Verdana" w:cs="Verdana"/>
          <w:sz w:val="22"/>
          <w:szCs w:val="22"/>
        </w:rPr>
        <w:t xml:space="preserve">De igual manera, debido a que a los funcionarios les fue reconocida por evaluación de desempeño se le solicitó a la Entidad para los 10 funcionarios dicha evaluación año a año para verificar el cumplimiento del requisito teniendo en cuenta que, una vez otorgada la prima técnica, el servidor es evaluado anualmente y es causal de pérdida de </w:t>
      </w:r>
      <w:proofErr w:type="gramStart"/>
      <w:r w:rsidRPr="00821320">
        <w:rPr>
          <w:rFonts w:ascii="Verdana" w:hAnsi="Verdana" w:eastAsia="Verdana" w:cs="Verdana"/>
          <w:sz w:val="22"/>
          <w:szCs w:val="22"/>
        </w:rPr>
        <w:t>la misma</w:t>
      </w:r>
      <w:proofErr w:type="gramEnd"/>
      <w:r w:rsidRPr="00821320">
        <w:rPr>
          <w:rFonts w:ascii="Verdana" w:hAnsi="Verdana" w:eastAsia="Verdana" w:cs="Verdana"/>
          <w:sz w:val="22"/>
          <w:szCs w:val="22"/>
        </w:rPr>
        <w:t xml:space="preserve"> obtener una calificación definitiva inferior al noventa por ciento (90%). Sin embargo, la Entidad</w:t>
      </w:r>
      <w:r w:rsidRPr="00821320" w:rsidR="00C01637">
        <w:rPr>
          <w:rFonts w:ascii="Verdana" w:hAnsi="Verdana" w:eastAsia="Verdana" w:cs="Verdana"/>
          <w:sz w:val="22"/>
          <w:szCs w:val="22"/>
        </w:rPr>
        <w:t xml:space="preserve"> s</w:t>
      </w:r>
      <w:r w:rsidRPr="00821320" w:rsidR="00821320">
        <w:rPr>
          <w:rFonts w:ascii="Verdana" w:hAnsi="Verdana" w:eastAsia="Verdana" w:cs="Verdana"/>
          <w:sz w:val="22"/>
          <w:szCs w:val="22"/>
        </w:rPr>
        <w:t>uministró las evaluaciones realizadas</w:t>
      </w:r>
      <w:r w:rsidRPr="00821320" w:rsidR="00C01637">
        <w:rPr>
          <w:rFonts w:ascii="Verdana" w:hAnsi="Verdana" w:eastAsia="Verdana" w:cs="Verdana"/>
          <w:sz w:val="22"/>
          <w:szCs w:val="22"/>
        </w:rPr>
        <w:t xml:space="preserve"> </w:t>
      </w:r>
      <w:r w:rsidR="002A3033">
        <w:rPr>
          <w:rFonts w:ascii="Verdana" w:hAnsi="Verdana" w:eastAsia="Verdana" w:cs="Verdana"/>
          <w:sz w:val="22"/>
          <w:szCs w:val="22"/>
        </w:rPr>
        <w:t xml:space="preserve">solo </w:t>
      </w:r>
      <w:r w:rsidRPr="00821320" w:rsidR="00C01637">
        <w:rPr>
          <w:rFonts w:ascii="Verdana" w:hAnsi="Verdana" w:eastAsia="Verdana" w:cs="Verdana"/>
          <w:sz w:val="22"/>
          <w:szCs w:val="22"/>
        </w:rPr>
        <w:t>hasta el año 1997</w:t>
      </w:r>
      <w:r w:rsidRPr="00821320">
        <w:rPr>
          <w:rFonts w:ascii="Verdana" w:hAnsi="Verdana" w:eastAsia="Verdana" w:cs="Verdana"/>
          <w:sz w:val="22"/>
          <w:szCs w:val="22"/>
        </w:rPr>
        <w:t>, es importante mencionar que la evaluación sirve como soporte para el ejercicio de verificación de cumplimiento de requisitos para el pago de este emolumento.</w:t>
      </w:r>
    </w:p>
    <w:p w:rsidRPr="00821320" w:rsidR="0024544C" w:rsidP="00B412DF" w:rsidRDefault="0024544C" w14:paraId="17298FF5" w14:textId="77777777">
      <w:pPr>
        <w:contextualSpacing/>
        <w:jc w:val="both"/>
        <w:rPr>
          <w:rFonts w:ascii="Verdana" w:hAnsi="Verdana"/>
          <w:sz w:val="22"/>
          <w:szCs w:val="22"/>
        </w:rPr>
      </w:pPr>
    </w:p>
    <w:p w:rsidRPr="00821320" w:rsidR="00B4713E" w:rsidP="00B412DF" w:rsidRDefault="00B4713E" w14:paraId="3084686C" w14:textId="77777777">
      <w:pPr>
        <w:jc w:val="both"/>
        <w:rPr>
          <w:rFonts w:ascii="Verdana" w:hAnsi="Verdana" w:cs="Arial"/>
          <w:sz w:val="22"/>
          <w:szCs w:val="22"/>
        </w:rPr>
      </w:pPr>
      <w:r w:rsidRPr="00821320">
        <w:rPr>
          <w:rFonts w:ascii="Verdana" w:hAnsi="Verdana" w:cs="Arial"/>
          <w:sz w:val="22"/>
          <w:szCs w:val="22"/>
        </w:rPr>
        <w:t xml:space="preserve">Por lo anterior, y reconociendo la legalidad de la prima técnica pero su condicionamiento en el momento de </w:t>
      </w:r>
      <w:r w:rsidRPr="00821320" w:rsidR="00821320">
        <w:rPr>
          <w:rFonts w:ascii="Verdana" w:hAnsi="Verdana" w:cs="Arial"/>
          <w:sz w:val="22"/>
          <w:szCs w:val="22"/>
        </w:rPr>
        <w:t>otorgarla</w:t>
      </w:r>
      <w:r w:rsidRPr="00821320">
        <w:rPr>
          <w:rFonts w:ascii="Verdana" w:hAnsi="Verdana" w:cs="Arial"/>
          <w:sz w:val="22"/>
          <w:szCs w:val="22"/>
        </w:rPr>
        <w:t xml:space="preserve"> es indispensable que la administración municipal solicite el acompañamiento al Ministerio de Educación Nacional para soportar legalmente que los </w:t>
      </w:r>
      <w:r w:rsidR="002A3033">
        <w:rPr>
          <w:rFonts w:ascii="Verdana" w:hAnsi="Verdana" w:cs="Arial"/>
          <w:sz w:val="22"/>
          <w:szCs w:val="22"/>
        </w:rPr>
        <w:t>10</w:t>
      </w:r>
      <w:r w:rsidRPr="00821320">
        <w:rPr>
          <w:rFonts w:ascii="Verdana" w:hAnsi="Verdana" w:cs="Arial"/>
          <w:sz w:val="22"/>
          <w:szCs w:val="22"/>
        </w:rPr>
        <w:t xml:space="preserve"> funcionarios a los cuales </w:t>
      </w:r>
      <w:r w:rsidRPr="00821320">
        <w:rPr>
          <w:rFonts w:ascii="Verdana" w:hAnsi="Verdana" w:cs="Arial"/>
          <w:sz w:val="22"/>
          <w:szCs w:val="22"/>
        </w:rPr>
        <w:lastRenderedPageBreak/>
        <w:t xml:space="preserve">actualmente se les está reconociendo este derecho son beneficiarios </w:t>
      </w:r>
      <w:r w:rsidRPr="00821320" w:rsidR="008C65A4">
        <w:rPr>
          <w:rFonts w:ascii="Verdana" w:hAnsi="Verdana" w:cs="Arial"/>
          <w:sz w:val="22"/>
          <w:szCs w:val="22"/>
        </w:rPr>
        <w:t>de este</w:t>
      </w:r>
      <w:r w:rsidRPr="00821320">
        <w:rPr>
          <w:rFonts w:ascii="Verdana" w:hAnsi="Verdana" w:cs="Arial"/>
          <w:sz w:val="22"/>
          <w:szCs w:val="22"/>
        </w:rPr>
        <w:t>, dado que el emolumento proviene de su vinculación desde el orden nacional.</w:t>
      </w:r>
    </w:p>
    <w:p w:rsidRPr="00821320" w:rsidR="00B4713E" w:rsidP="00B412DF" w:rsidRDefault="00B4713E" w14:paraId="62A6B679" w14:textId="77777777">
      <w:pPr>
        <w:jc w:val="both"/>
        <w:rPr>
          <w:rFonts w:ascii="Verdana" w:hAnsi="Verdana" w:cs="Arial"/>
          <w:sz w:val="22"/>
          <w:szCs w:val="22"/>
        </w:rPr>
      </w:pPr>
    </w:p>
    <w:p w:rsidRPr="00821320" w:rsidR="00B4713E" w:rsidP="00B412DF" w:rsidRDefault="00B4713E" w14:paraId="30B3257C" w14:textId="77777777">
      <w:pPr>
        <w:jc w:val="both"/>
        <w:rPr>
          <w:rFonts w:ascii="Verdana" w:hAnsi="Verdana" w:cs="Arial"/>
          <w:sz w:val="22"/>
          <w:szCs w:val="22"/>
        </w:rPr>
      </w:pPr>
      <w:r w:rsidRPr="00821320">
        <w:rPr>
          <w:rFonts w:ascii="Verdana" w:hAnsi="Verdana" w:cs="Arial"/>
          <w:sz w:val="22"/>
          <w:szCs w:val="22"/>
        </w:rPr>
        <w:t xml:space="preserve">Esto, a través de: (1) debidos actos administrativos departamentales y/o municipales mediante los cuales reconoce el derecho otorgado previamente por el Ministerio de Educación Nacional, recordando que esta prima es de carácter nacional y no territorial; (2) soporte legal y/o de nómina en el cual se evidencie que el funcionario devengaba este derecho antes de ingresar en la planta del </w:t>
      </w:r>
      <w:r w:rsidR="002A3033">
        <w:rPr>
          <w:rFonts w:ascii="Verdana" w:hAnsi="Verdana" w:cs="Arial"/>
          <w:sz w:val="22"/>
          <w:szCs w:val="22"/>
        </w:rPr>
        <w:t>Municipio</w:t>
      </w:r>
      <w:r w:rsidRPr="00821320">
        <w:rPr>
          <w:rFonts w:ascii="Verdana" w:hAnsi="Verdana" w:cs="Arial"/>
          <w:sz w:val="22"/>
          <w:szCs w:val="22"/>
        </w:rPr>
        <w:t>, en la medida en que no todo funcionario del nivel nacional poseía la prima técnica (debía cumplir con los dos requisitos establecidos en la norma);  (3) en caso de otorgarse la prima por cumplimiento de la evaluación de desempeño, es menester de la administración allegar (además de todo lo anterior) las pruebas de desempeño realizadas anualmente al trabajador, de acuerdo con lo estipulado en el Decreto 2164 de 1991 y (4) Soportes de comprobantes de pago de nómina de los funcionarios a quienes se ha realizado el pago por dicho concepto.</w:t>
      </w:r>
    </w:p>
    <w:p w:rsidRPr="00821320" w:rsidR="00B4713E" w:rsidP="00B412DF" w:rsidRDefault="00B4713E" w14:paraId="63B1E49B" w14:textId="77777777">
      <w:pPr>
        <w:jc w:val="both"/>
        <w:rPr>
          <w:rFonts w:ascii="Verdana" w:hAnsi="Verdana" w:cs="Arial"/>
          <w:sz w:val="22"/>
          <w:szCs w:val="22"/>
        </w:rPr>
      </w:pPr>
    </w:p>
    <w:p w:rsidRPr="00821320" w:rsidR="00B4713E" w:rsidP="00B412DF" w:rsidRDefault="00B4713E" w14:paraId="3A9BF0FD" w14:textId="77777777">
      <w:pPr>
        <w:jc w:val="both"/>
        <w:rPr>
          <w:rFonts w:ascii="Verdana" w:hAnsi="Verdana" w:cs="Arial"/>
          <w:sz w:val="22"/>
          <w:szCs w:val="22"/>
        </w:rPr>
      </w:pPr>
      <w:r w:rsidRPr="00821320">
        <w:rPr>
          <w:rFonts w:ascii="Verdana" w:hAnsi="Verdana" w:cs="Arial"/>
          <w:b/>
          <w:bCs/>
          <w:sz w:val="22"/>
          <w:szCs w:val="22"/>
        </w:rPr>
        <w:t>Recomendación:</w:t>
      </w:r>
      <w:r w:rsidRPr="00821320">
        <w:rPr>
          <w:rFonts w:ascii="Verdana" w:hAnsi="Verdana" w:cs="Arial"/>
          <w:sz w:val="22"/>
          <w:szCs w:val="22"/>
        </w:rPr>
        <w:t xml:space="preserve"> La entidad territorial debe realizar el estudio de la documentación del pago de la prima técnica para todos los funcionarios a los que se reconoció dicho derecho durante las vigencias evaluadas, contando con la asistencia técnica del Ministerio de Educación Nacional, como empleador original del personal en cuestión y competente para otorgar dicha prima. Cabe resaltar que, una vez la entidad territorial remita el resultado del estudio jurídico de cada caso y las evidencias del acompañamiento del Ministerio de Educación Nacional, esta Dirección procederá a verificar si los pagos se han realizado acorde a la ley para que, en caso contrario, se evalúe la configuración del evento de riesgo 9.4 por cambio en la destinación de los recursos provenientes del SGP para el sector de Educación y su respectiva restitución, de ser procedente.</w:t>
      </w:r>
    </w:p>
    <w:p w:rsidRPr="00821320" w:rsidR="00B4713E" w:rsidP="00B412DF" w:rsidRDefault="00B4713E" w14:paraId="0B78FC38" w14:textId="77777777">
      <w:pPr>
        <w:jc w:val="both"/>
        <w:rPr>
          <w:rFonts w:ascii="Verdana" w:hAnsi="Verdana" w:cs="Arial"/>
          <w:sz w:val="22"/>
          <w:szCs w:val="22"/>
        </w:rPr>
      </w:pPr>
    </w:p>
    <w:p w:rsidRPr="00821320" w:rsidR="00B4713E" w:rsidP="00B412DF" w:rsidRDefault="00B4713E" w14:paraId="3B70AFCF" w14:textId="77777777">
      <w:pPr>
        <w:jc w:val="both"/>
        <w:rPr>
          <w:rFonts w:ascii="Verdana" w:hAnsi="Verdana" w:cs="Arial"/>
          <w:sz w:val="22"/>
          <w:szCs w:val="22"/>
        </w:rPr>
      </w:pPr>
      <w:r w:rsidRPr="00821320">
        <w:rPr>
          <w:rFonts w:ascii="Verdana" w:hAnsi="Verdana" w:cs="Arial"/>
          <w:sz w:val="22"/>
          <w:szCs w:val="22"/>
        </w:rPr>
        <w:t xml:space="preserve">Sin embargo, es importante mencionar que es deber de la Entidad Territorial efectuar dicho pago a los funcionarios que tienen el derecho correspondiente, por lo que si existen funcionarios que posean el soporte documental completo para sustentar dicho pago, la entidad deberá reconocer esta prestación y no realizarse una suspensión generalizada de los pagos a todos los funcionarios. </w:t>
      </w:r>
    </w:p>
    <w:p w:rsidRPr="00821320" w:rsidR="00B4713E" w:rsidP="00B412DF" w:rsidRDefault="00B4713E" w14:paraId="6D156C44" w14:textId="77777777">
      <w:pPr>
        <w:rPr>
          <w:rFonts w:ascii="Verdana" w:hAnsi="Verdana" w:eastAsiaTheme="minorHAnsi" w:cstheme="minorBidi"/>
          <w:kern w:val="2"/>
          <w:lang w:val="es-CO" w:eastAsia="en-US"/>
        </w:rPr>
      </w:pPr>
    </w:p>
    <w:p w:rsidRPr="00821320" w:rsidR="006B4792" w:rsidP="00B412DF" w:rsidRDefault="006B4792" w14:paraId="69E76543" w14:textId="77777777">
      <w:pPr>
        <w:jc w:val="both"/>
        <w:rPr>
          <w:rFonts w:ascii="Verdana" w:hAnsi="Verdana" w:cs="Arial"/>
          <w:sz w:val="22"/>
          <w:szCs w:val="22"/>
        </w:rPr>
      </w:pPr>
      <w:r w:rsidRPr="00821320">
        <w:rPr>
          <w:rFonts w:ascii="Verdana" w:hAnsi="Verdana" w:cs="Arial"/>
          <w:b/>
          <w:bCs/>
          <w:sz w:val="22"/>
          <w:szCs w:val="22"/>
        </w:rPr>
        <w:t xml:space="preserve">Evidencia: </w:t>
      </w:r>
      <w:r w:rsidRPr="00821320">
        <w:rPr>
          <w:rFonts w:ascii="Verdana" w:hAnsi="Verdana" w:cs="Arial"/>
          <w:sz w:val="22"/>
          <w:szCs w:val="22"/>
        </w:rPr>
        <w:t>Obra en el expediente digital en el Sistema Integrado Electrónico Documental- SIED del Ministerio de Hacienda y Crédito Público No. 44/2019/D028-PREDI el siguiente material probatorio:</w:t>
      </w:r>
    </w:p>
    <w:p w:rsidRPr="00821320" w:rsidR="006B4792" w:rsidP="00B412DF" w:rsidRDefault="006B4792" w14:paraId="6D249F38" w14:textId="77777777">
      <w:pPr>
        <w:numPr>
          <w:ilvl w:val="0"/>
          <w:numId w:val="28"/>
        </w:numPr>
        <w:ind w:left="284" w:hanging="284"/>
        <w:jc w:val="both"/>
        <w:rPr>
          <w:rFonts w:ascii="Verdana" w:hAnsi="Verdana" w:cs="Arial"/>
          <w:sz w:val="22"/>
          <w:szCs w:val="22"/>
        </w:rPr>
      </w:pPr>
      <w:r w:rsidRPr="00821320">
        <w:rPr>
          <w:rFonts w:ascii="Verdana" w:hAnsi="Verdana" w:cs="Arial"/>
          <w:sz w:val="22"/>
          <w:szCs w:val="22"/>
        </w:rPr>
        <w:t xml:space="preserve">Listado registros presupuestales. Vigencia 2021. Sector Educación. Municipio de Yopal. Serie </w:t>
      </w:r>
      <w:r w:rsidRPr="00821320">
        <w:rPr>
          <w:rFonts w:ascii="Verdana" w:hAnsi="Verdana" w:cs="Arial"/>
          <w:i/>
          <w:sz w:val="22"/>
          <w:szCs w:val="22"/>
        </w:rPr>
        <w:t>“Historial de Seguimiento y Control a los Recursos del Sistema General de Participaciones-Ejecución y Seguimiento”</w:t>
      </w:r>
      <w:r w:rsidRPr="00821320">
        <w:rPr>
          <w:rFonts w:ascii="Verdana" w:hAnsi="Verdana" w:cs="Arial"/>
          <w:sz w:val="22"/>
          <w:szCs w:val="22"/>
        </w:rPr>
        <w:t xml:space="preserve">. Expediente digital No. 44/2019/D028-PREDI Radicado 1-2023-051977 del 21 de junio de 2023. Enlace: </w:t>
      </w:r>
      <w:hyperlink w:history="1" r:id="rId14">
        <w:r w:rsidRPr="00821320">
          <w:rPr>
            <w:rStyle w:val="Hipervnculo"/>
            <w:rFonts w:ascii="Verdana" w:hAnsi="Verdana"/>
            <w:sz w:val="22"/>
            <w:szCs w:val="22"/>
          </w:rPr>
          <w:t xml:space="preserve">eSigna </w:t>
        </w:r>
        <w:proofErr w:type="spellStart"/>
        <w:r w:rsidRPr="00821320">
          <w:rPr>
            <w:rStyle w:val="Hipervnculo"/>
            <w:rFonts w:ascii="Verdana" w:hAnsi="Verdana"/>
            <w:sz w:val="22"/>
            <w:szCs w:val="22"/>
          </w:rPr>
          <w:t>DocumentViewer</w:t>
        </w:r>
        <w:proofErr w:type="spellEnd"/>
        <w:r w:rsidRPr="00821320">
          <w:rPr>
            <w:rStyle w:val="Hipervnculo"/>
            <w:rFonts w:ascii="Verdana" w:hAnsi="Verdana"/>
            <w:sz w:val="22"/>
            <w:szCs w:val="22"/>
          </w:rPr>
          <w:t xml:space="preserve"> (</w:t>
        </w:r>
        <w:proofErr w:type="spellStart"/>
        <w:r w:rsidRPr="00821320">
          <w:rPr>
            <w:rStyle w:val="Hipervnculo"/>
            <w:rFonts w:ascii="Verdana" w:hAnsi="Verdana"/>
            <w:sz w:val="22"/>
            <w:szCs w:val="22"/>
          </w:rPr>
          <w:t>minhacienda.red</w:t>
        </w:r>
        <w:proofErr w:type="spellEnd"/>
        <w:r w:rsidRPr="00821320">
          <w:rPr>
            <w:rStyle w:val="Hipervnculo"/>
            <w:rFonts w:ascii="Verdana" w:hAnsi="Verdana"/>
            <w:sz w:val="22"/>
            <w:szCs w:val="22"/>
          </w:rPr>
          <w:t>)</w:t>
        </w:r>
      </w:hyperlink>
    </w:p>
    <w:p w:rsidRPr="00821320" w:rsidR="006B4792" w:rsidP="00B412DF" w:rsidRDefault="006B4792" w14:paraId="30FD060E" w14:textId="77777777">
      <w:pPr>
        <w:numPr>
          <w:ilvl w:val="0"/>
          <w:numId w:val="28"/>
        </w:numPr>
        <w:ind w:left="284" w:hanging="284"/>
        <w:jc w:val="both"/>
        <w:rPr>
          <w:rStyle w:val="Hipervnculo"/>
          <w:rFonts w:ascii="Verdana" w:hAnsi="Verdana"/>
          <w:sz w:val="22"/>
          <w:szCs w:val="22"/>
        </w:rPr>
      </w:pPr>
      <w:r w:rsidRPr="00821320">
        <w:rPr>
          <w:rFonts w:ascii="Verdana" w:hAnsi="Verdana" w:cs="Arial"/>
          <w:sz w:val="22"/>
          <w:szCs w:val="22"/>
        </w:rPr>
        <w:t xml:space="preserve">Listado registros presupuestales. Vigencia 2022. Sector Educación. Municipio de Yopal. Serie </w:t>
      </w:r>
      <w:r w:rsidRPr="00821320">
        <w:rPr>
          <w:rFonts w:ascii="Verdana" w:hAnsi="Verdana" w:cs="Arial"/>
          <w:i/>
          <w:sz w:val="22"/>
          <w:szCs w:val="22"/>
        </w:rPr>
        <w:t xml:space="preserve">“Historial de Seguimiento y Control a los Recursos del Sistema </w:t>
      </w:r>
      <w:r w:rsidRPr="00821320">
        <w:rPr>
          <w:rFonts w:ascii="Verdana" w:hAnsi="Verdana" w:cs="Arial"/>
          <w:i/>
          <w:sz w:val="22"/>
          <w:szCs w:val="22"/>
        </w:rPr>
        <w:lastRenderedPageBreak/>
        <w:t>General de Participaciones-Ejecución y Seguimiento”</w:t>
      </w:r>
      <w:r w:rsidRPr="00821320">
        <w:rPr>
          <w:rFonts w:ascii="Verdana" w:hAnsi="Verdana" w:cs="Arial"/>
          <w:sz w:val="22"/>
          <w:szCs w:val="22"/>
        </w:rPr>
        <w:t xml:space="preserve">. Expediente digital No. 44/2019/D028-PREDI Radicado 1-2023-051977 del 21 de junio de 2023. Enlace: </w:t>
      </w:r>
      <w:hyperlink w:history="1" r:id="rId15">
        <w:r w:rsidRPr="00821320">
          <w:rPr>
            <w:rStyle w:val="Hipervnculo"/>
            <w:rFonts w:ascii="Verdana" w:hAnsi="Verdana"/>
            <w:sz w:val="22"/>
            <w:szCs w:val="22"/>
          </w:rPr>
          <w:t xml:space="preserve">eSigna </w:t>
        </w:r>
        <w:proofErr w:type="spellStart"/>
        <w:r w:rsidRPr="00821320">
          <w:rPr>
            <w:rStyle w:val="Hipervnculo"/>
            <w:rFonts w:ascii="Verdana" w:hAnsi="Verdana"/>
            <w:sz w:val="22"/>
            <w:szCs w:val="22"/>
          </w:rPr>
          <w:t>DocumentViewer</w:t>
        </w:r>
        <w:proofErr w:type="spellEnd"/>
        <w:r w:rsidRPr="00821320">
          <w:rPr>
            <w:rStyle w:val="Hipervnculo"/>
            <w:rFonts w:ascii="Verdana" w:hAnsi="Verdana"/>
            <w:sz w:val="22"/>
            <w:szCs w:val="22"/>
          </w:rPr>
          <w:t xml:space="preserve"> (</w:t>
        </w:r>
        <w:proofErr w:type="spellStart"/>
        <w:r w:rsidRPr="00821320">
          <w:rPr>
            <w:rStyle w:val="Hipervnculo"/>
            <w:rFonts w:ascii="Verdana" w:hAnsi="Verdana"/>
            <w:sz w:val="22"/>
            <w:szCs w:val="22"/>
          </w:rPr>
          <w:t>minhacienda.red</w:t>
        </w:r>
        <w:proofErr w:type="spellEnd"/>
        <w:r w:rsidRPr="00821320">
          <w:rPr>
            <w:rStyle w:val="Hipervnculo"/>
            <w:rFonts w:ascii="Verdana" w:hAnsi="Verdana"/>
            <w:sz w:val="22"/>
            <w:szCs w:val="22"/>
          </w:rPr>
          <w:t>)</w:t>
        </w:r>
      </w:hyperlink>
    </w:p>
    <w:p w:rsidRPr="00821320" w:rsidR="006B4792" w:rsidP="00B412DF" w:rsidRDefault="006B4792" w14:paraId="75DE1156" w14:textId="77777777">
      <w:pPr>
        <w:numPr>
          <w:ilvl w:val="0"/>
          <w:numId w:val="28"/>
        </w:numPr>
        <w:ind w:left="284" w:hanging="284"/>
        <w:jc w:val="both"/>
        <w:rPr>
          <w:rFonts w:ascii="Verdana" w:hAnsi="Verdana"/>
          <w:sz w:val="22"/>
          <w:szCs w:val="22"/>
        </w:rPr>
      </w:pPr>
      <w:r w:rsidRPr="00821320">
        <w:rPr>
          <w:rFonts w:ascii="Verdana" w:hAnsi="Verdana" w:eastAsia="Verdana" w:cs="Verdana"/>
          <w:sz w:val="22"/>
          <w:szCs w:val="22"/>
        </w:rPr>
        <w:t xml:space="preserve">Resolución No. 00112 de 1999. </w:t>
      </w:r>
      <w:r w:rsidRPr="00821320">
        <w:rPr>
          <w:rFonts w:ascii="Verdana" w:hAnsi="Verdana" w:cs="Arial"/>
          <w:sz w:val="22"/>
          <w:szCs w:val="22"/>
        </w:rPr>
        <w:t xml:space="preserve">Sector Educación. Municipio de Yopal. Serie </w:t>
      </w:r>
      <w:r w:rsidRPr="00821320">
        <w:rPr>
          <w:rFonts w:ascii="Verdana" w:hAnsi="Verdana" w:cs="Arial"/>
          <w:i/>
          <w:sz w:val="22"/>
          <w:szCs w:val="22"/>
        </w:rPr>
        <w:t>“Historial de Seguimiento y Control a los Recursos del Sistema General de Participaciones-Ejecución y Seguimiento”</w:t>
      </w:r>
      <w:r w:rsidRPr="00821320">
        <w:rPr>
          <w:rFonts w:ascii="Verdana" w:hAnsi="Verdana" w:cs="Arial"/>
          <w:sz w:val="22"/>
          <w:szCs w:val="22"/>
        </w:rPr>
        <w:t xml:space="preserve">. Expediente digital No. 44/2019/D028-PREDI. Enlace: </w:t>
      </w:r>
      <w:hyperlink w:history="1" r:id="rId16">
        <w:r w:rsidRPr="00821320">
          <w:rPr>
            <w:rStyle w:val="Hipervnculo"/>
            <w:rFonts w:ascii="Verdana" w:hAnsi="Verdana"/>
            <w:sz w:val="22"/>
            <w:szCs w:val="22"/>
          </w:rPr>
          <w:t xml:space="preserve">eSigna </w:t>
        </w:r>
        <w:proofErr w:type="spellStart"/>
        <w:r w:rsidRPr="00821320">
          <w:rPr>
            <w:rStyle w:val="Hipervnculo"/>
            <w:rFonts w:ascii="Verdana" w:hAnsi="Verdana"/>
            <w:sz w:val="22"/>
            <w:szCs w:val="22"/>
          </w:rPr>
          <w:t>DocumentViewer</w:t>
        </w:r>
        <w:proofErr w:type="spellEnd"/>
        <w:r w:rsidRPr="00821320">
          <w:rPr>
            <w:rStyle w:val="Hipervnculo"/>
            <w:rFonts w:ascii="Verdana" w:hAnsi="Verdana"/>
            <w:sz w:val="22"/>
            <w:szCs w:val="22"/>
          </w:rPr>
          <w:t xml:space="preserve"> (</w:t>
        </w:r>
        <w:proofErr w:type="spellStart"/>
        <w:r w:rsidRPr="00821320">
          <w:rPr>
            <w:rStyle w:val="Hipervnculo"/>
            <w:rFonts w:ascii="Verdana" w:hAnsi="Verdana"/>
            <w:sz w:val="22"/>
            <w:szCs w:val="22"/>
          </w:rPr>
          <w:t>minhacienda.red</w:t>
        </w:r>
        <w:proofErr w:type="spellEnd"/>
        <w:r w:rsidRPr="00821320">
          <w:rPr>
            <w:rStyle w:val="Hipervnculo"/>
            <w:rFonts w:ascii="Verdana" w:hAnsi="Verdana"/>
            <w:sz w:val="22"/>
            <w:szCs w:val="22"/>
          </w:rPr>
          <w:t>)</w:t>
        </w:r>
      </w:hyperlink>
    </w:p>
    <w:p w:rsidRPr="00821320" w:rsidR="0024544C" w:rsidP="00B412DF" w:rsidRDefault="0024544C" w14:paraId="634C10AB" w14:textId="77777777">
      <w:pPr>
        <w:contextualSpacing/>
        <w:jc w:val="both"/>
        <w:rPr>
          <w:rFonts w:ascii="Verdana" w:hAnsi="Verdana"/>
          <w:sz w:val="22"/>
          <w:szCs w:val="22"/>
        </w:rPr>
      </w:pPr>
    </w:p>
    <w:p w:rsidRPr="00821320" w:rsidR="00CE200A" w:rsidP="00B412DF" w:rsidRDefault="00CE200A" w14:paraId="782856D8" w14:textId="77777777">
      <w:pPr>
        <w:pStyle w:val="Ttulo1"/>
        <w:numPr>
          <w:ilvl w:val="0"/>
          <w:numId w:val="19"/>
        </w:numPr>
        <w:spacing w:before="0" w:line="240" w:lineRule="auto"/>
        <w:ind w:hanging="360"/>
        <w:rPr>
          <w:rFonts w:ascii="Verdana" w:hAnsi="Verdana"/>
          <w:b/>
          <w:bCs/>
          <w:color w:val="auto"/>
          <w:sz w:val="22"/>
          <w:szCs w:val="22"/>
        </w:rPr>
      </w:pPr>
      <w:r w:rsidRPr="00821320">
        <w:rPr>
          <w:rFonts w:ascii="Verdana" w:hAnsi="Verdana"/>
          <w:b/>
          <w:bCs/>
          <w:color w:val="auto"/>
          <w:sz w:val="22"/>
          <w:szCs w:val="22"/>
        </w:rPr>
        <w:t xml:space="preserve">EVENTOS DE RIESGO IDENTIFICADOS </w:t>
      </w:r>
    </w:p>
    <w:p w:rsidRPr="00821320" w:rsidR="00CE200A" w:rsidP="00B412DF" w:rsidRDefault="00CE200A" w14:paraId="3E989DCC" w14:textId="77777777">
      <w:pPr>
        <w:jc w:val="both"/>
        <w:rPr>
          <w:rFonts w:ascii="Verdana" w:hAnsi="Verdana"/>
          <w:sz w:val="22"/>
          <w:szCs w:val="22"/>
        </w:rPr>
      </w:pPr>
    </w:p>
    <w:p w:rsidRPr="00821320" w:rsidR="00CE200A" w:rsidP="00B412DF" w:rsidRDefault="00CE200A" w14:paraId="7FEA625D" w14:textId="77777777">
      <w:pPr>
        <w:pStyle w:val="Ttulo2"/>
        <w:spacing w:before="0"/>
        <w:contextualSpacing/>
        <w:jc w:val="both"/>
        <w:rPr>
          <w:rFonts w:ascii="Verdana" w:hAnsi="Verdana" w:cs="Arial"/>
          <w:b/>
          <w:iCs/>
          <w:color w:val="auto"/>
          <w:sz w:val="22"/>
          <w:szCs w:val="22"/>
        </w:rPr>
      </w:pPr>
      <w:r w:rsidRPr="00821320">
        <w:rPr>
          <w:rFonts w:ascii="Verdana" w:hAnsi="Verdana" w:cs="Arial"/>
          <w:b/>
          <w:bCs/>
          <w:iCs/>
          <w:color w:val="auto"/>
          <w:sz w:val="22"/>
          <w:szCs w:val="22"/>
        </w:rPr>
        <w:t>EVENTO DE RIESGO 9.1. “</w:t>
      </w:r>
      <w:r w:rsidRPr="00821320">
        <w:rPr>
          <w:rFonts w:ascii="Verdana" w:hAnsi="Verdana" w:cs="Arial"/>
          <w:b/>
          <w:i/>
          <w:color w:val="auto"/>
          <w:sz w:val="22"/>
          <w:szCs w:val="22"/>
        </w:rPr>
        <w:t>No envío de información conforme a los plazos, condiciones y formatos indicados por el gobierno nacional, y/o haber remitido o entregado información incompleta o errónea</w:t>
      </w:r>
      <w:r w:rsidRPr="00821320">
        <w:rPr>
          <w:rFonts w:ascii="Verdana" w:hAnsi="Verdana" w:cs="Arial"/>
          <w:b/>
          <w:iCs/>
          <w:color w:val="auto"/>
          <w:sz w:val="22"/>
          <w:szCs w:val="22"/>
        </w:rPr>
        <w:t>”.</w:t>
      </w:r>
    </w:p>
    <w:p w:rsidRPr="00821320" w:rsidR="00CE200A" w:rsidP="00B412DF" w:rsidRDefault="00CE200A" w14:paraId="5DCC8005" w14:textId="77777777">
      <w:pPr>
        <w:rPr>
          <w:rFonts w:ascii="Verdana" w:hAnsi="Verdana" w:cstheme="minorBidi"/>
          <w:sz w:val="22"/>
          <w:szCs w:val="22"/>
        </w:rPr>
      </w:pPr>
    </w:p>
    <w:p w:rsidRPr="00821320" w:rsidR="00CE200A" w:rsidP="00357DFD" w:rsidRDefault="00CE200A" w14:paraId="095831F0" w14:textId="77777777">
      <w:pPr>
        <w:pStyle w:val="Ttulo3"/>
        <w:spacing w:before="0"/>
        <w:contextualSpacing/>
        <w:jc w:val="both"/>
        <w:rPr>
          <w:rFonts w:ascii="Verdana" w:hAnsi="Verdana" w:eastAsia="Calibri" w:cs="Arial"/>
          <w:b/>
          <w:color w:val="auto"/>
          <w:sz w:val="22"/>
          <w:szCs w:val="22"/>
          <w:lang w:eastAsia="en-US"/>
        </w:rPr>
      </w:pPr>
      <w:r w:rsidRPr="00821320">
        <w:rPr>
          <w:rFonts w:ascii="Verdana" w:hAnsi="Verdana" w:eastAsia="Calibri" w:cs="Arial"/>
          <w:b/>
          <w:color w:val="auto"/>
          <w:sz w:val="22"/>
          <w:szCs w:val="22"/>
          <w:lang w:eastAsia="en-US"/>
        </w:rPr>
        <w:t>Inconsistencias en la información reportada en el FUT</w:t>
      </w:r>
      <w:r w:rsidR="00357DFD">
        <w:rPr>
          <w:rFonts w:ascii="Verdana" w:hAnsi="Verdana" w:eastAsia="Calibri" w:cs="Arial"/>
          <w:b/>
          <w:color w:val="auto"/>
          <w:sz w:val="22"/>
          <w:szCs w:val="22"/>
          <w:lang w:eastAsia="en-US"/>
        </w:rPr>
        <w:t xml:space="preserve"> y/o CUIPO</w:t>
      </w:r>
      <w:r w:rsidRPr="00821320">
        <w:rPr>
          <w:rFonts w:ascii="Verdana" w:hAnsi="Verdana" w:eastAsia="Calibri" w:cs="Arial"/>
          <w:b/>
          <w:color w:val="auto"/>
          <w:sz w:val="22"/>
          <w:szCs w:val="22"/>
          <w:lang w:eastAsia="en-US"/>
        </w:rPr>
        <w:t xml:space="preserve">. </w:t>
      </w:r>
    </w:p>
    <w:p w:rsidRPr="00821320" w:rsidR="00CE200A" w:rsidP="00B412DF" w:rsidRDefault="00CE200A" w14:paraId="178069CE" w14:textId="77777777">
      <w:pPr>
        <w:pStyle w:val="paragraph"/>
        <w:spacing w:before="0" w:beforeAutospacing="0" w:after="0" w:afterAutospacing="0"/>
        <w:jc w:val="both"/>
        <w:textAlignment w:val="baseline"/>
        <w:rPr>
          <w:rStyle w:val="normaltextrun"/>
          <w:rFonts w:ascii="Verdana" w:hAnsi="Verdana"/>
          <w:sz w:val="22"/>
          <w:szCs w:val="22"/>
        </w:rPr>
      </w:pPr>
    </w:p>
    <w:p w:rsidRPr="00821320" w:rsidR="00CE200A" w:rsidP="00B412DF" w:rsidRDefault="00CE200A" w14:paraId="3467BE5B" w14:textId="77777777">
      <w:pPr>
        <w:pStyle w:val="paragraph"/>
        <w:spacing w:before="0" w:beforeAutospacing="0" w:after="0" w:afterAutospacing="0"/>
        <w:jc w:val="both"/>
        <w:textAlignment w:val="baseline"/>
        <w:rPr>
          <w:rFonts w:ascii="Verdana" w:hAnsi="Verdana" w:cs="Segoe UI"/>
          <w:sz w:val="22"/>
          <w:szCs w:val="22"/>
        </w:rPr>
      </w:pPr>
      <w:r w:rsidRPr="00821320">
        <w:rPr>
          <w:rStyle w:val="normaltextrun"/>
          <w:rFonts w:ascii="Verdana" w:hAnsi="Verdana" w:cs="Arial"/>
          <w:sz w:val="22"/>
          <w:szCs w:val="22"/>
        </w:rPr>
        <w:t>De acuerdo con el inciso 3 del artículo 2.6.4.1 del Decreto 1068 de 2015, modificado por el artículo 1 del Decreto 1536 de 2016, la información de la ejecución presupuestal de ingresos y gastos reportada a través del Formulario Único Territorial debe ser consistente y coherente con la información contable reconocida y revelada en los términos definidos en el Régimen de Contabilidad Pública. Sobre este reporte, el artículo 39 de la Resolución 706 de 2016 expedida por la Contaduría General de la Nación, establece que sobre la información reportada en la Plataforma CHIP se presume que contiene las características de confiabilidad, relevancia y comprensibilidad según el Plan General de Contabilidad Pública.</w:t>
      </w:r>
      <w:r w:rsidRPr="00821320">
        <w:rPr>
          <w:rStyle w:val="eop"/>
          <w:rFonts w:ascii="Verdana" w:hAnsi="Verdana" w:eastAsia="MS Mincho" w:cs="Arial"/>
          <w:sz w:val="22"/>
          <w:szCs w:val="22"/>
        </w:rPr>
        <w:t> </w:t>
      </w:r>
    </w:p>
    <w:p w:rsidRPr="00821320" w:rsidR="00CE200A" w:rsidP="00B412DF" w:rsidRDefault="00CE200A" w14:paraId="0AFE7D95" w14:textId="77777777">
      <w:pPr>
        <w:pStyle w:val="paragraph"/>
        <w:spacing w:before="0" w:beforeAutospacing="0" w:after="0" w:afterAutospacing="0"/>
        <w:jc w:val="both"/>
        <w:textAlignment w:val="baseline"/>
        <w:rPr>
          <w:rFonts w:ascii="Verdana" w:hAnsi="Verdana" w:cs="Segoe UI"/>
          <w:sz w:val="22"/>
          <w:szCs w:val="22"/>
        </w:rPr>
      </w:pPr>
      <w:r w:rsidRPr="00821320">
        <w:rPr>
          <w:rStyle w:val="eop"/>
          <w:rFonts w:ascii="Verdana" w:hAnsi="Verdana" w:eastAsia="MS Mincho" w:cs="Arial"/>
          <w:sz w:val="22"/>
          <w:szCs w:val="22"/>
        </w:rPr>
        <w:t> </w:t>
      </w:r>
    </w:p>
    <w:p w:rsidRPr="00821320" w:rsidR="00CE200A" w:rsidP="00B412DF" w:rsidRDefault="00CE200A" w14:paraId="60246C68" w14:textId="77777777">
      <w:pPr>
        <w:pStyle w:val="paragraph"/>
        <w:spacing w:before="0" w:beforeAutospacing="0" w:after="0" w:afterAutospacing="0"/>
        <w:jc w:val="both"/>
        <w:textAlignment w:val="baseline"/>
        <w:rPr>
          <w:rFonts w:ascii="Verdana" w:hAnsi="Verdana" w:cs="Segoe UI"/>
          <w:sz w:val="22"/>
          <w:szCs w:val="22"/>
        </w:rPr>
      </w:pPr>
      <w:r w:rsidRPr="00821320">
        <w:rPr>
          <w:rStyle w:val="normaltextrun"/>
          <w:rFonts w:ascii="Verdana" w:hAnsi="Verdana" w:cs="Arial"/>
          <w:b/>
          <w:bCs/>
          <w:i/>
          <w:iCs/>
          <w:sz w:val="22"/>
          <w:szCs w:val="22"/>
        </w:rPr>
        <w:t>Vigencia 2021</w:t>
      </w:r>
      <w:r w:rsidRPr="00821320">
        <w:rPr>
          <w:rStyle w:val="eop"/>
          <w:rFonts w:ascii="Verdana" w:hAnsi="Verdana" w:eastAsia="MS Mincho" w:cs="Arial"/>
          <w:sz w:val="22"/>
          <w:szCs w:val="22"/>
        </w:rPr>
        <w:t> </w:t>
      </w:r>
    </w:p>
    <w:p w:rsidRPr="00821320" w:rsidR="00CE200A" w:rsidP="00B412DF" w:rsidRDefault="00CE200A" w14:paraId="705FC338" w14:textId="77777777">
      <w:pPr>
        <w:pStyle w:val="paragraph"/>
        <w:spacing w:before="0" w:beforeAutospacing="0" w:after="0" w:afterAutospacing="0"/>
        <w:jc w:val="both"/>
        <w:textAlignment w:val="baseline"/>
        <w:rPr>
          <w:rFonts w:ascii="Verdana" w:hAnsi="Verdana" w:cs="Segoe UI"/>
          <w:sz w:val="22"/>
          <w:szCs w:val="22"/>
        </w:rPr>
      </w:pPr>
      <w:r w:rsidRPr="00821320">
        <w:rPr>
          <w:rStyle w:val="eop"/>
          <w:rFonts w:ascii="Verdana" w:hAnsi="Verdana" w:eastAsia="MS Mincho" w:cs="Arial"/>
          <w:sz w:val="22"/>
          <w:szCs w:val="22"/>
        </w:rPr>
        <w:t> </w:t>
      </w:r>
    </w:p>
    <w:p w:rsidRPr="00821320" w:rsidR="00CE200A" w:rsidP="00B412DF" w:rsidRDefault="00CE200A" w14:paraId="24D13BB3" w14:textId="77777777">
      <w:pPr>
        <w:pStyle w:val="paragraph"/>
        <w:spacing w:before="0" w:beforeAutospacing="0" w:after="0" w:afterAutospacing="0"/>
        <w:jc w:val="both"/>
        <w:textAlignment w:val="baseline"/>
        <w:rPr>
          <w:rFonts w:ascii="Verdana" w:hAnsi="Verdana" w:cs="Segoe UI"/>
          <w:sz w:val="22"/>
          <w:szCs w:val="22"/>
        </w:rPr>
      </w:pPr>
      <w:r w:rsidRPr="00821320">
        <w:rPr>
          <w:rStyle w:val="normaltextrun"/>
          <w:rFonts w:ascii="Verdana" w:hAnsi="Verdana" w:cs="Arial"/>
          <w:sz w:val="22"/>
          <w:szCs w:val="22"/>
        </w:rPr>
        <w:t>A partir del análisis de la información financiera de la vigencia 2021, se identificaron las siguientes diferencias entre la información reportada al Formulario Único Territorial y las Ejecuciones Presupuestales suministradas por la Entidad así:</w:t>
      </w:r>
      <w:r w:rsidRPr="00821320">
        <w:rPr>
          <w:rStyle w:val="eop"/>
          <w:rFonts w:ascii="Verdana" w:hAnsi="Verdana" w:eastAsia="MS Mincho" w:cs="Arial"/>
          <w:sz w:val="22"/>
          <w:szCs w:val="22"/>
        </w:rPr>
        <w:t> </w:t>
      </w:r>
    </w:p>
    <w:p w:rsidRPr="00821320" w:rsidR="00CE200A" w:rsidP="00B412DF" w:rsidRDefault="00CE200A" w14:paraId="09EBFB5A" w14:textId="77777777">
      <w:pPr>
        <w:pStyle w:val="paragraph"/>
        <w:spacing w:before="0" w:beforeAutospacing="0" w:after="0" w:afterAutospacing="0"/>
        <w:jc w:val="both"/>
        <w:textAlignment w:val="baseline"/>
        <w:rPr>
          <w:rFonts w:ascii="Verdana" w:hAnsi="Verdana" w:cs="Segoe UI"/>
          <w:sz w:val="22"/>
          <w:szCs w:val="22"/>
        </w:rPr>
      </w:pPr>
      <w:r w:rsidRPr="00821320">
        <w:rPr>
          <w:rStyle w:val="eop"/>
          <w:rFonts w:ascii="Verdana" w:hAnsi="Verdana" w:eastAsia="MS Mincho" w:cs="Arial"/>
          <w:sz w:val="22"/>
          <w:szCs w:val="22"/>
        </w:rPr>
        <w:t> </w:t>
      </w:r>
    </w:p>
    <w:p w:rsidRPr="00821320" w:rsidR="00CE200A" w:rsidP="00B412DF" w:rsidRDefault="00CE200A" w14:paraId="3D165D73" w14:textId="77777777">
      <w:pPr>
        <w:pStyle w:val="paragraph"/>
        <w:spacing w:before="0" w:beforeAutospacing="0" w:after="0" w:afterAutospacing="0"/>
        <w:jc w:val="both"/>
        <w:textAlignment w:val="baseline"/>
        <w:rPr>
          <w:rFonts w:ascii="Verdana" w:hAnsi="Verdana" w:cs="Segoe UI"/>
          <w:sz w:val="22"/>
          <w:szCs w:val="22"/>
        </w:rPr>
      </w:pPr>
      <w:r w:rsidRPr="00821320">
        <w:rPr>
          <w:rStyle w:val="normaltextrun"/>
          <w:rFonts w:ascii="Verdana" w:hAnsi="Verdana" w:cs="Arial"/>
          <w:sz w:val="22"/>
          <w:szCs w:val="22"/>
        </w:rPr>
        <w:t xml:space="preserve">Para iniciar, se registró un menor valor total comprometido en la ejecución presupuestal por $12,4 millones frente al total reportado en las Categorías de Gastos de Inversión y Gastos de Funcionamiento del FUT. De igual manera, en torno a los recursos obligados y los pagos efectuados por la Entidad, se identificó el mismo valor de diferencia </w:t>
      </w:r>
      <w:r w:rsidRPr="00821320" w:rsidR="003F498A">
        <w:rPr>
          <w:rStyle w:val="normaltextrun"/>
          <w:rFonts w:ascii="Verdana" w:hAnsi="Verdana" w:cs="Arial"/>
          <w:sz w:val="22"/>
          <w:szCs w:val="22"/>
        </w:rPr>
        <w:t xml:space="preserve">($12,4 millones) </w:t>
      </w:r>
      <w:r w:rsidRPr="00821320">
        <w:rPr>
          <w:rStyle w:val="normaltextrun"/>
          <w:rFonts w:ascii="Verdana" w:hAnsi="Verdana" w:cs="Arial"/>
          <w:sz w:val="22"/>
          <w:szCs w:val="22"/>
        </w:rPr>
        <w:t>y se pudo constatar que corresponde al rubro “</w:t>
      </w:r>
      <w:r w:rsidRPr="00821320">
        <w:rPr>
          <w:rFonts w:ascii="Verdana" w:hAnsi="Verdana" w:cs="Arial"/>
          <w:sz w:val="22"/>
          <w:szCs w:val="22"/>
        </w:rPr>
        <w:t>Personal Administrativo de Instituciones Educativas (A.P)</w:t>
      </w:r>
      <w:r w:rsidRPr="00821320">
        <w:rPr>
          <w:rStyle w:val="normaltextrun"/>
          <w:rFonts w:ascii="Verdana" w:hAnsi="Verdana" w:cs="Arial"/>
          <w:sz w:val="22"/>
          <w:szCs w:val="22"/>
        </w:rPr>
        <w:t xml:space="preserve">”, el cual registró compromisos por $795 millones en la ejecución </w:t>
      </w:r>
      <w:r w:rsidRPr="00821320" w:rsidR="003F498A">
        <w:rPr>
          <w:rStyle w:val="normaltextrun"/>
          <w:rFonts w:ascii="Verdana" w:hAnsi="Verdana" w:cs="Arial"/>
          <w:sz w:val="22"/>
          <w:szCs w:val="22"/>
        </w:rPr>
        <w:t xml:space="preserve">presupuestal </w:t>
      </w:r>
      <w:r w:rsidRPr="00821320">
        <w:rPr>
          <w:rStyle w:val="normaltextrun"/>
          <w:rFonts w:ascii="Verdana" w:hAnsi="Verdana" w:cs="Arial"/>
          <w:sz w:val="22"/>
          <w:szCs w:val="22"/>
        </w:rPr>
        <w:t xml:space="preserve">mientras que en el FUT reportó compromisos por $807 millones. </w:t>
      </w:r>
    </w:p>
    <w:p w:rsidRPr="00821320" w:rsidR="00CE200A" w:rsidP="00B412DF" w:rsidRDefault="00CE200A" w14:paraId="1E0BCFA2" w14:textId="77777777">
      <w:pPr>
        <w:pStyle w:val="paragraph"/>
        <w:spacing w:before="0" w:beforeAutospacing="0" w:after="0" w:afterAutospacing="0"/>
        <w:jc w:val="both"/>
        <w:textAlignment w:val="baseline"/>
        <w:rPr>
          <w:rFonts w:ascii="Verdana" w:hAnsi="Verdana" w:cs="Segoe UI"/>
          <w:sz w:val="22"/>
          <w:szCs w:val="22"/>
        </w:rPr>
      </w:pPr>
      <w:r w:rsidRPr="00821320">
        <w:rPr>
          <w:rStyle w:val="eop"/>
          <w:rFonts w:ascii="Verdana" w:hAnsi="Verdana" w:eastAsia="MS Mincho" w:cs="Arial"/>
          <w:sz w:val="22"/>
          <w:szCs w:val="22"/>
        </w:rPr>
        <w:t> </w:t>
      </w:r>
    </w:p>
    <w:p w:rsidRPr="00821320" w:rsidR="00CE200A" w:rsidP="00B412DF" w:rsidRDefault="00CE200A" w14:paraId="46293EEF" w14:textId="77777777">
      <w:pPr>
        <w:pStyle w:val="paragraph"/>
        <w:spacing w:before="0" w:beforeAutospacing="0" w:after="0" w:afterAutospacing="0"/>
        <w:jc w:val="both"/>
        <w:textAlignment w:val="baseline"/>
        <w:rPr>
          <w:rStyle w:val="eop"/>
          <w:rFonts w:ascii="Verdana" w:hAnsi="Verdana" w:eastAsia="MS Mincho" w:cs="Arial"/>
          <w:sz w:val="22"/>
          <w:szCs w:val="22"/>
        </w:rPr>
      </w:pPr>
      <w:r w:rsidRPr="00821320">
        <w:rPr>
          <w:rStyle w:val="normaltextrun"/>
          <w:rFonts w:ascii="Verdana" w:hAnsi="Verdana" w:cs="Arial"/>
          <w:sz w:val="22"/>
          <w:szCs w:val="22"/>
        </w:rPr>
        <w:t xml:space="preserve">Sumado a lo anterior, se identificaron diferencias en el reporte de recursos comprometidos, obligados y pagados asociados a personal administrativo, los </w:t>
      </w:r>
      <w:r w:rsidRPr="00821320">
        <w:rPr>
          <w:rStyle w:val="normaltextrun"/>
          <w:rFonts w:ascii="Verdana" w:hAnsi="Verdana" w:cs="Arial"/>
          <w:sz w:val="22"/>
          <w:szCs w:val="22"/>
        </w:rPr>
        <w:lastRenderedPageBreak/>
        <w:t xml:space="preserve">cuales se pueden ver en detalle en la Tabla </w:t>
      </w:r>
      <w:r w:rsidR="00112712">
        <w:rPr>
          <w:rStyle w:val="normaltextrun"/>
          <w:rFonts w:ascii="Verdana" w:hAnsi="Verdana" w:cs="Arial"/>
          <w:sz w:val="22"/>
          <w:szCs w:val="22"/>
        </w:rPr>
        <w:t>8</w:t>
      </w:r>
      <w:r w:rsidRPr="00821320">
        <w:rPr>
          <w:rStyle w:val="normaltextrun"/>
          <w:rFonts w:ascii="Verdana" w:hAnsi="Verdana" w:cs="Arial"/>
          <w:sz w:val="22"/>
          <w:szCs w:val="22"/>
        </w:rPr>
        <w:t>. Para efectos de comprensión de la tabla, la columna nombrada con la letra “C” corresponde a Compromisos, la columna nombrada con la vocal “O” corresponde a Obligaciones y, por último, la columna nombrada con la letra “P” corresponde a Pagos.</w:t>
      </w:r>
      <w:r w:rsidRPr="00821320" w:rsidR="00151A1B">
        <w:rPr>
          <w:rStyle w:val="normaltextrun"/>
          <w:rFonts w:ascii="Verdana" w:hAnsi="Verdana" w:cs="Arial"/>
          <w:sz w:val="22"/>
          <w:szCs w:val="22"/>
        </w:rPr>
        <w:t xml:space="preserve"> </w:t>
      </w:r>
    </w:p>
    <w:p w:rsidRPr="00821320" w:rsidR="00CE200A" w:rsidP="00B412DF" w:rsidRDefault="00CE200A" w14:paraId="376042CC" w14:textId="77777777">
      <w:pPr>
        <w:pStyle w:val="paragraph"/>
        <w:spacing w:before="0" w:beforeAutospacing="0" w:after="0" w:afterAutospacing="0"/>
        <w:jc w:val="both"/>
        <w:textAlignment w:val="baseline"/>
        <w:rPr>
          <w:rStyle w:val="eop"/>
          <w:rFonts w:ascii="Verdana" w:hAnsi="Verdana" w:eastAsia="MS Mincho" w:cs="Arial"/>
          <w:color w:val="FFFFFF" w:themeColor="background1"/>
          <w:sz w:val="22"/>
          <w:szCs w:val="22"/>
        </w:rPr>
      </w:pPr>
    </w:p>
    <w:tbl>
      <w:tblPr>
        <w:tblW w:w="10196" w:type="dxa"/>
        <w:jc w:val="center"/>
        <w:tblCellMar>
          <w:left w:w="70" w:type="dxa"/>
          <w:right w:w="70" w:type="dxa"/>
        </w:tblCellMar>
        <w:tblLook w:val="04A0" w:firstRow="1" w:lastRow="0" w:firstColumn="1" w:lastColumn="0" w:noHBand="0" w:noVBand="1"/>
      </w:tblPr>
      <w:tblGrid>
        <w:gridCol w:w="3251"/>
        <w:gridCol w:w="850"/>
        <w:gridCol w:w="809"/>
        <w:gridCol w:w="892"/>
        <w:gridCol w:w="851"/>
        <w:gridCol w:w="850"/>
        <w:gridCol w:w="851"/>
        <w:gridCol w:w="567"/>
        <w:gridCol w:w="680"/>
        <w:gridCol w:w="595"/>
      </w:tblGrid>
      <w:tr w:rsidRPr="00821320" w:rsidR="00CE200A" w:rsidTr="003F498A" w14:paraId="33AE5DE4" w14:textId="77777777">
        <w:trPr>
          <w:trHeight w:val="20"/>
          <w:tblHeader/>
          <w:jc w:val="center"/>
        </w:trPr>
        <w:tc>
          <w:tcPr>
            <w:tcW w:w="10196" w:type="dxa"/>
            <w:gridSpan w:val="10"/>
            <w:tcBorders>
              <w:top w:val="single" w:color="auto" w:sz="8" w:space="0"/>
              <w:left w:val="single" w:color="auto" w:sz="8" w:space="0"/>
              <w:bottom w:val="single" w:color="auto" w:sz="8" w:space="0"/>
              <w:right w:val="nil"/>
            </w:tcBorders>
            <w:shd w:val="clear" w:color="auto" w:fill="B48C41"/>
            <w:hideMark/>
          </w:tcPr>
          <w:p w:rsidRPr="00821320" w:rsidR="00CE200A" w:rsidP="00B412DF" w:rsidRDefault="00CE200A" w14:paraId="02EF5C23" w14:textId="77777777">
            <w:pPr>
              <w:jc w:val="center"/>
              <w:rPr>
                <w:rFonts w:ascii="Verdana" w:hAnsi="Verdana" w:eastAsia="Times New Roman" w:cs="Calibri"/>
                <w:b/>
                <w:bCs/>
                <w:sz w:val="16"/>
                <w:szCs w:val="16"/>
                <w:lang w:eastAsia="es-CO"/>
              </w:rPr>
            </w:pPr>
            <w:r w:rsidRPr="00821320">
              <w:rPr>
                <w:rFonts w:ascii="Verdana" w:hAnsi="Verdana" w:eastAsia="Times New Roman" w:cs="Calibri"/>
                <w:b/>
                <w:bCs/>
                <w:color w:val="FFFFFF" w:themeColor="background1"/>
                <w:sz w:val="16"/>
                <w:szCs w:val="16"/>
                <w:lang w:eastAsia="es-CO"/>
              </w:rPr>
              <w:t xml:space="preserve">TABLA </w:t>
            </w:r>
            <w:r w:rsidR="00112712">
              <w:rPr>
                <w:rFonts w:ascii="Verdana" w:hAnsi="Verdana" w:eastAsia="Times New Roman" w:cs="Calibri"/>
                <w:b/>
                <w:bCs/>
                <w:color w:val="FFFFFF" w:themeColor="background1"/>
                <w:sz w:val="16"/>
                <w:szCs w:val="16"/>
                <w:lang w:eastAsia="es-CO"/>
              </w:rPr>
              <w:t>8</w:t>
            </w:r>
            <w:r w:rsidRPr="00821320">
              <w:rPr>
                <w:rFonts w:ascii="Verdana" w:hAnsi="Verdana" w:eastAsia="Times New Roman" w:cs="Calibri"/>
                <w:b/>
                <w:bCs/>
                <w:color w:val="FFFFFF" w:themeColor="background1"/>
                <w:sz w:val="16"/>
                <w:szCs w:val="16"/>
                <w:lang w:eastAsia="es-CO"/>
              </w:rPr>
              <w:t>. DIFERENCIAS PRESENTADAS EN EL REPORTE FUT VIGENCIA 2021 (EN MILLONES DE $)</w:t>
            </w:r>
          </w:p>
        </w:tc>
      </w:tr>
      <w:tr w:rsidRPr="00821320" w:rsidR="00CE200A" w:rsidTr="003F498A" w14:paraId="0C2E4725" w14:textId="77777777">
        <w:trPr>
          <w:trHeight w:val="20"/>
          <w:tblHeader/>
          <w:jc w:val="center"/>
        </w:trPr>
        <w:tc>
          <w:tcPr>
            <w:tcW w:w="3251" w:type="dxa"/>
            <w:tcBorders>
              <w:top w:val="nil"/>
              <w:left w:val="single" w:color="auto" w:sz="8" w:space="0"/>
              <w:bottom w:val="single" w:color="auto" w:sz="8" w:space="0"/>
              <w:right w:val="single" w:color="auto" w:sz="8" w:space="0"/>
            </w:tcBorders>
            <w:shd w:val="clear" w:color="auto" w:fill="F1EADA"/>
            <w:noWrap/>
            <w:hideMark/>
          </w:tcPr>
          <w:p w:rsidRPr="00821320" w:rsidR="00CE200A" w:rsidP="00B412DF" w:rsidRDefault="00CE200A" w14:paraId="4354CFFE"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RUBRO </w:t>
            </w:r>
          </w:p>
        </w:tc>
        <w:tc>
          <w:tcPr>
            <w:tcW w:w="2551" w:type="dxa"/>
            <w:gridSpan w:val="3"/>
            <w:tcBorders>
              <w:top w:val="single" w:color="auto" w:sz="8" w:space="0"/>
              <w:left w:val="nil"/>
              <w:bottom w:val="single" w:color="auto" w:sz="8" w:space="0"/>
              <w:right w:val="single" w:color="000000" w:themeColor="text1" w:sz="8" w:space="0"/>
            </w:tcBorders>
            <w:shd w:val="clear" w:color="auto" w:fill="F1EADA"/>
            <w:noWrap/>
            <w:hideMark/>
          </w:tcPr>
          <w:p w:rsidRPr="00821320" w:rsidR="00CE200A" w:rsidP="00B412DF" w:rsidRDefault="00CE200A" w14:paraId="27BC1DCA"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EJECUCIÓN PRESUPUESTAL</w:t>
            </w:r>
          </w:p>
        </w:tc>
        <w:tc>
          <w:tcPr>
            <w:tcW w:w="2552" w:type="dxa"/>
            <w:gridSpan w:val="3"/>
            <w:tcBorders>
              <w:top w:val="single" w:color="auto" w:sz="8" w:space="0"/>
              <w:left w:val="nil"/>
              <w:bottom w:val="single" w:color="auto" w:sz="8" w:space="0"/>
              <w:right w:val="single" w:color="000000" w:themeColor="text1" w:sz="8" w:space="0"/>
            </w:tcBorders>
            <w:shd w:val="clear" w:color="auto" w:fill="F1EADA"/>
            <w:noWrap/>
            <w:hideMark/>
          </w:tcPr>
          <w:p w:rsidRPr="00821320" w:rsidR="00CE200A" w:rsidP="00B412DF" w:rsidRDefault="00CE200A" w14:paraId="76CF920A"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REPORTE FUT</w:t>
            </w:r>
          </w:p>
        </w:tc>
        <w:tc>
          <w:tcPr>
            <w:tcW w:w="1842" w:type="dxa"/>
            <w:gridSpan w:val="3"/>
            <w:tcBorders>
              <w:top w:val="single" w:color="auto" w:sz="8" w:space="0"/>
              <w:left w:val="nil"/>
              <w:bottom w:val="single" w:color="auto" w:sz="8" w:space="0"/>
              <w:right w:val="single" w:color="000000" w:themeColor="text1" w:sz="8" w:space="0"/>
            </w:tcBorders>
            <w:shd w:val="clear" w:color="auto" w:fill="F1EADA"/>
            <w:noWrap/>
            <w:hideMark/>
          </w:tcPr>
          <w:p w:rsidRPr="00821320" w:rsidR="00CE200A" w:rsidP="00B412DF" w:rsidRDefault="00CE200A" w14:paraId="14228AAA"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DIFERENCIA (EJECUCIÓN – REPORTE FUT)</w:t>
            </w:r>
          </w:p>
        </w:tc>
      </w:tr>
      <w:tr w:rsidRPr="00821320" w:rsidR="003F498A" w:rsidTr="003F498A" w14:paraId="1A6D6CEA" w14:textId="77777777">
        <w:trPr>
          <w:trHeight w:val="20"/>
          <w:tblHeader/>
          <w:jc w:val="center"/>
        </w:trPr>
        <w:tc>
          <w:tcPr>
            <w:tcW w:w="3251" w:type="dxa"/>
            <w:tcBorders>
              <w:top w:val="nil"/>
              <w:left w:val="single" w:color="auto" w:sz="8" w:space="0"/>
              <w:bottom w:val="single" w:color="auto" w:sz="8" w:space="0"/>
              <w:right w:val="single" w:color="auto" w:sz="8" w:space="0"/>
            </w:tcBorders>
            <w:shd w:val="clear" w:color="auto" w:fill="D9D9D9" w:themeFill="background1" w:themeFillShade="D9"/>
            <w:hideMark/>
          </w:tcPr>
          <w:p w:rsidRPr="00821320" w:rsidR="00CE200A" w:rsidP="00B412DF" w:rsidRDefault="00CE200A" w14:paraId="666C106F"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COBERTURA</w:t>
            </w:r>
          </w:p>
        </w:tc>
        <w:tc>
          <w:tcPr>
            <w:tcW w:w="850" w:type="dxa"/>
            <w:tcBorders>
              <w:top w:val="nil"/>
              <w:left w:val="nil"/>
              <w:bottom w:val="single" w:color="auto" w:sz="8" w:space="0"/>
              <w:right w:val="single" w:color="auto" w:sz="8" w:space="0"/>
            </w:tcBorders>
            <w:shd w:val="clear" w:color="auto" w:fill="D9D9D9" w:themeFill="background1" w:themeFillShade="D9"/>
            <w:hideMark/>
          </w:tcPr>
          <w:p w:rsidRPr="00821320" w:rsidR="00CE200A" w:rsidP="00B412DF" w:rsidRDefault="00CE200A" w14:paraId="5ABF62CA"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C</w:t>
            </w:r>
          </w:p>
        </w:tc>
        <w:tc>
          <w:tcPr>
            <w:tcW w:w="809" w:type="dxa"/>
            <w:tcBorders>
              <w:top w:val="nil"/>
              <w:left w:val="nil"/>
              <w:bottom w:val="single" w:color="auto" w:sz="8" w:space="0"/>
              <w:right w:val="single" w:color="auto" w:sz="8" w:space="0"/>
            </w:tcBorders>
            <w:shd w:val="clear" w:color="auto" w:fill="D9D9D9" w:themeFill="background1" w:themeFillShade="D9"/>
            <w:hideMark/>
          </w:tcPr>
          <w:p w:rsidRPr="00821320" w:rsidR="00CE200A" w:rsidP="00B412DF" w:rsidRDefault="00CE200A" w14:paraId="7B3DD1DF"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O</w:t>
            </w:r>
          </w:p>
        </w:tc>
        <w:tc>
          <w:tcPr>
            <w:tcW w:w="892" w:type="dxa"/>
            <w:tcBorders>
              <w:top w:val="nil"/>
              <w:left w:val="nil"/>
              <w:bottom w:val="single" w:color="auto" w:sz="8" w:space="0"/>
              <w:right w:val="single" w:color="auto" w:sz="8" w:space="0"/>
            </w:tcBorders>
            <w:shd w:val="clear" w:color="auto" w:fill="D9D9D9" w:themeFill="background1" w:themeFillShade="D9"/>
            <w:hideMark/>
          </w:tcPr>
          <w:p w:rsidRPr="00821320" w:rsidR="00CE200A" w:rsidP="00B412DF" w:rsidRDefault="00CE200A" w14:paraId="0DA946D6"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P</w:t>
            </w:r>
          </w:p>
        </w:tc>
        <w:tc>
          <w:tcPr>
            <w:tcW w:w="851" w:type="dxa"/>
            <w:tcBorders>
              <w:top w:val="nil"/>
              <w:left w:val="nil"/>
              <w:bottom w:val="single" w:color="auto" w:sz="8" w:space="0"/>
              <w:right w:val="single" w:color="auto" w:sz="8" w:space="0"/>
            </w:tcBorders>
            <w:shd w:val="clear" w:color="auto" w:fill="D9D9D9" w:themeFill="background1" w:themeFillShade="D9"/>
            <w:hideMark/>
          </w:tcPr>
          <w:p w:rsidRPr="00821320" w:rsidR="00CE200A" w:rsidP="00B412DF" w:rsidRDefault="00CE200A" w14:paraId="320F25BB"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C</w:t>
            </w:r>
          </w:p>
        </w:tc>
        <w:tc>
          <w:tcPr>
            <w:tcW w:w="850" w:type="dxa"/>
            <w:tcBorders>
              <w:top w:val="nil"/>
              <w:left w:val="nil"/>
              <w:bottom w:val="single" w:color="auto" w:sz="8" w:space="0"/>
              <w:right w:val="single" w:color="auto" w:sz="8" w:space="0"/>
            </w:tcBorders>
            <w:shd w:val="clear" w:color="auto" w:fill="D9D9D9" w:themeFill="background1" w:themeFillShade="D9"/>
            <w:hideMark/>
          </w:tcPr>
          <w:p w:rsidRPr="00821320" w:rsidR="00CE200A" w:rsidP="00B412DF" w:rsidRDefault="00CE200A" w14:paraId="0A27544C"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O</w:t>
            </w:r>
          </w:p>
        </w:tc>
        <w:tc>
          <w:tcPr>
            <w:tcW w:w="851" w:type="dxa"/>
            <w:tcBorders>
              <w:top w:val="nil"/>
              <w:left w:val="nil"/>
              <w:bottom w:val="single" w:color="auto" w:sz="8" w:space="0"/>
              <w:right w:val="single" w:color="auto" w:sz="8" w:space="0"/>
            </w:tcBorders>
            <w:shd w:val="clear" w:color="auto" w:fill="D9D9D9" w:themeFill="background1" w:themeFillShade="D9"/>
            <w:hideMark/>
          </w:tcPr>
          <w:p w:rsidRPr="00821320" w:rsidR="00CE200A" w:rsidP="00B412DF" w:rsidRDefault="00CE200A" w14:paraId="21D9A786"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P</w:t>
            </w:r>
          </w:p>
        </w:tc>
        <w:tc>
          <w:tcPr>
            <w:tcW w:w="567" w:type="dxa"/>
            <w:tcBorders>
              <w:top w:val="nil"/>
              <w:left w:val="nil"/>
              <w:bottom w:val="single" w:color="auto" w:sz="8" w:space="0"/>
              <w:right w:val="single" w:color="auto" w:sz="8" w:space="0"/>
            </w:tcBorders>
            <w:shd w:val="clear" w:color="auto" w:fill="D9D9D9" w:themeFill="background1" w:themeFillShade="D9"/>
            <w:hideMark/>
          </w:tcPr>
          <w:p w:rsidRPr="00821320" w:rsidR="00CE200A" w:rsidP="00B412DF" w:rsidRDefault="00CE200A" w14:paraId="35FC9732"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C</w:t>
            </w:r>
          </w:p>
        </w:tc>
        <w:tc>
          <w:tcPr>
            <w:tcW w:w="708" w:type="dxa"/>
            <w:tcBorders>
              <w:top w:val="nil"/>
              <w:left w:val="nil"/>
              <w:bottom w:val="single" w:color="auto" w:sz="8" w:space="0"/>
              <w:right w:val="single" w:color="auto" w:sz="8" w:space="0"/>
            </w:tcBorders>
            <w:shd w:val="clear" w:color="auto" w:fill="D9D9D9" w:themeFill="background1" w:themeFillShade="D9"/>
            <w:hideMark/>
          </w:tcPr>
          <w:p w:rsidRPr="00821320" w:rsidR="00CE200A" w:rsidP="00B412DF" w:rsidRDefault="00CE200A" w14:paraId="36413900"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O</w:t>
            </w:r>
          </w:p>
        </w:tc>
        <w:tc>
          <w:tcPr>
            <w:tcW w:w="567" w:type="dxa"/>
            <w:tcBorders>
              <w:top w:val="nil"/>
              <w:left w:val="nil"/>
              <w:bottom w:val="single" w:color="auto" w:sz="8" w:space="0"/>
              <w:right w:val="single" w:color="auto" w:sz="8" w:space="0"/>
            </w:tcBorders>
            <w:shd w:val="clear" w:color="auto" w:fill="D9D9D9" w:themeFill="background1" w:themeFillShade="D9"/>
            <w:hideMark/>
          </w:tcPr>
          <w:p w:rsidRPr="00821320" w:rsidR="00CE200A" w:rsidP="00B412DF" w:rsidRDefault="00CE200A" w14:paraId="7F3474AF"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P</w:t>
            </w:r>
          </w:p>
        </w:tc>
      </w:tr>
      <w:tr w:rsidRPr="00821320" w:rsidR="00CE200A" w:rsidTr="003F498A" w14:paraId="31FA86E8" w14:textId="77777777">
        <w:trPr>
          <w:trHeight w:val="20"/>
          <w:jc w:val="center"/>
        </w:trPr>
        <w:tc>
          <w:tcPr>
            <w:tcW w:w="10196" w:type="dxa"/>
            <w:gridSpan w:val="10"/>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hideMark/>
          </w:tcPr>
          <w:p w:rsidRPr="00821320" w:rsidR="00CE200A" w:rsidP="00B412DF" w:rsidRDefault="00CE200A" w14:paraId="72F812EA"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GASTOS DE PERSONAL</w:t>
            </w:r>
          </w:p>
        </w:tc>
      </w:tr>
      <w:tr w:rsidRPr="00821320" w:rsidR="003F498A" w:rsidTr="003F498A" w14:paraId="7A3DDAC5" w14:textId="77777777">
        <w:trPr>
          <w:trHeight w:val="20"/>
          <w:jc w:val="center"/>
        </w:trPr>
        <w:tc>
          <w:tcPr>
            <w:tcW w:w="3251" w:type="dxa"/>
            <w:tcBorders>
              <w:top w:val="nil"/>
              <w:left w:val="single" w:color="auto" w:sz="8" w:space="0"/>
              <w:bottom w:val="single" w:color="auto" w:sz="8" w:space="0"/>
              <w:right w:val="single" w:color="auto" w:sz="8" w:space="0"/>
            </w:tcBorders>
            <w:vAlign w:val="center"/>
            <w:hideMark/>
          </w:tcPr>
          <w:p w:rsidRPr="00821320" w:rsidR="00CE200A" w:rsidP="00B412DF" w:rsidRDefault="00CE200A" w14:paraId="73163B55" w14:textId="77777777">
            <w:pP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Personal Administrativo de Instituciones Educativas</w:t>
            </w:r>
          </w:p>
        </w:tc>
        <w:tc>
          <w:tcPr>
            <w:tcW w:w="850" w:type="dxa"/>
            <w:tcBorders>
              <w:top w:val="nil"/>
              <w:left w:val="nil"/>
              <w:bottom w:val="single" w:color="auto" w:sz="8" w:space="0"/>
              <w:right w:val="single" w:color="auto" w:sz="8" w:space="0"/>
            </w:tcBorders>
            <w:vAlign w:val="center"/>
            <w:hideMark/>
          </w:tcPr>
          <w:p w:rsidRPr="00821320" w:rsidR="00CE200A" w:rsidP="00B412DF" w:rsidRDefault="00CE200A" w14:paraId="36EF2FE7"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2.397</w:t>
            </w:r>
          </w:p>
        </w:tc>
        <w:tc>
          <w:tcPr>
            <w:tcW w:w="809" w:type="dxa"/>
            <w:tcBorders>
              <w:top w:val="nil"/>
              <w:left w:val="nil"/>
              <w:bottom w:val="single" w:color="auto" w:sz="8" w:space="0"/>
              <w:right w:val="single" w:color="auto" w:sz="8" w:space="0"/>
            </w:tcBorders>
            <w:vAlign w:val="center"/>
            <w:hideMark/>
          </w:tcPr>
          <w:p w:rsidRPr="00821320" w:rsidR="00CE200A" w:rsidP="00B412DF" w:rsidRDefault="00CE200A" w14:paraId="110D8CDC"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2.397</w:t>
            </w:r>
          </w:p>
        </w:tc>
        <w:tc>
          <w:tcPr>
            <w:tcW w:w="892" w:type="dxa"/>
            <w:tcBorders>
              <w:top w:val="nil"/>
              <w:left w:val="nil"/>
              <w:bottom w:val="single" w:color="auto" w:sz="8" w:space="0"/>
              <w:right w:val="single" w:color="auto" w:sz="8" w:space="0"/>
            </w:tcBorders>
            <w:vAlign w:val="center"/>
            <w:hideMark/>
          </w:tcPr>
          <w:p w:rsidRPr="00821320" w:rsidR="00CE200A" w:rsidP="00B412DF" w:rsidRDefault="00CE200A" w14:paraId="4FE18287"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2.397</w:t>
            </w:r>
          </w:p>
        </w:tc>
        <w:tc>
          <w:tcPr>
            <w:tcW w:w="851" w:type="dxa"/>
            <w:tcBorders>
              <w:top w:val="nil"/>
              <w:left w:val="nil"/>
              <w:bottom w:val="single" w:color="auto" w:sz="8" w:space="0"/>
              <w:right w:val="single" w:color="auto" w:sz="8" w:space="0"/>
            </w:tcBorders>
            <w:vAlign w:val="center"/>
            <w:hideMark/>
          </w:tcPr>
          <w:p w:rsidRPr="00821320" w:rsidR="00CE200A" w:rsidP="00B412DF" w:rsidRDefault="00CE200A" w14:paraId="19594E23"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2.542</w:t>
            </w:r>
          </w:p>
        </w:tc>
        <w:tc>
          <w:tcPr>
            <w:tcW w:w="850" w:type="dxa"/>
            <w:tcBorders>
              <w:top w:val="nil"/>
              <w:left w:val="nil"/>
              <w:bottom w:val="single" w:color="auto" w:sz="8" w:space="0"/>
              <w:right w:val="single" w:color="auto" w:sz="8" w:space="0"/>
            </w:tcBorders>
            <w:vAlign w:val="center"/>
            <w:hideMark/>
          </w:tcPr>
          <w:p w:rsidRPr="00821320" w:rsidR="00CE200A" w:rsidP="00B412DF" w:rsidRDefault="00CE200A" w14:paraId="12174712"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2.542</w:t>
            </w:r>
          </w:p>
        </w:tc>
        <w:tc>
          <w:tcPr>
            <w:tcW w:w="851" w:type="dxa"/>
            <w:tcBorders>
              <w:top w:val="nil"/>
              <w:left w:val="nil"/>
              <w:bottom w:val="single" w:color="auto" w:sz="8" w:space="0"/>
              <w:right w:val="single" w:color="auto" w:sz="8" w:space="0"/>
            </w:tcBorders>
            <w:vAlign w:val="center"/>
            <w:hideMark/>
          </w:tcPr>
          <w:p w:rsidRPr="00821320" w:rsidR="00CE200A" w:rsidP="00B412DF" w:rsidRDefault="00CE200A" w14:paraId="220E336A"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2.542</w:t>
            </w:r>
          </w:p>
        </w:tc>
        <w:tc>
          <w:tcPr>
            <w:tcW w:w="567" w:type="dxa"/>
            <w:tcBorders>
              <w:top w:val="nil"/>
              <w:left w:val="nil"/>
              <w:bottom w:val="single" w:color="auto" w:sz="8" w:space="0"/>
              <w:right w:val="single" w:color="auto" w:sz="8" w:space="0"/>
            </w:tcBorders>
            <w:vAlign w:val="center"/>
            <w:hideMark/>
          </w:tcPr>
          <w:p w:rsidRPr="00821320" w:rsidR="00CE200A" w:rsidP="00B412DF" w:rsidRDefault="00CE200A" w14:paraId="15D733FD"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-145</w:t>
            </w:r>
          </w:p>
        </w:tc>
        <w:tc>
          <w:tcPr>
            <w:tcW w:w="708" w:type="dxa"/>
            <w:tcBorders>
              <w:top w:val="nil"/>
              <w:left w:val="nil"/>
              <w:bottom w:val="single" w:color="auto" w:sz="8" w:space="0"/>
              <w:right w:val="single" w:color="auto" w:sz="8" w:space="0"/>
            </w:tcBorders>
            <w:vAlign w:val="center"/>
            <w:hideMark/>
          </w:tcPr>
          <w:p w:rsidRPr="00821320" w:rsidR="00CE200A" w:rsidP="00B412DF" w:rsidRDefault="00CE200A" w14:paraId="7BF23983"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-145</w:t>
            </w:r>
          </w:p>
        </w:tc>
        <w:tc>
          <w:tcPr>
            <w:tcW w:w="567" w:type="dxa"/>
            <w:tcBorders>
              <w:top w:val="nil"/>
              <w:left w:val="nil"/>
              <w:bottom w:val="single" w:color="auto" w:sz="8" w:space="0"/>
              <w:right w:val="single" w:color="auto" w:sz="8" w:space="0"/>
            </w:tcBorders>
            <w:vAlign w:val="center"/>
            <w:hideMark/>
          </w:tcPr>
          <w:p w:rsidRPr="00821320" w:rsidR="00CE200A" w:rsidP="00B412DF" w:rsidRDefault="00CE200A" w14:paraId="1695572B"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-145</w:t>
            </w:r>
          </w:p>
        </w:tc>
      </w:tr>
      <w:tr w:rsidRPr="00821320" w:rsidR="003F498A" w:rsidTr="003F498A" w14:paraId="3E6220AF" w14:textId="77777777">
        <w:trPr>
          <w:trHeight w:val="20"/>
          <w:jc w:val="center"/>
        </w:trPr>
        <w:tc>
          <w:tcPr>
            <w:tcW w:w="3251" w:type="dxa"/>
            <w:tcBorders>
              <w:top w:val="nil"/>
              <w:left w:val="single" w:color="auto" w:sz="8" w:space="0"/>
              <w:bottom w:val="single" w:color="auto" w:sz="8" w:space="0"/>
              <w:right w:val="single" w:color="auto" w:sz="8" w:space="0"/>
            </w:tcBorders>
            <w:vAlign w:val="center"/>
            <w:hideMark/>
          </w:tcPr>
          <w:p w:rsidRPr="00821320" w:rsidR="00CE200A" w:rsidP="00B412DF" w:rsidRDefault="00CE200A" w14:paraId="31FEA2B7" w14:textId="77777777">
            <w:pP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Personal Administrativo Secretaría de Educación</w:t>
            </w:r>
          </w:p>
        </w:tc>
        <w:tc>
          <w:tcPr>
            <w:tcW w:w="850" w:type="dxa"/>
            <w:tcBorders>
              <w:top w:val="nil"/>
              <w:left w:val="nil"/>
              <w:bottom w:val="single" w:color="auto" w:sz="8" w:space="0"/>
              <w:right w:val="single" w:color="auto" w:sz="8" w:space="0"/>
            </w:tcBorders>
            <w:vAlign w:val="center"/>
            <w:hideMark/>
          </w:tcPr>
          <w:p w:rsidRPr="00821320" w:rsidR="00CE200A" w:rsidP="00B412DF" w:rsidRDefault="00CE200A" w14:paraId="10B516BB"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1.282</w:t>
            </w:r>
          </w:p>
        </w:tc>
        <w:tc>
          <w:tcPr>
            <w:tcW w:w="809" w:type="dxa"/>
            <w:tcBorders>
              <w:top w:val="nil"/>
              <w:left w:val="nil"/>
              <w:bottom w:val="single" w:color="auto" w:sz="8" w:space="0"/>
              <w:right w:val="single" w:color="auto" w:sz="8" w:space="0"/>
            </w:tcBorders>
            <w:vAlign w:val="center"/>
            <w:hideMark/>
          </w:tcPr>
          <w:p w:rsidRPr="00821320" w:rsidR="00CE200A" w:rsidP="00B412DF" w:rsidRDefault="00CE200A" w14:paraId="0E35CC05"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1.282</w:t>
            </w:r>
          </w:p>
        </w:tc>
        <w:tc>
          <w:tcPr>
            <w:tcW w:w="892" w:type="dxa"/>
            <w:tcBorders>
              <w:top w:val="nil"/>
              <w:left w:val="nil"/>
              <w:bottom w:val="single" w:color="auto" w:sz="8" w:space="0"/>
              <w:right w:val="single" w:color="auto" w:sz="8" w:space="0"/>
            </w:tcBorders>
            <w:vAlign w:val="center"/>
            <w:hideMark/>
          </w:tcPr>
          <w:p w:rsidRPr="00821320" w:rsidR="00CE200A" w:rsidP="00B412DF" w:rsidRDefault="00CE200A" w14:paraId="40E08541"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1.282</w:t>
            </w:r>
          </w:p>
        </w:tc>
        <w:tc>
          <w:tcPr>
            <w:tcW w:w="851" w:type="dxa"/>
            <w:tcBorders>
              <w:top w:val="nil"/>
              <w:left w:val="nil"/>
              <w:bottom w:val="single" w:color="auto" w:sz="8" w:space="0"/>
              <w:right w:val="single" w:color="auto" w:sz="8" w:space="0"/>
            </w:tcBorders>
            <w:vAlign w:val="center"/>
            <w:hideMark/>
          </w:tcPr>
          <w:p w:rsidRPr="00821320" w:rsidR="00CE200A" w:rsidP="00B412DF" w:rsidRDefault="00CE200A" w14:paraId="0064D340"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1.137</w:t>
            </w:r>
          </w:p>
        </w:tc>
        <w:tc>
          <w:tcPr>
            <w:tcW w:w="850" w:type="dxa"/>
            <w:tcBorders>
              <w:top w:val="nil"/>
              <w:left w:val="nil"/>
              <w:bottom w:val="single" w:color="auto" w:sz="8" w:space="0"/>
              <w:right w:val="single" w:color="auto" w:sz="8" w:space="0"/>
            </w:tcBorders>
            <w:vAlign w:val="center"/>
            <w:hideMark/>
          </w:tcPr>
          <w:p w:rsidRPr="00821320" w:rsidR="00CE200A" w:rsidP="00B412DF" w:rsidRDefault="00CE200A" w14:paraId="3709006A"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1.137</w:t>
            </w:r>
          </w:p>
        </w:tc>
        <w:tc>
          <w:tcPr>
            <w:tcW w:w="851" w:type="dxa"/>
            <w:tcBorders>
              <w:top w:val="nil"/>
              <w:left w:val="nil"/>
              <w:bottom w:val="single" w:color="auto" w:sz="8" w:space="0"/>
              <w:right w:val="single" w:color="auto" w:sz="8" w:space="0"/>
            </w:tcBorders>
            <w:vAlign w:val="center"/>
            <w:hideMark/>
          </w:tcPr>
          <w:p w:rsidRPr="00821320" w:rsidR="00CE200A" w:rsidP="00B412DF" w:rsidRDefault="00CE200A" w14:paraId="6F61A4E5"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1.137</w:t>
            </w:r>
          </w:p>
        </w:tc>
        <w:tc>
          <w:tcPr>
            <w:tcW w:w="567" w:type="dxa"/>
            <w:tcBorders>
              <w:top w:val="nil"/>
              <w:left w:val="nil"/>
              <w:bottom w:val="single" w:color="auto" w:sz="8" w:space="0"/>
              <w:right w:val="single" w:color="auto" w:sz="8" w:space="0"/>
            </w:tcBorders>
            <w:vAlign w:val="center"/>
            <w:hideMark/>
          </w:tcPr>
          <w:p w:rsidRPr="00821320" w:rsidR="00CE200A" w:rsidP="00B412DF" w:rsidRDefault="00CE200A" w14:paraId="0FFFCADF"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145</w:t>
            </w:r>
          </w:p>
        </w:tc>
        <w:tc>
          <w:tcPr>
            <w:tcW w:w="708" w:type="dxa"/>
            <w:tcBorders>
              <w:top w:val="nil"/>
              <w:left w:val="nil"/>
              <w:bottom w:val="single" w:color="auto" w:sz="8" w:space="0"/>
              <w:right w:val="single" w:color="auto" w:sz="8" w:space="0"/>
            </w:tcBorders>
            <w:vAlign w:val="center"/>
            <w:hideMark/>
          </w:tcPr>
          <w:p w:rsidRPr="00821320" w:rsidR="00CE200A" w:rsidP="00B412DF" w:rsidRDefault="00CE200A" w14:paraId="63169338"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145</w:t>
            </w:r>
          </w:p>
        </w:tc>
        <w:tc>
          <w:tcPr>
            <w:tcW w:w="567" w:type="dxa"/>
            <w:tcBorders>
              <w:top w:val="nil"/>
              <w:left w:val="nil"/>
              <w:bottom w:val="single" w:color="auto" w:sz="8" w:space="0"/>
              <w:right w:val="single" w:color="auto" w:sz="8" w:space="0"/>
            </w:tcBorders>
            <w:vAlign w:val="center"/>
            <w:hideMark/>
          </w:tcPr>
          <w:p w:rsidRPr="00821320" w:rsidR="00CE200A" w:rsidP="00B412DF" w:rsidRDefault="00CE200A" w14:paraId="741AACBF"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$145</w:t>
            </w:r>
          </w:p>
        </w:tc>
      </w:tr>
      <w:tr w:rsidRPr="00821320" w:rsidR="00CE200A" w:rsidTr="003F498A" w14:paraId="129AB1DF" w14:textId="77777777">
        <w:trPr>
          <w:trHeight w:val="20"/>
          <w:jc w:val="center"/>
        </w:trPr>
        <w:tc>
          <w:tcPr>
            <w:tcW w:w="10196" w:type="dxa"/>
            <w:gridSpan w:val="10"/>
            <w:tcBorders>
              <w:top w:val="single" w:color="auto" w:sz="8" w:space="0"/>
              <w:left w:val="single" w:color="auto" w:sz="8" w:space="0"/>
              <w:bottom w:val="single" w:color="auto" w:sz="8" w:space="0"/>
              <w:right w:val="single" w:color="000000" w:themeColor="text1" w:sz="8" w:space="0"/>
            </w:tcBorders>
            <w:shd w:val="clear" w:color="auto" w:fill="D9D9D9" w:themeFill="background1" w:themeFillShade="D9"/>
            <w:vAlign w:val="center"/>
            <w:hideMark/>
          </w:tcPr>
          <w:p w:rsidRPr="00821320" w:rsidR="00CE200A" w:rsidP="00B412DF" w:rsidRDefault="00CE200A" w14:paraId="558CB8CF"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APORTES PATRONALES</w:t>
            </w:r>
          </w:p>
        </w:tc>
      </w:tr>
      <w:tr w:rsidRPr="00821320" w:rsidR="003F498A" w:rsidTr="003F498A" w14:paraId="3CAAB334" w14:textId="77777777">
        <w:trPr>
          <w:trHeight w:val="20"/>
          <w:jc w:val="center"/>
        </w:trPr>
        <w:tc>
          <w:tcPr>
            <w:tcW w:w="3251" w:type="dxa"/>
            <w:tcBorders>
              <w:top w:val="nil"/>
              <w:left w:val="single" w:color="auto" w:sz="8" w:space="0"/>
              <w:bottom w:val="single" w:color="auto" w:sz="8" w:space="0"/>
              <w:right w:val="single" w:color="auto" w:sz="8" w:space="0"/>
            </w:tcBorders>
            <w:vAlign w:val="center"/>
            <w:hideMark/>
          </w:tcPr>
          <w:p w:rsidRPr="00821320" w:rsidR="00CE200A" w:rsidP="00B412DF" w:rsidRDefault="00CE200A" w14:paraId="53A6753A" w14:textId="77777777">
            <w:pP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Personal Administrativo de Instituciones Educativas (A.P)</w:t>
            </w:r>
          </w:p>
        </w:tc>
        <w:tc>
          <w:tcPr>
            <w:tcW w:w="850" w:type="dxa"/>
            <w:tcBorders>
              <w:top w:val="nil"/>
              <w:left w:val="nil"/>
              <w:bottom w:val="single" w:color="auto" w:sz="8" w:space="0"/>
              <w:right w:val="single" w:color="auto" w:sz="8" w:space="0"/>
            </w:tcBorders>
            <w:vAlign w:val="center"/>
            <w:hideMark/>
          </w:tcPr>
          <w:p w:rsidRPr="00821320" w:rsidR="00CE200A" w:rsidP="00B412DF" w:rsidRDefault="00CE200A" w14:paraId="33EC1B45"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795</w:t>
            </w:r>
          </w:p>
        </w:tc>
        <w:tc>
          <w:tcPr>
            <w:tcW w:w="809" w:type="dxa"/>
            <w:tcBorders>
              <w:top w:val="nil"/>
              <w:left w:val="nil"/>
              <w:bottom w:val="single" w:color="auto" w:sz="8" w:space="0"/>
              <w:right w:val="single" w:color="auto" w:sz="8" w:space="0"/>
            </w:tcBorders>
            <w:vAlign w:val="center"/>
            <w:hideMark/>
          </w:tcPr>
          <w:p w:rsidRPr="00821320" w:rsidR="00CE200A" w:rsidP="00B412DF" w:rsidRDefault="00CE200A" w14:paraId="03DF00CF"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795</w:t>
            </w:r>
          </w:p>
        </w:tc>
        <w:tc>
          <w:tcPr>
            <w:tcW w:w="892" w:type="dxa"/>
            <w:tcBorders>
              <w:top w:val="nil"/>
              <w:left w:val="nil"/>
              <w:bottom w:val="single" w:color="auto" w:sz="8" w:space="0"/>
              <w:right w:val="single" w:color="auto" w:sz="8" w:space="0"/>
            </w:tcBorders>
            <w:vAlign w:val="center"/>
            <w:hideMark/>
          </w:tcPr>
          <w:p w:rsidRPr="00821320" w:rsidR="00CE200A" w:rsidP="00B412DF" w:rsidRDefault="00CE200A" w14:paraId="1D2EB767"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735</w:t>
            </w:r>
          </w:p>
        </w:tc>
        <w:tc>
          <w:tcPr>
            <w:tcW w:w="851" w:type="dxa"/>
            <w:tcBorders>
              <w:top w:val="nil"/>
              <w:left w:val="nil"/>
              <w:bottom w:val="single" w:color="auto" w:sz="8" w:space="0"/>
              <w:right w:val="single" w:color="auto" w:sz="8" w:space="0"/>
            </w:tcBorders>
            <w:vAlign w:val="center"/>
            <w:hideMark/>
          </w:tcPr>
          <w:p w:rsidRPr="00821320" w:rsidR="00CE200A" w:rsidP="00B412DF" w:rsidRDefault="00CE200A" w14:paraId="243EB8B8"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807</w:t>
            </w:r>
          </w:p>
        </w:tc>
        <w:tc>
          <w:tcPr>
            <w:tcW w:w="850" w:type="dxa"/>
            <w:tcBorders>
              <w:top w:val="nil"/>
              <w:left w:val="nil"/>
              <w:bottom w:val="single" w:color="auto" w:sz="8" w:space="0"/>
              <w:right w:val="single" w:color="auto" w:sz="8" w:space="0"/>
            </w:tcBorders>
            <w:vAlign w:val="center"/>
            <w:hideMark/>
          </w:tcPr>
          <w:p w:rsidRPr="00821320" w:rsidR="00CE200A" w:rsidP="00B412DF" w:rsidRDefault="00CE200A" w14:paraId="15413D91"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807</w:t>
            </w:r>
          </w:p>
        </w:tc>
        <w:tc>
          <w:tcPr>
            <w:tcW w:w="851" w:type="dxa"/>
            <w:tcBorders>
              <w:top w:val="nil"/>
              <w:left w:val="nil"/>
              <w:bottom w:val="single" w:color="auto" w:sz="8" w:space="0"/>
              <w:right w:val="single" w:color="auto" w:sz="8" w:space="0"/>
            </w:tcBorders>
            <w:vAlign w:val="center"/>
            <w:hideMark/>
          </w:tcPr>
          <w:p w:rsidRPr="00821320" w:rsidR="00CE200A" w:rsidP="00B412DF" w:rsidRDefault="00CE200A" w14:paraId="02E3AB89"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748</w:t>
            </w:r>
          </w:p>
        </w:tc>
        <w:tc>
          <w:tcPr>
            <w:tcW w:w="567" w:type="dxa"/>
            <w:tcBorders>
              <w:top w:val="nil"/>
              <w:left w:val="nil"/>
              <w:bottom w:val="single" w:color="auto" w:sz="8" w:space="0"/>
              <w:right w:val="single" w:color="auto" w:sz="8" w:space="0"/>
            </w:tcBorders>
            <w:vAlign w:val="center"/>
            <w:hideMark/>
          </w:tcPr>
          <w:p w:rsidRPr="00821320" w:rsidR="00CE200A" w:rsidP="00B412DF" w:rsidRDefault="00CE200A" w14:paraId="733861A9"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-12</w:t>
            </w:r>
          </w:p>
        </w:tc>
        <w:tc>
          <w:tcPr>
            <w:tcW w:w="708" w:type="dxa"/>
            <w:tcBorders>
              <w:top w:val="nil"/>
              <w:left w:val="nil"/>
              <w:bottom w:val="single" w:color="auto" w:sz="8" w:space="0"/>
              <w:right w:val="single" w:color="auto" w:sz="8" w:space="0"/>
            </w:tcBorders>
            <w:vAlign w:val="center"/>
            <w:hideMark/>
          </w:tcPr>
          <w:p w:rsidRPr="00821320" w:rsidR="00CE200A" w:rsidP="00B412DF" w:rsidRDefault="00CE200A" w14:paraId="550787C2"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-12</w:t>
            </w:r>
          </w:p>
        </w:tc>
        <w:tc>
          <w:tcPr>
            <w:tcW w:w="567" w:type="dxa"/>
            <w:tcBorders>
              <w:top w:val="nil"/>
              <w:left w:val="nil"/>
              <w:bottom w:val="single" w:color="auto" w:sz="8" w:space="0"/>
              <w:right w:val="single" w:color="auto" w:sz="8" w:space="0"/>
            </w:tcBorders>
            <w:vAlign w:val="center"/>
            <w:hideMark/>
          </w:tcPr>
          <w:p w:rsidRPr="00821320" w:rsidR="00CE200A" w:rsidP="00B412DF" w:rsidRDefault="00CE200A" w14:paraId="1CEFF585"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-12</w:t>
            </w:r>
          </w:p>
        </w:tc>
      </w:tr>
      <w:tr w:rsidRPr="00821320" w:rsidR="003F498A" w:rsidTr="003F498A" w14:paraId="48BE0C2C" w14:textId="77777777">
        <w:trPr>
          <w:trHeight w:val="20"/>
          <w:jc w:val="center"/>
        </w:trPr>
        <w:tc>
          <w:tcPr>
            <w:tcW w:w="3251" w:type="dxa"/>
            <w:tcBorders>
              <w:top w:val="nil"/>
              <w:left w:val="single" w:color="auto" w:sz="8" w:space="0"/>
              <w:bottom w:val="single" w:color="auto" w:sz="8" w:space="0"/>
              <w:right w:val="single" w:color="auto" w:sz="8" w:space="0"/>
            </w:tcBorders>
            <w:shd w:val="clear" w:color="auto" w:fill="D9D9D9" w:themeFill="background1" w:themeFillShade="D9"/>
            <w:hideMark/>
          </w:tcPr>
          <w:p w:rsidRPr="00821320" w:rsidR="00CE200A" w:rsidP="00B412DF" w:rsidRDefault="00CE200A" w14:paraId="7BA99B18" w14:textId="77777777">
            <w:pPr>
              <w:jc w:val="center"/>
              <w:rPr>
                <w:rFonts w:ascii="Verdana" w:hAnsi="Verdana" w:eastAsia="Times New Roman" w:cs="Calibri"/>
                <w:b/>
                <w:bCs/>
                <w:color w:val="000000"/>
                <w:sz w:val="16"/>
                <w:szCs w:val="16"/>
                <w:lang w:eastAsia="es-CO"/>
              </w:rPr>
            </w:pPr>
            <w:proofErr w:type="gramStart"/>
            <w:r w:rsidRPr="00821320">
              <w:rPr>
                <w:rFonts w:ascii="Verdana" w:hAnsi="Verdana" w:eastAsia="Times New Roman" w:cs="Calibri"/>
                <w:b/>
                <w:bCs/>
                <w:color w:val="000000"/>
                <w:sz w:val="16"/>
                <w:szCs w:val="16"/>
                <w:lang w:eastAsia="es-CO"/>
              </w:rPr>
              <w:t>TOTAL</w:t>
            </w:r>
            <w:proofErr w:type="gramEnd"/>
            <w:r w:rsidRPr="00821320" w:rsidR="00A517BF">
              <w:rPr>
                <w:rFonts w:ascii="Verdana" w:hAnsi="Verdana" w:eastAsia="Times New Roman" w:cs="Calibri"/>
                <w:b/>
                <w:bCs/>
                <w:color w:val="000000"/>
                <w:sz w:val="16"/>
                <w:szCs w:val="16"/>
                <w:lang w:eastAsia="es-CO"/>
              </w:rPr>
              <w:t xml:space="preserve"> COMPROMISOS</w:t>
            </w:r>
          </w:p>
        </w:tc>
        <w:tc>
          <w:tcPr>
            <w:tcW w:w="850" w:type="dxa"/>
            <w:tcBorders>
              <w:top w:val="nil"/>
              <w:left w:val="nil"/>
              <w:bottom w:val="single" w:color="auto" w:sz="8" w:space="0"/>
              <w:right w:val="single" w:color="auto" w:sz="8" w:space="0"/>
            </w:tcBorders>
            <w:vAlign w:val="center"/>
            <w:hideMark/>
          </w:tcPr>
          <w:p w:rsidRPr="00821320" w:rsidR="00CE200A" w:rsidP="00B412DF" w:rsidRDefault="00CE200A" w14:paraId="34AFD351"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104.479</w:t>
            </w:r>
          </w:p>
        </w:tc>
        <w:tc>
          <w:tcPr>
            <w:tcW w:w="809" w:type="dxa"/>
            <w:tcBorders>
              <w:top w:val="nil"/>
              <w:left w:val="nil"/>
              <w:bottom w:val="single" w:color="auto" w:sz="8" w:space="0"/>
              <w:right w:val="single" w:color="auto" w:sz="8" w:space="0"/>
            </w:tcBorders>
            <w:vAlign w:val="center"/>
            <w:hideMark/>
          </w:tcPr>
          <w:p w:rsidRPr="00821320" w:rsidR="00CE200A" w:rsidP="00B412DF" w:rsidRDefault="00CE200A" w14:paraId="584A9DF8"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104.449</w:t>
            </w:r>
          </w:p>
        </w:tc>
        <w:tc>
          <w:tcPr>
            <w:tcW w:w="892" w:type="dxa"/>
            <w:tcBorders>
              <w:top w:val="nil"/>
              <w:left w:val="nil"/>
              <w:bottom w:val="single" w:color="auto" w:sz="8" w:space="0"/>
              <w:right w:val="single" w:color="auto" w:sz="8" w:space="0"/>
            </w:tcBorders>
            <w:vAlign w:val="center"/>
            <w:hideMark/>
          </w:tcPr>
          <w:p w:rsidRPr="00821320" w:rsidR="00CE200A" w:rsidP="00B412DF" w:rsidRDefault="00CE200A" w14:paraId="419B213D"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103.615</w:t>
            </w:r>
          </w:p>
        </w:tc>
        <w:tc>
          <w:tcPr>
            <w:tcW w:w="851" w:type="dxa"/>
            <w:tcBorders>
              <w:top w:val="nil"/>
              <w:left w:val="nil"/>
              <w:bottom w:val="single" w:color="auto" w:sz="8" w:space="0"/>
              <w:right w:val="single" w:color="auto" w:sz="8" w:space="0"/>
            </w:tcBorders>
            <w:vAlign w:val="center"/>
            <w:hideMark/>
          </w:tcPr>
          <w:p w:rsidRPr="00821320" w:rsidR="00CE200A" w:rsidP="00B412DF" w:rsidRDefault="00CE200A" w14:paraId="7756FB72"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104.492</w:t>
            </w:r>
          </w:p>
        </w:tc>
        <w:tc>
          <w:tcPr>
            <w:tcW w:w="850" w:type="dxa"/>
            <w:tcBorders>
              <w:top w:val="nil"/>
              <w:left w:val="nil"/>
              <w:bottom w:val="single" w:color="auto" w:sz="8" w:space="0"/>
              <w:right w:val="single" w:color="auto" w:sz="8" w:space="0"/>
            </w:tcBorders>
            <w:vAlign w:val="center"/>
            <w:hideMark/>
          </w:tcPr>
          <w:p w:rsidRPr="00821320" w:rsidR="00CE200A" w:rsidP="00B412DF" w:rsidRDefault="00CE200A" w14:paraId="5EF93FE5"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104.492</w:t>
            </w:r>
          </w:p>
        </w:tc>
        <w:tc>
          <w:tcPr>
            <w:tcW w:w="851" w:type="dxa"/>
            <w:tcBorders>
              <w:top w:val="nil"/>
              <w:left w:val="nil"/>
              <w:bottom w:val="single" w:color="auto" w:sz="8" w:space="0"/>
              <w:right w:val="single" w:color="auto" w:sz="8" w:space="0"/>
            </w:tcBorders>
            <w:vAlign w:val="center"/>
            <w:hideMark/>
          </w:tcPr>
          <w:p w:rsidRPr="00821320" w:rsidR="00CE200A" w:rsidP="00B412DF" w:rsidRDefault="00CE200A" w14:paraId="1B151B38"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104.455</w:t>
            </w:r>
          </w:p>
        </w:tc>
        <w:tc>
          <w:tcPr>
            <w:tcW w:w="567" w:type="dxa"/>
            <w:tcBorders>
              <w:top w:val="nil"/>
              <w:left w:val="nil"/>
              <w:bottom w:val="single" w:color="auto" w:sz="8" w:space="0"/>
              <w:right w:val="single" w:color="auto" w:sz="8" w:space="0"/>
            </w:tcBorders>
            <w:vAlign w:val="center"/>
            <w:hideMark/>
          </w:tcPr>
          <w:p w:rsidRPr="00821320" w:rsidR="00CE200A" w:rsidP="00B412DF" w:rsidRDefault="00CE200A" w14:paraId="13C203D2"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-12</w:t>
            </w:r>
          </w:p>
        </w:tc>
        <w:tc>
          <w:tcPr>
            <w:tcW w:w="708" w:type="dxa"/>
            <w:tcBorders>
              <w:top w:val="nil"/>
              <w:left w:val="nil"/>
              <w:bottom w:val="single" w:color="auto" w:sz="8" w:space="0"/>
              <w:right w:val="single" w:color="auto" w:sz="8" w:space="0"/>
            </w:tcBorders>
            <w:vAlign w:val="center"/>
            <w:hideMark/>
          </w:tcPr>
          <w:p w:rsidRPr="00821320" w:rsidR="00CE200A" w:rsidP="00B412DF" w:rsidRDefault="00CE200A" w14:paraId="151945EA"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-43</w:t>
            </w:r>
          </w:p>
        </w:tc>
        <w:tc>
          <w:tcPr>
            <w:tcW w:w="567" w:type="dxa"/>
            <w:tcBorders>
              <w:top w:val="nil"/>
              <w:left w:val="nil"/>
              <w:bottom w:val="single" w:color="auto" w:sz="8" w:space="0"/>
              <w:right w:val="single" w:color="auto" w:sz="8" w:space="0"/>
            </w:tcBorders>
            <w:vAlign w:val="center"/>
            <w:hideMark/>
          </w:tcPr>
          <w:p w:rsidRPr="00821320" w:rsidR="00CE200A" w:rsidP="00B412DF" w:rsidRDefault="00CE200A" w14:paraId="059BE572"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-840</w:t>
            </w:r>
          </w:p>
        </w:tc>
      </w:tr>
    </w:tbl>
    <w:p w:rsidRPr="00821320" w:rsidR="00CE200A" w:rsidP="00B412DF" w:rsidRDefault="00CE200A" w14:paraId="3DE5D1F2" w14:textId="77777777">
      <w:pPr>
        <w:contextualSpacing/>
        <w:jc w:val="center"/>
        <w:rPr>
          <w:rFonts w:ascii="Verdana" w:hAnsi="Verdana" w:cstheme="minorBidi"/>
          <w:kern w:val="2"/>
          <w:sz w:val="18"/>
          <w:szCs w:val="18"/>
          <w:lang w:eastAsia="en-US"/>
        </w:rPr>
      </w:pPr>
      <w:r w:rsidRPr="00821320">
        <w:rPr>
          <w:rFonts w:ascii="Verdana" w:hAnsi="Verdana"/>
          <w:sz w:val="18"/>
          <w:szCs w:val="18"/>
        </w:rPr>
        <w:t>Fuente: Reporte FUT de la Categoría de Gastos de Funcionamiento e Inversión a 31 de diciembre de 2021 y Ejecución Presupuestal de la vigencia 2021.</w:t>
      </w:r>
    </w:p>
    <w:p w:rsidRPr="00821320" w:rsidR="00CE200A" w:rsidP="00B412DF" w:rsidRDefault="00CE200A" w14:paraId="34B40236" w14:textId="77777777">
      <w:pPr>
        <w:contextualSpacing/>
        <w:jc w:val="both"/>
        <w:rPr>
          <w:rFonts w:ascii="Verdana" w:hAnsi="Verdana"/>
          <w:sz w:val="22"/>
          <w:szCs w:val="22"/>
        </w:rPr>
      </w:pPr>
    </w:p>
    <w:p w:rsidRPr="00821320" w:rsidR="00CE200A" w:rsidP="00B412DF" w:rsidRDefault="00CE200A" w14:paraId="78C5AE86" w14:textId="77777777">
      <w:pPr>
        <w:contextualSpacing/>
        <w:jc w:val="both"/>
        <w:rPr>
          <w:rFonts w:ascii="Verdana" w:hAnsi="Verdana"/>
          <w:sz w:val="22"/>
          <w:szCs w:val="22"/>
        </w:rPr>
      </w:pPr>
      <w:r w:rsidRPr="00821320">
        <w:rPr>
          <w:rFonts w:ascii="Verdana" w:hAnsi="Verdana"/>
          <w:sz w:val="22"/>
          <w:szCs w:val="22"/>
        </w:rPr>
        <w:t xml:space="preserve">En cuanto a la diferencia entre lo registrado en la ejecución presupuestal y el reporte al FUT en los gastos de personal administrativo de las Instituciones Educativas y de la SED se identificó que la diferencia ($145 millones) se debe a la prima técnica que, de acuerdo con los registros presupuestales, </w:t>
      </w:r>
      <w:r w:rsidRPr="00821320" w:rsidR="003F498A">
        <w:rPr>
          <w:rFonts w:ascii="Verdana" w:hAnsi="Verdana"/>
          <w:sz w:val="22"/>
          <w:szCs w:val="22"/>
        </w:rPr>
        <w:t xml:space="preserve">corresponde a los </w:t>
      </w:r>
      <w:r w:rsidRPr="00821320">
        <w:rPr>
          <w:rFonts w:ascii="Verdana" w:hAnsi="Verdana"/>
          <w:sz w:val="22"/>
          <w:szCs w:val="22"/>
        </w:rPr>
        <w:t xml:space="preserve">administrativos de la SED y fue reportada al FUT en el personal administrativo de las Instituciones Educativas. </w:t>
      </w:r>
    </w:p>
    <w:p w:rsidRPr="00821320" w:rsidR="00CE200A" w:rsidP="00B412DF" w:rsidRDefault="00CE200A" w14:paraId="52C553DF" w14:textId="77777777">
      <w:pPr>
        <w:contextualSpacing/>
        <w:jc w:val="both"/>
        <w:rPr>
          <w:rFonts w:ascii="Verdana" w:hAnsi="Verdana"/>
          <w:sz w:val="22"/>
          <w:szCs w:val="22"/>
        </w:rPr>
      </w:pPr>
    </w:p>
    <w:p w:rsidRPr="00821320" w:rsidR="00CE200A" w:rsidP="00B412DF" w:rsidRDefault="00CE200A" w14:paraId="772F8254" w14:textId="77777777">
      <w:pPr>
        <w:contextualSpacing/>
        <w:jc w:val="both"/>
        <w:rPr>
          <w:rFonts w:ascii="Verdana" w:hAnsi="Verdana"/>
          <w:sz w:val="22"/>
          <w:szCs w:val="22"/>
          <w:lang w:val="es-CO"/>
        </w:rPr>
      </w:pPr>
      <w:r w:rsidRPr="00821320">
        <w:rPr>
          <w:rFonts w:ascii="Verdana" w:hAnsi="Verdana"/>
          <w:b/>
          <w:bCs/>
          <w:i/>
          <w:iCs/>
          <w:sz w:val="22"/>
          <w:szCs w:val="22"/>
        </w:rPr>
        <w:t>Vigencia 2022</w:t>
      </w:r>
      <w:r w:rsidRPr="00821320" w:rsidR="00151A1B">
        <w:rPr>
          <w:rFonts w:ascii="Verdana" w:hAnsi="Verdana"/>
          <w:b/>
          <w:bCs/>
          <w:i/>
          <w:iCs/>
          <w:sz w:val="22"/>
          <w:szCs w:val="22"/>
        </w:rPr>
        <w:t xml:space="preserve"> </w:t>
      </w:r>
    </w:p>
    <w:p w:rsidRPr="00821320" w:rsidR="00CE200A" w:rsidP="00B412DF" w:rsidRDefault="00CE200A" w14:paraId="74A7B511" w14:textId="77777777">
      <w:pPr>
        <w:contextualSpacing/>
        <w:jc w:val="both"/>
        <w:rPr>
          <w:rFonts w:ascii="Verdana" w:hAnsi="Verdana"/>
          <w:sz w:val="22"/>
          <w:szCs w:val="22"/>
        </w:rPr>
      </w:pPr>
      <w:r w:rsidRPr="00821320">
        <w:rPr>
          <w:rFonts w:ascii="Verdana" w:hAnsi="Verdana"/>
          <w:sz w:val="22"/>
          <w:szCs w:val="22"/>
        </w:rPr>
        <w:t> </w:t>
      </w:r>
    </w:p>
    <w:p w:rsidRPr="00821320" w:rsidR="00CE200A" w:rsidP="00B412DF" w:rsidRDefault="00CE200A" w14:paraId="60DA4463" w14:textId="77777777">
      <w:pPr>
        <w:contextualSpacing/>
        <w:jc w:val="both"/>
        <w:rPr>
          <w:rFonts w:ascii="Verdana" w:hAnsi="Verdana"/>
          <w:sz w:val="22"/>
          <w:szCs w:val="22"/>
        </w:rPr>
      </w:pPr>
      <w:r w:rsidRPr="00821320">
        <w:rPr>
          <w:rFonts w:ascii="Verdana" w:hAnsi="Verdana"/>
          <w:sz w:val="22"/>
          <w:szCs w:val="22"/>
        </w:rPr>
        <w:t xml:space="preserve">Ahora bien, a partir del análisis de la información financiera de la vigencia 2022, se identificaron diferencias en el reporte de recursos comprometidos, obligados y pagados asociados a distintos rubros, los cuales se pueden ver en detalle en la Tabla </w:t>
      </w:r>
      <w:r w:rsidR="00112712">
        <w:rPr>
          <w:rFonts w:ascii="Verdana" w:hAnsi="Verdana"/>
          <w:sz w:val="22"/>
          <w:szCs w:val="22"/>
        </w:rPr>
        <w:t>9</w:t>
      </w:r>
      <w:r w:rsidRPr="00821320">
        <w:rPr>
          <w:rFonts w:ascii="Verdana" w:hAnsi="Verdana"/>
          <w:sz w:val="22"/>
          <w:szCs w:val="22"/>
        </w:rPr>
        <w:t>. Para efectos de comprensión de la tabla, la columna nombrada con la letra “C” corresponde a Compromisos, la columna nombrada con la vocal “O” corresponde a Obligaciones y, por último, la columna nombrada con la letra “P” corresponde a Pagos. </w:t>
      </w:r>
    </w:p>
    <w:p w:rsidRPr="00821320" w:rsidR="00CE200A" w:rsidP="00B412DF" w:rsidRDefault="00CE200A" w14:paraId="307E6381" w14:textId="77777777">
      <w:pPr>
        <w:contextualSpacing/>
        <w:jc w:val="both"/>
        <w:rPr>
          <w:rFonts w:ascii="Verdana" w:hAnsi="Verdana"/>
          <w:sz w:val="22"/>
          <w:szCs w:val="22"/>
        </w:rPr>
      </w:pPr>
    </w:p>
    <w:tbl>
      <w:tblPr>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114"/>
        <w:gridCol w:w="809"/>
        <w:gridCol w:w="809"/>
        <w:gridCol w:w="809"/>
        <w:gridCol w:w="809"/>
        <w:gridCol w:w="809"/>
        <w:gridCol w:w="809"/>
        <w:gridCol w:w="816"/>
        <w:gridCol w:w="709"/>
        <w:gridCol w:w="708"/>
      </w:tblGrid>
      <w:tr w:rsidRPr="00821320" w:rsidR="00CE200A" w:rsidTr="00357DFD" w14:paraId="7C58580D" w14:textId="77777777">
        <w:trPr>
          <w:trHeight w:val="20"/>
          <w:tblHeader/>
          <w:jc w:val="center"/>
        </w:trPr>
        <w:tc>
          <w:tcPr>
            <w:tcW w:w="10201" w:type="dxa"/>
            <w:gridSpan w:val="10"/>
            <w:tcBorders>
              <w:top w:val="single" w:color="auto" w:sz="4" w:space="0"/>
              <w:left w:val="single" w:color="auto" w:sz="4" w:space="0"/>
              <w:bottom w:val="single" w:color="auto" w:sz="4" w:space="0"/>
              <w:right w:val="single" w:color="auto" w:sz="4" w:space="0"/>
            </w:tcBorders>
            <w:shd w:val="clear" w:color="auto" w:fill="B48C41"/>
            <w:hideMark/>
          </w:tcPr>
          <w:p w:rsidRPr="00821320" w:rsidR="00CE200A" w:rsidP="00B412DF" w:rsidRDefault="00CE200A" w14:paraId="7BBC2806" w14:textId="77777777">
            <w:pPr>
              <w:jc w:val="center"/>
              <w:rPr>
                <w:rFonts w:ascii="Verdana" w:hAnsi="Verdana" w:eastAsia="Times New Roman" w:cs="Calibri"/>
                <w:b/>
                <w:bCs/>
                <w:color w:val="FFFFFF" w:themeColor="background1"/>
                <w:sz w:val="16"/>
                <w:szCs w:val="16"/>
                <w:lang w:eastAsia="es-CO"/>
              </w:rPr>
            </w:pPr>
            <w:r w:rsidRPr="00821320">
              <w:rPr>
                <w:rFonts w:ascii="Verdana" w:hAnsi="Verdana" w:eastAsia="Times New Roman" w:cs="Calibri"/>
                <w:b/>
                <w:bCs/>
                <w:color w:val="FFFFFF" w:themeColor="background1"/>
                <w:sz w:val="16"/>
                <w:szCs w:val="16"/>
                <w:lang w:eastAsia="es-CO"/>
              </w:rPr>
              <w:t xml:space="preserve">TABLA </w:t>
            </w:r>
            <w:r w:rsidR="00112712">
              <w:rPr>
                <w:rFonts w:ascii="Verdana" w:hAnsi="Verdana" w:eastAsia="Times New Roman" w:cs="Calibri"/>
                <w:b/>
                <w:bCs/>
                <w:color w:val="FFFFFF" w:themeColor="background1"/>
                <w:sz w:val="16"/>
                <w:szCs w:val="16"/>
                <w:lang w:eastAsia="es-CO"/>
              </w:rPr>
              <w:t>9</w:t>
            </w:r>
            <w:r w:rsidRPr="00821320">
              <w:rPr>
                <w:rFonts w:ascii="Verdana" w:hAnsi="Verdana" w:eastAsia="Times New Roman" w:cs="Calibri"/>
                <w:b/>
                <w:bCs/>
                <w:color w:val="FFFFFF" w:themeColor="background1"/>
                <w:sz w:val="16"/>
                <w:szCs w:val="16"/>
                <w:lang w:eastAsia="es-CO"/>
              </w:rPr>
              <w:t>. DIFERENCIAS PRESENTADAS EN EL REPORTE CUIPO VIGENCIA 2022 (EN MILLONES DE $)</w:t>
            </w:r>
          </w:p>
        </w:tc>
      </w:tr>
      <w:tr w:rsidRPr="00821320" w:rsidR="00CE200A" w:rsidTr="00357DFD" w14:paraId="17C96330" w14:textId="77777777">
        <w:trPr>
          <w:trHeight w:val="20"/>
          <w:tblHeader/>
          <w:jc w:val="center"/>
        </w:trPr>
        <w:tc>
          <w:tcPr>
            <w:tcW w:w="3114" w:type="dxa"/>
            <w:tcBorders>
              <w:top w:val="single" w:color="auto" w:sz="4" w:space="0"/>
              <w:left w:val="single" w:color="auto" w:sz="4" w:space="0"/>
              <w:bottom w:val="single" w:color="auto" w:sz="4" w:space="0"/>
              <w:right w:val="single" w:color="auto" w:sz="4" w:space="0"/>
            </w:tcBorders>
            <w:shd w:val="clear" w:color="auto" w:fill="F1EADA"/>
            <w:noWrap/>
            <w:hideMark/>
          </w:tcPr>
          <w:p w:rsidRPr="00821320" w:rsidR="00CE200A" w:rsidP="00B412DF" w:rsidRDefault="00CE200A" w14:paraId="6436DDE3"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RUBRO </w:t>
            </w:r>
          </w:p>
        </w:tc>
        <w:tc>
          <w:tcPr>
            <w:tcW w:w="2427" w:type="dxa"/>
            <w:gridSpan w:val="3"/>
            <w:tcBorders>
              <w:top w:val="single" w:color="auto" w:sz="4" w:space="0"/>
              <w:left w:val="single" w:color="auto" w:sz="4" w:space="0"/>
              <w:bottom w:val="single" w:color="auto" w:sz="4" w:space="0"/>
              <w:right w:val="single" w:color="auto" w:sz="4" w:space="0"/>
            </w:tcBorders>
            <w:shd w:val="clear" w:color="auto" w:fill="F1EADA"/>
            <w:noWrap/>
            <w:hideMark/>
          </w:tcPr>
          <w:p w:rsidRPr="00821320" w:rsidR="00CE200A" w:rsidP="00B412DF" w:rsidRDefault="00CE200A" w14:paraId="27EB2E59"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EJECUCIÓN PRESUPUESTAL</w:t>
            </w:r>
          </w:p>
        </w:tc>
        <w:tc>
          <w:tcPr>
            <w:tcW w:w="2427" w:type="dxa"/>
            <w:gridSpan w:val="3"/>
            <w:tcBorders>
              <w:top w:val="single" w:color="auto" w:sz="4" w:space="0"/>
              <w:left w:val="single" w:color="auto" w:sz="4" w:space="0"/>
              <w:bottom w:val="single" w:color="auto" w:sz="4" w:space="0"/>
              <w:right w:val="single" w:color="auto" w:sz="4" w:space="0"/>
            </w:tcBorders>
            <w:shd w:val="clear" w:color="auto" w:fill="F1EADA"/>
            <w:noWrap/>
            <w:hideMark/>
          </w:tcPr>
          <w:p w:rsidRPr="00821320" w:rsidR="00CE200A" w:rsidP="00B412DF" w:rsidRDefault="00CE200A" w14:paraId="045DE0DB"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 xml:space="preserve">REPORTE </w:t>
            </w:r>
            <w:r w:rsidRPr="00821320" w:rsidR="0072649A">
              <w:rPr>
                <w:rFonts w:ascii="Verdana" w:hAnsi="Verdana" w:eastAsia="Times New Roman" w:cs="Calibri"/>
                <w:b/>
                <w:bCs/>
                <w:color w:val="000000"/>
                <w:sz w:val="16"/>
                <w:szCs w:val="16"/>
                <w:lang w:eastAsia="es-CO"/>
              </w:rPr>
              <w:t>CUIPO</w:t>
            </w:r>
          </w:p>
        </w:tc>
        <w:tc>
          <w:tcPr>
            <w:tcW w:w="2233" w:type="dxa"/>
            <w:gridSpan w:val="3"/>
            <w:tcBorders>
              <w:top w:val="single" w:color="auto" w:sz="4" w:space="0"/>
              <w:left w:val="single" w:color="auto" w:sz="4" w:space="0"/>
              <w:bottom w:val="single" w:color="auto" w:sz="4" w:space="0"/>
              <w:right w:val="single" w:color="auto" w:sz="4" w:space="0"/>
            </w:tcBorders>
            <w:shd w:val="clear" w:color="auto" w:fill="F1EADA"/>
            <w:noWrap/>
            <w:hideMark/>
          </w:tcPr>
          <w:p w:rsidRPr="00821320" w:rsidR="00CE200A" w:rsidP="00B412DF" w:rsidRDefault="00CE200A" w14:paraId="2087E0D7"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 xml:space="preserve">DIFERENCIA (EJECUCIÓN – REPORTE </w:t>
            </w:r>
            <w:r w:rsidRPr="00821320" w:rsidR="0072649A">
              <w:rPr>
                <w:rFonts w:ascii="Verdana" w:hAnsi="Verdana" w:eastAsia="Times New Roman" w:cs="Calibri"/>
                <w:b/>
                <w:bCs/>
                <w:color w:val="000000"/>
                <w:sz w:val="16"/>
                <w:szCs w:val="16"/>
                <w:lang w:eastAsia="es-CO"/>
              </w:rPr>
              <w:t>CUIPO</w:t>
            </w:r>
            <w:r w:rsidRPr="00821320">
              <w:rPr>
                <w:rFonts w:ascii="Verdana" w:hAnsi="Verdana" w:eastAsia="Times New Roman" w:cs="Calibri"/>
                <w:b/>
                <w:bCs/>
                <w:color w:val="000000"/>
                <w:sz w:val="16"/>
                <w:szCs w:val="16"/>
                <w:lang w:eastAsia="es-CO"/>
              </w:rPr>
              <w:t>)</w:t>
            </w:r>
          </w:p>
        </w:tc>
      </w:tr>
      <w:tr w:rsidRPr="00821320" w:rsidR="003F498A" w:rsidTr="00357DFD" w14:paraId="66802ED9" w14:textId="77777777">
        <w:trPr>
          <w:trHeight w:val="20"/>
          <w:tblHeader/>
          <w:jc w:val="center"/>
        </w:trPr>
        <w:tc>
          <w:tcPr>
            <w:tcW w:w="311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21320" w:rsidR="00CE200A" w:rsidP="00B412DF" w:rsidRDefault="00CE200A" w14:paraId="23EEDC11"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COBERTURA</w:t>
            </w:r>
          </w:p>
        </w:tc>
        <w:tc>
          <w:tcPr>
            <w:tcW w:w="80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21320" w:rsidR="00CE200A" w:rsidP="00B412DF" w:rsidRDefault="00CE200A" w14:paraId="1D7D316C"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C</w:t>
            </w:r>
          </w:p>
        </w:tc>
        <w:tc>
          <w:tcPr>
            <w:tcW w:w="80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21320" w:rsidR="00CE200A" w:rsidP="00B412DF" w:rsidRDefault="00CE200A" w14:paraId="66DDCD61"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O</w:t>
            </w:r>
          </w:p>
        </w:tc>
        <w:tc>
          <w:tcPr>
            <w:tcW w:w="80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21320" w:rsidR="00CE200A" w:rsidP="00B412DF" w:rsidRDefault="00CE200A" w14:paraId="661CF793"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P</w:t>
            </w:r>
          </w:p>
        </w:tc>
        <w:tc>
          <w:tcPr>
            <w:tcW w:w="80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21320" w:rsidR="00CE200A" w:rsidP="00B412DF" w:rsidRDefault="00CE200A" w14:paraId="0052AD7B"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C</w:t>
            </w:r>
          </w:p>
        </w:tc>
        <w:tc>
          <w:tcPr>
            <w:tcW w:w="80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21320" w:rsidR="00CE200A" w:rsidP="00B412DF" w:rsidRDefault="00CE200A" w14:paraId="7ED5EA72"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O</w:t>
            </w:r>
          </w:p>
        </w:tc>
        <w:tc>
          <w:tcPr>
            <w:tcW w:w="80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21320" w:rsidR="00CE200A" w:rsidP="00B412DF" w:rsidRDefault="00CE200A" w14:paraId="6F902268"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P</w:t>
            </w:r>
          </w:p>
        </w:tc>
        <w:tc>
          <w:tcPr>
            <w:tcW w:w="81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21320" w:rsidR="00CE200A" w:rsidP="00B412DF" w:rsidRDefault="00CE200A" w14:paraId="0784D5EA"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C</w:t>
            </w:r>
          </w:p>
        </w:tc>
        <w:tc>
          <w:tcPr>
            <w:tcW w:w="70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21320" w:rsidR="00CE200A" w:rsidP="00B412DF" w:rsidRDefault="00CE200A" w14:paraId="0E0F154D"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O</w:t>
            </w:r>
          </w:p>
        </w:tc>
        <w:tc>
          <w:tcPr>
            <w:tcW w:w="708"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21320" w:rsidR="00CE200A" w:rsidP="00B412DF" w:rsidRDefault="00CE200A" w14:paraId="73B0F3A6"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P</w:t>
            </w:r>
          </w:p>
        </w:tc>
      </w:tr>
      <w:tr w:rsidRPr="00821320" w:rsidR="00CE200A" w:rsidTr="00357DFD" w14:paraId="2893F51A" w14:textId="77777777">
        <w:trPr>
          <w:trHeight w:val="20"/>
          <w:jc w:val="center"/>
        </w:trPr>
        <w:tc>
          <w:tcPr>
            <w:tcW w:w="10201" w:type="dxa"/>
            <w:gridSpan w:val="10"/>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21320" w:rsidR="00CE200A" w:rsidP="00B412DF" w:rsidRDefault="00CE200A" w14:paraId="5E922B4C"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GASTOS DE PERSONAL</w:t>
            </w:r>
          </w:p>
        </w:tc>
      </w:tr>
      <w:tr w:rsidRPr="00821320" w:rsidR="003F498A" w:rsidTr="00357DFD" w14:paraId="0B24CA5B" w14:textId="77777777">
        <w:trPr>
          <w:trHeight w:val="20"/>
          <w:jc w:val="center"/>
        </w:trPr>
        <w:tc>
          <w:tcPr>
            <w:tcW w:w="3114"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4F2EAEE6" w14:textId="77777777">
            <w:pP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Personal Administrativo de Instituciones Educativas</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4CF8A032"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2.850</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7926748E"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2.850</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535255FC"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2.850</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18B97BB1"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4.144</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1ECAF24B"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4.144</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6ABDFB8A"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4.144</w:t>
            </w:r>
          </w:p>
        </w:tc>
        <w:tc>
          <w:tcPr>
            <w:tcW w:w="816"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1567C43D"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-1.294</w:t>
            </w:r>
          </w:p>
        </w:tc>
        <w:tc>
          <w:tcPr>
            <w:tcW w:w="7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48E0093D"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-1.294</w:t>
            </w:r>
          </w:p>
        </w:tc>
        <w:tc>
          <w:tcPr>
            <w:tcW w:w="708"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55CF4206"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-1.294</w:t>
            </w:r>
          </w:p>
        </w:tc>
      </w:tr>
      <w:tr w:rsidRPr="00821320" w:rsidR="003F498A" w:rsidTr="00357DFD" w14:paraId="7EC31AB7" w14:textId="77777777">
        <w:trPr>
          <w:trHeight w:val="20"/>
          <w:jc w:val="center"/>
        </w:trPr>
        <w:tc>
          <w:tcPr>
            <w:tcW w:w="3114"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1D73C74C" w14:textId="77777777">
            <w:pP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Personal Administrativo Secretaría de Educación</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7DB177F6"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1.294</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1C5411E7"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1.294</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603F965E"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1.294</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027890FC"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665EB82F"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5ACCDC76"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w:t>
            </w:r>
          </w:p>
        </w:tc>
        <w:tc>
          <w:tcPr>
            <w:tcW w:w="816"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00326F3E"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1.294</w:t>
            </w:r>
          </w:p>
        </w:tc>
        <w:tc>
          <w:tcPr>
            <w:tcW w:w="7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29E23EDE"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1.294</w:t>
            </w:r>
          </w:p>
        </w:tc>
        <w:tc>
          <w:tcPr>
            <w:tcW w:w="708"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67929DF8"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1.294</w:t>
            </w:r>
          </w:p>
        </w:tc>
      </w:tr>
      <w:tr w:rsidRPr="00821320" w:rsidR="00CE200A" w:rsidTr="00357DFD" w14:paraId="7173438E" w14:textId="77777777">
        <w:trPr>
          <w:trHeight w:val="20"/>
          <w:jc w:val="center"/>
        </w:trPr>
        <w:tc>
          <w:tcPr>
            <w:tcW w:w="10201" w:type="dxa"/>
            <w:gridSpan w:val="10"/>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21320" w:rsidR="00CE200A" w:rsidP="00B412DF" w:rsidRDefault="00CE200A" w14:paraId="1DE4E6B4"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APORTES PATRONALES</w:t>
            </w:r>
          </w:p>
        </w:tc>
      </w:tr>
      <w:tr w:rsidRPr="00821320" w:rsidR="003F498A" w:rsidTr="00357DFD" w14:paraId="0BD2C773" w14:textId="77777777">
        <w:trPr>
          <w:trHeight w:val="20"/>
          <w:jc w:val="center"/>
        </w:trPr>
        <w:tc>
          <w:tcPr>
            <w:tcW w:w="3114"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6DF39951" w14:textId="77777777">
            <w:pP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lastRenderedPageBreak/>
              <w:t>Personal Administrativo de Instituciones Educativas (A.P)</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354DA6A5"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978</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7EFEE945"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978</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1447FA66"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918</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285DD81F"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1.399</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3338F887"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1.399</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2BA30FA9"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1.297</w:t>
            </w:r>
          </w:p>
        </w:tc>
        <w:tc>
          <w:tcPr>
            <w:tcW w:w="816"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299C9E36"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-421</w:t>
            </w:r>
          </w:p>
        </w:tc>
        <w:tc>
          <w:tcPr>
            <w:tcW w:w="7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786E52F5"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-421</w:t>
            </w:r>
          </w:p>
        </w:tc>
        <w:tc>
          <w:tcPr>
            <w:tcW w:w="708"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3B717CF0"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-379</w:t>
            </w:r>
          </w:p>
        </w:tc>
      </w:tr>
      <w:tr w:rsidRPr="00821320" w:rsidR="003F498A" w:rsidTr="00357DFD" w14:paraId="3DF2E4CD" w14:textId="77777777">
        <w:trPr>
          <w:trHeight w:val="20"/>
          <w:jc w:val="center"/>
        </w:trPr>
        <w:tc>
          <w:tcPr>
            <w:tcW w:w="3114"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303A4C76" w14:textId="77777777">
            <w:pP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-Personal Administrativo Secretaría de Educación (A.P)</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479421DC"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421</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18E3CA58"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421</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75D64824"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379</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389A736E"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184B2199"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1554ADDF"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w:t>
            </w:r>
          </w:p>
        </w:tc>
        <w:tc>
          <w:tcPr>
            <w:tcW w:w="816"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6C9EFBD5"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421</w:t>
            </w:r>
          </w:p>
        </w:tc>
        <w:tc>
          <w:tcPr>
            <w:tcW w:w="7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2A300095"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421</w:t>
            </w:r>
          </w:p>
        </w:tc>
        <w:tc>
          <w:tcPr>
            <w:tcW w:w="708"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0E9324AE" w14:textId="77777777">
            <w:pPr>
              <w:jc w:val="center"/>
              <w:rPr>
                <w:rFonts w:ascii="Verdana" w:hAnsi="Verdana" w:eastAsia="Times New Roman" w:cs="Calibri"/>
                <w:b/>
                <w:bCs/>
                <w:color w:val="FF0000"/>
                <w:sz w:val="16"/>
                <w:szCs w:val="16"/>
                <w:lang w:eastAsia="es-CO"/>
              </w:rPr>
            </w:pPr>
            <w:r w:rsidRPr="00821320">
              <w:rPr>
                <w:rFonts w:ascii="Verdana" w:hAnsi="Verdana" w:eastAsia="Times New Roman" w:cs="Calibri"/>
                <w:b/>
                <w:bCs/>
                <w:color w:val="FF0000"/>
                <w:sz w:val="16"/>
                <w:szCs w:val="16"/>
                <w:lang w:eastAsia="es-CO"/>
              </w:rPr>
              <w:t>379</w:t>
            </w:r>
          </w:p>
        </w:tc>
      </w:tr>
      <w:tr w:rsidRPr="00821320" w:rsidR="003F498A" w:rsidTr="00357DFD" w14:paraId="47B6291C" w14:textId="77777777">
        <w:trPr>
          <w:trHeight w:val="20"/>
          <w:jc w:val="center"/>
        </w:trPr>
        <w:tc>
          <w:tcPr>
            <w:tcW w:w="311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821320" w:rsidR="00CE200A" w:rsidP="00B412DF" w:rsidRDefault="00A517BF" w14:paraId="2A407227" w14:textId="77777777">
            <w:pPr>
              <w:jc w:val="center"/>
              <w:rPr>
                <w:rFonts w:ascii="Verdana" w:hAnsi="Verdana" w:eastAsia="Times New Roman" w:cs="Calibri"/>
                <w:b/>
                <w:bCs/>
                <w:color w:val="000000"/>
                <w:sz w:val="16"/>
                <w:szCs w:val="16"/>
                <w:lang w:eastAsia="es-CO"/>
              </w:rPr>
            </w:pPr>
            <w:proofErr w:type="gramStart"/>
            <w:r w:rsidRPr="00821320">
              <w:rPr>
                <w:rFonts w:ascii="Verdana" w:hAnsi="Verdana" w:eastAsia="Times New Roman" w:cs="Calibri"/>
                <w:b/>
                <w:bCs/>
                <w:color w:val="000000"/>
                <w:sz w:val="16"/>
                <w:szCs w:val="16"/>
                <w:lang w:eastAsia="es-CO"/>
              </w:rPr>
              <w:t>TOTAL</w:t>
            </w:r>
            <w:proofErr w:type="gramEnd"/>
            <w:r w:rsidRPr="00821320">
              <w:rPr>
                <w:rFonts w:ascii="Verdana" w:hAnsi="Verdana" w:eastAsia="Times New Roman" w:cs="Calibri"/>
                <w:b/>
                <w:bCs/>
                <w:color w:val="000000"/>
                <w:sz w:val="16"/>
                <w:szCs w:val="16"/>
                <w:lang w:eastAsia="es-CO"/>
              </w:rPr>
              <w:t xml:space="preserve"> COMPROMISOS</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0568084E"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108.806</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03134C6A"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108.011</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16673B34"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107.691</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1156F251"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108.806</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4F9ACF4A"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108.011</w:t>
            </w:r>
          </w:p>
        </w:tc>
        <w:tc>
          <w:tcPr>
            <w:tcW w:w="8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010F16C3" w14:textId="77777777">
            <w:pPr>
              <w:jc w:val="center"/>
              <w:rPr>
                <w:rFonts w:ascii="Verdana" w:hAnsi="Verdana" w:eastAsia="Times New Roman" w:cs="Calibri"/>
                <w:color w:val="000000"/>
                <w:sz w:val="16"/>
                <w:szCs w:val="16"/>
                <w:lang w:eastAsia="es-CO"/>
              </w:rPr>
            </w:pPr>
            <w:r w:rsidRPr="00821320">
              <w:rPr>
                <w:rFonts w:ascii="Verdana" w:hAnsi="Verdana" w:eastAsia="Times New Roman" w:cs="Calibri"/>
                <w:color w:val="000000"/>
                <w:sz w:val="16"/>
                <w:szCs w:val="16"/>
                <w:lang w:eastAsia="es-CO"/>
              </w:rPr>
              <w:t>107.691</w:t>
            </w:r>
          </w:p>
        </w:tc>
        <w:tc>
          <w:tcPr>
            <w:tcW w:w="816"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3AE8F841"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-0</w:t>
            </w:r>
          </w:p>
        </w:tc>
        <w:tc>
          <w:tcPr>
            <w:tcW w:w="709"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16889F0C"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-0</w:t>
            </w:r>
          </w:p>
        </w:tc>
        <w:tc>
          <w:tcPr>
            <w:tcW w:w="708" w:type="dxa"/>
            <w:tcBorders>
              <w:top w:val="single" w:color="auto" w:sz="4" w:space="0"/>
              <w:left w:val="single" w:color="auto" w:sz="4" w:space="0"/>
              <w:bottom w:val="single" w:color="auto" w:sz="4" w:space="0"/>
              <w:right w:val="single" w:color="auto" w:sz="4" w:space="0"/>
            </w:tcBorders>
            <w:vAlign w:val="center"/>
            <w:hideMark/>
          </w:tcPr>
          <w:p w:rsidRPr="00821320" w:rsidR="00CE200A" w:rsidP="00B412DF" w:rsidRDefault="00CE200A" w14:paraId="124A4E9A" w14:textId="77777777">
            <w:pPr>
              <w:jc w:val="center"/>
              <w:rPr>
                <w:rFonts w:ascii="Verdana" w:hAnsi="Verdana" w:eastAsia="Times New Roman" w:cs="Calibri"/>
                <w:b/>
                <w:bCs/>
                <w:color w:val="000000"/>
                <w:sz w:val="16"/>
                <w:szCs w:val="16"/>
                <w:lang w:eastAsia="es-CO"/>
              </w:rPr>
            </w:pPr>
            <w:r w:rsidRPr="00821320">
              <w:rPr>
                <w:rFonts w:ascii="Verdana" w:hAnsi="Verdana" w:eastAsia="Times New Roman" w:cs="Calibri"/>
                <w:b/>
                <w:bCs/>
                <w:color w:val="000000"/>
                <w:sz w:val="16"/>
                <w:szCs w:val="16"/>
                <w:lang w:eastAsia="es-CO"/>
              </w:rPr>
              <w:t>-0</w:t>
            </w:r>
          </w:p>
        </w:tc>
      </w:tr>
    </w:tbl>
    <w:p w:rsidRPr="00821320" w:rsidR="00CE200A" w:rsidP="00B412DF" w:rsidRDefault="00CE200A" w14:paraId="3253F5BC" w14:textId="77777777">
      <w:pPr>
        <w:contextualSpacing/>
        <w:jc w:val="center"/>
        <w:rPr>
          <w:rFonts w:ascii="Verdana" w:hAnsi="Verdana" w:cstheme="minorBidi"/>
          <w:kern w:val="2"/>
          <w:sz w:val="18"/>
          <w:szCs w:val="18"/>
          <w:lang w:eastAsia="en-US"/>
        </w:rPr>
      </w:pPr>
      <w:r w:rsidRPr="00821320">
        <w:rPr>
          <w:rFonts w:ascii="Verdana" w:hAnsi="Verdana"/>
          <w:sz w:val="18"/>
          <w:szCs w:val="18"/>
        </w:rPr>
        <w:t xml:space="preserve">Fuente: Reporte </w:t>
      </w:r>
      <w:r w:rsidRPr="00821320" w:rsidR="0072649A">
        <w:rPr>
          <w:rFonts w:ascii="Verdana" w:hAnsi="Verdana"/>
          <w:sz w:val="18"/>
          <w:szCs w:val="18"/>
        </w:rPr>
        <w:t>CUIPO</w:t>
      </w:r>
      <w:r w:rsidRPr="00821320">
        <w:rPr>
          <w:rFonts w:ascii="Verdana" w:hAnsi="Verdana"/>
          <w:sz w:val="18"/>
          <w:szCs w:val="18"/>
        </w:rPr>
        <w:t xml:space="preserve"> a 31 de diciembre de 2022 y Ejecución Presupuestal de la vigencia 2022.</w:t>
      </w:r>
    </w:p>
    <w:p w:rsidRPr="00821320" w:rsidR="00CE200A" w:rsidP="00B412DF" w:rsidRDefault="00CE200A" w14:paraId="5A06E99D" w14:textId="77777777">
      <w:pPr>
        <w:contextualSpacing/>
        <w:jc w:val="both"/>
        <w:rPr>
          <w:rFonts w:ascii="Verdana" w:hAnsi="Verdana"/>
          <w:sz w:val="22"/>
          <w:szCs w:val="22"/>
          <w:lang w:val="es-CO"/>
        </w:rPr>
      </w:pPr>
    </w:p>
    <w:p w:rsidR="00CE200A" w:rsidP="00B412DF" w:rsidRDefault="00CE200A" w14:paraId="563D0E57" w14:textId="77777777">
      <w:pPr>
        <w:contextualSpacing/>
        <w:jc w:val="both"/>
        <w:rPr>
          <w:rFonts w:ascii="Verdana" w:hAnsi="Verdana"/>
          <w:sz w:val="22"/>
          <w:szCs w:val="22"/>
        </w:rPr>
      </w:pPr>
      <w:r w:rsidRPr="00821320">
        <w:rPr>
          <w:rFonts w:ascii="Verdana" w:hAnsi="Verdana"/>
          <w:sz w:val="22"/>
          <w:szCs w:val="22"/>
        </w:rPr>
        <w:t>A</w:t>
      </w:r>
      <w:r w:rsidRPr="00821320" w:rsidR="0072649A">
        <w:rPr>
          <w:rFonts w:ascii="Verdana" w:hAnsi="Verdana"/>
          <w:sz w:val="22"/>
          <w:szCs w:val="22"/>
        </w:rPr>
        <w:t xml:space="preserve"> partir de lo anterior, </w:t>
      </w:r>
      <w:r w:rsidRPr="00821320">
        <w:rPr>
          <w:rFonts w:ascii="Verdana" w:hAnsi="Verdana"/>
          <w:sz w:val="22"/>
          <w:szCs w:val="22"/>
        </w:rPr>
        <w:t>se observ</w:t>
      </w:r>
      <w:r w:rsidRPr="00821320" w:rsidR="0072649A">
        <w:rPr>
          <w:rFonts w:ascii="Verdana" w:hAnsi="Verdana"/>
          <w:sz w:val="22"/>
          <w:szCs w:val="22"/>
        </w:rPr>
        <w:t>a</w:t>
      </w:r>
      <w:r w:rsidRPr="00821320">
        <w:rPr>
          <w:rFonts w:ascii="Verdana" w:hAnsi="Verdana"/>
          <w:sz w:val="22"/>
          <w:szCs w:val="22"/>
        </w:rPr>
        <w:t xml:space="preserve"> que la Entidad no registró compromisos en la sección de gastos de funcionamiento, por lo tanto, se encontró que los compromisos asociados al personal administrativo de la Secretaría de Educación fueron reportados en la sección de gastos de inversión como compromisos del personal administrativo de las Instituciones Educativas. </w:t>
      </w:r>
    </w:p>
    <w:p w:rsidR="00B95E00" w:rsidP="00B412DF" w:rsidRDefault="00B95E00" w14:paraId="7F5C056E" w14:textId="77777777">
      <w:pPr>
        <w:contextualSpacing/>
        <w:jc w:val="both"/>
        <w:rPr>
          <w:rFonts w:ascii="Verdana" w:hAnsi="Verdana"/>
          <w:sz w:val="22"/>
          <w:szCs w:val="22"/>
        </w:rPr>
      </w:pPr>
    </w:p>
    <w:p w:rsidRPr="00821320" w:rsidR="00B95E00" w:rsidP="00B412DF" w:rsidRDefault="00B95E00" w14:paraId="08494766" w14:textId="77777777">
      <w:pPr>
        <w:contextualSpacing/>
        <w:jc w:val="both"/>
        <w:rPr>
          <w:rFonts w:ascii="Verdana" w:hAnsi="Verdana"/>
          <w:sz w:val="22"/>
          <w:szCs w:val="22"/>
          <w:lang w:val="es-CO"/>
        </w:rPr>
      </w:pPr>
      <w:r w:rsidRPr="00821320">
        <w:rPr>
          <w:rFonts w:ascii="Verdana" w:hAnsi="Verdana"/>
          <w:b/>
          <w:bCs/>
          <w:i/>
          <w:iCs/>
          <w:sz w:val="22"/>
          <w:szCs w:val="22"/>
        </w:rPr>
        <w:t>Vigencia 202</w:t>
      </w:r>
      <w:r>
        <w:rPr>
          <w:rFonts w:ascii="Verdana" w:hAnsi="Verdana"/>
          <w:b/>
          <w:bCs/>
          <w:i/>
          <w:iCs/>
          <w:sz w:val="22"/>
          <w:szCs w:val="22"/>
        </w:rPr>
        <w:t>3</w:t>
      </w:r>
      <w:r w:rsidRPr="00821320">
        <w:rPr>
          <w:rFonts w:ascii="Verdana" w:hAnsi="Verdana"/>
          <w:b/>
          <w:bCs/>
          <w:i/>
          <w:iCs/>
          <w:sz w:val="22"/>
          <w:szCs w:val="22"/>
        </w:rPr>
        <w:t xml:space="preserve"> </w:t>
      </w:r>
    </w:p>
    <w:p w:rsidR="00B95E00" w:rsidP="00B412DF" w:rsidRDefault="00B95E00" w14:paraId="7E44C009" w14:textId="77777777">
      <w:pPr>
        <w:contextualSpacing/>
        <w:jc w:val="both"/>
        <w:rPr>
          <w:rFonts w:ascii="Verdana" w:hAnsi="Verdana"/>
          <w:sz w:val="22"/>
          <w:szCs w:val="22"/>
        </w:rPr>
      </w:pPr>
    </w:p>
    <w:p w:rsidRPr="00821320" w:rsidR="00B95E00" w:rsidP="00B412DF" w:rsidRDefault="00B95E00" w14:paraId="2E880B03" w14:textId="77777777">
      <w:pPr>
        <w:contextualSpacing/>
        <w:jc w:val="both"/>
        <w:rPr>
          <w:rFonts w:ascii="Verdana" w:hAnsi="Verdana"/>
          <w:sz w:val="22"/>
          <w:szCs w:val="22"/>
        </w:rPr>
      </w:pPr>
      <w:r>
        <w:rPr>
          <w:rFonts w:ascii="Verdana" w:hAnsi="Verdana"/>
          <w:sz w:val="22"/>
          <w:szCs w:val="22"/>
        </w:rPr>
        <w:t xml:space="preserve">Para finalizar, </w:t>
      </w:r>
      <w:r w:rsidRPr="00821320">
        <w:rPr>
          <w:rFonts w:ascii="Verdana" w:hAnsi="Verdana"/>
          <w:sz w:val="22"/>
          <w:szCs w:val="22"/>
        </w:rPr>
        <w:t>a partir del análisis de la información financiera de la vigencia 202</w:t>
      </w:r>
      <w:r>
        <w:rPr>
          <w:rFonts w:ascii="Verdana" w:hAnsi="Verdana"/>
          <w:sz w:val="22"/>
          <w:szCs w:val="22"/>
        </w:rPr>
        <w:t>3</w:t>
      </w:r>
      <w:r w:rsidRPr="00821320">
        <w:rPr>
          <w:rFonts w:ascii="Verdana" w:hAnsi="Verdana"/>
          <w:sz w:val="22"/>
          <w:szCs w:val="22"/>
        </w:rPr>
        <w:t xml:space="preserve">, se identificaron diferencias en el reporte de recursos comprometidos, obligados y pagados asociados a distintos rubros, los cuales se pueden ver en detalle en la Tabla </w:t>
      </w:r>
      <w:r>
        <w:rPr>
          <w:rFonts w:ascii="Verdana" w:hAnsi="Verdana"/>
          <w:sz w:val="22"/>
          <w:szCs w:val="22"/>
        </w:rPr>
        <w:t>10.</w:t>
      </w:r>
      <w:r w:rsidRPr="00821320">
        <w:rPr>
          <w:rFonts w:ascii="Verdana" w:hAnsi="Verdana"/>
          <w:sz w:val="22"/>
          <w:szCs w:val="22"/>
        </w:rPr>
        <w:t xml:space="preserve"> Para efectos de comprensión de la tabla, la columna nombrada con la letra “C” corresponde a Compromisos, la columna nombrada con la vocal “O” corresponde a Obligaciones y, por último, la columna nombrada con la letra “P” corresponde a Pagos. </w:t>
      </w:r>
    </w:p>
    <w:p w:rsidRPr="00821320" w:rsidR="0072649A" w:rsidP="00B412DF" w:rsidRDefault="0072649A" w14:paraId="341B41BD" w14:textId="77777777">
      <w:pPr>
        <w:jc w:val="both"/>
        <w:rPr>
          <w:rFonts w:ascii="Verdana" w:hAnsi="Verdana" w:cs="Arial"/>
          <w:sz w:val="22"/>
          <w:szCs w:val="22"/>
        </w:rPr>
      </w:pPr>
    </w:p>
    <w:tbl>
      <w:tblPr>
        <w:tblW w:w="10275" w:type="dxa"/>
        <w:jc w:val="center"/>
        <w:tblCellMar>
          <w:left w:w="70" w:type="dxa"/>
          <w:right w:w="70" w:type="dxa"/>
        </w:tblCellMar>
        <w:tblLook w:val="04A0" w:firstRow="1" w:lastRow="0" w:firstColumn="1" w:lastColumn="0" w:noHBand="0" w:noVBand="1"/>
      </w:tblPr>
      <w:tblGrid>
        <w:gridCol w:w="2307"/>
        <w:gridCol w:w="937"/>
        <w:gridCol w:w="1001"/>
        <w:gridCol w:w="917"/>
        <w:gridCol w:w="861"/>
        <w:gridCol w:w="872"/>
        <w:gridCol w:w="864"/>
        <w:gridCol w:w="904"/>
        <w:gridCol w:w="774"/>
        <w:gridCol w:w="838"/>
      </w:tblGrid>
      <w:tr w:rsidRPr="00821320" w:rsidR="0072649A" w:rsidTr="00357DFD" w14:paraId="1D7B9F9D" w14:textId="77777777">
        <w:trPr>
          <w:trHeight w:val="20"/>
          <w:tblHeader/>
          <w:jc w:val="center"/>
        </w:trPr>
        <w:tc>
          <w:tcPr>
            <w:tcW w:w="10275" w:type="dxa"/>
            <w:gridSpan w:val="10"/>
            <w:tcBorders>
              <w:top w:val="single" w:color="auto" w:sz="8" w:space="0"/>
              <w:left w:val="single" w:color="auto" w:sz="8" w:space="0"/>
              <w:bottom w:val="single" w:color="auto" w:sz="8" w:space="0"/>
              <w:right w:val="single" w:color="000000" w:sz="8" w:space="0"/>
            </w:tcBorders>
            <w:shd w:val="clear" w:color="000000" w:fill="B48C41"/>
            <w:vAlign w:val="center"/>
            <w:hideMark/>
          </w:tcPr>
          <w:p w:rsidRPr="00821320" w:rsidR="0072649A" w:rsidP="00B412DF" w:rsidRDefault="0072649A" w14:paraId="14B5CCB9" w14:textId="77777777">
            <w:pPr>
              <w:jc w:val="center"/>
              <w:rPr>
                <w:rFonts w:ascii="Verdana" w:hAnsi="Verdana" w:eastAsia="Times New Roman"/>
                <w:b/>
                <w:bCs/>
                <w:color w:val="FFFFFF"/>
                <w:sz w:val="16"/>
                <w:szCs w:val="16"/>
                <w:lang w:val="es-CO" w:eastAsia="es-CO"/>
              </w:rPr>
            </w:pPr>
            <w:r w:rsidRPr="00821320">
              <w:rPr>
                <w:rFonts w:ascii="Verdana" w:hAnsi="Verdana" w:eastAsia="Times New Roman"/>
                <w:b/>
                <w:bCs/>
                <w:color w:val="FFFFFF"/>
                <w:sz w:val="16"/>
                <w:szCs w:val="16"/>
                <w:lang w:eastAsia="es-CO"/>
              </w:rPr>
              <w:t xml:space="preserve">TABLA </w:t>
            </w:r>
            <w:r w:rsidR="00112712">
              <w:rPr>
                <w:rFonts w:ascii="Verdana" w:hAnsi="Verdana" w:eastAsia="Times New Roman"/>
                <w:b/>
                <w:bCs/>
                <w:color w:val="FFFFFF"/>
                <w:sz w:val="16"/>
                <w:szCs w:val="16"/>
                <w:lang w:eastAsia="es-CO"/>
              </w:rPr>
              <w:t>10</w:t>
            </w:r>
            <w:r w:rsidRPr="00821320">
              <w:rPr>
                <w:rFonts w:ascii="Verdana" w:hAnsi="Verdana" w:eastAsia="Times New Roman"/>
                <w:b/>
                <w:bCs/>
                <w:color w:val="FFFFFF"/>
                <w:sz w:val="16"/>
                <w:szCs w:val="16"/>
                <w:lang w:eastAsia="es-CO"/>
              </w:rPr>
              <w:t>. DIFERENCIAS PRESENTADAS EN EL REPORTE CUIPO VIGENCIA 2023 (EN MILLONES DE $)</w:t>
            </w:r>
          </w:p>
        </w:tc>
      </w:tr>
      <w:tr w:rsidRPr="00821320" w:rsidR="0072649A" w:rsidTr="00357DFD" w14:paraId="4147FC63" w14:textId="77777777">
        <w:trPr>
          <w:trHeight w:val="20"/>
          <w:tblHeader/>
          <w:jc w:val="center"/>
        </w:trPr>
        <w:tc>
          <w:tcPr>
            <w:tcW w:w="2307" w:type="dxa"/>
            <w:tcBorders>
              <w:top w:val="nil"/>
              <w:left w:val="single" w:color="auto" w:sz="8" w:space="0"/>
              <w:bottom w:val="single" w:color="auto" w:sz="8" w:space="0"/>
              <w:right w:val="single" w:color="auto" w:sz="8" w:space="0"/>
            </w:tcBorders>
            <w:shd w:val="clear" w:color="000000" w:fill="F1EADA"/>
            <w:vAlign w:val="center"/>
            <w:hideMark/>
          </w:tcPr>
          <w:p w:rsidRPr="00821320" w:rsidR="0072649A" w:rsidP="00B412DF" w:rsidRDefault="0072649A" w14:paraId="2AA70BAD"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eastAsia="es-CO"/>
              </w:rPr>
              <w:t>RUBRO </w:t>
            </w:r>
          </w:p>
        </w:tc>
        <w:tc>
          <w:tcPr>
            <w:tcW w:w="2855" w:type="dxa"/>
            <w:gridSpan w:val="3"/>
            <w:tcBorders>
              <w:top w:val="single" w:color="auto" w:sz="8" w:space="0"/>
              <w:left w:val="nil"/>
              <w:bottom w:val="single" w:color="auto" w:sz="8" w:space="0"/>
              <w:right w:val="single" w:color="000000" w:sz="8" w:space="0"/>
            </w:tcBorders>
            <w:shd w:val="clear" w:color="000000" w:fill="F1EADA"/>
            <w:noWrap/>
            <w:vAlign w:val="center"/>
            <w:hideMark/>
          </w:tcPr>
          <w:p w:rsidRPr="00821320" w:rsidR="0072649A" w:rsidP="00B412DF" w:rsidRDefault="0072649A" w14:paraId="6577A3D1"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eastAsia="es-CO"/>
              </w:rPr>
              <w:t>EJECUCIÓN PRESUPUESTAL</w:t>
            </w:r>
          </w:p>
        </w:tc>
        <w:tc>
          <w:tcPr>
            <w:tcW w:w="2597" w:type="dxa"/>
            <w:gridSpan w:val="3"/>
            <w:tcBorders>
              <w:top w:val="single" w:color="auto" w:sz="8" w:space="0"/>
              <w:left w:val="nil"/>
              <w:bottom w:val="single" w:color="auto" w:sz="8" w:space="0"/>
              <w:right w:val="single" w:color="000000" w:sz="8" w:space="0"/>
            </w:tcBorders>
            <w:shd w:val="clear" w:color="000000" w:fill="F1EADA"/>
            <w:noWrap/>
            <w:vAlign w:val="center"/>
            <w:hideMark/>
          </w:tcPr>
          <w:p w:rsidRPr="00821320" w:rsidR="0072649A" w:rsidP="00B412DF" w:rsidRDefault="0072649A" w14:paraId="39D47D11"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eastAsia="es-CO"/>
              </w:rPr>
              <w:t>REPORTE CUIPO</w:t>
            </w:r>
          </w:p>
        </w:tc>
        <w:tc>
          <w:tcPr>
            <w:tcW w:w="2515" w:type="dxa"/>
            <w:gridSpan w:val="3"/>
            <w:tcBorders>
              <w:top w:val="single" w:color="auto" w:sz="8" w:space="0"/>
              <w:left w:val="nil"/>
              <w:bottom w:val="single" w:color="auto" w:sz="8" w:space="0"/>
              <w:right w:val="single" w:color="000000" w:sz="8" w:space="0"/>
            </w:tcBorders>
            <w:shd w:val="clear" w:color="000000" w:fill="F1EADA"/>
            <w:vAlign w:val="center"/>
            <w:hideMark/>
          </w:tcPr>
          <w:p w:rsidRPr="00821320" w:rsidR="0072649A" w:rsidP="00B412DF" w:rsidRDefault="0072649A" w14:paraId="27CEBD7C"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eastAsia="es-CO"/>
              </w:rPr>
              <w:t>DIFERENCIA (EJECUCIÓN – REPORTE CUIPO)</w:t>
            </w:r>
          </w:p>
        </w:tc>
      </w:tr>
      <w:tr w:rsidRPr="00821320" w:rsidR="0072649A" w:rsidTr="00357DFD" w14:paraId="25DE4FCE" w14:textId="77777777">
        <w:trPr>
          <w:trHeight w:val="20"/>
          <w:tblHeader/>
          <w:jc w:val="center"/>
        </w:trPr>
        <w:tc>
          <w:tcPr>
            <w:tcW w:w="2307" w:type="dxa"/>
            <w:tcBorders>
              <w:top w:val="nil"/>
              <w:left w:val="single" w:color="auto" w:sz="8" w:space="0"/>
              <w:bottom w:val="single" w:color="auto" w:sz="8" w:space="0"/>
              <w:right w:val="single" w:color="auto" w:sz="8" w:space="0"/>
            </w:tcBorders>
            <w:shd w:val="clear" w:color="000000" w:fill="D9D9D9"/>
            <w:vAlign w:val="center"/>
            <w:hideMark/>
          </w:tcPr>
          <w:p w:rsidRPr="00821320" w:rsidR="0072649A" w:rsidP="00B412DF" w:rsidRDefault="0072649A" w14:paraId="01AA409A"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eastAsia="es-CO"/>
              </w:rPr>
              <w:t>COBERTURA</w:t>
            </w:r>
          </w:p>
        </w:tc>
        <w:tc>
          <w:tcPr>
            <w:tcW w:w="937" w:type="dxa"/>
            <w:tcBorders>
              <w:top w:val="nil"/>
              <w:left w:val="nil"/>
              <w:bottom w:val="single" w:color="auto" w:sz="8" w:space="0"/>
              <w:right w:val="single" w:color="auto" w:sz="8" w:space="0"/>
            </w:tcBorders>
            <w:shd w:val="clear" w:color="000000" w:fill="D9D9D9"/>
            <w:vAlign w:val="center"/>
            <w:hideMark/>
          </w:tcPr>
          <w:p w:rsidRPr="00821320" w:rsidR="0072649A" w:rsidP="00B412DF" w:rsidRDefault="0072649A" w14:paraId="7B7D173A"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eastAsia="es-CO"/>
              </w:rPr>
              <w:t>C</w:t>
            </w:r>
          </w:p>
        </w:tc>
        <w:tc>
          <w:tcPr>
            <w:tcW w:w="1001" w:type="dxa"/>
            <w:tcBorders>
              <w:top w:val="nil"/>
              <w:left w:val="nil"/>
              <w:bottom w:val="single" w:color="auto" w:sz="8" w:space="0"/>
              <w:right w:val="single" w:color="auto" w:sz="8" w:space="0"/>
            </w:tcBorders>
            <w:shd w:val="clear" w:color="000000" w:fill="D9D9D9"/>
            <w:vAlign w:val="center"/>
            <w:hideMark/>
          </w:tcPr>
          <w:p w:rsidRPr="00821320" w:rsidR="0072649A" w:rsidP="00B412DF" w:rsidRDefault="0072649A" w14:paraId="08F110A0"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eastAsia="es-CO"/>
              </w:rPr>
              <w:t>O</w:t>
            </w:r>
          </w:p>
        </w:tc>
        <w:tc>
          <w:tcPr>
            <w:tcW w:w="917" w:type="dxa"/>
            <w:tcBorders>
              <w:top w:val="nil"/>
              <w:left w:val="nil"/>
              <w:bottom w:val="single" w:color="auto" w:sz="8" w:space="0"/>
              <w:right w:val="single" w:color="auto" w:sz="8" w:space="0"/>
            </w:tcBorders>
            <w:shd w:val="clear" w:color="000000" w:fill="D9D9D9"/>
            <w:vAlign w:val="center"/>
            <w:hideMark/>
          </w:tcPr>
          <w:p w:rsidRPr="00821320" w:rsidR="0072649A" w:rsidP="00B412DF" w:rsidRDefault="0072649A" w14:paraId="23176F37"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eastAsia="es-CO"/>
              </w:rPr>
              <w:t>P</w:t>
            </w:r>
          </w:p>
        </w:tc>
        <w:tc>
          <w:tcPr>
            <w:tcW w:w="861" w:type="dxa"/>
            <w:tcBorders>
              <w:top w:val="nil"/>
              <w:left w:val="nil"/>
              <w:bottom w:val="single" w:color="auto" w:sz="8" w:space="0"/>
              <w:right w:val="single" w:color="auto" w:sz="8" w:space="0"/>
            </w:tcBorders>
            <w:shd w:val="clear" w:color="000000" w:fill="D9D9D9"/>
            <w:vAlign w:val="center"/>
            <w:hideMark/>
          </w:tcPr>
          <w:p w:rsidRPr="00821320" w:rsidR="0072649A" w:rsidP="00B412DF" w:rsidRDefault="0072649A" w14:paraId="55126772"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eastAsia="es-CO"/>
              </w:rPr>
              <w:t>C</w:t>
            </w:r>
          </w:p>
        </w:tc>
        <w:tc>
          <w:tcPr>
            <w:tcW w:w="872" w:type="dxa"/>
            <w:tcBorders>
              <w:top w:val="nil"/>
              <w:left w:val="nil"/>
              <w:bottom w:val="single" w:color="auto" w:sz="8" w:space="0"/>
              <w:right w:val="single" w:color="auto" w:sz="8" w:space="0"/>
            </w:tcBorders>
            <w:shd w:val="clear" w:color="000000" w:fill="D9D9D9"/>
            <w:vAlign w:val="center"/>
            <w:hideMark/>
          </w:tcPr>
          <w:p w:rsidRPr="00821320" w:rsidR="0072649A" w:rsidP="00B412DF" w:rsidRDefault="0072649A" w14:paraId="3E1771C8"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eastAsia="es-CO"/>
              </w:rPr>
              <w:t>O</w:t>
            </w:r>
          </w:p>
        </w:tc>
        <w:tc>
          <w:tcPr>
            <w:tcW w:w="862" w:type="dxa"/>
            <w:tcBorders>
              <w:top w:val="nil"/>
              <w:left w:val="nil"/>
              <w:bottom w:val="single" w:color="auto" w:sz="8" w:space="0"/>
              <w:right w:val="single" w:color="auto" w:sz="8" w:space="0"/>
            </w:tcBorders>
            <w:shd w:val="clear" w:color="000000" w:fill="D9D9D9"/>
            <w:vAlign w:val="center"/>
            <w:hideMark/>
          </w:tcPr>
          <w:p w:rsidRPr="00821320" w:rsidR="0072649A" w:rsidP="00B412DF" w:rsidRDefault="0072649A" w14:paraId="2474D8AE"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eastAsia="es-CO"/>
              </w:rPr>
              <w:t>P</w:t>
            </w:r>
          </w:p>
        </w:tc>
        <w:tc>
          <w:tcPr>
            <w:tcW w:w="904" w:type="dxa"/>
            <w:tcBorders>
              <w:top w:val="nil"/>
              <w:left w:val="nil"/>
              <w:bottom w:val="single" w:color="auto" w:sz="8" w:space="0"/>
              <w:right w:val="single" w:color="auto" w:sz="8" w:space="0"/>
            </w:tcBorders>
            <w:shd w:val="clear" w:color="000000" w:fill="D9D9D9"/>
            <w:vAlign w:val="center"/>
            <w:hideMark/>
          </w:tcPr>
          <w:p w:rsidRPr="00821320" w:rsidR="0072649A" w:rsidP="00B412DF" w:rsidRDefault="0072649A" w14:paraId="31A94894"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eastAsia="es-CO"/>
              </w:rPr>
              <w:t>C</w:t>
            </w:r>
          </w:p>
        </w:tc>
        <w:tc>
          <w:tcPr>
            <w:tcW w:w="774" w:type="dxa"/>
            <w:tcBorders>
              <w:top w:val="nil"/>
              <w:left w:val="nil"/>
              <w:bottom w:val="single" w:color="auto" w:sz="8" w:space="0"/>
              <w:right w:val="single" w:color="auto" w:sz="8" w:space="0"/>
            </w:tcBorders>
            <w:shd w:val="clear" w:color="000000" w:fill="D9D9D9"/>
            <w:vAlign w:val="center"/>
            <w:hideMark/>
          </w:tcPr>
          <w:p w:rsidRPr="00821320" w:rsidR="0072649A" w:rsidP="00B412DF" w:rsidRDefault="0072649A" w14:paraId="4652268A"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eastAsia="es-CO"/>
              </w:rPr>
              <w:t>O</w:t>
            </w:r>
          </w:p>
        </w:tc>
        <w:tc>
          <w:tcPr>
            <w:tcW w:w="835" w:type="dxa"/>
            <w:tcBorders>
              <w:top w:val="nil"/>
              <w:left w:val="nil"/>
              <w:bottom w:val="single" w:color="auto" w:sz="8" w:space="0"/>
              <w:right w:val="single" w:color="auto" w:sz="8" w:space="0"/>
            </w:tcBorders>
            <w:shd w:val="clear" w:color="000000" w:fill="D9D9D9"/>
            <w:vAlign w:val="center"/>
            <w:hideMark/>
          </w:tcPr>
          <w:p w:rsidRPr="00821320" w:rsidR="0072649A" w:rsidP="00B412DF" w:rsidRDefault="0072649A" w14:paraId="589D4EA1"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eastAsia="es-CO"/>
              </w:rPr>
              <w:t>P</w:t>
            </w:r>
          </w:p>
        </w:tc>
      </w:tr>
      <w:tr w:rsidRPr="00821320" w:rsidR="0072649A" w:rsidTr="00357DFD" w14:paraId="416EBD98" w14:textId="77777777">
        <w:trPr>
          <w:trHeight w:val="20"/>
          <w:jc w:val="center"/>
        </w:trPr>
        <w:tc>
          <w:tcPr>
            <w:tcW w:w="10275" w:type="dxa"/>
            <w:gridSpan w:val="10"/>
            <w:tcBorders>
              <w:top w:val="single" w:color="auto" w:sz="8" w:space="0"/>
              <w:left w:val="single" w:color="auto" w:sz="8" w:space="0"/>
              <w:bottom w:val="single" w:color="auto" w:sz="8" w:space="0"/>
              <w:right w:val="single" w:color="000000" w:sz="8" w:space="0"/>
            </w:tcBorders>
            <w:shd w:val="clear" w:color="000000" w:fill="D9D9D9"/>
            <w:vAlign w:val="center"/>
            <w:hideMark/>
          </w:tcPr>
          <w:p w:rsidRPr="00821320" w:rsidR="0072649A" w:rsidP="00B412DF" w:rsidRDefault="0072649A" w14:paraId="5CA85917"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eastAsia="es-CO"/>
              </w:rPr>
              <w:t>GASTOS DE PERSONAL</w:t>
            </w:r>
          </w:p>
        </w:tc>
      </w:tr>
      <w:tr w:rsidRPr="00821320" w:rsidR="0072649A" w:rsidTr="00357DFD" w14:paraId="3D25D8D3" w14:textId="77777777">
        <w:trPr>
          <w:trHeight w:val="20"/>
          <w:jc w:val="center"/>
        </w:trPr>
        <w:tc>
          <w:tcPr>
            <w:tcW w:w="2307" w:type="dxa"/>
            <w:tcBorders>
              <w:top w:val="nil"/>
              <w:left w:val="single" w:color="auto" w:sz="8" w:space="0"/>
              <w:bottom w:val="single" w:color="auto" w:sz="8" w:space="0"/>
              <w:right w:val="single" w:color="auto" w:sz="8" w:space="0"/>
            </w:tcBorders>
            <w:shd w:val="clear" w:color="auto" w:fill="auto"/>
            <w:vAlign w:val="center"/>
            <w:hideMark/>
          </w:tcPr>
          <w:p w:rsidRPr="00821320" w:rsidR="0072649A" w:rsidP="00B412DF" w:rsidRDefault="0072649A" w14:paraId="506C3BD2" w14:textId="77777777">
            <w:pP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 xml:space="preserve">Personal Administrativo de Instituciones Educativas </w:t>
            </w:r>
          </w:p>
        </w:tc>
        <w:tc>
          <w:tcPr>
            <w:tcW w:w="93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633FCBB1"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2.998</w:t>
            </w:r>
          </w:p>
        </w:tc>
        <w:tc>
          <w:tcPr>
            <w:tcW w:w="100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21762E6D"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2.998</w:t>
            </w:r>
          </w:p>
        </w:tc>
        <w:tc>
          <w:tcPr>
            <w:tcW w:w="91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4DDFDF5E"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2.998</w:t>
            </w:r>
          </w:p>
        </w:tc>
        <w:tc>
          <w:tcPr>
            <w:tcW w:w="86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2088F5D6"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4.318</w:t>
            </w:r>
          </w:p>
        </w:tc>
        <w:tc>
          <w:tcPr>
            <w:tcW w:w="87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414BE0AB"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4.318</w:t>
            </w:r>
          </w:p>
        </w:tc>
        <w:tc>
          <w:tcPr>
            <w:tcW w:w="86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16F6D65E"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4.318</w:t>
            </w:r>
          </w:p>
        </w:tc>
        <w:tc>
          <w:tcPr>
            <w:tcW w:w="90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168A8A40"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-1.321</w:t>
            </w:r>
          </w:p>
        </w:tc>
        <w:tc>
          <w:tcPr>
            <w:tcW w:w="77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5BE67245"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-1.321</w:t>
            </w:r>
          </w:p>
        </w:tc>
        <w:tc>
          <w:tcPr>
            <w:tcW w:w="835"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32BAA3AC"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-1.321</w:t>
            </w:r>
          </w:p>
        </w:tc>
      </w:tr>
      <w:tr w:rsidRPr="00821320" w:rsidR="0072649A" w:rsidTr="00357DFD" w14:paraId="6ADB2B7D" w14:textId="77777777">
        <w:trPr>
          <w:trHeight w:val="20"/>
          <w:jc w:val="center"/>
        </w:trPr>
        <w:tc>
          <w:tcPr>
            <w:tcW w:w="2307" w:type="dxa"/>
            <w:tcBorders>
              <w:top w:val="nil"/>
              <w:left w:val="single" w:color="auto" w:sz="8" w:space="0"/>
              <w:bottom w:val="single" w:color="auto" w:sz="8" w:space="0"/>
              <w:right w:val="single" w:color="auto" w:sz="8" w:space="0"/>
            </w:tcBorders>
            <w:shd w:val="clear" w:color="auto" w:fill="auto"/>
            <w:vAlign w:val="center"/>
            <w:hideMark/>
          </w:tcPr>
          <w:p w:rsidRPr="00821320" w:rsidR="0072649A" w:rsidP="00B412DF" w:rsidRDefault="0072649A" w14:paraId="6FFBDA3C" w14:textId="77777777">
            <w:pP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Personal Administrativo Secretaría de Educación</w:t>
            </w:r>
          </w:p>
        </w:tc>
        <w:tc>
          <w:tcPr>
            <w:tcW w:w="93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2BF029DB"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1.325</w:t>
            </w:r>
          </w:p>
        </w:tc>
        <w:tc>
          <w:tcPr>
            <w:tcW w:w="100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37828C5A"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1.325</w:t>
            </w:r>
          </w:p>
        </w:tc>
        <w:tc>
          <w:tcPr>
            <w:tcW w:w="91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264F31B6"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1.325</w:t>
            </w:r>
          </w:p>
        </w:tc>
        <w:tc>
          <w:tcPr>
            <w:tcW w:w="86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4732E4DD"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0</w:t>
            </w:r>
          </w:p>
        </w:tc>
        <w:tc>
          <w:tcPr>
            <w:tcW w:w="87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0682D2A6"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0</w:t>
            </w:r>
          </w:p>
        </w:tc>
        <w:tc>
          <w:tcPr>
            <w:tcW w:w="86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63D7CE0B"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0</w:t>
            </w:r>
          </w:p>
        </w:tc>
        <w:tc>
          <w:tcPr>
            <w:tcW w:w="90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69086E7C"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1.325</w:t>
            </w:r>
          </w:p>
        </w:tc>
        <w:tc>
          <w:tcPr>
            <w:tcW w:w="77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038379DF"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1.325</w:t>
            </w:r>
          </w:p>
        </w:tc>
        <w:tc>
          <w:tcPr>
            <w:tcW w:w="835"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65E705EC"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1.325</w:t>
            </w:r>
          </w:p>
        </w:tc>
      </w:tr>
      <w:tr w:rsidRPr="00821320" w:rsidR="0072649A" w:rsidTr="00357DFD" w14:paraId="19A640C1" w14:textId="77777777">
        <w:trPr>
          <w:trHeight w:val="20"/>
          <w:jc w:val="center"/>
        </w:trPr>
        <w:tc>
          <w:tcPr>
            <w:tcW w:w="2307" w:type="dxa"/>
            <w:tcBorders>
              <w:top w:val="nil"/>
              <w:left w:val="single" w:color="auto" w:sz="8" w:space="0"/>
              <w:bottom w:val="single" w:color="auto" w:sz="8" w:space="0"/>
              <w:right w:val="single" w:color="auto" w:sz="8" w:space="0"/>
            </w:tcBorders>
            <w:shd w:val="clear" w:color="auto" w:fill="auto"/>
            <w:vAlign w:val="center"/>
            <w:hideMark/>
          </w:tcPr>
          <w:p w:rsidRPr="00821320" w:rsidR="0072649A" w:rsidP="00B412DF" w:rsidRDefault="0072649A" w14:paraId="752044CE" w14:textId="77777777">
            <w:pP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Dotación ley 70</w:t>
            </w:r>
          </w:p>
        </w:tc>
        <w:tc>
          <w:tcPr>
            <w:tcW w:w="93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71FC9057"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36</w:t>
            </w:r>
          </w:p>
        </w:tc>
        <w:tc>
          <w:tcPr>
            <w:tcW w:w="100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013A3D0A"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36</w:t>
            </w:r>
          </w:p>
        </w:tc>
        <w:tc>
          <w:tcPr>
            <w:tcW w:w="91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32445D9C"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36</w:t>
            </w:r>
          </w:p>
        </w:tc>
        <w:tc>
          <w:tcPr>
            <w:tcW w:w="86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03C7ED43"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66</w:t>
            </w:r>
          </w:p>
        </w:tc>
        <w:tc>
          <w:tcPr>
            <w:tcW w:w="87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27E5DC2D"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66</w:t>
            </w:r>
          </w:p>
        </w:tc>
        <w:tc>
          <w:tcPr>
            <w:tcW w:w="86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383C685A"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66</w:t>
            </w:r>
          </w:p>
        </w:tc>
        <w:tc>
          <w:tcPr>
            <w:tcW w:w="90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007C1728"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-30</w:t>
            </w:r>
          </w:p>
        </w:tc>
        <w:tc>
          <w:tcPr>
            <w:tcW w:w="77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33911C38"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-30</w:t>
            </w:r>
          </w:p>
        </w:tc>
        <w:tc>
          <w:tcPr>
            <w:tcW w:w="835"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60F45D25"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-30</w:t>
            </w:r>
          </w:p>
        </w:tc>
      </w:tr>
      <w:tr w:rsidRPr="00821320" w:rsidR="0072649A" w:rsidTr="00357DFD" w14:paraId="1CD91BF7" w14:textId="77777777">
        <w:trPr>
          <w:trHeight w:val="20"/>
          <w:jc w:val="center"/>
        </w:trPr>
        <w:tc>
          <w:tcPr>
            <w:tcW w:w="2307" w:type="dxa"/>
            <w:tcBorders>
              <w:top w:val="nil"/>
              <w:left w:val="single" w:color="auto" w:sz="8" w:space="0"/>
              <w:bottom w:val="single" w:color="auto" w:sz="8" w:space="0"/>
              <w:right w:val="single" w:color="auto" w:sz="8" w:space="0"/>
            </w:tcBorders>
            <w:shd w:val="clear" w:color="auto" w:fill="auto"/>
            <w:vAlign w:val="center"/>
            <w:hideMark/>
          </w:tcPr>
          <w:p w:rsidRPr="00821320" w:rsidR="0072649A" w:rsidP="00B412DF" w:rsidRDefault="0072649A" w14:paraId="1A0EE1EA" w14:textId="77777777">
            <w:pP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Viáticos y Gastos de Viaje</w:t>
            </w:r>
          </w:p>
        </w:tc>
        <w:tc>
          <w:tcPr>
            <w:tcW w:w="93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47FD9185"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5</w:t>
            </w:r>
          </w:p>
        </w:tc>
        <w:tc>
          <w:tcPr>
            <w:tcW w:w="100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65C4680A"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5</w:t>
            </w:r>
          </w:p>
        </w:tc>
        <w:tc>
          <w:tcPr>
            <w:tcW w:w="91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3AD847D6"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5</w:t>
            </w:r>
          </w:p>
        </w:tc>
        <w:tc>
          <w:tcPr>
            <w:tcW w:w="86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1648AE6B"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9</w:t>
            </w:r>
          </w:p>
        </w:tc>
        <w:tc>
          <w:tcPr>
            <w:tcW w:w="87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7D57F1E5"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9</w:t>
            </w:r>
          </w:p>
        </w:tc>
        <w:tc>
          <w:tcPr>
            <w:tcW w:w="86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31E7D2C8"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9</w:t>
            </w:r>
          </w:p>
        </w:tc>
        <w:tc>
          <w:tcPr>
            <w:tcW w:w="90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258E0E69"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-4</w:t>
            </w:r>
          </w:p>
        </w:tc>
        <w:tc>
          <w:tcPr>
            <w:tcW w:w="77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55CB9E1F"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-4</w:t>
            </w:r>
          </w:p>
        </w:tc>
        <w:tc>
          <w:tcPr>
            <w:tcW w:w="835"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7F7DEC24"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-4</w:t>
            </w:r>
          </w:p>
        </w:tc>
      </w:tr>
      <w:tr w:rsidRPr="00821320" w:rsidR="0072649A" w:rsidTr="00357DFD" w14:paraId="7112782A" w14:textId="77777777">
        <w:trPr>
          <w:trHeight w:val="20"/>
          <w:jc w:val="center"/>
        </w:trPr>
        <w:tc>
          <w:tcPr>
            <w:tcW w:w="10275" w:type="dxa"/>
            <w:gridSpan w:val="10"/>
            <w:tcBorders>
              <w:top w:val="single" w:color="auto" w:sz="8" w:space="0"/>
              <w:left w:val="single" w:color="auto" w:sz="8" w:space="0"/>
              <w:bottom w:val="single" w:color="auto" w:sz="8" w:space="0"/>
              <w:right w:val="single" w:color="000000" w:sz="8" w:space="0"/>
            </w:tcBorders>
            <w:shd w:val="clear" w:color="000000" w:fill="D9D9D9"/>
            <w:vAlign w:val="center"/>
            <w:hideMark/>
          </w:tcPr>
          <w:p w:rsidRPr="00821320" w:rsidR="0072649A" w:rsidP="00B412DF" w:rsidRDefault="0072649A" w14:paraId="50128202"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eastAsia="es-CO"/>
              </w:rPr>
              <w:t>APORTES PATRONALES</w:t>
            </w:r>
          </w:p>
        </w:tc>
      </w:tr>
      <w:tr w:rsidRPr="00821320" w:rsidR="0072649A" w:rsidTr="00357DFD" w14:paraId="79F3DC63" w14:textId="77777777">
        <w:trPr>
          <w:trHeight w:val="20"/>
          <w:jc w:val="center"/>
        </w:trPr>
        <w:tc>
          <w:tcPr>
            <w:tcW w:w="2307" w:type="dxa"/>
            <w:tcBorders>
              <w:top w:val="nil"/>
              <w:left w:val="single" w:color="auto" w:sz="8" w:space="0"/>
              <w:bottom w:val="single" w:color="auto" w:sz="8" w:space="0"/>
              <w:right w:val="single" w:color="auto" w:sz="8" w:space="0"/>
            </w:tcBorders>
            <w:shd w:val="clear" w:color="auto" w:fill="auto"/>
            <w:vAlign w:val="center"/>
            <w:hideMark/>
          </w:tcPr>
          <w:p w:rsidRPr="00821320" w:rsidR="0072649A" w:rsidP="00B412DF" w:rsidRDefault="0072649A" w14:paraId="6C98E39C" w14:textId="77777777">
            <w:pP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Con situación de fondos (Docentes y Directivos Docentes)</w:t>
            </w:r>
          </w:p>
        </w:tc>
        <w:tc>
          <w:tcPr>
            <w:tcW w:w="93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4060B75B"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10.288</w:t>
            </w:r>
          </w:p>
        </w:tc>
        <w:tc>
          <w:tcPr>
            <w:tcW w:w="100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5966F63F"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10.288</w:t>
            </w:r>
          </w:p>
        </w:tc>
        <w:tc>
          <w:tcPr>
            <w:tcW w:w="91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5E01C712"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10.288</w:t>
            </w:r>
          </w:p>
        </w:tc>
        <w:tc>
          <w:tcPr>
            <w:tcW w:w="86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053EE4DE"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8.035</w:t>
            </w:r>
          </w:p>
        </w:tc>
        <w:tc>
          <w:tcPr>
            <w:tcW w:w="87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58DEDEA1"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8.035</w:t>
            </w:r>
          </w:p>
        </w:tc>
        <w:tc>
          <w:tcPr>
            <w:tcW w:w="86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790FB95A"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8.035</w:t>
            </w:r>
          </w:p>
        </w:tc>
        <w:tc>
          <w:tcPr>
            <w:tcW w:w="90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6B469CFE"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2.253</w:t>
            </w:r>
          </w:p>
        </w:tc>
        <w:tc>
          <w:tcPr>
            <w:tcW w:w="77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0F019A50"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2.253</w:t>
            </w:r>
          </w:p>
        </w:tc>
        <w:tc>
          <w:tcPr>
            <w:tcW w:w="835"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4B89A10A"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2.253</w:t>
            </w:r>
          </w:p>
        </w:tc>
      </w:tr>
      <w:tr w:rsidRPr="00821320" w:rsidR="0072649A" w:rsidTr="00357DFD" w14:paraId="1D99E262" w14:textId="77777777">
        <w:trPr>
          <w:trHeight w:val="20"/>
          <w:jc w:val="center"/>
        </w:trPr>
        <w:tc>
          <w:tcPr>
            <w:tcW w:w="2307" w:type="dxa"/>
            <w:tcBorders>
              <w:top w:val="nil"/>
              <w:left w:val="single" w:color="auto" w:sz="8" w:space="0"/>
              <w:bottom w:val="single" w:color="auto" w:sz="8" w:space="0"/>
              <w:right w:val="single" w:color="auto" w:sz="8" w:space="0"/>
            </w:tcBorders>
            <w:shd w:val="clear" w:color="auto" w:fill="auto"/>
            <w:vAlign w:val="center"/>
            <w:hideMark/>
          </w:tcPr>
          <w:p w:rsidRPr="00821320" w:rsidR="0072649A" w:rsidP="00B412DF" w:rsidRDefault="0072649A" w14:paraId="1B5AC76A" w14:textId="77777777">
            <w:pP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Personal Administrativo de Instituciones Educativas (A.P)</w:t>
            </w:r>
          </w:p>
        </w:tc>
        <w:tc>
          <w:tcPr>
            <w:tcW w:w="93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04A0F452"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1.082</w:t>
            </w:r>
          </w:p>
        </w:tc>
        <w:tc>
          <w:tcPr>
            <w:tcW w:w="100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2DC993DB"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1.082</w:t>
            </w:r>
          </w:p>
        </w:tc>
        <w:tc>
          <w:tcPr>
            <w:tcW w:w="91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2939F687"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999</w:t>
            </w:r>
          </w:p>
        </w:tc>
        <w:tc>
          <w:tcPr>
            <w:tcW w:w="86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2FB354D6"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1.670</w:t>
            </w:r>
          </w:p>
        </w:tc>
        <w:tc>
          <w:tcPr>
            <w:tcW w:w="87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0DCA6DA3"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1.670</w:t>
            </w:r>
          </w:p>
        </w:tc>
        <w:tc>
          <w:tcPr>
            <w:tcW w:w="86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29DCBC2A"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1.506</w:t>
            </w:r>
          </w:p>
        </w:tc>
        <w:tc>
          <w:tcPr>
            <w:tcW w:w="90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142B68B5"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-587</w:t>
            </w:r>
          </w:p>
        </w:tc>
        <w:tc>
          <w:tcPr>
            <w:tcW w:w="77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605CAC3D"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-587</w:t>
            </w:r>
          </w:p>
        </w:tc>
        <w:tc>
          <w:tcPr>
            <w:tcW w:w="835"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5E487ABF"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-508</w:t>
            </w:r>
          </w:p>
        </w:tc>
      </w:tr>
      <w:tr w:rsidRPr="00821320" w:rsidR="0072649A" w:rsidTr="00357DFD" w14:paraId="678EABEF" w14:textId="77777777">
        <w:trPr>
          <w:trHeight w:val="20"/>
          <w:jc w:val="center"/>
        </w:trPr>
        <w:tc>
          <w:tcPr>
            <w:tcW w:w="2307" w:type="dxa"/>
            <w:tcBorders>
              <w:top w:val="nil"/>
              <w:left w:val="single" w:color="auto" w:sz="8" w:space="0"/>
              <w:bottom w:val="single" w:color="auto" w:sz="8" w:space="0"/>
              <w:right w:val="single" w:color="auto" w:sz="8" w:space="0"/>
            </w:tcBorders>
            <w:shd w:val="clear" w:color="auto" w:fill="auto"/>
            <w:vAlign w:val="center"/>
            <w:hideMark/>
          </w:tcPr>
          <w:p w:rsidRPr="00821320" w:rsidR="0072649A" w:rsidP="00B412DF" w:rsidRDefault="0072649A" w14:paraId="338E79C8" w14:textId="77777777">
            <w:pP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Personal Administrativo Secretaría de Educación (A.P)</w:t>
            </w:r>
          </w:p>
        </w:tc>
        <w:tc>
          <w:tcPr>
            <w:tcW w:w="93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7BE2BFA0"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485</w:t>
            </w:r>
          </w:p>
        </w:tc>
        <w:tc>
          <w:tcPr>
            <w:tcW w:w="100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44DE5263"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485</w:t>
            </w:r>
          </w:p>
        </w:tc>
        <w:tc>
          <w:tcPr>
            <w:tcW w:w="91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200B8425"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415</w:t>
            </w:r>
          </w:p>
        </w:tc>
        <w:tc>
          <w:tcPr>
            <w:tcW w:w="86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74D953A8"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0</w:t>
            </w:r>
          </w:p>
        </w:tc>
        <w:tc>
          <w:tcPr>
            <w:tcW w:w="87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506B5A87"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0</w:t>
            </w:r>
          </w:p>
        </w:tc>
        <w:tc>
          <w:tcPr>
            <w:tcW w:w="86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417CC8AE"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0</w:t>
            </w:r>
          </w:p>
        </w:tc>
        <w:tc>
          <w:tcPr>
            <w:tcW w:w="90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6B2B9AAB"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485</w:t>
            </w:r>
          </w:p>
        </w:tc>
        <w:tc>
          <w:tcPr>
            <w:tcW w:w="77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02D97BB3"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485</w:t>
            </w:r>
          </w:p>
        </w:tc>
        <w:tc>
          <w:tcPr>
            <w:tcW w:w="835"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6C6B32F4"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415</w:t>
            </w:r>
          </w:p>
        </w:tc>
      </w:tr>
      <w:tr w:rsidRPr="00821320" w:rsidR="0072649A" w:rsidTr="00357DFD" w14:paraId="62172952" w14:textId="77777777">
        <w:trPr>
          <w:trHeight w:val="20"/>
          <w:jc w:val="center"/>
        </w:trPr>
        <w:tc>
          <w:tcPr>
            <w:tcW w:w="2307" w:type="dxa"/>
            <w:tcBorders>
              <w:top w:val="nil"/>
              <w:left w:val="single" w:color="auto" w:sz="8" w:space="0"/>
              <w:bottom w:val="single" w:color="auto" w:sz="8" w:space="0"/>
              <w:right w:val="single" w:color="auto" w:sz="8" w:space="0"/>
            </w:tcBorders>
            <w:shd w:val="clear" w:color="000000" w:fill="D9D9D9"/>
            <w:vAlign w:val="center"/>
            <w:hideMark/>
          </w:tcPr>
          <w:p w:rsidRPr="00821320" w:rsidR="0072649A" w:rsidP="00B412DF" w:rsidRDefault="0072649A" w14:paraId="6766D2F4"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val="es-CO" w:eastAsia="es-CO"/>
              </w:rPr>
              <w:t>Contratos Aseo y Vigilancia</w:t>
            </w:r>
          </w:p>
        </w:tc>
        <w:tc>
          <w:tcPr>
            <w:tcW w:w="93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6EB7C064"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3.033</w:t>
            </w:r>
          </w:p>
        </w:tc>
        <w:tc>
          <w:tcPr>
            <w:tcW w:w="100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1A5CAFCC"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3.027</w:t>
            </w:r>
          </w:p>
        </w:tc>
        <w:tc>
          <w:tcPr>
            <w:tcW w:w="91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70D0D523"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3.027</w:t>
            </w:r>
          </w:p>
        </w:tc>
        <w:tc>
          <w:tcPr>
            <w:tcW w:w="86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168D8A1E"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3</w:t>
            </w:r>
            <w:r w:rsidRPr="00821320" w:rsidR="007B0634">
              <w:rPr>
                <w:rFonts w:ascii="Verdana" w:hAnsi="Verdana" w:eastAsia="Times New Roman"/>
                <w:color w:val="000000"/>
                <w:sz w:val="16"/>
                <w:szCs w:val="16"/>
                <w:lang w:val="es-CO" w:eastAsia="es-CO"/>
              </w:rPr>
              <w:t>.</w:t>
            </w:r>
            <w:r w:rsidRPr="00821320">
              <w:rPr>
                <w:rFonts w:ascii="Verdana" w:hAnsi="Verdana" w:eastAsia="Times New Roman"/>
                <w:color w:val="000000"/>
                <w:sz w:val="16"/>
                <w:szCs w:val="16"/>
                <w:lang w:val="es-CO" w:eastAsia="es-CO"/>
              </w:rPr>
              <w:t>215</w:t>
            </w:r>
          </w:p>
        </w:tc>
        <w:tc>
          <w:tcPr>
            <w:tcW w:w="87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4EF851AD"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3.210</w:t>
            </w:r>
          </w:p>
        </w:tc>
        <w:tc>
          <w:tcPr>
            <w:tcW w:w="86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27623D34"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3.209</w:t>
            </w:r>
          </w:p>
        </w:tc>
        <w:tc>
          <w:tcPr>
            <w:tcW w:w="90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7ED2C82E"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-182</w:t>
            </w:r>
          </w:p>
        </w:tc>
        <w:tc>
          <w:tcPr>
            <w:tcW w:w="77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77569A2C"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-182</w:t>
            </w:r>
          </w:p>
        </w:tc>
        <w:tc>
          <w:tcPr>
            <w:tcW w:w="835"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506587CA"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-182</w:t>
            </w:r>
          </w:p>
        </w:tc>
      </w:tr>
      <w:tr w:rsidRPr="00821320" w:rsidR="0072649A" w:rsidTr="00357DFD" w14:paraId="666AD1F0" w14:textId="77777777">
        <w:trPr>
          <w:trHeight w:val="20"/>
          <w:jc w:val="center"/>
        </w:trPr>
        <w:tc>
          <w:tcPr>
            <w:tcW w:w="10275" w:type="dxa"/>
            <w:gridSpan w:val="10"/>
            <w:tcBorders>
              <w:top w:val="single" w:color="auto" w:sz="8" w:space="0"/>
              <w:left w:val="single" w:color="auto" w:sz="8" w:space="0"/>
              <w:bottom w:val="single" w:color="auto" w:sz="8" w:space="0"/>
              <w:right w:val="single" w:color="000000" w:sz="8" w:space="0"/>
            </w:tcBorders>
            <w:shd w:val="clear" w:color="000000" w:fill="D9D9D9"/>
            <w:vAlign w:val="center"/>
            <w:hideMark/>
          </w:tcPr>
          <w:p w:rsidRPr="00821320" w:rsidR="0072649A" w:rsidP="00B412DF" w:rsidRDefault="0072649A" w14:paraId="2D991FEF"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val="es-CO" w:eastAsia="es-CO"/>
              </w:rPr>
              <w:t>CALIDAD</w:t>
            </w:r>
          </w:p>
        </w:tc>
      </w:tr>
      <w:tr w:rsidRPr="00821320" w:rsidR="0072649A" w:rsidTr="00357DFD" w14:paraId="66308DBC" w14:textId="77777777">
        <w:trPr>
          <w:trHeight w:val="20"/>
          <w:jc w:val="center"/>
        </w:trPr>
        <w:tc>
          <w:tcPr>
            <w:tcW w:w="2307" w:type="dxa"/>
            <w:tcBorders>
              <w:top w:val="nil"/>
              <w:left w:val="single" w:color="auto" w:sz="8" w:space="0"/>
              <w:bottom w:val="single" w:color="auto" w:sz="8" w:space="0"/>
              <w:right w:val="single" w:color="auto" w:sz="8" w:space="0"/>
            </w:tcBorders>
            <w:shd w:val="clear" w:color="auto" w:fill="auto"/>
            <w:vAlign w:val="center"/>
            <w:hideMark/>
          </w:tcPr>
          <w:p w:rsidRPr="00821320" w:rsidR="0072649A" w:rsidP="00B412DF" w:rsidRDefault="0072649A" w14:paraId="2B04D448" w14:textId="77777777">
            <w:pP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Planes de mejoramiento</w:t>
            </w:r>
          </w:p>
        </w:tc>
        <w:tc>
          <w:tcPr>
            <w:tcW w:w="93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73509DCD"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383</w:t>
            </w:r>
          </w:p>
        </w:tc>
        <w:tc>
          <w:tcPr>
            <w:tcW w:w="100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76C2C4E5"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383</w:t>
            </w:r>
          </w:p>
        </w:tc>
        <w:tc>
          <w:tcPr>
            <w:tcW w:w="91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2908761C"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383</w:t>
            </w:r>
          </w:p>
        </w:tc>
        <w:tc>
          <w:tcPr>
            <w:tcW w:w="86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44A7DFD2"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408</w:t>
            </w:r>
          </w:p>
        </w:tc>
        <w:tc>
          <w:tcPr>
            <w:tcW w:w="87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77425859"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408</w:t>
            </w:r>
          </w:p>
        </w:tc>
        <w:tc>
          <w:tcPr>
            <w:tcW w:w="86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47443F19"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408</w:t>
            </w:r>
          </w:p>
        </w:tc>
        <w:tc>
          <w:tcPr>
            <w:tcW w:w="90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20358A29"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-25</w:t>
            </w:r>
          </w:p>
        </w:tc>
        <w:tc>
          <w:tcPr>
            <w:tcW w:w="77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410205D6"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-25</w:t>
            </w:r>
          </w:p>
        </w:tc>
        <w:tc>
          <w:tcPr>
            <w:tcW w:w="835"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05A6AC67"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-25</w:t>
            </w:r>
          </w:p>
        </w:tc>
      </w:tr>
      <w:tr w:rsidRPr="00821320" w:rsidR="0072649A" w:rsidTr="00357DFD" w14:paraId="45CBBEB3" w14:textId="77777777">
        <w:trPr>
          <w:trHeight w:val="20"/>
          <w:jc w:val="center"/>
        </w:trPr>
        <w:tc>
          <w:tcPr>
            <w:tcW w:w="2307" w:type="dxa"/>
            <w:tcBorders>
              <w:top w:val="nil"/>
              <w:left w:val="single" w:color="auto" w:sz="8" w:space="0"/>
              <w:bottom w:val="single" w:color="auto" w:sz="8" w:space="0"/>
              <w:right w:val="single" w:color="auto" w:sz="8" w:space="0"/>
            </w:tcBorders>
            <w:shd w:val="clear" w:color="auto" w:fill="auto"/>
            <w:vAlign w:val="center"/>
            <w:hideMark/>
          </w:tcPr>
          <w:p w:rsidRPr="00821320" w:rsidR="0072649A" w:rsidP="00B412DF" w:rsidRDefault="0072649A" w14:paraId="6FBA467A" w14:textId="77777777">
            <w:pP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lastRenderedPageBreak/>
              <w:t>Capacitación a Docentes y Directivos Docentes</w:t>
            </w:r>
          </w:p>
        </w:tc>
        <w:tc>
          <w:tcPr>
            <w:tcW w:w="93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582EA6B6"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94</w:t>
            </w:r>
          </w:p>
        </w:tc>
        <w:tc>
          <w:tcPr>
            <w:tcW w:w="100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10BE7FA4"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94</w:t>
            </w:r>
          </w:p>
        </w:tc>
        <w:tc>
          <w:tcPr>
            <w:tcW w:w="91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77338327"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94</w:t>
            </w:r>
          </w:p>
        </w:tc>
        <w:tc>
          <w:tcPr>
            <w:tcW w:w="86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0E3B6170"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276</w:t>
            </w:r>
          </w:p>
        </w:tc>
        <w:tc>
          <w:tcPr>
            <w:tcW w:w="87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1715B951"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276</w:t>
            </w:r>
          </w:p>
        </w:tc>
        <w:tc>
          <w:tcPr>
            <w:tcW w:w="86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377311AC"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276</w:t>
            </w:r>
          </w:p>
        </w:tc>
        <w:tc>
          <w:tcPr>
            <w:tcW w:w="90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5479C4A1"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-182</w:t>
            </w:r>
          </w:p>
        </w:tc>
        <w:tc>
          <w:tcPr>
            <w:tcW w:w="77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5E7949D3"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-182</w:t>
            </w:r>
          </w:p>
        </w:tc>
        <w:tc>
          <w:tcPr>
            <w:tcW w:w="835"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6E120EB9"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-182</w:t>
            </w:r>
          </w:p>
        </w:tc>
      </w:tr>
      <w:tr w:rsidRPr="00821320" w:rsidR="0072649A" w:rsidTr="00357DFD" w14:paraId="215E72C7" w14:textId="77777777">
        <w:trPr>
          <w:trHeight w:val="20"/>
          <w:jc w:val="center"/>
        </w:trPr>
        <w:tc>
          <w:tcPr>
            <w:tcW w:w="2307" w:type="dxa"/>
            <w:tcBorders>
              <w:top w:val="nil"/>
              <w:left w:val="single" w:color="auto" w:sz="8" w:space="0"/>
              <w:bottom w:val="single" w:color="auto" w:sz="8" w:space="0"/>
              <w:right w:val="single" w:color="auto" w:sz="8" w:space="0"/>
            </w:tcBorders>
            <w:shd w:val="clear" w:color="000000" w:fill="D9D9D9"/>
            <w:vAlign w:val="center"/>
            <w:hideMark/>
          </w:tcPr>
          <w:p w:rsidRPr="00821320" w:rsidR="0072649A" w:rsidP="00B412DF" w:rsidRDefault="0072649A" w14:paraId="345FBDA8"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val="es-CO" w:eastAsia="es-CO"/>
              </w:rPr>
              <w:t>CONECTIVIDAD</w:t>
            </w:r>
          </w:p>
        </w:tc>
        <w:tc>
          <w:tcPr>
            <w:tcW w:w="93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57FBADB2"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597</w:t>
            </w:r>
          </w:p>
        </w:tc>
        <w:tc>
          <w:tcPr>
            <w:tcW w:w="100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6D43736E"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597</w:t>
            </w:r>
          </w:p>
        </w:tc>
        <w:tc>
          <w:tcPr>
            <w:tcW w:w="91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4FB04722"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597</w:t>
            </w:r>
          </w:p>
        </w:tc>
        <w:tc>
          <w:tcPr>
            <w:tcW w:w="86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38A5CD13"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w:t>
            </w:r>
            <w:r w:rsidRPr="00821320" w:rsidR="007B0634">
              <w:rPr>
                <w:rFonts w:ascii="Verdana" w:hAnsi="Verdana" w:eastAsia="Times New Roman"/>
                <w:color w:val="000000"/>
                <w:sz w:val="16"/>
                <w:szCs w:val="16"/>
                <w:lang w:val="es-CO" w:eastAsia="es-CO"/>
              </w:rPr>
              <w:t>.</w:t>
            </w:r>
            <w:r w:rsidRPr="00821320">
              <w:rPr>
                <w:rFonts w:ascii="Verdana" w:hAnsi="Verdana" w:eastAsia="Times New Roman"/>
                <w:color w:val="000000"/>
                <w:sz w:val="16"/>
                <w:szCs w:val="16"/>
                <w:lang w:val="es-CO" w:eastAsia="es-CO"/>
              </w:rPr>
              <w:t>134</w:t>
            </w:r>
          </w:p>
        </w:tc>
        <w:tc>
          <w:tcPr>
            <w:tcW w:w="87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4BB9370E"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1.134</w:t>
            </w:r>
          </w:p>
        </w:tc>
        <w:tc>
          <w:tcPr>
            <w:tcW w:w="86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1B81F62B"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1.134</w:t>
            </w:r>
          </w:p>
        </w:tc>
        <w:tc>
          <w:tcPr>
            <w:tcW w:w="90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63CDA08B"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-537</w:t>
            </w:r>
          </w:p>
        </w:tc>
        <w:tc>
          <w:tcPr>
            <w:tcW w:w="77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6294D4ED"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-537</w:t>
            </w:r>
          </w:p>
        </w:tc>
        <w:tc>
          <w:tcPr>
            <w:tcW w:w="835"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02B97F8A"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-537</w:t>
            </w:r>
          </w:p>
        </w:tc>
      </w:tr>
      <w:tr w:rsidRPr="00821320" w:rsidR="0072649A" w:rsidTr="00357DFD" w14:paraId="43C1D1A7" w14:textId="77777777">
        <w:trPr>
          <w:trHeight w:val="20"/>
          <w:jc w:val="center"/>
        </w:trPr>
        <w:tc>
          <w:tcPr>
            <w:tcW w:w="2307" w:type="dxa"/>
            <w:tcBorders>
              <w:top w:val="nil"/>
              <w:left w:val="single" w:color="auto" w:sz="8" w:space="0"/>
              <w:bottom w:val="single" w:color="auto" w:sz="8" w:space="0"/>
              <w:right w:val="single" w:color="auto" w:sz="8" w:space="0"/>
            </w:tcBorders>
            <w:shd w:val="clear" w:color="000000" w:fill="D9D9D9"/>
            <w:vAlign w:val="center"/>
            <w:hideMark/>
          </w:tcPr>
          <w:p w:rsidRPr="00821320" w:rsidR="0072649A" w:rsidP="00B412DF" w:rsidRDefault="0072649A" w14:paraId="3F660520" w14:textId="77777777">
            <w:pPr>
              <w:jc w:val="center"/>
              <w:rPr>
                <w:rFonts w:ascii="Verdana" w:hAnsi="Verdana" w:eastAsia="Times New Roman"/>
                <w:b/>
                <w:bCs/>
                <w:color w:val="000000"/>
                <w:sz w:val="16"/>
                <w:szCs w:val="16"/>
                <w:lang w:val="es-CO" w:eastAsia="es-CO"/>
              </w:rPr>
            </w:pPr>
            <w:r w:rsidRPr="00821320">
              <w:rPr>
                <w:rFonts w:ascii="Verdana" w:hAnsi="Verdana" w:eastAsia="Times New Roman"/>
                <w:b/>
                <w:bCs/>
                <w:color w:val="000000"/>
                <w:sz w:val="16"/>
                <w:szCs w:val="16"/>
                <w:lang w:val="es-CO" w:eastAsia="es-CO"/>
              </w:rPr>
              <w:t>GRATUIDAD</w:t>
            </w:r>
          </w:p>
        </w:tc>
        <w:tc>
          <w:tcPr>
            <w:tcW w:w="93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47DF7C62"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2.433</w:t>
            </w:r>
          </w:p>
        </w:tc>
        <w:tc>
          <w:tcPr>
            <w:tcW w:w="100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63B39AAF"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2.433</w:t>
            </w:r>
          </w:p>
        </w:tc>
        <w:tc>
          <w:tcPr>
            <w:tcW w:w="91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7C4218AB"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2.433</w:t>
            </w:r>
          </w:p>
        </w:tc>
        <w:tc>
          <w:tcPr>
            <w:tcW w:w="86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0EB943F2"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2</w:t>
            </w:r>
            <w:r w:rsidRPr="00821320" w:rsidR="007B0634">
              <w:rPr>
                <w:rFonts w:ascii="Verdana" w:hAnsi="Verdana" w:eastAsia="Times New Roman"/>
                <w:color w:val="000000"/>
                <w:sz w:val="16"/>
                <w:szCs w:val="16"/>
                <w:lang w:val="es-CO" w:eastAsia="es-CO"/>
              </w:rPr>
              <w:t>.</w:t>
            </w:r>
            <w:r w:rsidRPr="00821320">
              <w:rPr>
                <w:rFonts w:ascii="Verdana" w:hAnsi="Verdana" w:eastAsia="Times New Roman"/>
                <w:color w:val="000000"/>
                <w:sz w:val="16"/>
                <w:szCs w:val="16"/>
                <w:lang w:val="es-CO" w:eastAsia="es-CO"/>
              </w:rPr>
              <w:t>253</w:t>
            </w:r>
          </w:p>
        </w:tc>
        <w:tc>
          <w:tcPr>
            <w:tcW w:w="87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74705D13"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2.253</w:t>
            </w:r>
          </w:p>
        </w:tc>
        <w:tc>
          <w:tcPr>
            <w:tcW w:w="86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15AF8AA8"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2.253</w:t>
            </w:r>
          </w:p>
        </w:tc>
        <w:tc>
          <w:tcPr>
            <w:tcW w:w="90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0A67001D"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179</w:t>
            </w:r>
          </w:p>
        </w:tc>
        <w:tc>
          <w:tcPr>
            <w:tcW w:w="77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2C7C0B0A"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179</w:t>
            </w:r>
          </w:p>
        </w:tc>
        <w:tc>
          <w:tcPr>
            <w:tcW w:w="835"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2DC04272"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179</w:t>
            </w:r>
          </w:p>
        </w:tc>
      </w:tr>
      <w:tr w:rsidRPr="00821320" w:rsidR="0072649A" w:rsidTr="00357DFD" w14:paraId="6E141D2E" w14:textId="77777777">
        <w:trPr>
          <w:trHeight w:val="20"/>
          <w:jc w:val="center"/>
        </w:trPr>
        <w:tc>
          <w:tcPr>
            <w:tcW w:w="2307" w:type="dxa"/>
            <w:tcBorders>
              <w:top w:val="nil"/>
              <w:left w:val="single" w:color="auto" w:sz="8" w:space="0"/>
              <w:bottom w:val="single" w:color="auto" w:sz="8" w:space="0"/>
              <w:right w:val="single" w:color="auto" w:sz="8" w:space="0"/>
            </w:tcBorders>
            <w:shd w:val="clear" w:color="000000" w:fill="D9D9D9"/>
            <w:vAlign w:val="center"/>
            <w:hideMark/>
          </w:tcPr>
          <w:p w:rsidRPr="00821320" w:rsidR="0072649A" w:rsidP="00B412DF" w:rsidRDefault="00A517BF" w14:paraId="7D94BD05" w14:textId="77777777">
            <w:pPr>
              <w:jc w:val="center"/>
              <w:rPr>
                <w:rFonts w:ascii="Verdana" w:hAnsi="Verdana" w:eastAsia="Times New Roman"/>
                <w:b/>
                <w:bCs/>
                <w:color w:val="000000"/>
                <w:sz w:val="16"/>
                <w:szCs w:val="16"/>
                <w:lang w:val="es-CO" w:eastAsia="es-CO"/>
              </w:rPr>
            </w:pPr>
            <w:proofErr w:type="gramStart"/>
            <w:r w:rsidRPr="00821320">
              <w:rPr>
                <w:rFonts w:ascii="Verdana" w:hAnsi="Verdana" w:eastAsia="Times New Roman" w:cs="Calibri"/>
                <w:b/>
                <w:bCs/>
                <w:color w:val="000000"/>
                <w:sz w:val="16"/>
                <w:szCs w:val="16"/>
                <w:lang w:eastAsia="es-CO"/>
              </w:rPr>
              <w:t>TOTAL</w:t>
            </w:r>
            <w:proofErr w:type="gramEnd"/>
            <w:r w:rsidRPr="00821320">
              <w:rPr>
                <w:rFonts w:ascii="Verdana" w:hAnsi="Verdana" w:eastAsia="Times New Roman" w:cs="Calibri"/>
                <w:b/>
                <w:bCs/>
                <w:color w:val="000000"/>
                <w:sz w:val="16"/>
                <w:szCs w:val="16"/>
                <w:lang w:eastAsia="es-CO"/>
              </w:rPr>
              <w:t xml:space="preserve"> COMPROMISOS</w:t>
            </w:r>
          </w:p>
        </w:tc>
        <w:tc>
          <w:tcPr>
            <w:tcW w:w="93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4E246259"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120.691</w:t>
            </w:r>
          </w:p>
        </w:tc>
        <w:tc>
          <w:tcPr>
            <w:tcW w:w="100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64DDE225"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120.655</w:t>
            </w:r>
          </w:p>
        </w:tc>
        <w:tc>
          <w:tcPr>
            <w:tcW w:w="917"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2F39A246"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120.471</w:t>
            </w:r>
          </w:p>
        </w:tc>
        <w:tc>
          <w:tcPr>
            <w:tcW w:w="861"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5113226F"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119.317</w:t>
            </w:r>
          </w:p>
        </w:tc>
        <w:tc>
          <w:tcPr>
            <w:tcW w:w="87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661CCF58"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119.282</w:t>
            </w:r>
          </w:p>
        </w:tc>
        <w:tc>
          <w:tcPr>
            <w:tcW w:w="862"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7A4B46B2" w14:textId="77777777">
            <w:pPr>
              <w:jc w:val="center"/>
              <w:rPr>
                <w:rFonts w:ascii="Verdana" w:hAnsi="Verdana" w:eastAsia="Times New Roman"/>
                <w:color w:val="000000"/>
                <w:sz w:val="16"/>
                <w:szCs w:val="16"/>
                <w:lang w:val="es-CO" w:eastAsia="es-CO"/>
              </w:rPr>
            </w:pPr>
            <w:r w:rsidRPr="00821320">
              <w:rPr>
                <w:rFonts w:ascii="Verdana" w:hAnsi="Verdana" w:eastAsia="Times New Roman"/>
                <w:color w:val="000000"/>
                <w:sz w:val="16"/>
                <w:szCs w:val="16"/>
                <w:lang w:val="es-CO" w:eastAsia="es-CO"/>
              </w:rPr>
              <w:t>119.087</w:t>
            </w:r>
          </w:p>
        </w:tc>
        <w:tc>
          <w:tcPr>
            <w:tcW w:w="90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34E411CD"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1.374</w:t>
            </w:r>
          </w:p>
        </w:tc>
        <w:tc>
          <w:tcPr>
            <w:tcW w:w="774"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2C8BB81F"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1.374</w:t>
            </w:r>
          </w:p>
        </w:tc>
        <w:tc>
          <w:tcPr>
            <w:tcW w:w="835" w:type="dxa"/>
            <w:tcBorders>
              <w:top w:val="nil"/>
              <w:left w:val="nil"/>
              <w:bottom w:val="single" w:color="auto" w:sz="8" w:space="0"/>
              <w:right w:val="single" w:color="auto" w:sz="8" w:space="0"/>
            </w:tcBorders>
            <w:shd w:val="clear" w:color="auto" w:fill="auto"/>
            <w:vAlign w:val="center"/>
            <w:hideMark/>
          </w:tcPr>
          <w:p w:rsidRPr="00821320" w:rsidR="0072649A" w:rsidP="00B412DF" w:rsidRDefault="0072649A" w14:paraId="07233E27" w14:textId="77777777">
            <w:pPr>
              <w:jc w:val="center"/>
              <w:rPr>
                <w:rFonts w:ascii="Verdana" w:hAnsi="Verdana" w:eastAsia="Times New Roman"/>
                <w:b/>
                <w:bCs/>
                <w:color w:val="FF0000"/>
                <w:sz w:val="16"/>
                <w:szCs w:val="16"/>
                <w:lang w:val="es-CO" w:eastAsia="es-CO"/>
              </w:rPr>
            </w:pPr>
            <w:r w:rsidRPr="00821320">
              <w:rPr>
                <w:rFonts w:ascii="Verdana" w:hAnsi="Verdana" w:eastAsia="Times New Roman"/>
                <w:b/>
                <w:bCs/>
                <w:color w:val="FF0000"/>
                <w:sz w:val="16"/>
                <w:szCs w:val="16"/>
                <w:lang w:val="es-CO" w:eastAsia="es-CO"/>
              </w:rPr>
              <w:t>1.384</w:t>
            </w:r>
          </w:p>
        </w:tc>
      </w:tr>
    </w:tbl>
    <w:p w:rsidRPr="00821320" w:rsidR="0072649A" w:rsidP="00B412DF" w:rsidRDefault="0072649A" w14:paraId="14B064B3" w14:textId="77777777">
      <w:pPr>
        <w:contextualSpacing/>
        <w:jc w:val="center"/>
        <w:rPr>
          <w:rFonts w:ascii="Verdana" w:hAnsi="Verdana" w:cstheme="minorBidi"/>
          <w:kern w:val="2"/>
          <w:sz w:val="18"/>
          <w:szCs w:val="18"/>
          <w:lang w:eastAsia="en-US"/>
        </w:rPr>
      </w:pPr>
      <w:r w:rsidRPr="00821320">
        <w:rPr>
          <w:rFonts w:ascii="Verdana" w:hAnsi="Verdana"/>
          <w:sz w:val="18"/>
          <w:szCs w:val="18"/>
        </w:rPr>
        <w:t>Fuente: Reporte CUIPO a 31 de diciembre de 2023 y Ejecución Presupuestal de la vigencia 2023.</w:t>
      </w:r>
    </w:p>
    <w:p w:rsidRPr="00821320" w:rsidR="0072649A" w:rsidP="00B412DF" w:rsidRDefault="0072649A" w14:paraId="4E13EB96" w14:textId="77777777">
      <w:pPr>
        <w:jc w:val="both"/>
        <w:rPr>
          <w:rFonts w:ascii="Verdana" w:hAnsi="Verdana" w:cs="Arial"/>
          <w:sz w:val="22"/>
          <w:szCs w:val="22"/>
        </w:rPr>
      </w:pPr>
    </w:p>
    <w:p w:rsidRPr="00821320" w:rsidR="0072649A" w:rsidP="00B412DF" w:rsidRDefault="007B0634" w14:paraId="6D41BB0C" w14:textId="77777777">
      <w:pPr>
        <w:jc w:val="both"/>
        <w:rPr>
          <w:rFonts w:ascii="Verdana" w:hAnsi="Verdana" w:cs="Arial"/>
          <w:sz w:val="22"/>
          <w:szCs w:val="22"/>
        </w:rPr>
      </w:pPr>
      <w:r w:rsidRPr="00821320">
        <w:rPr>
          <w:rFonts w:ascii="Verdana" w:hAnsi="Verdana" w:cs="Arial"/>
          <w:sz w:val="22"/>
          <w:szCs w:val="22"/>
        </w:rPr>
        <w:t xml:space="preserve">Durante la vigencia 2023, al igual que en 2022 </w:t>
      </w:r>
      <w:r w:rsidRPr="00821320">
        <w:rPr>
          <w:rFonts w:ascii="Verdana" w:hAnsi="Verdana"/>
          <w:sz w:val="22"/>
          <w:szCs w:val="22"/>
        </w:rPr>
        <w:t>se encontró que los compromisos asociados al personal administrativo de la Secretaría de Educación fueron reportados en la sección de gastos de inversión como compromisos del personal administrativo de las Instituciones Educativa</w:t>
      </w:r>
      <w:r w:rsidRPr="00821320" w:rsidR="00F65E5D">
        <w:rPr>
          <w:rFonts w:ascii="Verdana" w:hAnsi="Verdana"/>
          <w:sz w:val="22"/>
          <w:szCs w:val="22"/>
        </w:rPr>
        <w:t>s. Además, se identificaron diferencias en torno a los compromisos de calidad matr</w:t>
      </w:r>
      <w:r w:rsidR="00357DFD">
        <w:rPr>
          <w:rFonts w:ascii="Verdana" w:hAnsi="Verdana"/>
          <w:sz w:val="22"/>
          <w:szCs w:val="22"/>
        </w:rPr>
        <w:t>í</w:t>
      </w:r>
      <w:r w:rsidRPr="00821320" w:rsidR="00F65E5D">
        <w:rPr>
          <w:rFonts w:ascii="Verdana" w:hAnsi="Verdana"/>
          <w:sz w:val="22"/>
          <w:szCs w:val="22"/>
        </w:rPr>
        <w:t>cula y calidad gratuidad, entre otros.</w:t>
      </w:r>
    </w:p>
    <w:p w:rsidRPr="00821320" w:rsidR="007B0634" w:rsidP="00B412DF" w:rsidRDefault="007B0634" w14:paraId="0DB1A83C" w14:textId="77777777">
      <w:pPr>
        <w:jc w:val="both"/>
        <w:rPr>
          <w:rFonts w:ascii="Verdana" w:hAnsi="Verdana" w:cs="Arial"/>
          <w:sz w:val="22"/>
          <w:szCs w:val="22"/>
        </w:rPr>
      </w:pPr>
    </w:p>
    <w:p w:rsidRPr="00821320" w:rsidR="00CE200A" w:rsidP="00B412DF" w:rsidRDefault="00CE200A" w14:paraId="738FB66C" w14:textId="77777777">
      <w:pPr>
        <w:jc w:val="both"/>
        <w:rPr>
          <w:rFonts w:ascii="Verdana" w:hAnsi="Verdana" w:cs="Arial"/>
          <w:sz w:val="22"/>
          <w:szCs w:val="22"/>
        </w:rPr>
      </w:pPr>
      <w:r w:rsidRPr="00821320">
        <w:rPr>
          <w:rFonts w:ascii="Verdana" w:hAnsi="Verdana" w:cs="Arial"/>
          <w:sz w:val="22"/>
          <w:szCs w:val="22"/>
        </w:rPr>
        <w:t xml:space="preserve">En consecuencia, las reiteradas inconsistencias en la información reportada evidencian que los procesos de administración y reporte de información financiera por parte de la Entidad Territorial incumplen los requerimientos de la ley en términos de calidad, consistencia, coherencia y confiabilidad de las cifras frente a otras fuentes oficiales de información, descritos por el inciso 3 del artículo 2.6.4.1 del Decreto 1068 de 2015. </w:t>
      </w:r>
    </w:p>
    <w:p w:rsidRPr="00821320" w:rsidR="005E391D" w:rsidP="00B412DF" w:rsidRDefault="005E391D" w14:paraId="6B564903" w14:textId="77777777">
      <w:pPr>
        <w:jc w:val="both"/>
        <w:rPr>
          <w:rFonts w:ascii="Verdana" w:hAnsi="Verdana" w:cs="Arial"/>
          <w:sz w:val="22"/>
          <w:szCs w:val="22"/>
          <w:lang w:val="es-CO"/>
        </w:rPr>
      </w:pPr>
    </w:p>
    <w:p w:rsidRPr="00821320" w:rsidR="00CE200A" w:rsidP="00B412DF" w:rsidRDefault="00CE200A" w14:paraId="683BFAFD" w14:textId="77777777">
      <w:pPr>
        <w:jc w:val="both"/>
        <w:rPr>
          <w:rFonts w:ascii="Verdana" w:hAnsi="Verdana" w:cs="Arial"/>
          <w:sz w:val="22"/>
          <w:szCs w:val="22"/>
        </w:rPr>
      </w:pPr>
      <w:r w:rsidRPr="00821320">
        <w:rPr>
          <w:rFonts w:ascii="Verdana" w:hAnsi="Verdana" w:cs="Arial"/>
          <w:b/>
          <w:bCs/>
          <w:sz w:val="22"/>
          <w:szCs w:val="22"/>
        </w:rPr>
        <w:t>Evidencia:</w:t>
      </w:r>
      <w:r w:rsidRPr="00821320">
        <w:rPr>
          <w:rFonts w:ascii="Verdana" w:hAnsi="Verdana" w:cs="Arial"/>
          <w:sz w:val="22"/>
          <w:szCs w:val="22"/>
        </w:rPr>
        <w:t xml:space="preserve"> Obra en el expediente digital en el Sistema Integrado Electrónico Documental- SIED del Ministerio de Hacienda y Crédito Público No. 44/2019/D028-PREDI el siguiente material probatorio:</w:t>
      </w:r>
    </w:p>
    <w:p w:rsidRPr="00821320" w:rsidR="00CE200A" w:rsidP="00B412DF" w:rsidRDefault="00CE200A" w14:paraId="6018A256" w14:textId="77777777">
      <w:pPr>
        <w:pStyle w:val="Prrafodelista"/>
        <w:numPr>
          <w:ilvl w:val="0"/>
          <w:numId w:val="25"/>
        </w:numPr>
        <w:ind w:left="284" w:hanging="284"/>
        <w:jc w:val="both"/>
        <w:rPr>
          <w:rFonts w:ascii="Verdana" w:hAnsi="Verdana" w:cs="Arial"/>
          <w:sz w:val="22"/>
          <w:szCs w:val="22"/>
        </w:rPr>
      </w:pPr>
      <w:r w:rsidRPr="00821320">
        <w:rPr>
          <w:rFonts w:ascii="Verdana" w:hAnsi="Verdana" w:cs="Arial"/>
          <w:sz w:val="22"/>
          <w:szCs w:val="22"/>
        </w:rPr>
        <w:t>Reporte al Consolidador de Hacienda e Información Pública - CHIP del Municipio de Yopal. Formulario Único Territorial - FUT. Vigencia 2021. Sector Educación. Serie “Historial de Seguimiento y Control a los Recursos del Sistema General de Participaciones - Ejecución y Seguimiento”. Expediente digital No. 44/2019/D028-PREDI Radicado 1-2023-051977 del 21 de junio de 2023. Enlace:</w:t>
      </w:r>
      <w:r w:rsidRPr="00821320">
        <w:rPr>
          <w:rFonts w:ascii="Verdana" w:hAnsi="Verdana"/>
          <w:sz w:val="22"/>
          <w:szCs w:val="22"/>
        </w:rPr>
        <w:t xml:space="preserve"> </w:t>
      </w:r>
      <w:hyperlink w:history="1" r:id="rId17">
        <w:r w:rsidRPr="00821320">
          <w:rPr>
            <w:rStyle w:val="Hipervnculo"/>
            <w:rFonts w:ascii="Verdana" w:hAnsi="Verdana"/>
            <w:sz w:val="22"/>
            <w:szCs w:val="22"/>
          </w:rPr>
          <w:t xml:space="preserve">eSigna </w:t>
        </w:r>
        <w:proofErr w:type="spellStart"/>
        <w:r w:rsidRPr="00821320">
          <w:rPr>
            <w:rStyle w:val="Hipervnculo"/>
            <w:rFonts w:ascii="Verdana" w:hAnsi="Verdana"/>
            <w:sz w:val="22"/>
            <w:szCs w:val="22"/>
          </w:rPr>
          <w:t>DocumentViewer</w:t>
        </w:r>
        <w:proofErr w:type="spellEnd"/>
        <w:r w:rsidRPr="00821320">
          <w:rPr>
            <w:rStyle w:val="Hipervnculo"/>
            <w:rFonts w:ascii="Verdana" w:hAnsi="Verdana"/>
            <w:sz w:val="22"/>
            <w:szCs w:val="22"/>
          </w:rPr>
          <w:t xml:space="preserve"> (</w:t>
        </w:r>
        <w:proofErr w:type="spellStart"/>
        <w:r w:rsidRPr="00821320">
          <w:rPr>
            <w:rStyle w:val="Hipervnculo"/>
            <w:rFonts w:ascii="Verdana" w:hAnsi="Verdana"/>
            <w:sz w:val="22"/>
            <w:szCs w:val="22"/>
          </w:rPr>
          <w:t>minhacienda.red</w:t>
        </w:r>
        <w:proofErr w:type="spellEnd"/>
        <w:r w:rsidRPr="00821320">
          <w:rPr>
            <w:rStyle w:val="Hipervnculo"/>
            <w:rFonts w:ascii="Verdana" w:hAnsi="Verdana"/>
            <w:sz w:val="22"/>
            <w:szCs w:val="22"/>
          </w:rPr>
          <w:t>)</w:t>
        </w:r>
      </w:hyperlink>
    </w:p>
    <w:p w:rsidRPr="00821320" w:rsidR="00CE200A" w:rsidP="00B412DF" w:rsidRDefault="00CE200A" w14:paraId="2C18A2B2" w14:textId="77777777">
      <w:pPr>
        <w:pStyle w:val="Prrafodelista"/>
        <w:numPr>
          <w:ilvl w:val="0"/>
          <w:numId w:val="25"/>
        </w:numPr>
        <w:ind w:left="284" w:hanging="284"/>
        <w:jc w:val="both"/>
        <w:rPr>
          <w:rFonts w:ascii="Verdana" w:hAnsi="Verdana" w:cs="Arial"/>
          <w:sz w:val="22"/>
          <w:szCs w:val="22"/>
        </w:rPr>
      </w:pPr>
      <w:r w:rsidRPr="00821320">
        <w:rPr>
          <w:rFonts w:ascii="Verdana" w:hAnsi="Verdana" w:cs="Arial"/>
          <w:sz w:val="22"/>
          <w:szCs w:val="22"/>
        </w:rPr>
        <w:t xml:space="preserve">Ejecuciones Presupuestales de Gastos del Municipio de Yopal. Vigencia 2021. Sector Educación. Serie "Historial de Seguimiento y Control a los Recursos del Sistema General de Participaciones - Ejecución y Seguimiento". Expediente digital No. 44/2019/D028-PREDI Radicado 1-2023-051977 del 21 de junio de 2023. Enlace: </w:t>
      </w:r>
      <w:hyperlink w:history="1" r:id="rId18">
        <w:r w:rsidRPr="00821320">
          <w:rPr>
            <w:rStyle w:val="Hipervnculo"/>
            <w:rFonts w:ascii="Verdana" w:hAnsi="Verdana"/>
            <w:sz w:val="22"/>
            <w:szCs w:val="22"/>
          </w:rPr>
          <w:t xml:space="preserve">eSigna </w:t>
        </w:r>
        <w:proofErr w:type="spellStart"/>
        <w:r w:rsidRPr="00821320">
          <w:rPr>
            <w:rStyle w:val="Hipervnculo"/>
            <w:rFonts w:ascii="Verdana" w:hAnsi="Verdana"/>
            <w:sz w:val="22"/>
            <w:szCs w:val="22"/>
          </w:rPr>
          <w:t>DocumentViewer</w:t>
        </w:r>
        <w:proofErr w:type="spellEnd"/>
        <w:r w:rsidRPr="00821320">
          <w:rPr>
            <w:rStyle w:val="Hipervnculo"/>
            <w:rFonts w:ascii="Verdana" w:hAnsi="Verdana"/>
            <w:sz w:val="22"/>
            <w:szCs w:val="22"/>
          </w:rPr>
          <w:t xml:space="preserve"> (</w:t>
        </w:r>
        <w:proofErr w:type="spellStart"/>
        <w:r w:rsidRPr="00821320">
          <w:rPr>
            <w:rStyle w:val="Hipervnculo"/>
            <w:rFonts w:ascii="Verdana" w:hAnsi="Verdana"/>
            <w:sz w:val="22"/>
            <w:szCs w:val="22"/>
          </w:rPr>
          <w:t>minhacienda.red</w:t>
        </w:r>
        <w:proofErr w:type="spellEnd"/>
        <w:r w:rsidRPr="00821320">
          <w:rPr>
            <w:rStyle w:val="Hipervnculo"/>
            <w:rFonts w:ascii="Verdana" w:hAnsi="Verdana"/>
            <w:sz w:val="22"/>
            <w:szCs w:val="22"/>
          </w:rPr>
          <w:t>)</w:t>
        </w:r>
      </w:hyperlink>
    </w:p>
    <w:p w:rsidRPr="00821320" w:rsidR="00CE200A" w:rsidP="00B412DF" w:rsidRDefault="00CE200A" w14:paraId="48265E41" w14:textId="77777777">
      <w:pPr>
        <w:pStyle w:val="Prrafodelista"/>
        <w:numPr>
          <w:ilvl w:val="0"/>
          <w:numId w:val="25"/>
        </w:numPr>
        <w:ind w:left="284" w:hanging="284"/>
        <w:jc w:val="both"/>
        <w:rPr>
          <w:rFonts w:ascii="Verdana" w:hAnsi="Verdana" w:cs="Arial"/>
          <w:sz w:val="22"/>
          <w:szCs w:val="22"/>
        </w:rPr>
      </w:pPr>
      <w:r w:rsidRPr="00821320">
        <w:rPr>
          <w:rFonts w:ascii="Verdana" w:hAnsi="Verdana" w:cs="Arial"/>
          <w:sz w:val="22"/>
          <w:szCs w:val="22"/>
        </w:rPr>
        <w:t xml:space="preserve">Reporte al Consolidador de Hacienda e Información Pública - CHIP del Municipio de Yopal. Categoría Única de Información del Presupuesto Ordinario - CUIPO. Vigencia 2022. Sector Educación. Serie “Historial de Seguimiento y Control a los Recursos del Sistema General de Participaciones - Ejecución y Seguimiento”. Expediente digital No. 44/2019/D028-PREDI. Enlace: </w:t>
      </w:r>
      <w:hyperlink w:history="1" r:id="rId19">
        <w:r w:rsidRPr="00821320">
          <w:rPr>
            <w:rStyle w:val="Hipervnculo"/>
            <w:rFonts w:ascii="Verdana" w:hAnsi="Verdana"/>
            <w:sz w:val="22"/>
            <w:szCs w:val="22"/>
          </w:rPr>
          <w:t xml:space="preserve">eSigna </w:t>
        </w:r>
        <w:proofErr w:type="spellStart"/>
        <w:r w:rsidRPr="00821320">
          <w:rPr>
            <w:rStyle w:val="Hipervnculo"/>
            <w:rFonts w:ascii="Verdana" w:hAnsi="Verdana"/>
            <w:sz w:val="22"/>
            <w:szCs w:val="22"/>
          </w:rPr>
          <w:t>DocumentViewer</w:t>
        </w:r>
        <w:proofErr w:type="spellEnd"/>
        <w:r w:rsidRPr="00821320">
          <w:rPr>
            <w:rStyle w:val="Hipervnculo"/>
            <w:rFonts w:ascii="Verdana" w:hAnsi="Verdana"/>
            <w:sz w:val="22"/>
            <w:szCs w:val="22"/>
          </w:rPr>
          <w:t xml:space="preserve"> (</w:t>
        </w:r>
        <w:proofErr w:type="spellStart"/>
        <w:r w:rsidRPr="00821320">
          <w:rPr>
            <w:rStyle w:val="Hipervnculo"/>
            <w:rFonts w:ascii="Verdana" w:hAnsi="Verdana"/>
            <w:sz w:val="22"/>
            <w:szCs w:val="22"/>
          </w:rPr>
          <w:t>minhacienda.red</w:t>
        </w:r>
        <w:proofErr w:type="spellEnd"/>
        <w:r w:rsidRPr="00821320">
          <w:rPr>
            <w:rStyle w:val="Hipervnculo"/>
            <w:rFonts w:ascii="Verdana" w:hAnsi="Verdana"/>
            <w:sz w:val="22"/>
            <w:szCs w:val="22"/>
          </w:rPr>
          <w:t>)</w:t>
        </w:r>
      </w:hyperlink>
    </w:p>
    <w:p w:rsidRPr="00821320" w:rsidR="00CE200A" w:rsidP="00B412DF" w:rsidRDefault="00CE200A" w14:paraId="02FACA6B" w14:textId="77777777">
      <w:pPr>
        <w:pStyle w:val="Prrafodelista"/>
        <w:numPr>
          <w:ilvl w:val="0"/>
          <w:numId w:val="25"/>
        </w:numPr>
        <w:ind w:left="284" w:hanging="284"/>
        <w:jc w:val="both"/>
        <w:rPr>
          <w:rStyle w:val="Hipervnculo"/>
          <w:rFonts w:ascii="Verdana" w:hAnsi="Verdana" w:cs="Arial"/>
          <w:color w:val="auto"/>
          <w:sz w:val="22"/>
          <w:szCs w:val="22"/>
          <w:u w:val="none"/>
        </w:rPr>
      </w:pPr>
      <w:r w:rsidRPr="00821320">
        <w:rPr>
          <w:rFonts w:ascii="Verdana" w:hAnsi="Verdana" w:cs="Arial"/>
          <w:sz w:val="22"/>
          <w:szCs w:val="22"/>
        </w:rPr>
        <w:t xml:space="preserve">Ejecuciones Presupuestales de Gastos del Municipio de Yopal. Vigencia 2022. Sector Educación. Serie "Historial de Seguimiento y Control a los Recursos del </w:t>
      </w:r>
      <w:r w:rsidRPr="00821320">
        <w:rPr>
          <w:rFonts w:ascii="Verdana" w:hAnsi="Verdana" w:cs="Arial"/>
          <w:sz w:val="22"/>
          <w:szCs w:val="22"/>
        </w:rPr>
        <w:lastRenderedPageBreak/>
        <w:t>Sistema General de Participaciones - Ejecución y Seguimiento". Expediente digital No. 44/2019/D028-PREDI Radicado 1-2023-051977 del 21 de junio de 2023. Enlace:</w:t>
      </w:r>
      <w:r w:rsidRPr="00821320" w:rsidR="00151A1B">
        <w:rPr>
          <w:rFonts w:ascii="Verdana" w:hAnsi="Verdana" w:cs="Arial"/>
          <w:sz w:val="22"/>
          <w:szCs w:val="22"/>
        </w:rPr>
        <w:t xml:space="preserve"> </w:t>
      </w:r>
      <w:hyperlink w:history="1" r:id="rId20">
        <w:r w:rsidRPr="00821320">
          <w:rPr>
            <w:rStyle w:val="Hipervnculo"/>
            <w:rFonts w:ascii="Verdana" w:hAnsi="Verdana" w:cs="Arial"/>
            <w:sz w:val="22"/>
            <w:szCs w:val="22"/>
          </w:rPr>
          <w:t xml:space="preserve">eSigna </w:t>
        </w:r>
        <w:proofErr w:type="spellStart"/>
        <w:r w:rsidRPr="00821320">
          <w:rPr>
            <w:rStyle w:val="Hipervnculo"/>
            <w:rFonts w:ascii="Verdana" w:hAnsi="Verdana" w:cs="Arial"/>
            <w:sz w:val="22"/>
            <w:szCs w:val="22"/>
          </w:rPr>
          <w:t>DocumentViewer</w:t>
        </w:r>
        <w:proofErr w:type="spellEnd"/>
        <w:r w:rsidRPr="00821320">
          <w:rPr>
            <w:rStyle w:val="Hipervnculo"/>
            <w:rFonts w:ascii="Verdana" w:hAnsi="Verdana" w:cs="Arial"/>
            <w:sz w:val="22"/>
            <w:szCs w:val="22"/>
          </w:rPr>
          <w:t xml:space="preserve"> (</w:t>
        </w:r>
        <w:proofErr w:type="spellStart"/>
        <w:r w:rsidRPr="00821320">
          <w:rPr>
            <w:rStyle w:val="Hipervnculo"/>
            <w:rFonts w:ascii="Verdana" w:hAnsi="Verdana" w:cs="Arial"/>
            <w:sz w:val="22"/>
            <w:szCs w:val="22"/>
          </w:rPr>
          <w:t>minhacienda.red</w:t>
        </w:r>
        <w:proofErr w:type="spellEnd"/>
        <w:r w:rsidRPr="00821320">
          <w:rPr>
            <w:rStyle w:val="Hipervnculo"/>
            <w:rFonts w:ascii="Verdana" w:hAnsi="Verdana" w:cs="Arial"/>
            <w:sz w:val="22"/>
            <w:szCs w:val="22"/>
          </w:rPr>
          <w:t>)</w:t>
        </w:r>
      </w:hyperlink>
    </w:p>
    <w:p w:rsidRPr="00821320" w:rsidR="004D68D2" w:rsidP="00B412DF" w:rsidRDefault="004D68D2" w14:paraId="6A342670" w14:textId="77777777">
      <w:pPr>
        <w:pStyle w:val="Prrafodelista"/>
        <w:numPr>
          <w:ilvl w:val="0"/>
          <w:numId w:val="25"/>
        </w:numPr>
        <w:ind w:left="284" w:hanging="284"/>
        <w:jc w:val="both"/>
        <w:rPr>
          <w:rStyle w:val="Hipervnculo"/>
          <w:rFonts w:ascii="Verdana" w:hAnsi="Verdana" w:cs="Arial"/>
          <w:color w:val="auto"/>
          <w:sz w:val="22"/>
          <w:szCs w:val="22"/>
          <w:u w:val="none"/>
        </w:rPr>
      </w:pPr>
      <w:r w:rsidRPr="00821320">
        <w:rPr>
          <w:rFonts w:ascii="Verdana" w:hAnsi="Verdana" w:cs="Arial"/>
          <w:sz w:val="22"/>
          <w:szCs w:val="22"/>
        </w:rPr>
        <w:t xml:space="preserve">Reporte al Consolidador de Hacienda e Información Pública - CHIP del Municipio de Yopal. Categoría Única de Información del Presupuesto Ordinario - CUIPO. Vigencia 2023. Sector Educación. Serie “Historial de Seguimiento y Control a los Recursos del Sistema General de Participaciones - Ejecución y Seguimiento”. Expediente digital No. 44/2019/D028-PREDI. Enlace: </w:t>
      </w:r>
      <w:hyperlink w:history="1" r:id="rId21">
        <w:r w:rsidRPr="00821320">
          <w:rPr>
            <w:rStyle w:val="Hipervnculo"/>
            <w:rFonts w:ascii="Verdana" w:hAnsi="Verdana"/>
            <w:sz w:val="22"/>
            <w:szCs w:val="22"/>
          </w:rPr>
          <w:t xml:space="preserve">eSigna </w:t>
        </w:r>
        <w:proofErr w:type="spellStart"/>
        <w:r w:rsidRPr="00821320">
          <w:rPr>
            <w:rStyle w:val="Hipervnculo"/>
            <w:rFonts w:ascii="Verdana" w:hAnsi="Verdana"/>
            <w:sz w:val="22"/>
            <w:szCs w:val="22"/>
          </w:rPr>
          <w:t>DocumentViewer</w:t>
        </w:r>
        <w:proofErr w:type="spellEnd"/>
        <w:r w:rsidRPr="00821320">
          <w:rPr>
            <w:rStyle w:val="Hipervnculo"/>
            <w:rFonts w:ascii="Verdana" w:hAnsi="Verdana"/>
            <w:sz w:val="22"/>
            <w:szCs w:val="22"/>
          </w:rPr>
          <w:t xml:space="preserve"> (</w:t>
        </w:r>
        <w:proofErr w:type="spellStart"/>
        <w:r w:rsidRPr="00821320">
          <w:rPr>
            <w:rStyle w:val="Hipervnculo"/>
            <w:rFonts w:ascii="Verdana" w:hAnsi="Verdana"/>
            <w:sz w:val="22"/>
            <w:szCs w:val="22"/>
          </w:rPr>
          <w:t>minhacienda.red</w:t>
        </w:r>
        <w:proofErr w:type="spellEnd"/>
        <w:r w:rsidRPr="00821320">
          <w:rPr>
            <w:rStyle w:val="Hipervnculo"/>
            <w:rFonts w:ascii="Verdana" w:hAnsi="Verdana"/>
            <w:sz w:val="22"/>
            <w:szCs w:val="22"/>
          </w:rPr>
          <w:t>)</w:t>
        </w:r>
      </w:hyperlink>
    </w:p>
    <w:p w:rsidRPr="00821320" w:rsidR="004D68D2" w:rsidP="00B412DF" w:rsidRDefault="004D68D2" w14:paraId="6DB38009" w14:textId="77777777">
      <w:pPr>
        <w:pStyle w:val="Prrafodelista"/>
        <w:numPr>
          <w:ilvl w:val="0"/>
          <w:numId w:val="25"/>
        </w:numPr>
        <w:ind w:left="284" w:hanging="284"/>
        <w:jc w:val="both"/>
        <w:rPr>
          <w:rFonts w:ascii="Verdana" w:hAnsi="Verdana" w:cs="Arial"/>
          <w:sz w:val="22"/>
          <w:szCs w:val="22"/>
        </w:rPr>
      </w:pPr>
      <w:r w:rsidRPr="00821320">
        <w:rPr>
          <w:rFonts w:ascii="Verdana" w:hAnsi="Verdana" w:cs="Arial"/>
          <w:sz w:val="22"/>
          <w:szCs w:val="22"/>
        </w:rPr>
        <w:t xml:space="preserve">Ejecuciones Presupuestales de Gastos del Municipio de Yopal. Vigencia 2023. Sector Educación. Serie "Historial de Seguimiento y Control a los Recursos del Sistema General de Participaciones - Ejecución y Seguimiento". Expediente digital No. 44/2019/D028-PREDI. Enlace: </w:t>
      </w:r>
      <w:hyperlink w:history="1" r:id="rId22">
        <w:r w:rsidRPr="00821320">
          <w:rPr>
            <w:rStyle w:val="Hipervnculo"/>
            <w:rFonts w:ascii="Verdana" w:hAnsi="Verdana"/>
            <w:sz w:val="22"/>
            <w:szCs w:val="22"/>
          </w:rPr>
          <w:t xml:space="preserve">eSigna </w:t>
        </w:r>
        <w:proofErr w:type="spellStart"/>
        <w:r w:rsidRPr="00821320">
          <w:rPr>
            <w:rStyle w:val="Hipervnculo"/>
            <w:rFonts w:ascii="Verdana" w:hAnsi="Verdana"/>
            <w:sz w:val="22"/>
            <w:szCs w:val="22"/>
          </w:rPr>
          <w:t>DocumentViewer</w:t>
        </w:r>
        <w:proofErr w:type="spellEnd"/>
        <w:r w:rsidRPr="00821320">
          <w:rPr>
            <w:rStyle w:val="Hipervnculo"/>
            <w:rFonts w:ascii="Verdana" w:hAnsi="Verdana"/>
            <w:sz w:val="22"/>
            <w:szCs w:val="22"/>
          </w:rPr>
          <w:t xml:space="preserve"> (</w:t>
        </w:r>
        <w:proofErr w:type="spellStart"/>
        <w:r w:rsidRPr="00821320">
          <w:rPr>
            <w:rStyle w:val="Hipervnculo"/>
            <w:rFonts w:ascii="Verdana" w:hAnsi="Verdana"/>
            <w:sz w:val="22"/>
            <w:szCs w:val="22"/>
          </w:rPr>
          <w:t>minhacienda.red</w:t>
        </w:r>
        <w:proofErr w:type="spellEnd"/>
        <w:r w:rsidRPr="00821320">
          <w:rPr>
            <w:rStyle w:val="Hipervnculo"/>
            <w:rFonts w:ascii="Verdana" w:hAnsi="Verdana"/>
            <w:sz w:val="22"/>
            <w:szCs w:val="22"/>
          </w:rPr>
          <w:t>)</w:t>
        </w:r>
      </w:hyperlink>
    </w:p>
    <w:p w:rsidRPr="00821320" w:rsidR="004D68D2" w:rsidP="00B412DF" w:rsidRDefault="004D68D2" w14:paraId="1A43D8F3" w14:textId="77777777">
      <w:pPr>
        <w:pStyle w:val="Prrafodelista"/>
        <w:ind w:left="284"/>
        <w:jc w:val="both"/>
        <w:rPr>
          <w:rFonts w:ascii="Verdana" w:hAnsi="Verdana" w:cs="Arial"/>
          <w:sz w:val="22"/>
          <w:szCs w:val="22"/>
        </w:rPr>
      </w:pPr>
    </w:p>
    <w:p w:rsidRPr="00821320" w:rsidR="008D1EC0" w:rsidP="00B412DF" w:rsidRDefault="008D1EC0" w14:paraId="37E6A989" w14:textId="77777777">
      <w:pPr>
        <w:pStyle w:val="Ttulo2"/>
        <w:spacing w:before="0"/>
        <w:contextualSpacing/>
        <w:jc w:val="both"/>
        <w:rPr>
          <w:rFonts w:ascii="Verdana" w:hAnsi="Verdana" w:cs="Arial"/>
          <w:b/>
          <w:bCs/>
          <w:iCs/>
          <w:color w:val="auto"/>
          <w:sz w:val="22"/>
          <w:szCs w:val="22"/>
        </w:rPr>
      </w:pPr>
      <w:r w:rsidRPr="00821320">
        <w:rPr>
          <w:rFonts w:ascii="Verdana" w:hAnsi="Verdana" w:cs="Arial"/>
          <w:b/>
          <w:bCs/>
          <w:iCs/>
          <w:color w:val="auto"/>
          <w:sz w:val="22"/>
          <w:szCs w:val="22"/>
        </w:rPr>
        <w:t>EVENTO DE RIESGO 9.4. “Cambio en la destinación de los recursos”</w:t>
      </w:r>
    </w:p>
    <w:p w:rsidRPr="00821320" w:rsidR="008D1EC0" w:rsidP="00B412DF" w:rsidRDefault="008D1EC0" w14:paraId="2702BCA5" w14:textId="77777777">
      <w:pPr>
        <w:rPr>
          <w:rFonts w:ascii="Verdana" w:hAnsi="Verdana"/>
          <w:lang w:val="es-CO"/>
        </w:rPr>
      </w:pPr>
    </w:p>
    <w:p w:rsidRPr="00821320" w:rsidR="008D1EC0" w:rsidP="00B412DF" w:rsidRDefault="008D1EC0" w14:paraId="2F0BD18C" w14:textId="77777777">
      <w:pPr>
        <w:pStyle w:val="Ttulo3"/>
        <w:numPr>
          <w:ilvl w:val="3"/>
          <w:numId w:val="19"/>
        </w:numPr>
        <w:spacing w:before="0"/>
        <w:ind w:left="426" w:hanging="426"/>
        <w:contextualSpacing/>
        <w:jc w:val="both"/>
        <w:rPr>
          <w:rFonts w:ascii="Verdana" w:hAnsi="Verdana" w:eastAsia="Calibri" w:cs="Arial"/>
          <w:b/>
          <w:sz w:val="22"/>
          <w:szCs w:val="22"/>
          <w:lang w:eastAsia="en-US"/>
        </w:rPr>
      </w:pPr>
      <w:r w:rsidRPr="00821320">
        <w:rPr>
          <w:rFonts w:ascii="Verdana" w:hAnsi="Verdana" w:eastAsia="Calibri" w:cs="Arial"/>
          <w:b/>
          <w:color w:val="auto"/>
          <w:sz w:val="22"/>
          <w:szCs w:val="22"/>
          <w:lang w:eastAsia="en-US"/>
        </w:rPr>
        <w:t>Gastos administrativos por encima del porcentaje autorizado.</w:t>
      </w:r>
    </w:p>
    <w:p w:rsidRPr="00821320" w:rsidR="008D1EC0" w:rsidP="00B412DF" w:rsidRDefault="008D1EC0" w14:paraId="7372A5E6" w14:textId="77777777">
      <w:pPr>
        <w:rPr>
          <w:rFonts w:ascii="Verdana" w:hAnsi="Verdana" w:cstheme="minorBidi"/>
          <w:sz w:val="22"/>
          <w:szCs w:val="22"/>
        </w:rPr>
      </w:pPr>
    </w:p>
    <w:p w:rsidRPr="00821320" w:rsidR="008D1EC0" w:rsidP="00B412DF" w:rsidRDefault="008D1EC0" w14:paraId="105351AF" w14:textId="77777777">
      <w:pPr>
        <w:pStyle w:val="Sinespaciado"/>
        <w:jc w:val="both"/>
        <w:rPr>
          <w:rFonts w:ascii="Verdana" w:hAnsi="Verdana" w:eastAsia="MS Mincho" w:cs="Arial"/>
          <w:lang w:eastAsia="es-ES"/>
        </w:rPr>
      </w:pPr>
      <w:r w:rsidRPr="00821320">
        <w:rPr>
          <w:rFonts w:ascii="Verdana" w:hAnsi="Verdana" w:eastAsia="MS Mincho" w:cs="Arial"/>
          <w:lang w:eastAsia="es-ES"/>
        </w:rPr>
        <w:t>De conformidad con el artículo 31 de la Ley 1176 de 2007, la Nación determinará el monto máximo de recursos que pueden destinar las Entidades Territoriales Certificadas en Educación para gastos administrativos y lo que supere dicho porcentaje debe ser asumido por las entidades territoriales con sus recursos propios.</w:t>
      </w:r>
    </w:p>
    <w:p w:rsidRPr="00821320" w:rsidR="008D1EC0" w:rsidP="00B412DF" w:rsidRDefault="008D1EC0" w14:paraId="6771540E" w14:textId="77777777">
      <w:pPr>
        <w:pStyle w:val="Sinespaciado"/>
        <w:jc w:val="both"/>
        <w:rPr>
          <w:rFonts w:ascii="Verdana" w:hAnsi="Verdana" w:eastAsia="MS Mincho" w:cs="Arial"/>
          <w:lang w:eastAsia="es-ES"/>
        </w:rPr>
      </w:pPr>
    </w:p>
    <w:p w:rsidRPr="00821320" w:rsidR="008D1EC0" w:rsidP="00B412DF" w:rsidRDefault="008D1EC0" w14:paraId="01B280BF" w14:textId="77777777">
      <w:pPr>
        <w:pStyle w:val="Sinespaciado"/>
        <w:jc w:val="both"/>
        <w:rPr>
          <w:rFonts w:ascii="Verdana" w:hAnsi="Verdana" w:eastAsia="MS Mincho" w:cs="Arial"/>
          <w:lang w:val="es-ES_tradnl" w:eastAsia="es-ES"/>
        </w:rPr>
      </w:pPr>
      <w:r w:rsidRPr="00821320">
        <w:rPr>
          <w:rFonts w:ascii="Verdana" w:hAnsi="Verdana" w:eastAsia="MS Mincho" w:cs="Arial"/>
          <w:lang w:val="es-ES_tradnl" w:eastAsia="es-ES"/>
        </w:rPr>
        <w:t>Por su parte, el Documento de Distribución del Sistema General de Participaciones – SGP No. 71 de 2022 estableció el monto máximo autorizado para gastos administrativos que pueden sufragarse con la Participación de Educación, en virtud del artículo 31 de la Ley 1176 de 2007.</w:t>
      </w:r>
    </w:p>
    <w:p w:rsidRPr="00821320" w:rsidR="008D1EC0" w:rsidP="00B412DF" w:rsidRDefault="008D1EC0" w14:paraId="3801C2D4" w14:textId="77777777">
      <w:pPr>
        <w:pStyle w:val="Sinespaciado"/>
        <w:jc w:val="both"/>
        <w:rPr>
          <w:rFonts w:ascii="Verdana" w:hAnsi="Verdana" w:eastAsia="MS Mincho" w:cs="Arial"/>
          <w:lang w:val="es-ES_tradnl" w:eastAsia="es-ES"/>
        </w:rPr>
      </w:pPr>
    </w:p>
    <w:p w:rsidRPr="00821320" w:rsidR="008D1EC0" w:rsidP="00B412DF" w:rsidRDefault="008D1EC0" w14:paraId="369C15A3" w14:textId="77777777">
      <w:pPr>
        <w:pStyle w:val="Sinespaciado"/>
        <w:jc w:val="both"/>
        <w:rPr>
          <w:rFonts w:ascii="Verdana" w:hAnsi="Verdana" w:eastAsia="MS Mincho" w:cs="Arial"/>
          <w:lang w:eastAsia="es-ES"/>
        </w:rPr>
      </w:pPr>
      <w:r w:rsidRPr="00821320">
        <w:rPr>
          <w:rFonts w:ascii="Verdana" w:hAnsi="Verdana" w:eastAsia="MS Mincho" w:cs="Arial"/>
          <w:lang w:eastAsia="es-ES"/>
        </w:rPr>
        <w:t>Al respecto, esta Dirección aclara que el monto límite para gastos administrativos, determinado cada año por la Nación y comunicado mediante los Documentos de Distribución del SGP, se calcula como un porcentaje sobre la asignación anual de prestación de servicios pero representa el monto máximo a ejecutar por estos conceptos con cargo a la Participación de Educación por parte de las entidades territoriales, independientemente de que se cubran con recursos corrientes o de vigencias anteriores de la Participación.</w:t>
      </w:r>
    </w:p>
    <w:p w:rsidRPr="00821320" w:rsidR="008D1EC0" w:rsidP="00B412DF" w:rsidRDefault="008D1EC0" w14:paraId="1CF6D7CC" w14:textId="77777777">
      <w:pPr>
        <w:pStyle w:val="Sinespaciado"/>
        <w:jc w:val="both"/>
        <w:rPr>
          <w:rFonts w:ascii="Verdana" w:hAnsi="Verdana" w:eastAsia="MS Mincho" w:cs="Arial"/>
          <w:lang w:eastAsia="es-ES"/>
        </w:rPr>
      </w:pPr>
    </w:p>
    <w:p w:rsidRPr="00821320" w:rsidR="008D1EC0" w:rsidP="00B412DF" w:rsidRDefault="008D1EC0" w14:paraId="44C16ED2" w14:textId="77777777">
      <w:pPr>
        <w:pStyle w:val="Sinespaciado"/>
        <w:jc w:val="both"/>
        <w:rPr>
          <w:rFonts w:ascii="Verdana" w:hAnsi="Verdana" w:eastAsia="MS Mincho" w:cs="Arial"/>
          <w:lang w:eastAsia="es-ES"/>
        </w:rPr>
      </w:pPr>
      <w:r w:rsidRPr="00821320">
        <w:rPr>
          <w:rFonts w:ascii="Verdana" w:hAnsi="Verdana" w:eastAsia="MS Mincho" w:cs="Arial"/>
          <w:lang w:eastAsia="es-ES"/>
        </w:rPr>
        <w:t xml:space="preserve">En cuanto a los gastos administrativos de la vigencia 2022, el Documento de Distribución No. 71 de 2022 estableció un monto máximo de gastos para este fin del 9,46 % de la Asignación para prestación del Servicio ($8.038 millones). En la ejecución presupuestal de la vigencia 2022 el gasto administrativo del Municipio de Yopal ascendió a $8.258 millones, de acuerdo con el siguiente detalle: </w:t>
      </w:r>
    </w:p>
    <w:p w:rsidRPr="00821320" w:rsidR="008D1EC0" w:rsidP="00B412DF" w:rsidRDefault="008D1EC0" w14:paraId="4BC55397" w14:textId="77777777">
      <w:pPr>
        <w:pStyle w:val="Sinespaciado"/>
        <w:jc w:val="both"/>
        <w:rPr>
          <w:rFonts w:ascii="Verdana" w:hAnsi="Verdana" w:eastAsia="MS Mincho" w:cs="Arial"/>
          <w:lang w:eastAsia="es-ES"/>
        </w:rPr>
      </w:pPr>
    </w:p>
    <w:tbl>
      <w:tblPr>
        <w:tblW w:w="0" w:type="auto"/>
        <w:jc w:val="center"/>
        <w:tblCellMar>
          <w:left w:w="70" w:type="dxa"/>
          <w:right w:w="70" w:type="dxa"/>
        </w:tblCellMar>
        <w:tblLook w:val="04A0" w:firstRow="1" w:lastRow="0" w:firstColumn="1" w:lastColumn="0" w:noHBand="0" w:noVBand="1"/>
      </w:tblPr>
      <w:tblGrid>
        <w:gridCol w:w="6527"/>
        <w:gridCol w:w="876"/>
      </w:tblGrid>
      <w:tr w:rsidRPr="00821320" w:rsidR="008D1EC0" w:rsidTr="008E0DCD" w14:paraId="57AED50E" w14:textId="77777777">
        <w:trPr>
          <w:trHeight w:val="20"/>
          <w:jc w:val="center"/>
        </w:trPr>
        <w:tc>
          <w:tcPr>
            <w:tcW w:w="0" w:type="auto"/>
            <w:gridSpan w:val="2"/>
            <w:tcBorders>
              <w:top w:val="single" w:color="auto" w:sz="8" w:space="0"/>
              <w:left w:val="single" w:color="auto" w:sz="8" w:space="0"/>
              <w:bottom w:val="single" w:color="auto" w:sz="4" w:space="0"/>
              <w:right w:val="single" w:color="000000" w:sz="8" w:space="0"/>
            </w:tcBorders>
            <w:shd w:val="clear" w:color="auto" w:fill="B48C41"/>
            <w:hideMark/>
          </w:tcPr>
          <w:p w:rsidRPr="00821320" w:rsidR="008D1EC0" w:rsidP="00B412DF" w:rsidRDefault="008D1EC0" w14:paraId="6C24B7DF" w14:textId="77777777">
            <w:pPr>
              <w:jc w:val="center"/>
              <w:rPr>
                <w:rFonts w:ascii="Verdana" w:hAnsi="Verdana" w:eastAsia="Times New Roman" w:cs="Calibri"/>
                <w:b/>
                <w:bCs/>
                <w:color w:val="F2F2F2"/>
                <w:sz w:val="18"/>
                <w:szCs w:val="18"/>
                <w:lang w:eastAsia="es-CO"/>
              </w:rPr>
            </w:pPr>
            <w:r w:rsidRPr="00821320">
              <w:rPr>
                <w:rFonts w:ascii="Verdana" w:hAnsi="Verdana" w:eastAsia="Times New Roman" w:cs="Calibri"/>
                <w:b/>
                <w:bCs/>
                <w:color w:val="F2F2F2"/>
                <w:sz w:val="18"/>
                <w:szCs w:val="18"/>
                <w:lang w:eastAsia="es-CO"/>
              </w:rPr>
              <w:lastRenderedPageBreak/>
              <w:t xml:space="preserve">TABLA </w:t>
            </w:r>
            <w:r w:rsidRPr="00821320" w:rsidR="0072649A">
              <w:rPr>
                <w:rFonts w:ascii="Verdana" w:hAnsi="Verdana" w:eastAsia="Times New Roman" w:cs="Calibri"/>
                <w:b/>
                <w:bCs/>
                <w:color w:val="F2F2F2"/>
                <w:sz w:val="18"/>
                <w:szCs w:val="18"/>
                <w:lang w:eastAsia="es-CO"/>
              </w:rPr>
              <w:t>1</w:t>
            </w:r>
            <w:r w:rsidR="00112712">
              <w:rPr>
                <w:rFonts w:ascii="Verdana" w:hAnsi="Verdana" w:eastAsia="Times New Roman" w:cs="Calibri"/>
                <w:b/>
                <w:bCs/>
                <w:color w:val="F2F2F2"/>
                <w:sz w:val="18"/>
                <w:szCs w:val="18"/>
                <w:lang w:eastAsia="es-CO"/>
              </w:rPr>
              <w:t>1</w:t>
            </w:r>
            <w:r w:rsidRPr="00821320" w:rsidR="0072649A">
              <w:rPr>
                <w:rFonts w:ascii="Verdana" w:hAnsi="Verdana" w:eastAsia="Times New Roman" w:cs="Calibri"/>
                <w:b/>
                <w:bCs/>
                <w:color w:val="F2F2F2"/>
                <w:sz w:val="18"/>
                <w:szCs w:val="18"/>
                <w:lang w:eastAsia="es-CO"/>
              </w:rPr>
              <w:t>.</w:t>
            </w:r>
            <w:r w:rsidRPr="00821320">
              <w:rPr>
                <w:rFonts w:ascii="Verdana" w:hAnsi="Verdana" w:eastAsia="Times New Roman" w:cs="Calibri"/>
                <w:b/>
                <w:bCs/>
                <w:color w:val="F2F2F2"/>
                <w:sz w:val="18"/>
                <w:szCs w:val="18"/>
                <w:lang w:eastAsia="es-CO"/>
              </w:rPr>
              <w:t xml:space="preserve"> GASTOS ADMINISTRATIVOS DE LA ENTIDAD VIGENCIA 2022</w:t>
            </w:r>
          </w:p>
        </w:tc>
      </w:tr>
      <w:tr w:rsidRPr="00821320" w:rsidR="008D1EC0" w:rsidTr="008E0DCD" w14:paraId="7F2FEFD5" w14:textId="77777777">
        <w:trPr>
          <w:trHeight w:val="20"/>
          <w:jc w:val="center"/>
        </w:trPr>
        <w:tc>
          <w:tcPr>
            <w:tcW w:w="0" w:type="auto"/>
            <w:gridSpan w:val="2"/>
            <w:tcBorders>
              <w:top w:val="single" w:color="auto" w:sz="4" w:space="0"/>
              <w:left w:val="single" w:color="auto" w:sz="8" w:space="0"/>
              <w:bottom w:val="single" w:color="auto" w:sz="4" w:space="0"/>
              <w:right w:val="single" w:color="000000" w:sz="8" w:space="0"/>
            </w:tcBorders>
            <w:shd w:val="clear" w:color="auto" w:fill="B48C41"/>
            <w:hideMark/>
          </w:tcPr>
          <w:p w:rsidRPr="00821320" w:rsidR="008D1EC0" w:rsidP="00B412DF" w:rsidRDefault="008D1EC0" w14:paraId="69305B6A" w14:textId="77777777">
            <w:pPr>
              <w:jc w:val="center"/>
              <w:rPr>
                <w:rFonts w:ascii="Verdana" w:hAnsi="Verdana" w:eastAsia="Times New Roman" w:cs="Calibri"/>
                <w:b/>
                <w:bCs/>
                <w:color w:val="F2F2F2"/>
                <w:sz w:val="18"/>
                <w:szCs w:val="18"/>
                <w:lang w:eastAsia="es-CO"/>
              </w:rPr>
            </w:pPr>
            <w:r w:rsidRPr="00821320">
              <w:rPr>
                <w:rFonts w:ascii="Verdana" w:hAnsi="Verdana" w:eastAsia="Times New Roman" w:cs="Calibri"/>
                <w:b/>
                <w:bCs/>
                <w:color w:val="F2F2F2"/>
                <w:sz w:val="18"/>
                <w:szCs w:val="18"/>
                <w:lang w:eastAsia="es-CO"/>
              </w:rPr>
              <w:t>(En millones de $)</w:t>
            </w:r>
          </w:p>
        </w:tc>
      </w:tr>
      <w:tr w:rsidRPr="00821320" w:rsidR="008D1EC0" w:rsidTr="008E0DCD" w14:paraId="35842F08" w14:textId="77777777">
        <w:trPr>
          <w:trHeight w:val="20"/>
          <w:jc w:val="center"/>
        </w:trPr>
        <w:tc>
          <w:tcPr>
            <w:tcW w:w="0" w:type="auto"/>
            <w:tcBorders>
              <w:top w:val="nil"/>
              <w:left w:val="single" w:color="auto" w:sz="8" w:space="0"/>
              <w:bottom w:val="single" w:color="auto" w:sz="4" w:space="0"/>
              <w:right w:val="single" w:color="auto" w:sz="4" w:space="0"/>
            </w:tcBorders>
            <w:shd w:val="clear" w:color="auto" w:fill="F1EADA"/>
            <w:noWrap/>
            <w:hideMark/>
          </w:tcPr>
          <w:p w:rsidRPr="00821320" w:rsidR="008D1EC0" w:rsidP="00B412DF" w:rsidRDefault="008D1EC0" w14:paraId="6D10C805" w14:textId="77777777">
            <w:pPr>
              <w:jc w:val="center"/>
              <w:rPr>
                <w:rFonts w:ascii="Verdana" w:hAnsi="Verdana" w:eastAsia="Times New Roman" w:cs="Calibri"/>
                <w:b/>
                <w:bCs/>
                <w:color w:val="000000"/>
                <w:sz w:val="18"/>
                <w:szCs w:val="18"/>
                <w:lang w:eastAsia="es-CO"/>
              </w:rPr>
            </w:pPr>
            <w:r w:rsidRPr="00821320">
              <w:rPr>
                <w:rFonts w:ascii="Verdana" w:hAnsi="Verdana" w:eastAsia="Times New Roman" w:cs="Calibri"/>
                <w:b/>
                <w:bCs/>
                <w:color w:val="000000"/>
                <w:sz w:val="18"/>
                <w:szCs w:val="18"/>
                <w:lang w:eastAsia="es-CO"/>
              </w:rPr>
              <w:t>CONCEPTO</w:t>
            </w:r>
          </w:p>
        </w:tc>
        <w:tc>
          <w:tcPr>
            <w:tcW w:w="0" w:type="auto"/>
            <w:tcBorders>
              <w:top w:val="nil"/>
              <w:left w:val="nil"/>
              <w:bottom w:val="single" w:color="auto" w:sz="4" w:space="0"/>
              <w:right w:val="single" w:color="auto" w:sz="8" w:space="0"/>
            </w:tcBorders>
            <w:shd w:val="clear" w:color="auto" w:fill="F1EADA"/>
            <w:noWrap/>
            <w:hideMark/>
          </w:tcPr>
          <w:p w:rsidRPr="00821320" w:rsidR="008D1EC0" w:rsidP="00B412DF" w:rsidRDefault="008D1EC0" w14:paraId="37D65B95" w14:textId="77777777">
            <w:pPr>
              <w:jc w:val="center"/>
              <w:rPr>
                <w:rFonts w:ascii="Verdana" w:hAnsi="Verdana" w:eastAsia="Times New Roman" w:cs="Calibri"/>
                <w:b/>
                <w:bCs/>
                <w:color w:val="000000"/>
                <w:sz w:val="18"/>
                <w:szCs w:val="18"/>
                <w:lang w:eastAsia="es-CO"/>
              </w:rPr>
            </w:pPr>
            <w:r w:rsidRPr="00821320">
              <w:rPr>
                <w:rFonts w:ascii="Verdana" w:hAnsi="Verdana" w:eastAsia="Times New Roman" w:cs="Calibri"/>
                <w:b/>
                <w:bCs/>
                <w:color w:val="000000"/>
                <w:sz w:val="18"/>
                <w:szCs w:val="18"/>
                <w:lang w:eastAsia="es-CO"/>
              </w:rPr>
              <w:t>Valor</w:t>
            </w:r>
          </w:p>
        </w:tc>
      </w:tr>
      <w:tr w:rsidRPr="00821320" w:rsidR="008D1EC0" w:rsidTr="008E0DCD" w14:paraId="2C59E6BB" w14:textId="77777777">
        <w:trPr>
          <w:trHeight w:val="20"/>
          <w:jc w:val="center"/>
        </w:trPr>
        <w:tc>
          <w:tcPr>
            <w:tcW w:w="0" w:type="auto"/>
            <w:tcBorders>
              <w:top w:val="nil"/>
              <w:left w:val="single" w:color="auto" w:sz="8" w:space="0"/>
              <w:bottom w:val="single" w:color="auto" w:sz="4" w:space="0"/>
              <w:right w:val="single" w:color="auto" w:sz="4" w:space="0"/>
            </w:tcBorders>
            <w:hideMark/>
          </w:tcPr>
          <w:p w:rsidRPr="00821320" w:rsidR="008D1EC0" w:rsidP="00B412DF" w:rsidRDefault="008D1EC0" w14:paraId="2B0D1FD2"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Personal Administrativo de Instituciones Educativas</w:t>
            </w:r>
          </w:p>
        </w:tc>
        <w:tc>
          <w:tcPr>
            <w:tcW w:w="0" w:type="auto"/>
            <w:tcBorders>
              <w:top w:val="nil"/>
              <w:left w:val="nil"/>
              <w:bottom w:val="single" w:color="auto" w:sz="4" w:space="0"/>
              <w:right w:val="single" w:color="auto" w:sz="8" w:space="0"/>
            </w:tcBorders>
            <w:hideMark/>
          </w:tcPr>
          <w:p w:rsidRPr="00821320" w:rsidR="008D1EC0" w:rsidP="00B412DF" w:rsidRDefault="008D1EC0" w14:paraId="318A93EE"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2.850</w:t>
            </w:r>
          </w:p>
        </w:tc>
      </w:tr>
      <w:tr w:rsidRPr="00821320" w:rsidR="008D1EC0" w:rsidTr="008E0DCD" w14:paraId="370ADFBC" w14:textId="77777777">
        <w:trPr>
          <w:trHeight w:val="20"/>
          <w:jc w:val="center"/>
        </w:trPr>
        <w:tc>
          <w:tcPr>
            <w:tcW w:w="0" w:type="auto"/>
            <w:tcBorders>
              <w:top w:val="nil"/>
              <w:left w:val="single" w:color="auto" w:sz="8" w:space="0"/>
              <w:bottom w:val="single" w:color="auto" w:sz="4" w:space="0"/>
              <w:right w:val="single" w:color="auto" w:sz="4" w:space="0"/>
            </w:tcBorders>
            <w:hideMark/>
          </w:tcPr>
          <w:p w:rsidRPr="00821320" w:rsidR="008D1EC0" w:rsidP="00B412DF" w:rsidRDefault="008D1EC0" w14:paraId="0FF56289"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Personal Administrativo Secretaría de Educación</w:t>
            </w:r>
          </w:p>
        </w:tc>
        <w:tc>
          <w:tcPr>
            <w:tcW w:w="0" w:type="auto"/>
            <w:tcBorders>
              <w:top w:val="nil"/>
              <w:left w:val="nil"/>
              <w:bottom w:val="single" w:color="auto" w:sz="4" w:space="0"/>
              <w:right w:val="single" w:color="auto" w:sz="8" w:space="0"/>
            </w:tcBorders>
            <w:hideMark/>
          </w:tcPr>
          <w:p w:rsidRPr="00821320" w:rsidR="008D1EC0" w:rsidP="00B412DF" w:rsidRDefault="008D1EC0" w14:paraId="53D1EA00"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1.294</w:t>
            </w:r>
          </w:p>
        </w:tc>
      </w:tr>
      <w:tr w:rsidRPr="00821320" w:rsidR="008D1EC0" w:rsidTr="008E0DCD" w14:paraId="56D8C958" w14:textId="77777777">
        <w:trPr>
          <w:trHeight w:val="20"/>
          <w:jc w:val="center"/>
        </w:trPr>
        <w:tc>
          <w:tcPr>
            <w:tcW w:w="0" w:type="auto"/>
            <w:tcBorders>
              <w:top w:val="nil"/>
              <w:left w:val="single" w:color="auto" w:sz="8" w:space="0"/>
              <w:bottom w:val="single" w:color="auto" w:sz="4" w:space="0"/>
              <w:right w:val="single" w:color="auto" w:sz="4" w:space="0"/>
            </w:tcBorders>
            <w:hideMark/>
          </w:tcPr>
          <w:p w:rsidRPr="00821320" w:rsidR="008D1EC0" w:rsidP="00B412DF" w:rsidRDefault="008D1EC0" w14:paraId="3736120E"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Personal Administrativo de Instituciones Educativas (A.P)</w:t>
            </w:r>
          </w:p>
        </w:tc>
        <w:tc>
          <w:tcPr>
            <w:tcW w:w="0" w:type="auto"/>
            <w:tcBorders>
              <w:top w:val="nil"/>
              <w:left w:val="nil"/>
              <w:bottom w:val="single" w:color="auto" w:sz="4" w:space="0"/>
              <w:right w:val="single" w:color="auto" w:sz="8" w:space="0"/>
            </w:tcBorders>
            <w:hideMark/>
          </w:tcPr>
          <w:p w:rsidRPr="00821320" w:rsidR="008D1EC0" w:rsidP="00B412DF" w:rsidRDefault="008D1EC0" w14:paraId="305F6600"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978</w:t>
            </w:r>
          </w:p>
        </w:tc>
      </w:tr>
      <w:tr w:rsidRPr="00821320" w:rsidR="008D1EC0" w:rsidTr="008E0DCD" w14:paraId="696B3845" w14:textId="77777777">
        <w:trPr>
          <w:trHeight w:val="20"/>
          <w:jc w:val="center"/>
        </w:trPr>
        <w:tc>
          <w:tcPr>
            <w:tcW w:w="0" w:type="auto"/>
            <w:tcBorders>
              <w:top w:val="nil"/>
              <w:left w:val="single" w:color="auto" w:sz="8" w:space="0"/>
              <w:bottom w:val="single" w:color="auto" w:sz="4" w:space="0"/>
              <w:right w:val="single" w:color="auto" w:sz="4" w:space="0"/>
            </w:tcBorders>
            <w:hideMark/>
          </w:tcPr>
          <w:p w:rsidRPr="00821320" w:rsidR="008D1EC0" w:rsidP="00B412DF" w:rsidRDefault="008D1EC0" w14:paraId="55B10969"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Personal Administrativo Secretaría de Educación (A.P)</w:t>
            </w:r>
          </w:p>
        </w:tc>
        <w:tc>
          <w:tcPr>
            <w:tcW w:w="0" w:type="auto"/>
            <w:tcBorders>
              <w:top w:val="nil"/>
              <w:left w:val="nil"/>
              <w:bottom w:val="single" w:color="auto" w:sz="4" w:space="0"/>
              <w:right w:val="single" w:color="auto" w:sz="8" w:space="0"/>
            </w:tcBorders>
            <w:hideMark/>
          </w:tcPr>
          <w:p w:rsidRPr="00821320" w:rsidR="008D1EC0" w:rsidP="00B412DF" w:rsidRDefault="008D1EC0" w14:paraId="03C2F630"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421</w:t>
            </w:r>
          </w:p>
        </w:tc>
      </w:tr>
      <w:tr w:rsidRPr="00821320" w:rsidR="008D1EC0" w:rsidTr="008E0DCD" w14:paraId="7C15DD60" w14:textId="77777777">
        <w:trPr>
          <w:trHeight w:val="20"/>
          <w:jc w:val="center"/>
        </w:trPr>
        <w:tc>
          <w:tcPr>
            <w:tcW w:w="0" w:type="auto"/>
            <w:tcBorders>
              <w:top w:val="nil"/>
              <w:left w:val="single" w:color="auto" w:sz="8" w:space="0"/>
              <w:bottom w:val="single" w:color="auto" w:sz="4" w:space="0"/>
              <w:right w:val="single" w:color="auto" w:sz="4" w:space="0"/>
            </w:tcBorders>
            <w:hideMark/>
          </w:tcPr>
          <w:p w:rsidRPr="00821320" w:rsidR="008D1EC0" w:rsidP="00B412DF" w:rsidRDefault="008D1EC0" w14:paraId="515AAF0B"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Contratos Aseo y Vigilancia</w:t>
            </w:r>
          </w:p>
        </w:tc>
        <w:tc>
          <w:tcPr>
            <w:tcW w:w="0" w:type="auto"/>
            <w:tcBorders>
              <w:top w:val="nil"/>
              <w:left w:val="nil"/>
              <w:bottom w:val="single" w:color="auto" w:sz="4" w:space="0"/>
              <w:right w:val="single" w:color="auto" w:sz="8" w:space="0"/>
            </w:tcBorders>
            <w:hideMark/>
          </w:tcPr>
          <w:p w:rsidRPr="00821320" w:rsidR="008D1EC0" w:rsidP="00B412DF" w:rsidRDefault="008D1EC0" w14:paraId="1EFA1C21"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2.715</w:t>
            </w:r>
          </w:p>
        </w:tc>
      </w:tr>
      <w:tr w:rsidRPr="00821320" w:rsidR="008D1EC0" w:rsidTr="008E0DCD" w14:paraId="13BCFB1D" w14:textId="77777777">
        <w:trPr>
          <w:trHeight w:val="20"/>
          <w:jc w:val="center"/>
        </w:trPr>
        <w:tc>
          <w:tcPr>
            <w:tcW w:w="0" w:type="auto"/>
            <w:tcBorders>
              <w:top w:val="nil"/>
              <w:left w:val="single" w:color="auto" w:sz="8" w:space="0"/>
              <w:bottom w:val="single" w:color="auto" w:sz="8" w:space="0"/>
              <w:right w:val="single" w:color="auto" w:sz="4" w:space="0"/>
            </w:tcBorders>
            <w:shd w:val="clear" w:color="auto" w:fill="B48C41"/>
            <w:hideMark/>
          </w:tcPr>
          <w:p w:rsidRPr="00821320" w:rsidR="008D1EC0" w:rsidP="00B412DF" w:rsidRDefault="008D1EC0" w14:paraId="6DDA9F56" w14:textId="77777777">
            <w:pPr>
              <w:jc w:val="center"/>
              <w:rPr>
                <w:rFonts w:ascii="Verdana" w:hAnsi="Verdana" w:eastAsia="Times New Roman" w:cs="Calibri"/>
                <w:b/>
                <w:bCs/>
                <w:color w:val="F2F2F2"/>
                <w:sz w:val="18"/>
                <w:szCs w:val="18"/>
                <w:lang w:eastAsia="es-CO"/>
              </w:rPr>
            </w:pPr>
            <w:proofErr w:type="gramStart"/>
            <w:r w:rsidRPr="00821320">
              <w:rPr>
                <w:rFonts w:ascii="Verdana" w:hAnsi="Verdana" w:eastAsia="Times New Roman" w:cs="Calibri"/>
                <w:b/>
                <w:bCs/>
                <w:color w:val="F2F2F2"/>
                <w:sz w:val="18"/>
                <w:szCs w:val="18"/>
                <w:lang w:eastAsia="es-CO"/>
              </w:rPr>
              <w:t>TOTAL</w:t>
            </w:r>
            <w:proofErr w:type="gramEnd"/>
            <w:r w:rsidRPr="00821320">
              <w:rPr>
                <w:rFonts w:ascii="Verdana" w:hAnsi="Verdana" w:eastAsia="Times New Roman" w:cs="Calibri"/>
                <w:b/>
                <w:bCs/>
                <w:color w:val="F2F2F2"/>
                <w:sz w:val="18"/>
                <w:szCs w:val="18"/>
                <w:lang w:eastAsia="es-CO"/>
              </w:rPr>
              <w:t xml:space="preserve"> GASTOS ADMINISTRATIVOS</w:t>
            </w:r>
          </w:p>
        </w:tc>
        <w:tc>
          <w:tcPr>
            <w:tcW w:w="0" w:type="auto"/>
            <w:tcBorders>
              <w:top w:val="nil"/>
              <w:left w:val="single" w:color="auto" w:sz="8" w:space="0"/>
              <w:bottom w:val="single" w:color="auto" w:sz="8" w:space="0"/>
              <w:right w:val="single" w:color="auto" w:sz="4" w:space="0"/>
            </w:tcBorders>
            <w:shd w:val="clear" w:color="auto" w:fill="B48C41"/>
            <w:hideMark/>
          </w:tcPr>
          <w:p w:rsidRPr="00821320" w:rsidR="008D1EC0" w:rsidP="00B412DF" w:rsidRDefault="008D1EC0" w14:paraId="771FA2FF" w14:textId="77777777">
            <w:pPr>
              <w:jc w:val="center"/>
              <w:rPr>
                <w:rFonts w:ascii="Verdana" w:hAnsi="Verdana" w:eastAsia="Times New Roman" w:cs="Calibri"/>
                <w:b/>
                <w:bCs/>
                <w:color w:val="F2F2F2"/>
                <w:sz w:val="18"/>
                <w:szCs w:val="18"/>
                <w:lang w:eastAsia="es-CO"/>
              </w:rPr>
            </w:pPr>
            <w:r w:rsidRPr="00821320">
              <w:rPr>
                <w:rFonts w:ascii="Verdana" w:hAnsi="Verdana" w:eastAsia="Times New Roman" w:cs="Calibri"/>
                <w:b/>
                <w:bCs/>
                <w:color w:val="F2F2F2"/>
                <w:sz w:val="18"/>
                <w:szCs w:val="18"/>
                <w:lang w:eastAsia="es-CO"/>
              </w:rPr>
              <w:t>8.258</w:t>
            </w:r>
          </w:p>
        </w:tc>
      </w:tr>
    </w:tbl>
    <w:p w:rsidRPr="00821320" w:rsidR="008D1EC0" w:rsidP="00B412DF" w:rsidRDefault="008D1EC0" w14:paraId="53FA3F5B" w14:textId="77777777">
      <w:pPr>
        <w:pStyle w:val="Sinespaciado"/>
        <w:jc w:val="center"/>
        <w:rPr>
          <w:rFonts w:ascii="Verdana" w:hAnsi="Verdana" w:eastAsia="MS Mincho" w:cs="Arial"/>
          <w:iCs/>
          <w:sz w:val="18"/>
          <w:szCs w:val="18"/>
          <w:lang w:val="es-ES" w:eastAsia="es-ES"/>
        </w:rPr>
      </w:pPr>
      <w:r w:rsidRPr="00821320">
        <w:rPr>
          <w:rFonts w:ascii="Verdana" w:hAnsi="Verdana" w:eastAsia="MS Mincho" w:cs="Arial"/>
          <w:iCs/>
          <w:sz w:val="18"/>
          <w:szCs w:val="18"/>
          <w:lang w:val="es-ES" w:eastAsia="es-ES"/>
        </w:rPr>
        <w:t>Fuente: Ejecución presupuestal suministrada por la entidad territorial a 31 de diciembre de 2022.</w:t>
      </w:r>
    </w:p>
    <w:p w:rsidRPr="00821320" w:rsidR="008D1EC0" w:rsidP="00B412DF" w:rsidRDefault="008D1EC0" w14:paraId="425D6C43" w14:textId="77777777">
      <w:pPr>
        <w:pStyle w:val="Sinespaciado"/>
        <w:jc w:val="both"/>
        <w:rPr>
          <w:rFonts w:ascii="Verdana" w:hAnsi="Verdana" w:eastAsia="MS Mincho" w:cs="Arial"/>
          <w:lang w:val="es-ES" w:eastAsia="es-ES"/>
        </w:rPr>
      </w:pPr>
    </w:p>
    <w:p w:rsidRPr="00821320" w:rsidR="008D1EC0" w:rsidP="00B412DF" w:rsidRDefault="008D1EC0" w14:paraId="150F16E4" w14:textId="77777777">
      <w:pPr>
        <w:pStyle w:val="Sinespaciado"/>
        <w:jc w:val="both"/>
        <w:rPr>
          <w:rFonts w:ascii="Verdana" w:hAnsi="Verdana" w:eastAsia="MS Mincho" w:cs="Arial"/>
          <w:iCs/>
          <w:lang w:val="es-ES_tradnl" w:eastAsia="es-ES"/>
        </w:rPr>
      </w:pPr>
      <w:r w:rsidRPr="00821320">
        <w:rPr>
          <w:rFonts w:ascii="Verdana" w:hAnsi="Verdana" w:eastAsia="MS Mincho" w:cs="Arial"/>
          <w:lang w:val="es-ES_tradnl" w:eastAsia="es-ES"/>
        </w:rPr>
        <w:t>De acuerdo con lo anterior, la Entidad no cumplió con los límites de gastos administrativos definidos por la Nación para esta Secretaría de Educación y se excedió en $220 millones durante la vigencia 2022.</w:t>
      </w:r>
    </w:p>
    <w:p w:rsidRPr="00821320" w:rsidR="008D1EC0" w:rsidP="00B412DF" w:rsidRDefault="008D1EC0" w14:paraId="7EEDE66A" w14:textId="77777777">
      <w:pPr>
        <w:pStyle w:val="Sinespaciado"/>
        <w:jc w:val="both"/>
        <w:rPr>
          <w:rFonts w:ascii="Verdana" w:hAnsi="Verdana" w:eastAsia="MS Mincho" w:cs="Arial"/>
          <w:iCs/>
          <w:lang w:val="es-ES_tradnl" w:eastAsia="es-ES"/>
        </w:rPr>
      </w:pPr>
    </w:p>
    <w:p w:rsidRPr="00821320" w:rsidR="008D1EC0" w:rsidP="00B412DF" w:rsidRDefault="008D1EC0" w14:paraId="07AD7C8D" w14:textId="77777777">
      <w:pPr>
        <w:pStyle w:val="Sinespaciado"/>
        <w:jc w:val="both"/>
        <w:rPr>
          <w:rFonts w:ascii="Verdana" w:hAnsi="Verdana" w:eastAsia="MS Mincho" w:cs="Arial"/>
          <w:iCs/>
          <w:lang w:val="es-ES_tradnl" w:eastAsia="es-ES"/>
        </w:rPr>
      </w:pPr>
      <w:r w:rsidRPr="00821320">
        <w:rPr>
          <w:rFonts w:ascii="Verdana" w:hAnsi="Verdana" w:eastAsia="MS Mincho" w:cs="Arial"/>
          <w:iCs/>
          <w:lang w:val="es-ES_tradnl" w:eastAsia="es-ES"/>
        </w:rPr>
        <w:t>Por su parte, en el acta de cierre fiscal de la vigencia 2022 suscrita entre el Ministerio de Educación Nacional y la Entidad el 20 de abril de 2023, se señaló que durante la vigencia el Municipio sobrepasó el valor autorizado para gastos administrativos incumpliendo lo establecido en el artículo 31 de la Ley 1176 de 2007. El detalle a continuación:</w:t>
      </w:r>
    </w:p>
    <w:p w:rsidRPr="00821320" w:rsidR="008D1EC0" w:rsidP="00B412DF" w:rsidRDefault="008D1EC0" w14:paraId="258FF36F" w14:textId="77777777">
      <w:pPr>
        <w:pStyle w:val="Sinespaciado"/>
        <w:jc w:val="center"/>
        <w:rPr>
          <w:rFonts w:ascii="Verdana" w:hAnsi="Verdana" w:eastAsia="MS Mincho" w:cs="Arial"/>
          <w:iCs/>
          <w:lang w:val="es-ES_tradnl" w:eastAsia="es-ES"/>
        </w:rPr>
      </w:pPr>
    </w:p>
    <w:tbl>
      <w:tblPr>
        <w:tblW w:w="0" w:type="auto"/>
        <w:jc w:val="center"/>
        <w:tblCellMar>
          <w:left w:w="70" w:type="dxa"/>
          <w:right w:w="70" w:type="dxa"/>
        </w:tblCellMar>
        <w:tblLook w:val="04A0" w:firstRow="1" w:lastRow="0" w:firstColumn="1" w:lastColumn="0" w:noHBand="0" w:noVBand="1"/>
      </w:tblPr>
      <w:tblGrid>
        <w:gridCol w:w="5508"/>
        <w:gridCol w:w="2758"/>
      </w:tblGrid>
      <w:tr w:rsidRPr="00821320" w:rsidR="008D1EC0" w:rsidTr="008E0DCD" w14:paraId="62008915" w14:textId="77777777">
        <w:trPr>
          <w:trHeight w:val="227"/>
          <w:tblHeader/>
          <w:jc w:val="center"/>
        </w:trPr>
        <w:tc>
          <w:tcPr>
            <w:tcW w:w="0" w:type="auto"/>
            <w:gridSpan w:val="2"/>
            <w:tcBorders>
              <w:top w:val="single" w:color="auto" w:sz="8" w:space="0"/>
              <w:left w:val="single" w:color="auto" w:sz="8" w:space="0"/>
              <w:bottom w:val="single" w:color="auto" w:sz="8" w:space="0"/>
              <w:right w:val="single" w:color="000000" w:sz="8" w:space="0"/>
            </w:tcBorders>
            <w:shd w:val="clear" w:color="auto" w:fill="B48C41"/>
            <w:hideMark/>
          </w:tcPr>
          <w:p w:rsidRPr="00821320" w:rsidR="008D1EC0" w:rsidP="00B412DF" w:rsidRDefault="008D1EC0" w14:paraId="1E7AA45F" w14:textId="77777777">
            <w:pPr>
              <w:jc w:val="center"/>
              <w:rPr>
                <w:rFonts w:ascii="Verdana" w:hAnsi="Verdana" w:eastAsia="Times New Roman" w:cs="Calibri"/>
                <w:b/>
                <w:bCs/>
                <w:color w:val="F2F2F2"/>
                <w:sz w:val="18"/>
                <w:szCs w:val="18"/>
                <w:lang w:val="es-CO" w:eastAsia="es-CO"/>
              </w:rPr>
            </w:pPr>
            <w:r w:rsidRPr="00821320">
              <w:rPr>
                <w:rFonts w:ascii="Verdana" w:hAnsi="Verdana" w:eastAsia="Times New Roman" w:cs="Calibri"/>
                <w:b/>
                <w:bCs/>
                <w:color w:val="F2F2F2"/>
                <w:sz w:val="18"/>
                <w:szCs w:val="18"/>
                <w:lang w:eastAsia="es-CO"/>
              </w:rPr>
              <w:t>TABLA 1</w:t>
            </w:r>
            <w:r w:rsidR="00112712">
              <w:rPr>
                <w:rFonts w:ascii="Verdana" w:hAnsi="Verdana" w:eastAsia="Times New Roman" w:cs="Calibri"/>
                <w:b/>
                <w:bCs/>
                <w:color w:val="F2F2F2"/>
                <w:sz w:val="18"/>
                <w:szCs w:val="18"/>
                <w:lang w:eastAsia="es-CO"/>
              </w:rPr>
              <w:t>2</w:t>
            </w:r>
            <w:r w:rsidRPr="00821320">
              <w:rPr>
                <w:rFonts w:ascii="Verdana" w:hAnsi="Verdana" w:eastAsia="Times New Roman" w:cs="Calibri"/>
                <w:b/>
                <w:bCs/>
                <w:color w:val="F2F2F2"/>
                <w:sz w:val="18"/>
                <w:szCs w:val="18"/>
                <w:lang w:eastAsia="es-CO"/>
              </w:rPr>
              <w:t>. GASTOS ADMINISTRATIVOS - ACTA CIERRE 2022 – MEN (Cifras en $)</w:t>
            </w:r>
          </w:p>
        </w:tc>
      </w:tr>
      <w:tr w:rsidRPr="00821320" w:rsidR="008D1EC0" w:rsidTr="008E0DCD" w14:paraId="2D19C555" w14:textId="77777777">
        <w:trPr>
          <w:trHeight w:val="227"/>
          <w:jc w:val="center"/>
        </w:trPr>
        <w:tc>
          <w:tcPr>
            <w:tcW w:w="0" w:type="auto"/>
            <w:tcBorders>
              <w:top w:val="nil"/>
              <w:left w:val="single" w:color="auto" w:sz="8" w:space="0"/>
              <w:bottom w:val="single" w:color="auto" w:sz="8" w:space="0"/>
              <w:right w:val="single" w:color="auto" w:sz="8" w:space="0"/>
            </w:tcBorders>
            <w:hideMark/>
          </w:tcPr>
          <w:p w:rsidRPr="00821320" w:rsidR="008D1EC0" w:rsidP="00B412DF" w:rsidRDefault="008D1EC0" w14:paraId="4997C9CA"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Gastos de Personal administrativo</w:t>
            </w:r>
          </w:p>
        </w:tc>
        <w:tc>
          <w:tcPr>
            <w:tcW w:w="0" w:type="auto"/>
            <w:tcBorders>
              <w:top w:val="nil"/>
              <w:left w:val="nil"/>
              <w:bottom w:val="single" w:color="auto" w:sz="8" w:space="0"/>
              <w:right w:val="single" w:color="auto" w:sz="8" w:space="0"/>
            </w:tcBorders>
            <w:hideMark/>
          </w:tcPr>
          <w:p w:rsidRPr="00821320" w:rsidR="008D1EC0" w:rsidP="00B412DF" w:rsidRDefault="008D1EC0" w14:paraId="5F251815"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5.543.363.713</w:t>
            </w:r>
          </w:p>
        </w:tc>
      </w:tr>
      <w:tr w:rsidRPr="00821320" w:rsidR="008D1EC0" w:rsidTr="008E0DCD" w14:paraId="09118676" w14:textId="77777777">
        <w:trPr>
          <w:trHeight w:val="227"/>
          <w:jc w:val="center"/>
        </w:trPr>
        <w:tc>
          <w:tcPr>
            <w:tcW w:w="0" w:type="auto"/>
            <w:tcBorders>
              <w:top w:val="nil"/>
              <w:left w:val="single" w:color="auto" w:sz="8" w:space="0"/>
              <w:bottom w:val="single" w:color="auto" w:sz="8" w:space="0"/>
              <w:right w:val="single" w:color="auto" w:sz="8" w:space="0"/>
            </w:tcBorders>
            <w:hideMark/>
          </w:tcPr>
          <w:p w:rsidRPr="00821320" w:rsidR="008D1EC0" w:rsidP="00B412DF" w:rsidRDefault="008D1EC0" w14:paraId="50B41057"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Contratación Aseo</w:t>
            </w:r>
          </w:p>
        </w:tc>
        <w:tc>
          <w:tcPr>
            <w:tcW w:w="0" w:type="auto"/>
            <w:tcBorders>
              <w:top w:val="nil"/>
              <w:left w:val="nil"/>
              <w:bottom w:val="single" w:color="auto" w:sz="8" w:space="0"/>
              <w:right w:val="single" w:color="auto" w:sz="8" w:space="0"/>
            </w:tcBorders>
            <w:hideMark/>
          </w:tcPr>
          <w:p w:rsidRPr="00821320" w:rsidR="008D1EC0" w:rsidP="00B412DF" w:rsidRDefault="008D1EC0" w14:paraId="26E3B7DE"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1.068.706.657</w:t>
            </w:r>
          </w:p>
        </w:tc>
      </w:tr>
      <w:tr w:rsidRPr="00821320" w:rsidR="008D1EC0" w:rsidTr="008E0DCD" w14:paraId="5BBE4F8A" w14:textId="77777777">
        <w:trPr>
          <w:trHeight w:val="227"/>
          <w:jc w:val="center"/>
        </w:trPr>
        <w:tc>
          <w:tcPr>
            <w:tcW w:w="0" w:type="auto"/>
            <w:tcBorders>
              <w:top w:val="nil"/>
              <w:left w:val="single" w:color="auto" w:sz="8" w:space="0"/>
              <w:bottom w:val="single" w:color="auto" w:sz="8" w:space="0"/>
              <w:right w:val="single" w:color="auto" w:sz="8" w:space="0"/>
            </w:tcBorders>
            <w:hideMark/>
          </w:tcPr>
          <w:p w:rsidRPr="00821320" w:rsidR="008D1EC0" w:rsidP="00B412DF" w:rsidRDefault="008D1EC0" w14:paraId="006002EF"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Contratación vigilancia</w:t>
            </w:r>
          </w:p>
        </w:tc>
        <w:tc>
          <w:tcPr>
            <w:tcW w:w="0" w:type="auto"/>
            <w:tcBorders>
              <w:top w:val="nil"/>
              <w:left w:val="nil"/>
              <w:bottom w:val="single" w:color="auto" w:sz="8" w:space="0"/>
              <w:right w:val="single" w:color="auto" w:sz="8" w:space="0"/>
            </w:tcBorders>
            <w:hideMark/>
          </w:tcPr>
          <w:p w:rsidRPr="00821320" w:rsidR="008D1EC0" w:rsidP="00B412DF" w:rsidRDefault="008D1EC0" w14:paraId="7E5D48C9"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1.645.911.968</w:t>
            </w:r>
          </w:p>
        </w:tc>
      </w:tr>
      <w:tr w:rsidRPr="00821320" w:rsidR="008D1EC0" w:rsidTr="008E0DCD" w14:paraId="4B6A593A" w14:textId="77777777">
        <w:trPr>
          <w:trHeight w:val="227"/>
          <w:jc w:val="center"/>
        </w:trPr>
        <w:tc>
          <w:tcPr>
            <w:tcW w:w="0" w:type="auto"/>
            <w:tcBorders>
              <w:top w:val="nil"/>
              <w:left w:val="single" w:color="auto" w:sz="8" w:space="0"/>
              <w:bottom w:val="single" w:color="auto" w:sz="8" w:space="0"/>
              <w:right w:val="single" w:color="auto" w:sz="8" w:space="0"/>
            </w:tcBorders>
            <w:hideMark/>
          </w:tcPr>
          <w:p w:rsidRPr="00821320" w:rsidR="008D1EC0" w:rsidP="00B412DF" w:rsidRDefault="008D1EC0" w14:paraId="2EFE4769"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Dotación</w:t>
            </w:r>
          </w:p>
        </w:tc>
        <w:tc>
          <w:tcPr>
            <w:tcW w:w="0" w:type="auto"/>
            <w:tcBorders>
              <w:top w:val="nil"/>
              <w:left w:val="nil"/>
              <w:bottom w:val="single" w:color="auto" w:sz="8" w:space="0"/>
              <w:right w:val="single" w:color="auto" w:sz="8" w:space="0"/>
            </w:tcBorders>
            <w:hideMark/>
          </w:tcPr>
          <w:p w:rsidRPr="00821320" w:rsidR="008D1EC0" w:rsidP="00B412DF" w:rsidRDefault="008D1EC0" w14:paraId="6C065EA9"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22.049.129</w:t>
            </w:r>
          </w:p>
        </w:tc>
      </w:tr>
      <w:tr w:rsidRPr="00821320" w:rsidR="008D1EC0" w:rsidTr="008E0DCD" w14:paraId="40DB35E2" w14:textId="77777777">
        <w:trPr>
          <w:trHeight w:val="227"/>
          <w:jc w:val="center"/>
        </w:trPr>
        <w:tc>
          <w:tcPr>
            <w:tcW w:w="0" w:type="auto"/>
            <w:tcBorders>
              <w:top w:val="nil"/>
              <w:left w:val="single" w:color="auto" w:sz="8" w:space="0"/>
              <w:bottom w:val="single" w:color="auto" w:sz="8" w:space="0"/>
              <w:right w:val="single" w:color="auto" w:sz="8" w:space="0"/>
            </w:tcBorders>
            <w:hideMark/>
          </w:tcPr>
          <w:p w:rsidRPr="00821320" w:rsidR="008D1EC0" w:rsidP="00B412DF" w:rsidRDefault="008D1EC0" w14:paraId="49EDEC33" w14:textId="77777777">
            <w:pP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Otros Gastos Funcionamiento</w:t>
            </w:r>
          </w:p>
        </w:tc>
        <w:tc>
          <w:tcPr>
            <w:tcW w:w="0" w:type="auto"/>
            <w:tcBorders>
              <w:top w:val="nil"/>
              <w:left w:val="nil"/>
              <w:bottom w:val="single" w:color="auto" w:sz="8" w:space="0"/>
              <w:right w:val="single" w:color="auto" w:sz="8" w:space="0"/>
            </w:tcBorders>
            <w:hideMark/>
          </w:tcPr>
          <w:p w:rsidRPr="00821320" w:rsidR="008D1EC0" w:rsidP="00B412DF" w:rsidRDefault="008D1EC0" w14:paraId="478B2A1B" w14:textId="77777777">
            <w:pPr>
              <w:jc w:val="center"/>
              <w:rPr>
                <w:rFonts w:ascii="Verdana" w:hAnsi="Verdana" w:eastAsia="Times New Roman" w:cs="Calibri"/>
                <w:color w:val="000000"/>
                <w:sz w:val="18"/>
                <w:szCs w:val="18"/>
                <w:lang w:eastAsia="es-CO"/>
              </w:rPr>
            </w:pPr>
            <w:r w:rsidRPr="00821320">
              <w:rPr>
                <w:rFonts w:ascii="Verdana" w:hAnsi="Verdana" w:eastAsia="Times New Roman" w:cs="Calibri"/>
                <w:color w:val="000000"/>
                <w:sz w:val="18"/>
                <w:szCs w:val="18"/>
                <w:lang w:eastAsia="es-CO"/>
              </w:rPr>
              <w:t>79.153.490</w:t>
            </w:r>
          </w:p>
        </w:tc>
      </w:tr>
      <w:tr w:rsidRPr="00821320" w:rsidR="008D1EC0" w:rsidTr="008E0DCD" w14:paraId="39E4385E" w14:textId="77777777">
        <w:trPr>
          <w:trHeight w:val="227"/>
          <w:jc w:val="center"/>
        </w:trPr>
        <w:tc>
          <w:tcPr>
            <w:tcW w:w="0" w:type="auto"/>
            <w:tcBorders>
              <w:top w:val="nil"/>
              <w:left w:val="single" w:color="auto" w:sz="8" w:space="0"/>
              <w:bottom w:val="single" w:color="auto" w:sz="8" w:space="0"/>
              <w:right w:val="single" w:color="auto" w:sz="8" w:space="0"/>
            </w:tcBorders>
            <w:shd w:val="clear" w:color="auto" w:fill="B48C41"/>
            <w:hideMark/>
          </w:tcPr>
          <w:p w:rsidRPr="00821320" w:rsidR="008D1EC0" w:rsidP="00B412DF" w:rsidRDefault="008D1EC0" w14:paraId="34AF0468" w14:textId="77777777">
            <w:pPr>
              <w:rPr>
                <w:rFonts w:ascii="Verdana" w:hAnsi="Verdana" w:eastAsia="Times New Roman" w:cs="Calibri"/>
                <w:b/>
                <w:bCs/>
                <w:color w:val="F2F2F2"/>
                <w:sz w:val="18"/>
                <w:szCs w:val="18"/>
                <w:lang w:eastAsia="es-CO"/>
              </w:rPr>
            </w:pPr>
            <w:r w:rsidRPr="00821320">
              <w:rPr>
                <w:rFonts w:ascii="Verdana" w:hAnsi="Verdana" w:eastAsia="Times New Roman" w:cs="Calibri"/>
                <w:b/>
                <w:bCs/>
                <w:color w:val="F2F2F2"/>
                <w:sz w:val="18"/>
                <w:szCs w:val="18"/>
                <w:lang w:eastAsia="es-CO"/>
              </w:rPr>
              <w:t>TOTAL</w:t>
            </w:r>
          </w:p>
        </w:tc>
        <w:tc>
          <w:tcPr>
            <w:tcW w:w="0" w:type="auto"/>
            <w:tcBorders>
              <w:top w:val="nil"/>
              <w:left w:val="nil"/>
              <w:bottom w:val="single" w:color="auto" w:sz="8" w:space="0"/>
              <w:right w:val="single" w:color="auto" w:sz="8" w:space="0"/>
            </w:tcBorders>
            <w:shd w:val="clear" w:color="auto" w:fill="B48C41"/>
            <w:hideMark/>
          </w:tcPr>
          <w:p w:rsidRPr="00821320" w:rsidR="008D1EC0" w:rsidP="00B412DF" w:rsidRDefault="008D1EC0" w14:paraId="3948D370" w14:textId="77777777">
            <w:pPr>
              <w:jc w:val="center"/>
              <w:rPr>
                <w:rFonts w:ascii="Verdana" w:hAnsi="Verdana" w:eastAsia="Times New Roman" w:cs="Calibri"/>
                <w:b/>
                <w:bCs/>
                <w:color w:val="F2F2F2"/>
                <w:sz w:val="18"/>
                <w:szCs w:val="18"/>
                <w:lang w:eastAsia="es-CO"/>
              </w:rPr>
            </w:pPr>
            <w:r w:rsidRPr="00821320">
              <w:rPr>
                <w:rFonts w:ascii="Verdana" w:hAnsi="Verdana" w:eastAsia="Times New Roman" w:cs="Calibri"/>
                <w:b/>
                <w:bCs/>
                <w:color w:val="F2F2F2"/>
                <w:sz w:val="18"/>
                <w:szCs w:val="18"/>
                <w:lang w:eastAsia="es-CO"/>
              </w:rPr>
              <w:t>8.359.184.957</w:t>
            </w:r>
          </w:p>
        </w:tc>
      </w:tr>
    </w:tbl>
    <w:p w:rsidRPr="00821320" w:rsidR="008D1EC0" w:rsidP="00B412DF" w:rsidRDefault="008D1EC0" w14:paraId="03534F56" w14:textId="77777777">
      <w:pPr>
        <w:pStyle w:val="Sinespaciado"/>
        <w:jc w:val="center"/>
        <w:rPr>
          <w:rFonts w:ascii="Verdana" w:hAnsi="Verdana" w:eastAsia="MS Mincho" w:cs="Arial"/>
          <w:iCs/>
          <w:sz w:val="18"/>
          <w:szCs w:val="18"/>
          <w:lang w:val="es-ES_tradnl" w:eastAsia="es-ES"/>
        </w:rPr>
      </w:pPr>
      <w:r w:rsidRPr="00821320">
        <w:rPr>
          <w:rFonts w:ascii="Verdana" w:hAnsi="Verdana" w:eastAsia="MS Mincho" w:cs="Arial"/>
          <w:iCs/>
          <w:sz w:val="18"/>
          <w:szCs w:val="18"/>
          <w:lang w:val="es-ES_tradnl" w:eastAsia="es-ES"/>
        </w:rPr>
        <w:t>Fuente: Acta cierre fiscal vigencia 2022 Ministerio de Educación Nacional.</w:t>
      </w:r>
    </w:p>
    <w:p w:rsidRPr="00821320" w:rsidR="008D1EC0" w:rsidP="00B412DF" w:rsidRDefault="008D1EC0" w14:paraId="2E1739E9" w14:textId="77777777">
      <w:pPr>
        <w:pStyle w:val="Sinespaciado"/>
        <w:jc w:val="both"/>
        <w:rPr>
          <w:rFonts w:ascii="Verdana" w:hAnsi="Verdana" w:eastAsia="MS Mincho" w:cs="Arial"/>
          <w:iCs/>
          <w:lang w:val="es-ES_tradnl" w:eastAsia="es-ES"/>
        </w:rPr>
      </w:pPr>
    </w:p>
    <w:p w:rsidRPr="00821320" w:rsidR="008D1EC0" w:rsidP="00B412DF" w:rsidRDefault="008D1EC0" w14:paraId="4C1564CE" w14:textId="77777777">
      <w:pPr>
        <w:pStyle w:val="Sinespaciado"/>
        <w:jc w:val="both"/>
        <w:rPr>
          <w:rFonts w:ascii="Verdana" w:hAnsi="Verdana" w:eastAsia="MS Mincho" w:cs="Arial"/>
          <w:iCs/>
          <w:lang w:val="es-ES_tradnl" w:eastAsia="es-ES"/>
        </w:rPr>
      </w:pPr>
      <w:r w:rsidRPr="00821320">
        <w:rPr>
          <w:rFonts w:ascii="Verdana" w:hAnsi="Verdana" w:eastAsia="MS Mincho" w:cs="Arial"/>
          <w:iCs/>
          <w:lang w:val="es-ES_tradnl" w:eastAsia="es-ES"/>
        </w:rPr>
        <w:t xml:space="preserve">Así, la Entidad ejecutó en 103,94% el valor autorizado, es decir, excedió el monto en $321 millones de acuerdo con la validación entre el Ministerio de Educación Nacional y la Entidad. </w:t>
      </w:r>
      <w:r w:rsidRPr="00821320">
        <w:rPr>
          <w:rFonts w:ascii="Verdana" w:hAnsi="Verdana" w:eastAsia="MS Mincho" w:cs="Arial"/>
          <w:lang w:eastAsia="es-ES"/>
        </w:rPr>
        <w:t>En conclusión, con estas actuaciones el Municipio deteriora la disponibilidad de recursos para financiar otros conceptos de gasto e incumple con lo estipulado en el artículo 31 de la Ley 1176 de 2007 y</w:t>
      </w:r>
      <w:r w:rsidRPr="00821320">
        <w:rPr>
          <w:rFonts w:ascii="Verdana" w:hAnsi="Verdana"/>
          <w:shd w:val="clear" w:color="auto" w:fill="FFFFFF"/>
        </w:rPr>
        <w:t>, por lo tanto, el monto excedido deberá ser restituido al sector en proyectos de inversión diferentes a gastos administrativos y de nómina, financiados con recursos diferentes al SGP – Educación</w:t>
      </w:r>
      <w:r w:rsidRPr="00821320" w:rsidR="008D65A9">
        <w:rPr>
          <w:rFonts w:ascii="Verdana" w:hAnsi="Verdana"/>
          <w:shd w:val="clear" w:color="auto" w:fill="FFFFFF"/>
        </w:rPr>
        <w:t xml:space="preserve"> y/o recursos dados por la Nación</w:t>
      </w:r>
      <w:r w:rsidRPr="00821320">
        <w:rPr>
          <w:rFonts w:ascii="Verdana" w:hAnsi="Verdana"/>
          <w:shd w:val="clear" w:color="auto" w:fill="FFFFFF"/>
        </w:rPr>
        <w:t xml:space="preserve">. </w:t>
      </w:r>
    </w:p>
    <w:p w:rsidRPr="00821320" w:rsidR="008D1EC0" w:rsidP="00B412DF" w:rsidRDefault="008D1EC0" w14:paraId="6BC9166A" w14:textId="77777777">
      <w:pPr>
        <w:pStyle w:val="Sinespaciado"/>
        <w:jc w:val="both"/>
        <w:rPr>
          <w:rFonts w:ascii="Verdana" w:hAnsi="Verdana" w:eastAsia="MS Mincho" w:cs="Arial"/>
          <w:lang w:eastAsia="es-ES"/>
        </w:rPr>
      </w:pPr>
    </w:p>
    <w:p w:rsidRPr="00821320" w:rsidR="008D1EC0" w:rsidP="00B412DF" w:rsidRDefault="008D1EC0" w14:paraId="1C6DC9B6" w14:textId="77777777">
      <w:pPr>
        <w:pStyle w:val="Sinespaciado"/>
        <w:jc w:val="both"/>
        <w:rPr>
          <w:rFonts w:ascii="Verdana" w:hAnsi="Verdana" w:eastAsia="MS Mincho" w:cs="Arial"/>
          <w:lang w:val="es-ES_tradnl" w:eastAsia="es-ES"/>
        </w:rPr>
      </w:pPr>
      <w:r w:rsidRPr="00821320">
        <w:rPr>
          <w:rFonts w:ascii="Verdana" w:hAnsi="Verdana" w:eastAsia="MS Mincho" w:cs="Arial"/>
          <w:b/>
          <w:lang w:val="es-ES_tradnl" w:eastAsia="es-ES"/>
        </w:rPr>
        <w:t xml:space="preserve">Evidencia: </w:t>
      </w:r>
      <w:r w:rsidRPr="00821320">
        <w:rPr>
          <w:rFonts w:ascii="Verdana" w:hAnsi="Verdana" w:eastAsia="MS Mincho" w:cs="Arial"/>
          <w:lang w:eastAsia="es-ES"/>
        </w:rPr>
        <w:t xml:space="preserve">Obra en el expediente digital en el Sistema Integrado Electrónico Documental- SIED del Ministerio de Hacienda y Crédito Público No. </w:t>
      </w:r>
      <w:r w:rsidRPr="00821320">
        <w:rPr>
          <w:rFonts w:ascii="Verdana" w:hAnsi="Verdana" w:eastAsia="MS Mincho" w:cs="Arial"/>
          <w:lang w:val="es-ES" w:eastAsia="es-ES"/>
        </w:rPr>
        <w:t>44/2019/D028-PREDI</w:t>
      </w:r>
      <w:r w:rsidRPr="00821320">
        <w:rPr>
          <w:rFonts w:ascii="Verdana" w:hAnsi="Verdana" w:eastAsia="MS Mincho" w:cs="Arial"/>
          <w:lang w:eastAsia="es-ES"/>
        </w:rPr>
        <w:t xml:space="preserve"> el siguiente material probatorio:</w:t>
      </w:r>
    </w:p>
    <w:p w:rsidRPr="00821320" w:rsidR="008D1EC0" w:rsidP="00B412DF" w:rsidRDefault="008D1EC0" w14:paraId="3ADFFF7E" w14:textId="77777777">
      <w:pPr>
        <w:pStyle w:val="Prrafodelista"/>
        <w:numPr>
          <w:ilvl w:val="0"/>
          <w:numId w:val="25"/>
        </w:numPr>
        <w:ind w:left="284" w:hanging="284"/>
        <w:jc w:val="both"/>
        <w:rPr>
          <w:rStyle w:val="Hipervnculo"/>
          <w:rFonts w:ascii="Verdana" w:hAnsi="Verdana" w:eastAsiaTheme="minorHAnsi"/>
          <w:sz w:val="22"/>
          <w:szCs w:val="22"/>
          <w:lang w:val="es-CO" w:eastAsia="en-US"/>
        </w:rPr>
      </w:pPr>
      <w:r w:rsidRPr="00821320">
        <w:rPr>
          <w:rFonts w:ascii="Verdana" w:hAnsi="Verdana" w:cs="Arial"/>
          <w:sz w:val="22"/>
          <w:szCs w:val="22"/>
        </w:rPr>
        <w:t xml:space="preserve">Ejecuciones Presupuestales de Gastos del Municipio de Yopal. Vigencia 2022. Sector Educación. Serie "Historial de Seguimiento y Control a los Recursos del Sistema General de Participaciones - Ejecución y Seguimiento". Expediente </w:t>
      </w:r>
      <w:r w:rsidRPr="00821320">
        <w:rPr>
          <w:rFonts w:ascii="Verdana" w:hAnsi="Verdana" w:cs="Arial"/>
          <w:sz w:val="22"/>
          <w:szCs w:val="22"/>
        </w:rPr>
        <w:lastRenderedPageBreak/>
        <w:t xml:space="preserve">digital No. 44/2019/D028-PREDI Radicado 1-2023-051977 del 21 de junio de 2023. Enlace: </w:t>
      </w:r>
      <w:hyperlink w:history="1" r:id="rId23">
        <w:r w:rsidRPr="00821320">
          <w:rPr>
            <w:rStyle w:val="Hipervnculo"/>
            <w:rFonts w:ascii="Verdana" w:hAnsi="Verdana" w:cs="Arial"/>
            <w:sz w:val="22"/>
            <w:szCs w:val="22"/>
          </w:rPr>
          <w:t xml:space="preserve">eSigna </w:t>
        </w:r>
        <w:proofErr w:type="spellStart"/>
        <w:r w:rsidRPr="00821320">
          <w:rPr>
            <w:rStyle w:val="Hipervnculo"/>
            <w:rFonts w:ascii="Verdana" w:hAnsi="Verdana" w:cs="Arial"/>
            <w:sz w:val="22"/>
            <w:szCs w:val="22"/>
          </w:rPr>
          <w:t>DocumentViewer</w:t>
        </w:r>
        <w:proofErr w:type="spellEnd"/>
        <w:r w:rsidRPr="00821320">
          <w:rPr>
            <w:rStyle w:val="Hipervnculo"/>
            <w:rFonts w:ascii="Verdana" w:hAnsi="Verdana" w:cs="Arial"/>
            <w:sz w:val="22"/>
            <w:szCs w:val="22"/>
          </w:rPr>
          <w:t xml:space="preserve"> (</w:t>
        </w:r>
        <w:proofErr w:type="spellStart"/>
        <w:r w:rsidRPr="00821320">
          <w:rPr>
            <w:rStyle w:val="Hipervnculo"/>
            <w:rFonts w:ascii="Verdana" w:hAnsi="Verdana" w:cs="Arial"/>
            <w:sz w:val="22"/>
            <w:szCs w:val="22"/>
          </w:rPr>
          <w:t>minhacienda.red</w:t>
        </w:r>
        <w:proofErr w:type="spellEnd"/>
        <w:r w:rsidRPr="00821320">
          <w:rPr>
            <w:rStyle w:val="Hipervnculo"/>
            <w:rFonts w:ascii="Verdana" w:hAnsi="Verdana" w:cs="Arial"/>
            <w:sz w:val="22"/>
            <w:szCs w:val="22"/>
          </w:rPr>
          <w:t>)</w:t>
        </w:r>
      </w:hyperlink>
    </w:p>
    <w:p w:rsidRPr="00821320" w:rsidR="008D1EC0" w:rsidP="00B412DF" w:rsidRDefault="008D1EC0" w14:paraId="3E595D57" w14:textId="77777777">
      <w:pPr>
        <w:pStyle w:val="Prrafodelista"/>
        <w:numPr>
          <w:ilvl w:val="0"/>
          <w:numId w:val="25"/>
        </w:numPr>
        <w:ind w:left="284" w:hanging="284"/>
        <w:jc w:val="both"/>
        <w:rPr>
          <w:rStyle w:val="Hipervnculo"/>
          <w:rFonts w:ascii="Verdana" w:hAnsi="Verdana"/>
          <w:color w:val="auto"/>
          <w:sz w:val="22"/>
          <w:szCs w:val="22"/>
          <w:u w:val="none"/>
        </w:rPr>
      </w:pPr>
      <w:r w:rsidRPr="00821320">
        <w:rPr>
          <w:rStyle w:val="Hipervnculo"/>
          <w:rFonts w:ascii="Verdana" w:hAnsi="Verdana" w:cs="Arial"/>
          <w:color w:val="auto"/>
          <w:sz w:val="22"/>
          <w:szCs w:val="22"/>
          <w:u w:val="none"/>
        </w:rPr>
        <w:t xml:space="preserve">Cierre fiscal del Ministerio de Educación Nacional. Vigencia 2022. Sector Educación. </w:t>
      </w:r>
      <w:r w:rsidRPr="00821320">
        <w:rPr>
          <w:rFonts w:ascii="Verdana" w:hAnsi="Verdana" w:cs="Arial"/>
          <w:sz w:val="22"/>
          <w:szCs w:val="22"/>
        </w:rPr>
        <w:t>Serie "Historial de Seguimiento y Control a los Recursos del Sistema General de Participaciones - Ejecución y Seguimiento". Expediente digital No. 44/2019/D028-PREDI</w:t>
      </w:r>
      <w:r w:rsidRPr="00821320">
        <w:rPr>
          <w:rStyle w:val="Hipervnculo"/>
          <w:rFonts w:ascii="Verdana" w:hAnsi="Verdana" w:cs="Arial"/>
          <w:color w:val="auto"/>
          <w:sz w:val="22"/>
          <w:szCs w:val="22"/>
          <w:u w:val="none"/>
        </w:rPr>
        <w:t xml:space="preserve">. Enlace: </w:t>
      </w:r>
      <w:hyperlink w:history="1" r:id="rId24">
        <w:r w:rsidRPr="00821320">
          <w:rPr>
            <w:rStyle w:val="Hipervnculo"/>
            <w:rFonts w:ascii="Verdana" w:hAnsi="Verdana"/>
            <w:sz w:val="22"/>
            <w:szCs w:val="22"/>
          </w:rPr>
          <w:t xml:space="preserve">eSigna </w:t>
        </w:r>
        <w:proofErr w:type="spellStart"/>
        <w:r w:rsidRPr="00821320">
          <w:rPr>
            <w:rStyle w:val="Hipervnculo"/>
            <w:rFonts w:ascii="Verdana" w:hAnsi="Verdana"/>
            <w:sz w:val="22"/>
            <w:szCs w:val="22"/>
          </w:rPr>
          <w:t>DocumentViewer</w:t>
        </w:r>
        <w:proofErr w:type="spellEnd"/>
        <w:r w:rsidRPr="00821320">
          <w:rPr>
            <w:rStyle w:val="Hipervnculo"/>
            <w:rFonts w:ascii="Verdana" w:hAnsi="Verdana"/>
            <w:sz w:val="22"/>
            <w:szCs w:val="22"/>
          </w:rPr>
          <w:t xml:space="preserve"> (</w:t>
        </w:r>
        <w:proofErr w:type="spellStart"/>
        <w:r w:rsidRPr="00821320">
          <w:rPr>
            <w:rStyle w:val="Hipervnculo"/>
            <w:rFonts w:ascii="Verdana" w:hAnsi="Verdana"/>
            <w:sz w:val="22"/>
            <w:szCs w:val="22"/>
          </w:rPr>
          <w:t>minhacienda.red</w:t>
        </w:r>
        <w:proofErr w:type="spellEnd"/>
        <w:r w:rsidRPr="00821320">
          <w:rPr>
            <w:rStyle w:val="Hipervnculo"/>
            <w:rFonts w:ascii="Verdana" w:hAnsi="Verdana"/>
            <w:sz w:val="22"/>
            <w:szCs w:val="22"/>
          </w:rPr>
          <w:t>)</w:t>
        </w:r>
      </w:hyperlink>
    </w:p>
    <w:p w:rsidRPr="00821320" w:rsidR="008D1EC0" w:rsidP="00B412DF" w:rsidRDefault="008D1EC0" w14:paraId="055EA0E9" w14:textId="77777777">
      <w:pPr>
        <w:rPr>
          <w:rFonts w:ascii="Verdana" w:hAnsi="Verdana" w:cstheme="minorBidi"/>
          <w:sz w:val="22"/>
          <w:szCs w:val="22"/>
        </w:rPr>
      </w:pPr>
    </w:p>
    <w:p w:rsidRPr="00821320" w:rsidR="00F25334" w:rsidP="00B412DF" w:rsidRDefault="00F25334" w14:paraId="1A4FB701" w14:textId="77777777">
      <w:pPr>
        <w:pStyle w:val="Ttulo3"/>
        <w:numPr>
          <w:ilvl w:val="3"/>
          <w:numId w:val="19"/>
        </w:numPr>
        <w:spacing w:before="0"/>
        <w:ind w:left="426" w:hanging="426"/>
        <w:contextualSpacing/>
        <w:jc w:val="both"/>
        <w:rPr>
          <w:rFonts w:ascii="Verdana" w:hAnsi="Verdana"/>
          <w:b/>
          <w:bCs/>
          <w:color w:val="auto"/>
          <w:sz w:val="22"/>
          <w:szCs w:val="22"/>
        </w:rPr>
      </w:pPr>
      <w:r w:rsidRPr="00821320">
        <w:rPr>
          <w:rFonts w:ascii="Verdana" w:hAnsi="Verdana"/>
          <w:b/>
          <w:bCs/>
          <w:color w:val="auto"/>
          <w:sz w:val="22"/>
          <w:szCs w:val="22"/>
        </w:rPr>
        <w:t>Suscripción de contratos de arrendamiento de espacios físicos durante el transcurso de la pandemia de la COVID-19.</w:t>
      </w:r>
    </w:p>
    <w:p w:rsidRPr="00821320" w:rsidR="00F25334" w:rsidP="00B412DF" w:rsidRDefault="00F25334" w14:paraId="7F2C6937" w14:textId="77777777">
      <w:pPr>
        <w:jc w:val="both"/>
        <w:rPr>
          <w:rFonts w:ascii="Verdana" w:hAnsi="Verdana"/>
          <w:sz w:val="22"/>
          <w:szCs w:val="22"/>
        </w:rPr>
      </w:pPr>
    </w:p>
    <w:p w:rsidRPr="00821320" w:rsidR="00F25334" w:rsidP="00B412DF" w:rsidRDefault="00F25334" w14:paraId="65CD6A99" w14:textId="77777777">
      <w:pPr>
        <w:jc w:val="both"/>
        <w:rPr>
          <w:rFonts w:ascii="Verdana" w:hAnsi="Verdana"/>
          <w:sz w:val="22"/>
          <w:szCs w:val="22"/>
        </w:rPr>
      </w:pPr>
      <w:r w:rsidRPr="00821320">
        <w:rPr>
          <w:rFonts w:ascii="Verdana" w:hAnsi="Verdana"/>
          <w:sz w:val="22"/>
          <w:szCs w:val="22"/>
        </w:rPr>
        <w:t xml:space="preserve">Dada la situación extraordinaria generada por la pandemia de la COVID-19, el gobierno nacional por medio de la expedición del Decreto 417 del 17 de marzo 2020 decretó por primera vez el Estado de Emergencia Económica, Social y Ecológica en todo el territorio Nacional. </w:t>
      </w:r>
      <w:r w:rsidRPr="00821320" w:rsidR="00823719">
        <w:rPr>
          <w:rFonts w:ascii="Verdana" w:hAnsi="Verdana"/>
          <w:sz w:val="22"/>
          <w:szCs w:val="22"/>
        </w:rPr>
        <w:t xml:space="preserve">Adicionalmente, de acuerdo con </w:t>
      </w:r>
      <w:r w:rsidRPr="00821320">
        <w:rPr>
          <w:rFonts w:ascii="Verdana" w:hAnsi="Verdana"/>
          <w:sz w:val="22"/>
          <w:szCs w:val="22"/>
        </w:rPr>
        <w:t>la condición epidemiológica en todo el país, por medio del Decreto</w:t>
      </w:r>
      <w:r w:rsidRPr="00821320" w:rsidR="00F321D7">
        <w:rPr>
          <w:rFonts w:ascii="Verdana" w:hAnsi="Verdana"/>
          <w:sz w:val="22"/>
          <w:szCs w:val="22"/>
        </w:rPr>
        <w:t xml:space="preserve"> No.</w:t>
      </w:r>
      <w:r w:rsidRPr="00821320">
        <w:rPr>
          <w:rFonts w:ascii="Verdana" w:hAnsi="Verdana"/>
          <w:sz w:val="22"/>
          <w:szCs w:val="22"/>
        </w:rPr>
        <w:t xml:space="preserve"> 457 del 22 de marzo de 2020 se decretó el aislamiento preventivo obligatorio en todo el territorio nacional. Dicho aislamiento se prorrogó por medio de los Decretos </w:t>
      </w:r>
      <w:r w:rsidRPr="00821320" w:rsidR="00F321D7">
        <w:rPr>
          <w:rFonts w:ascii="Verdana" w:hAnsi="Verdana"/>
          <w:sz w:val="22"/>
          <w:szCs w:val="22"/>
        </w:rPr>
        <w:t xml:space="preserve">Nos. </w:t>
      </w:r>
      <w:r w:rsidRPr="00821320">
        <w:rPr>
          <w:rFonts w:ascii="Verdana" w:hAnsi="Verdana"/>
          <w:sz w:val="22"/>
          <w:szCs w:val="22"/>
        </w:rPr>
        <w:t>531 del 8 de abril de 2020, 593 del 24 de abril de 2020, 636 del 6 de mayo de 2020, 689 del 22 de mayo de 2020, 749 del 28 de mayo de 2020, 878 del 25 de junio de 2020 y 990 del 9 de julio de 2020.</w:t>
      </w:r>
    </w:p>
    <w:p w:rsidRPr="00821320" w:rsidR="00F25334" w:rsidP="00B412DF" w:rsidRDefault="00F25334" w14:paraId="147F6718" w14:textId="77777777">
      <w:pPr>
        <w:jc w:val="both"/>
        <w:rPr>
          <w:rFonts w:ascii="Verdana" w:hAnsi="Verdana"/>
          <w:sz w:val="22"/>
          <w:szCs w:val="22"/>
        </w:rPr>
      </w:pPr>
    </w:p>
    <w:p w:rsidRPr="00821320" w:rsidR="00F25334" w:rsidP="00B412DF" w:rsidRDefault="00F25334" w14:paraId="76A2D2B1" w14:textId="77777777">
      <w:pPr>
        <w:jc w:val="both"/>
        <w:rPr>
          <w:rFonts w:ascii="Verdana" w:hAnsi="Verdana" w:eastAsia="Times New Roman" w:cs="Verdana"/>
          <w:sz w:val="22"/>
          <w:szCs w:val="22"/>
        </w:rPr>
      </w:pPr>
      <w:r w:rsidRPr="00821320">
        <w:rPr>
          <w:rFonts w:ascii="Verdana" w:hAnsi="Verdana"/>
          <w:sz w:val="22"/>
          <w:szCs w:val="22"/>
        </w:rPr>
        <w:t>En cuanto al sector educación, por medio de la Circular 020 del 16 de marzo de 2020 y en el contexto del crecimiento exponencial de los casos de infección de coronavirus, el Ministerio de Educación Nacional ordenó garantizar el aislamiento de niños, niñas y adolescentes, junto con la aplicación de nuevas estrategias pedagógicas para continuar con las clases en modalidad virtual. Sin embargo, por medio de la Directiva 011 del 29 de mayo de 2020, el Ministerio de Educación Nacional estableció o</w:t>
      </w:r>
      <w:r w:rsidRPr="00821320">
        <w:rPr>
          <w:rFonts w:ascii="Verdana" w:hAnsi="Verdana" w:eastAsia="Times New Roman" w:cs="Verdana"/>
          <w:sz w:val="22"/>
          <w:szCs w:val="22"/>
        </w:rPr>
        <w:t>rientaciones para un retorno gradual y progresivo a los establecimientos educativos. En dicha directiva se estableció que:</w:t>
      </w:r>
    </w:p>
    <w:p w:rsidRPr="00821320" w:rsidR="00F25334" w:rsidP="00B412DF" w:rsidRDefault="00F25334" w14:paraId="5F79BB5F" w14:textId="77777777">
      <w:pPr>
        <w:jc w:val="both"/>
        <w:rPr>
          <w:rFonts w:ascii="Verdana" w:hAnsi="Verdana" w:eastAsia="Times New Roman" w:cs="Verdana"/>
          <w:sz w:val="22"/>
          <w:szCs w:val="22"/>
        </w:rPr>
      </w:pPr>
    </w:p>
    <w:p w:rsidRPr="00821320" w:rsidR="00F25334" w:rsidP="00B412DF" w:rsidRDefault="00F25334" w14:paraId="5C161B14" w14:textId="77777777">
      <w:pPr>
        <w:ind w:left="567"/>
        <w:jc w:val="both"/>
        <w:rPr>
          <w:rFonts w:ascii="Verdana" w:hAnsi="Verdana" w:eastAsia="Times New Roman" w:cs="Verdana"/>
          <w:i/>
          <w:iCs/>
          <w:sz w:val="22"/>
          <w:szCs w:val="22"/>
        </w:rPr>
      </w:pPr>
      <w:r w:rsidRPr="00821320">
        <w:rPr>
          <w:rFonts w:ascii="Verdana" w:hAnsi="Verdana" w:eastAsia="Times New Roman" w:cs="Verdana"/>
          <w:i/>
          <w:iCs/>
          <w:sz w:val="18"/>
          <w:szCs w:val="18"/>
        </w:rPr>
        <w:t xml:space="preserve">“…Las condiciones de la pandemia indicarán a las autoridades sanitarias la posibilidad de dar comienzo, a mediano plazo, al proceso de retorno de la población estudiantil a la modalidad presencial. Es así </w:t>
      </w:r>
      <w:proofErr w:type="gramStart"/>
      <w:r w:rsidRPr="00821320">
        <w:rPr>
          <w:rFonts w:ascii="Verdana" w:hAnsi="Verdana" w:eastAsia="Times New Roman" w:cs="Verdana"/>
          <w:i/>
          <w:iCs/>
          <w:sz w:val="18"/>
          <w:szCs w:val="18"/>
        </w:rPr>
        <w:t>que</w:t>
      </w:r>
      <w:proofErr w:type="gramEnd"/>
      <w:r w:rsidRPr="00821320">
        <w:rPr>
          <w:rFonts w:ascii="Verdana" w:hAnsi="Verdana" w:eastAsia="Times New Roman" w:cs="Verdana"/>
          <w:i/>
          <w:iCs/>
          <w:sz w:val="18"/>
          <w:szCs w:val="18"/>
        </w:rPr>
        <w:t xml:space="preserve"> corresponde al sector educativo, en coordinación con todos los sectores involucrados, avanzar en los meses siguientes, con el alistamiento de las condiciones de bioseguridad, administrativas, técnicas y pedagógicas para facilitar la transición progresiva de las actividades escolares a las instituciones…</w:t>
      </w:r>
      <w:r w:rsidRPr="00821320">
        <w:rPr>
          <w:rFonts w:ascii="Verdana" w:hAnsi="Verdana" w:eastAsia="Times New Roman" w:cs="Verdana"/>
          <w:i/>
          <w:iCs/>
          <w:sz w:val="22"/>
          <w:szCs w:val="22"/>
        </w:rPr>
        <w:t>”.</w:t>
      </w:r>
    </w:p>
    <w:p w:rsidRPr="00821320" w:rsidR="00F25334" w:rsidP="00B412DF" w:rsidRDefault="00F25334" w14:paraId="5719B9DD" w14:textId="77777777">
      <w:pPr>
        <w:jc w:val="both"/>
        <w:rPr>
          <w:rFonts w:ascii="Verdana" w:hAnsi="Verdana" w:eastAsia="Times New Roman" w:cs="Verdana"/>
          <w:sz w:val="22"/>
          <w:szCs w:val="22"/>
        </w:rPr>
      </w:pPr>
    </w:p>
    <w:p w:rsidRPr="00821320" w:rsidR="00621D5B" w:rsidP="00B412DF" w:rsidRDefault="00F25334" w14:paraId="10FC26D5" w14:textId="77777777">
      <w:pPr>
        <w:jc w:val="both"/>
        <w:rPr>
          <w:rFonts w:ascii="Verdana" w:hAnsi="Verdana" w:eastAsia="Times New Roman" w:cs="Verdana"/>
          <w:sz w:val="22"/>
          <w:szCs w:val="22"/>
        </w:rPr>
      </w:pPr>
      <w:r w:rsidRPr="00821320">
        <w:rPr>
          <w:rFonts w:ascii="Verdana" w:hAnsi="Verdana" w:eastAsia="Times New Roman" w:cs="Verdana"/>
          <w:sz w:val="22"/>
          <w:szCs w:val="22"/>
        </w:rPr>
        <w:t xml:space="preserve">De esta manera, quedó en cabeza de cada una de las Secretarías de Educación el establecimiento de una hoja de ruta para el retorno gradual a los modelos de educación presenciales. </w:t>
      </w:r>
      <w:r w:rsidRPr="00821320" w:rsidR="00621D5B">
        <w:rPr>
          <w:rFonts w:ascii="Verdana" w:hAnsi="Verdana" w:eastAsia="Times New Roman" w:cs="Verdana"/>
          <w:sz w:val="22"/>
          <w:szCs w:val="22"/>
        </w:rPr>
        <w:t>Así,</w:t>
      </w:r>
      <w:r w:rsidRPr="00821320">
        <w:rPr>
          <w:rFonts w:ascii="Verdana" w:hAnsi="Verdana" w:eastAsia="Times New Roman" w:cs="Verdana"/>
          <w:sz w:val="22"/>
          <w:szCs w:val="22"/>
        </w:rPr>
        <w:t xml:space="preserve"> por medio del Decreto</w:t>
      </w:r>
      <w:r w:rsidRPr="00821320" w:rsidR="00621D5B">
        <w:rPr>
          <w:rFonts w:ascii="Verdana" w:hAnsi="Verdana" w:eastAsia="Times New Roman" w:cs="Verdana"/>
          <w:sz w:val="22"/>
          <w:szCs w:val="22"/>
        </w:rPr>
        <w:t xml:space="preserve"> No.</w:t>
      </w:r>
      <w:r w:rsidRPr="00821320">
        <w:rPr>
          <w:rFonts w:ascii="Verdana" w:hAnsi="Verdana" w:eastAsia="Times New Roman" w:cs="Verdana"/>
          <w:sz w:val="22"/>
          <w:szCs w:val="22"/>
        </w:rPr>
        <w:t xml:space="preserve"> 26</w:t>
      </w:r>
      <w:r w:rsidRPr="00821320" w:rsidR="00A72233">
        <w:rPr>
          <w:rFonts w:ascii="Verdana" w:hAnsi="Verdana" w:eastAsia="Times New Roman" w:cs="Verdana"/>
          <w:sz w:val="22"/>
          <w:szCs w:val="22"/>
        </w:rPr>
        <w:t>6</w:t>
      </w:r>
      <w:r w:rsidRPr="00821320">
        <w:rPr>
          <w:rFonts w:ascii="Verdana" w:hAnsi="Verdana" w:eastAsia="Times New Roman" w:cs="Verdana"/>
          <w:sz w:val="22"/>
          <w:szCs w:val="22"/>
        </w:rPr>
        <w:t xml:space="preserve"> del 4 de noviembre de 2020 la entidad territorial estableció el comité de alternancia cuyo fin era adelantar el “</w:t>
      </w:r>
      <w:r w:rsidRPr="00821320">
        <w:rPr>
          <w:rFonts w:ascii="Verdana" w:hAnsi="Verdana" w:eastAsia="Times New Roman" w:cs="Verdana"/>
          <w:i/>
          <w:iCs/>
          <w:sz w:val="22"/>
          <w:szCs w:val="22"/>
        </w:rPr>
        <w:t>cumplimiento de las acciones preparatorias para el retorno gradual y progresivo a las aulas de los estudiantes del municipio de Yopal, Casanare”</w:t>
      </w:r>
      <w:r w:rsidRPr="00821320">
        <w:rPr>
          <w:rFonts w:ascii="Verdana" w:hAnsi="Verdana" w:eastAsia="Times New Roman" w:cs="Verdana"/>
          <w:sz w:val="22"/>
          <w:szCs w:val="22"/>
        </w:rPr>
        <w:t>. Conforme a lo establecido por dicho comité y el calendario académico fijado por la entidad territorial mediante Resolución</w:t>
      </w:r>
      <w:r w:rsidRPr="00821320" w:rsidR="00621D5B">
        <w:rPr>
          <w:rFonts w:ascii="Verdana" w:hAnsi="Verdana" w:eastAsia="Times New Roman" w:cs="Verdana"/>
          <w:sz w:val="22"/>
          <w:szCs w:val="22"/>
        </w:rPr>
        <w:t xml:space="preserve"> No.</w:t>
      </w:r>
      <w:r w:rsidRPr="00821320">
        <w:rPr>
          <w:rFonts w:ascii="Verdana" w:hAnsi="Verdana" w:eastAsia="Times New Roman" w:cs="Verdana"/>
          <w:sz w:val="22"/>
          <w:szCs w:val="22"/>
        </w:rPr>
        <w:t xml:space="preserve"> 789 del 21 de octubre de 2020 de </w:t>
      </w:r>
      <w:r w:rsidRPr="00821320">
        <w:rPr>
          <w:rFonts w:ascii="Verdana" w:hAnsi="Verdana" w:eastAsia="Times New Roman" w:cs="Verdana"/>
          <w:sz w:val="22"/>
          <w:szCs w:val="22"/>
        </w:rPr>
        <w:lastRenderedPageBreak/>
        <w:t xml:space="preserve">la Secretaría de Educación Municipal, las clases correspondientes al año lectivo 2021 dieron inicio el 25 de enero de dicho año. </w:t>
      </w:r>
    </w:p>
    <w:p w:rsidRPr="00821320" w:rsidR="00621D5B" w:rsidP="00B412DF" w:rsidRDefault="00621D5B" w14:paraId="346A8129" w14:textId="77777777">
      <w:pPr>
        <w:jc w:val="both"/>
        <w:rPr>
          <w:rFonts w:ascii="Verdana" w:hAnsi="Verdana" w:eastAsia="Times New Roman" w:cs="Verdana"/>
          <w:sz w:val="22"/>
          <w:szCs w:val="22"/>
        </w:rPr>
      </w:pPr>
    </w:p>
    <w:p w:rsidRPr="00821320" w:rsidR="00F25334" w:rsidP="00B412DF" w:rsidRDefault="00F25334" w14:paraId="74E9DC2E" w14:textId="77777777">
      <w:pPr>
        <w:jc w:val="both"/>
        <w:rPr>
          <w:rFonts w:ascii="Verdana" w:hAnsi="Verdana" w:eastAsia="Times New Roman" w:cs="Verdana"/>
          <w:sz w:val="22"/>
          <w:szCs w:val="22"/>
        </w:rPr>
      </w:pPr>
      <w:r w:rsidRPr="00821320">
        <w:rPr>
          <w:rFonts w:ascii="Verdana" w:hAnsi="Verdana" w:eastAsia="Times New Roman" w:cs="Verdana"/>
          <w:sz w:val="22"/>
          <w:szCs w:val="22"/>
        </w:rPr>
        <w:t>Por otra parte, de acuerdo con información de las noticias de prensa de la Secretaría de Educación Municipal, “</w:t>
      </w:r>
      <w:r w:rsidRPr="00821320">
        <w:rPr>
          <w:rFonts w:ascii="Verdana" w:hAnsi="Verdana" w:eastAsia="Times New Roman" w:cs="Verdana"/>
          <w:i/>
          <w:iCs/>
          <w:sz w:val="22"/>
          <w:szCs w:val="22"/>
        </w:rPr>
        <w:t>Desde el pasado 15 de febrero se dio inicio al desarrollo del calendario académico bajo el modelo de alternancia, el cual consiste en mantener un aforo de máximo del 30% en las aulas de clase</w:t>
      </w:r>
      <w:r w:rsidRPr="00821320">
        <w:rPr>
          <w:rFonts w:ascii="Verdana" w:hAnsi="Verdana" w:eastAsia="Times New Roman" w:cs="Verdana"/>
          <w:sz w:val="22"/>
          <w:szCs w:val="22"/>
        </w:rPr>
        <w:t>”. Es decir, en la entidad territorial se dio una suspensión de clases presenciales de forma continua desde el 17 de marzo de 2020 hasta el 15 de febrero de 2021.</w:t>
      </w:r>
    </w:p>
    <w:p w:rsidRPr="00821320" w:rsidR="00F25334" w:rsidP="00B412DF" w:rsidRDefault="00F25334" w14:paraId="4AB0CC31" w14:textId="77777777">
      <w:pPr>
        <w:jc w:val="both"/>
        <w:rPr>
          <w:rFonts w:ascii="Verdana" w:hAnsi="Verdana" w:eastAsia="Times New Roman" w:cs="Verdana"/>
          <w:sz w:val="22"/>
          <w:szCs w:val="22"/>
        </w:rPr>
      </w:pPr>
    </w:p>
    <w:p w:rsidRPr="00821320" w:rsidR="00F25334" w:rsidP="00B412DF" w:rsidRDefault="00F25334" w14:paraId="7B965AD3" w14:textId="77777777">
      <w:pPr>
        <w:jc w:val="both"/>
        <w:rPr>
          <w:rFonts w:ascii="Verdana" w:hAnsi="Verdana" w:cs="Arial"/>
          <w:sz w:val="22"/>
          <w:szCs w:val="22"/>
        </w:rPr>
      </w:pPr>
      <w:r w:rsidRPr="00821320">
        <w:rPr>
          <w:rFonts w:ascii="Verdana" w:hAnsi="Verdana" w:eastAsia="Times New Roman" w:cs="Verdana"/>
          <w:sz w:val="22"/>
          <w:szCs w:val="22"/>
        </w:rPr>
        <w:t>A pesar de estas condiciones, la Entidad Territorial por medio de Oficio del 27 de abril de 2020 invitó a la Diócesis de Yopal a presentar propuesta para la contratación del servicio de arrendamiento bien inmueble para la operación de instituciones educativas. En concreto, se solicitó “</w:t>
      </w:r>
      <w:r w:rsidRPr="00821320" w:rsidR="00A72233">
        <w:rPr>
          <w:rFonts w:ascii="Verdana" w:hAnsi="Verdana" w:eastAsia="Times New Roman" w:cs="Verdana"/>
          <w:i/>
          <w:iCs/>
          <w:sz w:val="22"/>
          <w:szCs w:val="22"/>
        </w:rPr>
        <w:t>Contratar el arrendamiento del inmueble ubicado en calle 11 no. 23- 52; carrera 23 no. 11 – 47; calle 12 no. 23 – 47 de Yopal, para el funcionamiento durante la vigencia 2020 de la sede preescolar y bachillerato de la institución educativa centro social del municipio de Yopal</w:t>
      </w:r>
      <w:r w:rsidRPr="00821320">
        <w:rPr>
          <w:rFonts w:ascii="Verdana" w:hAnsi="Verdana" w:eastAsia="Times New Roman" w:cs="Verdana"/>
          <w:sz w:val="22"/>
          <w:szCs w:val="22"/>
        </w:rPr>
        <w:t>”. De esta manera se suscribió el p</w:t>
      </w:r>
      <w:r w:rsidRPr="00821320">
        <w:rPr>
          <w:rFonts w:ascii="Verdana" w:hAnsi="Verdana" w:cs="Arial"/>
          <w:sz w:val="22"/>
          <w:szCs w:val="22"/>
        </w:rPr>
        <w:t xml:space="preserve">roceso No. </w:t>
      </w:r>
      <w:r w:rsidRPr="00821320">
        <w:rPr>
          <w:rFonts w:ascii="Verdana" w:hAnsi="Verdana" w:cs="Arial"/>
          <w:b/>
          <w:bCs/>
          <w:sz w:val="22"/>
          <w:szCs w:val="22"/>
        </w:rPr>
        <w:t xml:space="preserve">MYCA-SE-CD-002-2020 </w:t>
      </w:r>
      <w:r w:rsidRPr="00821320">
        <w:rPr>
          <w:rFonts w:ascii="Verdana" w:hAnsi="Verdana" w:cs="Arial"/>
          <w:sz w:val="22"/>
          <w:szCs w:val="22"/>
        </w:rPr>
        <w:t xml:space="preserve">el día 30 de abril de 2020, misma fecha en la cual se suscribió el acta de inicio. Dicho contrato se pactó por un plazo de </w:t>
      </w:r>
      <w:r w:rsidRPr="00821320" w:rsidR="00A72233">
        <w:rPr>
          <w:rFonts w:ascii="Verdana" w:hAnsi="Verdana" w:cs="Arial"/>
          <w:sz w:val="22"/>
          <w:szCs w:val="22"/>
        </w:rPr>
        <w:t>ocho (</w:t>
      </w:r>
      <w:r w:rsidRPr="00821320">
        <w:rPr>
          <w:rFonts w:ascii="Verdana" w:hAnsi="Verdana" w:cs="Arial"/>
          <w:sz w:val="22"/>
          <w:szCs w:val="22"/>
        </w:rPr>
        <w:t>8</w:t>
      </w:r>
      <w:r w:rsidRPr="00821320" w:rsidR="00A72233">
        <w:rPr>
          <w:rFonts w:ascii="Verdana" w:hAnsi="Verdana" w:cs="Arial"/>
          <w:sz w:val="22"/>
          <w:szCs w:val="22"/>
        </w:rPr>
        <w:t>)</w:t>
      </w:r>
      <w:r w:rsidRPr="00821320">
        <w:rPr>
          <w:rFonts w:ascii="Verdana" w:hAnsi="Verdana" w:cs="Arial"/>
          <w:sz w:val="22"/>
          <w:szCs w:val="22"/>
        </w:rPr>
        <w:t xml:space="preserve"> meses y un monto total de $444.444.444 la totalidad de los cuales se imputaron con cargo al Sistema General de Participaciones - prestación del servicio.</w:t>
      </w:r>
    </w:p>
    <w:p w:rsidRPr="00821320" w:rsidR="00F25334" w:rsidP="00B412DF" w:rsidRDefault="00F25334" w14:paraId="5227477D" w14:textId="77777777">
      <w:pPr>
        <w:jc w:val="both"/>
        <w:rPr>
          <w:rFonts w:ascii="Verdana" w:hAnsi="Verdana" w:cs="Arial"/>
          <w:sz w:val="22"/>
          <w:szCs w:val="22"/>
        </w:rPr>
      </w:pPr>
    </w:p>
    <w:p w:rsidRPr="00821320" w:rsidR="00F25334" w:rsidP="00B412DF" w:rsidRDefault="00F25334" w14:paraId="47EE638C" w14:textId="77777777">
      <w:pPr>
        <w:jc w:val="both"/>
        <w:rPr>
          <w:rFonts w:ascii="Verdana" w:hAnsi="Verdana" w:cs="Arial"/>
          <w:sz w:val="22"/>
          <w:szCs w:val="22"/>
        </w:rPr>
      </w:pPr>
      <w:r w:rsidRPr="00821320">
        <w:rPr>
          <w:rFonts w:ascii="Verdana" w:hAnsi="Verdana" w:cs="Arial"/>
          <w:sz w:val="22"/>
          <w:szCs w:val="22"/>
        </w:rPr>
        <w:t xml:space="preserve">Así mismo, </w:t>
      </w:r>
      <w:r w:rsidRPr="00821320">
        <w:rPr>
          <w:rFonts w:ascii="Verdana" w:hAnsi="Verdana" w:eastAsia="Times New Roman" w:cs="Verdana"/>
          <w:sz w:val="22"/>
          <w:szCs w:val="22"/>
        </w:rPr>
        <w:t>la Entidad Territorial por medio de Oficio del 23 de septiembre de 2020 invitó a la Diócesis de Yopal a presentar propuesta para la contratación del servicio de arrendamiento bien inmueble para la operación de instituciones educativas. En concreto, se solicitó “</w:t>
      </w:r>
      <w:r w:rsidRPr="00821320" w:rsidR="00A72233">
        <w:rPr>
          <w:rFonts w:ascii="Verdana" w:hAnsi="Verdana" w:eastAsia="Times New Roman" w:cs="Verdana"/>
          <w:i/>
          <w:iCs/>
          <w:sz w:val="22"/>
          <w:szCs w:val="22"/>
        </w:rPr>
        <w:t>Contratar el arrendamiento del inmueble ubicado en calle 11 no. 23- 73; calle 10 no. 23 – 66 en Yopal, para el funcionamiento durante la vigencia 2020 de la sede primaria de la institución educativa centro social del municipio de Yopal</w:t>
      </w:r>
      <w:r w:rsidRPr="00821320">
        <w:rPr>
          <w:rFonts w:ascii="Verdana" w:hAnsi="Verdana" w:eastAsia="Times New Roman" w:cs="Verdana"/>
          <w:sz w:val="22"/>
          <w:szCs w:val="22"/>
        </w:rPr>
        <w:t>”. De esta manera se suscribió el p</w:t>
      </w:r>
      <w:r w:rsidRPr="00821320">
        <w:rPr>
          <w:rFonts w:ascii="Verdana" w:hAnsi="Verdana" w:cs="Arial"/>
          <w:sz w:val="22"/>
          <w:szCs w:val="22"/>
        </w:rPr>
        <w:t xml:space="preserve">roceso No. </w:t>
      </w:r>
      <w:r w:rsidRPr="00821320">
        <w:rPr>
          <w:rFonts w:ascii="Verdana" w:hAnsi="Verdana" w:cs="Arial"/>
          <w:b/>
          <w:bCs/>
          <w:sz w:val="22"/>
          <w:szCs w:val="22"/>
        </w:rPr>
        <w:t xml:space="preserve">MYCA-SE-CD-198-2020 </w:t>
      </w:r>
      <w:r w:rsidRPr="00821320">
        <w:rPr>
          <w:rFonts w:ascii="Verdana" w:hAnsi="Verdana" w:cs="Arial"/>
          <w:sz w:val="22"/>
          <w:szCs w:val="22"/>
        </w:rPr>
        <w:t>con fecha de suscripción de acta de inicio del 5 de octubre de 2020. Dicho contrato se pactó por un plazo de 3 meses y un monto total de $67.770.000, los cuales fueron financiados $11.738.982 con Ingresos Corrientes de Libre Destinación y los restantes $56.031.018 fueron financiados con cargo al Sistema General de Participaciones - prestación del servicio.</w:t>
      </w:r>
    </w:p>
    <w:p w:rsidRPr="00821320" w:rsidR="00F25334" w:rsidP="00B412DF" w:rsidRDefault="00F25334" w14:paraId="1F6DC33C" w14:textId="77777777">
      <w:pPr>
        <w:jc w:val="both"/>
        <w:rPr>
          <w:rFonts w:ascii="Verdana" w:hAnsi="Verdana" w:cs="Arial"/>
          <w:sz w:val="22"/>
          <w:szCs w:val="22"/>
        </w:rPr>
      </w:pPr>
    </w:p>
    <w:p w:rsidRPr="00821320" w:rsidR="00F25334" w:rsidP="00B412DF" w:rsidRDefault="00F25334" w14:paraId="50E79250" w14:textId="77777777">
      <w:pPr>
        <w:jc w:val="both"/>
        <w:rPr>
          <w:rFonts w:ascii="Verdana" w:hAnsi="Verdana" w:eastAsia="Times New Roman" w:cs="Verdana"/>
          <w:sz w:val="22"/>
          <w:szCs w:val="22"/>
        </w:rPr>
      </w:pPr>
      <w:r w:rsidRPr="00821320">
        <w:rPr>
          <w:rFonts w:ascii="Verdana" w:hAnsi="Verdana" w:cs="Arial"/>
          <w:sz w:val="22"/>
          <w:szCs w:val="22"/>
        </w:rPr>
        <w:t>En ambos contratos se evidencia un uso indebido de los recursos del Sistema General de Participaciones - Educación dado que se arrendaron espacios físicos para impartir clases cuando todos los estudiantes se encontraban en aislamiento preventivo por la pandemia de la COVID-19, meses después de que se conociera dicha situación. Al respecto, en los estudios previos del contrato MYCA-SE-CD-198-2020 del 16 de septiembre de 2020 si bien se señala que existe la necesidad de la suscripción del mismo</w:t>
      </w:r>
      <w:r w:rsidRPr="00821320" w:rsidR="00823719">
        <w:rPr>
          <w:rFonts w:ascii="Verdana" w:hAnsi="Verdana" w:cs="Arial"/>
          <w:sz w:val="22"/>
          <w:szCs w:val="22"/>
        </w:rPr>
        <w:t>:</w:t>
      </w:r>
      <w:r w:rsidRPr="00821320">
        <w:rPr>
          <w:rFonts w:ascii="Verdana" w:hAnsi="Verdana" w:cs="Arial"/>
          <w:sz w:val="22"/>
          <w:szCs w:val="22"/>
        </w:rPr>
        <w:t xml:space="preserve"> “</w:t>
      </w:r>
      <w:r w:rsidRPr="00821320">
        <w:rPr>
          <w:rFonts w:ascii="Verdana" w:hAnsi="Verdana" w:cs="Arial"/>
          <w:i/>
          <w:iCs/>
          <w:sz w:val="22"/>
          <w:szCs w:val="22"/>
        </w:rPr>
        <w:t xml:space="preserve">Así mismo, se garantice que una vez cese la pandemia y/o se autorice la alternancia o presencia de un porcentaje </w:t>
      </w:r>
      <w:r w:rsidRPr="00821320">
        <w:rPr>
          <w:rFonts w:ascii="Verdana" w:hAnsi="Verdana" w:cs="Arial"/>
          <w:i/>
          <w:iCs/>
          <w:sz w:val="22"/>
          <w:szCs w:val="22"/>
        </w:rPr>
        <w:lastRenderedPageBreak/>
        <w:t>significativo de estudiantes en el aula, cumpliendo con los protocolos de bioseguridad de dicho sector, se pueda contar con un bien inmueble que se adapte a la prestación del servicio educativo</w:t>
      </w:r>
      <w:r w:rsidRPr="00821320">
        <w:rPr>
          <w:rFonts w:ascii="Verdana" w:hAnsi="Verdana" w:cs="Arial"/>
          <w:sz w:val="22"/>
          <w:szCs w:val="22"/>
        </w:rPr>
        <w:t xml:space="preserve">”, para el momento de la suscripción del contrato ni siquiera se había conformado el comité de alternancia dentro de la Secretaría, por lo cual se desconocía una fecha probable para el retorno de los estudiantes. Dicho comité fue conformado recién el </w:t>
      </w:r>
      <w:r w:rsidRPr="00821320">
        <w:rPr>
          <w:rFonts w:ascii="Verdana" w:hAnsi="Verdana" w:eastAsia="Times New Roman" w:cs="Verdana"/>
          <w:sz w:val="22"/>
          <w:szCs w:val="22"/>
        </w:rPr>
        <w:t>21 de octubre de 2020.</w:t>
      </w:r>
    </w:p>
    <w:p w:rsidRPr="00821320" w:rsidR="00F25334" w:rsidP="00B412DF" w:rsidRDefault="00F25334" w14:paraId="5EE4E5C5" w14:textId="77777777">
      <w:pPr>
        <w:jc w:val="both"/>
        <w:rPr>
          <w:rFonts w:ascii="Verdana" w:hAnsi="Verdana" w:cs="Arial"/>
          <w:sz w:val="22"/>
          <w:szCs w:val="22"/>
        </w:rPr>
      </w:pPr>
    </w:p>
    <w:p w:rsidRPr="00821320" w:rsidR="00F25334" w:rsidP="00B412DF" w:rsidRDefault="00F25334" w14:paraId="0E4FA730" w14:textId="77777777">
      <w:pPr>
        <w:jc w:val="both"/>
        <w:rPr>
          <w:rFonts w:ascii="Verdana" w:hAnsi="Verdana" w:cs="Arial"/>
          <w:sz w:val="22"/>
          <w:szCs w:val="22"/>
        </w:rPr>
      </w:pPr>
      <w:r w:rsidRPr="00821320">
        <w:rPr>
          <w:rFonts w:ascii="Verdana" w:hAnsi="Verdana" w:cs="Arial"/>
          <w:sz w:val="22"/>
          <w:szCs w:val="22"/>
        </w:rPr>
        <w:t>Si se considera que dicho contrato finalizó el 5 de enero de 2021, semanas antes de la aplicación del modelo de alternancia en las primeras instituciones educativas del municipio, se evidencia la configuración de un uso inadecuado del recurso puesto que no era posible que el bien inmueble se empleara para los fines para los que fue contratado, máxime cuando para ninguno de los dos contratos se estableció como obligación del arrendador adecuación alguna de la infraestructura o la instalación de algún tipo de herramienta de ayuda pedagógica para la aplicación del modelo de alternancia o virtualidad que pudiese justificar un contrato bajo dicho contexto sanitario.</w:t>
      </w:r>
    </w:p>
    <w:p w:rsidRPr="00821320" w:rsidR="00F25334" w:rsidP="00B412DF" w:rsidRDefault="00F25334" w14:paraId="20CD9024" w14:textId="77777777">
      <w:pPr>
        <w:jc w:val="both"/>
        <w:rPr>
          <w:rFonts w:ascii="Verdana" w:hAnsi="Verdana" w:cs="Arial"/>
          <w:sz w:val="22"/>
          <w:szCs w:val="22"/>
        </w:rPr>
      </w:pPr>
    </w:p>
    <w:p w:rsidRPr="00821320" w:rsidR="00F25334" w:rsidP="00B412DF" w:rsidRDefault="00F25334" w14:paraId="091F754C" w14:textId="77777777">
      <w:pPr>
        <w:jc w:val="both"/>
        <w:rPr>
          <w:rFonts w:ascii="Verdana" w:hAnsi="Verdana" w:cs="Arial"/>
          <w:sz w:val="22"/>
          <w:szCs w:val="22"/>
        </w:rPr>
      </w:pPr>
      <w:r w:rsidRPr="00821320">
        <w:rPr>
          <w:rFonts w:ascii="Verdana" w:hAnsi="Verdana" w:cs="Arial"/>
          <w:sz w:val="22"/>
          <w:szCs w:val="22"/>
        </w:rPr>
        <w:t>A partir de lo anterior, se concluye que la Entidad Territorial utilizó de forma indebida</w:t>
      </w:r>
      <w:r w:rsidRPr="00821320" w:rsidR="00A72233">
        <w:rPr>
          <w:rFonts w:ascii="Verdana" w:hAnsi="Verdana" w:cs="Arial"/>
          <w:sz w:val="22"/>
          <w:szCs w:val="22"/>
        </w:rPr>
        <w:t xml:space="preserve"> los recursos del SGP Educación</w:t>
      </w:r>
      <w:r w:rsidRPr="00821320">
        <w:rPr>
          <w:rFonts w:ascii="Verdana" w:hAnsi="Verdana" w:cs="Arial"/>
          <w:sz w:val="22"/>
          <w:szCs w:val="22"/>
        </w:rPr>
        <w:t xml:space="preserve"> y, por lo tanto, deberá restituir estos recursos </w:t>
      </w:r>
      <w:r w:rsidRPr="00821320" w:rsidR="00A72233">
        <w:rPr>
          <w:rFonts w:ascii="Verdana" w:hAnsi="Verdana" w:cs="Arial"/>
          <w:sz w:val="22"/>
          <w:szCs w:val="22"/>
        </w:rPr>
        <w:t xml:space="preserve">en </w:t>
      </w:r>
      <w:r w:rsidRPr="00821320">
        <w:rPr>
          <w:rFonts w:ascii="Verdana" w:hAnsi="Verdana" w:cs="Arial"/>
          <w:sz w:val="22"/>
          <w:szCs w:val="22"/>
        </w:rPr>
        <w:t>proyectos de inversión diferentes a gastos administrativos y de nómina, financiados con fuentes diferentes al SGP – Educación y/o recursos dados por la Nación.</w:t>
      </w:r>
    </w:p>
    <w:p w:rsidRPr="00821320" w:rsidR="00F25334" w:rsidP="00B412DF" w:rsidRDefault="00F25334" w14:paraId="16E38B46" w14:textId="77777777">
      <w:pPr>
        <w:jc w:val="both"/>
        <w:rPr>
          <w:rFonts w:ascii="Verdana" w:hAnsi="Verdana" w:cs="Arial"/>
          <w:sz w:val="22"/>
          <w:szCs w:val="22"/>
        </w:rPr>
      </w:pPr>
    </w:p>
    <w:p w:rsidRPr="00821320" w:rsidR="00F25334" w:rsidP="00B412DF" w:rsidRDefault="00F25334" w14:paraId="3262CBC8" w14:textId="77777777">
      <w:pPr>
        <w:pStyle w:val="Sinespaciado"/>
        <w:jc w:val="both"/>
        <w:rPr>
          <w:rFonts w:ascii="Verdana" w:hAnsi="Verdana" w:eastAsia="MS Mincho" w:cs="Arial"/>
          <w:lang w:val="es-ES_tradnl" w:eastAsia="es-ES"/>
        </w:rPr>
      </w:pPr>
      <w:r w:rsidRPr="00821320">
        <w:rPr>
          <w:rFonts w:ascii="Verdana" w:hAnsi="Verdana" w:eastAsia="MS Mincho" w:cs="Arial"/>
          <w:b/>
          <w:lang w:val="es-ES_tradnl" w:eastAsia="es-ES"/>
        </w:rPr>
        <w:t xml:space="preserve">Evidencia: </w:t>
      </w:r>
      <w:r w:rsidRPr="00821320">
        <w:rPr>
          <w:rFonts w:ascii="Verdana" w:hAnsi="Verdana" w:eastAsia="MS Mincho" w:cs="Arial"/>
          <w:lang w:eastAsia="es-ES"/>
        </w:rPr>
        <w:t xml:space="preserve">Obra en el expediente digital en el Sistema Integrado Electrónico Documental- SIED del Ministerio de Hacienda y Crédito Público No. </w:t>
      </w:r>
      <w:r w:rsidRPr="00821320">
        <w:rPr>
          <w:rFonts w:ascii="Verdana" w:hAnsi="Verdana" w:eastAsia="MS Mincho" w:cs="Arial"/>
          <w:lang w:val="es-ES" w:eastAsia="es-ES"/>
        </w:rPr>
        <w:t>44/2019/D028-PREDI</w:t>
      </w:r>
      <w:r w:rsidRPr="00821320">
        <w:rPr>
          <w:rFonts w:ascii="Verdana" w:hAnsi="Verdana" w:eastAsia="MS Mincho" w:cs="Arial"/>
          <w:lang w:eastAsia="es-ES"/>
        </w:rPr>
        <w:t xml:space="preserve"> el siguiente material probatorio:</w:t>
      </w:r>
    </w:p>
    <w:p w:rsidRPr="00821320" w:rsidR="00F25334" w:rsidP="00B412DF" w:rsidRDefault="00F25334" w14:paraId="133078D9" w14:textId="77777777">
      <w:pPr>
        <w:pStyle w:val="Sinespaciado"/>
        <w:numPr>
          <w:ilvl w:val="0"/>
          <w:numId w:val="30"/>
        </w:numPr>
        <w:ind w:left="284" w:hanging="284"/>
        <w:jc w:val="both"/>
        <w:rPr>
          <w:rFonts w:ascii="Verdana" w:hAnsi="Verdana" w:cs="Arial"/>
        </w:rPr>
      </w:pPr>
      <w:r w:rsidRPr="00821320">
        <w:rPr>
          <w:rFonts w:ascii="Verdana" w:hAnsi="Verdana" w:cs="Arial"/>
          <w:bCs/>
          <w:iCs/>
          <w:lang w:val="es-ES" w:eastAsia="es-ES"/>
        </w:rPr>
        <w:t xml:space="preserve">Consulta en el SECOP del Proceso No. </w:t>
      </w:r>
      <w:r w:rsidRPr="00821320">
        <w:rPr>
          <w:rFonts w:ascii="Verdana" w:hAnsi="Verdana" w:cs="Arial"/>
          <w:bCs/>
          <w:shd w:val="clear" w:color="auto" w:fill="FFFFFF"/>
        </w:rPr>
        <w:t>MYCA-SE-CD-002-2020</w:t>
      </w:r>
      <w:r w:rsidRPr="00821320">
        <w:rPr>
          <w:rFonts w:ascii="Verdana" w:hAnsi="Verdana" w:cs="Arial"/>
          <w:bCs/>
          <w:iCs/>
          <w:lang w:val="es-ES" w:eastAsia="es-ES"/>
        </w:rPr>
        <w:t xml:space="preserve">. </w:t>
      </w:r>
      <w:r w:rsidRPr="00821320">
        <w:rPr>
          <w:rFonts w:ascii="Verdana" w:hAnsi="Verdana" w:cs="Arial"/>
          <w:bCs/>
        </w:rPr>
        <w:t>Vigencia 2020. Sector Educación. Municipio</w:t>
      </w:r>
      <w:r w:rsidRPr="00821320">
        <w:rPr>
          <w:rFonts w:ascii="Verdana" w:hAnsi="Verdana" w:cs="Arial"/>
        </w:rPr>
        <w:t xml:space="preserve"> de Yopal. Serie </w:t>
      </w:r>
      <w:r w:rsidRPr="00821320">
        <w:rPr>
          <w:rFonts w:ascii="Verdana" w:hAnsi="Verdana" w:cs="Arial"/>
          <w:i/>
        </w:rPr>
        <w:t>“Historial de Seguimiento y Control a los Recursos del Sistema General de Participaciones-Ejecución y Seguimiento”</w:t>
      </w:r>
      <w:r w:rsidRPr="00821320">
        <w:rPr>
          <w:rFonts w:ascii="Verdana" w:hAnsi="Verdana" w:cs="Arial"/>
        </w:rPr>
        <w:t xml:space="preserve">. Expediente digital No. </w:t>
      </w:r>
      <w:r w:rsidRPr="00821320">
        <w:rPr>
          <w:rFonts w:ascii="Verdana" w:hAnsi="Verdana" w:cs="Arial"/>
          <w:lang w:val="es-ES"/>
        </w:rPr>
        <w:t>44/2019/D028-PREDI.</w:t>
      </w:r>
      <w:r w:rsidRPr="00821320">
        <w:rPr>
          <w:rFonts w:ascii="Verdana" w:hAnsi="Verdana" w:cs="Arial"/>
        </w:rPr>
        <w:t xml:space="preserve"> Enlace: </w:t>
      </w:r>
      <w:hyperlink w:history="1" r:id="rId25">
        <w:r w:rsidRPr="00821320">
          <w:rPr>
            <w:rStyle w:val="Hipervnculo"/>
            <w:rFonts w:ascii="Verdana" w:hAnsi="Verdana"/>
          </w:rPr>
          <w:t xml:space="preserve">eSigna </w:t>
        </w:r>
        <w:proofErr w:type="spellStart"/>
        <w:r w:rsidRPr="00821320">
          <w:rPr>
            <w:rStyle w:val="Hipervnculo"/>
            <w:rFonts w:ascii="Verdana" w:hAnsi="Verdana"/>
          </w:rPr>
          <w:t>DocumentViewer</w:t>
        </w:r>
        <w:proofErr w:type="spellEnd"/>
        <w:r w:rsidRPr="00821320">
          <w:rPr>
            <w:rStyle w:val="Hipervnculo"/>
            <w:rFonts w:ascii="Verdana" w:hAnsi="Verdana"/>
          </w:rPr>
          <w:t xml:space="preserve"> (</w:t>
        </w:r>
        <w:proofErr w:type="spellStart"/>
        <w:r w:rsidRPr="00821320">
          <w:rPr>
            <w:rStyle w:val="Hipervnculo"/>
            <w:rFonts w:ascii="Verdana" w:hAnsi="Verdana"/>
          </w:rPr>
          <w:t>minhacienda.red</w:t>
        </w:r>
        <w:proofErr w:type="spellEnd"/>
        <w:r w:rsidRPr="00821320">
          <w:rPr>
            <w:rStyle w:val="Hipervnculo"/>
            <w:rFonts w:ascii="Verdana" w:hAnsi="Verdana"/>
          </w:rPr>
          <w:t>)</w:t>
        </w:r>
      </w:hyperlink>
    </w:p>
    <w:p w:rsidRPr="00821320" w:rsidR="00F25334" w:rsidP="00B412DF" w:rsidRDefault="00F25334" w14:paraId="4598D15B" w14:textId="77777777">
      <w:pPr>
        <w:pStyle w:val="Sinespaciado"/>
        <w:numPr>
          <w:ilvl w:val="0"/>
          <w:numId w:val="30"/>
        </w:numPr>
        <w:ind w:left="284" w:hanging="284"/>
        <w:jc w:val="both"/>
        <w:rPr>
          <w:rFonts w:ascii="Verdana" w:hAnsi="Verdana" w:cs="Arial"/>
        </w:rPr>
      </w:pPr>
      <w:r w:rsidRPr="00821320">
        <w:rPr>
          <w:rFonts w:ascii="Verdana" w:hAnsi="Verdana" w:cs="Arial"/>
          <w:bCs/>
          <w:iCs/>
          <w:lang w:val="es-ES" w:eastAsia="es-ES"/>
        </w:rPr>
        <w:t xml:space="preserve">Consulta en el SECOP del Proceso No. </w:t>
      </w:r>
      <w:r w:rsidRPr="00821320">
        <w:rPr>
          <w:rFonts w:ascii="Verdana" w:hAnsi="Verdana" w:cs="Arial"/>
          <w:shd w:val="clear" w:color="auto" w:fill="FFFFFF"/>
        </w:rPr>
        <w:t>MYCA-SE-CD-198-2020</w:t>
      </w:r>
      <w:r w:rsidRPr="00821320">
        <w:rPr>
          <w:rFonts w:ascii="Verdana" w:hAnsi="Verdana" w:cs="Arial"/>
          <w:bCs/>
          <w:iCs/>
          <w:lang w:val="es-ES" w:eastAsia="es-ES"/>
        </w:rPr>
        <w:t xml:space="preserve">. </w:t>
      </w:r>
      <w:r w:rsidRPr="00821320">
        <w:rPr>
          <w:rFonts w:ascii="Verdana" w:hAnsi="Verdana" w:cs="Arial"/>
          <w:bCs/>
        </w:rPr>
        <w:t>Vigencia 2020. Sector Educación. Municipio</w:t>
      </w:r>
      <w:r w:rsidRPr="00821320">
        <w:rPr>
          <w:rFonts w:ascii="Verdana" w:hAnsi="Verdana" w:cs="Arial"/>
        </w:rPr>
        <w:t xml:space="preserve"> de Yopal. Serie </w:t>
      </w:r>
      <w:r w:rsidRPr="00821320">
        <w:rPr>
          <w:rFonts w:ascii="Verdana" w:hAnsi="Verdana" w:cs="Arial"/>
          <w:i/>
        </w:rPr>
        <w:t>“Historial de Seguimiento y Control a los Recursos del Sistema General de Participaciones-Ejecución y Seguimiento”</w:t>
      </w:r>
      <w:r w:rsidRPr="00821320">
        <w:rPr>
          <w:rFonts w:ascii="Verdana" w:hAnsi="Verdana" w:cs="Arial"/>
        </w:rPr>
        <w:t xml:space="preserve">. Expediente digital No. </w:t>
      </w:r>
      <w:r w:rsidRPr="00821320">
        <w:rPr>
          <w:rFonts w:ascii="Verdana" w:hAnsi="Verdana" w:cs="Arial"/>
          <w:lang w:val="es-ES"/>
        </w:rPr>
        <w:t>44/2019/D028-PREDI.</w:t>
      </w:r>
      <w:r w:rsidRPr="00821320">
        <w:rPr>
          <w:rFonts w:ascii="Verdana" w:hAnsi="Verdana" w:cs="Arial"/>
        </w:rPr>
        <w:t xml:space="preserve"> Enlace: </w:t>
      </w:r>
      <w:hyperlink w:history="1" r:id="rId26">
        <w:r w:rsidRPr="00821320">
          <w:rPr>
            <w:rStyle w:val="Hipervnculo"/>
            <w:rFonts w:ascii="Verdana" w:hAnsi="Verdana"/>
          </w:rPr>
          <w:t xml:space="preserve">eSigna </w:t>
        </w:r>
        <w:proofErr w:type="spellStart"/>
        <w:r w:rsidRPr="00821320">
          <w:rPr>
            <w:rStyle w:val="Hipervnculo"/>
            <w:rFonts w:ascii="Verdana" w:hAnsi="Verdana"/>
          </w:rPr>
          <w:t>DocumentViewer</w:t>
        </w:r>
        <w:proofErr w:type="spellEnd"/>
        <w:r w:rsidRPr="00821320">
          <w:rPr>
            <w:rStyle w:val="Hipervnculo"/>
            <w:rFonts w:ascii="Verdana" w:hAnsi="Verdana"/>
          </w:rPr>
          <w:t xml:space="preserve"> (</w:t>
        </w:r>
        <w:proofErr w:type="spellStart"/>
        <w:r w:rsidRPr="00821320">
          <w:rPr>
            <w:rStyle w:val="Hipervnculo"/>
            <w:rFonts w:ascii="Verdana" w:hAnsi="Verdana"/>
          </w:rPr>
          <w:t>minhacienda.red</w:t>
        </w:r>
        <w:proofErr w:type="spellEnd"/>
        <w:r w:rsidRPr="00821320">
          <w:rPr>
            <w:rStyle w:val="Hipervnculo"/>
            <w:rFonts w:ascii="Verdana" w:hAnsi="Verdana"/>
          </w:rPr>
          <w:t>)</w:t>
        </w:r>
      </w:hyperlink>
    </w:p>
    <w:p w:rsidRPr="00821320" w:rsidR="00F321D7" w:rsidP="00B412DF" w:rsidRDefault="00A72233" w14:paraId="12A47690" w14:textId="77777777">
      <w:pPr>
        <w:pStyle w:val="Sinespaciado"/>
        <w:numPr>
          <w:ilvl w:val="0"/>
          <w:numId w:val="30"/>
        </w:numPr>
        <w:ind w:left="284" w:hanging="284"/>
        <w:jc w:val="both"/>
        <w:rPr>
          <w:rFonts w:ascii="Verdana" w:hAnsi="Verdana" w:cs="Arial"/>
        </w:rPr>
      </w:pPr>
      <w:r w:rsidRPr="00821320">
        <w:rPr>
          <w:rFonts w:ascii="Verdana" w:hAnsi="Verdana" w:eastAsia="Times New Roman" w:cs="Verdana"/>
        </w:rPr>
        <w:t>Decreto No. 266 del 4 de noviembre de 2020.</w:t>
      </w:r>
      <w:r w:rsidRPr="00821320">
        <w:rPr>
          <w:rFonts w:ascii="Verdana" w:hAnsi="Verdana" w:cs="Arial"/>
          <w:bCs/>
        </w:rPr>
        <w:t xml:space="preserve"> Vigencia 2020. Sector Educación. Municipio</w:t>
      </w:r>
      <w:r w:rsidRPr="00821320">
        <w:rPr>
          <w:rFonts w:ascii="Verdana" w:hAnsi="Verdana" w:cs="Arial"/>
        </w:rPr>
        <w:t xml:space="preserve"> de Yopal. Serie </w:t>
      </w:r>
      <w:r w:rsidRPr="00821320">
        <w:rPr>
          <w:rFonts w:ascii="Verdana" w:hAnsi="Verdana" w:cs="Arial"/>
          <w:i/>
        </w:rPr>
        <w:t>“Historial de Seguimiento y Control a los Recursos del Sistema General de Participaciones-Ejecución y Seguimiento”</w:t>
      </w:r>
      <w:r w:rsidRPr="00821320">
        <w:rPr>
          <w:rFonts w:ascii="Verdana" w:hAnsi="Verdana" w:cs="Arial"/>
        </w:rPr>
        <w:t xml:space="preserve">. Expediente digital No. </w:t>
      </w:r>
      <w:r w:rsidRPr="00821320">
        <w:rPr>
          <w:rFonts w:ascii="Verdana" w:hAnsi="Verdana" w:cs="Arial"/>
          <w:lang w:val="es-ES"/>
        </w:rPr>
        <w:t>44/2019/D028-PREDI. Enlace:</w:t>
      </w:r>
      <w:r w:rsidRPr="00821320">
        <w:rPr>
          <w:rFonts w:ascii="Verdana" w:hAnsi="Verdana"/>
        </w:rPr>
        <w:t xml:space="preserve"> </w:t>
      </w:r>
      <w:hyperlink w:history="1" r:id="rId27">
        <w:r w:rsidRPr="00821320">
          <w:rPr>
            <w:rStyle w:val="Hipervnculo"/>
            <w:rFonts w:ascii="Verdana" w:hAnsi="Verdana"/>
          </w:rPr>
          <w:t xml:space="preserve">eSigna </w:t>
        </w:r>
        <w:proofErr w:type="spellStart"/>
        <w:r w:rsidRPr="00821320">
          <w:rPr>
            <w:rStyle w:val="Hipervnculo"/>
            <w:rFonts w:ascii="Verdana" w:hAnsi="Verdana"/>
          </w:rPr>
          <w:t>DocumentViewer</w:t>
        </w:r>
        <w:proofErr w:type="spellEnd"/>
        <w:r w:rsidRPr="00821320">
          <w:rPr>
            <w:rStyle w:val="Hipervnculo"/>
            <w:rFonts w:ascii="Verdana" w:hAnsi="Verdana"/>
          </w:rPr>
          <w:t xml:space="preserve"> (</w:t>
        </w:r>
        <w:proofErr w:type="spellStart"/>
        <w:r w:rsidRPr="00821320">
          <w:rPr>
            <w:rStyle w:val="Hipervnculo"/>
            <w:rFonts w:ascii="Verdana" w:hAnsi="Verdana"/>
          </w:rPr>
          <w:t>minhacienda.red</w:t>
        </w:r>
        <w:proofErr w:type="spellEnd"/>
        <w:r w:rsidRPr="00821320">
          <w:rPr>
            <w:rStyle w:val="Hipervnculo"/>
            <w:rFonts w:ascii="Verdana" w:hAnsi="Verdana"/>
          </w:rPr>
          <w:t>)</w:t>
        </w:r>
      </w:hyperlink>
    </w:p>
    <w:p w:rsidRPr="00821320" w:rsidR="00A72233" w:rsidP="00B412DF" w:rsidRDefault="00A72233" w14:paraId="4A65385F" w14:textId="77777777">
      <w:pPr>
        <w:pStyle w:val="Sinespaciado"/>
        <w:numPr>
          <w:ilvl w:val="0"/>
          <w:numId w:val="30"/>
        </w:numPr>
        <w:ind w:left="284" w:hanging="284"/>
        <w:jc w:val="both"/>
        <w:rPr>
          <w:rFonts w:ascii="Verdana" w:hAnsi="Verdana" w:cs="Arial"/>
        </w:rPr>
      </w:pPr>
      <w:r w:rsidRPr="00821320">
        <w:rPr>
          <w:rFonts w:ascii="Verdana" w:hAnsi="Verdana" w:eastAsia="Times New Roman" w:cs="Verdana"/>
        </w:rPr>
        <w:t>Resolución No. 789 del 21 de octubre de 2020.</w:t>
      </w:r>
      <w:r w:rsidRPr="00821320">
        <w:rPr>
          <w:rFonts w:ascii="Verdana" w:hAnsi="Verdana" w:cs="Arial"/>
          <w:bCs/>
        </w:rPr>
        <w:t xml:space="preserve"> Vigencia 2020. Sector Educación. Municipio</w:t>
      </w:r>
      <w:r w:rsidRPr="00821320">
        <w:rPr>
          <w:rFonts w:ascii="Verdana" w:hAnsi="Verdana" w:cs="Arial"/>
        </w:rPr>
        <w:t xml:space="preserve"> de Yopal. Serie </w:t>
      </w:r>
      <w:r w:rsidRPr="00821320">
        <w:rPr>
          <w:rFonts w:ascii="Verdana" w:hAnsi="Verdana" w:cs="Arial"/>
          <w:i/>
        </w:rPr>
        <w:t>“Historial de Seguimiento y Control a los Recursos del Sistema General de Participaciones-Ejecución y Seguimiento”</w:t>
      </w:r>
      <w:r w:rsidRPr="00821320">
        <w:rPr>
          <w:rFonts w:ascii="Verdana" w:hAnsi="Verdana" w:cs="Arial"/>
        </w:rPr>
        <w:t xml:space="preserve">. </w:t>
      </w:r>
      <w:r w:rsidRPr="00821320">
        <w:rPr>
          <w:rFonts w:ascii="Verdana" w:hAnsi="Verdana" w:cs="Arial"/>
        </w:rPr>
        <w:lastRenderedPageBreak/>
        <w:t xml:space="preserve">Expediente digital No. </w:t>
      </w:r>
      <w:r w:rsidRPr="00821320">
        <w:rPr>
          <w:rFonts w:ascii="Verdana" w:hAnsi="Verdana" w:cs="Arial"/>
          <w:lang w:val="es-ES"/>
        </w:rPr>
        <w:t>44/2019/D028-PREDI. Enlace:</w:t>
      </w:r>
      <w:r w:rsidRPr="00821320">
        <w:rPr>
          <w:rFonts w:ascii="Verdana" w:hAnsi="Verdana"/>
        </w:rPr>
        <w:t xml:space="preserve"> </w:t>
      </w:r>
      <w:hyperlink w:history="1" r:id="rId28">
        <w:r w:rsidRPr="00821320">
          <w:rPr>
            <w:rStyle w:val="Hipervnculo"/>
            <w:rFonts w:ascii="Verdana" w:hAnsi="Verdana"/>
          </w:rPr>
          <w:t xml:space="preserve">eSigna </w:t>
        </w:r>
        <w:proofErr w:type="spellStart"/>
        <w:r w:rsidRPr="00821320">
          <w:rPr>
            <w:rStyle w:val="Hipervnculo"/>
            <w:rFonts w:ascii="Verdana" w:hAnsi="Verdana"/>
          </w:rPr>
          <w:t>DocumentViewer</w:t>
        </w:r>
        <w:proofErr w:type="spellEnd"/>
        <w:r w:rsidRPr="00821320">
          <w:rPr>
            <w:rStyle w:val="Hipervnculo"/>
            <w:rFonts w:ascii="Verdana" w:hAnsi="Verdana"/>
          </w:rPr>
          <w:t xml:space="preserve"> (</w:t>
        </w:r>
        <w:proofErr w:type="spellStart"/>
        <w:r w:rsidRPr="00821320">
          <w:rPr>
            <w:rStyle w:val="Hipervnculo"/>
            <w:rFonts w:ascii="Verdana" w:hAnsi="Verdana"/>
          </w:rPr>
          <w:t>minhacienda.red</w:t>
        </w:r>
        <w:proofErr w:type="spellEnd"/>
        <w:r w:rsidRPr="00821320">
          <w:rPr>
            <w:rStyle w:val="Hipervnculo"/>
            <w:rFonts w:ascii="Verdana" w:hAnsi="Verdana"/>
          </w:rPr>
          <w:t>)</w:t>
        </w:r>
      </w:hyperlink>
    </w:p>
    <w:p w:rsidRPr="00821320" w:rsidR="00223C49" w:rsidP="00B412DF" w:rsidRDefault="00223C49" w14:paraId="283067FC" w14:textId="77777777">
      <w:pPr>
        <w:pStyle w:val="Sinespaciado"/>
        <w:jc w:val="both"/>
        <w:rPr>
          <w:rFonts w:ascii="Verdana" w:hAnsi="Verdana"/>
        </w:rPr>
      </w:pPr>
    </w:p>
    <w:p w:rsidRPr="00821320" w:rsidR="008D1EC0" w:rsidP="00B412DF" w:rsidRDefault="008D1EC0" w14:paraId="6411EF5C" w14:textId="77777777">
      <w:pPr>
        <w:rPr>
          <w:rFonts w:ascii="Verdana" w:hAnsi="Verdana" w:cstheme="minorBidi"/>
          <w:sz w:val="22"/>
          <w:szCs w:val="22"/>
        </w:rPr>
      </w:pPr>
    </w:p>
    <w:p w:rsidRPr="00821320" w:rsidR="00CE200A" w:rsidP="00B412DF" w:rsidRDefault="00CE200A" w14:paraId="1F187AD5" w14:textId="77777777">
      <w:pPr>
        <w:pStyle w:val="Ttulo2"/>
        <w:spacing w:before="0"/>
        <w:contextualSpacing/>
        <w:jc w:val="both"/>
        <w:rPr>
          <w:rFonts w:ascii="Verdana" w:hAnsi="Verdana" w:cs="Arial"/>
          <w:b/>
          <w:sz w:val="22"/>
          <w:szCs w:val="22"/>
        </w:rPr>
      </w:pPr>
      <w:r w:rsidRPr="00821320">
        <w:rPr>
          <w:rFonts w:ascii="Verdana" w:hAnsi="Verdana" w:cs="Arial"/>
          <w:b/>
          <w:bCs/>
          <w:color w:val="auto"/>
          <w:sz w:val="22"/>
          <w:szCs w:val="22"/>
        </w:rPr>
        <w:t xml:space="preserve">EVENTO DE RIESGO 9.10. </w:t>
      </w:r>
      <w:r w:rsidRPr="00821320">
        <w:rPr>
          <w:rFonts w:ascii="Verdana" w:hAnsi="Verdana" w:cs="Arial"/>
          <w:b/>
          <w:bCs/>
          <w:i/>
          <w:color w:val="auto"/>
          <w:sz w:val="22"/>
          <w:szCs w:val="22"/>
        </w:rPr>
        <w:t>“No publicar los actos administrativos, contratos, convenios e informes, cuando la ley lo exija”</w:t>
      </w:r>
    </w:p>
    <w:p w:rsidRPr="00821320" w:rsidR="00CE200A" w:rsidP="00B412DF" w:rsidRDefault="00CE200A" w14:paraId="092D1220" w14:textId="77777777">
      <w:pPr>
        <w:jc w:val="both"/>
        <w:rPr>
          <w:rFonts w:ascii="Verdana" w:hAnsi="Verdana" w:cs="Arial"/>
          <w:sz w:val="22"/>
          <w:szCs w:val="22"/>
        </w:rPr>
      </w:pPr>
    </w:p>
    <w:p w:rsidRPr="00821320" w:rsidR="00CE200A" w:rsidP="00B412DF" w:rsidRDefault="00CE200A" w14:paraId="211D19D0" w14:textId="77777777">
      <w:pPr>
        <w:jc w:val="both"/>
        <w:rPr>
          <w:rFonts w:ascii="Verdana" w:hAnsi="Verdana" w:cs="Arial"/>
          <w:sz w:val="22"/>
          <w:szCs w:val="22"/>
          <w:shd w:val="clear" w:color="auto" w:fill="FFFFFF"/>
        </w:rPr>
      </w:pPr>
      <w:r w:rsidRPr="00821320">
        <w:rPr>
          <w:rFonts w:ascii="Verdana" w:hAnsi="Verdana" w:cs="Arial"/>
          <w:sz w:val="22"/>
          <w:szCs w:val="22"/>
          <w:shd w:val="clear" w:color="auto" w:fill="FFFFFF"/>
        </w:rPr>
        <w:t>El Decreto 1082 de 2015 establece en el artículo 2.2.1.1.1.7.1 que: “</w:t>
      </w:r>
      <w:r w:rsidRPr="00821320">
        <w:rPr>
          <w:rFonts w:ascii="Verdana" w:hAnsi="Verdana" w:cs="Arial"/>
          <w:i/>
          <w:iCs/>
          <w:sz w:val="22"/>
          <w:szCs w:val="22"/>
          <w:shd w:val="clear" w:color="auto" w:fill="FFFFFF"/>
        </w:rPr>
        <w:t>La entidad estatal está obligada a publicar en el SECOP los documentos del proceso y los actos administrativos del proceso de contratación, dentro de los tres (3) días siguientes a su expedición […]</w:t>
      </w:r>
      <w:r w:rsidRPr="00821320">
        <w:rPr>
          <w:rFonts w:ascii="Verdana" w:hAnsi="Verdana" w:cs="Arial"/>
          <w:sz w:val="22"/>
          <w:szCs w:val="22"/>
          <w:shd w:val="clear" w:color="auto" w:fill="FFFFFF"/>
        </w:rPr>
        <w:t>”. De la misma forma, el artículo 2.1.1.2.1.8 del Decreto 1081 de 2015 demanda que, “</w:t>
      </w:r>
      <w:r w:rsidRPr="00821320">
        <w:rPr>
          <w:rFonts w:ascii="Verdana" w:hAnsi="Verdana" w:cs="Arial"/>
          <w:i/>
          <w:iCs/>
          <w:sz w:val="22"/>
          <w:szCs w:val="22"/>
          <w:shd w:val="clear" w:color="auto" w:fill="FFFFFF"/>
        </w:rPr>
        <w:t>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w:t>
      </w:r>
      <w:r w:rsidRPr="00821320">
        <w:rPr>
          <w:rFonts w:ascii="Verdana" w:hAnsi="Verdana" w:cs="Arial"/>
          <w:sz w:val="22"/>
          <w:szCs w:val="22"/>
          <w:shd w:val="clear" w:color="auto" w:fill="FFFFFF"/>
        </w:rPr>
        <w:t>”. </w:t>
      </w:r>
    </w:p>
    <w:p w:rsidRPr="00821320" w:rsidR="004E4282" w:rsidP="00B412DF" w:rsidRDefault="004E4282" w14:paraId="7473FF46" w14:textId="77777777">
      <w:pPr>
        <w:jc w:val="both"/>
        <w:rPr>
          <w:rFonts w:ascii="Verdana" w:hAnsi="Verdana" w:cs="Arial"/>
          <w:sz w:val="22"/>
          <w:szCs w:val="22"/>
          <w:shd w:val="clear" w:color="auto" w:fill="FFFFFF"/>
          <w:lang w:val="es-CO"/>
        </w:rPr>
      </w:pPr>
    </w:p>
    <w:p w:rsidRPr="00821320" w:rsidR="00CE200A" w:rsidP="00B412DF" w:rsidRDefault="00CE200A" w14:paraId="211521E8" w14:textId="77777777">
      <w:pPr>
        <w:jc w:val="both"/>
        <w:rPr>
          <w:rFonts w:ascii="Verdana" w:hAnsi="Verdana" w:cs="Arial"/>
          <w:sz w:val="22"/>
          <w:szCs w:val="22"/>
          <w:shd w:val="clear" w:color="auto" w:fill="FFFFFF"/>
        </w:rPr>
      </w:pPr>
      <w:r w:rsidRPr="00821320">
        <w:rPr>
          <w:rFonts w:ascii="Verdana" w:hAnsi="Verdana" w:cs="Arial"/>
          <w:sz w:val="22"/>
          <w:szCs w:val="22"/>
          <w:shd w:val="clear" w:color="auto" w:fill="FFFFFF"/>
        </w:rPr>
        <w:t xml:space="preserve">A partir de estas referencias, la Dirección General de Apoyo Fiscal inspeccionó en el SECOP los procesos contractuales publicados por el Municipio de Yopal – Casanare durante las vigencias 2020 a 2022 adelantados con recursos de Sistema General de Participaciones Sector Educación; observando que </w:t>
      </w:r>
      <w:r w:rsidRPr="00821320" w:rsidR="003F498A">
        <w:rPr>
          <w:rFonts w:ascii="Verdana" w:hAnsi="Verdana" w:cs="Arial"/>
          <w:sz w:val="22"/>
          <w:szCs w:val="22"/>
          <w:shd w:val="clear" w:color="auto" w:fill="FFFFFF"/>
        </w:rPr>
        <w:t>é</w:t>
      </w:r>
      <w:r w:rsidRPr="00821320">
        <w:rPr>
          <w:rFonts w:ascii="Verdana" w:hAnsi="Verdana" w:cs="Arial"/>
          <w:sz w:val="22"/>
          <w:szCs w:val="22"/>
          <w:shd w:val="clear" w:color="auto" w:fill="FFFFFF"/>
        </w:rPr>
        <w:t>ste no publicó la totalidad de los documentos de los contratos celebrados tal y como se evidencia a continuación: </w:t>
      </w:r>
    </w:p>
    <w:p w:rsidRPr="00821320" w:rsidR="004E4282" w:rsidP="00B412DF" w:rsidRDefault="004E4282" w14:paraId="42C29653" w14:textId="77777777">
      <w:pPr>
        <w:jc w:val="both"/>
        <w:rPr>
          <w:rFonts w:ascii="Verdana" w:hAnsi="Verdana" w:cs="Arial"/>
          <w:sz w:val="22"/>
          <w:szCs w:val="22"/>
          <w:shd w:val="clear" w:color="auto" w:fill="FFFFFF"/>
        </w:rPr>
      </w:pPr>
    </w:p>
    <w:p w:rsidRPr="00821320" w:rsidR="00CE200A" w:rsidP="00B412DF" w:rsidRDefault="00CE200A" w14:paraId="3E0DCE36" w14:textId="77777777">
      <w:pPr>
        <w:jc w:val="both"/>
        <w:rPr>
          <w:rFonts w:ascii="Verdana" w:hAnsi="Verdana" w:cs="Arial"/>
          <w:b/>
          <w:bCs/>
          <w:i/>
          <w:sz w:val="22"/>
          <w:szCs w:val="22"/>
          <w:shd w:val="clear" w:color="auto" w:fill="FFFFFF"/>
        </w:rPr>
      </w:pPr>
      <w:r w:rsidRPr="00821320">
        <w:rPr>
          <w:rFonts w:ascii="Verdana" w:hAnsi="Verdana" w:cs="Arial"/>
          <w:b/>
          <w:bCs/>
          <w:i/>
          <w:sz w:val="22"/>
          <w:szCs w:val="22"/>
          <w:shd w:val="clear" w:color="auto" w:fill="FFFFFF"/>
        </w:rPr>
        <w:t>Vigencia 2020</w:t>
      </w:r>
    </w:p>
    <w:p w:rsidRPr="00821320" w:rsidR="00CE200A" w:rsidP="00B412DF" w:rsidRDefault="00CE200A" w14:paraId="32ACC236" w14:textId="77777777">
      <w:pPr>
        <w:pStyle w:val="Prrafodelista"/>
        <w:numPr>
          <w:ilvl w:val="0"/>
          <w:numId w:val="29"/>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 xml:space="preserve">Proceso No. </w:t>
      </w:r>
      <w:r w:rsidRPr="00821320">
        <w:rPr>
          <w:rFonts w:ascii="Verdana" w:hAnsi="Verdana" w:cs="Arial"/>
          <w:b/>
          <w:sz w:val="22"/>
          <w:szCs w:val="22"/>
          <w:shd w:val="clear" w:color="auto" w:fill="FFFFFF"/>
        </w:rPr>
        <w:t xml:space="preserve">MYCA-SE-CD-235-2020: </w:t>
      </w:r>
      <w:r w:rsidRPr="00821320">
        <w:rPr>
          <w:rFonts w:ascii="Verdana" w:hAnsi="Verdana" w:cs="Arial"/>
          <w:i/>
          <w:sz w:val="22"/>
          <w:szCs w:val="22"/>
          <w:shd w:val="clear" w:color="auto" w:fill="FFFFFF"/>
        </w:rPr>
        <w:t>“</w:t>
      </w:r>
      <w:r w:rsidRPr="00821320" w:rsidR="003F498A">
        <w:rPr>
          <w:rFonts w:ascii="Verdana" w:hAnsi="Verdana" w:cs="Arial"/>
          <w:i/>
          <w:sz w:val="22"/>
          <w:szCs w:val="22"/>
          <w:shd w:val="clear" w:color="auto" w:fill="FFFFFF"/>
        </w:rPr>
        <w:t>realizar cargue y reporte de información en las bases de datos y en la organización y gestión de la comunicación de la Institución Educativa Oficial Santa Teresa del municipio de Yopal</w:t>
      </w:r>
      <w:r w:rsidRPr="00821320">
        <w:rPr>
          <w:rFonts w:ascii="Verdana" w:hAnsi="Verdana" w:cs="Arial"/>
          <w:i/>
          <w:sz w:val="22"/>
          <w:szCs w:val="22"/>
          <w:shd w:val="clear" w:color="auto" w:fill="FFFFFF"/>
        </w:rPr>
        <w:t>”</w:t>
      </w:r>
      <w:r w:rsidRPr="00821320">
        <w:rPr>
          <w:rFonts w:ascii="Verdana" w:hAnsi="Verdana" w:cs="Arial"/>
          <w:sz w:val="22"/>
          <w:szCs w:val="22"/>
          <w:shd w:val="clear" w:color="auto" w:fill="FFFFFF"/>
        </w:rPr>
        <w:t>, por cuantía de $1.400.000, la Entidad omitió el cargue de los siguientes documentos:</w:t>
      </w:r>
    </w:p>
    <w:p w:rsidRPr="00821320" w:rsidR="00CE200A" w:rsidP="00B412DF" w:rsidRDefault="00CE200A" w14:paraId="28A36E3B"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Resolución de justificación de contratación directa</w:t>
      </w:r>
    </w:p>
    <w:p w:rsidRPr="00821320" w:rsidR="00CE200A" w:rsidP="00B412DF" w:rsidRDefault="00CE200A" w14:paraId="20C89465"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Informes de actividades</w:t>
      </w:r>
    </w:p>
    <w:p w:rsidRPr="00821320" w:rsidR="00CE200A" w:rsidP="00B412DF" w:rsidRDefault="00CE200A" w14:paraId="49F19AB1"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 xml:space="preserve">Informes de supervisión </w:t>
      </w:r>
    </w:p>
    <w:p w:rsidRPr="00821320" w:rsidR="00CE200A" w:rsidP="00B412DF" w:rsidRDefault="00CE200A" w14:paraId="54C85463" w14:textId="77777777">
      <w:pPr>
        <w:pStyle w:val="Prrafodelista"/>
        <w:jc w:val="both"/>
        <w:rPr>
          <w:rFonts w:ascii="Verdana" w:hAnsi="Verdana" w:cs="Arial"/>
          <w:sz w:val="22"/>
          <w:szCs w:val="22"/>
          <w:shd w:val="clear" w:color="auto" w:fill="FFFFFF"/>
        </w:rPr>
      </w:pPr>
    </w:p>
    <w:p w:rsidRPr="00821320" w:rsidR="00CE200A" w:rsidP="00B412DF" w:rsidRDefault="00CE200A" w14:paraId="245A3CDF" w14:textId="77777777">
      <w:pPr>
        <w:pStyle w:val="Prrafodelista"/>
        <w:numPr>
          <w:ilvl w:val="0"/>
          <w:numId w:val="29"/>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 xml:space="preserve">Proceso No. </w:t>
      </w:r>
      <w:r w:rsidRPr="00821320">
        <w:rPr>
          <w:rFonts w:ascii="Verdana" w:hAnsi="Verdana" w:cs="Arial"/>
          <w:b/>
          <w:bCs/>
          <w:sz w:val="22"/>
          <w:szCs w:val="22"/>
          <w:shd w:val="clear" w:color="auto" w:fill="FFFFFF"/>
        </w:rPr>
        <w:t>MYCA-SE-CD-198-2020</w:t>
      </w:r>
      <w:r w:rsidRPr="00821320">
        <w:rPr>
          <w:rFonts w:ascii="Verdana" w:hAnsi="Verdana" w:cs="Arial"/>
          <w:sz w:val="22"/>
          <w:szCs w:val="22"/>
          <w:shd w:val="clear" w:color="auto" w:fill="FFFFFF"/>
        </w:rPr>
        <w:t>: “</w:t>
      </w:r>
      <w:r w:rsidRPr="00821320" w:rsidR="003F498A">
        <w:rPr>
          <w:rFonts w:ascii="Verdana" w:hAnsi="Verdana" w:cs="Arial"/>
          <w:i/>
          <w:iCs/>
          <w:sz w:val="22"/>
          <w:szCs w:val="22"/>
          <w:shd w:val="clear" w:color="auto" w:fill="FFFFFF"/>
        </w:rPr>
        <w:t>contratar el arrendamiento del inmueble ubicado en calle 11 No. 23 73 calle 10 No. 23 66 en Yopal, para el funcionamiento durante la vigencia 2020 de la sede primaria de la Institución Educativa Centro Social del municipio de Yopal</w:t>
      </w:r>
      <w:r w:rsidRPr="00821320">
        <w:rPr>
          <w:rFonts w:ascii="Verdana" w:hAnsi="Verdana" w:cs="Arial"/>
          <w:i/>
          <w:iCs/>
          <w:sz w:val="22"/>
          <w:szCs w:val="22"/>
          <w:shd w:val="clear" w:color="auto" w:fill="FFFFFF"/>
        </w:rPr>
        <w:t>”</w:t>
      </w:r>
      <w:r w:rsidR="00357DFD">
        <w:rPr>
          <w:rFonts w:ascii="Verdana" w:hAnsi="Verdana" w:cs="Arial"/>
          <w:i/>
          <w:iCs/>
          <w:sz w:val="22"/>
          <w:szCs w:val="22"/>
          <w:shd w:val="clear" w:color="auto" w:fill="FFFFFF"/>
        </w:rPr>
        <w:t>,</w:t>
      </w:r>
      <w:r w:rsidRPr="00821320">
        <w:rPr>
          <w:rFonts w:ascii="Verdana" w:hAnsi="Verdana" w:cs="Arial"/>
          <w:i/>
          <w:iCs/>
          <w:sz w:val="22"/>
          <w:szCs w:val="22"/>
          <w:shd w:val="clear" w:color="auto" w:fill="FFFFFF"/>
        </w:rPr>
        <w:t xml:space="preserve"> </w:t>
      </w:r>
      <w:r w:rsidRPr="00821320">
        <w:rPr>
          <w:rFonts w:ascii="Verdana" w:hAnsi="Verdana" w:cs="Arial"/>
          <w:sz w:val="22"/>
          <w:szCs w:val="22"/>
          <w:shd w:val="clear" w:color="auto" w:fill="FFFFFF"/>
        </w:rPr>
        <w:t>por cuantía de $67.770.000, la Entidad omitió el cargue de los siguientes documentos:</w:t>
      </w:r>
    </w:p>
    <w:p w:rsidRPr="00821320" w:rsidR="00CE200A" w:rsidP="00B412DF" w:rsidRDefault="00CE200A" w14:paraId="34DE07DC"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 xml:space="preserve">Pliego de condiciones </w:t>
      </w:r>
    </w:p>
    <w:p w:rsidRPr="00821320" w:rsidR="00CE200A" w:rsidP="00B412DF" w:rsidRDefault="00CE200A" w14:paraId="44E05C63"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 xml:space="preserve">Acta de adjudicación </w:t>
      </w:r>
    </w:p>
    <w:p w:rsidRPr="00821320" w:rsidR="00CE200A" w:rsidP="00B412DF" w:rsidRDefault="00CE200A" w14:paraId="6E451728"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 xml:space="preserve">Resolución de la adjudicación </w:t>
      </w:r>
    </w:p>
    <w:p w:rsidRPr="00821320" w:rsidR="00CE200A" w:rsidP="00B412DF" w:rsidRDefault="00CE200A" w14:paraId="6B964786"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Minuta contractual</w:t>
      </w:r>
    </w:p>
    <w:p w:rsidRPr="00821320" w:rsidR="00CE200A" w:rsidP="00B412DF" w:rsidRDefault="00CE200A" w14:paraId="7F42D264"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 xml:space="preserve">Informes de supervisión </w:t>
      </w:r>
    </w:p>
    <w:p w:rsidRPr="00821320" w:rsidR="00CE200A" w:rsidP="00B412DF" w:rsidRDefault="00CE200A" w14:paraId="418E4A21"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Acta de liquidación</w:t>
      </w:r>
    </w:p>
    <w:p w:rsidRPr="00821320" w:rsidR="00CE200A" w:rsidP="00B412DF" w:rsidRDefault="00CE200A" w14:paraId="0ABE9AF3" w14:textId="77777777">
      <w:pPr>
        <w:jc w:val="both"/>
        <w:rPr>
          <w:rFonts w:ascii="Verdana" w:hAnsi="Verdana" w:cs="Arial"/>
          <w:sz w:val="22"/>
          <w:szCs w:val="22"/>
          <w:shd w:val="clear" w:color="auto" w:fill="FFFFFF"/>
        </w:rPr>
      </w:pPr>
    </w:p>
    <w:p w:rsidRPr="00821320" w:rsidR="00CE200A" w:rsidP="00B412DF" w:rsidRDefault="00CE200A" w14:paraId="4D4B1047" w14:textId="77777777">
      <w:pPr>
        <w:pStyle w:val="Prrafodelista"/>
        <w:numPr>
          <w:ilvl w:val="0"/>
          <w:numId w:val="29"/>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 xml:space="preserve">Proceso No. </w:t>
      </w:r>
      <w:r w:rsidRPr="00821320">
        <w:rPr>
          <w:rFonts w:ascii="Verdana" w:hAnsi="Verdana" w:cs="Arial"/>
          <w:b/>
          <w:sz w:val="22"/>
          <w:szCs w:val="22"/>
          <w:shd w:val="clear" w:color="auto" w:fill="FFFFFF"/>
        </w:rPr>
        <w:t xml:space="preserve">MYCA-SE-CD-002-2020: </w:t>
      </w:r>
      <w:r w:rsidRPr="00821320" w:rsidR="003F498A">
        <w:rPr>
          <w:rFonts w:ascii="Verdana" w:hAnsi="Verdana" w:cs="Arial"/>
          <w:bCs/>
          <w:i/>
          <w:iCs/>
          <w:sz w:val="22"/>
          <w:szCs w:val="22"/>
          <w:shd w:val="clear" w:color="auto" w:fill="FFFFFF"/>
        </w:rPr>
        <w:t>“Contratar 100% el inmueble ubicado en calle 11 No. 23- 52; carrera 23 No. 11 – 47; calle 12 No. 23 – 47 de Yopal, para el funcionamiento durante la vigencia 2020 de la sede preescolar y bachillerato de la Institución Educativa Centro Social del municipio de Yopal</w:t>
      </w:r>
      <w:r w:rsidRPr="00821320" w:rsidR="003F498A">
        <w:rPr>
          <w:rFonts w:ascii="Verdana" w:hAnsi="Verdana" w:cs="Arial"/>
          <w:i/>
          <w:sz w:val="22"/>
          <w:szCs w:val="22"/>
          <w:shd w:val="clear" w:color="auto" w:fill="FFFFFF"/>
        </w:rPr>
        <w:t>”</w:t>
      </w:r>
      <w:r w:rsidRPr="00821320">
        <w:rPr>
          <w:rFonts w:ascii="Verdana" w:hAnsi="Verdana" w:cs="Arial"/>
          <w:sz w:val="22"/>
          <w:szCs w:val="22"/>
          <w:shd w:val="clear" w:color="auto" w:fill="FFFFFF"/>
        </w:rPr>
        <w:t>, por cuantía de $444.444.444, la Entidad omitió el cargue de los siguientes documentos:</w:t>
      </w:r>
    </w:p>
    <w:p w:rsidRPr="00821320" w:rsidR="00CE200A" w:rsidP="00B412DF" w:rsidRDefault="00CE200A" w14:paraId="53BC4FE1"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 xml:space="preserve">Acta de aprobación de garantías del contrato </w:t>
      </w:r>
    </w:p>
    <w:p w:rsidRPr="00821320" w:rsidR="00CE200A" w:rsidP="00B412DF" w:rsidRDefault="00CE200A" w14:paraId="7A514DA4"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Acta de liquidación</w:t>
      </w:r>
    </w:p>
    <w:p w:rsidRPr="00821320" w:rsidR="00CE200A" w:rsidP="00B412DF" w:rsidRDefault="00CE200A" w14:paraId="1C1C83CB" w14:textId="77777777">
      <w:pPr>
        <w:pStyle w:val="Prrafodelista"/>
        <w:jc w:val="both"/>
        <w:rPr>
          <w:rFonts w:ascii="Verdana" w:hAnsi="Verdana" w:cs="Arial"/>
          <w:sz w:val="22"/>
          <w:szCs w:val="22"/>
          <w:shd w:val="clear" w:color="auto" w:fill="FFFFFF"/>
        </w:rPr>
      </w:pPr>
    </w:p>
    <w:p w:rsidRPr="00821320" w:rsidR="00CE200A" w:rsidP="00B412DF" w:rsidRDefault="00CE200A" w14:paraId="0CF8B5ED" w14:textId="77777777">
      <w:pPr>
        <w:jc w:val="both"/>
        <w:rPr>
          <w:rFonts w:ascii="Verdana" w:hAnsi="Verdana" w:cs="Arial"/>
          <w:b/>
          <w:bCs/>
          <w:i/>
          <w:sz w:val="22"/>
          <w:szCs w:val="22"/>
          <w:shd w:val="clear" w:color="auto" w:fill="FFFFFF"/>
        </w:rPr>
      </w:pPr>
      <w:r w:rsidRPr="00821320">
        <w:rPr>
          <w:rFonts w:ascii="Verdana" w:hAnsi="Verdana" w:cs="Arial"/>
          <w:b/>
          <w:bCs/>
          <w:i/>
          <w:sz w:val="22"/>
          <w:szCs w:val="22"/>
          <w:shd w:val="clear" w:color="auto" w:fill="FFFFFF"/>
        </w:rPr>
        <w:t>Vigencia 2021</w:t>
      </w:r>
    </w:p>
    <w:p w:rsidRPr="00821320" w:rsidR="00CE200A" w:rsidP="00B412DF" w:rsidRDefault="00CE200A" w14:paraId="3C67FAE6" w14:textId="77777777">
      <w:pPr>
        <w:pStyle w:val="Prrafodelista"/>
        <w:jc w:val="both"/>
        <w:rPr>
          <w:rFonts w:ascii="Verdana" w:hAnsi="Verdana" w:cs="Arial"/>
          <w:sz w:val="22"/>
          <w:szCs w:val="22"/>
          <w:lang w:eastAsia="es-CO"/>
        </w:rPr>
      </w:pPr>
    </w:p>
    <w:p w:rsidRPr="00821320" w:rsidR="00CE200A" w:rsidP="00B412DF" w:rsidRDefault="00CE200A" w14:paraId="7C110D10" w14:textId="77777777">
      <w:pPr>
        <w:pStyle w:val="Prrafodelista"/>
        <w:numPr>
          <w:ilvl w:val="0"/>
          <w:numId w:val="29"/>
        </w:numPr>
        <w:jc w:val="both"/>
        <w:rPr>
          <w:rFonts w:ascii="Verdana" w:hAnsi="Verdana" w:cs="Arial"/>
          <w:sz w:val="22"/>
          <w:szCs w:val="22"/>
          <w:lang w:eastAsia="en-US"/>
        </w:rPr>
      </w:pPr>
      <w:r w:rsidRPr="00821320">
        <w:rPr>
          <w:rFonts w:ascii="Verdana" w:hAnsi="Verdana" w:cs="Arial"/>
          <w:sz w:val="22"/>
          <w:szCs w:val="22"/>
        </w:rPr>
        <w:t xml:space="preserve">Proceso No. </w:t>
      </w:r>
      <w:r w:rsidRPr="00821320">
        <w:rPr>
          <w:rFonts w:ascii="Verdana" w:hAnsi="Verdana" w:cs="Arial"/>
          <w:b/>
          <w:sz w:val="22"/>
          <w:szCs w:val="22"/>
        </w:rPr>
        <w:t xml:space="preserve">MYCA-SE-CD-180-2021: </w:t>
      </w:r>
      <w:r w:rsidRPr="00821320">
        <w:rPr>
          <w:rFonts w:ascii="Verdana" w:hAnsi="Verdana" w:cs="Arial"/>
          <w:bCs/>
          <w:i/>
          <w:iCs/>
          <w:sz w:val="22"/>
          <w:szCs w:val="22"/>
        </w:rPr>
        <w:t>“</w:t>
      </w:r>
      <w:r w:rsidRPr="00821320" w:rsidR="003F498A">
        <w:rPr>
          <w:rFonts w:ascii="Verdana" w:hAnsi="Verdana" w:cs="Arial"/>
          <w:bCs/>
          <w:i/>
          <w:iCs/>
          <w:sz w:val="22"/>
          <w:szCs w:val="22"/>
        </w:rPr>
        <w:t>C</w:t>
      </w:r>
      <w:r w:rsidRPr="00821320" w:rsidR="003F498A">
        <w:rPr>
          <w:rFonts w:ascii="Verdana" w:hAnsi="Verdana" w:cs="Arial"/>
          <w:bCs/>
          <w:i/>
          <w:sz w:val="22"/>
          <w:szCs w:val="22"/>
        </w:rPr>
        <w:t>ontratar el arrendamiento del inmueble ubicado en calle 11 No. 23- 73; calle 10 No. 23 – 66 en Yopal, para el funcionamiento durante la vigencia 2021 de la sede primaria de la Institución Educativa Centro Social del municipio de Yopal</w:t>
      </w:r>
      <w:r w:rsidRPr="00821320" w:rsidR="003F498A">
        <w:rPr>
          <w:rFonts w:ascii="Verdana" w:hAnsi="Verdana" w:cs="Arial"/>
          <w:i/>
          <w:sz w:val="22"/>
          <w:szCs w:val="22"/>
        </w:rPr>
        <w:t>”</w:t>
      </w:r>
      <w:r w:rsidRPr="00821320">
        <w:rPr>
          <w:rFonts w:ascii="Verdana" w:hAnsi="Verdana" w:cs="Arial"/>
          <w:sz w:val="22"/>
          <w:szCs w:val="22"/>
        </w:rPr>
        <w:t xml:space="preserve">, cuya cuantía es de $200.475.000. En </w:t>
      </w:r>
      <w:r w:rsidRPr="00821320">
        <w:rPr>
          <w:rFonts w:ascii="Verdana" w:hAnsi="Verdana" w:cs="Arial"/>
          <w:sz w:val="22"/>
          <w:szCs w:val="22"/>
          <w:lang w:eastAsia="es-CO"/>
        </w:rPr>
        <w:t>este proceso no se realizó el cargue de:</w:t>
      </w:r>
      <w:r w:rsidRPr="00821320">
        <w:rPr>
          <w:rFonts w:ascii="Verdana" w:hAnsi="Verdana" w:cs="Arial"/>
          <w:sz w:val="22"/>
          <w:szCs w:val="22"/>
        </w:rPr>
        <w:t xml:space="preserve"> </w:t>
      </w:r>
    </w:p>
    <w:p w:rsidRPr="00821320" w:rsidR="00CE200A" w:rsidP="00B412DF" w:rsidRDefault="00CE200A" w14:paraId="352F11E7"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 xml:space="preserve">Acta de liquidación </w:t>
      </w:r>
    </w:p>
    <w:p w:rsidRPr="00821320" w:rsidR="00CE200A" w:rsidP="00B412DF" w:rsidRDefault="00CE200A" w14:paraId="69CEA4C1" w14:textId="77777777">
      <w:pPr>
        <w:pStyle w:val="Prrafodelista"/>
        <w:jc w:val="both"/>
        <w:rPr>
          <w:rFonts w:ascii="Verdana" w:hAnsi="Verdana" w:cs="Arial"/>
          <w:sz w:val="22"/>
          <w:szCs w:val="22"/>
          <w:shd w:val="clear" w:color="auto" w:fill="FFFFFF"/>
        </w:rPr>
      </w:pPr>
    </w:p>
    <w:p w:rsidRPr="00821320" w:rsidR="00CE200A" w:rsidP="00B412DF" w:rsidRDefault="00CE200A" w14:paraId="37937826" w14:textId="77777777">
      <w:pPr>
        <w:pStyle w:val="Prrafodelista"/>
        <w:numPr>
          <w:ilvl w:val="0"/>
          <w:numId w:val="29"/>
        </w:numPr>
        <w:jc w:val="both"/>
        <w:rPr>
          <w:rFonts w:ascii="Verdana" w:hAnsi="Verdana" w:cs="Arial"/>
          <w:b/>
          <w:sz w:val="22"/>
          <w:szCs w:val="22"/>
        </w:rPr>
      </w:pPr>
      <w:r w:rsidRPr="00821320">
        <w:rPr>
          <w:rFonts w:ascii="Verdana" w:hAnsi="Verdana" w:cs="Arial"/>
          <w:sz w:val="22"/>
          <w:szCs w:val="22"/>
        </w:rPr>
        <w:t>Proceso No.</w:t>
      </w:r>
      <w:r w:rsidRPr="00821320">
        <w:rPr>
          <w:rFonts w:ascii="Verdana" w:hAnsi="Verdana" w:cs="Arial"/>
          <w:color w:val="000000"/>
          <w:sz w:val="22"/>
          <w:szCs w:val="22"/>
          <w:shd w:val="clear" w:color="auto" w:fill="FFFFFF"/>
        </w:rPr>
        <w:t xml:space="preserve"> </w:t>
      </w:r>
      <w:r w:rsidRPr="00821320">
        <w:rPr>
          <w:rFonts w:ascii="Verdana" w:hAnsi="Verdana" w:cs="Arial"/>
          <w:b/>
          <w:bCs/>
          <w:sz w:val="22"/>
          <w:szCs w:val="22"/>
        </w:rPr>
        <w:t>MYCA-SED-SAM-010-2021:</w:t>
      </w:r>
      <w:r w:rsidRPr="00821320">
        <w:rPr>
          <w:rFonts w:ascii="Verdana" w:hAnsi="Verdana" w:cs="Arial"/>
          <w:sz w:val="22"/>
          <w:szCs w:val="22"/>
        </w:rPr>
        <w:t xml:space="preserve"> </w:t>
      </w:r>
      <w:r w:rsidRPr="00821320">
        <w:rPr>
          <w:rFonts w:ascii="Verdana" w:hAnsi="Verdana" w:cs="Arial"/>
          <w:i/>
          <w:sz w:val="22"/>
          <w:szCs w:val="22"/>
        </w:rPr>
        <w:t>“</w:t>
      </w:r>
      <w:r w:rsidRPr="00821320" w:rsidR="009E447F">
        <w:rPr>
          <w:rFonts w:ascii="Verdana" w:hAnsi="Verdana" w:cs="Arial"/>
          <w:i/>
          <w:sz w:val="22"/>
          <w:szCs w:val="22"/>
        </w:rPr>
        <w:t xml:space="preserve">Brindar el acceso y servicio de internet para sesenta (60) sedes educativas (urbano, rurales), </w:t>
      </w:r>
      <w:proofErr w:type="gramStart"/>
      <w:r w:rsidRPr="00821320" w:rsidR="009E447F">
        <w:rPr>
          <w:rFonts w:ascii="Verdana" w:hAnsi="Verdana" w:cs="Arial"/>
          <w:i/>
          <w:sz w:val="22"/>
          <w:szCs w:val="22"/>
        </w:rPr>
        <w:t>de acuerdo a</w:t>
      </w:r>
      <w:proofErr w:type="gramEnd"/>
      <w:r w:rsidRPr="00821320" w:rsidR="009E447F">
        <w:rPr>
          <w:rFonts w:ascii="Verdana" w:hAnsi="Verdana" w:cs="Arial"/>
          <w:i/>
          <w:sz w:val="22"/>
          <w:szCs w:val="22"/>
        </w:rPr>
        <w:t xml:space="preserve"> los lineamientos técnicos del programa conexión total del MEN, en las 24 instituciones educativas del municipio de Yopal</w:t>
      </w:r>
      <w:r w:rsidRPr="00821320">
        <w:rPr>
          <w:rFonts w:ascii="Verdana" w:hAnsi="Verdana" w:cs="Arial"/>
          <w:i/>
          <w:sz w:val="22"/>
          <w:szCs w:val="22"/>
        </w:rPr>
        <w:t>”</w:t>
      </w:r>
      <w:r w:rsidRPr="00821320">
        <w:rPr>
          <w:rFonts w:ascii="Verdana" w:hAnsi="Verdana" w:cs="Arial"/>
          <w:sz w:val="22"/>
          <w:szCs w:val="22"/>
        </w:rPr>
        <w:t xml:space="preserve">, por la suma de </w:t>
      </w:r>
      <w:r w:rsidRPr="00821320" w:rsidR="009E447F">
        <w:rPr>
          <w:rFonts w:ascii="Verdana" w:hAnsi="Verdana" w:cs="Arial"/>
          <w:sz w:val="22"/>
          <w:szCs w:val="22"/>
        </w:rPr>
        <w:t>$</w:t>
      </w:r>
      <w:r w:rsidRPr="00821320">
        <w:rPr>
          <w:rFonts w:ascii="Verdana" w:hAnsi="Verdana" w:cs="Arial"/>
          <w:sz w:val="22"/>
          <w:szCs w:val="22"/>
        </w:rPr>
        <w:t>318.174.108, el cual no presenta los siguientes documentos:</w:t>
      </w:r>
    </w:p>
    <w:p w:rsidRPr="00821320" w:rsidR="00CE200A" w:rsidP="00B412DF" w:rsidRDefault="00CE200A" w14:paraId="2F752332"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Informe final de supervisión</w:t>
      </w:r>
    </w:p>
    <w:p w:rsidRPr="00821320" w:rsidR="00CE200A" w:rsidP="00B412DF" w:rsidRDefault="00CE200A" w14:paraId="3BD40364"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Acta de liquidación</w:t>
      </w:r>
    </w:p>
    <w:p w:rsidRPr="00821320" w:rsidR="00CE200A" w:rsidP="00B412DF" w:rsidRDefault="00CE200A" w14:paraId="4F92DF14" w14:textId="77777777">
      <w:pPr>
        <w:jc w:val="both"/>
        <w:rPr>
          <w:rFonts w:ascii="Verdana" w:hAnsi="Verdana" w:cs="Arial"/>
          <w:sz w:val="22"/>
          <w:szCs w:val="22"/>
          <w:shd w:val="clear" w:color="auto" w:fill="FFFFFF"/>
        </w:rPr>
      </w:pPr>
    </w:p>
    <w:p w:rsidR="00CE200A" w:rsidP="00B412DF" w:rsidRDefault="00CE200A" w14:paraId="5084F49B" w14:textId="77777777">
      <w:pPr>
        <w:jc w:val="both"/>
        <w:rPr>
          <w:rFonts w:ascii="Verdana" w:hAnsi="Verdana" w:cs="Arial"/>
          <w:b/>
          <w:bCs/>
          <w:i/>
          <w:sz w:val="22"/>
          <w:szCs w:val="22"/>
          <w:shd w:val="clear" w:color="auto" w:fill="FFFFFF"/>
        </w:rPr>
      </w:pPr>
      <w:r w:rsidRPr="00821320">
        <w:rPr>
          <w:rFonts w:ascii="Verdana" w:hAnsi="Verdana" w:cs="Arial"/>
          <w:b/>
          <w:bCs/>
          <w:i/>
          <w:sz w:val="22"/>
          <w:szCs w:val="22"/>
          <w:shd w:val="clear" w:color="auto" w:fill="FFFFFF"/>
        </w:rPr>
        <w:t>Vigencia 2022</w:t>
      </w:r>
    </w:p>
    <w:p w:rsidRPr="00821320" w:rsidR="00357DFD" w:rsidP="00B412DF" w:rsidRDefault="00357DFD" w14:paraId="17A8BF32" w14:textId="77777777">
      <w:pPr>
        <w:jc w:val="both"/>
        <w:rPr>
          <w:rFonts w:ascii="Verdana" w:hAnsi="Verdana" w:cs="Arial"/>
          <w:b/>
          <w:bCs/>
          <w:i/>
          <w:sz w:val="22"/>
          <w:szCs w:val="22"/>
          <w:shd w:val="clear" w:color="auto" w:fill="FFFFFF"/>
        </w:rPr>
      </w:pPr>
    </w:p>
    <w:p w:rsidRPr="00821320" w:rsidR="00CE200A" w:rsidP="00B412DF" w:rsidRDefault="00CE200A" w14:paraId="3FBB8F52" w14:textId="77777777">
      <w:pPr>
        <w:pStyle w:val="Prrafodelista"/>
        <w:numPr>
          <w:ilvl w:val="0"/>
          <w:numId w:val="31"/>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 xml:space="preserve">Proceso No. </w:t>
      </w:r>
      <w:r w:rsidRPr="00821320">
        <w:rPr>
          <w:rFonts w:ascii="Verdana" w:hAnsi="Verdana" w:cs="Arial"/>
          <w:b/>
          <w:sz w:val="22"/>
          <w:szCs w:val="22"/>
          <w:shd w:val="clear" w:color="auto" w:fill="FFFFFF"/>
        </w:rPr>
        <w:t>MYCA-MC-059-2022</w:t>
      </w:r>
      <w:r w:rsidRPr="00821320">
        <w:rPr>
          <w:rFonts w:ascii="Verdana" w:hAnsi="Verdana" w:cs="Arial"/>
          <w:b/>
          <w:i/>
          <w:sz w:val="22"/>
          <w:szCs w:val="22"/>
          <w:shd w:val="clear" w:color="auto" w:fill="FFFFFF"/>
        </w:rPr>
        <w:t xml:space="preserve">: </w:t>
      </w:r>
      <w:r w:rsidRPr="00821320">
        <w:rPr>
          <w:rFonts w:ascii="Verdana" w:hAnsi="Verdana" w:cs="Arial"/>
          <w:i/>
          <w:sz w:val="22"/>
          <w:szCs w:val="22"/>
        </w:rPr>
        <w:t>“</w:t>
      </w:r>
      <w:r w:rsidRPr="00821320" w:rsidR="009E447F">
        <w:rPr>
          <w:rFonts w:ascii="Verdana" w:hAnsi="Verdana" w:cs="Arial"/>
          <w:i/>
          <w:sz w:val="22"/>
          <w:szCs w:val="22"/>
        </w:rPr>
        <w:t>Adquisición de balones deportivos para mejorar los ambientes de aprendizaje en el área de educación física de la población escolar en instituciones educativas urbanas del municipio de Yopal</w:t>
      </w:r>
      <w:r w:rsidRPr="00821320">
        <w:rPr>
          <w:rFonts w:ascii="Verdana" w:hAnsi="Verdana" w:cs="Arial"/>
          <w:i/>
          <w:sz w:val="22"/>
          <w:szCs w:val="22"/>
        </w:rPr>
        <w:t>”</w:t>
      </w:r>
      <w:r w:rsidR="00357DFD">
        <w:rPr>
          <w:rFonts w:ascii="Verdana" w:hAnsi="Verdana" w:cs="Arial"/>
          <w:i/>
          <w:sz w:val="22"/>
          <w:szCs w:val="22"/>
        </w:rPr>
        <w:t>,</w:t>
      </w:r>
      <w:r w:rsidRPr="00821320">
        <w:rPr>
          <w:rFonts w:ascii="Verdana" w:hAnsi="Verdana" w:cs="Arial"/>
          <w:sz w:val="22"/>
          <w:szCs w:val="22"/>
        </w:rPr>
        <w:t xml:space="preserve"> por valor de $29.089.955, donde se omitió el cargue de:</w:t>
      </w:r>
    </w:p>
    <w:p w:rsidRPr="00821320" w:rsidR="00CE200A" w:rsidP="00B412DF" w:rsidRDefault="00CE200A" w14:paraId="1976126F"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 xml:space="preserve">Pliego de condiciones </w:t>
      </w:r>
    </w:p>
    <w:p w:rsidRPr="00821320" w:rsidR="00CE200A" w:rsidP="00B412DF" w:rsidRDefault="00CE200A" w14:paraId="61ADF767"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Minuta contractual</w:t>
      </w:r>
    </w:p>
    <w:p w:rsidRPr="00821320" w:rsidR="00CE200A" w:rsidP="00B412DF" w:rsidRDefault="00CE200A" w14:paraId="69F90468" w14:textId="77777777">
      <w:pPr>
        <w:jc w:val="both"/>
        <w:rPr>
          <w:rFonts w:ascii="Verdana" w:hAnsi="Verdana" w:cs="Arial"/>
          <w:sz w:val="22"/>
          <w:szCs w:val="22"/>
          <w:shd w:val="clear" w:color="auto" w:fill="FFFFFF"/>
        </w:rPr>
      </w:pPr>
    </w:p>
    <w:p w:rsidRPr="00821320" w:rsidR="00CE200A" w:rsidP="00B412DF" w:rsidRDefault="00CE200A" w14:paraId="112AE965" w14:textId="77777777">
      <w:pPr>
        <w:pStyle w:val="Prrafodelista"/>
        <w:numPr>
          <w:ilvl w:val="0"/>
          <w:numId w:val="31"/>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 xml:space="preserve">Proceso No. </w:t>
      </w:r>
      <w:r w:rsidRPr="00821320">
        <w:rPr>
          <w:rFonts w:ascii="Verdana" w:hAnsi="Verdana" w:cs="Arial"/>
          <w:b/>
          <w:sz w:val="22"/>
          <w:szCs w:val="22"/>
          <w:shd w:val="clear" w:color="auto" w:fill="FFFFFF"/>
        </w:rPr>
        <w:t xml:space="preserve">MYCA-SED-CD-001-2022: </w:t>
      </w:r>
      <w:r w:rsidRPr="00821320">
        <w:rPr>
          <w:rFonts w:ascii="Verdana" w:hAnsi="Verdana" w:cs="Arial"/>
          <w:bCs/>
          <w:i/>
          <w:iCs/>
          <w:sz w:val="22"/>
          <w:szCs w:val="22"/>
          <w:shd w:val="clear" w:color="auto" w:fill="FFFFFF"/>
        </w:rPr>
        <w:t>“</w:t>
      </w:r>
      <w:r w:rsidRPr="00821320" w:rsidR="009E447F">
        <w:rPr>
          <w:rFonts w:ascii="Verdana" w:hAnsi="Verdana" w:cs="Arial"/>
          <w:i/>
          <w:sz w:val="22"/>
          <w:szCs w:val="22"/>
          <w:shd w:val="clear" w:color="auto" w:fill="FFFFFF"/>
        </w:rPr>
        <w:t>Contratar el arrendamiento del inmueble ubicado en calle 11 No. 23- 52; carrera 23 No. 11- 47; calle 12 No. 23-47 en Yopal, para el funcionamiento durante la vigencia 2022 de la sede preescolar y bachillerato de la Institución Educativa Centro Social del municipio de Yopal</w:t>
      </w:r>
      <w:r w:rsidRPr="00821320">
        <w:rPr>
          <w:rFonts w:ascii="Verdana" w:hAnsi="Verdana" w:cs="Arial"/>
          <w:i/>
          <w:sz w:val="22"/>
          <w:szCs w:val="22"/>
        </w:rPr>
        <w:t>”</w:t>
      </w:r>
      <w:r w:rsidR="00357DFD">
        <w:rPr>
          <w:rFonts w:ascii="Verdana" w:hAnsi="Verdana" w:cs="Arial"/>
          <w:i/>
          <w:sz w:val="22"/>
          <w:szCs w:val="22"/>
        </w:rPr>
        <w:t>,</w:t>
      </w:r>
      <w:r w:rsidRPr="00821320">
        <w:rPr>
          <w:rFonts w:ascii="Verdana" w:hAnsi="Verdana" w:cs="Arial"/>
          <w:sz w:val="22"/>
          <w:szCs w:val="22"/>
        </w:rPr>
        <w:t xml:space="preserve"> por valor de $329.000.000, omitió la publicación de los siguientes documentos:</w:t>
      </w:r>
    </w:p>
    <w:p w:rsidRPr="00821320" w:rsidR="00CE200A" w:rsidP="00B412DF" w:rsidRDefault="00CE200A" w14:paraId="3648727A"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Informe final de supervisión</w:t>
      </w:r>
    </w:p>
    <w:p w:rsidRPr="00821320" w:rsidR="00CE200A" w:rsidP="00B412DF" w:rsidRDefault="00CE200A" w14:paraId="145C814C" w14:textId="77777777">
      <w:pPr>
        <w:jc w:val="both"/>
        <w:rPr>
          <w:rFonts w:ascii="Verdana" w:hAnsi="Verdana" w:cs="Arial"/>
          <w:sz w:val="22"/>
          <w:szCs w:val="22"/>
          <w:shd w:val="clear" w:color="auto" w:fill="FFFFFF"/>
        </w:rPr>
      </w:pPr>
    </w:p>
    <w:p w:rsidRPr="00821320" w:rsidR="00CE200A" w:rsidP="00B412DF" w:rsidRDefault="00CE200A" w14:paraId="3BD90552" w14:textId="77777777">
      <w:pPr>
        <w:pStyle w:val="Prrafodelista"/>
        <w:numPr>
          <w:ilvl w:val="0"/>
          <w:numId w:val="31"/>
        </w:numPr>
        <w:jc w:val="both"/>
        <w:rPr>
          <w:rFonts w:ascii="Verdana" w:hAnsi="Verdana" w:cs="Arial"/>
          <w:b/>
          <w:sz w:val="22"/>
          <w:szCs w:val="22"/>
          <w:shd w:val="clear" w:color="auto" w:fill="FFFFFF"/>
        </w:rPr>
      </w:pPr>
      <w:r w:rsidRPr="00821320">
        <w:rPr>
          <w:rFonts w:ascii="Verdana" w:hAnsi="Verdana" w:cs="Arial"/>
          <w:sz w:val="22"/>
          <w:szCs w:val="22"/>
          <w:shd w:val="clear" w:color="auto" w:fill="FFFFFF"/>
        </w:rPr>
        <w:lastRenderedPageBreak/>
        <w:t xml:space="preserve">Proceso No. </w:t>
      </w:r>
      <w:r w:rsidRPr="00821320">
        <w:rPr>
          <w:rFonts w:ascii="Verdana" w:hAnsi="Verdana" w:cs="Arial"/>
          <w:b/>
          <w:sz w:val="22"/>
          <w:szCs w:val="22"/>
          <w:shd w:val="clear" w:color="auto" w:fill="FFFFFF"/>
        </w:rPr>
        <w:t xml:space="preserve">MYCA-MC-039-2022: </w:t>
      </w:r>
      <w:r w:rsidRPr="00821320">
        <w:rPr>
          <w:rFonts w:ascii="Verdana" w:hAnsi="Verdana" w:cs="Arial"/>
          <w:bCs/>
          <w:i/>
          <w:iCs/>
          <w:sz w:val="22"/>
          <w:szCs w:val="22"/>
          <w:shd w:val="clear" w:color="auto" w:fill="FFFFFF"/>
        </w:rPr>
        <w:t>“</w:t>
      </w:r>
      <w:r w:rsidRPr="00821320" w:rsidR="009E447F">
        <w:rPr>
          <w:rFonts w:ascii="Verdana" w:hAnsi="Verdana" w:cs="Arial"/>
          <w:bCs/>
          <w:i/>
          <w:iCs/>
          <w:sz w:val="22"/>
          <w:szCs w:val="22"/>
          <w:shd w:val="clear" w:color="auto" w:fill="FFFFFF"/>
        </w:rPr>
        <w:t>Dotaciones de vestuario y calzado para el personal docente y administrativo de la Secretaría de Educación municipal, correspondientes a la vigencia 2022 del municipio de Yopal</w:t>
      </w:r>
      <w:r w:rsidRPr="00821320">
        <w:rPr>
          <w:rFonts w:ascii="Verdana" w:hAnsi="Verdana" w:cs="Arial"/>
          <w:i/>
          <w:sz w:val="22"/>
          <w:szCs w:val="22"/>
          <w:shd w:val="clear" w:color="auto" w:fill="FFFFFF"/>
        </w:rPr>
        <w:t>”</w:t>
      </w:r>
      <w:r w:rsidR="00357DFD">
        <w:rPr>
          <w:rFonts w:ascii="Verdana" w:hAnsi="Verdana" w:cs="Arial"/>
          <w:i/>
          <w:sz w:val="22"/>
          <w:szCs w:val="22"/>
          <w:shd w:val="clear" w:color="auto" w:fill="FFFFFF"/>
        </w:rPr>
        <w:t>,</w:t>
      </w:r>
      <w:r w:rsidRPr="00821320">
        <w:rPr>
          <w:rFonts w:ascii="Verdana" w:hAnsi="Verdana" w:cs="Arial"/>
          <w:i/>
          <w:sz w:val="22"/>
          <w:szCs w:val="22"/>
          <w:shd w:val="clear" w:color="auto" w:fill="FFFFFF"/>
        </w:rPr>
        <w:t xml:space="preserve"> </w:t>
      </w:r>
      <w:r w:rsidRPr="00821320">
        <w:rPr>
          <w:rFonts w:ascii="Verdana" w:hAnsi="Verdana" w:cs="Arial"/>
          <w:sz w:val="22"/>
          <w:szCs w:val="22"/>
          <w:shd w:val="clear" w:color="auto" w:fill="FFFFFF"/>
        </w:rPr>
        <w:t xml:space="preserve">por valor de $32.000.160, </w:t>
      </w:r>
      <w:r w:rsidRPr="00821320" w:rsidR="00555A0A">
        <w:rPr>
          <w:rFonts w:ascii="Verdana" w:hAnsi="Verdana" w:cs="Arial"/>
          <w:sz w:val="22"/>
          <w:szCs w:val="22"/>
        </w:rPr>
        <w:t>donde se omitió el cargue de</w:t>
      </w:r>
      <w:r w:rsidRPr="00821320">
        <w:rPr>
          <w:rFonts w:ascii="Verdana" w:hAnsi="Verdana" w:cs="Arial"/>
          <w:sz w:val="22"/>
          <w:szCs w:val="22"/>
          <w:shd w:val="clear" w:color="auto" w:fill="FFFFFF"/>
        </w:rPr>
        <w:t>:</w:t>
      </w:r>
    </w:p>
    <w:p w:rsidRPr="00821320" w:rsidR="00CE200A" w:rsidP="00B412DF" w:rsidRDefault="00CE200A" w14:paraId="0FADE3EC"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Pliego de condiciones</w:t>
      </w:r>
    </w:p>
    <w:p w:rsidRPr="00821320" w:rsidR="00CE200A" w:rsidP="00B412DF" w:rsidRDefault="00CE200A" w14:paraId="1D0D9301"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Minuta Contractual</w:t>
      </w:r>
    </w:p>
    <w:p w:rsidRPr="00821320" w:rsidR="00B650E9" w:rsidP="00B412DF" w:rsidRDefault="00CE200A" w14:paraId="2CCD3EAB"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Informe final de supervisión</w:t>
      </w:r>
    </w:p>
    <w:p w:rsidRPr="00821320" w:rsidR="00CE200A" w:rsidP="00B412DF" w:rsidRDefault="00CE200A" w14:paraId="58E9ED87" w14:textId="77777777">
      <w:pPr>
        <w:jc w:val="both"/>
        <w:rPr>
          <w:rFonts w:ascii="Verdana" w:hAnsi="Verdana" w:cs="Arial"/>
          <w:sz w:val="22"/>
          <w:szCs w:val="22"/>
        </w:rPr>
      </w:pPr>
    </w:p>
    <w:p w:rsidR="00B650E9" w:rsidP="00B412DF" w:rsidRDefault="00B650E9" w14:paraId="214A31DB" w14:textId="77777777">
      <w:pPr>
        <w:jc w:val="both"/>
        <w:rPr>
          <w:rFonts w:ascii="Verdana" w:hAnsi="Verdana" w:cs="Arial"/>
          <w:b/>
          <w:bCs/>
          <w:i/>
          <w:sz w:val="22"/>
          <w:szCs w:val="22"/>
          <w:shd w:val="clear" w:color="auto" w:fill="FFFFFF"/>
        </w:rPr>
      </w:pPr>
      <w:r w:rsidRPr="00821320">
        <w:rPr>
          <w:rFonts w:ascii="Verdana" w:hAnsi="Verdana" w:cs="Arial"/>
          <w:b/>
          <w:bCs/>
          <w:i/>
          <w:sz w:val="22"/>
          <w:szCs w:val="22"/>
          <w:shd w:val="clear" w:color="auto" w:fill="FFFFFF"/>
        </w:rPr>
        <w:t>Vigencia 2023</w:t>
      </w:r>
    </w:p>
    <w:p w:rsidRPr="00821320" w:rsidR="00357DFD" w:rsidP="00B412DF" w:rsidRDefault="00357DFD" w14:paraId="366761EC" w14:textId="77777777">
      <w:pPr>
        <w:jc w:val="both"/>
        <w:rPr>
          <w:rFonts w:ascii="Verdana" w:hAnsi="Verdana" w:cs="Arial"/>
          <w:b/>
          <w:bCs/>
          <w:i/>
          <w:sz w:val="22"/>
          <w:szCs w:val="22"/>
          <w:shd w:val="clear" w:color="auto" w:fill="FFFFFF"/>
        </w:rPr>
      </w:pPr>
    </w:p>
    <w:p w:rsidRPr="00821320" w:rsidR="00B650E9" w:rsidP="00B412DF" w:rsidRDefault="00B650E9" w14:paraId="37245986" w14:textId="77777777">
      <w:pPr>
        <w:pStyle w:val="Prrafodelista"/>
        <w:numPr>
          <w:ilvl w:val="0"/>
          <w:numId w:val="31"/>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 xml:space="preserve">Proceso No. </w:t>
      </w:r>
      <w:r w:rsidRPr="00821320">
        <w:rPr>
          <w:rFonts w:ascii="Verdana" w:hAnsi="Verdana" w:cs="Arial"/>
          <w:b/>
          <w:sz w:val="22"/>
          <w:szCs w:val="22"/>
          <w:shd w:val="clear" w:color="auto" w:fill="FFFFFF"/>
        </w:rPr>
        <w:t>MYCA-SED-CD-054-2023</w:t>
      </w:r>
      <w:r w:rsidRPr="00821320">
        <w:rPr>
          <w:rFonts w:ascii="Verdana" w:hAnsi="Verdana" w:cs="Arial"/>
          <w:b/>
          <w:i/>
          <w:sz w:val="22"/>
          <w:szCs w:val="22"/>
          <w:shd w:val="clear" w:color="auto" w:fill="FFFFFF"/>
        </w:rPr>
        <w:t xml:space="preserve">: </w:t>
      </w:r>
      <w:r w:rsidRPr="00821320">
        <w:rPr>
          <w:rFonts w:ascii="Verdana" w:hAnsi="Verdana" w:cs="Arial"/>
          <w:i/>
          <w:sz w:val="22"/>
          <w:szCs w:val="22"/>
        </w:rPr>
        <w:t xml:space="preserve">“desarrollar actividades para brindar condiciones de higiene y salubridad en la prestación del servicio educativo en la institución educativa oficial técnica empresarial llano lindo </w:t>
      </w:r>
      <w:proofErr w:type="spellStart"/>
      <w:r w:rsidRPr="00821320">
        <w:rPr>
          <w:rFonts w:ascii="Verdana" w:hAnsi="Verdana" w:cs="Arial"/>
          <w:i/>
          <w:sz w:val="22"/>
          <w:szCs w:val="22"/>
        </w:rPr>
        <w:t>itell</w:t>
      </w:r>
      <w:proofErr w:type="spellEnd"/>
      <w:r w:rsidRPr="00821320">
        <w:rPr>
          <w:rFonts w:ascii="Verdana" w:hAnsi="Verdana" w:cs="Arial"/>
          <w:i/>
          <w:sz w:val="22"/>
          <w:szCs w:val="22"/>
        </w:rPr>
        <w:t xml:space="preserve"> sede mega colegio media técnica del municipio de Yopal, Casanare”</w:t>
      </w:r>
      <w:r w:rsidR="00357DFD">
        <w:rPr>
          <w:rFonts w:ascii="Verdana" w:hAnsi="Verdana" w:cs="Arial"/>
          <w:i/>
          <w:sz w:val="22"/>
          <w:szCs w:val="22"/>
        </w:rPr>
        <w:t>,</w:t>
      </w:r>
      <w:r w:rsidRPr="00821320">
        <w:rPr>
          <w:rFonts w:ascii="Verdana" w:hAnsi="Verdana" w:cs="Arial"/>
          <w:sz w:val="22"/>
          <w:szCs w:val="22"/>
        </w:rPr>
        <w:t xml:space="preserve"> por valor de $</w:t>
      </w:r>
      <w:r w:rsidRPr="00821320">
        <w:rPr>
          <w:rFonts w:ascii="Verdana" w:hAnsi="Verdana"/>
        </w:rPr>
        <w:t xml:space="preserve"> </w:t>
      </w:r>
      <w:r w:rsidRPr="00821320">
        <w:rPr>
          <w:rFonts w:ascii="Verdana" w:hAnsi="Verdana" w:cs="Arial"/>
          <w:sz w:val="22"/>
          <w:szCs w:val="22"/>
        </w:rPr>
        <w:t>14.250.000, donde se omitió el cargue de:</w:t>
      </w:r>
    </w:p>
    <w:p w:rsidRPr="00821320" w:rsidR="00B650E9" w:rsidP="00B412DF" w:rsidRDefault="00B650E9" w14:paraId="088B4BC4"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 xml:space="preserve">Pliego de condiciones </w:t>
      </w:r>
    </w:p>
    <w:p w:rsidRPr="00821320" w:rsidR="00B650E9" w:rsidP="00B412DF" w:rsidRDefault="00B650E9" w14:paraId="62E648C3"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Póliza</w:t>
      </w:r>
    </w:p>
    <w:p w:rsidRPr="00821320" w:rsidR="00B650E9" w:rsidP="00B412DF" w:rsidRDefault="00B650E9" w14:paraId="37824146"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Aprobación de póliza</w:t>
      </w:r>
    </w:p>
    <w:p w:rsidRPr="00821320" w:rsidR="00B650E9" w:rsidP="00B412DF" w:rsidRDefault="00B650E9" w14:paraId="1B0EEB81" w14:textId="77777777">
      <w:pPr>
        <w:jc w:val="both"/>
        <w:rPr>
          <w:rFonts w:ascii="Verdana" w:hAnsi="Verdana" w:cs="Arial"/>
          <w:sz w:val="22"/>
          <w:szCs w:val="22"/>
          <w:shd w:val="clear" w:color="auto" w:fill="FFFFFF"/>
        </w:rPr>
      </w:pPr>
    </w:p>
    <w:p w:rsidRPr="00821320" w:rsidR="00B650E9" w:rsidP="00B412DF" w:rsidRDefault="00B650E9" w14:paraId="266D7BDF" w14:textId="77777777">
      <w:pPr>
        <w:pStyle w:val="Prrafodelista"/>
        <w:numPr>
          <w:ilvl w:val="0"/>
          <w:numId w:val="31"/>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 xml:space="preserve">Proceso No. </w:t>
      </w:r>
      <w:r w:rsidRPr="00821320">
        <w:rPr>
          <w:rFonts w:ascii="Verdana" w:hAnsi="Verdana" w:cs="Arial"/>
          <w:b/>
          <w:sz w:val="22"/>
          <w:szCs w:val="22"/>
          <w:shd w:val="clear" w:color="auto" w:fill="FFFFFF"/>
        </w:rPr>
        <w:t xml:space="preserve">MYCA-SED-CD-083-2023: </w:t>
      </w:r>
      <w:r w:rsidRPr="00821320">
        <w:rPr>
          <w:rFonts w:ascii="Verdana" w:hAnsi="Verdana" w:cs="Arial"/>
          <w:bCs/>
          <w:i/>
          <w:iCs/>
          <w:sz w:val="22"/>
          <w:szCs w:val="22"/>
          <w:shd w:val="clear" w:color="auto" w:fill="FFFFFF"/>
        </w:rPr>
        <w:t>“</w:t>
      </w:r>
      <w:r w:rsidRPr="00821320">
        <w:rPr>
          <w:rFonts w:ascii="Verdana" w:hAnsi="Verdana" w:cs="Arial"/>
          <w:i/>
          <w:sz w:val="22"/>
          <w:szCs w:val="22"/>
          <w:shd w:val="clear" w:color="auto" w:fill="FFFFFF"/>
        </w:rPr>
        <w:t>desarrollar actividades de recepción, registro, actualización y generación de comunicaciones y reportes de la institución educativa oficial técnico ambiental san mateo educación básica secundaria del municipio de Yopal - Casanare</w:t>
      </w:r>
      <w:r w:rsidRPr="00821320">
        <w:rPr>
          <w:rFonts w:ascii="Verdana" w:hAnsi="Verdana" w:cs="Arial"/>
          <w:i/>
          <w:sz w:val="22"/>
          <w:szCs w:val="22"/>
        </w:rPr>
        <w:t>”</w:t>
      </w:r>
      <w:r w:rsidR="00357DFD">
        <w:rPr>
          <w:rFonts w:ascii="Verdana" w:hAnsi="Verdana" w:cs="Arial"/>
          <w:i/>
          <w:sz w:val="22"/>
          <w:szCs w:val="22"/>
        </w:rPr>
        <w:t>,</w:t>
      </w:r>
      <w:r w:rsidRPr="00821320">
        <w:rPr>
          <w:rFonts w:ascii="Verdana" w:hAnsi="Verdana" w:cs="Arial"/>
          <w:sz w:val="22"/>
          <w:szCs w:val="22"/>
        </w:rPr>
        <w:t xml:space="preserve"> por valor de $15.675.000, omitió la publicación de los siguientes documentos:</w:t>
      </w:r>
    </w:p>
    <w:p w:rsidRPr="00821320" w:rsidR="00B650E9" w:rsidP="00B412DF" w:rsidRDefault="00B650E9" w14:paraId="5135E2D7"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 xml:space="preserve">Pliego de condiciones </w:t>
      </w:r>
    </w:p>
    <w:p w:rsidRPr="00821320" w:rsidR="00B650E9" w:rsidP="00B412DF" w:rsidRDefault="00B650E9" w14:paraId="1B4C413A"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Póliza</w:t>
      </w:r>
    </w:p>
    <w:p w:rsidRPr="00821320" w:rsidR="00B650E9" w:rsidP="00B412DF" w:rsidRDefault="00B650E9" w14:paraId="576F0FDB"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Aprobación de póliza</w:t>
      </w:r>
    </w:p>
    <w:p w:rsidRPr="00821320" w:rsidR="00B650E9" w:rsidP="00B412DF" w:rsidRDefault="00B650E9" w14:paraId="5AC030D4" w14:textId="77777777">
      <w:pPr>
        <w:jc w:val="both"/>
        <w:rPr>
          <w:rFonts w:ascii="Verdana" w:hAnsi="Verdana" w:cs="Arial"/>
          <w:sz w:val="22"/>
          <w:szCs w:val="22"/>
          <w:shd w:val="clear" w:color="auto" w:fill="FFFFFF"/>
        </w:rPr>
      </w:pPr>
    </w:p>
    <w:p w:rsidRPr="00821320" w:rsidR="00B650E9" w:rsidP="00B412DF" w:rsidRDefault="00B650E9" w14:paraId="1A1E20EA" w14:textId="77777777">
      <w:pPr>
        <w:pStyle w:val="Prrafodelista"/>
        <w:numPr>
          <w:ilvl w:val="0"/>
          <w:numId w:val="31"/>
        </w:numPr>
        <w:jc w:val="both"/>
        <w:rPr>
          <w:rFonts w:ascii="Verdana" w:hAnsi="Verdana" w:cs="Arial"/>
          <w:b/>
          <w:sz w:val="22"/>
          <w:szCs w:val="22"/>
          <w:shd w:val="clear" w:color="auto" w:fill="FFFFFF"/>
        </w:rPr>
      </w:pPr>
      <w:r w:rsidRPr="00821320">
        <w:rPr>
          <w:rFonts w:ascii="Verdana" w:hAnsi="Verdana" w:cs="Arial"/>
          <w:sz w:val="22"/>
          <w:szCs w:val="22"/>
          <w:shd w:val="clear" w:color="auto" w:fill="FFFFFF"/>
        </w:rPr>
        <w:t xml:space="preserve">Proceso No. </w:t>
      </w:r>
      <w:r w:rsidRPr="00821320">
        <w:rPr>
          <w:rFonts w:ascii="Verdana" w:hAnsi="Verdana" w:cs="Arial"/>
          <w:b/>
          <w:sz w:val="22"/>
          <w:szCs w:val="22"/>
          <w:shd w:val="clear" w:color="auto" w:fill="FFFFFF"/>
        </w:rPr>
        <w:t xml:space="preserve">MYCA-SED-MC-056-2023 </w:t>
      </w:r>
      <w:r w:rsidRPr="00821320">
        <w:rPr>
          <w:rFonts w:ascii="Verdana" w:hAnsi="Verdana" w:cs="Arial"/>
          <w:bCs/>
          <w:i/>
          <w:iCs/>
          <w:sz w:val="22"/>
          <w:szCs w:val="22"/>
          <w:shd w:val="clear" w:color="auto" w:fill="FFFFFF"/>
        </w:rPr>
        <w:t>“dotaciones de vestuario y calzado para el personal docente y administrativo de la secretaría de educación municipal, correspondiente a la vigencia 2023, del municipio de Yopal</w:t>
      </w:r>
      <w:r w:rsidRPr="00821320">
        <w:rPr>
          <w:rFonts w:ascii="Verdana" w:hAnsi="Verdana" w:cs="Arial"/>
          <w:i/>
          <w:sz w:val="22"/>
          <w:szCs w:val="22"/>
          <w:shd w:val="clear" w:color="auto" w:fill="FFFFFF"/>
        </w:rPr>
        <w:t>”</w:t>
      </w:r>
      <w:r w:rsidR="005B3DE5">
        <w:rPr>
          <w:rFonts w:ascii="Verdana" w:hAnsi="Verdana" w:cs="Arial"/>
          <w:i/>
          <w:sz w:val="22"/>
          <w:szCs w:val="22"/>
          <w:shd w:val="clear" w:color="auto" w:fill="FFFFFF"/>
        </w:rPr>
        <w:t>,</w:t>
      </w:r>
      <w:r w:rsidRPr="00821320">
        <w:rPr>
          <w:rFonts w:ascii="Verdana" w:hAnsi="Verdana" w:cs="Arial"/>
          <w:i/>
          <w:sz w:val="22"/>
          <w:szCs w:val="22"/>
          <w:shd w:val="clear" w:color="auto" w:fill="FFFFFF"/>
        </w:rPr>
        <w:t xml:space="preserve"> </w:t>
      </w:r>
      <w:r w:rsidRPr="00821320">
        <w:rPr>
          <w:rFonts w:ascii="Verdana" w:hAnsi="Verdana" w:cs="Arial"/>
          <w:sz w:val="22"/>
          <w:szCs w:val="22"/>
          <w:shd w:val="clear" w:color="auto" w:fill="FFFFFF"/>
        </w:rPr>
        <w:t>por valor de $</w:t>
      </w:r>
      <w:r w:rsidRPr="00821320">
        <w:rPr>
          <w:rFonts w:ascii="Verdana" w:hAnsi="Verdana"/>
        </w:rPr>
        <w:t xml:space="preserve"> </w:t>
      </w:r>
      <w:r w:rsidRPr="00821320">
        <w:rPr>
          <w:rFonts w:ascii="Verdana" w:hAnsi="Verdana" w:cs="Arial"/>
          <w:sz w:val="22"/>
          <w:szCs w:val="22"/>
          <w:shd w:val="clear" w:color="auto" w:fill="FFFFFF"/>
        </w:rPr>
        <w:t>35.999.775, sin publicar:</w:t>
      </w:r>
    </w:p>
    <w:p w:rsidRPr="00821320" w:rsidR="00B650E9" w:rsidP="00B412DF" w:rsidRDefault="00B650E9" w14:paraId="10E17A11"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Pliego de condiciones</w:t>
      </w:r>
    </w:p>
    <w:p w:rsidRPr="00821320" w:rsidR="00B650E9" w:rsidP="00B412DF" w:rsidRDefault="00B650E9" w14:paraId="35149579" w14:textId="77777777">
      <w:pPr>
        <w:pStyle w:val="Prrafodelista"/>
        <w:numPr>
          <w:ilvl w:val="0"/>
          <w:numId w:val="30"/>
        </w:numPr>
        <w:jc w:val="both"/>
        <w:rPr>
          <w:rFonts w:ascii="Verdana" w:hAnsi="Verdana" w:cs="Arial"/>
          <w:sz w:val="22"/>
          <w:szCs w:val="22"/>
          <w:shd w:val="clear" w:color="auto" w:fill="FFFFFF"/>
        </w:rPr>
      </w:pPr>
      <w:r w:rsidRPr="00821320">
        <w:rPr>
          <w:rFonts w:ascii="Verdana" w:hAnsi="Verdana" w:cs="Arial"/>
          <w:sz w:val="22"/>
          <w:szCs w:val="22"/>
          <w:shd w:val="clear" w:color="auto" w:fill="FFFFFF"/>
        </w:rPr>
        <w:t>Acta de adjudicación</w:t>
      </w:r>
    </w:p>
    <w:p w:rsidRPr="00821320" w:rsidR="00B650E9" w:rsidP="00B412DF" w:rsidRDefault="00B650E9" w14:paraId="71B71EBE" w14:textId="77777777">
      <w:pPr>
        <w:pStyle w:val="Sinespaciado"/>
        <w:jc w:val="both"/>
        <w:rPr>
          <w:rFonts w:ascii="Verdana" w:hAnsi="Verdana" w:cs="Arial"/>
          <w:lang w:val="es-ES"/>
        </w:rPr>
      </w:pPr>
    </w:p>
    <w:p w:rsidRPr="00821320" w:rsidR="00CE200A" w:rsidP="00B412DF" w:rsidRDefault="00CE200A" w14:paraId="19234C6C" w14:textId="77777777">
      <w:pPr>
        <w:pStyle w:val="Sinespaciado"/>
        <w:jc w:val="both"/>
        <w:rPr>
          <w:rFonts w:ascii="Verdana" w:hAnsi="Verdana" w:cs="Arial"/>
          <w:lang w:val="es-ES"/>
        </w:rPr>
      </w:pPr>
      <w:r w:rsidRPr="00821320">
        <w:rPr>
          <w:rFonts w:ascii="Verdana" w:hAnsi="Verdana" w:cs="Arial"/>
          <w:lang w:val="es-ES"/>
        </w:rPr>
        <w:t>En consecuencia, se evidenciaron reiterados incumplimientos por parte del Municipio de Yopal en la publicación en la plataforma SECOP de los procesos contractuales adelantados con el SGP – Educación, obligación definida en el artículo 2.2.1.1.1.7.1 del Decreto 1082 del 2015 y el artículo 2.1.1.2.1.8 del Decreto 1081 de 2015. </w:t>
      </w:r>
    </w:p>
    <w:p w:rsidRPr="00821320" w:rsidR="00CE200A" w:rsidP="00B412DF" w:rsidRDefault="00CE200A" w14:paraId="7A378633" w14:textId="77777777">
      <w:pPr>
        <w:jc w:val="both"/>
        <w:rPr>
          <w:rFonts w:ascii="Verdana" w:hAnsi="Verdana" w:cs="Arial"/>
          <w:sz w:val="22"/>
          <w:szCs w:val="22"/>
          <w:lang w:val="es-CO"/>
        </w:rPr>
      </w:pPr>
    </w:p>
    <w:p w:rsidRPr="00821320" w:rsidR="00CE200A" w:rsidP="00B412DF" w:rsidRDefault="00CE200A" w14:paraId="3F2450DB" w14:textId="77777777">
      <w:pPr>
        <w:pStyle w:val="Sinespaciado"/>
        <w:jc w:val="both"/>
        <w:rPr>
          <w:rFonts w:ascii="Verdana" w:hAnsi="Verdana" w:cs="Arial"/>
        </w:rPr>
      </w:pPr>
      <w:r w:rsidRPr="00821320">
        <w:rPr>
          <w:rFonts w:ascii="Verdana" w:hAnsi="Verdana" w:cs="Arial"/>
          <w:b/>
          <w:iCs/>
          <w:lang w:val="es-ES_tradnl" w:eastAsia="es-ES"/>
        </w:rPr>
        <w:t xml:space="preserve">Evidencia: </w:t>
      </w:r>
      <w:r w:rsidRPr="00821320">
        <w:rPr>
          <w:rFonts w:ascii="Verdana" w:hAnsi="Verdana" w:cs="Arial"/>
        </w:rPr>
        <w:t xml:space="preserve">Obra en el expediente digital en el Sistema Integrado Electrónico Documental- SIED del Ministerio de Hacienda y Crédito Público No. </w:t>
      </w:r>
      <w:r w:rsidRPr="00821320">
        <w:rPr>
          <w:rFonts w:ascii="Verdana" w:hAnsi="Verdana" w:cs="Arial"/>
          <w:lang w:val="es-ES"/>
        </w:rPr>
        <w:t>44/2019/D028-PREDI</w:t>
      </w:r>
      <w:r w:rsidRPr="00821320">
        <w:rPr>
          <w:rFonts w:ascii="Verdana" w:hAnsi="Verdana" w:cs="Arial"/>
        </w:rPr>
        <w:t xml:space="preserve"> el siguiente material probatorio:</w:t>
      </w:r>
    </w:p>
    <w:p w:rsidRPr="00821320" w:rsidR="00CE200A" w:rsidP="00B412DF" w:rsidRDefault="00CE200A" w14:paraId="6F3EC4FC" w14:textId="77777777">
      <w:pPr>
        <w:pStyle w:val="Sinespaciado"/>
        <w:numPr>
          <w:ilvl w:val="0"/>
          <w:numId w:val="30"/>
        </w:numPr>
        <w:ind w:left="284" w:hanging="284"/>
        <w:jc w:val="both"/>
        <w:rPr>
          <w:rFonts w:ascii="Verdana" w:hAnsi="Verdana" w:cs="Arial"/>
        </w:rPr>
      </w:pPr>
      <w:r w:rsidRPr="00821320">
        <w:rPr>
          <w:rFonts w:ascii="Verdana" w:hAnsi="Verdana" w:cs="Arial"/>
          <w:bCs/>
          <w:iCs/>
          <w:lang w:val="es-ES" w:eastAsia="es-ES"/>
        </w:rPr>
        <w:lastRenderedPageBreak/>
        <w:t xml:space="preserve">Consulta en el SECOP del Proceso No. </w:t>
      </w:r>
      <w:r w:rsidRPr="00821320">
        <w:rPr>
          <w:rFonts w:ascii="Verdana" w:hAnsi="Verdana" w:cs="Arial"/>
          <w:bCs/>
          <w:shd w:val="clear" w:color="auto" w:fill="FFFFFF"/>
        </w:rPr>
        <w:t>MYCA-SE-CD-235-2020</w:t>
      </w:r>
      <w:r w:rsidRPr="00821320">
        <w:rPr>
          <w:rFonts w:ascii="Verdana" w:hAnsi="Verdana" w:cs="Arial"/>
          <w:bCs/>
          <w:iCs/>
          <w:lang w:val="es-ES" w:eastAsia="es-ES"/>
        </w:rPr>
        <w:t xml:space="preserve">. </w:t>
      </w:r>
      <w:r w:rsidRPr="00821320">
        <w:rPr>
          <w:rFonts w:ascii="Verdana" w:hAnsi="Verdana" w:cs="Arial"/>
          <w:bCs/>
        </w:rPr>
        <w:t>Vigencia 2020. Sector Educación. Municipio</w:t>
      </w:r>
      <w:r w:rsidRPr="00821320">
        <w:rPr>
          <w:rFonts w:ascii="Verdana" w:hAnsi="Verdana" w:cs="Arial"/>
        </w:rPr>
        <w:t xml:space="preserve"> de Yopal. Serie </w:t>
      </w:r>
      <w:r w:rsidRPr="00821320">
        <w:rPr>
          <w:rFonts w:ascii="Verdana" w:hAnsi="Verdana" w:cs="Arial"/>
          <w:i/>
        </w:rPr>
        <w:t>“Historial de Seguimiento y Control a los Recursos del Sistema General de Participaciones-Ejecución y Seguimiento”</w:t>
      </w:r>
      <w:r w:rsidRPr="00821320">
        <w:rPr>
          <w:rFonts w:ascii="Verdana" w:hAnsi="Verdana" w:cs="Arial"/>
        </w:rPr>
        <w:t xml:space="preserve">. Expediente digital No. </w:t>
      </w:r>
      <w:r w:rsidRPr="00821320">
        <w:rPr>
          <w:rFonts w:ascii="Verdana" w:hAnsi="Verdana" w:cs="Arial"/>
          <w:lang w:val="es-ES"/>
        </w:rPr>
        <w:t>44/2019/D028-PREDI.</w:t>
      </w:r>
      <w:r w:rsidRPr="00821320">
        <w:rPr>
          <w:rFonts w:ascii="Verdana" w:hAnsi="Verdana" w:cs="Arial"/>
        </w:rPr>
        <w:t xml:space="preserve"> Enlace:</w:t>
      </w:r>
      <w:r w:rsidRPr="00821320">
        <w:rPr>
          <w:rFonts w:ascii="Verdana" w:hAnsi="Verdana" w:eastAsia="Times New Roman" w:cs="Times New Roman"/>
          <w:color w:val="273144"/>
          <w:lang w:eastAsia="es-CO"/>
        </w:rPr>
        <w:t xml:space="preserve"> </w:t>
      </w:r>
      <w:hyperlink w:history="1" r:id="rId29">
        <w:r w:rsidRPr="00821320">
          <w:rPr>
            <w:rStyle w:val="Hipervnculo"/>
            <w:rFonts w:ascii="Verdana" w:hAnsi="Verdana"/>
          </w:rPr>
          <w:t xml:space="preserve">eSigna </w:t>
        </w:r>
        <w:proofErr w:type="spellStart"/>
        <w:r w:rsidRPr="00821320">
          <w:rPr>
            <w:rStyle w:val="Hipervnculo"/>
            <w:rFonts w:ascii="Verdana" w:hAnsi="Verdana"/>
          </w:rPr>
          <w:t>DocumentViewer</w:t>
        </w:r>
        <w:proofErr w:type="spellEnd"/>
        <w:r w:rsidRPr="00821320">
          <w:rPr>
            <w:rStyle w:val="Hipervnculo"/>
            <w:rFonts w:ascii="Verdana" w:hAnsi="Verdana"/>
          </w:rPr>
          <w:t xml:space="preserve"> (</w:t>
        </w:r>
        <w:proofErr w:type="spellStart"/>
        <w:r w:rsidRPr="00821320">
          <w:rPr>
            <w:rStyle w:val="Hipervnculo"/>
            <w:rFonts w:ascii="Verdana" w:hAnsi="Verdana"/>
          </w:rPr>
          <w:t>minhacienda.red</w:t>
        </w:r>
        <w:proofErr w:type="spellEnd"/>
        <w:r w:rsidRPr="00821320">
          <w:rPr>
            <w:rStyle w:val="Hipervnculo"/>
            <w:rFonts w:ascii="Verdana" w:hAnsi="Verdana"/>
          </w:rPr>
          <w:t>)</w:t>
        </w:r>
      </w:hyperlink>
    </w:p>
    <w:p w:rsidRPr="00821320" w:rsidR="00CE200A" w:rsidP="00B412DF" w:rsidRDefault="00CE200A" w14:paraId="5617F92C" w14:textId="77777777">
      <w:pPr>
        <w:pStyle w:val="Sinespaciado"/>
        <w:numPr>
          <w:ilvl w:val="0"/>
          <w:numId w:val="30"/>
        </w:numPr>
        <w:ind w:left="284" w:hanging="284"/>
        <w:jc w:val="both"/>
        <w:rPr>
          <w:rFonts w:ascii="Verdana" w:hAnsi="Verdana" w:cs="Arial"/>
        </w:rPr>
      </w:pPr>
      <w:r w:rsidRPr="00821320">
        <w:rPr>
          <w:rFonts w:ascii="Verdana" w:hAnsi="Verdana" w:cs="Arial"/>
          <w:bCs/>
          <w:iCs/>
          <w:lang w:val="es-ES" w:eastAsia="es-ES"/>
        </w:rPr>
        <w:t xml:space="preserve">Consulta en el SECOP del Proceso No. </w:t>
      </w:r>
      <w:r w:rsidRPr="00821320">
        <w:rPr>
          <w:rFonts w:ascii="Verdana" w:hAnsi="Verdana" w:cs="Arial"/>
          <w:shd w:val="clear" w:color="auto" w:fill="FFFFFF"/>
        </w:rPr>
        <w:t>MYCA-SE-CD-198-2020</w:t>
      </w:r>
      <w:r w:rsidRPr="00821320">
        <w:rPr>
          <w:rFonts w:ascii="Verdana" w:hAnsi="Verdana" w:cs="Arial"/>
          <w:bCs/>
          <w:iCs/>
          <w:lang w:val="es-ES" w:eastAsia="es-ES"/>
        </w:rPr>
        <w:t xml:space="preserve">. </w:t>
      </w:r>
      <w:r w:rsidRPr="00821320">
        <w:rPr>
          <w:rFonts w:ascii="Verdana" w:hAnsi="Verdana" w:cs="Arial"/>
          <w:bCs/>
        </w:rPr>
        <w:t>Vigencia 2020. Sector Educación. Municipio</w:t>
      </w:r>
      <w:r w:rsidRPr="00821320">
        <w:rPr>
          <w:rFonts w:ascii="Verdana" w:hAnsi="Verdana" w:cs="Arial"/>
        </w:rPr>
        <w:t xml:space="preserve"> de Yopal. Serie </w:t>
      </w:r>
      <w:r w:rsidRPr="00821320">
        <w:rPr>
          <w:rFonts w:ascii="Verdana" w:hAnsi="Verdana" w:cs="Arial"/>
          <w:i/>
        </w:rPr>
        <w:t>“Historial de Seguimiento y Control a los Recursos del Sistema General de Participaciones-Ejecución y Seguimiento”</w:t>
      </w:r>
      <w:r w:rsidRPr="00821320">
        <w:rPr>
          <w:rFonts w:ascii="Verdana" w:hAnsi="Verdana" w:cs="Arial"/>
        </w:rPr>
        <w:t xml:space="preserve">. Expediente digital No. </w:t>
      </w:r>
      <w:r w:rsidRPr="00821320">
        <w:rPr>
          <w:rFonts w:ascii="Verdana" w:hAnsi="Verdana" w:cs="Arial"/>
          <w:lang w:val="es-ES"/>
        </w:rPr>
        <w:t>44/2019/D028-PREDI.</w:t>
      </w:r>
      <w:r w:rsidRPr="00821320">
        <w:rPr>
          <w:rFonts w:ascii="Verdana" w:hAnsi="Verdana" w:cs="Arial"/>
        </w:rPr>
        <w:t xml:space="preserve"> Enlace: </w:t>
      </w:r>
      <w:hyperlink w:history="1" r:id="rId30">
        <w:r w:rsidRPr="00821320">
          <w:rPr>
            <w:rStyle w:val="Hipervnculo"/>
            <w:rFonts w:ascii="Verdana" w:hAnsi="Verdana"/>
          </w:rPr>
          <w:t xml:space="preserve">eSigna </w:t>
        </w:r>
        <w:proofErr w:type="spellStart"/>
        <w:r w:rsidRPr="00821320">
          <w:rPr>
            <w:rStyle w:val="Hipervnculo"/>
            <w:rFonts w:ascii="Verdana" w:hAnsi="Verdana"/>
          </w:rPr>
          <w:t>DocumentViewer</w:t>
        </w:r>
        <w:proofErr w:type="spellEnd"/>
        <w:r w:rsidRPr="00821320">
          <w:rPr>
            <w:rStyle w:val="Hipervnculo"/>
            <w:rFonts w:ascii="Verdana" w:hAnsi="Verdana"/>
          </w:rPr>
          <w:t xml:space="preserve"> (</w:t>
        </w:r>
        <w:proofErr w:type="spellStart"/>
        <w:r w:rsidRPr="00821320">
          <w:rPr>
            <w:rStyle w:val="Hipervnculo"/>
            <w:rFonts w:ascii="Verdana" w:hAnsi="Verdana"/>
          </w:rPr>
          <w:t>minhacienda.red</w:t>
        </w:r>
        <w:proofErr w:type="spellEnd"/>
        <w:r w:rsidRPr="00821320">
          <w:rPr>
            <w:rStyle w:val="Hipervnculo"/>
            <w:rFonts w:ascii="Verdana" w:hAnsi="Verdana"/>
          </w:rPr>
          <w:t>)</w:t>
        </w:r>
      </w:hyperlink>
    </w:p>
    <w:p w:rsidRPr="00821320" w:rsidR="00CE200A" w:rsidP="00B412DF" w:rsidRDefault="00CE200A" w14:paraId="70BEF01D" w14:textId="77777777">
      <w:pPr>
        <w:pStyle w:val="Sinespaciado"/>
        <w:numPr>
          <w:ilvl w:val="0"/>
          <w:numId w:val="30"/>
        </w:numPr>
        <w:ind w:left="284" w:hanging="284"/>
        <w:jc w:val="both"/>
        <w:rPr>
          <w:rFonts w:ascii="Verdana" w:hAnsi="Verdana" w:cs="Arial"/>
        </w:rPr>
      </w:pPr>
      <w:r w:rsidRPr="00821320">
        <w:rPr>
          <w:rFonts w:ascii="Verdana" w:hAnsi="Verdana" w:cs="Arial"/>
          <w:bCs/>
          <w:iCs/>
          <w:lang w:val="es-ES" w:eastAsia="es-ES"/>
        </w:rPr>
        <w:t xml:space="preserve">Consulta en el SECOP del Proceso No. </w:t>
      </w:r>
      <w:r w:rsidRPr="00821320">
        <w:rPr>
          <w:rFonts w:ascii="Verdana" w:hAnsi="Verdana" w:cs="Arial"/>
          <w:bCs/>
          <w:shd w:val="clear" w:color="auto" w:fill="FFFFFF"/>
        </w:rPr>
        <w:t>MYCA-SE-CD-002-2020</w:t>
      </w:r>
      <w:r w:rsidRPr="00821320">
        <w:rPr>
          <w:rFonts w:ascii="Verdana" w:hAnsi="Verdana" w:cs="Arial"/>
          <w:bCs/>
          <w:iCs/>
          <w:lang w:val="es-ES" w:eastAsia="es-ES"/>
        </w:rPr>
        <w:t xml:space="preserve">. </w:t>
      </w:r>
      <w:r w:rsidRPr="00821320">
        <w:rPr>
          <w:rFonts w:ascii="Verdana" w:hAnsi="Verdana" w:cs="Arial"/>
          <w:bCs/>
        </w:rPr>
        <w:t>Vigencia 2020. Sector Educación. Municipio</w:t>
      </w:r>
      <w:r w:rsidRPr="00821320">
        <w:rPr>
          <w:rFonts w:ascii="Verdana" w:hAnsi="Verdana" w:cs="Arial"/>
        </w:rPr>
        <w:t xml:space="preserve"> de Yopal. Serie </w:t>
      </w:r>
      <w:r w:rsidRPr="00821320">
        <w:rPr>
          <w:rFonts w:ascii="Verdana" w:hAnsi="Verdana" w:cs="Arial"/>
          <w:i/>
        </w:rPr>
        <w:t>“Historial de Seguimiento y Control a los Recursos del Sistema General de Participaciones-Ejecución y Seguimiento”</w:t>
      </w:r>
      <w:r w:rsidRPr="00821320">
        <w:rPr>
          <w:rFonts w:ascii="Verdana" w:hAnsi="Verdana" w:cs="Arial"/>
        </w:rPr>
        <w:t xml:space="preserve">. Expediente digital No. </w:t>
      </w:r>
      <w:r w:rsidRPr="00821320">
        <w:rPr>
          <w:rFonts w:ascii="Verdana" w:hAnsi="Verdana" w:cs="Arial"/>
          <w:lang w:val="es-ES"/>
        </w:rPr>
        <w:t>44/2019/D028-PREDI.</w:t>
      </w:r>
      <w:r w:rsidRPr="00821320">
        <w:rPr>
          <w:rFonts w:ascii="Verdana" w:hAnsi="Verdana" w:cs="Arial"/>
        </w:rPr>
        <w:t xml:space="preserve"> Enlace: </w:t>
      </w:r>
      <w:hyperlink w:history="1" r:id="rId31">
        <w:r w:rsidRPr="00821320">
          <w:rPr>
            <w:rStyle w:val="Hipervnculo"/>
            <w:rFonts w:ascii="Verdana" w:hAnsi="Verdana"/>
          </w:rPr>
          <w:t xml:space="preserve">eSigna </w:t>
        </w:r>
        <w:proofErr w:type="spellStart"/>
        <w:r w:rsidRPr="00821320">
          <w:rPr>
            <w:rStyle w:val="Hipervnculo"/>
            <w:rFonts w:ascii="Verdana" w:hAnsi="Verdana"/>
          </w:rPr>
          <w:t>DocumentViewer</w:t>
        </w:r>
        <w:proofErr w:type="spellEnd"/>
        <w:r w:rsidRPr="00821320">
          <w:rPr>
            <w:rStyle w:val="Hipervnculo"/>
            <w:rFonts w:ascii="Verdana" w:hAnsi="Verdana"/>
          </w:rPr>
          <w:t xml:space="preserve"> (</w:t>
        </w:r>
        <w:proofErr w:type="spellStart"/>
        <w:r w:rsidRPr="00821320">
          <w:rPr>
            <w:rStyle w:val="Hipervnculo"/>
            <w:rFonts w:ascii="Verdana" w:hAnsi="Verdana"/>
          </w:rPr>
          <w:t>minhacienda.red</w:t>
        </w:r>
        <w:proofErr w:type="spellEnd"/>
        <w:r w:rsidRPr="00821320">
          <w:rPr>
            <w:rStyle w:val="Hipervnculo"/>
            <w:rFonts w:ascii="Verdana" w:hAnsi="Verdana"/>
          </w:rPr>
          <w:t>)</w:t>
        </w:r>
      </w:hyperlink>
    </w:p>
    <w:p w:rsidRPr="00821320" w:rsidR="00CE200A" w:rsidP="00B412DF" w:rsidRDefault="00CE200A" w14:paraId="680E6E49" w14:textId="77777777">
      <w:pPr>
        <w:pStyle w:val="Sinespaciado"/>
        <w:numPr>
          <w:ilvl w:val="0"/>
          <w:numId w:val="30"/>
        </w:numPr>
        <w:ind w:left="284" w:hanging="284"/>
        <w:jc w:val="both"/>
        <w:rPr>
          <w:rFonts w:ascii="Verdana" w:hAnsi="Verdana" w:cs="Arial"/>
        </w:rPr>
      </w:pPr>
      <w:r w:rsidRPr="00821320">
        <w:rPr>
          <w:rFonts w:ascii="Verdana" w:hAnsi="Verdana" w:cs="Arial"/>
          <w:bCs/>
          <w:iCs/>
          <w:lang w:val="es-ES" w:eastAsia="es-ES"/>
        </w:rPr>
        <w:t xml:space="preserve">Consulta en el SECOP del Proceso No. </w:t>
      </w:r>
      <w:r w:rsidRPr="00821320">
        <w:rPr>
          <w:rFonts w:ascii="Verdana" w:hAnsi="Verdana" w:cs="Arial"/>
          <w:shd w:val="clear" w:color="auto" w:fill="FFFFFF"/>
        </w:rPr>
        <w:t>MYCA-SE-CD-180-2021</w:t>
      </w:r>
      <w:r w:rsidRPr="00821320">
        <w:rPr>
          <w:rFonts w:ascii="Verdana" w:hAnsi="Verdana" w:cs="Arial"/>
          <w:bCs/>
          <w:iCs/>
          <w:lang w:val="es-ES" w:eastAsia="es-ES"/>
        </w:rPr>
        <w:t xml:space="preserve">. </w:t>
      </w:r>
      <w:r w:rsidRPr="00821320">
        <w:rPr>
          <w:rFonts w:ascii="Verdana" w:hAnsi="Verdana" w:cs="Arial"/>
          <w:bCs/>
        </w:rPr>
        <w:t>Vigencia 2021. Sector Educación. Municipio</w:t>
      </w:r>
      <w:r w:rsidRPr="00821320">
        <w:rPr>
          <w:rFonts w:ascii="Verdana" w:hAnsi="Verdana" w:cs="Arial"/>
        </w:rPr>
        <w:t xml:space="preserve"> de Yopal. Serie </w:t>
      </w:r>
      <w:r w:rsidRPr="00821320">
        <w:rPr>
          <w:rFonts w:ascii="Verdana" w:hAnsi="Verdana" w:cs="Arial"/>
          <w:i/>
        </w:rPr>
        <w:t>“Historial de Seguimiento y Control a los Recursos del Sistema General de Participaciones-Ejecución y Seguimiento”</w:t>
      </w:r>
      <w:r w:rsidRPr="00821320">
        <w:rPr>
          <w:rFonts w:ascii="Verdana" w:hAnsi="Verdana" w:cs="Arial"/>
        </w:rPr>
        <w:t xml:space="preserve">. Expediente digital No. </w:t>
      </w:r>
      <w:r w:rsidRPr="00821320">
        <w:rPr>
          <w:rFonts w:ascii="Verdana" w:hAnsi="Verdana" w:cs="Arial"/>
          <w:lang w:val="es-ES"/>
        </w:rPr>
        <w:t>44/2019/D028-PREDI.</w:t>
      </w:r>
      <w:r w:rsidRPr="00821320">
        <w:rPr>
          <w:rFonts w:ascii="Verdana" w:hAnsi="Verdana" w:cs="Arial"/>
        </w:rPr>
        <w:t xml:space="preserve"> Enlace:</w:t>
      </w:r>
      <w:r w:rsidRPr="00821320">
        <w:rPr>
          <w:rFonts w:ascii="Verdana" w:hAnsi="Verdana" w:eastAsia="Times New Roman" w:cs="Times New Roman"/>
          <w:color w:val="273144"/>
          <w:lang w:eastAsia="es-CO"/>
        </w:rPr>
        <w:t xml:space="preserve"> </w:t>
      </w:r>
      <w:hyperlink w:history="1" r:id="rId32">
        <w:r w:rsidRPr="00821320">
          <w:rPr>
            <w:rStyle w:val="Hipervnculo"/>
            <w:rFonts w:ascii="Verdana" w:hAnsi="Verdana"/>
          </w:rPr>
          <w:t xml:space="preserve">eSigna </w:t>
        </w:r>
        <w:proofErr w:type="spellStart"/>
        <w:r w:rsidRPr="00821320">
          <w:rPr>
            <w:rStyle w:val="Hipervnculo"/>
            <w:rFonts w:ascii="Verdana" w:hAnsi="Verdana"/>
          </w:rPr>
          <w:t>DocumentViewer</w:t>
        </w:r>
        <w:proofErr w:type="spellEnd"/>
        <w:r w:rsidRPr="00821320">
          <w:rPr>
            <w:rStyle w:val="Hipervnculo"/>
            <w:rFonts w:ascii="Verdana" w:hAnsi="Verdana"/>
          </w:rPr>
          <w:t xml:space="preserve"> (</w:t>
        </w:r>
        <w:proofErr w:type="spellStart"/>
        <w:r w:rsidRPr="00821320">
          <w:rPr>
            <w:rStyle w:val="Hipervnculo"/>
            <w:rFonts w:ascii="Verdana" w:hAnsi="Verdana"/>
          </w:rPr>
          <w:t>minhacienda.red</w:t>
        </w:r>
        <w:proofErr w:type="spellEnd"/>
        <w:r w:rsidRPr="00821320">
          <w:rPr>
            <w:rStyle w:val="Hipervnculo"/>
            <w:rFonts w:ascii="Verdana" w:hAnsi="Verdana"/>
          </w:rPr>
          <w:t>)</w:t>
        </w:r>
      </w:hyperlink>
    </w:p>
    <w:p w:rsidRPr="00821320" w:rsidR="00CE200A" w:rsidP="00B412DF" w:rsidRDefault="00CE200A" w14:paraId="0CA9DA23" w14:textId="77777777">
      <w:pPr>
        <w:pStyle w:val="Sinespaciado"/>
        <w:numPr>
          <w:ilvl w:val="0"/>
          <w:numId w:val="30"/>
        </w:numPr>
        <w:ind w:left="284" w:hanging="284"/>
        <w:jc w:val="both"/>
        <w:rPr>
          <w:rFonts w:ascii="Verdana" w:hAnsi="Verdana" w:cs="Arial"/>
        </w:rPr>
      </w:pPr>
      <w:r w:rsidRPr="00821320">
        <w:rPr>
          <w:rFonts w:ascii="Verdana" w:hAnsi="Verdana" w:cs="Arial"/>
          <w:bCs/>
          <w:iCs/>
          <w:lang w:val="es-ES" w:eastAsia="es-ES"/>
        </w:rPr>
        <w:t xml:space="preserve">Consulta en el SECOP del Proceso No. </w:t>
      </w:r>
      <w:r w:rsidRPr="00821320">
        <w:rPr>
          <w:rFonts w:ascii="Verdana" w:hAnsi="Verdana" w:cs="Arial"/>
          <w:shd w:val="clear" w:color="auto" w:fill="FFFFFF"/>
        </w:rPr>
        <w:t>MYCA-SED-SAM-010-2021</w:t>
      </w:r>
      <w:r w:rsidRPr="00821320">
        <w:rPr>
          <w:rFonts w:ascii="Verdana" w:hAnsi="Verdana" w:cs="Arial"/>
          <w:bCs/>
          <w:iCs/>
          <w:lang w:val="es-ES" w:eastAsia="es-ES"/>
        </w:rPr>
        <w:t xml:space="preserve">. </w:t>
      </w:r>
      <w:r w:rsidRPr="00821320">
        <w:rPr>
          <w:rFonts w:ascii="Verdana" w:hAnsi="Verdana" w:cs="Arial"/>
          <w:bCs/>
        </w:rPr>
        <w:t>Vigencia 2021. Sector Educación. Municipio</w:t>
      </w:r>
      <w:r w:rsidRPr="00821320">
        <w:rPr>
          <w:rFonts w:ascii="Verdana" w:hAnsi="Verdana" w:cs="Arial"/>
        </w:rPr>
        <w:t xml:space="preserve"> de Yopal. Serie </w:t>
      </w:r>
      <w:r w:rsidRPr="00821320">
        <w:rPr>
          <w:rFonts w:ascii="Verdana" w:hAnsi="Verdana" w:cs="Arial"/>
          <w:i/>
        </w:rPr>
        <w:t>“Historial de Seguimiento y Control a los Recursos del Sistema General de Participaciones-Ejecución y Seguimiento”</w:t>
      </w:r>
      <w:r w:rsidRPr="00821320">
        <w:rPr>
          <w:rFonts w:ascii="Verdana" w:hAnsi="Verdana" w:cs="Arial"/>
        </w:rPr>
        <w:t xml:space="preserve">. Expediente digital No. </w:t>
      </w:r>
      <w:r w:rsidRPr="00821320">
        <w:rPr>
          <w:rFonts w:ascii="Verdana" w:hAnsi="Verdana" w:cs="Arial"/>
          <w:lang w:val="es-ES"/>
        </w:rPr>
        <w:t>44/2019/D028-PREDI.</w:t>
      </w:r>
      <w:r w:rsidRPr="00821320">
        <w:rPr>
          <w:rFonts w:ascii="Verdana" w:hAnsi="Verdana" w:cs="Arial"/>
        </w:rPr>
        <w:t xml:space="preserve"> Enlace:</w:t>
      </w:r>
      <w:r w:rsidRPr="00821320">
        <w:rPr>
          <w:rFonts w:ascii="Verdana" w:hAnsi="Verdana" w:eastAsia="Times New Roman" w:cs="Times New Roman"/>
          <w:color w:val="273144"/>
          <w:lang w:eastAsia="es-CO"/>
        </w:rPr>
        <w:t xml:space="preserve"> </w:t>
      </w:r>
      <w:hyperlink w:history="1" r:id="rId33">
        <w:r w:rsidRPr="00821320">
          <w:rPr>
            <w:rStyle w:val="Hipervnculo"/>
            <w:rFonts w:ascii="Verdana" w:hAnsi="Verdana"/>
          </w:rPr>
          <w:t xml:space="preserve">eSigna </w:t>
        </w:r>
        <w:proofErr w:type="spellStart"/>
        <w:r w:rsidRPr="00821320">
          <w:rPr>
            <w:rStyle w:val="Hipervnculo"/>
            <w:rFonts w:ascii="Verdana" w:hAnsi="Verdana"/>
          </w:rPr>
          <w:t>DocumentViewer</w:t>
        </w:r>
        <w:proofErr w:type="spellEnd"/>
        <w:r w:rsidRPr="00821320">
          <w:rPr>
            <w:rStyle w:val="Hipervnculo"/>
            <w:rFonts w:ascii="Verdana" w:hAnsi="Verdana"/>
          </w:rPr>
          <w:t xml:space="preserve"> (</w:t>
        </w:r>
        <w:proofErr w:type="spellStart"/>
        <w:r w:rsidRPr="00821320">
          <w:rPr>
            <w:rStyle w:val="Hipervnculo"/>
            <w:rFonts w:ascii="Verdana" w:hAnsi="Verdana"/>
          </w:rPr>
          <w:t>minhacienda.red</w:t>
        </w:r>
        <w:proofErr w:type="spellEnd"/>
        <w:r w:rsidRPr="00821320">
          <w:rPr>
            <w:rStyle w:val="Hipervnculo"/>
            <w:rFonts w:ascii="Verdana" w:hAnsi="Verdana"/>
          </w:rPr>
          <w:t>)</w:t>
        </w:r>
      </w:hyperlink>
    </w:p>
    <w:p w:rsidRPr="00821320" w:rsidR="00CE200A" w:rsidP="00B412DF" w:rsidRDefault="00CE200A" w14:paraId="6B222E9A" w14:textId="77777777">
      <w:pPr>
        <w:pStyle w:val="Sinespaciado"/>
        <w:numPr>
          <w:ilvl w:val="0"/>
          <w:numId w:val="30"/>
        </w:numPr>
        <w:ind w:left="284" w:hanging="284"/>
        <w:jc w:val="both"/>
        <w:rPr>
          <w:rFonts w:ascii="Verdana" w:hAnsi="Verdana" w:cs="Arial"/>
        </w:rPr>
      </w:pPr>
      <w:r w:rsidRPr="00821320">
        <w:rPr>
          <w:rFonts w:ascii="Verdana" w:hAnsi="Verdana" w:cs="Arial"/>
          <w:bCs/>
          <w:iCs/>
          <w:lang w:val="es-ES" w:eastAsia="es-ES"/>
        </w:rPr>
        <w:t xml:space="preserve">Consulta en el SECOP del Proceso No. </w:t>
      </w:r>
      <w:r w:rsidRPr="00821320">
        <w:rPr>
          <w:rFonts w:ascii="Verdana" w:hAnsi="Verdana" w:cs="Arial"/>
          <w:bCs/>
          <w:shd w:val="clear" w:color="auto" w:fill="FFFFFF"/>
        </w:rPr>
        <w:t>MYCA-MC-059-2022</w:t>
      </w:r>
      <w:r w:rsidRPr="00821320">
        <w:rPr>
          <w:rFonts w:ascii="Verdana" w:hAnsi="Verdana" w:cs="Arial"/>
          <w:bCs/>
          <w:iCs/>
          <w:lang w:val="es-ES" w:eastAsia="es-ES"/>
        </w:rPr>
        <w:t xml:space="preserve">. </w:t>
      </w:r>
      <w:r w:rsidRPr="00821320">
        <w:rPr>
          <w:rFonts w:ascii="Verdana" w:hAnsi="Verdana" w:cs="Arial"/>
          <w:bCs/>
        </w:rPr>
        <w:t>Vigencia 2022. Sector Educación. Municipio</w:t>
      </w:r>
      <w:r w:rsidRPr="00821320">
        <w:rPr>
          <w:rFonts w:ascii="Verdana" w:hAnsi="Verdana" w:cs="Arial"/>
        </w:rPr>
        <w:t xml:space="preserve"> de Yopal. Serie </w:t>
      </w:r>
      <w:r w:rsidRPr="00821320">
        <w:rPr>
          <w:rFonts w:ascii="Verdana" w:hAnsi="Verdana" w:cs="Arial"/>
          <w:i/>
        </w:rPr>
        <w:t>“Historial de Seguimiento y Control a los Recursos del Sistema General de Participaciones-Ejecución y Seguimiento”</w:t>
      </w:r>
      <w:r w:rsidRPr="00821320">
        <w:rPr>
          <w:rFonts w:ascii="Verdana" w:hAnsi="Verdana" w:cs="Arial"/>
        </w:rPr>
        <w:t xml:space="preserve">. Expediente digital No. </w:t>
      </w:r>
      <w:r w:rsidRPr="00821320">
        <w:rPr>
          <w:rFonts w:ascii="Verdana" w:hAnsi="Verdana" w:cs="Arial"/>
          <w:lang w:val="es-ES"/>
        </w:rPr>
        <w:t>44/2019/D028-PREDI.</w:t>
      </w:r>
      <w:r w:rsidRPr="00821320">
        <w:rPr>
          <w:rFonts w:ascii="Verdana" w:hAnsi="Verdana" w:cs="Arial"/>
        </w:rPr>
        <w:t xml:space="preserve"> Enlace: </w:t>
      </w:r>
      <w:hyperlink w:history="1" r:id="rId34">
        <w:r w:rsidRPr="00821320">
          <w:rPr>
            <w:rStyle w:val="Hipervnculo"/>
            <w:rFonts w:ascii="Verdana" w:hAnsi="Verdana"/>
          </w:rPr>
          <w:t xml:space="preserve">eSigna </w:t>
        </w:r>
        <w:proofErr w:type="spellStart"/>
        <w:r w:rsidRPr="00821320">
          <w:rPr>
            <w:rStyle w:val="Hipervnculo"/>
            <w:rFonts w:ascii="Verdana" w:hAnsi="Verdana"/>
          </w:rPr>
          <w:t>DocumentViewer</w:t>
        </w:r>
        <w:proofErr w:type="spellEnd"/>
        <w:r w:rsidRPr="00821320">
          <w:rPr>
            <w:rStyle w:val="Hipervnculo"/>
            <w:rFonts w:ascii="Verdana" w:hAnsi="Verdana"/>
          </w:rPr>
          <w:t xml:space="preserve"> (</w:t>
        </w:r>
        <w:proofErr w:type="spellStart"/>
        <w:r w:rsidRPr="00821320">
          <w:rPr>
            <w:rStyle w:val="Hipervnculo"/>
            <w:rFonts w:ascii="Verdana" w:hAnsi="Verdana"/>
          </w:rPr>
          <w:t>minhacienda.red</w:t>
        </w:r>
        <w:proofErr w:type="spellEnd"/>
        <w:r w:rsidRPr="00821320">
          <w:rPr>
            <w:rStyle w:val="Hipervnculo"/>
            <w:rFonts w:ascii="Verdana" w:hAnsi="Verdana"/>
          </w:rPr>
          <w:t>)</w:t>
        </w:r>
      </w:hyperlink>
    </w:p>
    <w:p w:rsidRPr="00821320" w:rsidR="00CE200A" w:rsidP="00B412DF" w:rsidRDefault="00CE200A" w14:paraId="1962CB80" w14:textId="77777777">
      <w:pPr>
        <w:pStyle w:val="Sinespaciado"/>
        <w:numPr>
          <w:ilvl w:val="0"/>
          <w:numId w:val="30"/>
        </w:numPr>
        <w:ind w:left="284" w:hanging="284"/>
        <w:jc w:val="both"/>
        <w:rPr>
          <w:rFonts w:ascii="Verdana" w:hAnsi="Verdana" w:cs="Arial"/>
        </w:rPr>
      </w:pPr>
      <w:r w:rsidRPr="00821320">
        <w:rPr>
          <w:rFonts w:ascii="Verdana" w:hAnsi="Verdana" w:cs="Arial"/>
          <w:bCs/>
          <w:iCs/>
          <w:lang w:val="es-ES" w:eastAsia="es-ES"/>
        </w:rPr>
        <w:t xml:space="preserve">Consulta en el SECOP del Proceso No. </w:t>
      </w:r>
      <w:r w:rsidRPr="00821320">
        <w:rPr>
          <w:rFonts w:ascii="Verdana" w:hAnsi="Verdana" w:cs="Arial"/>
          <w:bCs/>
          <w:shd w:val="clear" w:color="auto" w:fill="FFFFFF"/>
        </w:rPr>
        <w:t>MYCA-SED-CD-001-2022</w:t>
      </w:r>
      <w:r w:rsidRPr="00821320">
        <w:rPr>
          <w:rFonts w:ascii="Verdana" w:hAnsi="Verdana" w:cs="Arial"/>
          <w:bCs/>
          <w:iCs/>
          <w:lang w:val="es-ES" w:eastAsia="es-ES"/>
        </w:rPr>
        <w:t xml:space="preserve">. </w:t>
      </w:r>
      <w:r w:rsidRPr="00821320">
        <w:rPr>
          <w:rFonts w:ascii="Verdana" w:hAnsi="Verdana" w:cs="Arial"/>
          <w:bCs/>
        </w:rPr>
        <w:t>Vigencia 2022. Sector Educación. Municipio</w:t>
      </w:r>
      <w:r w:rsidRPr="00821320">
        <w:rPr>
          <w:rFonts w:ascii="Verdana" w:hAnsi="Verdana" w:cs="Arial"/>
        </w:rPr>
        <w:t xml:space="preserve"> de Yopal. Serie </w:t>
      </w:r>
      <w:r w:rsidRPr="00821320">
        <w:rPr>
          <w:rFonts w:ascii="Verdana" w:hAnsi="Verdana" w:cs="Arial"/>
          <w:i/>
        </w:rPr>
        <w:t>“Historial de Seguimiento y Control a los Recursos del Sistema General de Participaciones-Ejecución y Seguimiento”</w:t>
      </w:r>
      <w:r w:rsidRPr="00821320">
        <w:rPr>
          <w:rFonts w:ascii="Verdana" w:hAnsi="Verdana" w:cs="Arial"/>
        </w:rPr>
        <w:t xml:space="preserve">. Expediente digital No. </w:t>
      </w:r>
      <w:r w:rsidRPr="00821320">
        <w:rPr>
          <w:rFonts w:ascii="Verdana" w:hAnsi="Verdana" w:cs="Arial"/>
          <w:lang w:val="es-ES"/>
        </w:rPr>
        <w:t>44/2019/D028-PREDI.</w:t>
      </w:r>
      <w:r w:rsidRPr="00821320">
        <w:rPr>
          <w:rFonts w:ascii="Verdana" w:hAnsi="Verdana" w:cs="Arial"/>
        </w:rPr>
        <w:t xml:space="preserve"> Enlace:</w:t>
      </w:r>
      <w:r w:rsidRPr="00821320">
        <w:rPr>
          <w:rFonts w:ascii="Verdana" w:hAnsi="Verdana" w:eastAsia="Times New Roman" w:cs="Times New Roman"/>
          <w:color w:val="273144"/>
          <w:lang w:eastAsia="es-CO"/>
        </w:rPr>
        <w:t xml:space="preserve"> </w:t>
      </w:r>
      <w:hyperlink w:history="1" r:id="rId35">
        <w:r w:rsidRPr="00821320">
          <w:rPr>
            <w:rStyle w:val="Hipervnculo"/>
            <w:rFonts w:ascii="Verdana" w:hAnsi="Verdana"/>
          </w:rPr>
          <w:t xml:space="preserve">eSigna </w:t>
        </w:r>
        <w:proofErr w:type="spellStart"/>
        <w:r w:rsidRPr="00821320">
          <w:rPr>
            <w:rStyle w:val="Hipervnculo"/>
            <w:rFonts w:ascii="Verdana" w:hAnsi="Verdana"/>
          </w:rPr>
          <w:t>DocumentViewer</w:t>
        </w:r>
        <w:proofErr w:type="spellEnd"/>
        <w:r w:rsidRPr="00821320">
          <w:rPr>
            <w:rStyle w:val="Hipervnculo"/>
            <w:rFonts w:ascii="Verdana" w:hAnsi="Verdana"/>
          </w:rPr>
          <w:t xml:space="preserve"> (</w:t>
        </w:r>
        <w:proofErr w:type="spellStart"/>
        <w:r w:rsidRPr="00821320">
          <w:rPr>
            <w:rStyle w:val="Hipervnculo"/>
            <w:rFonts w:ascii="Verdana" w:hAnsi="Verdana"/>
          </w:rPr>
          <w:t>minhacienda.red</w:t>
        </w:r>
        <w:proofErr w:type="spellEnd"/>
        <w:r w:rsidRPr="00821320">
          <w:rPr>
            <w:rStyle w:val="Hipervnculo"/>
            <w:rFonts w:ascii="Verdana" w:hAnsi="Verdana"/>
          </w:rPr>
          <w:t>)</w:t>
        </w:r>
      </w:hyperlink>
    </w:p>
    <w:p w:rsidRPr="00821320" w:rsidR="00CE200A" w:rsidP="00B412DF" w:rsidRDefault="00CE200A" w14:paraId="7E25A338" w14:textId="77777777">
      <w:pPr>
        <w:pStyle w:val="Sinespaciado"/>
        <w:numPr>
          <w:ilvl w:val="0"/>
          <w:numId w:val="30"/>
        </w:numPr>
        <w:ind w:left="284" w:hanging="284"/>
        <w:jc w:val="both"/>
        <w:rPr>
          <w:rStyle w:val="Hipervnculo"/>
          <w:rFonts w:ascii="Verdana" w:hAnsi="Verdana" w:cs="Arial"/>
          <w:color w:val="auto"/>
          <w:u w:val="none"/>
        </w:rPr>
      </w:pPr>
      <w:r w:rsidRPr="00821320">
        <w:rPr>
          <w:rFonts w:ascii="Verdana" w:hAnsi="Verdana" w:cs="Arial"/>
          <w:bCs/>
          <w:iCs/>
          <w:lang w:val="es-ES" w:eastAsia="es-ES"/>
        </w:rPr>
        <w:t xml:space="preserve">Consulta en el SECOP del Proceso No. </w:t>
      </w:r>
      <w:r w:rsidRPr="00821320">
        <w:rPr>
          <w:rFonts w:ascii="Verdana" w:hAnsi="Verdana" w:cs="Arial"/>
          <w:bCs/>
          <w:shd w:val="clear" w:color="auto" w:fill="FFFFFF"/>
        </w:rPr>
        <w:t>MYCA-MC-039-2022</w:t>
      </w:r>
      <w:r w:rsidRPr="00821320">
        <w:rPr>
          <w:rFonts w:ascii="Verdana" w:hAnsi="Verdana" w:cs="Arial"/>
          <w:bCs/>
          <w:iCs/>
          <w:lang w:val="es-ES" w:eastAsia="es-ES"/>
        </w:rPr>
        <w:t xml:space="preserve">. </w:t>
      </w:r>
      <w:r w:rsidRPr="00821320">
        <w:rPr>
          <w:rFonts w:ascii="Verdana" w:hAnsi="Verdana" w:cs="Arial"/>
          <w:bCs/>
        </w:rPr>
        <w:t>Vigencia 2022. Sector Educación. Municipio</w:t>
      </w:r>
      <w:r w:rsidRPr="00821320">
        <w:rPr>
          <w:rFonts w:ascii="Verdana" w:hAnsi="Verdana" w:cs="Arial"/>
        </w:rPr>
        <w:t xml:space="preserve"> de Yopal. Serie </w:t>
      </w:r>
      <w:r w:rsidRPr="00821320">
        <w:rPr>
          <w:rFonts w:ascii="Verdana" w:hAnsi="Verdana" w:cs="Arial"/>
          <w:i/>
        </w:rPr>
        <w:t>“Historial de Seguimiento y Control a los Recursos del Sistema General de Participaciones-Ejecución y Seguimiento”</w:t>
      </w:r>
      <w:r w:rsidRPr="00821320">
        <w:rPr>
          <w:rFonts w:ascii="Verdana" w:hAnsi="Verdana" w:cs="Arial"/>
        </w:rPr>
        <w:t xml:space="preserve">. Expediente digital No. </w:t>
      </w:r>
      <w:r w:rsidRPr="00821320">
        <w:rPr>
          <w:rFonts w:ascii="Verdana" w:hAnsi="Verdana" w:cs="Arial"/>
          <w:lang w:val="es-ES"/>
        </w:rPr>
        <w:t>44/2019/D028-PREDI.</w:t>
      </w:r>
      <w:r w:rsidRPr="00821320">
        <w:rPr>
          <w:rFonts w:ascii="Verdana" w:hAnsi="Verdana" w:cs="Arial"/>
        </w:rPr>
        <w:t xml:space="preserve"> Enlace: </w:t>
      </w:r>
      <w:hyperlink w:history="1" r:id="rId36">
        <w:r w:rsidRPr="00821320">
          <w:rPr>
            <w:rStyle w:val="Hipervnculo"/>
            <w:rFonts w:ascii="Verdana" w:hAnsi="Verdana"/>
          </w:rPr>
          <w:t xml:space="preserve">eSigna </w:t>
        </w:r>
        <w:proofErr w:type="spellStart"/>
        <w:r w:rsidRPr="00821320">
          <w:rPr>
            <w:rStyle w:val="Hipervnculo"/>
            <w:rFonts w:ascii="Verdana" w:hAnsi="Verdana"/>
          </w:rPr>
          <w:t>DocumentViewer</w:t>
        </w:r>
        <w:proofErr w:type="spellEnd"/>
        <w:r w:rsidRPr="00821320">
          <w:rPr>
            <w:rStyle w:val="Hipervnculo"/>
            <w:rFonts w:ascii="Verdana" w:hAnsi="Verdana"/>
          </w:rPr>
          <w:t xml:space="preserve"> (</w:t>
        </w:r>
        <w:proofErr w:type="spellStart"/>
        <w:r w:rsidRPr="00821320">
          <w:rPr>
            <w:rStyle w:val="Hipervnculo"/>
            <w:rFonts w:ascii="Verdana" w:hAnsi="Verdana"/>
          </w:rPr>
          <w:t>minhacienda.red</w:t>
        </w:r>
        <w:proofErr w:type="spellEnd"/>
        <w:r w:rsidRPr="00821320">
          <w:rPr>
            <w:rStyle w:val="Hipervnculo"/>
            <w:rFonts w:ascii="Verdana" w:hAnsi="Verdana"/>
          </w:rPr>
          <w:t>)</w:t>
        </w:r>
      </w:hyperlink>
    </w:p>
    <w:p w:rsidRPr="00821320" w:rsidR="00857CA1" w:rsidP="00B412DF" w:rsidRDefault="00857CA1" w14:paraId="04F3A49E" w14:textId="77777777">
      <w:pPr>
        <w:pStyle w:val="Sinespaciado"/>
        <w:numPr>
          <w:ilvl w:val="0"/>
          <w:numId w:val="30"/>
        </w:numPr>
        <w:ind w:left="284" w:hanging="284"/>
        <w:jc w:val="both"/>
        <w:rPr>
          <w:rFonts w:ascii="Verdana" w:hAnsi="Verdana" w:cs="Arial"/>
        </w:rPr>
      </w:pPr>
      <w:r w:rsidRPr="00821320">
        <w:rPr>
          <w:rFonts w:ascii="Verdana" w:hAnsi="Verdana" w:cs="Arial"/>
          <w:bCs/>
          <w:iCs/>
          <w:lang w:val="es-ES" w:eastAsia="es-ES"/>
        </w:rPr>
        <w:t xml:space="preserve">Consulta en el SECOP del Proceso No. </w:t>
      </w:r>
      <w:r w:rsidRPr="00821320">
        <w:rPr>
          <w:rFonts w:ascii="Verdana" w:hAnsi="Verdana" w:cs="Arial"/>
          <w:bCs/>
          <w:shd w:val="clear" w:color="auto" w:fill="FFFFFF"/>
        </w:rPr>
        <w:t>MYCA-SED-CD-054-2023</w:t>
      </w:r>
      <w:r w:rsidRPr="00821320">
        <w:rPr>
          <w:rFonts w:ascii="Verdana" w:hAnsi="Verdana" w:cs="Arial"/>
          <w:bCs/>
          <w:iCs/>
          <w:lang w:val="es-ES" w:eastAsia="es-ES"/>
        </w:rPr>
        <w:t xml:space="preserve">. </w:t>
      </w:r>
      <w:r w:rsidRPr="00821320">
        <w:rPr>
          <w:rFonts w:ascii="Verdana" w:hAnsi="Verdana" w:cs="Arial"/>
          <w:bCs/>
        </w:rPr>
        <w:t>Vigencia 2023. Sector Educación. Municipio</w:t>
      </w:r>
      <w:r w:rsidRPr="00821320">
        <w:rPr>
          <w:rFonts w:ascii="Verdana" w:hAnsi="Verdana" w:cs="Arial"/>
        </w:rPr>
        <w:t xml:space="preserve"> de Yopal. Serie </w:t>
      </w:r>
      <w:r w:rsidRPr="00821320">
        <w:rPr>
          <w:rFonts w:ascii="Verdana" w:hAnsi="Verdana" w:cs="Arial"/>
          <w:i/>
        </w:rPr>
        <w:t>“Historial de Seguimiento y Control a los Recursos del Sistema General de Participaciones-Ejecución y Seguimiento”</w:t>
      </w:r>
      <w:r w:rsidRPr="00821320">
        <w:rPr>
          <w:rFonts w:ascii="Verdana" w:hAnsi="Verdana" w:cs="Arial"/>
        </w:rPr>
        <w:t xml:space="preserve">. Expediente digital No. </w:t>
      </w:r>
      <w:r w:rsidRPr="00821320">
        <w:rPr>
          <w:rFonts w:ascii="Verdana" w:hAnsi="Verdana" w:cs="Arial"/>
          <w:lang w:val="es-ES"/>
        </w:rPr>
        <w:t>44/2019/D028-PREDI.</w:t>
      </w:r>
      <w:r w:rsidRPr="00821320">
        <w:rPr>
          <w:rFonts w:ascii="Verdana" w:hAnsi="Verdana" w:cs="Arial"/>
        </w:rPr>
        <w:t xml:space="preserve"> Enlace: </w:t>
      </w:r>
      <w:hyperlink w:history="1" r:id="rId37">
        <w:r w:rsidRPr="00821320">
          <w:rPr>
            <w:rStyle w:val="Hipervnculo"/>
            <w:rFonts w:ascii="Verdana" w:hAnsi="Verdana"/>
          </w:rPr>
          <w:t xml:space="preserve">eSigna </w:t>
        </w:r>
        <w:proofErr w:type="spellStart"/>
        <w:r w:rsidRPr="00821320">
          <w:rPr>
            <w:rStyle w:val="Hipervnculo"/>
            <w:rFonts w:ascii="Verdana" w:hAnsi="Verdana"/>
          </w:rPr>
          <w:t>DocumentViewer</w:t>
        </w:r>
        <w:proofErr w:type="spellEnd"/>
        <w:r w:rsidRPr="00821320">
          <w:rPr>
            <w:rStyle w:val="Hipervnculo"/>
            <w:rFonts w:ascii="Verdana" w:hAnsi="Verdana"/>
          </w:rPr>
          <w:t xml:space="preserve"> (</w:t>
        </w:r>
        <w:proofErr w:type="spellStart"/>
        <w:r w:rsidRPr="00821320">
          <w:rPr>
            <w:rStyle w:val="Hipervnculo"/>
            <w:rFonts w:ascii="Verdana" w:hAnsi="Verdana"/>
          </w:rPr>
          <w:t>minhacienda.red</w:t>
        </w:r>
        <w:proofErr w:type="spellEnd"/>
        <w:r w:rsidRPr="00821320">
          <w:rPr>
            <w:rStyle w:val="Hipervnculo"/>
            <w:rFonts w:ascii="Verdana" w:hAnsi="Verdana"/>
          </w:rPr>
          <w:t>)</w:t>
        </w:r>
      </w:hyperlink>
    </w:p>
    <w:p w:rsidRPr="00821320" w:rsidR="00857CA1" w:rsidP="00B412DF" w:rsidRDefault="00857CA1" w14:paraId="11FEEBE3" w14:textId="77777777">
      <w:pPr>
        <w:pStyle w:val="Sinespaciado"/>
        <w:numPr>
          <w:ilvl w:val="0"/>
          <w:numId w:val="30"/>
        </w:numPr>
        <w:ind w:left="284" w:hanging="284"/>
        <w:jc w:val="both"/>
        <w:rPr>
          <w:rFonts w:ascii="Verdana" w:hAnsi="Verdana" w:cs="Arial"/>
        </w:rPr>
      </w:pPr>
      <w:r w:rsidRPr="00821320">
        <w:rPr>
          <w:rFonts w:ascii="Verdana" w:hAnsi="Verdana" w:cs="Arial"/>
          <w:bCs/>
          <w:iCs/>
          <w:lang w:val="es-ES" w:eastAsia="es-ES"/>
        </w:rPr>
        <w:lastRenderedPageBreak/>
        <w:t xml:space="preserve">Consulta en el SECOP del Proceso No. </w:t>
      </w:r>
      <w:r w:rsidRPr="00821320">
        <w:rPr>
          <w:rFonts w:ascii="Verdana" w:hAnsi="Verdana" w:cs="Arial"/>
          <w:bCs/>
          <w:shd w:val="clear" w:color="auto" w:fill="FFFFFF"/>
        </w:rPr>
        <w:t>MYCA-SED-CD-083-2023</w:t>
      </w:r>
      <w:r w:rsidRPr="00821320">
        <w:rPr>
          <w:rFonts w:ascii="Verdana" w:hAnsi="Verdana" w:cs="Arial"/>
          <w:bCs/>
          <w:iCs/>
          <w:lang w:val="es-ES" w:eastAsia="es-ES"/>
        </w:rPr>
        <w:t xml:space="preserve">. </w:t>
      </w:r>
      <w:r w:rsidRPr="00821320">
        <w:rPr>
          <w:rFonts w:ascii="Verdana" w:hAnsi="Verdana" w:cs="Arial"/>
          <w:bCs/>
        </w:rPr>
        <w:t>Vigencia 2023. Sector Educación. Municipio</w:t>
      </w:r>
      <w:r w:rsidRPr="00821320">
        <w:rPr>
          <w:rFonts w:ascii="Verdana" w:hAnsi="Verdana" w:cs="Arial"/>
        </w:rPr>
        <w:t xml:space="preserve"> de Yopal. Serie </w:t>
      </w:r>
      <w:r w:rsidRPr="00821320">
        <w:rPr>
          <w:rFonts w:ascii="Verdana" w:hAnsi="Verdana" w:cs="Arial"/>
          <w:i/>
        </w:rPr>
        <w:t>“Historial de Seguimiento y Control a los Recursos del Sistema General de Participaciones-Ejecución y Seguimiento”</w:t>
      </w:r>
      <w:r w:rsidRPr="00821320">
        <w:rPr>
          <w:rFonts w:ascii="Verdana" w:hAnsi="Verdana" w:cs="Arial"/>
        </w:rPr>
        <w:t xml:space="preserve">. Expediente digital No. </w:t>
      </w:r>
      <w:r w:rsidRPr="00821320">
        <w:rPr>
          <w:rFonts w:ascii="Verdana" w:hAnsi="Verdana" w:cs="Arial"/>
          <w:lang w:val="es-ES"/>
        </w:rPr>
        <w:t>44/2019/D028-PREDI.</w:t>
      </w:r>
      <w:r w:rsidRPr="00821320">
        <w:rPr>
          <w:rFonts w:ascii="Verdana" w:hAnsi="Verdana" w:cs="Arial"/>
        </w:rPr>
        <w:t xml:space="preserve"> Enlace: </w:t>
      </w:r>
      <w:hyperlink w:history="1" r:id="rId38">
        <w:r w:rsidRPr="00821320">
          <w:rPr>
            <w:rStyle w:val="Hipervnculo"/>
            <w:rFonts w:ascii="Verdana" w:hAnsi="Verdana"/>
          </w:rPr>
          <w:t xml:space="preserve">eSigna </w:t>
        </w:r>
        <w:proofErr w:type="spellStart"/>
        <w:r w:rsidRPr="00821320">
          <w:rPr>
            <w:rStyle w:val="Hipervnculo"/>
            <w:rFonts w:ascii="Verdana" w:hAnsi="Verdana"/>
          </w:rPr>
          <w:t>DocumentViewer</w:t>
        </w:r>
        <w:proofErr w:type="spellEnd"/>
        <w:r w:rsidRPr="00821320">
          <w:rPr>
            <w:rStyle w:val="Hipervnculo"/>
            <w:rFonts w:ascii="Verdana" w:hAnsi="Verdana"/>
          </w:rPr>
          <w:t xml:space="preserve"> (</w:t>
        </w:r>
        <w:proofErr w:type="spellStart"/>
        <w:r w:rsidRPr="00821320">
          <w:rPr>
            <w:rStyle w:val="Hipervnculo"/>
            <w:rFonts w:ascii="Verdana" w:hAnsi="Verdana"/>
          </w:rPr>
          <w:t>minhacienda.red</w:t>
        </w:r>
        <w:proofErr w:type="spellEnd"/>
        <w:r w:rsidRPr="00821320">
          <w:rPr>
            <w:rStyle w:val="Hipervnculo"/>
            <w:rFonts w:ascii="Verdana" w:hAnsi="Verdana"/>
          </w:rPr>
          <w:t>)</w:t>
        </w:r>
      </w:hyperlink>
    </w:p>
    <w:p w:rsidRPr="00821320" w:rsidR="00857CA1" w:rsidP="00B412DF" w:rsidRDefault="00857CA1" w14:paraId="7BAC1690" w14:textId="77777777">
      <w:pPr>
        <w:pStyle w:val="Sinespaciado"/>
        <w:numPr>
          <w:ilvl w:val="0"/>
          <w:numId w:val="30"/>
        </w:numPr>
        <w:ind w:left="284" w:hanging="284"/>
        <w:jc w:val="both"/>
        <w:rPr>
          <w:rFonts w:ascii="Verdana" w:hAnsi="Verdana" w:cs="Arial"/>
        </w:rPr>
      </w:pPr>
      <w:r w:rsidRPr="00821320">
        <w:rPr>
          <w:rFonts w:ascii="Verdana" w:hAnsi="Verdana" w:cs="Arial"/>
          <w:bCs/>
          <w:iCs/>
          <w:lang w:val="es-ES" w:eastAsia="es-ES"/>
        </w:rPr>
        <w:t xml:space="preserve">Consulta en el SECOP del Proceso No. </w:t>
      </w:r>
      <w:r w:rsidRPr="00821320">
        <w:rPr>
          <w:rFonts w:ascii="Verdana" w:hAnsi="Verdana" w:cs="Arial"/>
          <w:bCs/>
          <w:shd w:val="clear" w:color="auto" w:fill="FFFFFF"/>
        </w:rPr>
        <w:t>MYCA-SED-MC-056-2023</w:t>
      </w:r>
      <w:r w:rsidRPr="00821320">
        <w:rPr>
          <w:rFonts w:ascii="Verdana" w:hAnsi="Verdana" w:cs="Arial"/>
          <w:bCs/>
          <w:iCs/>
          <w:lang w:val="es-ES" w:eastAsia="es-ES"/>
        </w:rPr>
        <w:t xml:space="preserve">. </w:t>
      </w:r>
      <w:r w:rsidRPr="00821320">
        <w:rPr>
          <w:rFonts w:ascii="Verdana" w:hAnsi="Verdana" w:cs="Arial"/>
          <w:bCs/>
        </w:rPr>
        <w:t>Vigencia 2022. Sector Educación. Municipio</w:t>
      </w:r>
      <w:r w:rsidRPr="00821320">
        <w:rPr>
          <w:rFonts w:ascii="Verdana" w:hAnsi="Verdana" w:cs="Arial"/>
        </w:rPr>
        <w:t xml:space="preserve"> de Yopal. Serie </w:t>
      </w:r>
      <w:r w:rsidRPr="00821320">
        <w:rPr>
          <w:rFonts w:ascii="Verdana" w:hAnsi="Verdana" w:cs="Arial"/>
          <w:i/>
        </w:rPr>
        <w:t>“Historial de Seguimiento y Control a los Recursos del Sistema General de Participaciones-Ejecución y Seguimiento”</w:t>
      </w:r>
      <w:r w:rsidRPr="00821320">
        <w:rPr>
          <w:rFonts w:ascii="Verdana" w:hAnsi="Verdana" w:cs="Arial"/>
        </w:rPr>
        <w:t xml:space="preserve">. Expediente digital No. </w:t>
      </w:r>
      <w:r w:rsidRPr="00821320">
        <w:rPr>
          <w:rFonts w:ascii="Verdana" w:hAnsi="Verdana" w:cs="Arial"/>
          <w:lang w:val="es-ES"/>
        </w:rPr>
        <w:t>44/2019/D028-PREDI.</w:t>
      </w:r>
      <w:r w:rsidRPr="00821320">
        <w:rPr>
          <w:rFonts w:ascii="Verdana" w:hAnsi="Verdana" w:cs="Arial"/>
        </w:rPr>
        <w:t xml:space="preserve"> Enlace: </w:t>
      </w:r>
      <w:hyperlink w:history="1" r:id="rId39">
        <w:r w:rsidRPr="00821320">
          <w:rPr>
            <w:rStyle w:val="Hipervnculo"/>
            <w:rFonts w:ascii="Verdana" w:hAnsi="Verdana"/>
          </w:rPr>
          <w:t xml:space="preserve">eSigna </w:t>
        </w:r>
        <w:proofErr w:type="spellStart"/>
        <w:r w:rsidRPr="00821320">
          <w:rPr>
            <w:rStyle w:val="Hipervnculo"/>
            <w:rFonts w:ascii="Verdana" w:hAnsi="Verdana"/>
          </w:rPr>
          <w:t>DocumentViewer</w:t>
        </w:r>
        <w:proofErr w:type="spellEnd"/>
        <w:r w:rsidRPr="00821320">
          <w:rPr>
            <w:rStyle w:val="Hipervnculo"/>
            <w:rFonts w:ascii="Verdana" w:hAnsi="Verdana"/>
          </w:rPr>
          <w:t xml:space="preserve"> (</w:t>
        </w:r>
        <w:proofErr w:type="spellStart"/>
        <w:r w:rsidRPr="00821320">
          <w:rPr>
            <w:rStyle w:val="Hipervnculo"/>
            <w:rFonts w:ascii="Verdana" w:hAnsi="Verdana"/>
          </w:rPr>
          <w:t>minhacienda.red</w:t>
        </w:r>
        <w:proofErr w:type="spellEnd"/>
        <w:r w:rsidRPr="00821320">
          <w:rPr>
            <w:rStyle w:val="Hipervnculo"/>
            <w:rFonts w:ascii="Verdana" w:hAnsi="Verdana"/>
          </w:rPr>
          <w:t>)</w:t>
        </w:r>
      </w:hyperlink>
    </w:p>
    <w:p w:rsidRPr="00821320" w:rsidR="00CE200A" w:rsidP="00B412DF" w:rsidRDefault="00CE200A" w14:paraId="13EA8DDF" w14:textId="77777777">
      <w:pPr>
        <w:pStyle w:val="Sinespaciado"/>
        <w:ind w:left="360"/>
        <w:jc w:val="both"/>
        <w:rPr>
          <w:rFonts w:ascii="Verdana" w:hAnsi="Verdana" w:cs="Arial"/>
          <w:bCs/>
          <w:iCs/>
          <w:lang w:val="es-ES_tradnl" w:eastAsia="es-ES"/>
        </w:rPr>
      </w:pPr>
    </w:p>
    <w:p w:rsidRPr="00821320" w:rsidR="00FE367E" w:rsidP="00B412DF" w:rsidRDefault="00FE367E" w14:paraId="28516BB8" w14:textId="77777777">
      <w:pPr>
        <w:pStyle w:val="Ttulo2"/>
        <w:spacing w:before="0"/>
        <w:contextualSpacing/>
        <w:jc w:val="both"/>
        <w:rPr>
          <w:rFonts w:ascii="Verdana" w:hAnsi="Verdana" w:cs="Arial"/>
          <w:b/>
          <w:sz w:val="22"/>
          <w:szCs w:val="22"/>
        </w:rPr>
      </w:pPr>
      <w:r w:rsidRPr="00821320">
        <w:rPr>
          <w:rFonts w:ascii="Verdana" w:hAnsi="Verdana" w:cs="Arial"/>
          <w:b/>
          <w:bCs/>
          <w:color w:val="auto"/>
          <w:sz w:val="22"/>
          <w:szCs w:val="22"/>
        </w:rPr>
        <w:t xml:space="preserve">EVENTO DE RIESGO 9.17 </w:t>
      </w:r>
      <w:r w:rsidRPr="00821320">
        <w:rPr>
          <w:rFonts w:ascii="Verdana" w:hAnsi="Verdana" w:cs="Arial"/>
          <w:b/>
          <w:bCs/>
          <w:iCs/>
          <w:color w:val="auto"/>
          <w:sz w:val="22"/>
          <w:szCs w:val="22"/>
        </w:rPr>
        <w:t>“</w:t>
      </w:r>
      <w:r w:rsidRPr="00821320">
        <w:rPr>
          <w:rFonts w:ascii="Verdana" w:hAnsi="Verdana" w:cs="Arial"/>
          <w:b/>
          <w:bCs/>
          <w:i/>
          <w:color w:val="auto"/>
          <w:sz w:val="22"/>
          <w:szCs w:val="22"/>
        </w:rPr>
        <w:t>Suscripción, modificación o ejecución de contratos cuyo objeto o actividades contractuales no aseguren la prestación del servicio en las condiciones definidas por la normatividad vigente, no cumplan con los fines para los cuales están destinados los recursos, o no aseguren el cumplimiento de metas de continuidad, cobertura y calidad en los servicios</w:t>
      </w:r>
      <w:r w:rsidRPr="00821320">
        <w:rPr>
          <w:rFonts w:ascii="Verdana" w:hAnsi="Verdana" w:cs="Arial"/>
          <w:b/>
          <w:bCs/>
          <w:iCs/>
          <w:color w:val="auto"/>
          <w:sz w:val="22"/>
          <w:szCs w:val="22"/>
        </w:rPr>
        <w:t>”.</w:t>
      </w:r>
    </w:p>
    <w:p w:rsidRPr="00821320" w:rsidR="00FE367E" w:rsidP="00B412DF" w:rsidRDefault="00FE367E" w14:paraId="569E452A" w14:textId="77777777">
      <w:pPr>
        <w:pStyle w:val="Sinespaciado"/>
        <w:jc w:val="both"/>
        <w:rPr>
          <w:rFonts w:ascii="Verdana" w:hAnsi="Verdana" w:cs="Arial"/>
          <w:bCs/>
          <w:iCs/>
          <w:lang w:eastAsia="es-ES"/>
        </w:rPr>
      </w:pPr>
    </w:p>
    <w:p w:rsidRPr="00821320" w:rsidR="00FE367E" w:rsidP="00357DFD" w:rsidRDefault="00FE367E" w14:paraId="10D03580" w14:textId="77777777">
      <w:pPr>
        <w:pStyle w:val="Ttulo3"/>
        <w:spacing w:before="0"/>
        <w:contextualSpacing/>
        <w:jc w:val="both"/>
        <w:rPr>
          <w:rFonts w:ascii="Verdana" w:hAnsi="Verdana" w:eastAsia="Calibri" w:cs="Arial"/>
          <w:b/>
          <w:color w:val="auto"/>
          <w:sz w:val="22"/>
          <w:szCs w:val="22"/>
          <w:lang w:val="es-CO" w:eastAsia="en-US"/>
        </w:rPr>
      </w:pPr>
      <w:r w:rsidRPr="00821320">
        <w:rPr>
          <w:rFonts w:ascii="Verdana" w:hAnsi="Verdana" w:eastAsia="Calibri" w:cs="Arial"/>
          <w:b/>
          <w:color w:val="auto"/>
          <w:sz w:val="22"/>
          <w:szCs w:val="22"/>
          <w:lang w:val="es-CO" w:eastAsia="en-US"/>
        </w:rPr>
        <w:t>Entrega extemporánea de la dotación Ley 70 de 1988</w:t>
      </w:r>
      <w:r w:rsidRPr="00821320" w:rsidR="004A1831">
        <w:rPr>
          <w:rFonts w:ascii="Verdana" w:hAnsi="Verdana" w:eastAsia="Calibri" w:cs="Arial"/>
          <w:b/>
          <w:color w:val="auto"/>
          <w:sz w:val="22"/>
          <w:szCs w:val="22"/>
          <w:lang w:val="es-CO" w:eastAsia="en-US"/>
        </w:rPr>
        <w:t>.</w:t>
      </w:r>
    </w:p>
    <w:p w:rsidRPr="00821320" w:rsidR="00FE367E" w:rsidP="00B412DF" w:rsidRDefault="00FE367E" w14:paraId="1EA12FCA" w14:textId="77777777">
      <w:pPr>
        <w:jc w:val="both"/>
        <w:rPr>
          <w:rFonts w:ascii="Verdana" w:hAnsi="Verdana" w:cs="Arial" w:eastAsiaTheme="minorHAnsi"/>
          <w:sz w:val="22"/>
          <w:szCs w:val="22"/>
          <w:lang w:val="es-CO" w:eastAsia="en-US"/>
        </w:rPr>
      </w:pPr>
    </w:p>
    <w:p w:rsidRPr="00821320" w:rsidR="00FE367E" w:rsidP="00B412DF" w:rsidRDefault="00FE367E" w14:paraId="28B32C61" w14:textId="77777777">
      <w:pPr>
        <w:jc w:val="both"/>
        <w:rPr>
          <w:rFonts w:ascii="Verdana" w:hAnsi="Verdana" w:cs="Arial"/>
          <w:sz w:val="22"/>
          <w:szCs w:val="22"/>
        </w:rPr>
      </w:pPr>
      <w:r w:rsidRPr="00821320">
        <w:rPr>
          <w:rFonts w:ascii="Verdana" w:hAnsi="Verdana" w:cs="Arial"/>
          <w:sz w:val="22"/>
          <w:szCs w:val="22"/>
        </w:rPr>
        <w:t xml:space="preserve">La dotación es el derecho a recibir de forma material calzado y vestido apropiado para las labores que desempeñen los empleados públicos del nivel territorial del Sector Educación que devenguen una remuneración mensual inferior a dos veces el salario mínimo legal mensual vigente a partir de la expedición del Decreto 1919 de 2002, en los términos previstos en la Ley 70 de 1988 y el Decreto reglamentario 1978 de 1989. </w:t>
      </w:r>
    </w:p>
    <w:p w:rsidRPr="00821320" w:rsidR="00FE367E" w:rsidP="00B412DF" w:rsidRDefault="00FE367E" w14:paraId="7CBA5077" w14:textId="77777777">
      <w:pPr>
        <w:jc w:val="both"/>
        <w:rPr>
          <w:rFonts w:ascii="Verdana" w:hAnsi="Verdana" w:cs="Arial"/>
          <w:sz w:val="22"/>
          <w:szCs w:val="22"/>
        </w:rPr>
      </w:pPr>
    </w:p>
    <w:p w:rsidRPr="00821320" w:rsidR="00FE367E" w:rsidP="00B412DF" w:rsidRDefault="00FE367E" w14:paraId="12ADCD29" w14:textId="77777777">
      <w:pPr>
        <w:jc w:val="both"/>
        <w:rPr>
          <w:rFonts w:ascii="Verdana" w:hAnsi="Verdana" w:cs="Arial"/>
          <w:sz w:val="22"/>
          <w:szCs w:val="22"/>
        </w:rPr>
      </w:pPr>
      <w:r w:rsidRPr="00821320">
        <w:rPr>
          <w:rFonts w:ascii="Verdana" w:hAnsi="Verdana" w:cs="Arial"/>
          <w:sz w:val="22"/>
          <w:szCs w:val="22"/>
        </w:rPr>
        <w:t>Para lo cual, el Ministerio de Educación Nacional en virtud del artículo 15 de la Ley 715 de 2001 gira mensualmente los recursos del Sistema General de Participaciones del Sector Educación en el componente Prestación del Servicio para el pago de personal docente y administrativo de las instituciones educativas públicas y las contribuciones inherentes a la nómina y sus prestaciones sociales, con lo cual se debe financiar entre otros conceptos la dotación para los empleados públicos del nivel territorial que adquieran el derecho. Al respecto el Ministerio de Educación Nacional mediante la Directiva 04 de 2003 señaló:</w:t>
      </w:r>
    </w:p>
    <w:p w:rsidRPr="00821320" w:rsidR="00FE367E" w:rsidP="00B412DF" w:rsidRDefault="00FE367E" w14:paraId="30A44EF9" w14:textId="77777777">
      <w:pPr>
        <w:jc w:val="both"/>
        <w:rPr>
          <w:rFonts w:ascii="Verdana" w:hAnsi="Verdana" w:cs="Arial"/>
          <w:sz w:val="22"/>
          <w:szCs w:val="22"/>
        </w:rPr>
      </w:pPr>
      <w:r w:rsidRPr="00821320">
        <w:rPr>
          <w:rFonts w:ascii="Verdana" w:hAnsi="Verdana" w:cs="Arial"/>
          <w:sz w:val="22"/>
          <w:szCs w:val="22"/>
        </w:rPr>
        <w:t xml:space="preserve"> </w:t>
      </w:r>
    </w:p>
    <w:p w:rsidRPr="00821320" w:rsidR="00FE367E" w:rsidP="00B412DF" w:rsidRDefault="00FE367E" w14:paraId="2A767F53" w14:textId="77777777">
      <w:pPr>
        <w:ind w:left="567"/>
        <w:jc w:val="both"/>
        <w:rPr>
          <w:rFonts w:ascii="Verdana" w:hAnsi="Verdana" w:cs="Arial"/>
          <w:i/>
          <w:iCs/>
          <w:sz w:val="18"/>
          <w:szCs w:val="18"/>
        </w:rPr>
      </w:pPr>
      <w:r w:rsidRPr="00821320">
        <w:rPr>
          <w:rFonts w:ascii="Verdana" w:hAnsi="Verdana" w:cs="Arial"/>
          <w:i/>
          <w:iCs/>
          <w:sz w:val="18"/>
          <w:szCs w:val="18"/>
        </w:rPr>
        <w:t xml:space="preserve">“Los Departamentos y municipios certificados, con los recursos que se giran mensualmente para prestación de servicios, deberán hacer las respectivas reservas y provisiones para las prestaciones sociales que no son de exigibilidad mensual, tales como: primas de vacaciones, de navidad y dotación del personal docente y administrativo según Ley 70 de 1988”. </w:t>
      </w:r>
    </w:p>
    <w:p w:rsidRPr="00821320" w:rsidR="00FE367E" w:rsidP="00B412DF" w:rsidRDefault="00FE367E" w14:paraId="1EFF56F7" w14:textId="77777777">
      <w:pPr>
        <w:jc w:val="both"/>
        <w:rPr>
          <w:rFonts w:ascii="Verdana" w:hAnsi="Verdana" w:cs="Arial"/>
          <w:sz w:val="22"/>
          <w:szCs w:val="22"/>
        </w:rPr>
      </w:pPr>
    </w:p>
    <w:p w:rsidRPr="00821320" w:rsidR="00FE367E" w:rsidP="00B412DF" w:rsidRDefault="00FE367E" w14:paraId="44B803F8" w14:textId="77777777">
      <w:pPr>
        <w:jc w:val="both"/>
        <w:rPr>
          <w:rFonts w:ascii="Verdana" w:hAnsi="Verdana" w:cs="Arial"/>
          <w:sz w:val="22"/>
          <w:szCs w:val="22"/>
        </w:rPr>
      </w:pPr>
      <w:r w:rsidRPr="00821320">
        <w:rPr>
          <w:rFonts w:ascii="Verdana" w:hAnsi="Verdana" w:cs="Arial"/>
          <w:sz w:val="22"/>
          <w:szCs w:val="22"/>
        </w:rPr>
        <w:t xml:space="preserve">Sobre el particular, la Dirección General de Apoyo Fiscal ha considerado que si las entidades territoriales por falta de planeación y administración del recurso para la entrega del calzado y vestuario conforme la ley, genera deudas por este concepto, estos pasivos no deben ser financiados con recursos excedentes del </w:t>
      </w:r>
      <w:r w:rsidRPr="00821320">
        <w:rPr>
          <w:rFonts w:ascii="Verdana" w:hAnsi="Verdana" w:cs="Arial"/>
          <w:sz w:val="22"/>
          <w:szCs w:val="22"/>
        </w:rPr>
        <w:lastRenderedPageBreak/>
        <w:t xml:space="preserve">Sistema General de Participaciones, ni con cargo a los recursos del Presupuesto General de la Nación, al carecer de fundamento legal y constitucional de acuerdo </w:t>
      </w:r>
      <w:r w:rsidRPr="00821320" w:rsidR="009E447F">
        <w:rPr>
          <w:rFonts w:ascii="Verdana" w:hAnsi="Verdana" w:cs="Arial"/>
          <w:sz w:val="22"/>
          <w:szCs w:val="22"/>
        </w:rPr>
        <w:t xml:space="preserve">con los </w:t>
      </w:r>
      <w:r w:rsidRPr="00821320">
        <w:rPr>
          <w:rFonts w:ascii="Verdana" w:hAnsi="Verdana" w:cs="Arial"/>
          <w:sz w:val="22"/>
          <w:szCs w:val="22"/>
        </w:rPr>
        <w:t>artículo</w:t>
      </w:r>
      <w:r w:rsidRPr="00821320" w:rsidR="009E447F">
        <w:rPr>
          <w:rFonts w:ascii="Verdana" w:hAnsi="Verdana" w:cs="Arial"/>
          <w:sz w:val="22"/>
          <w:szCs w:val="22"/>
        </w:rPr>
        <w:t>s</w:t>
      </w:r>
      <w:r w:rsidRPr="00821320">
        <w:rPr>
          <w:rFonts w:ascii="Verdana" w:hAnsi="Verdana" w:cs="Arial"/>
          <w:sz w:val="22"/>
          <w:szCs w:val="22"/>
        </w:rPr>
        <w:t xml:space="preserve"> 148 de la Ley 1450 de 2011 y </w:t>
      </w:r>
      <w:r w:rsidRPr="00821320" w:rsidR="009E447F">
        <w:rPr>
          <w:rFonts w:ascii="Verdana" w:hAnsi="Verdana" w:cs="Arial"/>
          <w:sz w:val="22"/>
          <w:szCs w:val="22"/>
        </w:rPr>
        <w:t xml:space="preserve">90 </w:t>
      </w:r>
      <w:r w:rsidRPr="00821320">
        <w:rPr>
          <w:rFonts w:ascii="Verdana" w:hAnsi="Verdana" w:cs="Arial"/>
          <w:sz w:val="22"/>
          <w:szCs w:val="22"/>
        </w:rPr>
        <w:t xml:space="preserve">de la ley </w:t>
      </w:r>
      <w:r w:rsidRPr="00821320" w:rsidR="009E447F">
        <w:rPr>
          <w:rFonts w:ascii="Verdana" w:hAnsi="Verdana" w:cs="Arial"/>
          <w:sz w:val="22"/>
          <w:szCs w:val="22"/>
        </w:rPr>
        <w:t xml:space="preserve">2294 </w:t>
      </w:r>
      <w:r w:rsidRPr="00821320">
        <w:rPr>
          <w:rFonts w:ascii="Verdana" w:hAnsi="Verdana" w:cs="Arial"/>
          <w:sz w:val="22"/>
          <w:szCs w:val="22"/>
        </w:rPr>
        <w:t>de 20</w:t>
      </w:r>
      <w:r w:rsidRPr="00821320" w:rsidR="009E447F">
        <w:rPr>
          <w:rFonts w:ascii="Verdana" w:hAnsi="Verdana" w:cs="Arial"/>
          <w:sz w:val="22"/>
          <w:szCs w:val="22"/>
        </w:rPr>
        <w:t>23</w:t>
      </w:r>
      <w:r w:rsidRPr="00821320">
        <w:rPr>
          <w:rFonts w:ascii="Verdana" w:hAnsi="Verdana" w:cs="Arial"/>
          <w:sz w:val="22"/>
          <w:szCs w:val="22"/>
        </w:rPr>
        <w:t>, dado que se originó por la omisión de la entidad territorial que contradijo el ordenamiento jurídico, posición que recogió el Ministerio de Educación Nacional hasta la expedición de la Circular 18 de 2016.</w:t>
      </w:r>
    </w:p>
    <w:p w:rsidRPr="00821320" w:rsidR="00FE367E" w:rsidP="00B412DF" w:rsidRDefault="00FE367E" w14:paraId="627D0A72" w14:textId="77777777">
      <w:pPr>
        <w:jc w:val="both"/>
        <w:rPr>
          <w:rFonts w:ascii="Verdana" w:hAnsi="Verdana" w:cs="Arial"/>
          <w:sz w:val="22"/>
          <w:szCs w:val="22"/>
        </w:rPr>
      </w:pPr>
    </w:p>
    <w:p w:rsidRPr="00821320" w:rsidR="00FE367E" w:rsidP="00B412DF" w:rsidRDefault="00FE367E" w14:paraId="7206B0F2" w14:textId="77777777">
      <w:pPr>
        <w:jc w:val="both"/>
        <w:rPr>
          <w:rFonts w:ascii="Verdana" w:hAnsi="Verdana" w:cs="Arial"/>
          <w:color w:val="000000"/>
          <w:sz w:val="22"/>
          <w:szCs w:val="22"/>
          <w:shd w:val="clear" w:color="auto" w:fill="FFFFFF"/>
        </w:rPr>
      </w:pPr>
      <w:r w:rsidRPr="00821320">
        <w:rPr>
          <w:rFonts w:ascii="Verdana" w:hAnsi="Verdana" w:cs="Arial"/>
          <w:sz w:val="22"/>
          <w:szCs w:val="22"/>
        </w:rPr>
        <w:t>Frente a la entrega de la dotación de la vigencia 2021, en la plataforma SECOP II se evidenci</w:t>
      </w:r>
      <w:r w:rsidRPr="00821320" w:rsidR="009E447F">
        <w:rPr>
          <w:rFonts w:ascii="Verdana" w:hAnsi="Verdana" w:cs="Arial"/>
          <w:sz w:val="22"/>
          <w:szCs w:val="22"/>
        </w:rPr>
        <w:t>ó</w:t>
      </w:r>
      <w:r w:rsidRPr="00821320">
        <w:rPr>
          <w:rFonts w:ascii="Verdana" w:hAnsi="Verdana" w:cs="Arial"/>
          <w:sz w:val="22"/>
          <w:szCs w:val="22"/>
        </w:rPr>
        <w:t xml:space="preserve"> que la Entidad Territorial </w:t>
      </w:r>
      <w:r w:rsidRPr="00821320" w:rsidR="009E447F">
        <w:rPr>
          <w:rFonts w:ascii="Verdana" w:hAnsi="Verdana" w:cs="Arial"/>
          <w:sz w:val="22"/>
          <w:szCs w:val="22"/>
        </w:rPr>
        <w:t xml:space="preserve">suscribió </w:t>
      </w:r>
      <w:r w:rsidRPr="00821320">
        <w:rPr>
          <w:rFonts w:ascii="Verdana" w:hAnsi="Verdana" w:cs="Arial"/>
          <w:sz w:val="22"/>
          <w:szCs w:val="22"/>
        </w:rPr>
        <w:t xml:space="preserve">el contrato No. 2983 del 21 de diciembre de 2021 con el contratista Confecciones </w:t>
      </w:r>
      <w:proofErr w:type="spellStart"/>
      <w:r w:rsidRPr="00821320">
        <w:rPr>
          <w:rFonts w:ascii="Verdana" w:hAnsi="Verdana" w:cs="Arial"/>
          <w:sz w:val="22"/>
          <w:szCs w:val="22"/>
        </w:rPr>
        <w:t>Glazar</w:t>
      </w:r>
      <w:proofErr w:type="spellEnd"/>
      <w:r w:rsidRPr="00821320">
        <w:rPr>
          <w:rFonts w:ascii="Verdana" w:hAnsi="Verdana" w:cs="Arial"/>
          <w:sz w:val="22"/>
          <w:szCs w:val="22"/>
        </w:rPr>
        <w:t xml:space="preserve"> S.A.S, con objeto</w:t>
      </w:r>
      <w:r w:rsidRPr="00821320" w:rsidR="009E447F">
        <w:rPr>
          <w:rFonts w:ascii="Verdana" w:hAnsi="Verdana" w:cs="Arial"/>
          <w:sz w:val="22"/>
          <w:szCs w:val="22"/>
        </w:rPr>
        <w:t>:</w:t>
      </w:r>
      <w:r w:rsidRPr="00821320">
        <w:rPr>
          <w:rFonts w:ascii="Verdana" w:hAnsi="Verdana" w:cs="Arial"/>
          <w:sz w:val="22"/>
          <w:szCs w:val="22"/>
        </w:rPr>
        <w:t xml:space="preserve"> </w:t>
      </w:r>
      <w:r w:rsidRPr="00821320">
        <w:rPr>
          <w:rFonts w:ascii="Verdana" w:hAnsi="Verdana" w:cs="Arial"/>
          <w:i/>
          <w:iCs/>
          <w:sz w:val="22"/>
          <w:szCs w:val="22"/>
        </w:rPr>
        <w:t>“</w:t>
      </w:r>
      <w:r w:rsidRPr="00821320">
        <w:rPr>
          <w:rFonts w:ascii="Verdana" w:hAnsi="Verdana" w:cs="Arial"/>
          <w:i/>
          <w:iCs/>
          <w:sz w:val="22"/>
          <w:szCs w:val="22"/>
          <w:shd w:val="clear" w:color="auto" w:fill="FFFFFF"/>
        </w:rPr>
        <w:t>Dotaciones de vestuario y calzado para el personal docente de la secretaria de educación municipal, correspondientes a las vigencias 2020 y 2021 del Municipio de Yopal</w:t>
      </w:r>
      <w:r w:rsidRPr="00821320">
        <w:rPr>
          <w:rFonts w:ascii="Verdana" w:hAnsi="Verdana" w:cs="Arial"/>
          <w:sz w:val="22"/>
          <w:szCs w:val="22"/>
        </w:rPr>
        <w:t xml:space="preserve">”, por un valor de $45.909.000, </w:t>
      </w:r>
      <w:r w:rsidRPr="00821320">
        <w:rPr>
          <w:rFonts w:ascii="Verdana" w:hAnsi="Verdana" w:cs="Arial"/>
          <w:color w:val="000000"/>
          <w:sz w:val="22"/>
          <w:szCs w:val="22"/>
          <w:shd w:val="clear" w:color="auto" w:fill="FFFFFF"/>
        </w:rPr>
        <w:t>financiados con recursos propios (ICLD) y SGP – Educación Prestación del Servicio Educativo. E</w:t>
      </w:r>
      <w:r w:rsidRPr="00821320">
        <w:rPr>
          <w:rStyle w:val="normaltextrun"/>
          <w:rFonts w:ascii="Verdana" w:hAnsi="Verdana" w:cs="Arial"/>
          <w:color w:val="000000"/>
          <w:sz w:val="22"/>
          <w:szCs w:val="22"/>
          <w:bdr w:val="none" w:color="auto" w:sz="0" w:space="0" w:frame="1"/>
        </w:rPr>
        <w:t xml:space="preserve">l acta de inicio fue suscrita </w:t>
      </w:r>
      <w:r w:rsidRPr="00821320">
        <w:rPr>
          <w:rFonts w:ascii="Verdana" w:hAnsi="Verdana" w:cs="Arial"/>
          <w:color w:val="000000"/>
          <w:sz w:val="22"/>
          <w:szCs w:val="22"/>
          <w:shd w:val="clear" w:color="auto" w:fill="FFFFFF"/>
        </w:rPr>
        <w:t>el 23 de diciembre de 2021 y se pactó un plazo de ejecución de 9 días. A su vez, la fecha de entrada al almacén fue el 29 de diciembre. Al realizar la correspondiente verificación</w:t>
      </w:r>
      <w:r w:rsidRPr="00821320" w:rsidR="009E447F">
        <w:rPr>
          <w:rFonts w:ascii="Verdana" w:hAnsi="Verdana" w:cs="Arial"/>
          <w:color w:val="000000"/>
          <w:sz w:val="22"/>
          <w:szCs w:val="22"/>
          <w:shd w:val="clear" w:color="auto" w:fill="FFFFFF"/>
        </w:rPr>
        <w:t xml:space="preserve"> en la plataforma SECOP </w:t>
      </w:r>
      <w:r w:rsidRPr="00821320">
        <w:rPr>
          <w:rFonts w:ascii="Verdana" w:hAnsi="Verdana" w:cs="Arial"/>
          <w:color w:val="000000"/>
          <w:sz w:val="22"/>
          <w:szCs w:val="22"/>
          <w:shd w:val="clear" w:color="auto" w:fill="FFFFFF"/>
        </w:rPr>
        <w:t>se encontró que la Entidad no publicó las actas de entrega</w:t>
      </w:r>
      <w:r w:rsidRPr="00821320" w:rsidR="009E447F">
        <w:rPr>
          <w:rFonts w:ascii="Verdana" w:hAnsi="Verdana" w:cs="Arial"/>
          <w:color w:val="000000"/>
          <w:sz w:val="22"/>
          <w:szCs w:val="22"/>
          <w:shd w:val="clear" w:color="auto" w:fill="FFFFFF"/>
        </w:rPr>
        <w:t>;</w:t>
      </w:r>
      <w:r w:rsidRPr="00821320">
        <w:rPr>
          <w:rFonts w:ascii="Verdana" w:hAnsi="Verdana" w:cs="Arial"/>
          <w:color w:val="000000"/>
          <w:sz w:val="22"/>
          <w:szCs w:val="22"/>
          <w:shd w:val="clear" w:color="auto" w:fill="FFFFFF"/>
        </w:rPr>
        <w:t xml:space="preserve"> no obstante, el informe de supervisión certifica que </w:t>
      </w:r>
      <w:r w:rsidRPr="00821320" w:rsidR="009E447F">
        <w:rPr>
          <w:rFonts w:ascii="Verdana" w:hAnsi="Verdana" w:cs="Arial"/>
          <w:color w:val="000000"/>
          <w:sz w:val="22"/>
          <w:szCs w:val="22"/>
          <w:shd w:val="clear" w:color="auto" w:fill="FFFFFF"/>
        </w:rPr>
        <w:t xml:space="preserve">ésta se realizó </w:t>
      </w:r>
      <w:r w:rsidRPr="00821320">
        <w:rPr>
          <w:rFonts w:ascii="Verdana" w:hAnsi="Verdana" w:cs="Arial"/>
          <w:color w:val="000000"/>
          <w:sz w:val="22"/>
          <w:szCs w:val="22"/>
          <w:shd w:val="clear" w:color="auto" w:fill="FFFFFF"/>
        </w:rPr>
        <w:t>entre los días 23 y 29 de diciembre de</w:t>
      </w:r>
      <w:r w:rsidRPr="00821320" w:rsidR="009E447F">
        <w:rPr>
          <w:rFonts w:ascii="Verdana" w:hAnsi="Verdana" w:cs="Arial"/>
          <w:color w:val="000000"/>
          <w:sz w:val="22"/>
          <w:szCs w:val="22"/>
          <w:shd w:val="clear" w:color="auto" w:fill="FFFFFF"/>
        </w:rPr>
        <w:t>l mismo año</w:t>
      </w:r>
      <w:r w:rsidRPr="00821320">
        <w:rPr>
          <w:rFonts w:ascii="Verdana" w:hAnsi="Verdana" w:cs="Arial"/>
          <w:color w:val="000000"/>
          <w:sz w:val="22"/>
          <w:szCs w:val="22"/>
          <w:shd w:val="clear" w:color="auto" w:fill="FFFFFF"/>
        </w:rPr>
        <w:t>. En consecuencia, se puede afirmar que las dos primeras entregas de dotación fueron realizadas de manera extemporánea.</w:t>
      </w:r>
    </w:p>
    <w:p w:rsidRPr="00821320" w:rsidR="00FE367E" w:rsidP="00B412DF" w:rsidRDefault="00FE367E" w14:paraId="05BF2596" w14:textId="77777777">
      <w:pPr>
        <w:jc w:val="both"/>
        <w:rPr>
          <w:rFonts w:ascii="Verdana" w:hAnsi="Verdana" w:cs="Arial"/>
          <w:sz w:val="22"/>
          <w:szCs w:val="22"/>
        </w:rPr>
      </w:pPr>
    </w:p>
    <w:p w:rsidRPr="00821320" w:rsidR="00FE367E" w:rsidP="00B412DF" w:rsidRDefault="00FE367E" w14:paraId="11118DBD" w14:textId="77777777">
      <w:pPr>
        <w:jc w:val="both"/>
        <w:rPr>
          <w:rFonts w:ascii="Verdana" w:hAnsi="Verdana" w:cs="Arial"/>
          <w:sz w:val="22"/>
          <w:szCs w:val="22"/>
        </w:rPr>
      </w:pPr>
      <w:r w:rsidRPr="00821320">
        <w:rPr>
          <w:rFonts w:ascii="Verdana" w:hAnsi="Verdana" w:cs="Arial"/>
          <w:sz w:val="22"/>
          <w:szCs w:val="22"/>
        </w:rPr>
        <w:t xml:space="preserve">Ahora bien, para la vigencia 2022, en </w:t>
      </w:r>
      <w:r w:rsidRPr="00821320" w:rsidR="009E447F">
        <w:rPr>
          <w:rFonts w:ascii="Verdana" w:hAnsi="Verdana" w:cs="Arial"/>
          <w:sz w:val="22"/>
          <w:szCs w:val="22"/>
        </w:rPr>
        <w:t xml:space="preserve">la plataforma </w:t>
      </w:r>
      <w:r w:rsidRPr="00821320">
        <w:rPr>
          <w:rFonts w:ascii="Verdana" w:hAnsi="Verdana" w:cs="Arial"/>
          <w:sz w:val="22"/>
          <w:szCs w:val="22"/>
        </w:rPr>
        <w:t>SECOP II se evidenci</w:t>
      </w:r>
      <w:r w:rsidRPr="00821320" w:rsidR="009E447F">
        <w:rPr>
          <w:rFonts w:ascii="Verdana" w:hAnsi="Verdana" w:cs="Arial"/>
          <w:sz w:val="22"/>
          <w:szCs w:val="22"/>
        </w:rPr>
        <w:t>ó</w:t>
      </w:r>
      <w:r w:rsidRPr="00821320">
        <w:rPr>
          <w:rFonts w:ascii="Verdana" w:hAnsi="Verdana" w:cs="Arial"/>
          <w:sz w:val="22"/>
          <w:szCs w:val="22"/>
        </w:rPr>
        <w:t xml:space="preserve"> que el Municipio de Yopal suscribió el contrato No. 1454 del 01 de julio de 2022 con el proveedor </w:t>
      </w:r>
      <w:proofErr w:type="spellStart"/>
      <w:r w:rsidRPr="00821320">
        <w:rPr>
          <w:rFonts w:ascii="Verdana" w:hAnsi="Verdana" w:cs="Arial"/>
          <w:sz w:val="22"/>
          <w:szCs w:val="22"/>
        </w:rPr>
        <w:t>Prixa</w:t>
      </w:r>
      <w:proofErr w:type="spellEnd"/>
      <w:r w:rsidRPr="00821320">
        <w:rPr>
          <w:rFonts w:ascii="Verdana" w:hAnsi="Verdana" w:cs="Arial"/>
          <w:sz w:val="22"/>
          <w:szCs w:val="22"/>
        </w:rPr>
        <w:t xml:space="preserve"> Diseños S.A.S, con objeto </w:t>
      </w:r>
      <w:r w:rsidRPr="00821320">
        <w:rPr>
          <w:rFonts w:ascii="Verdana" w:hAnsi="Verdana" w:cs="Arial"/>
          <w:i/>
          <w:iCs/>
          <w:sz w:val="22"/>
          <w:szCs w:val="22"/>
        </w:rPr>
        <w:t>“Hacer entrega de dotaciones de vestuario y calzado correspondientes a la vigencia 2022 al personal docente y administrativo de la secretaria de educación municipal del Municipio de Yopal”</w:t>
      </w:r>
      <w:r w:rsidRPr="00821320">
        <w:rPr>
          <w:rFonts w:ascii="Verdana" w:hAnsi="Verdana" w:cs="Arial"/>
          <w:sz w:val="22"/>
          <w:szCs w:val="22"/>
        </w:rPr>
        <w:t xml:space="preserve">, por un valor de $32.000.160 financiados con recursos del SGP – Educación Prestación del Servicio Educativo. La fecha de inicio fue el 12 de agosto de 2022 y, de acuerdo con el acta de entrega, las dotaciones fueron recibidas a satisfacción el 7 de diciembre de 2022 y el 19 de diciembre </w:t>
      </w:r>
      <w:r w:rsidRPr="00821320" w:rsidR="009E447F">
        <w:rPr>
          <w:rFonts w:ascii="Verdana" w:hAnsi="Verdana" w:cs="Arial"/>
          <w:sz w:val="22"/>
          <w:szCs w:val="22"/>
        </w:rPr>
        <w:t xml:space="preserve">del mismo año </w:t>
      </w:r>
      <w:r w:rsidRPr="00821320">
        <w:rPr>
          <w:rFonts w:ascii="Verdana" w:hAnsi="Verdana" w:cs="Arial"/>
          <w:sz w:val="22"/>
          <w:szCs w:val="22"/>
        </w:rPr>
        <w:t>se liquidó el contrato. A partir de lo anterior, se evidenci</w:t>
      </w:r>
      <w:r w:rsidRPr="00821320" w:rsidR="009E447F">
        <w:rPr>
          <w:rFonts w:ascii="Verdana" w:hAnsi="Verdana" w:cs="Arial"/>
          <w:sz w:val="22"/>
          <w:szCs w:val="22"/>
        </w:rPr>
        <w:t>ó</w:t>
      </w:r>
      <w:r w:rsidRPr="00821320">
        <w:rPr>
          <w:rFonts w:ascii="Verdana" w:hAnsi="Verdana" w:cs="Arial"/>
          <w:sz w:val="22"/>
          <w:szCs w:val="22"/>
        </w:rPr>
        <w:t xml:space="preserve"> que tanto la primera como la segunda dotación fueron entregadas de forma extemporánea.</w:t>
      </w:r>
    </w:p>
    <w:p w:rsidRPr="00821320" w:rsidR="00FE367E" w:rsidP="00B412DF" w:rsidRDefault="00FE367E" w14:paraId="69773F82" w14:textId="77777777">
      <w:pPr>
        <w:jc w:val="both"/>
        <w:rPr>
          <w:rFonts w:ascii="Verdana" w:hAnsi="Verdana" w:cs="Arial"/>
          <w:sz w:val="22"/>
          <w:szCs w:val="22"/>
        </w:rPr>
      </w:pPr>
      <w:r w:rsidRPr="00821320">
        <w:rPr>
          <w:rFonts w:ascii="Verdana" w:hAnsi="Verdana" w:cs="Arial"/>
          <w:sz w:val="22"/>
          <w:szCs w:val="22"/>
        </w:rPr>
        <w:t xml:space="preserve"> </w:t>
      </w:r>
    </w:p>
    <w:p w:rsidRPr="00821320" w:rsidR="00FE367E" w:rsidP="00B412DF" w:rsidRDefault="00FE367E" w14:paraId="1ECC52BE" w14:textId="77777777">
      <w:pPr>
        <w:jc w:val="both"/>
        <w:rPr>
          <w:rFonts w:ascii="Verdana" w:hAnsi="Verdana" w:cs="Arial"/>
          <w:sz w:val="22"/>
          <w:szCs w:val="22"/>
        </w:rPr>
      </w:pPr>
      <w:r w:rsidRPr="00821320">
        <w:rPr>
          <w:rFonts w:ascii="Verdana" w:hAnsi="Verdana" w:cs="Arial"/>
          <w:sz w:val="22"/>
          <w:szCs w:val="22"/>
        </w:rPr>
        <w:t>Por último, para la vigencia 2023, se registr</w:t>
      </w:r>
      <w:r w:rsidRPr="00821320" w:rsidR="009E447F">
        <w:rPr>
          <w:rFonts w:ascii="Verdana" w:hAnsi="Verdana" w:cs="Arial"/>
          <w:sz w:val="22"/>
          <w:szCs w:val="22"/>
        </w:rPr>
        <w:t>ó</w:t>
      </w:r>
      <w:r w:rsidRPr="00821320">
        <w:rPr>
          <w:rFonts w:ascii="Verdana" w:hAnsi="Verdana" w:cs="Arial"/>
          <w:sz w:val="22"/>
          <w:szCs w:val="22"/>
        </w:rPr>
        <w:t xml:space="preserve"> en </w:t>
      </w:r>
      <w:r w:rsidRPr="00821320" w:rsidR="009E447F">
        <w:rPr>
          <w:rFonts w:ascii="Verdana" w:hAnsi="Verdana" w:cs="Arial"/>
          <w:sz w:val="22"/>
          <w:szCs w:val="22"/>
        </w:rPr>
        <w:t xml:space="preserve">la plataforma </w:t>
      </w:r>
      <w:r w:rsidRPr="00821320">
        <w:rPr>
          <w:rFonts w:ascii="Verdana" w:hAnsi="Verdana" w:cs="Arial"/>
          <w:sz w:val="22"/>
          <w:szCs w:val="22"/>
        </w:rPr>
        <w:t>SECOP</w:t>
      </w:r>
      <w:r w:rsidRPr="00821320" w:rsidR="004047EF">
        <w:rPr>
          <w:rFonts w:ascii="Verdana" w:hAnsi="Verdana" w:cs="Arial"/>
          <w:sz w:val="22"/>
          <w:szCs w:val="22"/>
        </w:rPr>
        <w:t xml:space="preserve"> II</w:t>
      </w:r>
      <w:r w:rsidRPr="00821320">
        <w:rPr>
          <w:rFonts w:ascii="Verdana" w:hAnsi="Verdana" w:cs="Arial"/>
          <w:sz w:val="22"/>
          <w:szCs w:val="22"/>
        </w:rPr>
        <w:t xml:space="preserve"> que la Entidad emitió la Comunicación de Aceptación de oferta en el Proceso de Mínima Cuantía No. MYCA-SEDMC-056-2023 el día 18 de agosto de 2023</w:t>
      </w:r>
      <w:r w:rsidRPr="00821320" w:rsidR="009E447F">
        <w:rPr>
          <w:rFonts w:ascii="Verdana" w:hAnsi="Verdana" w:cs="Arial"/>
          <w:sz w:val="22"/>
          <w:szCs w:val="22"/>
        </w:rPr>
        <w:t>,</w:t>
      </w:r>
      <w:r w:rsidRPr="00821320">
        <w:rPr>
          <w:rFonts w:ascii="Verdana" w:hAnsi="Verdana" w:cs="Arial"/>
          <w:sz w:val="22"/>
          <w:szCs w:val="22"/>
        </w:rPr>
        <w:t xml:space="preserve"> con objeto “</w:t>
      </w:r>
      <w:r w:rsidRPr="00821320">
        <w:rPr>
          <w:rFonts w:ascii="Verdana" w:hAnsi="Verdana" w:cs="Arial"/>
          <w:i/>
          <w:iCs/>
          <w:sz w:val="22"/>
          <w:szCs w:val="22"/>
        </w:rPr>
        <w:t>Dotaciones de vestuario y calzado para el personal docente y administrativo de la secretaría de educación municipal, correspondiente a la vigencia 2023, del municipio de Yopal”</w:t>
      </w:r>
      <w:r w:rsidRPr="00821320" w:rsidR="009E447F">
        <w:rPr>
          <w:rFonts w:ascii="Verdana" w:hAnsi="Verdana" w:cs="Arial"/>
          <w:i/>
          <w:iCs/>
          <w:sz w:val="22"/>
          <w:szCs w:val="22"/>
        </w:rPr>
        <w:t>,</w:t>
      </w:r>
      <w:r w:rsidRPr="00821320">
        <w:rPr>
          <w:rFonts w:ascii="Verdana" w:hAnsi="Verdana" w:cs="Arial"/>
          <w:i/>
          <w:iCs/>
          <w:sz w:val="22"/>
          <w:szCs w:val="22"/>
        </w:rPr>
        <w:t xml:space="preserve"> </w:t>
      </w:r>
      <w:r w:rsidRPr="00821320">
        <w:rPr>
          <w:rFonts w:ascii="Verdana" w:hAnsi="Verdana" w:cs="Arial"/>
          <w:sz w:val="22"/>
          <w:szCs w:val="22"/>
        </w:rPr>
        <w:t xml:space="preserve">por un valor de $35.999.775 y de acuerdo con las actas el 30 de noviembre de 2023 se entregaron las tres dotaciones. A partir de lo anterior, se puede afirmar que la primera y segunda </w:t>
      </w:r>
      <w:r w:rsidRPr="00821320" w:rsidR="009E447F">
        <w:rPr>
          <w:rFonts w:ascii="Verdana" w:hAnsi="Verdana" w:cs="Arial"/>
          <w:sz w:val="22"/>
          <w:szCs w:val="22"/>
        </w:rPr>
        <w:t xml:space="preserve">dotaciones </w:t>
      </w:r>
      <w:r w:rsidRPr="00821320">
        <w:rPr>
          <w:rFonts w:ascii="Verdana" w:hAnsi="Verdana" w:cs="Arial"/>
          <w:sz w:val="22"/>
          <w:szCs w:val="22"/>
        </w:rPr>
        <w:t>se entregaron de forma extemporánea.</w:t>
      </w:r>
    </w:p>
    <w:p w:rsidRPr="00821320" w:rsidR="00FE367E" w:rsidP="00B412DF" w:rsidRDefault="00FE367E" w14:paraId="1F8F07CF" w14:textId="77777777">
      <w:pPr>
        <w:jc w:val="both"/>
        <w:rPr>
          <w:rFonts w:ascii="Verdana" w:hAnsi="Verdana" w:cs="Arial"/>
          <w:i/>
          <w:iCs/>
          <w:sz w:val="22"/>
          <w:szCs w:val="22"/>
        </w:rPr>
      </w:pPr>
    </w:p>
    <w:p w:rsidRPr="00821320" w:rsidR="00FE367E" w:rsidP="00B412DF" w:rsidRDefault="00FE367E" w14:paraId="4D2B604C" w14:textId="77777777">
      <w:pPr>
        <w:jc w:val="both"/>
        <w:rPr>
          <w:rFonts w:ascii="Verdana" w:hAnsi="Verdana" w:cs="Arial"/>
          <w:sz w:val="22"/>
          <w:szCs w:val="22"/>
        </w:rPr>
      </w:pPr>
      <w:r w:rsidRPr="00821320">
        <w:rPr>
          <w:rFonts w:ascii="Verdana" w:hAnsi="Verdana" w:cs="Arial"/>
          <w:sz w:val="22"/>
          <w:szCs w:val="22"/>
        </w:rPr>
        <w:lastRenderedPageBreak/>
        <w:t>Al tener en cuenta las fechas de entrega de dotación para las tres vigencias analizadas, se evidencia que el Municipio desconoció de forma reiterada los plazos de entrega de la dotación, puesto que</w:t>
      </w:r>
      <w:r w:rsidRPr="00821320" w:rsidR="007B3E36">
        <w:rPr>
          <w:rFonts w:ascii="Verdana" w:hAnsi="Verdana" w:cs="Arial"/>
          <w:sz w:val="22"/>
          <w:szCs w:val="22"/>
        </w:rPr>
        <w:t xml:space="preserve"> éstas se realizaron </w:t>
      </w:r>
      <w:r w:rsidRPr="00821320">
        <w:rPr>
          <w:rFonts w:ascii="Verdana" w:hAnsi="Verdana" w:cs="Arial"/>
          <w:sz w:val="22"/>
          <w:szCs w:val="22"/>
        </w:rPr>
        <w:t>con posterioridad a las fechas establecidas.</w:t>
      </w:r>
    </w:p>
    <w:p w:rsidRPr="00821320" w:rsidR="00FE367E" w:rsidP="00B412DF" w:rsidRDefault="00FE367E" w14:paraId="141A241F" w14:textId="77777777">
      <w:pPr>
        <w:jc w:val="both"/>
        <w:rPr>
          <w:rFonts w:ascii="Verdana" w:hAnsi="Verdana" w:cs="Arial"/>
          <w:sz w:val="22"/>
          <w:szCs w:val="22"/>
        </w:rPr>
      </w:pPr>
    </w:p>
    <w:p w:rsidRPr="00821320" w:rsidR="00FE367E" w:rsidP="00B412DF" w:rsidRDefault="00FE367E" w14:paraId="49E86AF0" w14:textId="77777777">
      <w:pPr>
        <w:jc w:val="both"/>
        <w:rPr>
          <w:rStyle w:val="eop"/>
          <w:rFonts w:ascii="Verdana" w:hAnsi="Verdana" w:cs="Arial"/>
          <w:color w:val="000000"/>
          <w:sz w:val="22"/>
          <w:szCs w:val="22"/>
          <w:shd w:val="clear" w:color="auto" w:fill="FFFFFF"/>
        </w:rPr>
      </w:pPr>
      <w:r w:rsidRPr="00821320">
        <w:rPr>
          <w:rStyle w:val="normaltextrun"/>
          <w:rFonts w:ascii="Verdana" w:hAnsi="Verdana" w:cs="Arial"/>
          <w:color w:val="000000"/>
          <w:sz w:val="22"/>
          <w:szCs w:val="22"/>
          <w:shd w:val="clear" w:color="auto" w:fill="FFFFFF"/>
        </w:rPr>
        <w:t>En consecuencia, se evidencia que la omisión y falta de planeación contractual de la Entidad Territorial, origina una situación de riesgo sobre el cumplimiento de las obligaciones laborales, exponiendo a la Entidad a eventuales demandas o generación de deudas del Sector. Estas acciones vulneran lo descrito por la Ley 70 de 1988 y el Decreto reglamentario 1978 de 1989 que determina que esta prestación deberá reconocerse cada cuatro (4) meses durante la respectiva vigencia fiscal.</w:t>
      </w:r>
      <w:r w:rsidRPr="00821320">
        <w:rPr>
          <w:rStyle w:val="eop"/>
          <w:rFonts w:ascii="Verdana" w:hAnsi="Verdana" w:cs="Arial"/>
          <w:color w:val="000000"/>
          <w:sz w:val="22"/>
          <w:szCs w:val="22"/>
          <w:shd w:val="clear" w:color="auto" w:fill="FFFFFF"/>
        </w:rPr>
        <w:t> </w:t>
      </w:r>
    </w:p>
    <w:p w:rsidRPr="00821320" w:rsidR="00FE367E" w:rsidP="00B412DF" w:rsidRDefault="00FE367E" w14:paraId="745B636F" w14:textId="77777777">
      <w:pPr>
        <w:jc w:val="both"/>
        <w:rPr>
          <w:rStyle w:val="eop"/>
          <w:rFonts w:ascii="Verdana" w:hAnsi="Verdana"/>
          <w:sz w:val="22"/>
          <w:szCs w:val="22"/>
        </w:rPr>
      </w:pPr>
    </w:p>
    <w:p w:rsidRPr="00821320" w:rsidR="00FE367E" w:rsidP="00B412DF" w:rsidRDefault="00FE367E" w14:paraId="710288E4" w14:textId="77777777">
      <w:pPr>
        <w:jc w:val="both"/>
        <w:rPr>
          <w:rFonts w:ascii="Verdana" w:hAnsi="Verdana" w:cs="Arial"/>
          <w:sz w:val="22"/>
          <w:szCs w:val="22"/>
        </w:rPr>
      </w:pPr>
      <w:r w:rsidRPr="00821320">
        <w:rPr>
          <w:rStyle w:val="eop"/>
          <w:rFonts w:ascii="Verdana" w:hAnsi="Verdana" w:cs="Arial"/>
          <w:b/>
          <w:bCs/>
          <w:color w:val="000000"/>
          <w:sz w:val="22"/>
          <w:szCs w:val="22"/>
          <w:shd w:val="clear" w:color="auto" w:fill="FFFFFF"/>
        </w:rPr>
        <w:t>Evidencia:</w:t>
      </w:r>
      <w:r w:rsidRPr="00821320">
        <w:rPr>
          <w:rStyle w:val="eop"/>
          <w:rFonts w:ascii="Verdana" w:hAnsi="Verdana" w:cs="Arial"/>
          <w:color w:val="000000"/>
          <w:sz w:val="22"/>
          <w:szCs w:val="22"/>
          <w:shd w:val="clear" w:color="auto" w:fill="FFFFFF"/>
        </w:rPr>
        <w:t xml:space="preserve"> </w:t>
      </w:r>
      <w:r w:rsidRPr="00821320">
        <w:rPr>
          <w:rFonts w:ascii="Verdana" w:hAnsi="Verdana" w:cs="Arial"/>
          <w:sz w:val="22"/>
          <w:szCs w:val="22"/>
        </w:rPr>
        <w:t>Obra en el expediente digital en el Sistema Integrado Electrónico Documental- SIED del Ministerio de Hacienda y Crédito Público No. 44/2019/D028-PREDI el siguiente material probatorio:</w:t>
      </w:r>
    </w:p>
    <w:p w:rsidRPr="00821320" w:rsidR="00FE367E" w:rsidP="00B412DF" w:rsidRDefault="00FE367E" w14:paraId="094A7E81" w14:textId="77777777">
      <w:pPr>
        <w:pStyle w:val="Prrafodelista"/>
        <w:numPr>
          <w:ilvl w:val="0"/>
          <w:numId w:val="30"/>
        </w:numPr>
        <w:ind w:left="284" w:hanging="284"/>
        <w:jc w:val="both"/>
        <w:rPr>
          <w:rStyle w:val="normaltextrun"/>
          <w:rFonts w:ascii="Verdana" w:hAnsi="Verdana"/>
          <w:sz w:val="22"/>
          <w:szCs w:val="22"/>
        </w:rPr>
      </w:pPr>
      <w:r w:rsidRPr="00821320">
        <w:rPr>
          <w:rFonts w:ascii="Verdana" w:hAnsi="Verdana" w:cs="Arial"/>
          <w:color w:val="000000"/>
          <w:sz w:val="22"/>
          <w:szCs w:val="22"/>
          <w:shd w:val="clear" w:color="auto" w:fill="FFFFFF"/>
        </w:rPr>
        <w:t xml:space="preserve">Consulta en SECOP II del proceso No. MYCA-MC-107-2021. Vigencia 2021. </w:t>
      </w:r>
      <w:r w:rsidRPr="00821320">
        <w:rPr>
          <w:rFonts w:ascii="Verdana" w:hAnsi="Verdana" w:cs="Arial"/>
          <w:bCs/>
          <w:sz w:val="22"/>
          <w:szCs w:val="22"/>
        </w:rPr>
        <w:t>Sector Educación. Municipio</w:t>
      </w:r>
      <w:r w:rsidRPr="00821320">
        <w:rPr>
          <w:rFonts w:ascii="Verdana" w:hAnsi="Verdana" w:cs="Arial"/>
          <w:sz w:val="22"/>
          <w:szCs w:val="22"/>
        </w:rPr>
        <w:t xml:space="preserve"> de Yopal. Serie </w:t>
      </w:r>
      <w:r w:rsidRPr="00821320">
        <w:rPr>
          <w:rFonts w:ascii="Verdana" w:hAnsi="Verdana" w:cs="Arial"/>
          <w:i/>
          <w:sz w:val="22"/>
          <w:szCs w:val="22"/>
        </w:rPr>
        <w:t>“Historial de Seguimiento y Control a los Recursos del Sistema General de Participaciones-Ejecución y Seguimiento”</w:t>
      </w:r>
      <w:r w:rsidRPr="00821320">
        <w:rPr>
          <w:rFonts w:ascii="Verdana" w:hAnsi="Verdana" w:cs="Arial"/>
          <w:sz w:val="22"/>
          <w:szCs w:val="22"/>
        </w:rPr>
        <w:t xml:space="preserve">. Expediente digital No. 44/2019/D028-PREDI. Enlace: </w:t>
      </w:r>
      <w:hyperlink w:history="1" r:id="rId40">
        <w:r w:rsidRPr="00821320">
          <w:rPr>
            <w:rStyle w:val="Hipervnculo"/>
            <w:rFonts w:ascii="Verdana" w:hAnsi="Verdana"/>
            <w:sz w:val="22"/>
            <w:szCs w:val="22"/>
          </w:rPr>
          <w:t xml:space="preserve">eSigna </w:t>
        </w:r>
        <w:proofErr w:type="spellStart"/>
        <w:r w:rsidRPr="00821320">
          <w:rPr>
            <w:rStyle w:val="Hipervnculo"/>
            <w:rFonts w:ascii="Verdana" w:hAnsi="Verdana"/>
            <w:sz w:val="22"/>
            <w:szCs w:val="22"/>
          </w:rPr>
          <w:t>DocumentViewer</w:t>
        </w:r>
        <w:proofErr w:type="spellEnd"/>
        <w:r w:rsidRPr="00821320">
          <w:rPr>
            <w:rStyle w:val="Hipervnculo"/>
            <w:rFonts w:ascii="Verdana" w:hAnsi="Verdana"/>
            <w:sz w:val="22"/>
            <w:szCs w:val="22"/>
          </w:rPr>
          <w:t xml:space="preserve"> (</w:t>
        </w:r>
        <w:proofErr w:type="spellStart"/>
        <w:r w:rsidRPr="00821320">
          <w:rPr>
            <w:rStyle w:val="Hipervnculo"/>
            <w:rFonts w:ascii="Verdana" w:hAnsi="Verdana"/>
            <w:sz w:val="22"/>
            <w:szCs w:val="22"/>
          </w:rPr>
          <w:t>minhacienda.red</w:t>
        </w:r>
        <w:proofErr w:type="spellEnd"/>
        <w:r w:rsidRPr="00821320">
          <w:rPr>
            <w:rStyle w:val="Hipervnculo"/>
            <w:rFonts w:ascii="Verdana" w:hAnsi="Verdana"/>
            <w:sz w:val="22"/>
            <w:szCs w:val="22"/>
          </w:rPr>
          <w:t>)</w:t>
        </w:r>
      </w:hyperlink>
    </w:p>
    <w:p w:rsidRPr="00821320" w:rsidR="00FE367E" w:rsidP="00B412DF" w:rsidRDefault="00FE367E" w14:paraId="09E3CF18" w14:textId="77777777">
      <w:pPr>
        <w:pStyle w:val="Prrafodelista"/>
        <w:numPr>
          <w:ilvl w:val="0"/>
          <w:numId w:val="30"/>
        </w:numPr>
        <w:ind w:left="284" w:hanging="284"/>
        <w:jc w:val="both"/>
        <w:rPr>
          <w:rStyle w:val="normaltextrun"/>
          <w:rFonts w:ascii="Verdana" w:hAnsi="Verdana" w:cs="Arial"/>
          <w:sz w:val="22"/>
          <w:szCs w:val="22"/>
        </w:rPr>
      </w:pPr>
      <w:r w:rsidRPr="00821320">
        <w:rPr>
          <w:rFonts w:ascii="Verdana" w:hAnsi="Verdana" w:cs="Arial"/>
          <w:color w:val="000000"/>
          <w:sz w:val="22"/>
          <w:szCs w:val="22"/>
          <w:shd w:val="clear" w:color="auto" w:fill="FFFFFF"/>
        </w:rPr>
        <w:t xml:space="preserve">Consulta en SECOP II del proceso No. MYCA-MC-039-2022. Vigencia 2022. </w:t>
      </w:r>
      <w:r w:rsidRPr="00821320">
        <w:rPr>
          <w:rFonts w:ascii="Verdana" w:hAnsi="Verdana" w:cs="Arial"/>
          <w:bCs/>
          <w:sz w:val="22"/>
          <w:szCs w:val="22"/>
        </w:rPr>
        <w:t>Sector Educación. Municipio</w:t>
      </w:r>
      <w:r w:rsidRPr="00821320">
        <w:rPr>
          <w:rFonts w:ascii="Verdana" w:hAnsi="Verdana" w:cs="Arial"/>
          <w:sz w:val="22"/>
          <w:szCs w:val="22"/>
        </w:rPr>
        <w:t xml:space="preserve"> de Yopal. Serie </w:t>
      </w:r>
      <w:r w:rsidRPr="00821320">
        <w:rPr>
          <w:rFonts w:ascii="Verdana" w:hAnsi="Verdana" w:cs="Arial"/>
          <w:i/>
          <w:sz w:val="22"/>
          <w:szCs w:val="22"/>
        </w:rPr>
        <w:t>“Historial de Seguimiento y Control a los Recursos del Sistema General de Participaciones-Ejecución y Seguimiento”</w:t>
      </w:r>
      <w:r w:rsidRPr="00821320">
        <w:rPr>
          <w:rFonts w:ascii="Verdana" w:hAnsi="Verdana" w:cs="Arial"/>
          <w:sz w:val="22"/>
          <w:szCs w:val="22"/>
        </w:rPr>
        <w:t xml:space="preserve">. Expediente digital No. 44/2019/D028-PREDI. Enlace: </w:t>
      </w:r>
      <w:hyperlink w:history="1" r:id="rId41">
        <w:r w:rsidRPr="00821320">
          <w:rPr>
            <w:rStyle w:val="Hipervnculo"/>
            <w:rFonts w:ascii="Verdana" w:hAnsi="Verdana"/>
            <w:sz w:val="22"/>
            <w:szCs w:val="22"/>
          </w:rPr>
          <w:t xml:space="preserve">eSigna </w:t>
        </w:r>
        <w:proofErr w:type="spellStart"/>
        <w:r w:rsidRPr="00821320">
          <w:rPr>
            <w:rStyle w:val="Hipervnculo"/>
            <w:rFonts w:ascii="Verdana" w:hAnsi="Verdana"/>
            <w:sz w:val="22"/>
            <w:szCs w:val="22"/>
          </w:rPr>
          <w:t>DocumentViewer</w:t>
        </w:r>
        <w:proofErr w:type="spellEnd"/>
        <w:r w:rsidRPr="00821320">
          <w:rPr>
            <w:rStyle w:val="Hipervnculo"/>
            <w:rFonts w:ascii="Verdana" w:hAnsi="Verdana"/>
            <w:sz w:val="22"/>
            <w:szCs w:val="22"/>
          </w:rPr>
          <w:t xml:space="preserve"> (</w:t>
        </w:r>
        <w:proofErr w:type="spellStart"/>
        <w:r w:rsidRPr="00821320">
          <w:rPr>
            <w:rStyle w:val="Hipervnculo"/>
            <w:rFonts w:ascii="Verdana" w:hAnsi="Verdana"/>
            <w:sz w:val="22"/>
            <w:szCs w:val="22"/>
          </w:rPr>
          <w:t>minhacienda.red</w:t>
        </w:r>
        <w:proofErr w:type="spellEnd"/>
        <w:r w:rsidRPr="00821320">
          <w:rPr>
            <w:rStyle w:val="Hipervnculo"/>
            <w:rFonts w:ascii="Verdana" w:hAnsi="Verdana"/>
            <w:sz w:val="22"/>
            <w:szCs w:val="22"/>
          </w:rPr>
          <w:t>)</w:t>
        </w:r>
      </w:hyperlink>
    </w:p>
    <w:p w:rsidRPr="00821320" w:rsidR="00FE367E" w:rsidP="00B412DF" w:rsidRDefault="00FE367E" w14:paraId="038C6FFD" w14:textId="77777777">
      <w:pPr>
        <w:pStyle w:val="Prrafodelista"/>
        <w:numPr>
          <w:ilvl w:val="0"/>
          <w:numId w:val="30"/>
        </w:numPr>
        <w:ind w:left="284" w:hanging="284"/>
        <w:jc w:val="both"/>
        <w:rPr>
          <w:rStyle w:val="Hipervnculo"/>
          <w:rFonts w:ascii="Verdana" w:hAnsi="Verdana" w:cs="Arial"/>
          <w:color w:val="auto"/>
          <w:sz w:val="22"/>
          <w:szCs w:val="22"/>
          <w:u w:val="none"/>
        </w:rPr>
      </w:pPr>
      <w:r w:rsidRPr="00821320">
        <w:rPr>
          <w:rFonts w:ascii="Verdana" w:hAnsi="Verdana" w:cs="Arial"/>
          <w:color w:val="000000"/>
          <w:sz w:val="22"/>
          <w:szCs w:val="22"/>
          <w:shd w:val="clear" w:color="auto" w:fill="FFFFFF"/>
        </w:rPr>
        <w:t xml:space="preserve">Consulta en SECOP II del proceso No. MYCA-SED-MC-056-2023. Vigencia 2023. </w:t>
      </w:r>
      <w:r w:rsidRPr="00821320">
        <w:rPr>
          <w:rFonts w:ascii="Verdana" w:hAnsi="Verdana" w:cs="Arial"/>
          <w:bCs/>
          <w:sz w:val="22"/>
          <w:szCs w:val="22"/>
        </w:rPr>
        <w:t>Sector Educación. Municipio</w:t>
      </w:r>
      <w:r w:rsidRPr="00821320">
        <w:rPr>
          <w:rFonts w:ascii="Verdana" w:hAnsi="Verdana" w:cs="Arial"/>
          <w:sz w:val="22"/>
          <w:szCs w:val="22"/>
        </w:rPr>
        <w:t xml:space="preserve"> de Yopal. Serie </w:t>
      </w:r>
      <w:r w:rsidRPr="00821320">
        <w:rPr>
          <w:rFonts w:ascii="Verdana" w:hAnsi="Verdana" w:cs="Arial"/>
          <w:i/>
          <w:sz w:val="22"/>
          <w:szCs w:val="22"/>
        </w:rPr>
        <w:t>“Historial de Seguimiento y Control a los Recursos del Sistema General de Participaciones-Ejecución y Seguimiento”</w:t>
      </w:r>
      <w:r w:rsidRPr="00821320">
        <w:rPr>
          <w:rFonts w:ascii="Verdana" w:hAnsi="Verdana" w:cs="Arial"/>
          <w:sz w:val="22"/>
          <w:szCs w:val="22"/>
        </w:rPr>
        <w:t>. Expediente digital No. 44/2019/D028-PREDI. Enlace:</w:t>
      </w:r>
      <w:r w:rsidRPr="00821320">
        <w:rPr>
          <w:rFonts w:ascii="Verdana" w:hAnsi="Verdana" w:eastAsia="Times New Roman"/>
          <w:color w:val="273144"/>
          <w:sz w:val="22"/>
          <w:szCs w:val="22"/>
          <w:lang w:eastAsia="es-CO"/>
        </w:rPr>
        <w:t xml:space="preserve"> </w:t>
      </w:r>
      <w:hyperlink w:history="1" r:id="rId42">
        <w:r w:rsidRPr="00821320">
          <w:rPr>
            <w:rStyle w:val="Hipervnculo"/>
            <w:rFonts w:ascii="Verdana" w:hAnsi="Verdana"/>
            <w:sz w:val="22"/>
            <w:szCs w:val="22"/>
          </w:rPr>
          <w:t xml:space="preserve">eSigna </w:t>
        </w:r>
        <w:proofErr w:type="spellStart"/>
        <w:r w:rsidRPr="00821320">
          <w:rPr>
            <w:rStyle w:val="Hipervnculo"/>
            <w:rFonts w:ascii="Verdana" w:hAnsi="Verdana"/>
            <w:sz w:val="22"/>
            <w:szCs w:val="22"/>
          </w:rPr>
          <w:t>DocumentViewer</w:t>
        </w:r>
        <w:proofErr w:type="spellEnd"/>
        <w:r w:rsidRPr="00821320">
          <w:rPr>
            <w:rStyle w:val="Hipervnculo"/>
            <w:rFonts w:ascii="Verdana" w:hAnsi="Verdana"/>
            <w:sz w:val="22"/>
            <w:szCs w:val="22"/>
          </w:rPr>
          <w:t xml:space="preserve"> (</w:t>
        </w:r>
        <w:proofErr w:type="spellStart"/>
        <w:r w:rsidRPr="00821320">
          <w:rPr>
            <w:rStyle w:val="Hipervnculo"/>
            <w:rFonts w:ascii="Verdana" w:hAnsi="Verdana"/>
            <w:sz w:val="22"/>
            <w:szCs w:val="22"/>
          </w:rPr>
          <w:t>minhacienda.red</w:t>
        </w:r>
        <w:proofErr w:type="spellEnd"/>
        <w:r w:rsidRPr="00821320">
          <w:rPr>
            <w:rStyle w:val="Hipervnculo"/>
            <w:rFonts w:ascii="Verdana" w:hAnsi="Verdana"/>
            <w:sz w:val="22"/>
            <w:szCs w:val="22"/>
          </w:rPr>
          <w:t>)</w:t>
        </w:r>
      </w:hyperlink>
    </w:p>
    <w:p w:rsidRPr="00821320" w:rsidR="00795F8F" w:rsidP="00B412DF" w:rsidRDefault="00795F8F" w14:paraId="3DB0ED17" w14:textId="77777777">
      <w:pPr>
        <w:jc w:val="both"/>
        <w:rPr>
          <w:rStyle w:val="Hipervnculo"/>
          <w:rFonts w:ascii="Verdana" w:hAnsi="Verdana" w:cs="Arial"/>
          <w:color w:val="auto"/>
          <w:sz w:val="22"/>
          <w:szCs w:val="22"/>
          <w:u w:val="none"/>
        </w:rPr>
      </w:pPr>
    </w:p>
    <w:p w:rsidRPr="00821320" w:rsidR="00CE200A" w:rsidP="00B412DF" w:rsidRDefault="00CE200A" w14:paraId="47845D54" w14:textId="77777777">
      <w:pPr>
        <w:pStyle w:val="Ttulo1"/>
        <w:numPr>
          <w:ilvl w:val="0"/>
          <w:numId w:val="19"/>
        </w:numPr>
        <w:spacing w:before="0" w:line="240" w:lineRule="auto"/>
        <w:ind w:hanging="360"/>
        <w:rPr>
          <w:rFonts w:ascii="Verdana" w:hAnsi="Verdana"/>
          <w:b/>
          <w:bCs/>
          <w:color w:val="auto"/>
          <w:sz w:val="22"/>
          <w:szCs w:val="22"/>
        </w:rPr>
      </w:pPr>
      <w:r w:rsidRPr="00821320">
        <w:rPr>
          <w:rFonts w:ascii="Verdana" w:hAnsi="Verdana"/>
          <w:b/>
          <w:bCs/>
          <w:color w:val="auto"/>
          <w:sz w:val="22"/>
          <w:szCs w:val="22"/>
        </w:rPr>
        <w:t>CONCLUSIONES Y RECOMENDACIONES</w:t>
      </w:r>
    </w:p>
    <w:p w:rsidRPr="00821320" w:rsidR="00CE200A" w:rsidP="00B412DF" w:rsidRDefault="00CE200A" w14:paraId="3BFD2E6A" w14:textId="77777777">
      <w:pPr>
        <w:jc w:val="both"/>
        <w:rPr>
          <w:rFonts w:ascii="Verdana" w:hAnsi="Verdana"/>
          <w:sz w:val="22"/>
          <w:szCs w:val="22"/>
        </w:rPr>
      </w:pPr>
    </w:p>
    <w:p w:rsidRPr="00821320" w:rsidR="00CE200A" w:rsidP="00B412DF" w:rsidRDefault="00CE200A" w14:paraId="7AEA7C9C" w14:textId="77777777">
      <w:pPr>
        <w:contextualSpacing/>
        <w:jc w:val="both"/>
        <w:rPr>
          <w:rFonts w:ascii="Verdana" w:hAnsi="Verdana"/>
          <w:sz w:val="22"/>
          <w:szCs w:val="22"/>
        </w:rPr>
      </w:pPr>
      <w:r w:rsidRPr="00821320">
        <w:rPr>
          <w:rFonts w:ascii="Verdana" w:hAnsi="Verdana"/>
          <w:sz w:val="22"/>
          <w:szCs w:val="22"/>
        </w:rPr>
        <w:t>A partir del análisis de la información remitida por el Municipio se determinó de manera preliminar la existencia de los siguientes eventos de riesgo definidos en el artículo 9 del decreto 028 de 2009 en relación con el uso de los recursos del Sistema General de Participaciones en el sector educación: </w:t>
      </w:r>
    </w:p>
    <w:p w:rsidRPr="00821320" w:rsidR="00CE200A" w:rsidP="00B412DF" w:rsidRDefault="00CE200A" w14:paraId="10BB604A" w14:textId="77777777">
      <w:pPr>
        <w:contextualSpacing/>
        <w:jc w:val="both"/>
        <w:rPr>
          <w:rFonts w:ascii="Verdana" w:hAnsi="Verdana"/>
          <w:sz w:val="22"/>
          <w:szCs w:val="22"/>
        </w:rPr>
      </w:pPr>
      <w:r w:rsidRPr="00821320">
        <w:rPr>
          <w:rFonts w:ascii="Verdana" w:hAnsi="Verdana"/>
          <w:sz w:val="22"/>
          <w:szCs w:val="22"/>
        </w:rPr>
        <w:t> </w:t>
      </w:r>
    </w:p>
    <w:p w:rsidRPr="00821320" w:rsidR="00CE200A" w:rsidP="00B412DF" w:rsidRDefault="00CE200A" w14:paraId="7F69B4D8" w14:textId="77777777">
      <w:pPr>
        <w:contextualSpacing/>
        <w:jc w:val="both"/>
        <w:rPr>
          <w:rFonts w:ascii="Verdana" w:hAnsi="Verdana"/>
          <w:sz w:val="22"/>
          <w:szCs w:val="22"/>
        </w:rPr>
      </w:pPr>
      <w:r w:rsidRPr="00821320">
        <w:rPr>
          <w:rFonts w:ascii="Verdana" w:hAnsi="Verdana"/>
          <w:sz w:val="22"/>
          <w:szCs w:val="22"/>
        </w:rPr>
        <w:t>9.1 (</w:t>
      </w:r>
      <w:r w:rsidRPr="00821320">
        <w:rPr>
          <w:rFonts w:ascii="Verdana" w:hAnsi="Verdana"/>
          <w:bCs/>
          <w:iCs/>
          <w:sz w:val="22"/>
          <w:szCs w:val="22"/>
        </w:rPr>
        <w:t>No envío de información conforme a los plazos, condiciones y formatos indicados por el gobierno nacional, y/o haber remitido o entregado información incompleta o errónea);</w:t>
      </w:r>
      <w:r w:rsidRPr="00821320">
        <w:rPr>
          <w:rFonts w:ascii="Verdana" w:hAnsi="Verdana"/>
          <w:sz w:val="22"/>
          <w:szCs w:val="22"/>
        </w:rPr>
        <w:t xml:space="preserve"> </w:t>
      </w:r>
      <w:r w:rsidRPr="00821320" w:rsidR="00B04F3C">
        <w:rPr>
          <w:rFonts w:ascii="Verdana" w:hAnsi="Verdana"/>
          <w:sz w:val="22"/>
          <w:szCs w:val="22"/>
        </w:rPr>
        <w:t xml:space="preserve">9.4 (cambio en la destinación de los recursos); </w:t>
      </w:r>
      <w:r w:rsidRPr="00821320">
        <w:rPr>
          <w:rFonts w:ascii="Verdana" w:hAnsi="Verdana"/>
          <w:sz w:val="22"/>
          <w:szCs w:val="22"/>
        </w:rPr>
        <w:t xml:space="preserve">9.10 (No publicar los actos administrativos contratos convenios e informes cuando la ley lo exija) </w:t>
      </w:r>
      <w:r w:rsidRPr="00821320" w:rsidR="008C0540">
        <w:rPr>
          <w:rFonts w:ascii="Verdana" w:hAnsi="Verdana"/>
          <w:sz w:val="22"/>
          <w:szCs w:val="22"/>
        </w:rPr>
        <w:t>y 9.17 (</w:t>
      </w:r>
      <w:r w:rsidRPr="00821320" w:rsidR="008C0540">
        <w:rPr>
          <w:rFonts w:ascii="Verdana" w:hAnsi="Verdana"/>
          <w:iCs/>
          <w:sz w:val="22"/>
          <w:szCs w:val="22"/>
        </w:rPr>
        <w:t xml:space="preserve">suscripción, modificación o ejecución de contratos cuyo objeto </w:t>
      </w:r>
      <w:r w:rsidRPr="00821320" w:rsidR="008C0540">
        <w:rPr>
          <w:rFonts w:ascii="Verdana" w:hAnsi="Verdana"/>
          <w:iCs/>
          <w:sz w:val="22"/>
          <w:szCs w:val="22"/>
        </w:rPr>
        <w:lastRenderedPageBreak/>
        <w:t>no aseguren la prestación del servicio en las condiciones definidas por la normatividad vigente).</w:t>
      </w:r>
    </w:p>
    <w:p w:rsidRPr="00821320" w:rsidR="00CE200A" w:rsidP="00B412DF" w:rsidRDefault="00CE200A" w14:paraId="154BCAFE" w14:textId="77777777">
      <w:pPr>
        <w:contextualSpacing/>
        <w:jc w:val="both"/>
        <w:rPr>
          <w:rFonts w:ascii="Verdana" w:hAnsi="Verdana"/>
          <w:sz w:val="22"/>
          <w:szCs w:val="22"/>
        </w:rPr>
      </w:pPr>
      <w:r w:rsidRPr="00821320">
        <w:rPr>
          <w:rFonts w:ascii="Verdana" w:hAnsi="Verdana"/>
          <w:sz w:val="22"/>
          <w:szCs w:val="22"/>
        </w:rPr>
        <w:t> </w:t>
      </w:r>
    </w:p>
    <w:p w:rsidRPr="00821320" w:rsidR="00CE200A" w:rsidP="00B412DF" w:rsidRDefault="00CE200A" w14:paraId="17B723F4" w14:textId="77777777">
      <w:pPr>
        <w:contextualSpacing/>
        <w:jc w:val="both"/>
        <w:rPr>
          <w:rFonts w:ascii="Verdana" w:hAnsi="Verdana"/>
          <w:sz w:val="22"/>
          <w:szCs w:val="22"/>
        </w:rPr>
      </w:pPr>
      <w:r w:rsidRPr="00821320">
        <w:rPr>
          <w:rFonts w:ascii="Verdana" w:hAnsi="Verdana"/>
          <w:sz w:val="22"/>
          <w:szCs w:val="22"/>
        </w:rPr>
        <w:t>Con base en los riesgos identificados y en el marco de las funciones asignadas en los Decretos 028 de 2008 y 1068 de 2015, relacionadas con la coordinación de la ejecución de las actividades de Monitoreo, Seguimiento y Control Integral al uso de recursos del Sistema General de Participaciones - SGP, se recomienda la adopción de la Medida Preventiva de Plan de Desempeño, en consideración de los procesos adelantados por la Entidad que generan riesgos en la administración de los recursos de la Participación de Educación del Sistema General de Participaciones, una vez se cuente con los comentarios del Ministerio de Educación Nacional frente al informe de reconocimiento.</w:t>
      </w:r>
    </w:p>
    <w:p w:rsidRPr="00821320" w:rsidR="00CE200A" w:rsidP="00B412DF" w:rsidRDefault="00CE200A" w14:paraId="67EB0B86" w14:textId="77777777">
      <w:pPr>
        <w:contextualSpacing/>
        <w:jc w:val="both"/>
        <w:rPr>
          <w:rFonts w:ascii="Verdana" w:hAnsi="Verdana"/>
          <w:sz w:val="16"/>
          <w:szCs w:val="16"/>
        </w:rPr>
      </w:pPr>
    </w:p>
    <w:p w:rsidRPr="00821320" w:rsidR="00CE200A" w:rsidP="00B412DF" w:rsidRDefault="00CE200A" w14:paraId="3F260340" w14:textId="77777777">
      <w:pPr>
        <w:contextualSpacing/>
        <w:jc w:val="both"/>
        <w:rPr>
          <w:rFonts w:ascii="Verdana" w:hAnsi="Verdana"/>
          <w:sz w:val="16"/>
          <w:szCs w:val="16"/>
        </w:rPr>
      </w:pPr>
    </w:p>
    <w:p w:rsidRPr="00821320" w:rsidR="00CE200A" w:rsidP="00B412DF" w:rsidRDefault="00CE200A" w14:paraId="3057737C" w14:textId="77777777">
      <w:pPr>
        <w:contextualSpacing/>
        <w:jc w:val="both"/>
        <w:rPr>
          <w:rFonts w:ascii="Verdana" w:hAnsi="Verdana"/>
          <w:bCs/>
          <w:sz w:val="16"/>
          <w:szCs w:val="16"/>
        </w:rPr>
      </w:pPr>
      <w:r w:rsidRPr="00821320">
        <w:rPr>
          <w:rFonts w:ascii="Verdana" w:hAnsi="Verdana"/>
          <w:b/>
          <w:sz w:val="16"/>
          <w:szCs w:val="16"/>
        </w:rPr>
        <w:t xml:space="preserve">APROBÓ: </w:t>
      </w:r>
      <w:r w:rsidRPr="00821320">
        <w:rPr>
          <w:rFonts w:ascii="Verdana" w:hAnsi="Verdana"/>
          <w:bCs/>
          <w:sz w:val="16"/>
          <w:szCs w:val="16"/>
        </w:rPr>
        <w:t>Fernando Olivera</w:t>
      </w:r>
    </w:p>
    <w:p w:rsidRPr="00821320" w:rsidR="00CE200A" w:rsidP="00B412DF" w:rsidRDefault="00CE200A" w14:paraId="25F62F98" w14:textId="77777777">
      <w:pPr>
        <w:contextualSpacing/>
        <w:jc w:val="both"/>
        <w:rPr>
          <w:rFonts w:ascii="Verdana" w:hAnsi="Verdana"/>
          <w:b/>
          <w:sz w:val="16"/>
          <w:szCs w:val="16"/>
        </w:rPr>
      </w:pPr>
      <w:r w:rsidRPr="00821320">
        <w:rPr>
          <w:rFonts w:ascii="Verdana" w:hAnsi="Verdana"/>
          <w:b/>
          <w:sz w:val="16"/>
          <w:szCs w:val="16"/>
        </w:rPr>
        <w:t xml:space="preserve">REVISIÓN JURÍDICA: </w:t>
      </w:r>
      <w:r w:rsidRPr="00821320">
        <w:rPr>
          <w:rFonts w:ascii="Verdana" w:hAnsi="Verdana"/>
          <w:bCs/>
          <w:sz w:val="16"/>
          <w:szCs w:val="16"/>
        </w:rPr>
        <w:t>Carlos Ariza</w:t>
      </w:r>
      <w:r w:rsidRPr="00821320">
        <w:rPr>
          <w:rFonts w:ascii="Verdana" w:hAnsi="Verdana"/>
          <w:b/>
          <w:sz w:val="16"/>
          <w:szCs w:val="16"/>
        </w:rPr>
        <w:t xml:space="preserve"> </w:t>
      </w:r>
    </w:p>
    <w:p w:rsidRPr="00821320" w:rsidR="00CE200A" w:rsidP="00B412DF" w:rsidRDefault="00CE200A" w14:paraId="708CA1FF" w14:textId="77777777">
      <w:pPr>
        <w:contextualSpacing/>
        <w:jc w:val="both"/>
        <w:rPr>
          <w:rFonts w:ascii="Verdana" w:hAnsi="Verdana"/>
          <w:b/>
          <w:sz w:val="16"/>
          <w:szCs w:val="16"/>
        </w:rPr>
      </w:pPr>
      <w:r w:rsidRPr="00821320">
        <w:rPr>
          <w:rFonts w:ascii="Verdana" w:hAnsi="Verdana"/>
          <w:b/>
          <w:sz w:val="16"/>
          <w:szCs w:val="16"/>
        </w:rPr>
        <w:t xml:space="preserve">REVISIÓN TÉCNICA: </w:t>
      </w:r>
      <w:r w:rsidRPr="00821320">
        <w:rPr>
          <w:rFonts w:ascii="Verdana" w:hAnsi="Verdana"/>
          <w:bCs/>
          <w:sz w:val="16"/>
          <w:szCs w:val="16"/>
        </w:rPr>
        <w:t>Liz Rey</w:t>
      </w:r>
      <w:r w:rsidRPr="00821320">
        <w:rPr>
          <w:rFonts w:ascii="Verdana" w:hAnsi="Verdana"/>
          <w:b/>
          <w:sz w:val="16"/>
          <w:szCs w:val="16"/>
        </w:rPr>
        <w:t xml:space="preserve"> </w:t>
      </w:r>
    </w:p>
    <w:p w:rsidRPr="00821320" w:rsidR="00CE200A" w:rsidP="00B412DF" w:rsidRDefault="00CE200A" w14:paraId="5E2FB449" w14:textId="77777777">
      <w:pPr>
        <w:contextualSpacing/>
        <w:jc w:val="both"/>
        <w:rPr>
          <w:rFonts w:ascii="Verdana" w:hAnsi="Verdana"/>
          <w:b/>
          <w:sz w:val="16"/>
          <w:szCs w:val="16"/>
        </w:rPr>
      </w:pPr>
      <w:r w:rsidRPr="00821320">
        <w:rPr>
          <w:rFonts w:ascii="Verdana" w:hAnsi="Verdana"/>
          <w:b/>
          <w:sz w:val="16"/>
          <w:szCs w:val="16"/>
        </w:rPr>
        <w:t xml:space="preserve">ELABORÓ: </w:t>
      </w:r>
      <w:r w:rsidRPr="00821320">
        <w:rPr>
          <w:rFonts w:ascii="Verdana" w:hAnsi="Verdana"/>
          <w:bCs/>
          <w:sz w:val="16"/>
          <w:szCs w:val="16"/>
        </w:rPr>
        <w:t>Alejandra Rodríguez</w:t>
      </w:r>
      <w:r w:rsidRPr="00821320" w:rsidR="006E6704">
        <w:rPr>
          <w:rFonts w:ascii="Verdana" w:hAnsi="Verdana"/>
          <w:bCs/>
          <w:sz w:val="16"/>
          <w:szCs w:val="16"/>
        </w:rPr>
        <w:t xml:space="preserve"> </w:t>
      </w:r>
      <w:r w:rsidRPr="00821320" w:rsidR="00012703">
        <w:rPr>
          <w:rFonts w:ascii="Verdana" w:hAnsi="Verdana"/>
          <w:bCs/>
          <w:sz w:val="16"/>
          <w:szCs w:val="16"/>
        </w:rPr>
        <w:t>/</w:t>
      </w:r>
      <w:r w:rsidRPr="00821320" w:rsidR="006E6704">
        <w:rPr>
          <w:rFonts w:ascii="Verdana" w:hAnsi="Verdana"/>
          <w:bCs/>
          <w:sz w:val="16"/>
          <w:szCs w:val="16"/>
        </w:rPr>
        <w:t xml:space="preserve"> </w:t>
      </w:r>
      <w:r w:rsidRPr="00821320" w:rsidR="00012703">
        <w:rPr>
          <w:rFonts w:ascii="Verdana" w:hAnsi="Verdana"/>
          <w:bCs/>
          <w:sz w:val="16"/>
          <w:szCs w:val="16"/>
        </w:rPr>
        <w:t xml:space="preserve">David </w:t>
      </w:r>
      <w:r w:rsidRPr="00821320" w:rsidR="006E6704">
        <w:rPr>
          <w:rFonts w:ascii="Verdana" w:hAnsi="Verdana"/>
          <w:bCs/>
          <w:sz w:val="16"/>
          <w:szCs w:val="16"/>
        </w:rPr>
        <w:t>Retamoso / Brian Gamboa</w:t>
      </w:r>
    </w:p>
    <w:p w:rsidRPr="00CE200A" w:rsidR="00370540" w:rsidP="00B412DF" w:rsidRDefault="00370540" w14:paraId="67245013" w14:textId="77777777"/>
    <w:sectPr w:rsidRPr="00CE200A" w:rsidR="00370540" w:rsidSect="00334292">
      <w:headerReference w:type="default" r:id="rId43"/>
      <w:footerReference w:type="default" r:id="rId44"/>
      <w:headerReference w:type="first" r:id="rId45"/>
      <w:footerReference w:type="first" r:id="rId46"/>
      <w:pgSz w:w="12240" w:h="15840" w:orient="portrait"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54A58" w:rsidP="00F71345" w:rsidRDefault="00554A58" w14:paraId="3736205C" w14:textId="77777777">
      <w:r>
        <w:separator/>
      </w:r>
    </w:p>
  </w:endnote>
  <w:endnote w:type="continuationSeparator" w:id="0">
    <w:p w:rsidR="00554A58" w:rsidP="00F71345" w:rsidRDefault="00554A58" w14:paraId="17D2EA7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391D" w:rsidP="005E391D" w:rsidRDefault="005E391D" w14:paraId="0615F3D5" w14:textId="77777777">
    <w:pPr>
      <w:spacing w:line="276" w:lineRule="auto"/>
      <w:jc w:val="both"/>
      <w:rPr>
        <w:rFonts w:ascii="Helvetica" w:hAnsi="Helvetica" w:eastAsiaTheme="minorHAnsi"/>
        <w:b/>
        <w:bCs/>
        <w:sz w:val="20"/>
        <w:szCs w:val="20"/>
        <w:lang w:val="es-CO" w:eastAsia="en-US"/>
      </w:rPr>
    </w:pPr>
    <w:r>
      <w:rPr>
        <w:rFonts w:ascii="Helvetica" w:hAnsi="Helvetica"/>
        <w:b/>
        <w:bCs/>
        <w:sz w:val="20"/>
        <w:szCs w:val="20"/>
      </w:rPr>
      <w:t>Ministerio de Hacienda y Crédito Público</w:t>
    </w:r>
  </w:p>
  <w:p w:rsidR="005E391D" w:rsidP="005E391D" w:rsidRDefault="005E391D" w14:paraId="1337D839" w14:textId="77777777">
    <w:pPr>
      <w:spacing w:line="276" w:lineRule="auto"/>
      <w:jc w:val="both"/>
      <w:rPr>
        <w:rFonts w:ascii="Helvetica" w:hAnsi="Helvetica"/>
        <w:sz w:val="20"/>
        <w:szCs w:val="20"/>
      </w:rPr>
    </w:pPr>
    <w:r>
      <w:rPr>
        <w:rFonts w:ascii="Helvetica" w:hAnsi="Helvetica"/>
        <w:sz w:val="20"/>
        <w:szCs w:val="20"/>
      </w:rPr>
      <w:t>Dirección: Carrera 8 No. 6C- 38, Bogotá D.C., Colombia</w:t>
    </w:r>
  </w:p>
  <w:p w:rsidR="005E391D" w:rsidP="005E391D" w:rsidRDefault="005E391D" w14:paraId="606EABC4" w14:textId="77777777">
    <w:pPr>
      <w:spacing w:line="276" w:lineRule="auto"/>
      <w:jc w:val="both"/>
      <w:rPr>
        <w:rFonts w:ascii="Helvetica" w:hAnsi="Helvetica"/>
        <w:sz w:val="20"/>
        <w:szCs w:val="20"/>
      </w:rPr>
    </w:pPr>
    <w:r>
      <w:rPr>
        <w:rFonts w:ascii="Helvetica" w:hAnsi="Helvetica"/>
        <w:sz w:val="20"/>
        <w:szCs w:val="20"/>
      </w:rPr>
      <w:t>Conmutador: (+57) 601 3811700 - 602 1270</w:t>
    </w:r>
  </w:p>
  <w:p w:rsidR="005E391D" w:rsidP="005E391D" w:rsidRDefault="005E391D" w14:paraId="10C06CBA" w14:textId="77777777">
    <w:pPr>
      <w:spacing w:line="276" w:lineRule="auto"/>
      <w:jc w:val="both"/>
      <w:rPr>
        <w:rFonts w:ascii="Helvetica" w:hAnsi="Helvetica"/>
        <w:sz w:val="20"/>
        <w:szCs w:val="20"/>
      </w:rPr>
    </w:pPr>
    <w:r>
      <w:rPr>
        <w:rFonts w:ascii="Helvetica" w:hAnsi="Helvetica"/>
        <w:sz w:val="20"/>
        <w:szCs w:val="20"/>
      </w:rPr>
      <w:t>Línea Gratuita: (+57) 01 8000 910071</w:t>
    </w:r>
  </w:p>
  <w:p w:rsidRPr="00F01F75" w:rsidR="00992748" w:rsidP="00F01F75" w:rsidRDefault="00992748" w14:paraId="4117CBF9"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391D" w:rsidP="005E391D" w:rsidRDefault="005E391D" w14:paraId="50CFAD5D" w14:textId="77777777">
    <w:pPr>
      <w:spacing w:line="276" w:lineRule="auto"/>
      <w:jc w:val="both"/>
      <w:rPr>
        <w:rFonts w:ascii="Helvetica" w:hAnsi="Helvetica" w:eastAsiaTheme="minorHAnsi"/>
        <w:b/>
        <w:bCs/>
        <w:sz w:val="20"/>
        <w:szCs w:val="20"/>
        <w:lang w:val="es-CO" w:eastAsia="en-US"/>
      </w:rPr>
    </w:pPr>
    <w:r>
      <w:rPr>
        <w:rFonts w:ascii="Helvetica" w:hAnsi="Helvetica"/>
        <w:b/>
        <w:bCs/>
        <w:sz w:val="20"/>
        <w:szCs w:val="20"/>
      </w:rPr>
      <w:t>Ministerio de Hacienda y Crédito Público</w:t>
    </w:r>
  </w:p>
  <w:p w:rsidR="005E391D" w:rsidP="005E391D" w:rsidRDefault="005E391D" w14:paraId="4A3ABBF3" w14:textId="77777777">
    <w:pPr>
      <w:spacing w:line="276" w:lineRule="auto"/>
      <w:jc w:val="both"/>
      <w:rPr>
        <w:rFonts w:ascii="Helvetica" w:hAnsi="Helvetica"/>
        <w:sz w:val="20"/>
        <w:szCs w:val="20"/>
      </w:rPr>
    </w:pPr>
    <w:r>
      <w:rPr>
        <w:rFonts w:ascii="Helvetica" w:hAnsi="Helvetica"/>
        <w:sz w:val="20"/>
        <w:szCs w:val="20"/>
      </w:rPr>
      <w:t>Dirección: Carrera 8 No. 6C- 38, Bogotá D.C., Colombia</w:t>
    </w:r>
  </w:p>
  <w:p w:rsidR="005E391D" w:rsidP="005E391D" w:rsidRDefault="005E391D" w14:paraId="4A493A16" w14:textId="77777777">
    <w:pPr>
      <w:spacing w:line="276" w:lineRule="auto"/>
      <w:jc w:val="both"/>
      <w:rPr>
        <w:rFonts w:ascii="Helvetica" w:hAnsi="Helvetica"/>
        <w:sz w:val="20"/>
        <w:szCs w:val="20"/>
      </w:rPr>
    </w:pPr>
    <w:r>
      <w:rPr>
        <w:rFonts w:ascii="Helvetica" w:hAnsi="Helvetica"/>
        <w:sz w:val="20"/>
        <w:szCs w:val="20"/>
      </w:rPr>
      <w:t>Conmutador: (+57) 601 3811700 - 602 1270</w:t>
    </w:r>
  </w:p>
  <w:p w:rsidR="005E391D" w:rsidP="005E391D" w:rsidRDefault="005E391D" w14:paraId="76462B8A" w14:textId="77777777">
    <w:pPr>
      <w:spacing w:line="276" w:lineRule="auto"/>
      <w:jc w:val="both"/>
      <w:rPr>
        <w:rFonts w:ascii="Helvetica" w:hAnsi="Helvetica"/>
        <w:sz w:val="20"/>
        <w:szCs w:val="20"/>
      </w:rPr>
    </w:pPr>
    <w:r>
      <w:rPr>
        <w:rFonts w:ascii="Helvetica" w:hAnsi="Helvetica"/>
        <w:sz w:val="20"/>
        <w:szCs w:val="20"/>
      </w:rPr>
      <w:t>Línea Gratuita: (+57) 01 8000 910071</w:t>
    </w:r>
  </w:p>
  <w:p w:rsidRPr="00F01F75" w:rsidR="00992748" w:rsidP="00F01F75" w:rsidRDefault="00992748" w14:paraId="7D014D42"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54A58" w:rsidP="00F71345" w:rsidRDefault="00554A58" w14:paraId="23C29FBA" w14:textId="77777777">
      <w:r>
        <w:separator/>
      </w:r>
    </w:p>
  </w:footnote>
  <w:footnote w:type="continuationSeparator" w:id="0">
    <w:p w:rsidR="00554A58" w:rsidP="00F71345" w:rsidRDefault="00554A58" w14:paraId="679E24AD" w14:textId="77777777">
      <w:r>
        <w:continuationSeparator/>
      </w:r>
    </w:p>
  </w:footnote>
  <w:footnote w:id="1">
    <w:p w:rsidRPr="006E6704" w:rsidR="00C01637" w:rsidP="00C01637" w:rsidRDefault="00C01637" w14:paraId="54AF8FA4" w14:textId="77777777">
      <w:pPr>
        <w:pStyle w:val="Textonotapie"/>
        <w:jc w:val="both"/>
        <w:rPr>
          <w:rFonts w:ascii="Verdana" w:hAnsi="Verdana"/>
          <w:lang w:val="en-US"/>
        </w:rPr>
      </w:pPr>
      <w:r w:rsidRPr="006E6704">
        <w:rPr>
          <w:rStyle w:val="Refdenotaalpie"/>
          <w:rFonts w:ascii="Verdana" w:hAnsi="Verdana" w:cs="Arial"/>
          <w:sz w:val="18"/>
          <w:szCs w:val="18"/>
        </w:rPr>
        <w:footnoteRef/>
      </w:r>
      <w:r w:rsidRPr="006E6704">
        <w:rPr>
          <w:rFonts w:ascii="Verdana" w:hAnsi="Verdana" w:cs="Arial"/>
          <w:sz w:val="18"/>
          <w:szCs w:val="18"/>
          <w:lang w:val="en-US"/>
        </w:rPr>
        <w:t xml:space="preserve"> https://www.consejodeestado.gov.co/documentos/boletines/105/S3/07001-23-31-000-1999-00546- 01(21489).pdf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2748" w:rsidP="00A82889" w:rsidRDefault="005E391D" w14:paraId="1534914B" w14:textId="77777777">
    <w:pPr>
      <w:jc w:val="right"/>
      <w:rPr>
        <w:rFonts w:ascii="Arial" w:hAnsi="Arial" w:cs="Arial"/>
        <w:sz w:val="16"/>
        <w:szCs w:val="16"/>
      </w:rPr>
    </w:pPr>
    <w:r>
      <w:rPr>
        <w:noProof/>
      </w:rPr>
      <w:drawing>
        <wp:inline distT="0" distB="0" distL="0" distR="0" wp14:anchorId="6AC451BA" wp14:editId="08803ED7">
          <wp:extent cx="5612130" cy="906145"/>
          <wp:effectExtent l="0" t="0" r="0" b="0"/>
          <wp:docPr id="1347204636" name="Imagen 1347204636"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204636" name="Imagen 1347204636"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906145"/>
                  </a:xfrm>
                  <a:prstGeom prst="rect">
                    <a:avLst/>
                  </a:prstGeom>
                  <a:noFill/>
                  <a:ln>
                    <a:noFill/>
                  </a:ln>
                </pic:spPr>
              </pic:pic>
            </a:graphicData>
          </a:graphic>
        </wp:inline>
      </w:drawing>
    </w:r>
  </w:p>
  <w:p w:rsidRPr="00F01F75" w:rsidR="00992748" w:rsidP="00F01F75" w:rsidRDefault="00992748" w14:paraId="1CB6B3C1" w14:textId="77777777">
    <w:pPr>
      <w:pStyle w:val="Encabezado"/>
      <w:rPr>
        <w:rFonts w:ascii="Arial" w:hAnsi="Arial" w:cs="Arial"/>
        <w:sz w:val="16"/>
        <w:szCs w:val="16"/>
      </w:rPr>
    </w:pPr>
    <w:r w:rsidRPr="00F01F75">
      <w:rPr>
        <w:rFonts w:ascii="Arial" w:hAnsi="Arial" w:cs="Arial"/>
        <w:sz w:val="16"/>
        <w:szCs w:val="16"/>
      </w:rPr>
      <w:t xml:space="preserve">Continuación </w:t>
    </w:r>
    <w:r w:rsidRPr="00F01F75" w:rsidR="005E391D">
      <w:rPr>
        <w:rFonts w:ascii="Arial" w:hAnsi="Arial" w:cs="Arial"/>
        <w:sz w:val="16"/>
        <w:szCs w:val="16"/>
      </w:rPr>
      <w:t xml:space="preserve">oficio </w:t>
    </w:r>
    <w:r w:rsidRPr="00F01F75" w:rsidR="005E391D">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9A34A5">
      <w:rPr>
        <w:rStyle w:val="Nmerodepgina"/>
        <w:rFonts w:ascii="Arial" w:hAnsi="Arial" w:cs="Arial"/>
        <w:noProof/>
        <w:sz w:val="16"/>
        <w:szCs w:val="16"/>
      </w:rPr>
      <w:t>2</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9A34A5">
      <w:rPr>
        <w:rStyle w:val="Nmerodepgina"/>
        <w:rFonts w:ascii="Arial" w:hAnsi="Arial" w:cs="Arial"/>
        <w:noProof/>
        <w:sz w:val="16"/>
        <w:szCs w:val="16"/>
      </w:rPr>
      <w:t>2</w:t>
    </w:r>
    <w:r w:rsidRPr="00F01F75">
      <w:rPr>
        <w:rStyle w:val="Nmerodepgina"/>
        <w:rFonts w:ascii="Arial" w:hAnsi="Arial" w:cs="Arial"/>
        <w:sz w:val="16"/>
        <w:szCs w:val="16"/>
      </w:rPr>
      <w:fldChar w:fldCharType="end"/>
    </w:r>
  </w:p>
  <w:p w:rsidRPr="00F01F75" w:rsidR="00992748" w:rsidRDefault="00992748" w14:paraId="281AADDC" w14:textId="77777777">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2748" w:rsidP="001339E2" w:rsidRDefault="00CE200A" w14:paraId="120F03C8" w14:textId="77777777">
    <w:pPr>
      <w:pStyle w:val="Encabezado"/>
      <w:jc w:val="right"/>
    </w:pPr>
    <w:r>
      <w:rPr>
        <w:noProof/>
      </w:rPr>
      <w:drawing>
        <wp:inline distT="0" distB="0" distL="0" distR="0" wp14:anchorId="3AF771BB" wp14:editId="41D2F28B">
          <wp:extent cx="5612130" cy="906145"/>
          <wp:effectExtent l="0" t="0" r="0" b="0"/>
          <wp:docPr id="11061311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906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1" w15:restartNumberingAfterBreak="0">
    <w:nsid w:val="00000002"/>
    <w:multiLevelType w:val="multilevel"/>
    <w:tmpl w:val="894EE874"/>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720" w:firstLine="1440"/>
      </w:pPr>
      <w:rPr>
        <w:rFonts w:hint="default"/>
        <w:color w:val="000000"/>
        <w:position w:val="0"/>
        <w:sz w:val="24"/>
      </w:rPr>
    </w:lvl>
    <w:lvl w:ilvl="2">
      <w:start w:val="1"/>
      <w:numFmt w:val="lowerRoman"/>
      <w:suff w:val="nothing"/>
      <w:lvlText w:val="%3."/>
      <w:lvlJc w:val="left"/>
      <w:pPr>
        <w:ind w:left="-720" w:firstLine="2160"/>
      </w:pPr>
      <w:rPr>
        <w:rFonts w:hint="default"/>
        <w:color w:val="000000"/>
        <w:position w:val="0"/>
        <w:sz w:val="24"/>
      </w:rPr>
    </w:lvl>
    <w:lvl w:ilvl="3">
      <w:start w:val="1"/>
      <w:numFmt w:val="decimal"/>
      <w:isLgl/>
      <w:suff w:val="nothing"/>
      <w:lvlText w:val="%4."/>
      <w:lvlJc w:val="left"/>
      <w:pPr>
        <w:ind w:left="-720" w:firstLine="2880"/>
      </w:pPr>
      <w:rPr>
        <w:rFonts w:hint="default"/>
        <w:color w:val="000000"/>
        <w:position w:val="0"/>
        <w:sz w:val="24"/>
      </w:rPr>
    </w:lvl>
    <w:lvl w:ilvl="4">
      <w:start w:val="1"/>
      <w:numFmt w:val="lowerLetter"/>
      <w:suff w:val="nothing"/>
      <w:lvlText w:val="%5."/>
      <w:lvlJc w:val="left"/>
      <w:pPr>
        <w:ind w:left="-720" w:firstLine="3600"/>
      </w:pPr>
      <w:rPr>
        <w:rFonts w:hint="default"/>
        <w:color w:val="000000"/>
        <w:position w:val="0"/>
        <w:sz w:val="24"/>
      </w:rPr>
    </w:lvl>
    <w:lvl w:ilvl="5">
      <w:start w:val="1"/>
      <w:numFmt w:val="lowerRoman"/>
      <w:suff w:val="nothing"/>
      <w:lvlText w:val="%6."/>
      <w:lvlJc w:val="left"/>
      <w:pPr>
        <w:ind w:left="-720" w:firstLine="4320"/>
      </w:pPr>
      <w:rPr>
        <w:rFonts w:hint="default"/>
        <w:color w:val="000000"/>
        <w:position w:val="0"/>
        <w:sz w:val="24"/>
      </w:rPr>
    </w:lvl>
    <w:lvl w:ilvl="6">
      <w:start w:val="1"/>
      <w:numFmt w:val="decimal"/>
      <w:isLgl/>
      <w:suff w:val="nothing"/>
      <w:lvlText w:val="%7."/>
      <w:lvlJc w:val="left"/>
      <w:pPr>
        <w:ind w:left="-720" w:firstLine="5040"/>
      </w:pPr>
      <w:rPr>
        <w:rFonts w:hint="default"/>
        <w:color w:val="000000"/>
        <w:position w:val="0"/>
        <w:sz w:val="24"/>
      </w:rPr>
    </w:lvl>
    <w:lvl w:ilvl="7">
      <w:start w:val="1"/>
      <w:numFmt w:val="lowerLetter"/>
      <w:suff w:val="nothing"/>
      <w:lvlText w:val="%8."/>
      <w:lvlJc w:val="left"/>
      <w:pPr>
        <w:ind w:left="-720" w:firstLine="5760"/>
      </w:pPr>
      <w:rPr>
        <w:rFonts w:hint="default"/>
        <w:color w:val="000000"/>
        <w:position w:val="0"/>
        <w:sz w:val="24"/>
      </w:rPr>
    </w:lvl>
    <w:lvl w:ilvl="8">
      <w:start w:val="1"/>
      <w:numFmt w:val="lowerRoman"/>
      <w:suff w:val="nothing"/>
      <w:lvlText w:val="%9."/>
      <w:lvlJc w:val="left"/>
      <w:pPr>
        <w:ind w:left="-720" w:firstLine="6480"/>
      </w:pPr>
      <w:rPr>
        <w:rFonts w:hint="default"/>
        <w:color w:val="000000"/>
        <w:position w:val="0"/>
        <w:sz w:val="24"/>
      </w:rPr>
    </w:lvl>
  </w:abstractNum>
  <w:abstractNum w:abstractNumId="2" w15:restartNumberingAfterBreak="0">
    <w:nsid w:val="00000003"/>
    <w:multiLevelType w:val="multilevel"/>
    <w:tmpl w:val="EBD6F14A"/>
    <w:lvl w:ilvl="0">
      <w:start w:val="1"/>
      <w:numFmt w:val="upperLetter"/>
      <w:lvlText w:val="%1."/>
      <w:lvlJc w:val="left"/>
      <w:pPr>
        <w:tabs>
          <w:tab w:val="num" w:pos="0"/>
        </w:tabs>
        <w:ind w:left="0" w:firstLine="1440"/>
      </w:pPr>
      <w:rPr>
        <w:rFonts w:hint="default"/>
        <w:color w:val="000000"/>
        <w:position w:val="0"/>
        <w:sz w:val="24"/>
      </w:rPr>
    </w:lvl>
    <w:lvl w:ilvl="1">
      <w:start w:val="1"/>
      <w:numFmt w:val="lowerLetter"/>
      <w:suff w:val="nothing"/>
      <w:lvlText w:val="%2."/>
      <w:lvlJc w:val="left"/>
      <w:pPr>
        <w:ind w:left="-360" w:firstLine="2520"/>
      </w:pPr>
      <w:rPr>
        <w:rFonts w:hint="default"/>
        <w:color w:val="000000"/>
        <w:position w:val="0"/>
        <w:sz w:val="24"/>
      </w:rPr>
    </w:lvl>
    <w:lvl w:ilvl="2">
      <w:start w:val="1"/>
      <w:numFmt w:val="lowerRoman"/>
      <w:suff w:val="nothing"/>
      <w:lvlText w:val="%3."/>
      <w:lvlJc w:val="left"/>
      <w:pPr>
        <w:ind w:left="-360" w:firstLine="3240"/>
      </w:pPr>
      <w:rPr>
        <w:rFonts w:hint="default"/>
        <w:color w:val="000000"/>
        <w:position w:val="0"/>
        <w:sz w:val="24"/>
      </w:rPr>
    </w:lvl>
    <w:lvl w:ilvl="3">
      <w:start w:val="1"/>
      <w:numFmt w:val="decimal"/>
      <w:isLgl/>
      <w:suff w:val="nothing"/>
      <w:lvlText w:val="%4."/>
      <w:lvlJc w:val="left"/>
      <w:pPr>
        <w:ind w:left="-360" w:firstLine="3960"/>
      </w:pPr>
      <w:rPr>
        <w:rFonts w:hint="default"/>
        <w:color w:val="000000"/>
        <w:position w:val="0"/>
        <w:sz w:val="24"/>
      </w:rPr>
    </w:lvl>
    <w:lvl w:ilvl="4">
      <w:start w:val="1"/>
      <w:numFmt w:val="lowerLetter"/>
      <w:suff w:val="nothing"/>
      <w:lvlText w:val="%5."/>
      <w:lvlJc w:val="left"/>
      <w:pPr>
        <w:ind w:left="-360" w:firstLine="4680"/>
      </w:pPr>
      <w:rPr>
        <w:rFonts w:hint="default"/>
        <w:color w:val="000000"/>
        <w:position w:val="0"/>
        <w:sz w:val="24"/>
      </w:rPr>
    </w:lvl>
    <w:lvl w:ilvl="5">
      <w:start w:val="1"/>
      <w:numFmt w:val="lowerRoman"/>
      <w:suff w:val="nothing"/>
      <w:lvlText w:val="%6."/>
      <w:lvlJc w:val="left"/>
      <w:pPr>
        <w:ind w:left="-360" w:firstLine="5400"/>
      </w:pPr>
      <w:rPr>
        <w:rFonts w:hint="default"/>
        <w:color w:val="000000"/>
        <w:position w:val="0"/>
        <w:sz w:val="24"/>
      </w:rPr>
    </w:lvl>
    <w:lvl w:ilvl="6">
      <w:start w:val="1"/>
      <w:numFmt w:val="decimal"/>
      <w:isLgl/>
      <w:suff w:val="nothing"/>
      <w:lvlText w:val="%7."/>
      <w:lvlJc w:val="left"/>
      <w:pPr>
        <w:ind w:left="-360" w:firstLine="6120"/>
      </w:pPr>
      <w:rPr>
        <w:rFonts w:hint="default"/>
        <w:color w:val="000000"/>
        <w:position w:val="0"/>
        <w:sz w:val="24"/>
      </w:rPr>
    </w:lvl>
    <w:lvl w:ilvl="7">
      <w:start w:val="1"/>
      <w:numFmt w:val="lowerLetter"/>
      <w:suff w:val="nothing"/>
      <w:lvlText w:val="%8."/>
      <w:lvlJc w:val="left"/>
      <w:pPr>
        <w:ind w:left="-360" w:firstLine="6840"/>
      </w:pPr>
      <w:rPr>
        <w:rFonts w:hint="default"/>
        <w:color w:val="000000"/>
        <w:position w:val="0"/>
        <w:sz w:val="24"/>
      </w:rPr>
    </w:lvl>
    <w:lvl w:ilvl="8">
      <w:start w:val="1"/>
      <w:numFmt w:val="lowerRoman"/>
      <w:suff w:val="nothing"/>
      <w:lvlText w:val="%9."/>
      <w:lvlJc w:val="left"/>
      <w:pPr>
        <w:ind w:left="-360" w:firstLine="7560"/>
      </w:pPr>
      <w:rPr>
        <w:rFonts w:hint="default"/>
        <w:color w:val="000000"/>
        <w:position w:val="0"/>
        <w:sz w:val="24"/>
      </w:rPr>
    </w:lvl>
  </w:abstractNum>
  <w:abstractNum w:abstractNumId="3" w15:restartNumberingAfterBreak="0">
    <w:nsid w:val="00000004"/>
    <w:multiLevelType w:val="multilevel"/>
    <w:tmpl w:val="894EE876"/>
    <w:lvl w:ilvl="0">
      <w:start w:val="3"/>
      <w:numFmt w:val="upperRoman"/>
      <w:suff w:val="nothing"/>
      <w:lvlText w:val="%1."/>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15:restartNumberingAfterBreak="0">
    <w:nsid w:val="00000005"/>
    <w:multiLevelType w:val="multilevel"/>
    <w:tmpl w:val="894EE877"/>
    <w:lvl w:ilvl="0">
      <w:start w:val="1"/>
      <w:numFmt w:val="upp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5" w15:restartNumberingAfterBreak="0">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6" w15:restartNumberingAfterBreak="0">
    <w:nsid w:val="00000008"/>
    <w:multiLevelType w:val="multilevel"/>
    <w:tmpl w:val="894EE87A"/>
    <w:lvl w:ilvl="0">
      <w:start w:val="4"/>
      <w:numFmt w:val="upperRoman"/>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7" w15:restartNumberingAfterBreak="0">
    <w:nsid w:val="007946FF"/>
    <w:multiLevelType w:val="hybridMultilevel"/>
    <w:tmpl w:val="BA48FF0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048D370F"/>
    <w:multiLevelType w:val="hybridMultilevel"/>
    <w:tmpl w:val="06BA8674"/>
    <w:lvl w:ilvl="0" w:tplc="240A0001">
      <w:start w:val="1"/>
      <w:numFmt w:val="bullet"/>
      <w:lvlText w:val=""/>
      <w:lvlJc w:val="left"/>
      <w:pPr>
        <w:ind w:left="360" w:hanging="360"/>
      </w:pPr>
      <w:rPr>
        <w:rFonts w:hint="default" w:ascii="Symbol" w:hAnsi="Symbol"/>
      </w:rPr>
    </w:lvl>
    <w:lvl w:ilvl="1" w:tplc="240A0003">
      <w:start w:val="1"/>
      <w:numFmt w:val="bullet"/>
      <w:lvlText w:val="o"/>
      <w:lvlJc w:val="left"/>
      <w:pPr>
        <w:ind w:left="1080" w:hanging="360"/>
      </w:pPr>
      <w:rPr>
        <w:rFonts w:hint="default" w:ascii="Courier New" w:hAnsi="Courier New" w:cs="Courier New"/>
      </w:rPr>
    </w:lvl>
    <w:lvl w:ilvl="2" w:tplc="240A0005">
      <w:start w:val="1"/>
      <w:numFmt w:val="bullet"/>
      <w:lvlText w:val=""/>
      <w:lvlJc w:val="left"/>
      <w:pPr>
        <w:ind w:left="1800" w:hanging="360"/>
      </w:pPr>
      <w:rPr>
        <w:rFonts w:hint="default" w:ascii="Wingdings" w:hAnsi="Wingdings"/>
      </w:rPr>
    </w:lvl>
    <w:lvl w:ilvl="3" w:tplc="240A0001">
      <w:start w:val="1"/>
      <w:numFmt w:val="bullet"/>
      <w:lvlText w:val=""/>
      <w:lvlJc w:val="left"/>
      <w:pPr>
        <w:ind w:left="2520" w:hanging="360"/>
      </w:pPr>
      <w:rPr>
        <w:rFonts w:hint="default" w:ascii="Symbol" w:hAnsi="Symbol"/>
      </w:rPr>
    </w:lvl>
    <w:lvl w:ilvl="4" w:tplc="240A0003">
      <w:start w:val="1"/>
      <w:numFmt w:val="bullet"/>
      <w:lvlText w:val="o"/>
      <w:lvlJc w:val="left"/>
      <w:pPr>
        <w:ind w:left="3240" w:hanging="360"/>
      </w:pPr>
      <w:rPr>
        <w:rFonts w:hint="default" w:ascii="Courier New" w:hAnsi="Courier New" w:cs="Courier New"/>
      </w:rPr>
    </w:lvl>
    <w:lvl w:ilvl="5" w:tplc="240A0005">
      <w:start w:val="1"/>
      <w:numFmt w:val="bullet"/>
      <w:lvlText w:val=""/>
      <w:lvlJc w:val="left"/>
      <w:pPr>
        <w:ind w:left="3960" w:hanging="360"/>
      </w:pPr>
      <w:rPr>
        <w:rFonts w:hint="default" w:ascii="Wingdings" w:hAnsi="Wingdings"/>
      </w:rPr>
    </w:lvl>
    <w:lvl w:ilvl="6" w:tplc="240A0001">
      <w:start w:val="1"/>
      <w:numFmt w:val="bullet"/>
      <w:lvlText w:val=""/>
      <w:lvlJc w:val="left"/>
      <w:pPr>
        <w:ind w:left="4680" w:hanging="360"/>
      </w:pPr>
      <w:rPr>
        <w:rFonts w:hint="default" w:ascii="Symbol" w:hAnsi="Symbol"/>
      </w:rPr>
    </w:lvl>
    <w:lvl w:ilvl="7" w:tplc="240A0003">
      <w:start w:val="1"/>
      <w:numFmt w:val="bullet"/>
      <w:lvlText w:val="o"/>
      <w:lvlJc w:val="left"/>
      <w:pPr>
        <w:ind w:left="5400" w:hanging="360"/>
      </w:pPr>
      <w:rPr>
        <w:rFonts w:hint="default" w:ascii="Courier New" w:hAnsi="Courier New" w:cs="Courier New"/>
      </w:rPr>
    </w:lvl>
    <w:lvl w:ilvl="8" w:tplc="240A0005">
      <w:start w:val="1"/>
      <w:numFmt w:val="bullet"/>
      <w:lvlText w:val=""/>
      <w:lvlJc w:val="left"/>
      <w:pPr>
        <w:ind w:left="6120" w:hanging="360"/>
      </w:pPr>
      <w:rPr>
        <w:rFonts w:hint="default" w:ascii="Wingdings" w:hAnsi="Wingdings"/>
      </w:rPr>
    </w:lvl>
  </w:abstractNum>
  <w:abstractNum w:abstractNumId="9" w15:restartNumberingAfterBreak="0">
    <w:nsid w:val="0C526800"/>
    <w:multiLevelType w:val="hybridMultilevel"/>
    <w:tmpl w:val="B37656E4"/>
    <w:lvl w:ilvl="0" w:tplc="23B09326">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0CDD1C4A"/>
    <w:multiLevelType w:val="hybridMultilevel"/>
    <w:tmpl w:val="C3C60DC0"/>
    <w:lvl w:ilvl="0" w:tplc="E33ABE2A">
      <w:start w:val="1"/>
      <w:numFmt w:val="decimal"/>
      <w:lvlText w:val="%1."/>
      <w:lvlJc w:val="left"/>
      <w:pPr>
        <w:ind w:left="720" w:hanging="360"/>
      </w:pPr>
      <w:rPr>
        <w:rFonts w:hint="default" w:ascii="Verdana" w:hAnsi="Verdan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2696F3C"/>
    <w:multiLevelType w:val="hybridMultilevel"/>
    <w:tmpl w:val="DC843ED6"/>
    <w:lvl w:ilvl="0" w:tplc="E77E823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72B09C3"/>
    <w:multiLevelType w:val="hybridMultilevel"/>
    <w:tmpl w:val="A1E2C978"/>
    <w:lvl w:ilvl="0" w:tplc="FFFFFFFF">
      <w:start w:val="1"/>
      <w:numFmt w:val="decimal"/>
      <w:lvlText w:val="(%1)"/>
      <w:lvlJc w:val="left"/>
      <w:pPr>
        <w:ind w:left="1080" w:hanging="720"/>
      </w:pPr>
      <w:rPr>
        <w:b/>
        <w:bCs w:val="0"/>
        <w:color w:val="FF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732123D"/>
    <w:multiLevelType w:val="hybridMultilevel"/>
    <w:tmpl w:val="7D988FEA"/>
    <w:lvl w:ilvl="0" w:tplc="6E96D08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18924C8F"/>
    <w:multiLevelType w:val="hybridMultilevel"/>
    <w:tmpl w:val="1EBEBC40"/>
    <w:lvl w:ilvl="0" w:tplc="240A0001">
      <w:start w:val="1"/>
      <w:numFmt w:val="bullet"/>
      <w:lvlText w:val=""/>
      <w:lvlJc w:val="left"/>
      <w:pPr>
        <w:ind w:left="360" w:hanging="360"/>
      </w:pPr>
      <w:rPr>
        <w:rFonts w:hint="default" w:ascii="Symbol" w:hAnsi="Symbol"/>
      </w:rPr>
    </w:lvl>
    <w:lvl w:ilvl="1" w:tplc="240A0003">
      <w:start w:val="1"/>
      <w:numFmt w:val="bullet"/>
      <w:lvlText w:val="o"/>
      <w:lvlJc w:val="left"/>
      <w:pPr>
        <w:ind w:left="1080" w:hanging="360"/>
      </w:pPr>
      <w:rPr>
        <w:rFonts w:hint="default" w:ascii="Courier New" w:hAnsi="Courier New" w:cs="Courier New"/>
      </w:rPr>
    </w:lvl>
    <w:lvl w:ilvl="2" w:tplc="240A0005">
      <w:start w:val="1"/>
      <w:numFmt w:val="bullet"/>
      <w:lvlText w:val=""/>
      <w:lvlJc w:val="left"/>
      <w:pPr>
        <w:ind w:left="1800" w:hanging="360"/>
      </w:pPr>
      <w:rPr>
        <w:rFonts w:hint="default" w:ascii="Wingdings" w:hAnsi="Wingdings"/>
      </w:rPr>
    </w:lvl>
    <w:lvl w:ilvl="3" w:tplc="240A0001">
      <w:start w:val="1"/>
      <w:numFmt w:val="bullet"/>
      <w:lvlText w:val=""/>
      <w:lvlJc w:val="left"/>
      <w:pPr>
        <w:ind w:left="2520" w:hanging="360"/>
      </w:pPr>
      <w:rPr>
        <w:rFonts w:hint="default" w:ascii="Symbol" w:hAnsi="Symbol"/>
      </w:rPr>
    </w:lvl>
    <w:lvl w:ilvl="4" w:tplc="240A0003">
      <w:start w:val="1"/>
      <w:numFmt w:val="bullet"/>
      <w:lvlText w:val="o"/>
      <w:lvlJc w:val="left"/>
      <w:pPr>
        <w:ind w:left="3240" w:hanging="360"/>
      </w:pPr>
      <w:rPr>
        <w:rFonts w:hint="default" w:ascii="Courier New" w:hAnsi="Courier New" w:cs="Courier New"/>
      </w:rPr>
    </w:lvl>
    <w:lvl w:ilvl="5" w:tplc="240A0005">
      <w:start w:val="1"/>
      <w:numFmt w:val="bullet"/>
      <w:lvlText w:val=""/>
      <w:lvlJc w:val="left"/>
      <w:pPr>
        <w:ind w:left="3960" w:hanging="360"/>
      </w:pPr>
      <w:rPr>
        <w:rFonts w:hint="default" w:ascii="Wingdings" w:hAnsi="Wingdings"/>
      </w:rPr>
    </w:lvl>
    <w:lvl w:ilvl="6" w:tplc="240A0001">
      <w:start w:val="1"/>
      <w:numFmt w:val="bullet"/>
      <w:lvlText w:val=""/>
      <w:lvlJc w:val="left"/>
      <w:pPr>
        <w:ind w:left="4680" w:hanging="360"/>
      </w:pPr>
      <w:rPr>
        <w:rFonts w:hint="default" w:ascii="Symbol" w:hAnsi="Symbol"/>
      </w:rPr>
    </w:lvl>
    <w:lvl w:ilvl="7" w:tplc="240A0003">
      <w:start w:val="1"/>
      <w:numFmt w:val="bullet"/>
      <w:lvlText w:val="o"/>
      <w:lvlJc w:val="left"/>
      <w:pPr>
        <w:ind w:left="5400" w:hanging="360"/>
      </w:pPr>
      <w:rPr>
        <w:rFonts w:hint="default" w:ascii="Courier New" w:hAnsi="Courier New" w:cs="Courier New"/>
      </w:rPr>
    </w:lvl>
    <w:lvl w:ilvl="8" w:tplc="240A0005">
      <w:start w:val="1"/>
      <w:numFmt w:val="bullet"/>
      <w:lvlText w:val=""/>
      <w:lvlJc w:val="left"/>
      <w:pPr>
        <w:ind w:left="6120" w:hanging="360"/>
      </w:pPr>
      <w:rPr>
        <w:rFonts w:hint="default" w:ascii="Wingdings" w:hAnsi="Wingdings"/>
      </w:rPr>
    </w:lvl>
  </w:abstractNum>
  <w:abstractNum w:abstractNumId="15" w15:restartNumberingAfterBreak="0">
    <w:nsid w:val="18FD599D"/>
    <w:multiLevelType w:val="hybridMultilevel"/>
    <w:tmpl w:val="490483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B996B61"/>
    <w:multiLevelType w:val="hybridMultilevel"/>
    <w:tmpl w:val="F92E001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ED225C6"/>
    <w:multiLevelType w:val="multilevel"/>
    <w:tmpl w:val="894EE875"/>
    <w:lvl w:ilvl="0">
      <w:start w:val="2"/>
      <w:numFmt w:val="upperLetter"/>
      <w:lvlText w:val="%1."/>
      <w:lvlJc w:val="left"/>
      <w:pPr>
        <w:tabs>
          <w:tab w:val="num" w:pos="360"/>
        </w:tabs>
        <w:ind w:left="360" w:firstLine="1440"/>
      </w:pPr>
      <w:rPr>
        <w:rFonts w:hint="default"/>
        <w:color w:val="000000"/>
        <w:position w:val="0"/>
        <w:sz w:val="24"/>
      </w:rPr>
    </w:lvl>
    <w:lvl w:ilvl="1">
      <w:start w:val="1"/>
      <w:numFmt w:val="lowerLetter"/>
      <w:suff w:val="nothing"/>
      <w:lvlText w:val="%2."/>
      <w:lvlJc w:val="left"/>
      <w:pPr>
        <w:ind w:left="0" w:firstLine="2520"/>
      </w:pPr>
      <w:rPr>
        <w:rFonts w:hint="default"/>
        <w:color w:val="000000"/>
        <w:position w:val="0"/>
        <w:sz w:val="24"/>
      </w:rPr>
    </w:lvl>
    <w:lvl w:ilvl="2">
      <w:start w:val="1"/>
      <w:numFmt w:val="lowerRoman"/>
      <w:suff w:val="nothing"/>
      <w:lvlText w:val="%3."/>
      <w:lvlJc w:val="left"/>
      <w:pPr>
        <w:ind w:left="0" w:firstLine="3240"/>
      </w:pPr>
      <w:rPr>
        <w:rFonts w:hint="default"/>
        <w:color w:val="000000"/>
        <w:position w:val="0"/>
        <w:sz w:val="24"/>
      </w:rPr>
    </w:lvl>
    <w:lvl w:ilvl="3">
      <w:start w:val="1"/>
      <w:numFmt w:val="decimal"/>
      <w:isLgl/>
      <w:suff w:val="nothing"/>
      <w:lvlText w:val="%4."/>
      <w:lvlJc w:val="left"/>
      <w:pPr>
        <w:ind w:left="0" w:firstLine="3960"/>
      </w:pPr>
      <w:rPr>
        <w:rFonts w:hint="default"/>
        <w:color w:val="000000"/>
        <w:position w:val="0"/>
        <w:sz w:val="24"/>
      </w:rPr>
    </w:lvl>
    <w:lvl w:ilvl="4">
      <w:start w:val="1"/>
      <w:numFmt w:val="lowerLetter"/>
      <w:suff w:val="nothing"/>
      <w:lvlText w:val="%5."/>
      <w:lvlJc w:val="left"/>
      <w:pPr>
        <w:ind w:left="0" w:firstLine="4680"/>
      </w:pPr>
      <w:rPr>
        <w:rFonts w:hint="default"/>
        <w:color w:val="000000"/>
        <w:position w:val="0"/>
        <w:sz w:val="24"/>
      </w:rPr>
    </w:lvl>
    <w:lvl w:ilvl="5">
      <w:start w:val="1"/>
      <w:numFmt w:val="lowerRoman"/>
      <w:suff w:val="nothing"/>
      <w:lvlText w:val="%6."/>
      <w:lvlJc w:val="left"/>
      <w:pPr>
        <w:ind w:left="0" w:firstLine="5400"/>
      </w:pPr>
      <w:rPr>
        <w:rFonts w:hint="default"/>
        <w:color w:val="000000"/>
        <w:position w:val="0"/>
        <w:sz w:val="24"/>
      </w:rPr>
    </w:lvl>
    <w:lvl w:ilvl="6">
      <w:start w:val="1"/>
      <w:numFmt w:val="decimal"/>
      <w:isLgl/>
      <w:suff w:val="nothing"/>
      <w:lvlText w:val="%7."/>
      <w:lvlJc w:val="left"/>
      <w:pPr>
        <w:ind w:left="0" w:firstLine="6120"/>
      </w:pPr>
      <w:rPr>
        <w:rFonts w:hint="default"/>
        <w:color w:val="000000"/>
        <w:position w:val="0"/>
        <w:sz w:val="24"/>
      </w:rPr>
    </w:lvl>
    <w:lvl w:ilvl="7">
      <w:start w:val="1"/>
      <w:numFmt w:val="lowerLetter"/>
      <w:suff w:val="nothing"/>
      <w:lvlText w:val="%8."/>
      <w:lvlJc w:val="left"/>
      <w:pPr>
        <w:ind w:left="0" w:firstLine="6840"/>
      </w:pPr>
      <w:rPr>
        <w:rFonts w:hint="default"/>
        <w:color w:val="000000"/>
        <w:position w:val="0"/>
        <w:sz w:val="24"/>
      </w:rPr>
    </w:lvl>
    <w:lvl w:ilvl="8">
      <w:start w:val="1"/>
      <w:numFmt w:val="lowerRoman"/>
      <w:suff w:val="nothing"/>
      <w:lvlText w:val="%9."/>
      <w:lvlJc w:val="left"/>
      <w:pPr>
        <w:ind w:left="0" w:firstLine="7560"/>
      </w:pPr>
      <w:rPr>
        <w:rFonts w:hint="default"/>
        <w:color w:val="000000"/>
        <w:position w:val="0"/>
        <w:sz w:val="24"/>
      </w:rPr>
    </w:lvl>
  </w:abstractNum>
  <w:abstractNum w:abstractNumId="18" w15:restartNumberingAfterBreak="0">
    <w:nsid w:val="24CD7E6B"/>
    <w:multiLevelType w:val="hybridMultilevel"/>
    <w:tmpl w:val="B74EA576"/>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26955090"/>
    <w:multiLevelType w:val="hybridMultilevel"/>
    <w:tmpl w:val="FFFFFFFF"/>
    <w:lvl w:ilvl="0" w:tplc="7DCEBBA8">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329A7A1B"/>
    <w:multiLevelType w:val="hybridMultilevel"/>
    <w:tmpl w:val="C3C60DC0"/>
    <w:lvl w:ilvl="0" w:tplc="FFFFFFFF">
      <w:start w:val="1"/>
      <w:numFmt w:val="decimal"/>
      <w:lvlText w:val="%1."/>
      <w:lvlJc w:val="left"/>
      <w:pPr>
        <w:ind w:left="720" w:hanging="360"/>
      </w:pPr>
      <w:rPr>
        <w:rFonts w:hint="default" w:ascii="Verdana" w:hAnsi="Verdan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31F5A81"/>
    <w:multiLevelType w:val="hybridMultilevel"/>
    <w:tmpl w:val="A1E2C978"/>
    <w:lvl w:ilvl="0" w:tplc="9D7E8524">
      <w:start w:val="1"/>
      <w:numFmt w:val="decimal"/>
      <w:lvlText w:val="(%1)"/>
      <w:lvlJc w:val="left"/>
      <w:pPr>
        <w:ind w:left="1080" w:hanging="720"/>
      </w:pPr>
      <w:rPr>
        <w:b/>
        <w:bCs w:val="0"/>
        <w:color w:val="FF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393D0F47"/>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3" w15:restartNumberingAfterBreak="0">
    <w:nsid w:val="3A44076E"/>
    <w:multiLevelType w:val="hybridMultilevel"/>
    <w:tmpl w:val="86EEC550"/>
    <w:lvl w:ilvl="0" w:tplc="08B43896">
      <w:numFmt w:val="bullet"/>
      <w:lvlText w:val="-"/>
      <w:lvlJc w:val="left"/>
      <w:pPr>
        <w:ind w:left="720" w:hanging="360"/>
      </w:pPr>
      <w:rPr>
        <w:rFonts w:hint="default" w:ascii="Arial" w:hAnsi="Arial" w:cs="Arial" w:eastAsiaTheme="minorHAnsi"/>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24" w15:restartNumberingAfterBreak="0">
    <w:nsid w:val="3C4D05C8"/>
    <w:multiLevelType w:val="hybridMultilevel"/>
    <w:tmpl w:val="32DA4400"/>
    <w:lvl w:ilvl="0" w:tplc="1AF237F8">
      <w:start w:val="1"/>
      <w:numFmt w:val="decimal"/>
      <w:lvlText w:val="%1."/>
      <w:lvlJc w:val="left"/>
      <w:pPr>
        <w:ind w:left="720" w:hanging="360"/>
      </w:pPr>
      <w:rPr>
        <w:rFonts w:hint="default" w:ascii="Verdana" w:hAnsi="Verdana"/>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D0D5E12"/>
    <w:multiLevelType w:val="hybridMultilevel"/>
    <w:tmpl w:val="0B1EF664"/>
    <w:lvl w:ilvl="0" w:tplc="0CA8E082">
      <w:start w:val="1"/>
      <w:numFmt w:val="decimal"/>
      <w:lvlText w:val="(%1)"/>
      <w:lvlJc w:val="left"/>
      <w:pPr>
        <w:ind w:left="1080" w:hanging="720"/>
      </w:pPr>
      <w:rPr>
        <w:b/>
        <w:bCs/>
        <w:color w:val="FF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498D5ED1"/>
    <w:multiLevelType w:val="hybridMultilevel"/>
    <w:tmpl w:val="063EF63E"/>
    <w:lvl w:ilvl="0" w:tplc="D31C86FC">
      <w:start w:val="1"/>
      <w:numFmt w:val="bullet"/>
      <w:lvlText w:val="-"/>
      <w:lvlJc w:val="left"/>
      <w:pPr>
        <w:ind w:left="720" w:hanging="360"/>
      </w:pPr>
      <w:rPr>
        <w:rFonts w:hint="default" w:ascii="Verdana" w:hAnsi="Verdana" w:cs="Arial" w:eastAsiaTheme="minorHAnsi"/>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27" w15:restartNumberingAfterBreak="0">
    <w:nsid w:val="566B062C"/>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28" w15:restartNumberingAfterBreak="0">
    <w:nsid w:val="5E692BB7"/>
    <w:multiLevelType w:val="hybridMultilevel"/>
    <w:tmpl w:val="61BE3052"/>
    <w:lvl w:ilvl="0" w:tplc="7A463412">
      <w:start w:val="2"/>
      <w:numFmt w:val="bullet"/>
      <w:lvlText w:val="-"/>
      <w:lvlJc w:val="left"/>
      <w:pPr>
        <w:ind w:left="720" w:hanging="360"/>
      </w:pPr>
      <w:rPr>
        <w:rFonts w:hint="default" w:ascii="Arial" w:hAnsi="Arial" w:eastAsia="MS Mincho" w:cs="Aria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29" w15:restartNumberingAfterBreak="0">
    <w:nsid w:val="65054B20"/>
    <w:multiLevelType w:val="hybridMultilevel"/>
    <w:tmpl w:val="6622A512"/>
    <w:lvl w:ilvl="0" w:tplc="D7C8B236">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65BE7B46"/>
    <w:multiLevelType w:val="hybridMultilevel"/>
    <w:tmpl w:val="BB649F20"/>
    <w:lvl w:ilvl="0" w:tplc="0A82A060">
      <w:start w:val="1"/>
      <w:numFmt w:val="decimal"/>
      <w:lvlText w:val="%1."/>
      <w:lvlJc w:val="left"/>
      <w:pPr>
        <w:ind w:left="720" w:hanging="360"/>
      </w:pPr>
      <w:rPr>
        <w:sz w:val="22"/>
        <w:szCs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1" w15:restartNumberingAfterBreak="0">
    <w:nsid w:val="68DF04A8"/>
    <w:multiLevelType w:val="hybridMultilevel"/>
    <w:tmpl w:val="A7C6DD7C"/>
    <w:lvl w:ilvl="0" w:tplc="DB4ED004">
      <w:start w:val="3"/>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2" w15:restartNumberingAfterBreak="0">
    <w:nsid w:val="6B2F37B9"/>
    <w:multiLevelType w:val="hybridMultilevel"/>
    <w:tmpl w:val="CD6890E6"/>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3" w15:restartNumberingAfterBreak="0">
    <w:nsid w:val="6C0952F1"/>
    <w:multiLevelType w:val="hybridMultilevel"/>
    <w:tmpl w:val="6CD8FEE2"/>
    <w:lvl w:ilvl="0" w:tplc="AC920008">
      <w:start w:val="1"/>
      <w:numFmt w:val="decimal"/>
      <w:lvlText w:val="%1."/>
      <w:lvlJc w:val="left"/>
      <w:pPr>
        <w:ind w:left="720" w:hanging="360"/>
      </w:pPr>
      <w:rPr>
        <w:rFonts w:hint="default" w:eastAsiaTheme="majorEastAsi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C13632C"/>
    <w:multiLevelType w:val="hybridMultilevel"/>
    <w:tmpl w:val="62C23240"/>
    <w:lvl w:ilvl="0" w:tplc="84FC44EC">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5" w15:restartNumberingAfterBreak="0">
    <w:nsid w:val="71C0304B"/>
    <w:multiLevelType w:val="hybridMultilevel"/>
    <w:tmpl w:val="A8A8CF2E"/>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6" w15:restartNumberingAfterBreak="0">
    <w:nsid w:val="71E35FC9"/>
    <w:multiLevelType w:val="hybridMultilevel"/>
    <w:tmpl w:val="456CD4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344546C"/>
    <w:multiLevelType w:val="hybridMultilevel"/>
    <w:tmpl w:val="1068B2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93183437">
    <w:abstractNumId w:val="9"/>
  </w:num>
  <w:num w:numId="2" w16cid:durableId="20592596">
    <w:abstractNumId w:val="31"/>
  </w:num>
  <w:num w:numId="3" w16cid:durableId="933394125">
    <w:abstractNumId w:val="0"/>
  </w:num>
  <w:num w:numId="4" w16cid:durableId="515342077">
    <w:abstractNumId w:val="1"/>
  </w:num>
  <w:num w:numId="5" w16cid:durableId="573861541">
    <w:abstractNumId w:val="4"/>
  </w:num>
  <w:num w:numId="6" w16cid:durableId="1840803180">
    <w:abstractNumId w:val="6"/>
  </w:num>
  <w:num w:numId="7" w16cid:durableId="406683316">
    <w:abstractNumId w:val="13"/>
  </w:num>
  <w:num w:numId="8" w16cid:durableId="2036687791">
    <w:abstractNumId w:val="2"/>
  </w:num>
  <w:num w:numId="9" w16cid:durableId="2071727029">
    <w:abstractNumId w:val="3"/>
  </w:num>
  <w:num w:numId="10" w16cid:durableId="2129665048">
    <w:abstractNumId w:val="5"/>
  </w:num>
  <w:num w:numId="11" w16cid:durableId="1735854679">
    <w:abstractNumId w:val="17"/>
  </w:num>
  <w:num w:numId="12" w16cid:durableId="2114203161">
    <w:abstractNumId w:val="11"/>
  </w:num>
  <w:num w:numId="13" w16cid:durableId="631253085">
    <w:abstractNumId w:val="7"/>
  </w:num>
  <w:num w:numId="14" w16cid:durableId="525219320">
    <w:abstractNumId w:val="36"/>
  </w:num>
  <w:num w:numId="15" w16cid:durableId="664937050">
    <w:abstractNumId w:val="16"/>
  </w:num>
  <w:num w:numId="16" w16cid:durableId="1551113272">
    <w:abstractNumId w:val="32"/>
  </w:num>
  <w:num w:numId="17" w16cid:durableId="2142721255">
    <w:abstractNumId w:val="27"/>
  </w:num>
  <w:num w:numId="18" w16cid:durableId="665867235">
    <w:abstractNumId w:val="22"/>
  </w:num>
  <w:num w:numId="19" w16cid:durableId="16700205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15143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55559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98488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4671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1225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8820618">
    <w:abstractNumId w:val="26"/>
  </w:num>
  <w:num w:numId="26" w16cid:durableId="10531907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55220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1198874">
    <w:abstractNumId w:val="28"/>
  </w:num>
  <w:num w:numId="29" w16cid:durableId="1483081521">
    <w:abstractNumId w:val="14"/>
  </w:num>
  <w:num w:numId="30" w16cid:durableId="2019189246">
    <w:abstractNumId w:val="23"/>
  </w:num>
  <w:num w:numId="31" w16cid:durableId="583032884">
    <w:abstractNumId w:val="8"/>
  </w:num>
  <w:num w:numId="32" w16cid:durableId="1242909436">
    <w:abstractNumId w:val="21"/>
  </w:num>
  <w:num w:numId="33" w16cid:durableId="1197885494">
    <w:abstractNumId w:val="12"/>
  </w:num>
  <w:num w:numId="34" w16cid:durableId="614092365">
    <w:abstractNumId w:val="10"/>
  </w:num>
  <w:num w:numId="35" w16cid:durableId="1883251011">
    <w:abstractNumId w:val="24"/>
  </w:num>
  <w:num w:numId="36" w16cid:durableId="1005087437">
    <w:abstractNumId w:val="20"/>
  </w:num>
  <w:num w:numId="37" w16cid:durableId="11168709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748270">
    <w:abstractNumId w:val="18"/>
  </w:num>
  <w:num w:numId="39" w16cid:durableId="134178512">
    <w:abstractNumId w:val="29"/>
  </w:num>
  <w:num w:numId="40" w16cid:durableId="842746757">
    <w:abstractNumId w:val="37"/>
  </w:num>
  <w:num w:numId="41" w16cid:durableId="1925994741">
    <w:abstractNumId w:val="15"/>
  </w:num>
  <w:num w:numId="42" w16cid:durableId="15110952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attachedTemplate r:id="rId1"/>
  <w:trackRevisions w:val="fals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12703"/>
    <w:rsid w:val="00015D8E"/>
    <w:rsid w:val="000322E3"/>
    <w:rsid w:val="000378CA"/>
    <w:rsid w:val="00042D32"/>
    <w:rsid w:val="00057AF8"/>
    <w:rsid w:val="000643E9"/>
    <w:rsid w:val="00066D3A"/>
    <w:rsid w:val="00073A1F"/>
    <w:rsid w:val="00075AD5"/>
    <w:rsid w:val="00077AA2"/>
    <w:rsid w:val="0008210A"/>
    <w:rsid w:val="0008507C"/>
    <w:rsid w:val="000875B3"/>
    <w:rsid w:val="000877D1"/>
    <w:rsid w:val="00093EB8"/>
    <w:rsid w:val="000A1163"/>
    <w:rsid w:val="000A2C67"/>
    <w:rsid w:val="000A2FC8"/>
    <w:rsid w:val="000A31BA"/>
    <w:rsid w:val="000A4383"/>
    <w:rsid w:val="000B20AE"/>
    <w:rsid w:val="000B56EC"/>
    <w:rsid w:val="000B5E16"/>
    <w:rsid w:val="000C2C96"/>
    <w:rsid w:val="000C4465"/>
    <w:rsid w:val="000C7574"/>
    <w:rsid w:val="000D09AB"/>
    <w:rsid w:val="000D466B"/>
    <w:rsid w:val="000D6114"/>
    <w:rsid w:val="000E1C20"/>
    <w:rsid w:val="000E42D0"/>
    <w:rsid w:val="000E4714"/>
    <w:rsid w:val="000E5163"/>
    <w:rsid w:val="000E6513"/>
    <w:rsid w:val="000F0BDC"/>
    <w:rsid w:val="000F0EAD"/>
    <w:rsid w:val="000F1CBA"/>
    <w:rsid w:val="000F3807"/>
    <w:rsid w:val="00101484"/>
    <w:rsid w:val="00103AE9"/>
    <w:rsid w:val="0010497F"/>
    <w:rsid w:val="001100A5"/>
    <w:rsid w:val="0011263A"/>
    <w:rsid w:val="00112712"/>
    <w:rsid w:val="0011350E"/>
    <w:rsid w:val="00114AE3"/>
    <w:rsid w:val="00117B7B"/>
    <w:rsid w:val="00120EEB"/>
    <w:rsid w:val="001258D6"/>
    <w:rsid w:val="001328AF"/>
    <w:rsid w:val="001339E2"/>
    <w:rsid w:val="0013472A"/>
    <w:rsid w:val="00144777"/>
    <w:rsid w:val="001448E3"/>
    <w:rsid w:val="00147E82"/>
    <w:rsid w:val="001515F9"/>
    <w:rsid w:val="001518F2"/>
    <w:rsid w:val="00151A1B"/>
    <w:rsid w:val="00153C65"/>
    <w:rsid w:val="00156301"/>
    <w:rsid w:val="00162618"/>
    <w:rsid w:val="0017111C"/>
    <w:rsid w:val="0017545B"/>
    <w:rsid w:val="00182DEA"/>
    <w:rsid w:val="0019035D"/>
    <w:rsid w:val="00191D96"/>
    <w:rsid w:val="00191E93"/>
    <w:rsid w:val="001A1ABA"/>
    <w:rsid w:val="001B0799"/>
    <w:rsid w:val="001C130C"/>
    <w:rsid w:val="001C2AA3"/>
    <w:rsid w:val="001D1F25"/>
    <w:rsid w:val="001D36C0"/>
    <w:rsid w:val="001D7796"/>
    <w:rsid w:val="001E3E05"/>
    <w:rsid w:val="001E50F4"/>
    <w:rsid w:val="001E5520"/>
    <w:rsid w:val="001E57B1"/>
    <w:rsid w:val="001E60E2"/>
    <w:rsid w:val="001F0127"/>
    <w:rsid w:val="001F0320"/>
    <w:rsid w:val="001F0B1A"/>
    <w:rsid w:val="001F4D1B"/>
    <w:rsid w:val="001F4ED2"/>
    <w:rsid w:val="001F6014"/>
    <w:rsid w:val="001F7009"/>
    <w:rsid w:val="001F72C4"/>
    <w:rsid w:val="00202F07"/>
    <w:rsid w:val="00206035"/>
    <w:rsid w:val="0020773D"/>
    <w:rsid w:val="0021375B"/>
    <w:rsid w:val="002176E6"/>
    <w:rsid w:val="002211EF"/>
    <w:rsid w:val="00221EF1"/>
    <w:rsid w:val="0022264A"/>
    <w:rsid w:val="00223C49"/>
    <w:rsid w:val="00226B16"/>
    <w:rsid w:val="00230454"/>
    <w:rsid w:val="00233AEC"/>
    <w:rsid w:val="00237795"/>
    <w:rsid w:val="00237DFE"/>
    <w:rsid w:val="002414B0"/>
    <w:rsid w:val="002427AF"/>
    <w:rsid w:val="0024487B"/>
    <w:rsid w:val="0024544C"/>
    <w:rsid w:val="002567A2"/>
    <w:rsid w:val="002658A7"/>
    <w:rsid w:val="00271E28"/>
    <w:rsid w:val="0027421A"/>
    <w:rsid w:val="00280A31"/>
    <w:rsid w:val="00283D9E"/>
    <w:rsid w:val="002850DB"/>
    <w:rsid w:val="002A13EA"/>
    <w:rsid w:val="002A2626"/>
    <w:rsid w:val="002A3033"/>
    <w:rsid w:val="002A6351"/>
    <w:rsid w:val="002B2812"/>
    <w:rsid w:val="002B2E03"/>
    <w:rsid w:val="002B3410"/>
    <w:rsid w:val="002B4E93"/>
    <w:rsid w:val="002C45F1"/>
    <w:rsid w:val="002C64C1"/>
    <w:rsid w:val="002C6BBE"/>
    <w:rsid w:val="002D3CF8"/>
    <w:rsid w:val="002D4B67"/>
    <w:rsid w:val="002D6C5F"/>
    <w:rsid w:val="002E3E8B"/>
    <w:rsid w:val="002E6BE9"/>
    <w:rsid w:val="002E72FA"/>
    <w:rsid w:val="002E7640"/>
    <w:rsid w:val="002E7778"/>
    <w:rsid w:val="002F01D9"/>
    <w:rsid w:val="00301846"/>
    <w:rsid w:val="0030295A"/>
    <w:rsid w:val="0030537E"/>
    <w:rsid w:val="003057C9"/>
    <w:rsid w:val="003226AB"/>
    <w:rsid w:val="0032474D"/>
    <w:rsid w:val="003300CE"/>
    <w:rsid w:val="00330AC6"/>
    <w:rsid w:val="0033289D"/>
    <w:rsid w:val="003334C8"/>
    <w:rsid w:val="00334292"/>
    <w:rsid w:val="0033489C"/>
    <w:rsid w:val="00336BAB"/>
    <w:rsid w:val="00340279"/>
    <w:rsid w:val="00341877"/>
    <w:rsid w:val="0034312A"/>
    <w:rsid w:val="003504AB"/>
    <w:rsid w:val="00350C08"/>
    <w:rsid w:val="0035116E"/>
    <w:rsid w:val="00355945"/>
    <w:rsid w:val="00355A8D"/>
    <w:rsid w:val="003560AE"/>
    <w:rsid w:val="00357DFD"/>
    <w:rsid w:val="00360422"/>
    <w:rsid w:val="0036144E"/>
    <w:rsid w:val="00370540"/>
    <w:rsid w:val="0038265A"/>
    <w:rsid w:val="00384066"/>
    <w:rsid w:val="00387857"/>
    <w:rsid w:val="00391021"/>
    <w:rsid w:val="0039344A"/>
    <w:rsid w:val="00395375"/>
    <w:rsid w:val="003A4D61"/>
    <w:rsid w:val="003A520B"/>
    <w:rsid w:val="003B1D05"/>
    <w:rsid w:val="003B27FA"/>
    <w:rsid w:val="003B7FE6"/>
    <w:rsid w:val="003C102D"/>
    <w:rsid w:val="003C2D00"/>
    <w:rsid w:val="003C6D25"/>
    <w:rsid w:val="003D4DD3"/>
    <w:rsid w:val="003D7FD2"/>
    <w:rsid w:val="003E31A7"/>
    <w:rsid w:val="003E59CF"/>
    <w:rsid w:val="003E632D"/>
    <w:rsid w:val="003E77FC"/>
    <w:rsid w:val="003F07EB"/>
    <w:rsid w:val="003F498A"/>
    <w:rsid w:val="003F59D9"/>
    <w:rsid w:val="003F617A"/>
    <w:rsid w:val="003F6A30"/>
    <w:rsid w:val="003F788E"/>
    <w:rsid w:val="003F7900"/>
    <w:rsid w:val="004047EF"/>
    <w:rsid w:val="004057C1"/>
    <w:rsid w:val="00410C94"/>
    <w:rsid w:val="004116CB"/>
    <w:rsid w:val="00412976"/>
    <w:rsid w:val="0041494D"/>
    <w:rsid w:val="004315F2"/>
    <w:rsid w:val="00434B41"/>
    <w:rsid w:val="00437A6B"/>
    <w:rsid w:val="0044344C"/>
    <w:rsid w:val="00447D2A"/>
    <w:rsid w:val="00453CE2"/>
    <w:rsid w:val="00467143"/>
    <w:rsid w:val="004700D0"/>
    <w:rsid w:val="00472DB8"/>
    <w:rsid w:val="00473B82"/>
    <w:rsid w:val="00473F70"/>
    <w:rsid w:val="00474633"/>
    <w:rsid w:val="0049010D"/>
    <w:rsid w:val="004A1831"/>
    <w:rsid w:val="004A7F0D"/>
    <w:rsid w:val="004B299B"/>
    <w:rsid w:val="004B2E63"/>
    <w:rsid w:val="004D66AD"/>
    <w:rsid w:val="004D68D2"/>
    <w:rsid w:val="004E4282"/>
    <w:rsid w:val="004E432F"/>
    <w:rsid w:val="004E4D21"/>
    <w:rsid w:val="004E7B18"/>
    <w:rsid w:val="004F2BB0"/>
    <w:rsid w:val="005125B0"/>
    <w:rsid w:val="00522100"/>
    <w:rsid w:val="0052323E"/>
    <w:rsid w:val="0053089E"/>
    <w:rsid w:val="00537794"/>
    <w:rsid w:val="0053783B"/>
    <w:rsid w:val="00537AEC"/>
    <w:rsid w:val="00542591"/>
    <w:rsid w:val="005445CE"/>
    <w:rsid w:val="00546580"/>
    <w:rsid w:val="00552AE0"/>
    <w:rsid w:val="00553C66"/>
    <w:rsid w:val="0055424A"/>
    <w:rsid w:val="00554A58"/>
    <w:rsid w:val="00555A0A"/>
    <w:rsid w:val="00561999"/>
    <w:rsid w:val="00561F31"/>
    <w:rsid w:val="00562716"/>
    <w:rsid w:val="00563A7E"/>
    <w:rsid w:val="00571ED1"/>
    <w:rsid w:val="00576B1D"/>
    <w:rsid w:val="00576F0C"/>
    <w:rsid w:val="00577720"/>
    <w:rsid w:val="00593364"/>
    <w:rsid w:val="005A27D0"/>
    <w:rsid w:val="005A34AD"/>
    <w:rsid w:val="005A3BD8"/>
    <w:rsid w:val="005B3DE5"/>
    <w:rsid w:val="005C4D95"/>
    <w:rsid w:val="005C5817"/>
    <w:rsid w:val="005C61AC"/>
    <w:rsid w:val="005C6301"/>
    <w:rsid w:val="005C7523"/>
    <w:rsid w:val="005D214D"/>
    <w:rsid w:val="005E04F5"/>
    <w:rsid w:val="005E1133"/>
    <w:rsid w:val="005E391D"/>
    <w:rsid w:val="005F097E"/>
    <w:rsid w:val="005F245D"/>
    <w:rsid w:val="005F726F"/>
    <w:rsid w:val="005F77DF"/>
    <w:rsid w:val="006003DA"/>
    <w:rsid w:val="0060069D"/>
    <w:rsid w:val="00604180"/>
    <w:rsid w:val="00605557"/>
    <w:rsid w:val="00611CFE"/>
    <w:rsid w:val="00616130"/>
    <w:rsid w:val="006170E3"/>
    <w:rsid w:val="006206EE"/>
    <w:rsid w:val="00621D5B"/>
    <w:rsid w:val="006252FE"/>
    <w:rsid w:val="00625968"/>
    <w:rsid w:val="00625FC7"/>
    <w:rsid w:val="00627358"/>
    <w:rsid w:val="0063188F"/>
    <w:rsid w:val="006335A7"/>
    <w:rsid w:val="00636431"/>
    <w:rsid w:val="00637572"/>
    <w:rsid w:val="00641321"/>
    <w:rsid w:val="006473B9"/>
    <w:rsid w:val="00675B68"/>
    <w:rsid w:val="00681239"/>
    <w:rsid w:val="006845A4"/>
    <w:rsid w:val="00687E5C"/>
    <w:rsid w:val="0069486D"/>
    <w:rsid w:val="00695F10"/>
    <w:rsid w:val="006A042D"/>
    <w:rsid w:val="006A05E2"/>
    <w:rsid w:val="006A18EF"/>
    <w:rsid w:val="006A29E0"/>
    <w:rsid w:val="006A61EF"/>
    <w:rsid w:val="006A7F83"/>
    <w:rsid w:val="006B4792"/>
    <w:rsid w:val="006B67C9"/>
    <w:rsid w:val="006C2B4A"/>
    <w:rsid w:val="006C3264"/>
    <w:rsid w:val="006C509B"/>
    <w:rsid w:val="006E137B"/>
    <w:rsid w:val="006E2545"/>
    <w:rsid w:val="006E358F"/>
    <w:rsid w:val="006E6704"/>
    <w:rsid w:val="00702037"/>
    <w:rsid w:val="00705EA4"/>
    <w:rsid w:val="00706F3E"/>
    <w:rsid w:val="00711742"/>
    <w:rsid w:val="00717F9F"/>
    <w:rsid w:val="0072156C"/>
    <w:rsid w:val="00721671"/>
    <w:rsid w:val="00724108"/>
    <w:rsid w:val="0072649A"/>
    <w:rsid w:val="007326C6"/>
    <w:rsid w:val="00736096"/>
    <w:rsid w:val="007364A7"/>
    <w:rsid w:val="00741E0C"/>
    <w:rsid w:val="0074221E"/>
    <w:rsid w:val="0074453A"/>
    <w:rsid w:val="00751CA6"/>
    <w:rsid w:val="00756840"/>
    <w:rsid w:val="007760F2"/>
    <w:rsid w:val="0077677C"/>
    <w:rsid w:val="00776D8A"/>
    <w:rsid w:val="007810B5"/>
    <w:rsid w:val="007902C2"/>
    <w:rsid w:val="00795F8F"/>
    <w:rsid w:val="00797B07"/>
    <w:rsid w:val="00797DA6"/>
    <w:rsid w:val="007A7D95"/>
    <w:rsid w:val="007B0435"/>
    <w:rsid w:val="007B0634"/>
    <w:rsid w:val="007B1D31"/>
    <w:rsid w:val="007B3E36"/>
    <w:rsid w:val="007D55D3"/>
    <w:rsid w:val="007E0BF0"/>
    <w:rsid w:val="007E2C10"/>
    <w:rsid w:val="007E55C0"/>
    <w:rsid w:val="0080212F"/>
    <w:rsid w:val="00804184"/>
    <w:rsid w:val="00807524"/>
    <w:rsid w:val="0081002E"/>
    <w:rsid w:val="00821320"/>
    <w:rsid w:val="00823102"/>
    <w:rsid w:val="00823719"/>
    <w:rsid w:val="00823ABF"/>
    <w:rsid w:val="008240C6"/>
    <w:rsid w:val="008341CE"/>
    <w:rsid w:val="008363B6"/>
    <w:rsid w:val="00843519"/>
    <w:rsid w:val="00844E5C"/>
    <w:rsid w:val="00846961"/>
    <w:rsid w:val="00846A44"/>
    <w:rsid w:val="00851356"/>
    <w:rsid w:val="008540DC"/>
    <w:rsid w:val="00857CA1"/>
    <w:rsid w:val="00862A45"/>
    <w:rsid w:val="008663CA"/>
    <w:rsid w:val="008674EE"/>
    <w:rsid w:val="00870E09"/>
    <w:rsid w:val="00874628"/>
    <w:rsid w:val="00876917"/>
    <w:rsid w:val="00891CEC"/>
    <w:rsid w:val="00894E28"/>
    <w:rsid w:val="008958DB"/>
    <w:rsid w:val="008A1BA2"/>
    <w:rsid w:val="008A1CEC"/>
    <w:rsid w:val="008A2D0E"/>
    <w:rsid w:val="008A2D15"/>
    <w:rsid w:val="008A4DC4"/>
    <w:rsid w:val="008A73E0"/>
    <w:rsid w:val="008B3DEC"/>
    <w:rsid w:val="008C0540"/>
    <w:rsid w:val="008C49F3"/>
    <w:rsid w:val="008C65A4"/>
    <w:rsid w:val="008C705B"/>
    <w:rsid w:val="008C712A"/>
    <w:rsid w:val="008D1EC0"/>
    <w:rsid w:val="008D65A9"/>
    <w:rsid w:val="008D7E24"/>
    <w:rsid w:val="008E33A2"/>
    <w:rsid w:val="008F0498"/>
    <w:rsid w:val="00902163"/>
    <w:rsid w:val="0090467A"/>
    <w:rsid w:val="00912181"/>
    <w:rsid w:val="0092035F"/>
    <w:rsid w:val="00931D87"/>
    <w:rsid w:val="009436F2"/>
    <w:rsid w:val="00944394"/>
    <w:rsid w:val="00945819"/>
    <w:rsid w:val="009600C8"/>
    <w:rsid w:val="0096240B"/>
    <w:rsid w:val="009677C0"/>
    <w:rsid w:val="0097261E"/>
    <w:rsid w:val="00982AC4"/>
    <w:rsid w:val="00992748"/>
    <w:rsid w:val="00996E42"/>
    <w:rsid w:val="00996E4F"/>
    <w:rsid w:val="0099728C"/>
    <w:rsid w:val="009A1CDC"/>
    <w:rsid w:val="009A34A5"/>
    <w:rsid w:val="009B1B29"/>
    <w:rsid w:val="009B3C7A"/>
    <w:rsid w:val="009B4F70"/>
    <w:rsid w:val="009B62ED"/>
    <w:rsid w:val="009B6655"/>
    <w:rsid w:val="009B6D63"/>
    <w:rsid w:val="009C1E4E"/>
    <w:rsid w:val="009C6FEB"/>
    <w:rsid w:val="009D2198"/>
    <w:rsid w:val="009D3916"/>
    <w:rsid w:val="009E36F1"/>
    <w:rsid w:val="009E447F"/>
    <w:rsid w:val="009E6F2A"/>
    <w:rsid w:val="009F1065"/>
    <w:rsid w:val="00A00B26"/>
    <w:rsid w:val="00A0642A"/>
    <w:rsid w:val="00A117D7"/>
    <w:rsid w:val="00A21993"/>
    <w:rsid w:val="00A235E4"/>
    <w:rsid w:val="00A240A7"/>
    <w:rsid w:val="00A25DEC"/>
    <w:rsid w:val="00A36875"/>
    <w:rsid w:val="00A405D3"/>
    <w:rsid w:val="00A45C91"/>
    <w:rsid w:val="00A50048"/>
    <w:rsid w:val="00A517BF"/>
    <w:rsid w:val="00A617A8"/>
    <w:rsid w:val="00A62B42"/>
    <w:rsid w:val="00A631C7"/>
    <w:rsid w:val="00A63200"/>
    <w:rsid w:val="00A646FC"/>
    <w:rsid w:val="00A65BBE"/>
    <w:rsid w:val="00A65FDF"/>
    <w:rsid w:val="00A71316"/>
    <w:rsid w:val="00A72233"/>
    <w:rsid w:val="00A77A34"/>
    <w:rsid w:val="00A82889"/>
    <w:rsid w:val="00A9281B"/>
    <w:rsid w:val="00A963CA"/>
    <w:rsid w:val="00AA3408"/>
    <w:rsid w:val="00AA56AC"/>
    <w:rsid w:val="00AA69E4"/>
    <w:rsid w:val="00AB3160"/>
    <w:rsid w:val="00AB51EB"/>
    <w:rsid w:val="00AC150F"/>
    <w:rsid w:val="00AC47A2"/>
    <w:rsid w:val="00AD0830"/>
    <w:rsid w:val="00AD0C6D"/>
    <w:rsid w:val="00AD3D48"/>
    <w:rsid w:val="00AD46E2"/>
    <w:rsid w:val="00AE1379"/>
    <w:rsid w:val="00AE60FB"/>
    <w:rsid w:val="00AF5DE1"/>
    <w:rsid w:val="00B01DA2"/>
    <w:rsid w:val="00B022F5"/>
    <w:rsid w:val="00B0369A"/>
    <w:rsid w:val="00B04F3C"/>
    <w:rsid w:val="00B04F94"/>
    <w:rsid w:val="00B114ED"/>
    <w:rsid w:val="00B13B7F"/>
    <w:rsid w:val="00B15D52"/>
    <w:rsid w:val="00B165CB"/>
    <w:rsid w:val="00B16A12"/>
    <w:rsid w:val="00B22F0D"/>
    <w:rsid w:val="00B23027"/>
    <w:rsid w:val="00B268C2"/>
    <w:rsid w:val="00B3089A"/>
    <w:rsid w:val="00B32956"/>
    <w:rsid w:val="00B32F87"/>
    <w:rsid w:val="00B412DF"/>
    <w:rsid w:val="00B41AE8"/>
    <w:rsid w:val="00B42B54"/>
    <w:rsid w:val="00B43896"/>
    <w:rsid w:val="00B44184"/>
    <w:rsid w:val="00B4713E"/>
    <w:rsid w:val="00B50692"/>
    <w:rsid w:val="00B51957"/>
    <w:rsid w:val="00B55812"/>
    <w:rsid w:val="00B56A74"/>
    <w:rsid w:val="00B62D9B"/>
    <w:rsid w:val="00B62FD1"/>
    <w:rsid w:val="00B650E9"/>
    <w:rsid w:val="00B66236"/>
    <w:rsid w:val="00B667E4"/>
    <w:rsid w:val="00B73CE0"/>
    <w:rsid w:val="00B74688"/>
    <w:rsid w:val="00B81583"/>
    <w:rsid w:val="00B81971"/>
    <w:rsid w:val="00B90B4B"/>
    <w:rsid w:val="00B9309E"/>
    <w:rsid w:val="00B95E00"/>
    <w:rsid w:val="00BA08A8"/>
    <w:rsid w:val="00BA1ABA"/>
    <w:rsid w:val="00BA317F"/>
    <w:rsid w:val="00BA46B9"/>
    <w:rsid w:val="00BB23F6"/>
    <w:rsid w:val="00BB2B65"/>
    <w:rsid w:val="00BB3FEA"/>
    <w:rsid w:val="00BB40CD"/>
    <w:rsid w:val="00BB5205"/>
    <w:rsid w:val="00BB76D5"/>
    <w:rsid w:val="00BC14DC"/>
    <w:rsid w:val="00BC1762"/>
    <w:rsid w:val="00BC1820"/>
    <w:rsid w:val="00BC6847"/>
    <w:rsid w:val="00BC6ABE"/>
    <w:rsid w:val="00BE7194"/>
    <w:rsid w:val="00BF7E7E"/>
    <w:rsid w:val="00C01637"/>
    <w:rsid w:val="00C0298B"/>
    <w:rsid w:val="00C057ED"/>
    <w:rsid w:val="00C10D22"/>
    <w:rsid w:val="00C11141"/>
    <w:rsid w:val="00C27A77"/>
    <w:rsid w:val="00C27CC8"/>
    <w:rsid w:val="00C32D7F"/>
    <w:rsid w:val="00C427C0"/>
    <w:rsid w:val="00C447A9"/>
    <w:rsid w:val="00C45AFC"/>
    <w:rsid w:val="00C47352"/>
    <w:rsid w:val="00C52A22"/>
    <w:rsid w:val="00C539EB"/>
    <w:rsid w:val="00C5538B"/>
    <w:rsid w:val="00C55691"/>
    <w:rsid w:val="00C6415B"/>
    <w:rsid w:val="00C668DD"/>
    <w:rsid w:val="00C67A77"/>
    <w:rsid w:val="00C75DA9"/>
    <w:rsid w:val="00C77C56"/>
    <w:rsid w:val="00C90BA5"/>
    <w:rsid w:val="00C9405C"/>
    <w:rsid w:val="00C943ED"/>
    <w:rsid w:val="00C94DE4"/>
    <w:rsid w:val="00C976B7"/>
    <w:rsid w:val="00CA4476"/>
    <w:rsid w:val="00CA4EF8"/>
    <w:rsid w:val="00CA5028"/>
    <w:rsid w:val="00CA68B0"/>
    <w:rsid w:val="00CB3B4B"/>
    <w:rsid w:val="00CB6B23"/>
    <w:rsid w:val="00CB70F7"/>
    <w:rsid w:val="00CD1C0F"/>
    <w:rsid w:val="00CD2418"/>
    <w:rsid w:val="00CE200A"/>
    <w:rsid w:val="00CE34D2"/>
    <w:rsid w:val="00CE7065"/>
    <w:rsid w:val="00CE7E95"/>
    <w:rsid w:val="00CF4359"/>
    <w:rsid w:val="00CF5704"/>
    <w:rsid w:val="00D0144F"/>
    <w:rsid w:val="00D06885"/>
    <w:rsid w:val="00D12651"/>
    <w:rsid w:val="00D12FFB"/>
    <w:rsid w:val="00D210E1"/>
    <w:rsid w:val="00D2162C"/>
    <w:rsid w:val="00D27A6F"/>
    <w:rsid w:val="00D45F04"/>
    <w:rsid w:val="00D55234"/>
    <w:rsid w:val="00D73637"/>
    <w:rsid w:val="00D8162B"/>
    <w:rsid w:val="00D85863"/>
    <w:rsid w:val="00DB1A70"/>
    <w:rsid w:val="00DB1B9A"/>
    <w:rsid w:val="00DB2423"/>
    <w:rsid w:val="00DB264B"/>
    <w:rsid w:val="00DC25D3"/>
    <w:rsid w:val="00DC2787"/>
    <w:rsid w:val="00DC60BE"/>
    <w:rsid w:val="00DD3C3F"/>
    <w:rsid w:val="00DD4C14"/>
    <w:rsid w:val="00DE41EC"/>
    <w:rsid w:val="00DF13EB"/>
    <w:rsid w:val="00DF4CC1"/>
    <w:rsid w:val="00E02036"/>
    <w:rsid w:val="00E02276"/>
    <w:rsid w:val="00E11760"/>
    <w:rsid w:val="00E11C81"/>
    <w:rsid w:val="00E14B50"/>
    <w:rsid w:val="00E15BE8"/>
    <w:rsid w:val="00E20124"/>
    <w:rsid w:val="00E21565"/>
    <w:rsid w:val="00E22584"/>
    <w:rsid w:val="00E30903"/>
    <w:rsid w:val="00E33180"/>
    <w:rsid w:val="00E35077"/>
    <w:rsid w:val="00E35715"/>
    <w:rsid w:val="00E35E3F"/>
    <w:rsid w:val="00E40750"/>
    <w:rsid w:val="00E45087"/>
    <w:rsid w:val="00E51233"/>
    <w:rsid w:val="00E52570"/>
    <w:rsid w:val="00E543C2"/>
    <w:rsid w:val="00E5464B"/>
    <w:rsid w:val="00E5534B"/>
    <w:rsid w:val="00E603F8"/>
    <w:rsid w:val="00E61E67"/>
    <w:rsid w:val="00E674BE"/>
    <w:rsid w:val="00E678D9"/>
    <w:rsid w:val="00E71A3E"/>
    <w:rsid w:val="00E72535"/>
    <w:rsid w:val="00E83CF8"/>
    <w:rsid w:val="00E84405"/>
    <w:rsid w:val="00E84A33"/>
    <w:rsid w:val="00E97BFD"/>
    <w:rsid w:val="00EA1AF5"/>
    <w:rsid w:val="00EA4457"/>
    <w:rsid w:val="00EB2676"/>
    <w:rsid w:val="00EB2BC9"/>
    <w:rsid w:val="00EB3399"/>
    <w:rsid w:val="00EB3AAB"/>
    <w:rsid w:val="00ED18DF"/>
    <w:rsid w:val="00ED2360"/>
    <w:rsid w:val="00ED3344"/>
    <w:rsid w:val="00ED42E5"/>
    <w:rsid w:val="00EE10E1"/>
    <w:rsid w:val="00EE231F"/>
    <w:rsid w:val="00EE3936"/>
    <w:rsid w:val="00EF04A8"/>
    <w:rsid w:val="00EF27B9"/>
    <w:rsid w:val="00EF3D14"/>
    <w:rsid w:val="00EF523B"/>
    <w:rsid w:val="00EF6C25"/>
    <w:rsid w:val="00F018CF"/>
    <w:rsid w:val="00F01F75"/>
    <w:rsid w:val="00F02B45"/>
    <w:rsid w:val="00F04D0A"/>
    <w:rsid w:val="00F10C44"/>
    <w:rsid w:val="00F140E1"/>
    <w:rsid w:val="00F15156"/>
    <w:rsid w:val="00F17232"/>
    <w:rsid w:val="00F2208E"/>
    <w:rsid w:val="00F231A6"/>
    <w:rsid w:val="00F25334"/>
    <w:rsid w:val="00F267FC"/>
    <w:rsid w:val="00F310FC"/>
    <w:rsid w:val="00F31BF9"/>
    <w:rsid w:val="00F321D7"/>
    <w:rsid w:val="00F34DFC"/>
    <w:rsid w:val="00F374E1"/>
    <w:rsid w:val="00F418EA"/>
    <w:rsid w:val="00F436BA"/>
    <w:rsid w:val="00F46181"/>
    <w:rsid w:val="00F565B6"/>
    <w:rsid w:val="00F62A45"/>
    <w:rsid w:val="00F65748"/>
    <w:rsid w:val="00F65E5D"/>
    <w:rsid w:val="00F67ADD"/>
    <w:rsid w:val="00F71345"/>
    <w:rsid w:val="00F77A5D"/>
    <w:rsid w:val="00F80CAD"/>
    <w:rsid w:val="00F82BD2"/>
    <w:rsid w:val="00F87245"/>
    <w:rsid w:val="00F93F04"/>
    <w:rsid w:val="00F970D0"/>
    <w:rsid w:val="00FA3ED9"/>
    <w:rsid w:val="00FB1419"/>
    <w:rsid w:val="00FB1E9A"/>
    <w:rsid w:val="00FB58C7"/>
    <w:rsid w:val="00FB5FAF"/>
    <w:rsid w:val="00FC0473"/>
    <w:rsid w:val="00FC1BF5"/>
    <w:rsid w:val="00FC4A32"/>
    <w:rsid w:val="00FC6157"/>
    <w:rsid w:val="00FC6FE9"/>
    <w:rsid w:val="00FD4185"/>
    <w:rsid w:val="00FD6239"/>
    <w:rsid w:val="00FE1869"/>
    <w:rsid w:val="00FE367E"/>
    <w:rsid w:val="00FE46EB"/>
    <w:rsid w:val="00FF0B33"/>
    <w:rsid w:val="00FF40D6"/>
    <w:rsid w:val="00FF4B12"/>
    <w:rsid w:val="00FF6628"/>
    <w:rsid w:val="00FF7CCF"/>
    <w:rsid w:val="00FF7D8A"/>
    <w:rsid w:val="09D9898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C0DD5"/>
  <w15:docId w15:val="{B55D37C6-0281-470E-86A6-FDF20B40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0830"/>
    <w:rPr>
      <w:rFonts w:ascii="Times New Roman" w:hAnsi="Times New Roman" w:eastAsia="MS Mincho" w:cs="Times New Roman"/>
      <w:sz w:val="24"/>
      <w:szCs w:val="24"/>
      <w:lang w:val="es-ES" w:eastAsia="es-ES"/>
    </w:rPr>
  </w:style>
  <w:style w:type="paragraph" w:styleId="Ttulo1">
    <w:name w:val="heading 1"/>
    <w:basedOn w:val="Normal"/>
    <w:next w:val="Normal"/>
    <w:link w:val="Ttulo1Car"/>
    <w:uiPriority w:val="9"/>
    <w:qFormat/>
    <w:rsid w:val="00CE200A"/>
    <w:pPr>
      <w:keepNext/>
      <w:keepLines/>
      <w:spacing w:before="240" w:line="256" w:lineRule="auto"/>
      <w:outlineLvl w:val="0"/>
    </w:pPr>
    <w:rPr>
      <w:rFonts w:asciiTheme="majorHAnsi" w:hAnsiTheme="majorHAnsi" w:eastAsiaTheme="majorEastAsia" w:cstheme="majorBidi"/>
      <w:color w:val="365F91" w:themeColor="accent1" w:themeShade="BF"/>
      <w:kern w:val="2"/>
      <w:sz w:val="32"/>
      <w:szCs w:val="32"/>
      <w:lang w:val="es-CO" w:eastAsia="en-US"/>
    </w:rPr>
  </w:style>
  <w:style w:type="paragraph" w:styleId="Ttulo2">
    <w:name w:val="heading 2"/>
    <w:basedOn w:val="Normal"/>
    <w:next w:val="Normal"/>
    <w:link w:val="Ttulo2Car"/>
    <w:uiPriority w:val="9"/>
    <w:unhideWhenUsed/>
    <w:qFormat/>
    <w:rsid w:val="00CE200A"/>
    <w:pPr>
      <w:keepNext/>
      <w:keepLines/>
      <w:spacing w:before="40"/>
      <w:outlineLvl w:val="1"/>
    </w:pPr>
    <w:rPr>
      <w:rFonts w:asciiTheme="majorHAnsi" w:hAnsiTheme="majorHAnsi" w:eastAsiaTheme="majorEastAsia" w:cstheme="majorBidi"/>
      <w:color w:val="365F91" w:themeColor="accent1" w:themeShade="BF"/>
      <w:sz w:val="26"/>
      <w:szCs w:val="26"/>
      <w:lang w:val="es-CO"/>
    </w:rPr>
  </w:style>
  <w:style w:type="paragraph" w:styleId="Ttulo3">
    <w:name w:val="heading 3"/>
    <w:basedOn w:val="Normal"/>
    <w:next w:val="Normal"/>
    <w:link w:val="Ttulo3Car"/>
    <w:uiPriority w:val="9"/>
    <w:unhideWhenUsed/>
    <w:qFormat/>
    <w:rsid w:val="00CE200A"/>
    <w:pPr>
      <w:keepNext/>
      <w:keepLines/>
      <w:spacing w:before="40"/>
      <w:outlineLvl w:val="2"/>
    </w:pPr>
    <w:rPr>
      <w:rFonts w:asciiTheme="majorHAnsi" w:hAnsiTheme="majorHAnsi" w:eastAsiaTheme="majorEastAsia" w:cstheme="majorBidi"/>
      <w:color w:val="243F60"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hAnsiTheme="minorHAnsi" w:eastAsiaTheme="minorHAnsi" w:cstheme="minorBidi"/>
      <w:sz w:val="22"/>
      <w:szCs w:val="22"/>
      <w:lang w:val="es-CO" w:eastAsia="en-US"/>
    </w:rPr>
  </w:style>
  <w:style w:type="character" w:styleId="EncabezadoCar" w:customStyle="1">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hAnsiTheme="minorHAnsi" w:eastAsiaTheme="minorHAnsi" w:cstheme="minorBidi"/>
      <w:sz w:val="22"/>
      <w:szCs w:val="22"/>
      <w:lang w:val="es-CO" w:eastAsia="en-US"/>
    </w:rPr>
  </w:style>
  <w:style w:type="character" w:styleId="PiedepginaCar" w:customStyle="1">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hAnsi="Tahoma" w:cs="Tahoma" w:eastAsiaTheme="minorHAnsi"/>
      <w:sz w:val="16"/>
      <w:szCs w:val="16"/>
      <w:lang w:val="es-CO" w:eastAsia="en-US"/>
    </w:rPr>
  </w:style>
  <w:style w:type="character" w:styleId="TextodegloboCar" w:customStyle="1">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List,Normal. Viñetas,titulo 3,Ha,Bullets,Lista vistosa - Énfasis 11,Cuadrícula clara - Énfasis 31"/>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styleId="Prrafodelista1" w:customStyle="1">
    <w:name w:val="Párrafo de lista1"/>
    <w:rsid w:val="0080212F"/>
    <w:pPr>
      <w:ind w:left="720"/>
    </w:pPr>
    <w:rPr>
      <w:rFonts w:ascii="Times New Roman" w:hAnsi="Times New Roman" w:eastAsia="ヒラギノ角ゴ Pro W3" w:cs="Times New Roman"/>
      <w:color w:val="000000"/>
      <w:sz w:val="24"/>
      <w:szCs w:val="20"/>
      <w:lang w:val="es-ES_tradnl" w:eastAsia="es-CO"/>
    </w:rPr>
  </w:style>
  <w:style w:type="paragraph" w:styleId="FormatolibreCB" w:customStyle="1">
    <w:name w:val="Formato libre C B"/>
    <w:autoRedefine/>
    <w:rsid w:val="0080212F"/>
    <w:rPr>
      <w:rFonts w:ascii="Times New Roman" w:hAnsi="Times New Roman" w:eastAsia="ヒラギノ角ゴ Pro W3" w:cs="Times New Roman"/>
      <w:color w:val="000000"/>
      <w:sz w:val="20"/>
      <w:szCs w:val="20"/>
      <w:lang w:eastAsia="es-CO"/>
    </w:rPr>
  </w:style>
  <w:style w:type="paragraph" w:styleId="FormatolibreCAAA" w:customStyle="1">
    <w:name w:val="Formato libre C A A A"/>
    <w:rsid w:val="0080212F"/>
    <w:rPr>
      <w:rFonts w:ascii="Times New Roman" w:hAnsi="Times New Roman" w:eastAsia="ヒラギノ角ゴ Pro W3" w:cs="Times New Roman"/>
      <w:color w:val="000000"/>
      <w:sz w:val="20"/>
      <w:szCs w:val="20"/>
      <w:lang w:eastAsia="es-CO"/>
    </w:rPr>
  </w:style>
  <w:style w:type="paragraph" w:styleId="Formatolibre" w:customStyle="1">
    <w:name w:val="Formato libre"/>
    <w:rsid w:val="00FD4185"/>
    <w:rPr>
      <w:rFonts w:ascii="Times New Roman" w:hAnsi="Times New Roman" w:eastAsia="ヒラギノ角ゴ Pro W3" w:cs="Times New Roman"/>
      <w:color w:val="000000"/>
      <w:sz w:val="20"/>
      <w:szCs w:val="20"/>
      <w:lang w:eastAsia="es-CO"/>
    </w:rPr>
  </w:style>
  <w:style w:type="paragraph" w:styleId="FormatolibreCA" w:customStyle="1">
    <w:name w:val="Formato libre C A"/>
    <w:rsid w:val="00FD4185"/>
    <w:rPr>
      <w:rFonts w:ascii="Times New Roman" w:hAnsi="Times New Roman" w:eastAsia="ヒラギノ角ゴ Pro W3" w:cs="Times New Roman"/>
      <w:color w:val="000000"/>
      <w:sz w:val="20"/>
      <w:szCs w:val="20"/>
      <w:lang w:eastAsia="es-CO"/>
    </w:rPr>
  </w:style>
  <w:style w:type="paragraph" w:styleId="Prrafodelista2" w:customStyle="1">
    <w:name w:val="Párrafo de lista2"/>
    <w:rsid w:val="00FD4185"/>
    <w:pPr>
      <w:ind w:left="720"/>
    </w:pPr>
    <w:rPr>
      <w:rFonts w:ascii="Times New Roman" w:hAnsi="Times New Roman" w:eastAsia="ヒラギノ角ゴ Pro W3"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styleId="TextocomentarioCar" w:customStyle="1">
    <w:name w:val="Texto comentario Car"/>
    <w:basedOn w:val="Fuentedeprrafopredeter"/>
    <w:link w:val="Textocomentario"/>
    <w:uiPriority w:val="99"/>
    <w:rsid w:val="00CB6B23"/>
    <w:rPr>
      <w:rFonts w:ascii="Times New Roman" w:hAnsi="Times New Roman" w:eastAsia="MS Mincho"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styleId="AsuntodelcomentarioCar" w:customStyle="1">
    <w:name w:val="Asunto del comentario Car"/>
    <w:basedOn w:val="TextocomentarioCar"/>
    <w:link w:val="Asuntodelcomentario"/>
    <w:uiPriority w:val="99"/>
    <w:semiHidden/>
    <w:rsid w:val="00CB6B23"/>
    <w:rPr>
      <w:rFonts w:ascii="Times New Roman" w:hAnsi="Times New Roman" w:eastAsia="MS Mincho"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styleId="Ttulo1Car" w:customStyle="1">
    <w:name w:val="Título 1 Car"/>
    <w:basedOn w:val="Fuentedeprrafopredeter"/>
    <w:link w:val="Ttulo1"/>
    <w:uiPriority w:val="9"/>
    <w:rsid w:val="00CE200A"/>
    <w:rPr>
      <w:rFonts w:asciiTheme="majorHAnsi" w:hAnsiTheme="majorHAnsi" w:eastAsiaTheme="majorEastAsia" w:cstheme="majorBidi"/>
      <w:color w:val="365F91" w:themeColor="accent1" w:themeShade="BF"/>
      <w:kern w:val="2"/>
      <w:sz w:val="32"/>
      <w:szCs w:val="32"/>
    </w:rPr>
  </w:style>
  <w:style w:type="character" w:styleId="Ttulo2Car" w:customStyle="1">
    <w:name w:val="Título 2 Car"/>
    <w:basedOn w:val="Fuentedeprrafopredeter"/>
    <w:link w:val="Ttulo2"/>
    <w:uiPriority w:val="9"/>
    <w:rsid w:val="00CE200A"/>
    <w:rPr>
      <w:rFonts w:asciiTheme="majorHAnsi" w:hAnsiTheme="majorHAnsi" w:eastAsiaTheme="majorEastAsia" w:cstheme="majorBidi"/>
      <w:color w:val="365F91" w:themeColor="accent1" w:themeShade="BF"/>
      <w:sz w:val="26"/>
      <w:szCs w:val="26"/>
      <w:lang w:eastAsia="es-ES"/>
    </w:rPr>
  </w:style>
  <w:style w:type="character" w:styleId="Ttulo3Car" w:customStyle="1">
    <w:name w:val="Título 3 Car"/>
    <w:basedOn w:val="Fuentedeprrafopredeter"/>
    <w:link w:val="Ttulo3"/>
    <w:uiPriority w:val="9"/>
    <w:rsid w:val="00CE200A"/>
    <w:rPr>
      <w:rFonts w:asciiTheme="majorHAnsi" w:hAnsiTheme="majorHAnsi" w:eastAsiaTheme="majorEastAsia" w:cstheme="majorBidi"/>
      <w:color w:val="243F60" w:themeColor="accent1" w:themeShade="7F"/>
      <w:sz w:val="24"/>
      <w:szCs w:val="24"/>
      <w:lang w:val="es-ES" w:eastAsia="es-ES"/>
    </w:rPr>
  </w:style>
  <w:style w:type="character" w:styleId="Hipervnculovisitado">
    <w:name w:val="FollowedHyperlink"/>
    <w:basedOn w:val="Fuentedeprrafopredeter"/>
    <w:uiPriority w:val="99"/>
    <w:semiHidden/>
    <w:unhideWhenUsed/>
    <w:rsid w:val="00CE200A"/>
    <w:rPr>
      <w:color w:val="800080" w:themeColor="followedHyperlink"/>
      <w:u w:val="single"/>
    </w:rPr>
  </w:style>
  <w:style w:type="paragraph" w:styleId="msonormal0" w:customStyle="1">
    <w:name w:val="msonormal"/>
    <w:basedOn w:val="Normal"/>
    <w:rsid w:val="00CE200A"/>
    <w:pPr>
      <w:spacing w:before="100" w:beforeAutospacing="1" w:after="100" w:afterAutospacing="1"/>
    </w:pPr>
    <w:rPr>
      <w:rFonts w:eastAsia="Times New Roman"/>
      <w:lang w:val="es-CO" w:eastAsia="es-CO"/>
    </w:rPr>
  </w:style>
  <w:style w:type="character" w:styleId="SinespaciadoCar" w:customStyle="1">
    <w:name w:val="Sin espaciado Car"/>
    <w:aliases w:val="Subtitulo Car"/>
    <w:basedOn w:val="Fuentedeprrafopredeter"/>
    <w:link w:val="Sinespaciado"/>
    <w:uiPriority w:val="1"/>
    <w:locked/>
    <w:rsid w:val="00CE200A"/>
  </w:style>
  <w:style w:type="character" w:styleId="PrrafodelistaCar" w:customStyle="1">
    <w:name w:val="Párrafo de lista Car"/>
    <w:aliases w:val="List Car,Normal. Viñetas Car,titulo 3 Car,Ha Car,Bullets Car,Lista vistosa - Énfasis 11 Car,Cuadrícula clara - Énfasis 31 Car"/>
    <w:link w:val="Prrafodelista"/>
    <w:uiPriority w:val="34"/>
    <w:locked/>
    <w:rsid w:val="00CE200A"/>
    <w:rPr>
      <w:rFonts w:ascii="Times New Roman" w:hAnsi="Times New Roman" w:eastAsia="MS Mincho" w:cs="Times New Roman"/>
      <w:sz w:val="24"/>
      <w:szCs w:val="24"/>
      <w:lang w:val="es-ES" w:eastAsia="es-ES"/>
    </w:rPr>
  </w:style>
  <w:style w:type="paragraph" w:styleId="paragraph" w:customStyle="1">
    <w:name w:val="paragraph"/>
    <w:basedOn w:val="Normal"/>
    <w:rsid w:val="00CE200A"/>
    <w:pPr>
      <w:spacing w:before="100" w:beforeAutospacing="1" w:after="100" w:afterAutospacing="1"/>
    </w:pPr>
    <w:rPr>
      <w:rFonts w:eastAsia="Times New Roman"/>
      <w:lang w:val="es-CO" w:eastAsia="es-CO"/>
    </w:rPr>
  </w:style>
  <w:style w:type="character" w:styleId="Mencinsinresolver1" w:customStyle="1">
    <w:name w:val="Mención sin resolver1"/>
    <w:basedOn w:val="Fuentedeprrafopredeter"/>
    <w:uiPriority w:val="99"/>
    <w:semiHidden/>
    <w:rsid w:val="00CE200A"/>
    <w:rPr>
      <w:color w:val="605E5C"/>
      <w:shd w:val="clear" w:color="auto" w:fill="E1DFDD"/>
    </w:rPr>
  </w:style>
  <w:style w:type="character" w:styleId="normaltextrun" w:customStyle="1">
    <w:name w:val="normaltextrun"/>
    <w:basedOn w:val="Fuentedeprrafopredeter"/>
    <w:rsid w:val="00CE200A"/>
  </w:style>
  <w:style w:type="character" w:styleId="eop" w:customStyle="1">
    <w:name w:val="eop"/>
    <w:basedOn w:val="Fuentedeprrafopredeter"/>
    <w:rsid w:val="00CE200A"/>
  </w:style>
  <w:style w:type="character" w:styleId="xxelementtoproof" w:customStyle="1">
    <w:name w:val="x_x_elementtoproof"/>
    <w:basedOn w:val="Fuentedeprrafopredeter"/>
    <w:rsid w:val="00CE200A"/>
  </w:style>
  <w:style w:type="character" w:styleId="ui-provider" w:customStyle="1">
    <w:name w:val="ui-provider"/>
    <w:basedOn w:val="Fuentedeprrafopredeter"/>
    <w:rsid w:val="00CE200A"/>
  </w:style>
  <w:style w:type="paragraph" w:styleId="Revisin">
    <w:name w:val="Revision"/>
    <w:hidden/>
    <w:uiPriority w:val="99"/>
    <w:semiHidden/>
    <w:rsid w:val="00563A7E"/>
    <w:rPr>
      <w:rFonts w:ascii="Times New Roman" w:hAnsi="Times New Roman" w:eastAsia="MS Mincho" w:cs="Times New Roman"/>
      <w:sz w:val="24"/>
      <w:szCs w:val="24"/>
      <w:lang w:val="es-ES" w:eastAsia="es-ES"/>
    </w:rPr>
  </w:style>
  <w:style w:type="character" w:styleId="TextonotapieCar" w:customStyle="1">
    <w:name w:val="Texto nota pie Car"/>
    <w:aliases w:val="Ref. de nota al pie1 Car,Texto de nota al pie Car,Footnotes refss Car,referencia nota al pie Car,BVI fnr Car,Ref. de nota al pie 2 Car,Footnote Text Char Car,Footnote Text Char Char Char Char Car,FA Fu Car"/>
    <w:basedOn w:val="Fuentedeprrafopredeter"/>
    <w:link w:val="Textonotapie"/>
    <w:locked/>
    <w:rsid w:val="00795F8F"/>
    <w:rPr>
      <w:rFonts w:cs="Times New Roman"/>
      <w:sz w:val="20"/>
      <w:szCs w:val="20"/>
    </w:rPr>
  </w:style>
  <w:style w:type="paragraph" w:styleId="Textonotapie">
    <w:name w:val="footnote text"/>
    <w:aliases w:val="Ref. de nota al pie1,Texto de nota al pie,Footnotes refss,referencia nota al pie,BVI fnr,Ref. de nota al pie 2,Footnote Text Char,Footnote Text Char Char Char Char,Footnote Text Char Char Char Char Char Char Char Char,FA Fu"/>
    <w:basedOn w:val="Normal"/>
    <w:link w:val="TextonotapieCar"/>
    <w:unhideWhenUsed/>
    <w:rsid w:val="00795F8F"/>
    <w:rPr>
      <w:rFonts w:asciiTheme="minorHAnsi" w:hAnsiTheme="minorHAnsi" w:eastAsiaTheme="minorHAnsi"/>
      <w:sz w:val="20"/>
      <w:szCs w:val="20"/>
      <w:lang w:val="es-CO" w:eastAsia="en-US"/>
    </w:rPr>
  </w:style>
  <w:style w:type="character" w:styleId="TextonotapieCar1" w:customStyle="1">
    <w:name w:val="Texto nota pie Car1"/>
    <w:basedOn w:val="Fuentedeprrafopredeter"/>
    <w:uiPriority w:val="99"/>
    <w:semiHidden/>
    <w:rsid w:val="00795F8F"/>
    <w:rPr>
      <w:rFonts w:ascii="Times New Roman" w:hAnsi="Times New Roman" w:eastAsia="MS Mincho" w:cs="Times New Roman"/>
      <w:sz w:val="20"/>
      <w:szCs w:val="20"/>
      <w:lang w:val="es-ES" w:eastAsia="es-ES"/>
    </w:rPr>
  </w:style>
  <w:style w:type="character" w:styleId="Refdenotaalpie">
    <w:name w:val="footnote reference"/>
    <w:basedOn w:val="Fuentedeprrafopredeter"/>
    <w:uiPriority w:val="99"/>
    <w:unhideWhenUsed/>
    <w:qFormat/>
    <w:rsid w:val="00795F8F"/>
    <w:rPr>
      <w:rFonts w:cs="Times New Roman"/>
      <w:vertAlign w:val="superscript"/>
    </w:rPr>
  </w:style>
  <w:style w:type="paragraph" w:styleId="Default" w:customStyle="1">
    <w:name w:val="Default"/>
    <w:rsid w:val="00795F8F"/>
    <w:pPr>
      <w:autoSpaceDE w:val="0"/>
      <w:autoSpaceDN w:val="0"/>
      <w:adjustRightInd w:val="0"/>
    </w:pPr>
    <w:rPr>
      <w:rFonts w:ascii="Arial" w:hAnsi="Arial" w:eastAsia="Times New Roman" w:cs="Arial"/>
      <w:color w:val="000000"/>
      <w:sz w:val="24"/>
      <w:szCs w:val="24"/>
    </w:rPr>
  </w:style>
  <w:style w:type="character" w:styleId="Mencinsinresolver">
    <w:name w:val="Unresolved Mention"/>
    <w:basedOn w:val="Fuentedeprrafopredeter"/>
    <w:uiPriority w:val="99"/>
    <w:semiHidden/>
    <w:unhideWhenUsed/>
    <w:rsid w:val="00202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18791">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514073363">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872885149">
      <w:bodyDiv w:val="1"/>
      <w:marLeft w:val="0"/>
      <w:marRight w:val="0"/>
      <w:marTop w:val="0"/>
      <w:marBottom w:val="0"/>
      <w:divBdr>
        <w:top w:val="none" w:sz="0" w:space="0" w:color="auto"/>
        <w:left w:val="none" w:sz="0" w:space="0" w:color="auto"/>
        <w:bottom w:val="none" w:sz="0" w:space="0" w:color="auto"/>
        <w:right w:val="none" w:sz="0" w:space="0" w:color="auto"/>
      </w:divBdr>
    </w:div>
    <w:div w:id="894202513">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524399254">
      <w:bodyDiv w:val="1"/>
      <w:marLeft w:val="0"/>
      <w:marRight w:val="0"/>
      <w:marTop w:val="0"/>
      <w:marBottom w:val="0"/>
      <w:divBdr>
        <w:top w:val="none" w:sz="0" w:space="0" w:color="auto"/>
        <w:left w:val="none" w:sz="0" w:space="0" w:color="auto"/>
        <w:bottom w:val="none" w:sz="0" w:space="0" w:color="auto"/>
        <w:right w:val="none" w:sz="0" w:space="0" w:color="auto"/>
      </w:divBdr>
    </w:div>
    <w:div w:id="1659771639">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2000574793">
      <w:bodyDiv w:val="1"/>
      <w:marLeft w:val="0"/>
      <w:marRight w:val="0"/>
      <w:marTop w:val="0"/>
      <w:marBottom w:val="0"/>
      <w:divBdr>
        <w:top w:val="none" w:sz="0" w:space="0" w:color="auto"/>
        <w:left w:val="none" w:sz="0" w:space="0" w:color="auto"/>
        <w:bottom w:val="none" w:sz="0" w:space="0" w:color="auto"/>
        <w:right w:val="none" w:sz="0" w:space="0" w:color="auto"/>
      </w:divBdr>
    </w:div>
    <w:div w:id="2057848220">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portalgestiondoc.minhacienda.red/PortalEmpleado/viewer.jsp?config=FtRamzbiL/i2fkY5raA3jEURMO4l4q9gPzhq4hdazpXS7Fmvn7z/oDRZ5tjzG0tBhrzrGqCJWzyJ+6rHUTC2ekKpqOnEvoRi3/yTyKE7Dt6yeCLVz72+hwk3ifnV8jGLQSqI+3hB/dYabFFQ4s7SE/nOuXfBHMCI9OjEbpEu9AsFp7Ke2JyY9fmbC1Uj86kX&amp;guid=-46ad7f3118ca873b34c502d&amp;idrepository=879" TargetMode="External" Id="rId13" /><Relationship Type="http://schemas.openxmlformats.org/officeDocument/2006/relationships/hyperlink" Target="http://portalgestiondoc.minhacienda.red/PortalEmpleado/viewer.jsp?config=sZMDtegSRkcslKRRNAvbe5jyW1g8UdDGrGotFz56j4lxmiwz0ybYDRY2e0659isP3VTkcu74dGdiniWG7SVHgau8x1H7lK0EWHUCs8P95RU4Gocx/C1NrMFKoaMAGroioPgJv9iu0g6ED5wRgmGiE5c/42nuf8XJKSDTW0ha5rOhD+0sJ0HOuQpfFwJWfvbt&amp;guid=-1106b8a018a705d0604-454f&amp;idrepository=879" TargetMode="External" Id="rId18" /><Relationship Type="http://schemas.openxmlformats.org/officeDocument/2006/relationships/hyperlink" Target="http://portalgestiondoc.minhacienda.red/PortalEmpleado/viewer.jsp?config=AkcP8BWRUI5+HtR7Wmq+O7lp0zOdaC4vq7JVr8Ztp4BtatdNTBHL8prP+5Gccrr9h4TC7pHY5qNOl/C3TR05hVUAAPb5fNgIQKsXoBsLhid8Y8tM0mZ5TXzo9+yoJc/MAc6h9tOF13GfjSHRplp1n7f+0T/H+OCb8rNMZq8dcDz36ztWGSob4N1DqN5Edzz8&amp;guid=-46ad7f3118ca873b34c502f&amp;idrepository=879" TargetMode="External" Id="rId26" /><Relationship Type="http://schemas.openxmlformats.org/officeDocument/2006/relationships/hyperlink" Target="http://portalgestiondoc.minhacienda.red/PortalEmpleado/viewer.jsp?config=7ORhpCb3nYVgJkQXgPVVUf5B9fpz0v/2SJnzqBsSlfbUv4POjwI1t9DMJVz77JFZw9x4bg8Fo9pdeJD7J0LMqv45cBGeAsp34VDYTGxVORKVYGDMsvBdYLtCZmhn4voEQqXxpyKpAYcb/RphcrKyR4CdlViVriD8FaH7ivgBIvSU1GYiDRJW8dp/3f4yYaBy&amp;guid=89447ae18fbbf2e115684d&amp;idrepository=879" TargetMode="External" Id="rId39" /><Relationship Type="http://schemas.openxmlformats.org/officeDocument/2006/relationships/hyperlink" Target="http://portalgestiondoc.minhacienda.red/PortalEmpleado/viewer.jsp?config=o025adD2Zawmo5+bS/OorjXR9flKZKUwGMlwuxGBTjpx+dRHuzzFulMI5UEzb3ZVT8op4rhP65rfkI5CmvK/RRgM2qDhVA5h+pBfSnzeoFmn7xVYDyCRunPnEoXDaN8LXFZj4CMDvmGmzD0uv3MZCx53/JYV5YnDCEznOVWIQc+e2aWxsZF9rtmSopykBrmx&amp;guid=89447ae18fc02f1c937405&amp;idrepository=879" TargetMode="External" Id="rId21" /><Relationship Type="http://schemas.openxmlformats.org/officeDocument/2006/relationships/hyperlink" Target="http://portalgestiondoc.minhacienda.red/PortalEmpleado/viewer.jsp?config=Du652BM5jV7bE2Vi4HbnWJxQmN6/BRn7UuTnNTe7BbLgGCY5li2wIGomV5FnPK6z8yidXsQdHgSLW6+yWxZracT25wK14LpauotavwKL417XhGCyT/IKUtLicScdfHBQBa4IMYsKdRYGfUx2jHLDtkPt/wEbz8v41xzughLL6n6W1fmfAmAtyCwSP+cUUTLc&amp;guid=-46ad7f3118ca873b34c5025&amp;idrepository=879" TargetMode="External" Id="rId34" /><Relationship Type="http://schemas.openxmlformats.org/officeDocument/2006/relationships/hyperlink" Target="http://portalgestiondoc.minhacienda.red/PortalEmpleado/viewer.jsp?config=VNm5zc7xAW1Gk33wYwn/jKIX2tRi9iBOxV4Es3cFzZFHUe6PogkIGV31cOd0YpsBe7vEQiAg1HpmUdh/jzp6u88Gv0HkdEICfelBCVnLrInu3WWUln7jvdzEG76BD2p0Gx/eAq1ghiYuuJtz13uVlwhSIjKtcNVOgML38cU1veHC5ges2AG+esV5r/TCdZrc&amp;guid=-46ad7f3118ca873b34c6fa1&amp;idrepository=879" TargetMode="External" Id="rId42" /><Relationship Type="http://schemas.openxmlformats.org/officeDocument/2006/relationships/fontTable" Target="fontTable.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portalgestiondoc.minhacienda.red/PortalEmpleado/viewer.jsp?config=eacA6QNUtSDwOZXgzxEyMAmqezdj+RFHIv//vOP6Dt7k2P3YdbRxLk4SK2ogMfquVa+T/1uvRPR4hex0/J+ABRF46DMQESBHlyswNKlfdljVFeniu8pgeumHuAuMgDcLVtvWoE1QeHi++yhlSgG4vXQ2jWsXzZjEv8ZY/QBselnWeYrJRBTfTZnDDU8a3QB6&amp;guid=-46ad7f3118ca873b34c36be&amp;idrepository=879" TargetMode="External" Id="rId16" /><Relationship Type="http://schemas.openxmlformats.org/officeDocument/2006/relationships/hyperlink" Target="http://portalgestiondoc.minhacienda.red/PortalEmpleado/viewer.jsp?config=t3PUiK3OyaQsHvAayyKsoLHwpe0Nsu740pNcNuhMQ/VdoaIbS6iQ3F50N/h3P4sg+ofTKvVyZE3fGdbun70RAW7DyYuTkeSFKUIrtQ7sO2aEYZtff8v2LvEmVd2zv08Oj1cQLcmpZCx30T6AKpGb0DGAxLRkJOnDFjdyBY5FEP0jExCq8lmlAjm64GiwDHPu&amp;guid=-46ad7f3118ca873b34c5027&amp;idrepository=879"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hyperlink" Target="http://portalgestiondoc.minhacienda.red/PortalEmpleado/viewer.jsp?config=MNkWke9Fr8JQCkwVMfx+mKMNEdnNd6xQplioKMoeeP0pXMRdJyMPO3fhMLtm73L3kxFavJgk8VfkeYkiEYbN90bOWhQZlGMTlUbbTM5mAutQAJZV587+eaVzkyCywvP2z4D3guhrqXy9QWxXt3zW4juhI21KuNRZuTfuse/ZpOZsm/0nnLJawjiG5hN0QBAU&amp;guid=-46ad7f3118cac61297f4281&amp;idrepository=879" TargetMode="External" Id="rId24" /><Relationship Type="http://schemas.openxmlformats.org/officeDocument/2006/relationships/hyperlink" Target="http://portalgestiondoc.minhacienda.red/PortalEmpleado/viewer.jsp?config=eeGkuT6eNP4UbII1+/nXSQxF9dvuOYlOL/QKvupwOOhguVCj702wgcdvscNj12HZXw8tT6Ylm5c0vp6YRRe2CySd35ODhTnvw0bYLprBSiU2ftDECBerTAG7DDj9oLEoooULHSziHkyYz1WZP3fcRazq52DL/GgMr8cWeZNPBdjsDa6EBcdSypk8qnULKcci&amp;guid=-46ad7f3118ca873b34c502b&amp;idrepository=879" TargetMode="External" Id="rId32" /><Relationship Type="http://schemas.openxmlformats.org/officeDocument/2006/relationships/hyperlink" Target="http://portalgestiondoc.minhacienda.red/PortalEmpleado/viewer.jsp?config=lMLlbHCgKJF/9vNVk4LGbH2AanbcBVqCzlpE8Yy5QA+/Xdf6dIJ1ZT+vlHc6C7rFLmthu/KdE95I84sj34/p0OqAQZ1A8Jg8KJ8COimS1A3SUe7L0pBmzr5jmzKHt2gKjmtFtEeBt6kNNMiBLdzrHCXNOxJ6LmHr3h/mNsOgQqKxEkezuBvnle+vw6Bf8xzq&amp;guid=89447ae18fbbf2e1156849&amp;idrepository=879" TargetMode="External" Id="rId37" /><Relationship Type="http://schemas.openxmlformats.org/officeDocument/2006/relationships/hyperlink" Target="http://portalgestiondoc.minhacienda.red/PortalEmpleado/viewer.jsp?config=peQ1WsjUjq+ZGVT6o0SdJNnfI+VAp2fZHuNONfJ5rLfhTAF2fPSkRP1GcHmEnMmxAD5ALHidMckZb7cAQwcvEdXSlsh0X3YrCfrWwqhbrrbJTPC5+5mhv7s+x2Jyq/te+vdJjCoHYQqewA54IbPhZJnLnjQWA+eT/dD+gLmn7aAqoF8E24M+fTbnvu7Trt54&amp;guid=-46ad7f3118ca873b34c703f&amp;idrepository=879" TargetMode="External" Id="rId40" /><Relationship Type="http://schemas.openxmlformats.org/officeDocument/2006/relationships/header" Target="header2.xml" Id="rId45" /><Relationship Type="http://schemas.openxmlformats.org/officeDocument/2006/relationships/numbering" Target="numbering.xml" Id="rId5" /><Relationship Type="http://schemas.openxmlformats.org/officeDocument/2006/relationships/hyperlink" Target="http://portalgestiondoc.minhacienda.red/PortalEmpleado/viewer.jsp?config=vko+B5MjwlVGqAHb8iWQKV6gl/esEroO4IAG4Mq03ZztauUVy5B2HAiiI/uxf/+9A1ucT9/RApSK0TFVexQJLK3LgT3bp8ViaYcCOwoq/QmvOUl5addoOmjyyQSn/B///SOdWPF91+RIGyYHOjbMOmNbZOo0iTv/GgIQOGlEV+fFR7srNK/NlW+RAa4x3Jni&amp;guid=-62bf1b52188e3de654b-1f3a&amp;idrepository=879" TargetMode="External" Id="rId15" /><Relationship Type="http://schemas.openxmlformats.org/officeDocument/2006/relationships/hyperlink" Target="http://portalgestiondoc.minhacienda.red/PortalEmpleado/viewer.jsp?config=prFdGTethKkOxt6iI23KeeSSJAHKZ2+v7L7CGg33wHY7ub/YYTDqCrjPdqfNHw9rE8nJRT0gRYFjTzX3K7q9WUZQMPd+eG/GbaWrNZ3xDZNW1OcQMIjtgK+esag/5Laf9Ppy4qmVUyljVMJ/KHUkhoHJjFc9lSXFBjf2Et2z4nA8pAmbG4yxSYjrg1B/GHvC&amp;guid=-62bf1b52188e3de654b-1f34&amp;idrepository=879" TargetMode="External" Id="rId23" /><Relationship Type="http://schemas.openxmlformats.org/officeDocument/2006/relationships/hyperlink" Target="http://portalgestiondoc.minhacienda.red/PortalEmpleado/viewer.jsp?config=EA5b55pywWA7QhFySMdit6JBXUeuW5AJCi/FbvNDCevvRSY4kUSlBNcj4lD4PnU/SwF/qtrtmZJlJfg3xFEQNatF2HmkxHdaHNuBWAUtlG1s3m29kf3Xxz3ggJX7TexlSKDrbugjDjXJOePaWB5p5engqIu18rAAZajjX9IyalxXvMTqNCHeEFA/Y/rRhKV5&amp;guid=-7d714ea218ed4897c6b-39c8&amp;idrepository=879" TargetMode="External" Id="rId28" /><Relationship Type="http://schemas.openxmlformats.org/officeDocument/2006/relationships/hyperlink" Target="http://portalgestiondoc.minhacienda.red/PortalEmpleado/viewer.jsp?config=Gqb9j3czsogoE0wZmD08GUJ9j5y/RtW/XLdJ0dOfuoEDISoF1w2KMEjYfZ2UiL6FzAFglUx4TtGz5xCK5MlA0qPhIWLcXcCHgv2orwMzX4jIt/JeczJOTAEC2Ue3ve8vIO8ByPTYN/K3fI1oGv1znCscQ6GCy1zMK8R7Tb4bqFfQzyTyisAD0IYe/Y7zt028&amp;guid=-46ad7f3118ca873b34c5033&amp;idrepository=879" TargetMode="External" Id="rId36" /><Relationship Type="http://schemas.openxmlformats.org/officeDocument/2006/relationships/customXml" Target="../customXml/item5.xml" Id="rId49" /><Relationship Type="http://schemas.openxmlformats.org/officeDocument/2006/relationships/endnotes" Target="endnotes.xml" Id="rId10" /><Relationship Type="http://schemas.openxmlformats.org/officeDocument/2006/relationships/hyperlink" Target="http://portalgestiondoc.minhacienda.red/PortalEmpleado/viewer.jsp?config=sDD6b6psMuAtxYu9jaAnTvNEi8K/VKi6cFmVGkh75Jtm1BoBdp2NRgS2SxIvelz8Ej0lNviFgkl7KJGdZOdX7m6dPeNkzTNENESVG6cYVLUcEJ/U3rjih92FJ1uViGcn9EwWZlZynqb+OtW+sZexLIu4EC+KS7Zg+rr/YYhm0OL4l8IACL39dlfmn/j9LJkV&amp;guid=-1106b8a018a705d0604-4549&amp;idrepository=879" TargetMode="External" Id="rId19" /><Relationship Type="http://schemas.openxmlformats.org/officeDocument/2006/relationships/hyperlink" Target="http://portalgestiondoc.minhacienda.red/PortalEmpleado/viewer.jsp?config=nN8ju+8xTjkfcAEUHNGJ6pp6WVZVuUj8XlnlShA4TW3W+EBb6YI0spOdWmQgfn2Wxgnf2Tj1yK+RLgdJunKPWXienztmJ9kCEk8lI89sEgSgaZMm0Y6WrZATPMWwWxEFV5A5Qp+8fH9E+DjwaTt9Kf+uICxbpZoXOa+SCvp6F6A3prEGfdvEtxsC8vjlg35C&amp;guid=-46ad7f3118ca873b34c5021&amp;idrepository=879" TargetMode="External" Id="rId31" /><Relationship Type="http://schemas.openxmlformats.org/officeDocument/2006/relationships/footer" Target="footer1.xml" Id="rId44" /><Relationship Type="http://schemas.openxmlformats.org/officeDocument/2006/relationships/theme" Target="theme/theme1.xml" Id="rId48" /><Relationship Type="http://schemas.openxmlformats.org/officeDocument/2006/relationships/footnotes" Target="footnotes.xml" Id="rId9" /><Relationship Type="http://schemas.openxmlformats.org/officeDocument/2006/relationships/hyperlink" Target="http://portalgestiondoc.minhacienda.red/PortalEmpleado/viewer.jsp?config=AsLdgHzHdmfFP4vb5BCneZtvdhFlOCo8ZJVXHKEjwhSFZz15oSbgsgwzjx1PJ+R3u/pCYsrLirbgHqGYZKUBh4uHElNJBtABgTuKHJcuTKbqbPMke9iU74TstuY0YxY9gVFI9jqUORLDHv7oRREGGiygMeJFQXVNiaBHHmIxVGTAMGocSiveyEF0r6obKJ0S&amp;guid=-62bf1b52188e3de654b-1f38&amp;idrepository=879" TargetMode="External" Id="rId14" /><Relationship Type="http://schemas.openxmlformats.org/officeDocument/2006/relationships/hyperlink" Target="http://portalgestiondoc.minhacienda.red/PortalEmpleado/viewer.jsp?config=h8UEpcyQkCo+6mJipEOJvo4cZjOEn1AE15nypnkU8aRhWTFeTMQhD4q7ELBDG5jXU6umah4ay6n8MtnCPK/ftidCONFyF8NnvC52FoRz7b4AoB4E7+qqlPI62ynNu/jTwZIw0SierpEoaPpZmG27zcVKpCUnVXlT5flW9h0hr02nPcsqu+oQnCVmbE3jljFL&amp;guid=89447ae18fc02f1c93567e&amp;idrepository=879" TargetMode="External" Id="rId22" /><Relationship Type="http://schemas.openxmlformats.org/officeDocument/2006/relationships/hyperlink" Target="http://portalgestiondoc.minhacienda.red/PortalEmpleado/viewer.jsp?config=YUuKyiWP8C5HEK9XuOqcsoM9tHg/LF2L+h54WhONKG+KWa+a8rWiKCSOpOJPk5fR5BJOooLuWXPmaFLfTlBHgzDlMdKei3G7AWfaT4NVAQN/PwlNhGuFVTDACdYoxE1Ft59nVAkvZ74YmtzONquACoQ4svoZgOCbPpy12jAhfhOEfH3kty3lj9aOUOqD1mWb&amp;guid=-7d714ea218ed4897c6b-39ca&amp;idrepository=879" TargetMode="External" Id="rId27" /><Relationship Type="http://schemas.openxmlformats.org/officeDocument/2006/relationships/hyperlink" Target="http://portalgestiondoc.minhacienda.red/PortalEmpleado/viewer.jsp?config=AkcP8BWRUI5+HtR7Wmq+O7lp0zOdaC4vq7JVr8Ztp4BtatdNTBHL8prP+5Gccrr9h4TC7pHY5qNOl/C3TR05hVUAAPb5fNgIQKsXoBsLhid8Y8tM0mZ5TXzo9+yoJc/MAc6h9tOF13GfjSHRplp1n7f+0T/H+OCb8rNMZq8dcDz36ztWGSob4N1DqN5Edzz8&amp;guid=-46ad7f3118ca873b34c502f&amp;idrepository=879" TargetMode="External" Id="rId30" /><Relationship Type="http://schemas.openxmlformats.org/officeDocument/2006/relationships/hyperlink" Target="http://portalgestiondoc.minhacienda.red/PortalEmpleado/viewer.jsp?config=FtRamzbiL/i2fkY5raA3jEURMO4l4q9gPzhq4hdazpXS7Fmvn7z/oDRZ5tjzG0tBhrzrGqCJWzyJ+6rHUTC2ekKpqOnEvoRi3/yTyKE7Dt6yeCLVz72+hwk3ifnV8jGLQSqI+3hB/dYabFFQ4s7SE/nOuXfBHMCI9OjEbpEu9AsFp7Ke2JyY9fmbC1Uj86kX&amp;guid=-46ad7f3118ca873b34c502d&amp;idrepository=879" TargetMode="External" Id="rId35" /><Relationship Type="http://schemas.openxmlformats.org/officeDocument/2006/relationships/header" Target="header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portalgestiondoc.minhacienda.red/PortalEmpleado/viewer.jsp?config=nN8ju+8xTjkfcAEUHNGJ6pp6WVZVuUj8XlnlShA4TW3W+EBb6YI0spOdWmQgfn2Wxgnf2Tj1yK+RLgdJunKPWXienztmJ9kCEk8lI89sEgSgaZMm0Y6WrZATPMWwWxEFV5A5Qp+8fH9E+DjwaTt9Kf+uICxbpZoXOa+SCvp6F6A3prEGfdvEtxsC8vjlg35C&amp;guid=-46ad7f3118ca873b34c5021&amp;idrepository=879" TargetMode="External" Id="rId12" /><Relationship Type="http://schemas.openxmlformats.org/officeDocument/2006/relationships/hyperlink" Target="http://portalgestiondoc.minhacienda.red/PortalEmpleado/viewer.jsp?config=MoNZjjz+NlcR7NSRKPBe09SOUMkWp4o/WpWPOi1sNItmknb/BICebuKnFyStft7vulpLyYH5KdzPtZSdAOQYynen79C7CE5pBmUkMjLo7xEbT8wmsSsl+Rp7Ku2rZ28gLDXkJ+h/dJvh/NAjitZiaqKzda9cO510tRpNfJlGp/MLOwiTu4t/cuJnRYpx+s7v&amp;guid=-1106b8a018a705d0604-4663&amp;idrepository=879" TargetMode="External" Id="rId17" /><Relationship Type="http://schemas.openxmlformats.org/officeDocument/2006/relationships/hyperlink" Target="http://portalgestiondoc.minhacienda.red/PortalEmpleado/viewer.jsp?config=nN8ju+8xTjkfcAEUHNGJ6pp6WVZVuUj8XlnlShA4TW3W+EBb6YI0spOdWmQgfn2Wxgnf2Tj1yK+RLgdJunKPWXienztmJ9kCEk8lI89sEgSgaZMm0Y6WrZATPMWwWxEFV5A5Qp+8fH9E+DjwaTt9Kf+uICxbpZoXOa+SCvp6F6A3prEGfdvEtxsC8vjlg35C&amp;guid=-46ad7f3118ca873b34c5021&amp;idrepository=879" TargetMode="External" Id="rId25" /><Relationship Type="http://schemas.openxmlformats.org/officeDocument/2006/relationships/hyperlink" Target="http://portalgestiondoc.minhacienda.red/PortalEmpleado/viewer.jsp?config=9woOI83pCHgjJ8BlTNBS2oihN5Rrke93UBvFuQoEvT6G4JZdZRC76Ud7rntwJ7Q6/DKr9MtONhcSpOS2bhKrzwWDlXToxidV68CWHOxdABt3eJl55GIye+BHXqxvlTwQQ2vMMTkrOS/Le93iHrxP70Q/WLL0u0OiHe/laSCeI09HakiysLqsaruypB4zqsgz&amp;guid=-46ad7f3118ca873b34c5031&amp;idrepository=879" TargetMode="External" Id="rId33" /><Relationship Type="http://schemas.openxmlformats.org/officeDocument/2006/relationships/hyperlink" Target="http://portalgestiondoc.minhacienda.red/PortalEmpleado/viewer.jsp?config=80CqUp0va5w7zJWyqR/ae5v4L6MlEu6YCl+ximicvzEYXii94IrBcnsWr7lG375aljHnEfd9sxWZAXutY/kEr1Voba3HG4heDITVHdwm4HjzKewqmnsOajbXdV0bJdWCDBOjpLge2gMxP0bKGsDdGE4jevcnVf1mNrAFMwKr51PpnNnjYTFUMEoZNQGa8dkG&amp;guid=89447ae18fbbf2e115684b&amp;idrepository=879" TargetMode="External" Id="rId38" /><Relationship Type="http://schemas.openxmlformats.org/officeDocument/2006/relationships/footer" Target="footer2.xml" Id="rId46" /><Relationship Type="http://schemas.openxmlformats.org/officeDocument/2006/relationships/hyperlink" Target="http://portalgestiondoc.minhacienda.red/PortalEmpleado/viewer.jsp?config=prFdGTethKkOxt6iI23KeeSSJAHKZ2+v7L7CGg33wHY7ub/YYTDqCrjPdqfNHw9rE8nJRT0gRYFjTzX3K7q9WUZQMPd+eG/GbaWrNZ3xDZNW1OcQMIjtgK+esag/5Laf9Ppy4qmVUyljVMJ/KHUkhoHJjFc9lSXFBjf2Et2z4nA8pAmbG4yxSYjrg1B/GHvC&amp;guid=-62bf1b52188e3de654b-1f34&amp;idrepository=879" TargetMode="External" Id="rId20" /><Relationship Type="http://schemas.openxmlformats.org/officeDocument/2006/relationships/hyperlink" Target="http://portalgestiondoc.minhacienda.red/PortalEmpleado/viewer.jsp?config=kUmVHeWtqTBKGcOoODC/hpOxO+U15bpz0ReyDNtDnC5n7bftuC1VNWReHM2A4yETO77XmD+jE5Gw6SHRSUYtDAc3GchKfldDr5/4hWn7phD9ZojUX7Ia5bnHBJFrRLDI61hi6SVmmiNhTcp54vZyzle+LcUDNvODsBErLjokQOpVR+dMP8B9LN6r5O3/YfQt&amp;guid=-46ad7f3118ca873b34c7041&amp;idrepository=879" TargetMode="External" Id="rId41"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0A8E6D2B-EDC2-425B-AB9D-017A318EF21A}">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027AA1DD-EBD5-441B-BCA2-409F8A64109E}"/>
</file>

<file path=customXml/itemProps3.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4.xml><?xml version="1.0" encoding="utf-8"?>
<ds:datastoreItem xmlns:ds="http://schemas.openxmlformats.org/officeDocument/2006/customXml" ds:itemID="{193EFF50-D46A-43E1-97BB-C7CA6A9B77F7}">
  <ds:schemaRefs>
    <ds:schemaRef ds:uri="http://schemas.microsoft.com/sharepoint/events"/>
  </ds:schemaRefs>
</ds:datastoreItem>
</file>

<file path=customXml/itemProps5.xml><?xml version="1.0" encoding="utf-8"?>
<ds:datastoreItem xmlns:ds="http://schemas.openxmlformats.org/officeDocument/2006/customXml" ds:itemID="{18E773AB-C1A1-4CD5-9DF2-13912CA21C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Plantilla_Oficio_Comunicación_Oficial_Enviada</ap:Template>
  <ap:Application>Microsoft Word for the web</ap:Application>
  <ap:DocSecurity>0</ap:DocSecurity>
  <ap:ScaleCrop>false</ap:ScaleCrop>
  <ap:Company>Ministerio de Hacienda y Crédito Público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Fernando Olivera Villanueva</cp:lastModifiedBy>
  <cp:revision>3</cp:revision>
  <cp:lastPrinted>2015-12-16T15:04:00Z</cp:lastPrinted>
  <dcterms:created xsi:type="dcterms:W3CDTF">2024-06-18T04:45:00Z</dcterms:created>
  <dcterms:modified xsi:type="dcterms:W3CDTF">2024-06-18T19:38:03Z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y fmtid="{D5CDD505-2E9C-101B-9397-08002B2CF9AE}" pid="4" name="MediaServiceImageTags">
    <vt:lpwstr/>
  </property>
</Properties>
</file>