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theme/theme1.xml" ContentType="application/vnd.openxmlformats-officedocument.theme+xml"/>
  <Override PartName="/word/theme/themeOverride2.xml" ContentType="application/vnd.openxmlformats-officedocument.themeOverrid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B2A0F" w14:textId="77777777" w:rsidR="00321689" w:rsidRDefault="00321689" w:rsidP="00321689">
      <w:pPr>
        <w:pStyle w:val="Sinespaciado"/>
        <w:jc w:val="center"/>
        <w:rPr>
          <w:rFonts w:ascii="Verdana" w:hAnsi="Verdana" w:cs="Arial"/>
          <w:b/>
        </w:rPr>
      </w:pPr>
      <w:r>
        <w:rPr>
          <w:rFonts w:ascii="Verdana" w:hAnsi="Verdana" w:cs="Arial"/>
          <w:b/>
        </w:rPr>
        <w:t>INFORME DE DIAGNÓSTICO INSTITUCIONAL</w:t>
      </w:r>
    </w:p>
    <w:p w14:paraId="3D89366D" w14:textId="77777777" w:rsidR="00321689" w:rsidRDefault="00321689" w:rsidP="00321689">
      <w:pPr>
        <w:jc w:val="center"/>
        <w:rPr>
          <w:rFonts w:ascii="Verdana" w:hAnsi="Verdana" w:cs="Arial"/>
          <w:b/>
        </w:rPr>
      </w:pPr>
      <w:r>
        <w:rPr>
          <w:rFonts w:ascii="Verdana" w:hAnsi="Verdana" w:cs="Arial"/>
          <w:b/>
        </w:rPr>
        <w:t>AGOSTO de 2023</w:t>
      </w:r>
    </w:p>
    <w:p w14:paraId="53F9B72F" w14:textId="77777777" w:rsidR="00321689" w:rsidRDefault="00321689" w:rsidP="00321689">
      <w:pPr>
        <w:jc w:val="center"/>
        <w:rPr>
          <w:rFonts w:ascii="Verdana" w:hAnsi="Verdana" w:cs="Arial"/>
          <w:b/>
        </w:rPr>
      </w:pPr>
    </w:p>
    <w:tbl>
      <w:tblPr>
        <w:tblStyle w:val="Tablaconcuadrcula"/>
        <w:tblW w:w="5000" w:type="pct"/>
        <w:tblBorders>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2950"/>
        <w:gridCol w:w="5878"/>
      </w:tblGrid>
      <w:tr w:rsidR="00321689" w14:paraId="6254B290" w14:textId="77777777" w:rsidTr="00321689">
        <w:tc>
          <w:tcPr>
            <w:tcW w:w="1671" w:type="pct"/>
            <w:tcBorders>
              <w:top w:val="single" w:sz="4" w:space="0" w:color="auto"/>
              <w:left w:val="single" w:sz="4" w:space="0" w:color="auto"/>
              <w:bottom w:val="single" w:sz="6" w:space="0" w:color="auto"/>
              <w:right w:val="single" w:sz="6" w:space="0" w:color="auto"/>
            </w:tcBorders>
            <w:shd w:val="clear" w:color="auto" w:fill="DBE5F1" w:themeFill="accent1" w:themeFillTint="33"/>
            <w:hideMark/>
          </w:tcPr>
          <w:p w14:paraId="2DF559C5" w14:textId="77777777" w:rsidR="00321689" w:rsidRDefault="00321689">
            <w:pPr>
              <w:pStyle w:val="NormalWeb"/>
              <w:spacing w:before="0" w:beforeAutospacing="0" w:after="0"/>
              <w:jc w:val="both"/>
              <w:rPr>
                <w:rFonts w:ascii="Verdana" w:hAnsi="Verdana" w:cs="Arial"/>
                <w:bCs/>
                <w:i/>
              </w:rPr>
            </w:pPr>
            <w:r>
              <w:rPr>
                <w:rFonts w:ascii="Verdana" w:hAnsi="Verdana" w:cs="Arial"/>
                <w:bCs/>
                <w:i/>
              </w:rPr>
              <w:t>Número de Expediente</w:t>
            </w:r>
          </w:p>
        </w:tc>
        <w:tc>
          <w:tcPr>
            <w:tcW w:w="3329" w:type="pct"/>
            <w:tcBorders>
              <w:top w:val="single" w:sz="4" w:space="0" w:color="auto"/>
              <w:left w:val="single" w:sz="6" w:space="0" w:color="auto"/>
              <w:bottom w:val="single" w:sz="6" w:space="0" w:color="auto"/>
              <w:right w:val="single" w:sz="4" w:space="0" w:color="auto"/>
            </w:tcBorders>
            <w:shd w:val="clear" w:color="auto" w:fill="DBE5F1" w:themeFill="accent1" w:themeFillTint="33"/>
            <w:hideMark/>
          </w:tcPr>
          <w:p w14:paraId="3881B049" w14:textId="77777777" w:rsidR="00321689" w:rsidRDefault="00321689">
            <w:pPr>
              <w:pStyle w:val="NormalWeb"/>
              <w:spacing w:before="0" w:beforeAutospacing="0" w:after="0"/>
              <w:rPr>
                <w:rFonts w:ascii="Verdana" w:hAnsi="Verdana" w:cs="Arial"/>
                <w:b/>
                <w:bCs/>
              </w:rPr>
            </w:pPr>
            <w:bookmarkStart w:id="0" w:name="numexpcompartido"/>
            <w:bookmarkEnd w:id="0"/>
            <w:r>
              <w:rPr>
                <w:rFonts w:ascii="Verdana" w:hAnsi="Verdana" w:cs="Arial"/>
                <w:b/>
                <w:bCs/>
              </w:rPr>
              <w:t>3/2023/D028-PREDI</w:t>
            </w:r>
          </w:p>
        </w:tc>
      </w:tr>
      <w:tr w:rsidR="00321689" w14:paraId="06402A50" w14:textId="77777777" w:rsidTr="00321689">
        <w:tc>
          <w:tcPr>
            <w:tcW w:w="1671" w:type="pct"/>
            <w:tcBorders>
              <w:top w:val="single" w:sz="6" w:space="0" w:color="auto"/>
              <w:left w:val="single" w:sz="4" w:space="0" w:color="auto"/>
              <w:bottom w:val="single" w:sz="6" w:space="0" w:color="auto"/>
              <w:right w:val="single" w:sz="6" w:space="0" w:color="auto"/>
            </w:tcBorders>
            <w:shd w:val="clear" w:color="auto" w:fill="DBE5F1" w:themeFill="accent1" w:themeFillTint="33"/>
            <w:hideMark/>
          </w:tcPr>
          <w:p w14:paraId="66533A8B" w14:textId="77777777" w:rsidR="00321689" w:rsidRDefault="00321689">
            <w:pPr>
              <w:pStyle w:val="NormalWeb"/>
              <w:spacing w:before="0" w:beforeAutospacing="0" w:after="0"/>
              <w:jc w:val="both"/>
              <w:rPr>
                <w:rFonts w:ascii="Verdana" w:hAnsi="Verdana" w:cs="Arial"/>
                <w:bCs/>
                <w:i/>
              </w:rPr>
            </w:pPr>
            <w:r>
              <w:rPr>
                <w:rFonts w:ascii="Verdana" w:hAnsi="Verdana" w:cs="Arial"/>
                <w:bCs/>
                <w:i/>
              </w:rPr>
              <w:t>Sector</w:t>
            </w:r>
          </w:p>
        </w:tc>
        <w:tc>
          <w:tcPr>
            <w:tcW w:w="3329" w:type="pct"/>
            <w:tcBorders>
              <w:top w:val="single" w:sz="6" w:space="0" w:color="auto"/>
              <w:left w:val="single" w:sz="6" w:space="0" w:color="auto"/>
              <w:bottom w:val="single" w:sz="6" w:space="0" w:color="auto"/>
              <w:right w:val="single" w:sz="4" w:space="0" w:color="auto"/>
            </w:tcBorders>
            <w:shd w:val="clear" w:color="auto" w:fill="DBE5F1" w:themeFill="accent1" w:themeFillTint="33"/>
            <w:hideMark/>
          </w:tcPr>
          <w:p w14:paraId="21F9C67B" w14:textId="77777777" w:rsidR="00321689" w:rsidRDefault="00321689">
            <w:pPr>
              <w:pStyle w:val="NormalWeb"/>
              <w:spacing w:before="0" w:beforeAutospacing="0" w:after="0"/>
              <w:rPr>
                <w:rFonts w:ascii="Verdana" w:hAnsi="Verdana" w:cs="Arial"/>
                <w:b/>
                <w:bCs/>
              </w:rPr>
            </w:pPr>
            <w:bookmarkStart w:id="1" w:name="cmbsector"/>
            <w:bookmarkEnd w:id="1"/>
            <w:r>
              <w:rPr>
                <w:rFonts w:ascii="Verdana" w:hAnsi="Verdana" w:cs="Arial"/>
                <w:b/>
                <w:bCs/>
              </w:rPr>
              <w:t>Salud</w:t>
            </w:r>
          </w:p>
        </w:tc>
      </w:tr>
      <w:tr w:rsidR="00321689" w14:paraId="3EE1EB2B" w14:textId="77777777" w:rsidTr="00321689">
        <w:tc>
          <w:tcPr>
            <w:tcW w:w="1671" w:type="pct"/>
            <w:tcBorders>
              <w:top w:val="single" w:sz="6" w:space="0" w:color="auto"/>
              <w:left w:val="single" w:sz="4" w:space="0" w:color="auto"/>
              <w:bottom w:val="single" w:sz="6" w:space="0" w:color="auto"/>
              <w:right w:val="single" w:sz="6" w:space="0" w:color="auto"/>
            </w:tcBorders>
            <w:shd w:val="clear" w:color="auto" w:fill="DBE5F1" w:themeFill="accent1" w:themeFillTint="33"/>
            <w:hideMark/>
          </w:tcPr>
          <w:p w14:paraId="66A3F96E" w14:textId="77777777" w:rsidR="00321689" w:rsidRDefault="00321689">
            <w:pPr>
              <w:pStyle w:val="NormalWeb"/>
              <w:spacing w:before="0" w:beforeAutospacing="0" w:after="0"/>
              <w:jc w:val="both"/>
              <w:rPr>
                <w:rFonts w:ascii="Verdana" w:hAnsi="Verdana" w:cs="Arial"/>
                <w:bCs/>
                <w:i/>
              </w:rPr>
            </w:pPr>
            <w:r>
              <w:rPr>
                <w:rFonts w:ascii="Verdana" w:hAnsi="Verdana" w:cs="Arial"/>
                <w:bCs/>
                <w:i/>
              </w:rPr>
              <w:t>Tipo de Entidad</w:t>
            </w:r>
          </w:p>
        </w:tc>
        <w:tc>
          <w:tcPr>
            <w:tcW w:w="3329" w:type="pct"/>
            <w:tcBorders>
              <w:top w:val="single" w:sz="6" w:space="0" w:color="auto"/>
              <w:left w:val="single" w:sz="6" w:space="0" w:color="auto"/>
              <w:bottom w:val="single" w:sz="6" w:space="0" w:color="auto"/>
              <w:right w:val="single" w:sz="4" w:space="0" w:color="auto"/>
            </w:tcBorders>
            <w:shd w:val="clear" w:color="auto" w:fill="DBE5F1" w:themeFill="accent1" w:themeFillTint="33"/>
            <w:hideMark/>
          </w:tcPr>
          <w:p w14:paraId="3BA4DDE8" w14:textId="77777777" w:rsidR="00321689" w:rsidRDefault="00321689">
            <w:pPr>
              <w:rPr>
                <w:rFonts w:ascii="Verdana" w:hAnsi="Verdana" w:cs="Arial"/>
                <w:b/>
              </w:rPr>
            </w:pPr>
            <w:bookmarkStart w:id="2" w:name="cmbtipoentidad"/>
            <w:bookmarkEnd w:id="2"/>
            <w:r>
              <w:rPr>
                <w:rFonts w:ascii="Verdana" w:hAnsi="Verdana" w:cs="Arial"/>
                <w:b/>
              </w:rPr>
              <w:t>DEPARTAMENTO</w:t>
            </w:r>
          </w:p>
        </w:tc>
      </w:tr>
      <w:tr w:rsidR="00321689" w14:paraId="31CCE23B" w14:textId="77777777" w:rsidTr="00321689">
        <w:tc>
          <w:tcPr>
            <w:tcW w:w="1671" w:type="pct"/>
            <w:tcBorders>
              <w:top w:val="single" w:sz="6" w:space="0" w:color="auto"/>
              <w:left w:val="single" w:sz="4" w:space="0" w:color="auto"/>
              <w:bottom w:val="single" w:sz="4" w:space="0" w:color="auto"/>
              <w:right w:val="single" w:sz="6" w:space="0" w:color="auto"/>
            </w:tcBorders>
            <w:shd w:val="clear" w:color="auto" w:fill="DBE5F1" w:themeFill="accent1" w:themeFillTint="33"/>
            <w:hideMark/>
          </w:tcPr>
          <w:p w14:paraId="7C079AF2" w14:textId="77777777" w:rsidR="00321689" w:rsidRDefault="00321689">
            <w:pPr>
              <w:pStyle w:val="NormalWeb"/>
              <w:spacing w:before="0" w:beforeAutospacing="0" w:after="0"/>
              <w:jc w:val="both"/>
              <w:rPr>
                <w:rFonts w:ascii="Verdana" w:hAnsi="Verdana" w:cs="Arial"/>
                <w:bCs/>
                <w:i/>
              </w:rPr>
            </w:pPr>
            <w:r>
              <w:rPr>
                <w:rFonts w:ascii="Verdana" w:hAnsi="Verdana" w:cs="Arial"/>
                <w:bCs/>
                <w:i/>
              </w:rPr>
              <w:t>Entidad</w:t>
            </w:r>
          </w:p>
        </w:tc>
        <w:tc>
          <w:tcPr>
            <w:tcW w:w="3329" w:type="pct"/>
            <w:tcBorders>
              <w:top w:val="single" w:sz="6" w:space="0" w:color="auto"/>
              <w:left w:val="single" w:sz="6" w:space="0" w:color="auto"/>
              <w:bottom w:val="single" w:sz="4" w:space="0" w:color="auto"/>
              <w:right w:val="single" w:sz="4" w:space="0" w:color="auto"/>
            </w:tcBorders>
            <w:shd w:val="clear" w:color="auto" w:fill="DBE5F1" w:themeFill="accent1" w:themeFillTint="33"/>
            <w:hideMark/>
          </w:tcPr>
          <w:p w14:paraId="4AD03D4F" w14:textId="77777777" w:rsidR="00321689" w:rsidRDefault="00321689">
            <w:pPr>
              <w:tabs>
                <w:tab w:val="left" w:pos="1305"/>
              </w:tabs>
              <w:rPr>
                <w:rFonts w:ascii="Verdana" w:hAnsi="Verdana" w:cs="Arial"/>
                <w:b/>
              </w:rPr>
            </w:pPr>
            <w:bookmarkStart w:id="3" w:name="deptoymuni"/>
            <w:bookmarkStart w:id="4" w:name="cmbresguardo"/>
            <w:bookmarkEnd w:id="3"/>
            <w:bookmarkEnd w:id="4"/>
            <w:r>
              <w:rPr>
                <w:rFonts w:ascii="Verdana" w:hAnsi="Verdana" w:cs="Arial"/>
                <w:b/>
              </w:rPr>
              <w:t>CESAR</w:t>
            </w:r>
          </w:p>
        </w:tc>
      </w:tr>
    </w:tbl>
    <w:p w14:paraId="1C0FC5CE" w14:textId="77777777" w:rsidR="00321689" w:rsidRDefault="00321689" w:rsidP="00321689">
      <w:pPr>
        <w:jc w:val="both"/>
        <w:rPr>
          <w:rFonts w:ascii="Verdana" w:hAnsi="Verdana" w:cs="Arial"/>
          <w:sz w:val="22"/>
          <w:szCs w:val="22"/>
          <w:lang w:eastAsia="en-US"/>
        </w:rPr>
      </w:pPr>
    </w:p>
    <w:p w14:paraId="2424378B" w14:textId="77777777" w:rsidR="00321689" w:rsidRDefault="00321689" w:rsidP="00321689">
      <w:pPr>
        <w:pStyle w:val="Ttulo1"/>
        <w:numPr>
          <w:ilvl w:val="0"/>
          <w:numId w:val="1"/>
        </w:numPr>
        <w:spacing w:before="0"/>
        <w:jc w:val="both"/>
        <w:rPr>
          <w:rFonts w:ascii="Verdana" w:hAnsi="Verdana" w:cs="Arial"/>
          <w:b/>
          <w:color w:val="auto"/>
          <w:sz w:val="22"/>
          <w:szCs w:val="22"/>
        </w:rPr>
      </w:pPr>
      <w:r>
        <w:rPr>
          <w:rFonts w:ascii="Verdana" w:hAnsi="Verdana" w:cs="Arial"/>
          <w:b/>
          <w:color w:val="auto"/>
          <w:sz w:val="22"/>
          <w:szCs w:val="22"/>
        </w:rPr>
        <w:t xml:space="preserve">ANTECEDENTES </w:t>
      </w:r>
    </w:p>
    <w:p w14:paraId="1C73A2D2" w14:textId="77777777" w:rsidR="00321689" w:rsidRDefault="00321689" w:rsidP="00321689">
      <w:pPr>
        <w:jc w:val="both"/>
        <w:rPr>
          <w:rFonts w:ascii="Verdana" w:hAnsi="Verdana" w:cs="Arial"/>
          <w:sz w:val="22"/>
          <w:szCs w:val="22"/>
        </w:rPr>
      </w:pPr>
    </w:p>
    <w:p w14:paraId="1B3A052B" w14:textId="77777777" w:rsidR="00321689" w:rsidRDefault="00321689" w:rsidP="00321689">
      <w:pPr>
        <w:jc w:val="both"/>
        <w:rPr>
          <w:rFonts w:ascii="Verdana" w:eastAsia="Calibri" w:hAnsi="Verdana" w:cs="Arial"/>
          <w:sz w:val="21"/>
          <w:szCs w:val="21"/>
        </w:rPr>
      </w:pPr>
      <w:r>
        <w:rPr>
          <w:rFonts w:ascii="Verdana" w:eastAsia="Calibri" w:hAnsi="Verdana" w:cs="Arial"/>
          <w:sz w:val="21"/>
          <w:szCs w:val="21"/>
        </w:rPr>
        <w:t>El Decreto 028 de 2008 fijó los objetivos de la Estrategia de Monitoreo, Seguimiento y Control Integral al gasto que se realice con cargo a los recursos del Sistema General de Participaciones; los sectores sobre los cuales recae su ejercicio; el contenido de cada una de las actividades que la integran; así como sus responsables institucionales, con el propósito de asegurar el cumplimiento de las metas de continuidad, cobertura y calidad en los servicios financiados con cargo a tales recursos.</w:t>
      </w:r>
    </w:p>
    <w:p w14:paraId="1BE502E9" w14:textId="77777777" w:rsidR="00321689" w:rsidRDefault="00321689" w:rsidP="00321689">
      <w:pPr>
        <w:jc w:val="both"/>
        <w:rPr>
          <w:rFonts w:ascii="Verdana" w:eastAsia="Calibri" w:hAnsi="Verdana" w:cs="Arial"/>
          <w:sz w:val="21"/>
          <w:szCs w:val="21"/>
          <w:highlight w:val="yellow"/>
        </w:rPr>
      </w:pPr>
    </w:p>
    <w:p w14:paraId="3BAD78A4" w14:textId="77777777" w:rsidR="00321689" w:rsidRDefault="00321689" w:rsidP="00321689">
      <w:pPr>
        <w:jc w:val="both"/>
        <w:rPr>
          <w:rFonts w:ascii="Verdana" w:eastAsia="Calibri" w:hAnsi="Verdana" w:cs="Arial"/>
          <w:sz w:val="21"/>
          <w:szCs w:val="21"/>
        </w:rPr>
      </w:pPr>
      <w:r>
        <w:rPr>
          <w:rFonts w:ascii="Verdana" w:eastAsia="Calibri" w:hAnsi="Verdana" w:cs="Arial"/>
          <w:sz w:val="21"/>
          <w:szCs w:val="21"/>
        </w:rPr>
        <w:t>En ese sentido, en aplicación de la Estrategia en la vigencia 2022 se recibió del Ministerio de Salud y Protección Social un informe de monitoreo de la vigencia 2021, indicando para el Departamento del Cesar un alto riesgo en el Sector Salud respecto al componente de Salud Pública y riesgo medio en el componente de Ejecución y Auditoria del Sector Salud. Con relación al componente de Salud Pública, el alto riesgo se fundamenta en los bajos resultados en la ejecución de recursos SGP-SP para la vigencia 2021.</w:t>
      </w:r>
    </w:p>
    <w:p w14:paraId="08F9F6CF" w14:textId="77777777" w:rsidR="00321689" w:rsidRDefault="00321689" w:rsidP="00321689">
      <w:pPr>
        <w:jc w:val="both"/>
        <w:rPr>
          <w:rFonts w:ascii="Verdana" w:eastAsia="Calibri" w:hAnsi="Verdana" w:cs="Arial"/>
          <w:sz w:val="21"/>
          <w:szCs w:val="21"/>
        </w:rPr>
      </w:pPr>
    </w:p>
    <w:p w14:paraId="787E24C2" w14:textId="77777777" w:rsidR="00321689" w:rsidRDefault="00321689" w:rsidP="00321689">
      <w:pPr>
        <w:jc w:val="both"/>
        <w:rPr>
          <w:rFonts w:ascii="Verdana" w:eastAsia="Calibri" w:hAnsi="Verdana" w:cs="Arial"/>
          <w:sz w:val="21"/>
          <w:szCs w:val="21"/>
        </w:rPr>
      </w:pPr>
      <w:r>
        <w:rPr>
          <w:rFonts w:ascii="Verdana" w:eastAsia="Calibri" w:hAnsi="Verdana" w:cs="Arial"/>
          <w:sz w:val="21"/>
          <w:szCs w:val="21"/>
        </w:rPr>
        <w:t>En consecuencia, conforme a lo definido en el Acto Legislativo 04 de 2007 y el mencionado Decreto 028 de 2008, cuya reglamentación se encuentra compilada en el Decreto 1068 de 2015, siendo el Ministerio de Hacienda y Crédito Público el responsable de llevar a cabo la coordinación de la Estrategia de Monitoreo, Seguimiento y Control Integral al gasto ejecutado por las entidades territoriales con recursos del Sistema General de Participaciones, la Dirección General de Apoyo Fiscal solicitó información a la Entidad Territorial mediante oficio con radicado No. 2-2023-013312</w:t>
      </w:r>
      <w:r w:rsidR="00CF697F">
        <w:rPr>
          <w:rFonts w:ascii="Verdana" w:eastAsia="Calibri" w:hAnsi="Verdana" w:cs="Arial"/>
          <w:sz w:val="21"/>
          <w:szCs w:val="21"/>
        </w:rPr>
        <w:t xml:space="preserve"> </w:t>
      </w:r>
      <w:r>
        <w:rPr>
          <w:rFonts w:ascii="Verdana" w:eastAsia="Calibri" w:hAnsi="Verdana" w:cs="Arial"/>
          <w:sz w:val="21"/>
          <w:szCs w:val="21"/>
        </w:rPr>
        <w:t>del 17 de marzo de 2023</w:t>
      </w:r>
      <w:r w:rsidR="00CF697F" w:rsidRPr="00CF697F">
        <w:t xml:space="preserve"> </w:t>
      </w:r>
      <w:r w:rsidR="00CF697F" w:rsidRPr="00CF697F">
        <w:rPr>
          <w:rFonts w:ascii="Verdana" w:eastAsia="Calibri" w:hAnsi="Verdana" w:cs="Arial"/>
          <w:sz w:val="21"/>
          <w:szCs w:val="21"/>
        </w:rPr>
        <w:t xml:space="preserve">y efectuó una visita de reconocimiento institucional entre los días </w:t>
      </w:r>
      <w:r w:rsidR="006771CF">
        <w:rPr>
          <w:rFonts w:ascii="Verdana" w:eastAsia="Calibri" w:hAnsi="Verdana" w:cs="Arial"/>
          <w:sz w:val="21"/>
          <w:szCs w:val="21"/>
        </w:rPr>
        <w:t>31 de mayo</w:t>
      </w:r>
      <w:r w:rsidR="00CF697F" w:rsidRPr="00CF697F">
        <w:rPr>
          <w:rFonts w:ascii="Verdana" w:eastAsia="Calibri" w:hAnsi="Verdana" w:cs="Arial"/>
          <w:sz w:val="21"/>
          <w:szCs w:val="21"/>
        </w:rPr>
        <w:t xml:space="preserve"> </w:t>
      </w:r>
      <w:r w:rsidR="006771CF">
        <w:rPr>
          <w:rFonts w:ascii="Verdana" w:eastAsia="Calibri" w:hAnsi="Verdana" w:cs="Arial"/>
          <w:sz w:val="21"/>
          <w:szCs w:val="21"/>
        </w:rPr>
        <w:t xml:space="preserve">al 2 de junio </w:t>
      </w:r>
      <w:r w:rsidR="00CF697F" w:rsidRPr="00CF697F">
        <w:rPr>
          <w:rFonts w:ascii="Verdana" w:eastAsia="Calibri" w:hAnsi="Verdana" w:cs="Arial"/>
          <w:sz w:val="21"/>
          <w:szCs w:val="21"/>
        </w:rPr>
        <w:t>de 2023</w:t>
      </w:r>
      <w:r>
        <w:rPr>
          <w:rFonts w:ascii="Verdana" w:eastAsia="Calibri" w:hAnsi="Verdana" w:cs="Arial"/>
          <w:sz w:val="21"/>
          <w:szCs w:val="21"/>
        </w:rPr>
        <w:t>, con el fin de establecer si existen posibles situaciones de riesgo en la prestación del servicio</w:t>
      </w:r>
      <w:r w:rsidR="00CF697F" w:rsidRPr="00CF697F">
        <w:t xml:space="preserve"> </w:t>
      </w:r>
      <w:r w:rsidR="00CF697F" w:rsidRPr="00CF697F">
        <w:rPr>
          <w:rFonts w:ascii="Verdana" w:eastAsia="Calibri" w:hAnsi="Verdana" w:cs="Arial"/>
          <w:sz w:val="21"/>
          <w:szCs w:val="21"/>
        </w:rPr>
        <w:t xml:space="preserve">que sugieran la aplicación de una medida en el marco de las disposiciones normativas referidas. La información requerida por esta Dirección fue remitida por la Entidad Territorial mediante oficio número </w:t>
      </w:r>
      <w:r w:rsidR="006771CF" w:rsidRPr="00FD50B5">
        <w:rPr>
          <w:rFonts w:ascii="Verdana" w:eastAsia="Calibri" w:hAnsi="Verdana" w:cs="Arial"/>
          <w:sz w:val="21"/>
          <w:szCs w:val="21"/>
        </w:rPr>
        <w:t>1-2023-031465</w:t>
      </w:r>
      <w:r w:rsidR="00CF697F" w:rsidRPr="00CF697F">
        <w:rPr>
          <w:rFonts w:ascii="Verdana" w:eastAsia="Calibri" w:hAnsi="Verdana" w:cs="Arial"/>
          <w:sz w:val="21"/>
          <w:szCs w:val="21"/>
        </w:rPr>
        <w:t xml:space="preserve"> del </w:t>
      </w:r>
      <w:r w:rsidR="006771CF">
        <w:rPr>
          <w:rFonts w:ascii="Verdana" w:eastAsia="Calibri" w:hAnsi="Verdana" w:cs="Arial"/>
          <w:sz w:val="21"/>
          <w:szCs w:val="21"/>
        </w:rPr>
        <w:t>18</w:t>
      </w:r>
      <w:r w:rsidR="00CF697F" w:rsidRPr="00CF697F">
        <w:rPr>
          <w:rFonts w:ascii="Verdana" w:eastAsia="Calibri" w:hAnsi="Verdana" w:cs="Arial"/>
          <w:sz w:val="21"/>
          <w:szCs w:val="21"/>
        </w:rPr>
        <w:t xml:space="preserve"> de </w:t>
      </w:r>
      <w:r w:rsidR="006771CF">
        <w:rPr>
          <w:rFonts w:ascii="Verdana" w:eastAsia="Calibri" w:hAnsi="Verdana" w:cs="Arial"/>
          <w:sz w:val="21"/>
          <w:szCs w:val="21"/>
        </w:rPr>
        <w:t>abril</w:t>
      </w:r>
      <w:r w:rsidR="00CF697F" w:rsidRPr="00CF697F">
        <w:rPr>
          <w:rFonts w:ascii="Verdana" w:eastAsia="Calibri" w:hAnsi="Verdana" w:cs="Arial"/>
          <w:sz w:val="21"/>
          <w:szCs w:val="21"/>
        </w:rPr>
        <w:t xml:space="preserve"> de 2023.</w:t>
      </w:r>
    </w:p>
    <w:p w14:paraId="1A552435" w14:textId="77777777" w:rsidR="00321689" w:rsidRDefault="00321689" w:rsidP="00321689">
      <w:pPr>
        <w:jc w:val="both"/>
        <w:rPr>
          <w:rFonts w:ascii="Verdana" w:eastAsia="Calibri" w:hAnsi="Verdana" w:cs="Arial"/>
          <w:sz w:val="21"/>
          <w:szCs w:val="21"/>
          <w:highlight w:val="yellow"/>
        </w:rPr>
      </w:pPr>
    </w:p>
    <w:p w14:paraId="4F5AD74D" w14:textId="77777777" w:rsidR="00321689" w:rsidRDefault="00321689" w:rsidP="00321689">
      <w:pPr>
        <w:jc w:val="both"/>
        <w:rPr>
          <w:rFonts w:ascii="Verdana" w:eastAsia="Calibri" w:hAnsi="Verdana" w:cs="Arial"/>
          <w:sz w:val="21"/>
          <w:szCs w:val="21"/>
        </w:rPr>
      </w:pPr>
      <w:r>
        <w:rPr>
          <w:rFonts w:ascii="Verdana" w:eastAsia="Calibri" w:hAnsi="Verdana" w:cs="Arial"/>
          <w:sz w:val="21"/>
          <w:szCs w:val="21"/>
        </w:rPr>
        <w:t xml:space="preserve">Finalmente, es preciso indicar que para la elaboración del presente </w:t>
      </w:r>
      <w:r w:rsidR="00622A1E">
        <w:rPr>
          <w:rFonts w:ascii="Verdana" w:eastAsia="Calibri" w:hAnsi="Verdana" w:cs="Arial"/>
          <w:sz w:val="21"/>
          <w:szCs w:val="21"/>
        </w:rPr>
        <w:t xml:space="preserve">documento </w:t>
      </w:r>
      <w:r>
        <w:rPr>
          <w:rFonts w:ascii="Verdana" w:eastAsia="Calibri" w:hAnsi="Verdana" w:cs="Arial"/>
          <w:sz w:val="21"/>
          <w:szCs w:val="21"/>
        </w:rPr>
        <w:t>se dispuso de información institucional aportada por las autoridades departamentales y sectoriales, así como fuentes de información consistentes en documentos o publicaciones de carácter oficial, disposiciones normativas y publicaciones particulares, cada una de las cuales es citada cuando ello es requerido.</w:t>
      </w:r>
    </w:p>
    <w:p w14:paraId="6B027AD7" w14:textId="77777777" w:rsidR="00321689" w:rsidRDefault="00321689" w:rsidP="00321689">
      <w:pPr>
        <w:rPr>
          <w:rFonts w:ascii="Verdana" w:eastAsia="Calibri" w:hAnsi="Verdana" w:cs="Arial"/>
          <w:sz w:val="21"/>
          <w:szCs w:val="21"/>
        </w:rPr>
      </w:pPr>
      <w:r>
        <w:rPr>
          <w:rFonts w:ascii="Verdana" w:eastAsia="Calibri" w:hAnsi="Verdana" w:cs="Arial"/>
          <w:sz w:val="21"/>
          <w:szCs w:val="21"/>
        </w:rPr>
        <w:br w:type="page"/>
      </w:r>
    </w:p>
    <w:p w14:paraId="592F6A16" w14:textId="77777777" w:rsidR="00321689" w:rsidRDefault="00321689" w:rsidP="00321689">
      <w:pPr>
        <w:pStyle w:val="Ttulo1"/>
        <w:numPr>
          <w:ilvl w:val="0"/>
          <w:numId w:val="1"/>
        </w:numPr>
        <w:spacing w:before="0"/>
        <w:jc w:val="both"/>
        <w:rPr>
          <w:rFonts w:ascii="Verdana" w:hAnsi="Verdana" w:cs="Arial"/>
          <w:b/>
          <w:color w:val="auto"/>
          <w:sz w:val="22"/>
          <w:szCs w:val="22"/>
        </w:rPr>
      </w:pPr>
      <w:r>
        <w:rPr>
          <w:rFonts w:ascii="Verdana" w:hAnsi="Verdana" w:cs="Arial"/>
          <w:b/>
          <w:color w:val="auto"/>
          <w:sz w:val="22"/>
          <w:szCs w:val="22"/>
        </w:rPr>
        <w:lastRenderedPageBreak/>
        <w:t xml:space="preserve">CARACTERIZACIÓN </w:t>
      </w:r>
    </w:p>
    <w:p w14:paraId="0B05C20F" w14:textId="77777777" w:rsidR="00321689" w:rsidRDefault="00321689" w:rsidP="00321689">
      <w:pPr>
        <w:rPr>
          <w:rFonts w:ascii="Verdana" w:hAnsi="Verdana" w:cs="Arial"/>
          <w:sz w:val="22"/>
          <w:szCs w:val="22"/>
        </w:rPr>
      </w:pPr>
    </w:p>
    <w:p w14:paraId="76F27AC9" w14:textId="77777777" w:rsidR="00D35EDA" w:rsidRDefault="00321689" w:rsidP="00C30457">
      <w:pPr>
        <w:pStyle w:val="Prrafodelista"/>
        <w:rPr>
          <w:rFonts w:ascii="Verdana" w:hAnsi="Verdana" w:cs="Arial"/>
        </w:rPr>
      </w:pPr>
      <w:r>
        <w:rPr>
          <w:rFonts w:ascii="Verdana" w:hAnsi="Verdana" w:cs="Arial"/>
        </w:rPr>
        <w:t>Infografía.</w:t>
      </w:r>
    </w:p>
    <w:p w14:paraId="4F5D59D8" w14:textId="77777777" w:rsidR="00D35EDA" w:rsidRPr="00C133CF" w:rsidRDefault="00D35EDA" w:rsidP="00C133CF">
      <w:pPr>
        <w:ind w:left="360"/>
        <w:rPr>
          <w:rFonts w:ascii="Verdana" w:hAnsi="Verdana" w:cs="Arial"/>
        </w:rPr>
      </w:pPr>
    </w:p>
    <w:p w14:paraId="4B4C91CE" w14:textId="77777777" w:rsidR="00321689" w:rsidRDefault="00321689" w:rsidP="00321689">
      <w:pPr>
        <w:pStyle w:val="Prrafodelista"/>
        <w:ind w:left="0"/>
        <w:rPr>
          <w:rFonts w:ascii="Verdana" w:hAnsi="Verdana" w:cs="Arial"/>
        </w:rPr>
      </w:pPr>
    </w:p>
    <w:p w14:paraId="5382599C" w14:textId="77777777" w:rsidR="00321689" w:rsidRDefault="00321689" w:rsidP="00321689">
      <w:pPr>
        <w:pStyle w:val="Prrafodelista"/>
        <w:ind w:left="0"/>
        <w:rPr>
          <w:rFonts w:ascii="Verdana" w:hAnsi="Verdana" w:cs="Arial"/>
        </w:rPr>
      </w:pPr>
    </w:p>
    <w:p w14:paraId="4AB4A457" w14:textId="77777777" w:rsidR="00D35EDA" w:rsidRDefault="00D35EDA" w:rsidP="00321689">
      <w:pPr>
        <w:pStyle w:val="Prrafodelista"/>
        <w:ind w:left="0"/>
        <w:rPr>
          <w:rFonts w:ascii="Verdana" w:hAnsi="Verdana" w:cs="Arial"/>
        </w:rPr>
      </w:pPr>
    </w:p>
    <w:p w14:paraId="0F118250" w14:textId="77777777" w:rsidR="00D35EDA" w:rsidRDefault="00D35EDA" w:rsidP="00321689">
      <w:pPr>
        <w:pStyle w:val="Prrafodelista"/>
        <w:ind w:left="0"/>
        <w:rPr>
          <w:rFonts w:ascii="Verdana" w:hAnsi="Verdana" w:cs="Arial"/>
        </w:rPr>
      </w:pPr>
    </w:p>
    <w:p w14:paraId="2DC0EF56" w14:textId="77777777" w:rsidR="00C133CF" w:rsidRDefault="00C133CF" w:rsidP="00321689">
      <w:pPr>
        <w:pStyle w:val="Prrafodelista"/>
        <w:ind w:left="0"/>
        <w:rPr>
          <w:rFonts w:ascii="Verdana" w:hAnsi="Verdana" w:cs="Arial"/>
        </w:rPr>
      </w:pPr>
    </w:p>
    <w:p w14:paraId="5DAA7987" w14:textId="77777777" w:rsidR="00C133CF" w:rsidRDefault="00C133CF" w:rsidP="00321689">
      <w:pPr>
        <w:pStyle w:val="Prrafodelista"/>
        <w:ind w:left="0"/>
        <w:rPr>
          <w:rFonts w:ascii="Verdana" w:hAnsi="Verdana" w:cs="Arial"/>
        </w:rPr>
      </w:pPr>
    </w:p>
    <w:p w14:paraId="70050E3A" w14:textId="77777777" w:rsidR="00C133CF" w:rsidRDefault="00C133CF" w:rsidP="00321689">
      <w:pPr>
        <w:pStyle w:val="Prrafodelista"/>
        <w:ind w:left="0"/>
        <w:rPr>
          <w:rFonts w:ascii="Verdana" w:hAnsi="Verdana" w:cs="Arial"/>
        </w:rPr>
      </w:pPr>
    </w:p>
    <w:p w14:paraId="0CFFAD47" w14:textId="77777777" w:rsidR="00C133CF" w:rsidRDefault="00C133CF" w:rsidP="00321689">
      <w:pPr>
        <w:pStyle w:val="Prrafodelista"/>
        <w:ind w:left="0"/>
        <w:rPr>
          <w:rFonts w:ascii="Verdana" w:hAnsi="Verdana" w:cs="Arial"/>
        </w:rPr>
      </w:pPr>
    </w:p>
    <w:p w14:paraId="47A726FA" w14:textId="77777777" w:rsidR="00C133CF" w:rsidRDefault="00C133CF" w:rsidP="00321689">
      <w:pPr>
        <w:pStyle w:val="Prrafodelista"/>
        <w:ind w:left="0"/>
        <w:rPr>
          <w:rFonts w:ascii="Verdana" w:hAnsi="Verdana" w:cs="Arial"/>
        </w:rPr>
      </w:pPr>
      <w:r>
        <w:rPr>
          <w:noProof/>
          <w:lang w:val="es-CO" w:eastAsia="es-CO"/>
        </w:rPr>
        <w:lastRenderedPageBreak/>
        <w:drawing>
          <wp:inline distT="0" distB="0" distL="0" distR="0" wp14:anchorId="67FC34A1" wp14:editId="415909E7">
            <wp:extent cx="5612130" cy="6333988"/>
            <wp:effectExtent l="0" t="0" r="7620" b="0"/>
            <wp:docPr id="38" name="Imagen 38" descr="cid:image001.png@01DA010C.3202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A010C.3202556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612130" cy="6333988"/>
                    </a:xfrm>
                    <a:prstGeom prst="rect">
                      <a:avLst/>
                    </a:prstGeom>
                    <a:noFill/>
                    <a:ln>
                      <a:noFill/>
                    </a:ln>
                  </pic:spPr>
                </pic:pic>
              </a:graphicData>
            </a:graphic>
          </wp:inline>
        </w:drawing>
      </w:r>
    </w:p>
    <w:p w14:paraId="728F28C6" w14:textId="77777777" w:rsidR="00C133CF" w:rsidRDefault="00C133CF" w:rsidP="00321689">
      <w:pPr>
        <w:pStyle w:val="Prrafodelista"/>
        <w:ind w:left="0"/>
        <w:rPr>
          <w:rFonts w:ascii="Verdana" w:hAnsi="Verdana" w:cs="Arial"/>
        </w:rPr>
      </w:pPr>
    </w:p>
    <w:p w14:paraId="791C199B" w14:textId="77777777" w:rsidR="00C133CF" w:rsidRDefault="00C133CF" w:rsidP="00321689">
      <w:pPr>
        <w:pStyle w:val="Prrafodelista"/>
        <w:ind w:left="0"/>
        <w:rPr>
          <w:rFonts w:ascii="Verdana" w:hAnsi="Verdana" w:cs="Arial"/>
        </w:rPr>
      </w:pPr>
    </w:p>
    <w:p w14:paraId="460F3BE1" w14:textId="77777777" w:rsidR="00C133CF" w:rsidRDefault="00C133CF" w:rsidP="00321689">
      <w:pPr>
        <w:pStyle w:val="Prrafodelista"/>
        <w:ind w:left="0"/>
        <w:rPr>
          <w:rFonts w:ascii="Verdana" w:hAnsi="Verdana" w:cs="Arial"/>
        </w:rPr>
      </w:pPr>
    </w:p>
    <w:p w14:paraId="51790838" w14:textId="77777777" w:rsidR="00C133CF" w:rsidRDefault="00C133CF" w:rsidP="00321689">
      <w:pPr>
        <w:pStyle w:val="Prrafodelista"/>
        <w:ind w:left="0"/>
        <w:rPr>
          <w:rFonts w:ascii="Verdana" w:hAnsi="Verdana" w:cs="Arial"/>
        </w:rPr>
      </w:pPr>
    </w:p>
    <w:p w14:paraId="2B3D323F" w14:textId="77777777" w:rsidR="00C133CF" w:rsidRDefault="00C133CF" w:rsidP="00321689">
      <w:pPr>
        <w:pStyle w:val="Prrafodelista"/>
        <w:ind w:left="0"/>
        <w:rPr>
          <w:rFonts w:ascii="Verdana" w:hAnsi="Verdana" w:cs="Arial"/>
        </w:rPr>
      </w:pPr>
    </w:p>
    <w:p w14:paraId="65BD75EC" w14:textId="77777777" w:rsidR="00C133CF" w:rsidRDefault="00C133CF" w:rsidP="00321689">
      <w:pPr>
        <w:pStyle w:val="Prrafodelista"/>
        <w:ind w:left="0"/>
        <w:rPr>
          <w:rFonts w:ascii="Verdana" w:hAnsi="Verdana" w:cs="Arial"/>
        </w:rPr>
      </w:pPr>
    </w:p>
    <w:p w14:paraId="3061D32D" w14:textId="77777777" w:rsidR="00C133CF" w:rsidRDefault="00C133CF" w:rsidP="00321689">
      <w:pPr>
        <w:pStyle w:val="Prrafodelista"/>
        <w:ind w:left="0"/>
        <w:rPr>
          <w:rFonts w:ascii="Verdana" w:hAnsi="Verdana" w:cs="Arial"/>
        </w:rPr>
      </w:pPr>
    </w:p>
    <w:p w14:paraId="33EF232A" w14:textId="77777777" w:rsidR="00321689" w:rsidRPr="00AE40AC" w:rsidRDefault="00321689" w:rsidP="00321689">
      <w:pPr>
        <w:pStyle w:val="Prrafodelista"/>
        <w:numPr>
          <w:ilvl w:val="0"/>
          <w:numId w:val="5"/>
        </w:numPr>
        <w:rPr>
          <w:rFonts w:ascii="Verdana" w:hAnsi="Verdana" w:cs="Arial"/>
          <w:sz w:val="21"/>
          <w:szCs w:val="21"/>
        </w:rPr>
      </w:pPr>
      <w:r w:rsidRPr="00AE40AC">
        <w:rPr>
          <w:rFonts w:ascii="Verdana" w:hAnsi="Verdana" w:cs="Arial"/>
          <w:sz w:val="21"/>
          <w:szCs w:val="21"/>
        </w:rPr>
        <w:t xml:space="preserve">Componentes sectoriales </w:t>
      </w:r>
    </w:p>
    <w:p w14:paraId="7824D679" w14:textId="77777777" w:rsidR="00321689" w:rsidRPr="00AE40AC" w:rsidRDefault="00321689" w:rsidP="00321689">
      <w:pPr>
        <w:pStyle w:val="Prrafodelista"/>
        <w:rPr>
          <w:rFonts w:ascii="Verdana" w:hAnsi="Verdana" w:cs="Arial"/>
          <w:sz w:val="21"/>
          <w:szCs w:val="21"/>
        </w:rPr>
      </w:pPr>
    </w:p>
    <w:p w14:paraId="3844E674" w14:textId="77777777" w:rsidR="00321689" w:rsidRPr="00AE40AC" w:rsidRDefault="00321689" w:rsidP="00321689">
      <w:pPr>
        <w:pStyle w:val="Prrafodelista"/>
        <w:numPr>
          <w:ilvl w:val="0"/>
          <w:numId w:val="7"/>
        </w:numPr>
        <w:jc w:val="both"/>
        <w:rPr>
          <w:rFonts w:ascii="Verdana" w:eastAsia="Calibri" w:hAnsi="Verdana" w:cs="Arial"/>
          <w:b/>
          <w:sz w:val="21"/>
          <w:szCs w:val="21"/>
        </w:rPr>
      </w:pPr>
      <w:r w:rsidRPr="00AE40AC">
        <w:rPr>
          <w:rFonts w:ascii="Verdana" w:eastAsia="Calibri" w:hAnsi="Verdana" w:cs="Arial"/>
          <w:b/>
          <w:sz w:val="21"/>
          <w:szCs w:val="21"/>
        </w:rPr>
        <w:lastRenderedPageBreak/>
        <w:t>Contexto Regional.</w:t>
      </w:r>
    </w:p>
    <w:p w14:paraId="4649CBC7" w14:textId="77777777" w:rsidR="00321689" w:rsidRPr="00AE40AC" w:rsidRDefault="00321689" w:rsidP="00321689">
      <w:pPr>
        <w:ind w:left="360"/>
        <w:jc w:val="both"/>
        <w:rPr>
          <w:rFonts w:ascii="Verdana" w:eastAsia="Calibri" w:hAnsi="Verdana" w:cs="Arial"/>
          <w:b/>
          <w:sz w:val="21"/>
          <w:szCs w:val="21"/>
        </w:rPr>
      </w:pPr>
    </w:p>
    <w:p w14:paraId="181B70C1" w14:textId="77777777" w:rsidR="00321689" w:rsidRPr="00AE40AC" w:rsidRDefault="00321689" w:rsidP="00321689">
      <w:pPr>
        <w:shd w:val="clear" w:color="auto" w:fill="FFFFFF"/>
        <w:jc w:val="both"/>
        <w:rPr>
          <w:rFonts w:ascii="Verdana" w:eastAsiaTheme="minorHAnsi" w:hAnsi="Verdana" w:cs="Arial"/>
          <w:sz w:val="21"/>
          <w:szCs w:val="21"/>
        </w:rPr>
      </w:pPr>
      <w:r w:rsidRPr="00AE40AC">
        <w:rPr>
          <w:rFonts w:ascii="Verdana" w:hAnsi="Verdana" w:cs="Arial"/>
          <w:sz w:val="21"/>
          <w:szCs w:val="21"/>
        </w:rPr>
        <w:t>Está situado en la zona noreste del país, posee una extensión de 22.905 km² y una población de 1.041.203 habitantes. Limita al norte con los departamentos de La Guajira y Magdalena; por el sur, con Bolívar, Santander y Norte de Santander; y por el este, con Norte de Santander y la República Bolivariana de Venezuela. Sus coordenadas son 07º41’16’’ y 10º52’14’’ de latitud norte y 72º53’27’’ y 74º08’28’’ de longitud oeste. Su capital es Valledupar.</w:t>
      </w:r>
    </w:p>
    <w:p w14:paraId="6FC15F52" w14:textId="77777777" w:rsidR="00321689" w:rsidRPr="00AE40AC" w:rsidRDefault="00321689" w:rsidP="00321689">
      <w:pPr>
        <w:jc w:val="both"/>
        <w:rPr>
          <w:rFonts w:ascii="Verdana" w:hAnsi="Verdana" w:cs="Arial"/>
          <w:sz w:val="21"/>
          <w:szCs w:val="21"/>
        </w:rPr>
      </w:pPr>
    </w:p>
    <w:p w14:paraId="6872CA5E" w14:textId="77777777" w:rsidR="00321689" w:rsidRPr="00AE40AC" w:rsidRDefault="00321689" w:rsidP="00321689">
      <w:pPr>
        <w:pStyle w:val="NormalWeb"/>
        <w:shd w:val="clear" w:color="auto" w:fill="FFFFFF"/>
        <w:spacing w:before="0" w:beforeAutospacing="0" w:after="0"/>
        <w:jc w:val="both"/>
        <w:rPr>
          <w:rFonts w:ascii="Verdana" w:eastAsia="MS Mincho" w:hAnsi="Verdana" w:cs="Arial"/>
          <w:sz w:val="21"/>
          <w:szCs w:val="21"/>
        </w:rPr>
      </w:pPr>
      <w:r w:rsidRPr="00AE40AC">
        <w:rPr>
          <w:rFonts w:ascii="Verdana" w:eastAsia="MS Mincho" w:hAnsi="Verdana" w:cs="Arial"/>
          <w:sz w:val="21"/>
          <w:szCs w:val="21"/>
        </w:rPr>
        <w:t>Posee un clima netamente tropical; sin embargo, dada la elevación de amplios sectores de terreno desde casi el nivel del mar hasta más de 5000 metros de altitud, presenta una gran variedad climática, con todos los pisos térmicos en sus versiones secas y húmedas.</w:t>
      </w:r>
    </w:p>
    <w:p w14:paraId="16CA6279" w14:textId="77777777" w:rsidR="00321689" w:rsidRPr="00AE40AC" w:rsidRDefault="00321689" w:rsidP="00321689">
      <w:pPr>
        <w:pStyle w:val="NormalWeb"/>
        <w:shd w:val="clear" w:color="auto" w:fill="FFFFFF"/>
        <w:spacing w:before="0" w:beforeAutospacing="0" w:after="0"/>
        <w:jc w:val="both"/>
        <w:rPr>
          <w:rFonts w:ascii="Verdana" w:eastAsia="MS Mincho" w:hAnsi="Verdana" w:cs="Arial"/>
          <w:sz w:val="21"/>
          <w:szCs w:val="21"/>
        </w:rPr>
      </w:pPr>
    </w:p>
    <w:p w14:paraId="6D308C21" w14:textId="77777777" w:rsidR="00321689" w:rsidRPr="00AE40AC" w:rsidRDefault="00321689" w:rsidP="00321689">
      <w:pPr>
        <w:shd w:val="clear" w:color="auto" w:fill="FFFFFF"/>
        <w:jc w:val="both"/>
        <w:rPr>
          <w:rFonts w:ascii="Verdana" w:eastAsiaTheme="minorHAnsi" w:hAnsi="Verdana" w:cs="Arial"/>
          <w:sz w:val="21"/>
          <w:szCs w:val="21"/>
        </w:rPr>
      </w:pPr>
      <w:r w:rsidRPr="00AE40AC">
        <w:rPr>
          <w:rFonts w:ascii="Verdana" w:hAnsi="Verdana" w:cs="Arial"/>
          <w:sz w:val="21"/>
          <w:szCs w:val="21"/>
        </w:rPr>
        <w:t>Los principales renglones económicos del Cesar son el agropecuario del que deriva un 30% de sus ingresos, el de servicios con el 35% y la minería con el 27% de los mismos (una parte de la minería es explotada de manera ilegal). La ganadería vacuna ocupa un lugar de primer orden, con una población estimada en 1.513.149 cabezas.</w:t>
      </w:r>
    </w:p>
    <w:p w14:paraId="7A7CB576" w14:textId="77777777" w:rsidR="00321689" w:rsidRPr="00AE40AC" w:rsidRDefault="00321689" w:rsidP="00321689">
      <w:pPr>
        <w:shd w:val="clear" w:color="auto" w:fill="FFFFFF"/>
        <w:jc w:val="both"/>
        <w:rPr>
          <w:rFonts w:ascii="Verdana" w:hAnsi="Verdana" w:cs="Arial"/>
          <w:sz w:val="21"/>
          <w:szCs w:val="21"/>
        </w:rPr>
      </w:pPr>
    </w:p>
    <w:p w14:paraId="1D4A6A3A" w14:textId="77777777" w:rsidR="00321689" w:rsidRPr="00AE40AC" w:rsidRDefault="00321689" w:rsidP="00321689">
      <w:pPr>
        <w:shd w:val="clear" w:color="auto" w:fill="FFFFFF"/>
        <w:jc w:val="both"/>
        <w:rPr>
          <w:rFonts w:ascii="Verdana" w:hAnsi="Verdana" w:cs="Arial"/>
          <w:sz w:val="21"/>
          <w:szCs w:val="21"/>
        </w:rPr>
      </w:pPr>
      <w:r w:rsidRPr="00AE40AC">
        <w:rPr>
          <w:rFonts w:ascii="Verdana" w:hAnsi="Verdana" w:cs="Arial"/>
          <w:sz w:val="21"/>
          <w:szCs w:val="21"/>
        </w:rPr>
        <w:t>El cultivo y procesamiento de algodón, las palmas oleaginosas y otros productos agrícolas alcanzan altos niveles de tecnificación y desarrollo. Cesar es el primer productor nacional semilla de palma africana y el segundo de arroz. La elaboración de productos lácteos y de grasas de aceites figuran igualmente entre sus principales industrias. También existe una amplia extensión de cultivos de frutas.</w:t>
      </w:r>
    </w:p>
    <w:p w14:paraId="4AD9FE5F" w14:textId="77777777" w:rsidR="00321689" w:rsidRPr="00AE40AC" w:rsidRDefault="00321689" w:rsidP="00321689">
      <w:pPr>
        <w:shd w:val="clear" w:color="auto" w:fill="FFFFFF"/>
        <w:jc w:val="both"/>
        <w:rPr>
          <w:rFonts w:ascii="Verdana" w:hAnsi="Verdana" w:cs="Arial"/>
          <w:sz w:val="21"/>
          <w:szCs w:val="21"/>
        </w:rPr>
      </w:pPr>
    </w:p>
    <w:p w14:paraId="28007168" w14:textId="77777777" w:rsidR="00321689" w:rsidRPr="00AE40AC" w:rsidRDefault="00321689" w:rsidP="00321689">
      <w:pPr>
        <w:shd w:val="clear" w:color="auto" w:fill="FFFFFF"/>
        <w:jc w:val="both"/>
        <w:rPr>
          <w:rFonts w:ascii="Verdana" w:hAnsi="Verdana" w:cs="Arial"/>
          <w:sz w:val="21"/>
          <w:szCs w:val="21"/>
        </w:rPr>
      </w:pPr>
      <w:r w:rsidRPr="00AE40AC">
        <w:rPr>
          <w:rFonts w:ascii="Verdana" w:hAnsi="Verdana" w:cs="Arial"/>
          <w:sz w:val="21"/>
          <w:szCs w:val="21"/>
        </w:rPr>
        <w:t xml:space="preserve">En la última década el </w:t>
      </w:r>
      <w:r w:rsidR="001A3C56">
        <w:rPr>
          <w:rFonts w:ascii="Verdana" w:hAnsi="Verdana" w:cs="Arial"/>
          <w:sz w:val="21"/>
          <w:szCs w:val="21"/>
        </w:rPr>
        <w:t>D</w:t>
      </w:r>
      <w:r w:rsidRPr="00AE40AC">
        <w:rPr>
          <w:rFonts w:ascii="Verdana" w:hAnsi="Verdana" w:cs="Arial"/>
          <w:sz w:val="21"/>
          <w:szCs w:val="21"/>
        </w:rPr>
        <w:t xml:space="preserve">epartamento del Cesar ha tomado un incremento en su economía debido a la explotación de minas de carbón a cielo abierto liderada por la empresa multinacional Drummond, y otros más, principalmente en el </w:t>
      </w:r>
      <w:r w:rsidR="00DB59AE">
        <w:rPr>
          <w:rFonts w:ascii="Verdana" w:hAnsi="Verdana" w:cs="Arial"/>
          <w:sz w:val="21"/>
          <w:szCs w:val="21"/>
        </w:rPr>
        <w:t>M</w:t>
      </w:r>
      <w:r w:rsidRPr="00AE40AC">
        <w:rPr>
          <w:rFonts w:ascii="Verdana" w:hAnsi="Verdana" w:cs="Arial"/>
          <w:sz w:val="21"/>
          <w:szCs w:val="21"/>
        </w:rPr>
        <w:t>unicipio de El Paso y La Jagua de Ibirico, siendo últimamente afianzada por el hallazgo de grandes yacimientos en el Sitio Conocido como el Descanso. A partir de 2004, el Cesar se convirtió en el primer productor nacional de Carbón.</w:t>
      </w:r>
    </w:p>
    <w:p w14:paraId="340B7607" w14:textId="77777777" w:rsidR="00321689" w:rsidRPr="00AE40AC" w:rsidRDefault="00321689" w:rsidP="00321689">
      <w:pPr>
        <w:shd w:val="clear" w:color="auto" w:fill="FFFFFF"/>
        <w:jc w:val="both"/>
        <w:rPr>
          <w:rFonts w:ascii="Verdana" w:hAnsi="Verdana" w:cs="Helvetica"/>
          <w:color w:val="616161"/>
          <w:sz w:val="21"/>
          <w:szCs w:val="21"/>
          <w:shd w:val="clear" w:color="auto" w:fill="FFFFFF"/>
        </w:rPr>
      </w:pPr>
    </w:p>
    <w:p w14:paraId="36BBBCD1" w14:textId="77777777" w:rsidR="00321689" w:rsidRPr="00AE40AC" w:rsidRDefault="00321689" w:rsidP="00321689">
      <w:pPr>
        <w:shd w:val="clear" w:color="auto" w:fill="FFFFFF"/>
        <w:jc w:val="both"/>
        <w:rPr>
          <w:rFonts w:ascii="Verdana" w:hAnsi="Verdana" w:cs="Arial"/>
          <w:sz w:val="21"/>
          <w:szCs w:val="21"/>
        </w:rPr>
      </w:pPr>
      <w:r w:rsidRPr="00AE40AC">
        <w:rPr>
          <w:rFonts w:ascii="Verdana" w:hAnsi="Verdana" w:cs="Arial"/>
          <w:sz w:val="21"/>
          <w:szCs w:val="21"/>
        </w:rPr>
        <w:t xml:space="preserve">Cesar tiene 25 territorios distribuidos en cuatro subregiones. El área metropolitana de Valledupar fue creada en 2005 y la conforman los </w:t>
      </w:r>
      <w:r w:rsidR="0074522E">
        <w:rPr>
          <w:rFonts w:ascii="Verdana" w:hAnsi="Verdana" w:cs="Arial"/>
          <w:sz w:val="21"/>
          <w:szCs w:val="21"/>
        </w:rPr>
        <w:t>M</w:t>
      </w:r>
      <w:r w:rsidRPr="00AE40AC">
        <w:rPr>
          <w:rFonts w:ascii="Verdana" w:hAnsi="Verdana" w:cs="Arial"/>
          <w:sz w:val="21"/>
          <w:szCs w:val="21"/>
        </w:rPr>
        <w:t>unicipios de Valledupar, Agustín Codazzi, La Paz, Manaure Balcón del Cesar</w:t>
      </w:r>
      <w:r w:rsidR="0074522E">
        <w:rPr>
          <w:rFonts w:ascii="Verdana" w:hAnsi="Verdana" w:cs="Arial"/>
          <w:sz w:val="21"/>
          <w:szCs w:val="21"/>
        </w:rPr>
        <w:t xml:space="preserve"> y</w:t>
      </w:r>
      <w:r w:rsidRPr="00AE40AC">
        <w:rPr>
          <w:rFonts w:ascii="Verdana" w:hAnsi="Verdana" w:cs="Arial"/>
          <w:sz w:val="21"/>
          <w:szCs w:val="21"/>
        </w:rPr>
        <w:t xml:space="preserve"> San Diego. Está en estudio integrar al área metropolitana los dos municipios sureños de La Guajira.</w:t>
      </w:r>
    </w:p>
    <w:p w14:paraId="5B476255" w14:textId="77777777" w:rsidR="00321689" w:rsidRPr="00AE40AC" w:rsidRDefault="00321689" w:rsidP="00321689">
      <w:pPr>
        <w:tabs>
          <w:tab w:val="left" w:pos="5653"/>
        </w:tabs>
        <w:jc w:val="both"/>
        <w:rPr>
          <w:rFonts w:ascii="Verdana" w:hAnsi="Verdana" w:cs="Arial"/>
          <w:color w:val="202122"/>
          <w:sz w:val="21"/>
          <w:szCs w:val="21"/>
          <w:shd w:val="clear" w:color="auto" w:fill="FFFFFF"/>
        </w:rPr>
      </w:pPr>
    </w:p>
    <w:p w14:paraId="5C9450DC" w14:textId="77777777" w:rsidR="00321689" w:rsidRDefault="00321689" w:rsidP="00321689">
      <w:pPr>
        <w:tabs>
          <w:tab w:val="left" w:pos="5653"/>
        </w:tabs>
        <w:jc w:val="center"/>
        <w:rPr>
          <w:rFonts w:ascii="Verdana" w:hAnsi="Verdana" w:cs="Arial"/>
          <w:color w:val="202122"/>
          <w:sz w:val="16"/>
          <w:szCs w:val="16"/>
          <w:shd w:val="clear" w:color="auto" w:fill="FFFFFF"/>
        </w:rPr>
      </w:pPr>
      <w:r>
        <w:rPr>
          <w:rFonts w:ascii="Verdana" w:hAnsi="Verdana"/>
          <w:noProof/>
          <w:lang w:val="es-CO" w:eastAsia="es-CO"/>
        </w:rPr>
        <w:drawing>
          <wp:inline distT="0" distB="0" distL="0" distR="0" wp14:anchorId="19DBD95E" wp14:editId="222EB93A">
            <wp:extent cx="2603500" cy="1123950"/>
            <wp:effectExtent l="0" t="0" r="6350" b="0"/>
            <wp:docPr id="33" name="Imagen 33" descr="ubicacion ce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ubicacion ces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1100" cy="1131548"/>
                    </a:xfrm>
                    <a:prstGeom prst="rect">
                      <a:avLst/>
                    </a:prstGeom>
                    <a:noFill/>
                    <a:ln>
                      <a:noFill/>
                    </a:ln>
                  </pic:spPr>
                </pic:pic>
              </a:graphicData>
            </a:graphic>
          </wp:inline>
        </w:drawing>
      </w:r>
    </w:p>
    <w:p w14:paraId="40EEFD09" w14:textId="77777777" w:rsidR="00321689" w:rsidRDefault="00321689" w:rsidP="00321689">
      <w:pPr>
        <w:tabs>
          <w:tab w:val="left" w:pos="5653"/>
        </w:tabs>
        <w:jc w:val="center"/>
        <w:rPr>
          <w:rFonts w:ascii="Verdana" w:hAnsi="Verdana" w:cs="Arial"/>
          <w:color w:val="202122"/>
          <w:sz w:val="21"/>
          <w:szCs w:val="21"/>
          <w:shd w:val="clear" w:color="auto" w:fill="FFFFFF"/>
        </w:rPr>
      </w:pPr>
      <w:r>
        <w:rPr>
          <w:rFonts w:ascii="Verdana" w:hAnsi="Verdana" w:cs="Arial"/>
          <w:color w:val="202122"/>
          <w:sz w:val="16"/>
          <w:szCs w:val="16"/>
          <w:shd w:val="clear" w:color="auto" w:fill="FFFFFF"/>
        </w:rPr>
        <w:t>Fuente: google maps</w:t>
      </w:r>
      <w:r>
        <w:rPr>
          <w:rFonts w:ascii="Verdana" w:hAnsi="Verdana" w:cs="Arial"/>
          <w:color w:val="202122"/>
          <w:sz w:val="21"/>
          <w:szCs w:val="21"/>
          <w:shd w:val="clear" w:color="auto" w:fill="FFFFFF"/>
        </w:rPr>
        <w:t>.</w:t>
      </w:r>
    </w:p>
    <w:p w14:paraId="2B6E1870" w14:textId="77777777" w:rsidR="00C133CF" w:rsidRDefault="00C133CF" w:rsidP="00321689">
      <w:pPr>
        <w:tabs>
          <w:tab w:val="left" w:pos="5653"/>
        </w:tabs>
        <w:jc w:val="center"/>
        <w:rPr>
          <w:rFonts w:ascii="Verdana" w:hAnsi="Verdana" w:cs="Arial"/>
          <w:color w:val="202122"/>
          <w:sz w:val="21"/>
          <w:szCs w:val="21"/>
          <w:shd w:val="clear" w:color="auto" w:fill="FFFFFF"/>
        </w:rPr>
      </w:pPr>
    </w:p>
    <w:p w14:paraId="39AC562E" w14:textId="77777777" w:rsidR="00321689" w:rsidRDefault="00321689" w:rsidP="00321689">
      <w:pPr>
        <w:pStyle w:val="NormalWeb"/>
        <w:numPr>
          <w:ilvl w:val="0"/>
          <w:numId w:val="7"/>
        </w:numPr>
        <w:shd w:val="clear" w:color="auto" w:fill="FFFFFF"/>
        <w:spacing w:before="0" w:beforeAutospacing="0" w:after="0"/>
        <w:jc w:val="both"/>
        <w:rPr>
          <w:rFonts w:ascii="Verdana" w:hAnsi="Verdana" w:cs="Arial"/>
          <w:color w:val="202122"/>
          <w:sz w:val="21"/>
          <w:szCs w:val="21"/>
          <w:shd w:val="clear" w:color="auto" w:fill="FFFFFF"/>
        </w:rPr>
      </w:pPr>
      <w:r>
        <w:rPr>
          <w:rFonts w:ascii="Verdana" w:hAnsi="Verdana" w:cs="Arial"/>
          <w:b/>
          <w:sz w:val="21"/>
          <w:szCs w:val="21"/>
        </w:rPr>
        <w:t>Red pública de prestadores.</w:t>
      </w:r>
    </w:p>
    <w:p w14:paraId="23730638" w14:textId="77777777" w:rsidR="00321689" w:rsidRDefault="00321689" w:rsidP="00321689">
      <w:pPr>
        <w:rPr>
          <w:rFonts w:ascii="Verdana" w:hAnsi="Verdana" w:cs="Arial"/>
          <w:sz w:val="21"/>
          <w:szCs w:val="21"/>
        </w:rPr>
      </w:pPr>
    </w:p>
    <w:p w14:paraId="0EC24E37" w14:textId="77777777" w:rsidR="00321689" w:rsidRDefault="00321689" w:rsidP="00321689">
      <w:pPr>
        <w:jc w:val="both"/>
        <w:rPr>
          <w:rFonts w:ascii="Verdana" w:hAnsi="Verdana" w:cs="Arial"/>
          <w:sz w:val="21"/>
          <w:szCs w:val="21"/>
        </w:rPr>
      </w:pPr>
      <w:r>
        <w:rPr>
          <w:rFonts w:ascii="Verdana" w:hAnsi="Verdana" w:cs="Arial"/>
          <w:sz w:val="21"/>
          <w:szCs w:val="21"/>
        </w:rPr>
        <w:lastRenderedPageBreak/>
        <w:t>La Red Pública de prestadores del Servicio de Salud del Departamento del Cesar, fue viabilizada por el Ministerio de Salud y Protección Social e informada al Ministerio de Hacienda y Crédito Público mediante oficio con radicado No</w:t>
      </w:r>
      <w:r w:rsidR="00364164">
        <w:rPr>
          <w:rFonts w:ascii="Verdana" w:hAnsi="Verdana" w:cs="Arial"/>
          <w:sz w:val="21"/>
          <w:szCs w:val="21"/>
        </w:rPr>
        <w:t>.</w:t>
      </w:r>
      <w:r>
        <w:rPr>
          <w:rFonts w:ascii="Verdana" w:hAnsi="Verdana" w:cs="Arial"/>
          <w:sz w:val="21"/>
          <w:szCs w:val="21"/>
        </w:rPr>
        <w:t xml:space="preserve"> 201423100837511 del 11 de </w:t>
      </w:r>
      <w:r w:rsidR="00364164">
        <w:rPr>
          <w:rFonts w:ascii="Verdana" w:hAnsi="Verdana" w:cs="Arial"/>
          <w:sz w:val="21"/>
          <w:szCs w:val="21"/>
        </w:rPr>
        <w:t>j</w:t>
      </w:r>
      <w:r>
        <w:rPr>
          <w:rFonts w:ascii="Verdana" w:hAnsi="Verdana" w:cs="Arial"/>
          <w:sz w:val="21"/>
          <w:szCs w:val="21"/>
        </w:rPr>
        <w:t>unio de 2014.</w:t>
      </w:r>
    </w:p>
    <w:p w14:paraId="4F3F4C7A" w14:textId="77777777" w:rsidR="00321689" w:rsidRDefault="00321689" w:rsidP="00321689">
      <w:pPr>
        <w:jc w:val="both"/>
        <w:rPr>
          <w:rFonts w:ascii="Verdana" w:eastAsia="Times New Roman" w:hAnsi="Verdana" w:cs="Arial"/>
          <w:sz w:val="21"/>
          <w:szCs w:val="21"/>
          <w:highlight w:val="yellow"/>
          <w:lang w:val="es-CO" w:eastAsia="es-CO"/>
        </w:rPr>
      </w:pPr>
    </w:p>
    <w:p w14:paraId="4A65BC83" w14:textId="77777777" w:rsidR="00321689" w:rsidRDefault="00321689" w:rsidP="00321689">
      <w:pPr>
        <w:autoSpaceDE w:val="0"/>
        <w:autoSpaceDN w:val="0"/>
        <w:adjustRightInd w:val="0"/>
        <w:jc w:val="both"/>
        <w:rPr>
          <w:rFonts w:ascii="Verdana" w:eastAsiaTheme="minorHAnsi" w:hAnsi="Verdana" w:cs="Arial"/>
          <w:sz w:val="21"/>
          <w:szCs w:val="21"/>
          <w:lang w:eastAsia="en-US"/>
        </w:rPr>
      </w:pPr>
      <w:r>
        <w:rPr>
          <w:rFonts w:ascii="Verdana" w:hAnsi="Verdana" w:cs="Arial"/>
          <w:sz w:val="21"/>
          <w:szCs w:val="21"/>
        </w:rPr>
        <w:t xml:space="preserve">Según el documento de viabilidad, la Red Pública hospitalaria </w:t>
      </w:r>
      <w:r w:rsidR="00057DC8">
        <w:rPr>
          <w:rFonts w:ascii="Verdana" w:hAnsi="Verdana" w:cs="Arial"/>
          <w:sz w:val="21"/>
          <w:szCs w:val="21"/>
        </w:rPr>
        <w:t>está conformada por</w:t>
      </w:r>
      <w:r>
        <w:rPr>
          <w:rFonts w:ascii="Verdana" w:hAnsi="Verdana" w:cs="Arial"/>
          <w:sz w:val="21"/>
          <w:szCs w:val="21"/>
        </w:rPr>
        <w:t xml:space="preserve"> 4 Empresas Sociales del Estado - ESE, de carácter departamental, y 24 ESE de carácter Municipal.</w:t>
      </w:r>
    </w:p>
    <w:p w14:paraId="3BFDBF6A" w14:textId="77777777" w:rsidR="00321689" w:rsidRDefault="00321689" w:rsidP="00321689">
      <w:pPr>
        <w:autoSpaceDE w:val="0"/>
        <w:autoSpaceDN w:val="0"/>
        <w:adjustRightInd w:val="0"/>
        <w:jc w:val="both"/>
        <w:rPr>
          <w:rFonts w:ascii="Verdana" w:hAnsi="Verdana" w:cs="Arial"/>
          <w:sz w:val="21"/>
          <w:szCs w:val="21"/>
        </w:rPr>
      </w:pPr>
    </w:p>
    <w:p w14:paraId="10A50679" w14:textId="77777777" w:rsidR="00321689" w:rsidRPr="00AE40AC" w:rsidRDefault="00321689" w:rsidP="00321689">
      <w:pPr>
        <w:autoSpaceDE w:val="0"/>
        <w:autoSpaceDN w:val="0"/>
        <w:adjustRightInd w:val="0"/>
        <w:jc w:val="center"/>
        <w:rPr>
          <w:rFonts w:ascii="Verdana" w:eastAsia="ヒラギノ角ゴ Pro W3" w:hAnsi="Verdana" w:cs="Arial"/>
          <w:b/>
          <w:color w:val="B48C41"/>
          <w:sz w:val="18"/>
          <w:szCs w:val="18"/>
        </w:rPr>
      </w:pPr>
      <w:r w:rsidRPr="00AE40AC">
        <w:rPr>
          <w:rFonts w:ascii="Verdana" w:eastAsia="ヒラギノ角ゴ Pro W3" w:hAnsi="Verdana" w:cs="Arial"/>
          <w:b/>
          <w:color w:val="B48C41"/>
          <w:sz w:val="18"/>
          <w:szCs w:val="18"/>
        </w:rPr>
        <w:t>Tabla No 1</w:t>
      </w:r>
    </w:p>
    <w:p w14:paraId="25F615F1" w14:textId="77777777" w:rsidR="00321689" w:rsidRPr="00AE40AC" w:rsidRDefault="00321689" w:rsidP="00321689">
      <w:pPr>
        <w:jc w:val="center"/>
        <w:rPr>
          <w:rFonts w:ascii="Verdana" w:eastAsia="Calibri" w:hAnsi="Verdana" w:cs="Arial"/>
          <w:b/>
          <w:color w:val="B48C41"/>
          <w:sz w:val="18"/>
          <w:szCs w:val="18"/>
        </w:rPr>
      </w:pPr>
      <w:r w:rsidRPr="00AE40AC">
        <w:rPr>
          <w:rFonts w:ascii="Verdana" w:eastAsia="Calibri" w:hAnsi="Verdana" w:cs="Arial"/>
          <w:b/>
          <w:color w:val="B48C41"/>
          <w:sz w:val="18"/>
          <w:szCs w:val="18"/>
        </w:rPr>
        <w:t>RED PÚBLICA DE PRESTADORES</w:t>
      </w:r>
    </w:p>
    <w:tbl>
      <w:tblPr>
        <w:tblW w:w="6644" w:type="dxa"/>
        <w:jc w:val="center"/>
        <w:tblCellMar>
          <w:left w:w="70" w:type="dxa"/>
          <w:right w:w="70" w:type="dxa"/>
        </w:tblCellMar>
        <w:tblLook w:val="04A0" w:firstRow="1" w:lastRow="0" w:firstColumn="1" w:lastColumn="0" w:noHBand="0" w:noVBand="1"/>
      </w:tblPr>
      <w:tblGrid>
        <w:gridCol w:w="1826"/>
        <w:gridCol w:w="1306"/>
        <w:gridCol w:w="1306"/>
        <w:gridCol w:w="1306"/>
        <w:gridCol w:w="900"/>
      </w:tblGrid>
      <w:tr w:rsidR="00321689" w:rsidRPr="00AE40AC" w14:paraId="4159B3FA" w14:textId="77777777" w:rsidTr="007D6F1E">
        <w:trPr>
          <w:trHeight w:val="449"/>
          <w:jc w:val="center"/>
        </w:trPr>
        <w:tc>
          <w:tcPr>
            <w:tcW w:w="1826" w:type="dxa"/>
            <w:tcBorders>
              <w:top w:val="single" w:sz="12" w:space="0" w:color="595959" w:themeColor="text1" w:themeTint="A6"/>
              <w:left w:val="nil"/>
              <w:bottom w:val="double" w:sz="4" w:space="0" w:color="595959" w:themeColor="text1" w:themeTint="A6"/>
              <w:right w:val="nil"/>
            </w:tcBorders>
            <w:vAlign w:val="center"/>
            <w:hideMark/>
          </w:tcPr>
          <w:p w14:paraId="6CB48B0D" w14:textId="77777777" w:rsidR="00321689" w:rsidRPr="00AE40AC" w:rsidRDefault="00321689">
            <w:pPr>
              <w:jc w:val="center"/>
              <w:rPr>
                <w:rFonts w:ascii="Verdana" w:eastAsia="Times New Roman" w:hAnsi="Verdana" w:cs="Arial"/>
                <w:b/>
                <w:bCs/>
                <w:color w:val="B48C41"/>
                <w:sz w:val="18"/>
                <w:szCs w:val="18"/>
                <w:lang w:eastAsia="es-CO"/>
              </w:rPr>
            </w:pPr>
            <w:r w:rsidRPr="00AE40AC">
              <w:rPr>
                <w:rFonts w:ascii="Verdana" w:eastAsia="Times New Roman" w:hAnsi="Verdana" w:cs="Arial"/>
                <w:b/>
                <w:bCs/>
                <w:color w:val="B48C41"/>
                <w:sz w:val="18"/>
                <w:szCs w:val="18"/>
                <w:lang w:eastAsia="es-CO"/>
              </w:rPr>
              <w:t>CARÁCTER</w:t>
            </w:r>
          </w:p>
        </w:tc>
        <w:tc>
          <w:tcPr>
            <w:tcW w:w="1306" w:type="dxa"/>
            <w:tcBorders>
              <w:top w:val="single" w:sz="12" w:space="0" w:color="595959" w:themeColor="text1" w:themeTint="A6"/>
              <w:left w:val="nil"/>
              <w:bottom w:val="double" w:sz="4" w:space="0" w:color="595959" w:themeColor="text1" w:themeTint="A6"/>
              <w:right w:val="nil"/>
            </w:tcBorders>
            <w:vAlign w:val="center"/>
            <w:hideMark/>
          </w:tcPr>
          <w:p w14:paraId="65475D05" w14:textId="77777777" w:rsidR="00321689" w:rsidRPr="00AE40AC" w:rsidRDefault="00321689">
            <w:pPr>
              <w:jc w:val="center"/>
              <w:rPr>
                <w:rFonts w:ascii="Verdana" w:eastAsia="Times New Roman" w:hAnsi="Verdana" w:cs="Arial"/>
                <w:b/>
                <w:bCs/>
                <w:color w:val="B48C41"/>
                <w:sz w:val="18"/>
                <w:szCs w:val="18"/>
                <w:lang w:eastAsia="es-CO"/>
              </w:rPr>
            </w:pPr>
            <w:r w:rsidRPr="00AE40AC">
              <w:rPr>
                <w:rFonts w:ascii="Verdana" w:eastAsia="Times New Roman" w:hAnsi="Verdana" w:cs="Arial"/>
                <w:b/>
                <w:bCs/>
                <w:color w:val="B48C41"/>
                <w:sz w:val="18"/>
                <w:szCs w:val="18"/>
                <w:lang w:eastAsia="es-CO"/>
              </w:rPr>
              <w:t>NIVEL 1</w:t>
            </w:r>
          </w:p>
        </w:tc>
        <w:tc>
          <w:tcPr>
            <w:tcW w:w="1306" w:type="dxa"/>
            <w:tcBorders>
              <w:top w:val="single" w:sz="12" w:space="0" w:color="595959" w:themeColor="text1" w:themeTint="A6"/>
              <w:left w:val="nil"/>
              <w:bottom w:val="double" w:sz="4" w:space="0" w:color="595959" w:themeColor="text1" w:themeTint="A6"/>
              <w:right w:val="nil"/>
            </w:tcBorders>
            <w:vAlign w:val="center"/>
            <w:hideMark/>
          </w:tcPr>
          <w:p w14:paraId="7DC866D9" w14:textId="77777777" w:rsidR="00321689" w:rsidRPr="00AE40AC" w:rsidRDefault="00321689">
            <w:pPr>
              <w:jc w:val="center"/>
              <w:rPr>
                <w:rFonts w:ascii="Verdana" w:eastAsia="Times New Roman" w:hAnsi="Verdana" w:cs="Arial"/>
                <w:b/>
                <w:bCs/>
                <w:color w:val="B48C41"/>
                <w:sz w:val="18"/>
                <w:szCs w:val="18"/>
                <w:lang w:eastAsia="es-CO"/>
              </w:rPr>
            </w:pPr>
            <w:r w:rsidRPr="00AE40AC">
              <w:rPr>
                <w:rFonts w:ascii="Verdana" w:eastAsia="Times New Roman" w:hAnsi="Verdana" w:cs="Arial"/>
                <w:b/>
                <w:bCs/>
                <w:color w:val="B48C41"/>
                <w:sz w:val="18"/>
                <w:szCs w:val="18"/>
                <w:lang w:eastAsia="es-CO"/>
              </w:rPr>
              <w:t>NIVEL 2</w:t>
            </w:r>
          </w:p>
        </w:tc>
        <w:tc>
          <w:tcPr>
            <w:tcW w:w="1306" w:type="dxa"/>
            <w:tcBorders>
              <w:top w:val="single" w:sz="12" w:space="0" w:color="595959" w:themeColor="text1" w:themeTint="A6"/>
              <w:left w:val="nil"/>
              <w:bottom w:val="double" w:sz="4" w:space="0" w:color="595959" w:themeColor="text1" w:themeTint="A6"/>
              <w:right w:val="nil"/>
            </w:tcBorders>
            <w:vAlign w:val="center"/>
            <w:hideMark/>
          </w:tcPr>
          <w:p w14:paraId="0C1E9177" w14:textId="77777777" w:rsidR="00321689" w:rsidRPr="00AE40AC" w:rsidRDefault="00321689">
            <w:pPr>
              <w:jc w:val="center"/>
              <w:rPr>
                <w:rFonts w:ascii="Verdana" w:eastAsia="Times New Roman" w:hAnsi="Verdana" w:cs="Arial"/>
                <w:b/>
                <w:bCs/>
                <w:color w:val="B48C41"/>
                <w:sz w:val="18"/>
                <w:szCs w:val="18"/>
                <w:lang w:eastAsia="es-CO"/>
              </w:rPr>
            </w:pPr>
            <w:r w:rsidRPr="00AE40AC">
              <w:rPr>
                <w:rFonts w:ascii="Verdana" w:eastAsia="Times New Roman" w:hAnsi="Verdana" w:cs="Arial"/>
                <w:b/>
                <w:bCs/>
                <w:color w:val="B48C41"/>
                <w:sz w:val="18"/>
                <w:szCs w:val="18"/>
                <w:lang w:eastAsia="es-CO"/>
              </w:rPr>
              <w:t>NIVEL 3</w:t>
            </w:r>
          </w:p>
        </w:tc>
        <w:tc>
          <w:tcPr>
            <w:tcW w:w="900" w:type="dxa"/>
            <w:tcBorders>
              <w:top w:val="single" w:sz="12" w:space="0" w:color="595959" w:themeColor="text1" w:themeTint="A6"/>
              <w:left w:val="nil"/>
              <w:bottom w:val="double" w:sz="4" w:space="0" w:color="595959" w:themeColor="text1" w:themeTint="A6"/>
              <w:right w:val="nil"/>
            </w:tcBorders>
            <w:vAlign w:val="center"/>
            <w:hideMark/>
          </w:tcPr>
          <w:p w14:paraId="0BBF34D0" w14:textId="77777777" w:rsidR="00321689" w:rsidRPr="00AE40AC" w:rsidRDefault="00321689">
            <w:pPr>
              <w:jc w:val="center"/>
              <w:rPr>
                <w:rFonts w:ascii="Verdana" w:eastAsia="Times New Roman" w:hAnsi="Verdana" w:cs="Arial"/>
                <w:b/>
                <w:bCs/>
                <w:color w:val="B48C41"/>
                <w:sz w:val="18"/>
                <w:szCs w:val="18"/>
                <w:lang w:eastAsia="es-CO"/>
              </w:rPr>
            </w:pPr>
            <w:r w:rsidRPr="00AE40AC">
              <w:rPr>
                <w:rFonts w:ascii="Verdana" w:eastAsia="Times New Roman" w:hAnsi="Verdana" w:cs="Arial"/>
                <w:b/>
                <w:bCs/>
                <w:color w:val="B48C41"/>
                <w:sz w:val="18"/>
                <w:szCs w:val="18"/>
                <w:lang w:eastAsia="es-CO"/>
              </w:rPr>
              <w:t>TOTAL</w:t>
            </w:r>
          </w:p>
        </w:tc>
      </w:tr>
      <w:tr w:rsidR="00321689" w:rsidRPr="00AE40AC" w14:paraId="24F6552E" w14:textId="77777777" w:rsidTr="007D6F1E">
        <w:trPr>
          <w:trHeight w:val="419"/>
          <w:jc w:val="center"/>
        </w:trPr>
        <w:tc>
          <w:tcPr>
            <w:tcW w:w="1826" w:type="dxa"/>
            <w:tcBorders>
              <w:top w:val="double" w:sz="4" w:space="0" w:color="595959" w:themeColor="text1" w:themeTint="A6"/>
              <w:left w:val="nil"/>
              <w:bottom w:val="single" w:sz="4" w:space="0" w:color="A6A6A6"/>
              <w:right w:val="nil"/>
            </w:tcBorders>
            <w:noWrap/>
            <w:vAlign w:val="center"/>
            <w:hideMark/>
          </w:tcPr>
          <w:p w14:paraId="295A624D" w14:textId="77777777" w:rsidR="00321689" w:rsidRPr="00AE40AC" w:rsidRDefault="00321689">
            <w:pPr>
              <w:rPr>
                <w:rFonts w:ascii="Verdana" w:eastAsia="Times New Roman" w:hAnsi="Verdana" w:cs="Arial"/>
                <w:sz w:val="18"/>
                <w:szCs w:val="18"/>
                <w:lang w:eastAsia="es-CO"/>
              </w:rPr>
            </w:pPr>
            <w:r w:rsidRPr="00AE40AC">
              <w:rPr>
                <w:rFonts w:ascii="Verdana" w:eastAsia="Times New Roman" w:hAnsi="Verdana" w:cs="Arial"/>
                <w:sz w:val="18"/>
                <w:szCs w:val="18"/>
                <w:lang w:eastAsia="es-CO"/>
              </w:rPr>
              <w:t>DEPARTAMENTAL</w:t>
            </w:r>
          </w:p>
        </w:tc>
        <w:tc>
          <w:tcPr>
            <w:tcW w:w="1306" w:type="dxa"/>
            <w:tcBorders>
              <w:top w:val="double" w:sz="4" w:space="0" w:color="595959" w:themeColor="text1" w:themeTint="A6"/>
              <w:left w:val="nil"/>
              <w:bottom w:val="single" w:sz="4" w:space="0" w:color="A6A6A6"/>
              <w:right w:val="nil"/>
            </w:tcBorders>
            <w:noWrap/>
            <w:vAlign w:val="center"/>
            <w:hideMark/>
          </w:tcPr>
          <w:p w14:paraId="0B79EDB5" w14:textId="77777777" w:rsidR="00321689" w:rsidRPr="00AE40AC" w:rsidRDefault="00321689">
            <w:pPr>
              <w:rPr>
                <w:rFonts w:ascii="Verdana" w:eastAsia="Times New Roman" w:hAnsi="Verdana" w:cs="Arial"/>
                <w:sz w:val="18"/>
                <w:szCs w:val="18"/>
                <w:lang w:eastAsia="es-CO"/>
              </w:rPr>
            </w:pPr>
          </w:p>
        </w:tc>
        <w:tc>
          <w:tcPr>
            <w:tcW w:w="1306" w:type="dxa"/>
            <w:tcBorders>
              <w:top w:val="double" w:sz="4" w:space="0" w:color="595959" w:themeColor="text1" w:themeTint="A6"/>
              <w:left w:val="nil"/>
              <w:bottom w:val="single" w:sz="4" w:space="0" w:color="A6A6A6"/>
              <w:right w:val="nil"/>
            </w:tcBorders>
            <w:noWrap/>
            <w:vAlign w:val="center"/>
            <w:hideMark/>
          </w:tcPr>
          <w:p w14:paraId="5FA0E20A" w14:textId="77777777" w:rsidR="00321689" w:rsidRPr="00AE40AC" w:rsidRDefault="00321689">
            <w:pPr>
              <w:jc w:val="center"/>
              <w:rPr>
                <w:rFonts w:ascii="Verdana" w:eastAsia="Times New Roman" w:hAnsi="Verdana" w:cs="Arial"/>
                <w:sz w:val="18"/>
                <w:szCs w:val="18"/>
                <w:lang w:eastAsia="es-CO"/>
              </w:rPr>
            </w:pPr>
            <w:r w:rsidRPr="00AE40AC">
              <w:rPr>
                <w:rFonts w:ascii="Verdana" w:eastAsia="Times New Roman" w:hAnsi="Verdana" w:cs="Arial"/>
                <w:sz w:val="18"/>
                <w:szCs w:val="18"/>
                <w:lang w:eastAsia="es-CO"/>
              </w:rPr>
              <w:t>4</w:t>
            </w:r>
          </w:p>
        </w:tc>
        <w:tc>
          <w:tcPr>
            <w:tcW w:w="1306" w:type="dxa"/>
            <w:tcBorders>
              <w:top w:val="double" w:sz="4" w:space="0" w:color="595959" w:themeColor="text1" w:themeTint="A6"/>
              <w:left w:val="nil"/>
              <w:bottom w:val="single" w:sz="4" w:space="0" w:color="A6A6A6"/>
              <w:right w:val="nil"/>
            </w:tcBorders>
            <w:noWrap/>
            <w:vAlign w:val="center"/>
          </w:tcPr>
          <w:p w14:paraId="3A0C76B2" w14:textId="77777777" w:rsidR="00321689" w:rsidRPr="00AE40AC" w:rsidRDefault="00321689">
            <w:pPr>
              <w:jc w:val="center"/>
              <w:rPr>
                <w:rFonts w:ascii="Verdana" w:eastAsia="Times New Roman" w:hAnsi="Verdana" w:cs="Arial"/>
                <w:sz w:val="18"/>
                <w:szCs w:val="18"/>
                <w:lang w:eastAsia="es-CO"/>
              </w:rPr>
            </w:pPr>
          </w:p>
        </w:tc>
        <w:tc>
          <w:tcPr>
            <w:tcW w:w="900" w:type="dxa"/>
            <w:tcBorders>
              <w:top w:val="double" w:sz="4" w:space="0" w:color="595959" w:themeColor="text1" w:themeTint="A6"/>
              <w:left w:val="nil"/>
              <w:bottom w:val="single" w:sz="4" w:space="0" w:color="A6A6A6"/>
              <w:right w:val="nil"/>
            </w:tcBorders>
            <w:noWrap/>
            <w:vAlign w:val="center"/>
            <w:hideMark/>
          </w:tcPr>
          <w:p w14:paraId="0B325512" w14:textId="77777777" w:rsidR="00321689" w:rsidRPr="00AE40AC" w:rsidRDefault="00321689">
            <w:pPr>
              <w:jc w:val="center"/>
              <w:rPr>
                <w:rFonts w:ascii="Verdana" w:eastAsia="Times New Roman" w:hAnsi="Verdana" w:cs="Arial"/>
                <w:sz w:val="18"/>
                <w:szCs w:val="18"/>
                <w:lang w:eastAsia="es-CO"/>
              </w:rPr>
            </w:pPr>
            <w:r w:rsidRPr="00AE40AC">
              <w:rPr>
                <w:rFonts w:ascii="Verdana" w:eastAsia="Times New Roman" w:hAnsi="Verdana" w:cs="Arial"/>
                <w:sz w:val="18"/>
                <w:szCs w:val="18"/>
                <w:lang w:eastAsia="es-CO"/>
              </w:rPr>
              <w:t>4</w:t>
            </w:r>
          </w:p>
        </w:tc>
      </w:tr>
      <w:tr w:rsidR="00321689" w:rsidRPr="00AE40AC" w14:paraId="54F914D4" w14:textId="77777777" w:rsidTr="007D6F1E">
        <w:trPr>
          <w:trHeight w:val="391"/>
          <w:jc w:val="center"/>
        </w:trPr>
        <w:tc>
          <w:tcPr>
            <w:tcW w:w="1826" w:type="dxa"/>
            <w:tcBorders>
              <w:top w:val="nil"/>
              <w:left w:val="nil"/>
              <w:bottom w:val="single" w:sz="4" w:space="0" w:color="A6A6A6"/>
              <w:right w:val="nil"/>
            </w:tcBorders>
            <w:noWrap/>
            <w:vAlign w:val="center"/>
            <w:hideMark/>
          </w:tcPr>
          <w:p w14:paraId="192E7DAF" w14:textId="77777777" w:rsidR="00321689" w:rsidRPr="00AE40AC" w:rsidRDefault="00321689">
            <w:pPr>
              <w:rPr>
                <w:rFonts w:ascii="Verdana" w:eastAsia="Times New Roman" w:hAnsi="Verdana" w:cs="Arial"/>
                <w:sz w:val="18"/>
                <w:szCs w:val="18"/>
                <w:lang w:eastAsia="es-CO"/>
              </w:rPr>
            </w:pPr>
            <w:r w:rsidRPr="00AE40AC">
              <w:rPr>
                <w:rFonts w:ascii="Verdana" w:eastAsia="Times New Roman" w:hAnsi="Verdana" w:cs="Arial"/>
                <w:sz w:val="18"/>
                <w:szCs w:val="18"/>
                <w:lang w:eastAsia="es-CO"/>
              </w:rPr>
              <w:t>MUNICIPAL</w:t>
            </w:r>
          </w:p>
        </w:tc>
        <w:tc>
          <w:tcPr>
            <w:tcW w:w="1306" w:type="dxa"/>
            <w:tcBorders>
              <w:top w:val="nil"/>
              <w:left w:val="nil"/>
              <w:bottom w:val="single" w:sz="4" w:space="0" w:color="A6A6A6"/>
              <w:right w:val="nil"/>
            </w:tcBorders>
            <w:noWrap/>
            <w:vAlign w:val="center"/>
            <w:hideMark/>
          </w:tcPr>
          <w:p w14:paraId="2798705A" w14:textId="77777777" w:rsidR="00321689" w:rsidRPr="00AE40AC" w:rsidRDefault="00321689">
            <w:pPr>
              <w:jc w:val="center"/>
              <w:rPr>
                <w:rFonts w:ascii="Verdana" w:eastAsia="Times New Roman" w:hAnsi="Verdana" w:cs="Arial"/>
                <w:sz w:val="18"/>
                <w:szCs w:val="18"/>
                <w:lang w:eastAsia="es-CO"/>
              </w:rPr>
            </w:pPr>
            <w:r w:rsidRPr="00AE40AC">
              <w:rPr>
                <w:rFonts w:ascii="Verdana" w:eastAsia="Times New Roman" w:hAnsi="Verdana" w:cs="Arial"/>
                <w:sz w:val="18"/>
                <w:szCs w:val="18"/>
                <w:lang w:eastAsia="es-CO"/>
              </w:rPr>
              <w:t>24</w:t>
            </w:r>
          </w:p>
        </w:tc>
        <w:tc>
          <w:tcPr>
            <w:tcW w:w="1306" w:type="dxa"/>
            <w:tcBorders>
              <w:top w:val="nil"/>
              <w:left w:val="nil"/>
              <w:bottom w:val="single" w:sz="4" w:space="0" w:color="A6A6A6"/>
              <w:right w:val="nil"/>
            </w:tcBorders>
            <w:noWrap/>
            <w:vAlign w:val="center"/>
          </w:tcPr>
          <w:p w14:paraId="1E1AF501" w14:textId="77777777" w:rsidR="00321689" w:rsidRPr="00AE40AC" w:rsidRDefault="00321689">
            <w:pPr>
              <w:jc w:val="center"/>
              <w:rPr>
                <w:rFonts w:ascii="Verdana" w:eastAsia="Times New Roman" w:hAnsi="Verdana" w:cs="Arial"/>
                <w:sz w:val="18"/>
                <w:szCs w:val="18"/>
                <w:lang w:eastAsia="es-CO"/>
              </w:rPr>
            </w:pPr>
          </w:p>
        </w:tc>
        <w:tc>
          <w:tcPr>
            <w:tcW w:w="1306" w:type="dxa"/>
            <w:tcBorders>
              <w:top w:val="nil"/>
              <w:left w:val="nil"/>
              <w:bottom w:val="single" w:sz="4" w:space="0" w:color="A6A6A6"/>
              <w:right w:val="nil"/>
            </w:tcBorders>
            <w:noWrap/>
            <w:vAlign w:val="center"/>
          </w:tcPr>
          <w:p w14:paraId="0B35E5B5" w14:textId="77777777" w:rsidR="00321689" w:rsidRPr="00AE40AC" w:rsidRDefault="00321689">
            <w:pPr>
              <w:jc w:val="center"/>
              <w:rPr>
                <w:rFonts w:ascii="Verdana" w:eastAsia="Times New Roman" w:hAnsi="Verdana" w:cs="Arial"/>
                <w:sz w:val="18"/>
                <w:szCs w:val="18"/>
                <w:lang w:eastAsia="es-CO"/>
              </w:rPr>
            </w:pPr>
          </w:p>
        </w:tc>
        <w:tc>
          <w:tcPr>
            <w:tcW w:w="900" w:type="dxa"/>
            <w:tcBorders>
              <w:top w:val="nil"/>
              <w:left w:val="nil"/>
              <w:bottom w:val="single" w:sz="4" w:space="0" w:color="A6A6A6"/>
              <w:right w:val="nil"/>
            </w:tcBorders>
            <w:noWrap/>
            <w:vAlign w:val="center"/>
            <w:hideMark/>
          </w:tcPr>
          <w:p w14:paraId="2DBA0907" w14:textId="77777777" w:rsidR="00321689" w:rsidRPr="00AE40AC" w:rsidRDefault="00321689">
            <w:pPr>
              <w:jc w:val="center"/>
              <w:rPr>
                <w:rFonts w:ascii="Verdana" w:eastAsia="Times New Roman" w:hAnsi="Verdana" w:cs="Arial"/>
                <w:sz w:val="18"/>
                <w:szCs w:val="18"/>
                <w:lang w:eastAsia="es-CO"/>
              </w:rPr>
            </w:pPr>
            <w:r w:rsidRPr="00AE40AC">
              <w:rPr>
                <w:rFonts w:ascii="Verdana" w:eastAsia="Times New Roman" w:hAnsi="Verdana" w:cs="Arial"/>
                <w:sz w:val="18"/>
                <w:szCs w:val="18"/>
                <w:lang w:eastAsia="es-CO"/>
              </w:rPr>
              <w:t>24</w:t>
            </w:r>
          </w:p>
        </w:tc>
      </w:tr>
      <w:tr w:rsidR="00321689" w:rsidRPr="00AE40AC" w14:paraId="55EBF653" w14:textId="77777777" w:rsidTr="007D6F1E">
        <w:trPr>
          <w:trHeight w:val="391"/>
          <w:jc w:val="center"/>
        </w:trPr>
        <w:tc>
          <w:tcPr>
            <w:tcW w:w="1826" w:type="dxa"/>
            <w:tcBorders>
              <w:top w:val="nil"/>
              <w:left w:val="nil"/>
              <w:bottom w:val="single" w:sz="4" w:space="0" w:color="A6A6A6"/>
              <w:right w:val="nil"/>
            </w:tcBorders>
            <w:noWrap/>
            <w:vAlign w:val="center"/>
            <w:hideMark/>
          </w:tcPr>
          <w:p w14:paraId="72A0E733" w14:textId="77777777" w:rsidR="00321689" w:rsidRPr="00AE40AC" w:rsidRDefault="00321689">
            <w:pPr>
              <w:rPr>
                <w:rFonts w:ascii="Verdana" w:eastAsia="Times New Roman" w:hAnsi="Verdana" w:cs="Arial"/>
                <w:sz w:val="18"/>
                <w:szCs w:val="18"/>
                <w:lang w:eastAsia="es-CO"/>
              </w:rPr>
            </w:pPr>
            <w:r w:rsidRPr="00AE40AC">
              <w:rPr>
                <w:rFonts w:ascii="Verdana" w:eastAsia="Times New Roman" w:hAnsi="Verdana" w:cs="Arial"/>
                <w:sz w:val="18"/>
                <w:szCs w:val="18"/>
                <w:lang w:eastAsia="es-CO"/>
              </w:rPr>
              <w:t>NACIONAL</w:t>
            </w:r>
          </w:p>
        </w:tc>
        <w:tc>
          <w:tcPr>
            <w:tcW w:w="1306" w:type="dxa"/>
            <w:tcBorders>
              <w:top w:val="nil"/>
              <w:left w:val="nil"/>
              <w:bottom w:val="single" w:sz="4" w:space="0" w:color="A6A6A6"/>
              <w:right w:val="nil"/>
            </w:tcBorders>
            <w:noWrap/>
            <w:vAlign w:val="center"/>
          </w:tcPr>
          <w:p w14:paraId="21D275BB" w14:textId="77777777" w:rsidR="00321689" w:rsidRPr="00AE40AC" w:rsidRDefault="00321689">
            <w:pPr>
              <w:jc w:val="center"/>
              <w:rPr>
                <w:rFonts w:ascii="Verdana" w:eastAsia="Times New Roman" w:hAnsi="Verdana" w:cs="Arial"/>
                <w:sz w:val="18"/>
                <w:szCs w:val="18"/>
                <w:lang w:eastAsia="es-CO"/>
              </w:rPr>
            </w:pPr>
          </w:p>
        </w:tc>
        <w:tc>
          <w:tcPr>
            <w:tcW w:w="1306" w:type="dxa"/>
            <w:tcBorders>
              <w:top w:val="nil"/>
              <w:left w:val="nil"/>
              <w:bottom w:val="single" w:sz="4" w:space="0" w:color="A6A6A6"/>
              <w:right w:val="nil"/>
            </w:tcBorders>
            <w:noWrap/>
            <w:vAlign w:val="center"/>
          </w:tcPr>
          <w:p w14:paraId="21FB577C" w14:textId="77777777" w:rsidR="00321689" w:rsidRPr="00AE40AC" w:rsidRDefault="00321689">
            <w:pPr>
              <w:jc w:val="center"/>
              <w:rPr>
                <w:rFonts w:ascii="Verdana" w:eastAsia="Times New Roman" w:hAnsi="Verdana" w:cs="Arial"/>
                <w:sz w:val="18"/>
                <w:szCs w:val="18"/>
                <w:lang w:eastAsia="es-CO"/>
              </w:rPr>
            </w:pPr>
          </w:p>
        </w:tc>
        <w:tc>
          <w:tcPr>
            <w:tcW w:w="1306" w:type="dxa"/>
            <w:tcBorders>
              <w:top w:val="nil"/>
              <w:left w:val="nil"/>
              <w:bottom w:val="single" w:sz="4" w:space="0" w:color="A6A6A6"/>
              <w:right w:val="nil"/>
            </w:tcBorders>
            <w:noWrap/>
            <w:vAlign w:val="center"/>
          </w:tcPr>
          <w:p w14:paraId="4257EDA3" w14:textId="77777777" w:rsidR="00321689" w:rsidRPr="00AE40AC" w:rsidRDefault="00321689">
            <w:pPr>
              <w:jc w:val="center"/>
              <w:rPr>
                <w:rFonts w:ascii="Verdana" w:eastAsia="Times New Roman" w:hAnsi="Verdana" w:cs="Arial"/>
                <w:sz w:val="18"/>
                <w:szCs w:val="18"/>
                <w:lang w:eastAsia="es-CO"/>
              </w:rPr>
            </w:pPr>
          </w:p>
        </w:tc>
        <w:tc>
          <w:tcPr>
            <w:tcW w:w="900" w:type="dxa"/>
            <w:tcBorders>
              <w:top w:val="nil"/>
              <w:left w:val="nil"/>
              <w:bottom w:val="single" w:sz="4" w:space="0" w:color="A6A6A6"/>
              <w:right w:val="nil"/>
            </w:tcBorders>
            <w:noWrap/>
            <w:vAlign w:val="center"/>
          </w:tcPr>
          <w:p w14:paraId="42446BE5" w14:textId="77777777" w:rsidR="00321689" w:rsidRPr="00AE40AC" w:rsidRDefault="00321689">
            <w:pPr>
              <w:jc w:val="center"/>
              <w:rPr>
                <w:rFonts w:ascii="Verdana" w:eastAsia="Times New Roman" w:hAnsi="Verdana" w:cs="Arial"/>
                <w:sz w:val="18"/>
                <w:szCs w:val="18"/>
                <w:lang w:eastAsia="es-CO"/>
              </w:rPr>
            </w:pPr>
          </w:p>
        </w:tc>
      </w:tr>
      <w:tr w:rsidR="00321689" w:rsidRPr="00AE40AC" w14:paraId="7BDD1A7A" w14:textId="77777777" w:rsidTr="007D6F1E">
        <w:trPr>
          <w:trHeight w:val="419"/>
          <w:jc w:val="center"/>
        </w:trPr>
        <w:tc>
          <w:tcPr>
            <w:tcW w:w="1826" w:type="dxa"/>
            <w:tcBorders>
              <w:top w:val="single" w:sz="4" w:space="0" w:color="A6A6A6"/>
              <w:left w:val="nil"/>
              <w:bottom w:val="single" w:sz="12" w:space="0" w:color="595959" w:themeColor="text1" w:themeTint="A6"/>
              <w:right w:val="nil"/>
            </w:tcBorders>
            <w:noWrap/>
            <w:vAlign w:val="center"/>
            <w:hideMark/>
          </w:tcPr>
          <w:p w14:paraId="5855A897" w14:textId="77777777" w:rsidR="00321689" w:rsidRPr="00AE40AC" w:rsidRDefault="00321689">
            <w:pPr>
              <w:jc w:val="center"/>
              <w:rPr>
                <w:rFonts w:ascii="Verdana" w:eastAsia="Times New Roman" w:hAnsi="Verdana" w:cs="Arial"/>
                <w:b/>
                <w:bCs/>
                <w:sz w:val="18"/>
                <w:szCs w:val="18"/>
                <w:lang w:eastAsia="es-CO"/>
              </w:rPr>
            </w:pPr>
            <w:r w:rsidRPr="00AE40AC">
              <w:rPr>
                <w:rFonts w:ascii="Verdana" w:eastAsia="Times New Roman" w:hAnsi="Verdana" w:cs="Arial"/>
                <w:b/>
                <w:bCs/>
                <w:sz w:val="18"/>
                <w:szCs w:val="18"/>
                <w:lang w:eastAsia="es-CO"/>
              </w:rPr>
              <w:t>TOTAL</w:t>
            </w:r>
          </w:p>
        </w:tc>
        <w:tc>
          <w:tcPr>
            <w:tcW w:w="1306" w:type="dxa"/>
            <w:tcBorders>
              <w:top w:val="single" w:sz="4" w:space="0" w:color="A6A6A6"/>
              <w:left w:val="nil"/>
              <w:bottom w:val="single" w:sz="12" w:space="0" w:color="595959" w:themeColor="text1" w:themeTint="A6"/>
              <w:right w:val="nil"/>
            </w:tcBorders>
            <w:noWrap/>
            <w:vAlign w:val="center"/>
            <w:hideMark/>
          </w:tcPr>
          <w:p w14:paraId="69318BE9" w14:textId="77777777" w:rsidR="00321689" w:rsidRPr="00AE40AC" w:rsidRDefault="00AE40AC">
            <w:pPr>
              <w:jc w:val="center"/>
              <w:rPr>
                <w:rFonts w:ascii="Verdana" w:eastAsia="Times New Roman" w:hAnsi="Verdana" w:cs="Arial"/>
                <w:b/>
                <w:bCs/>
                <w:sz w:val="18"/>
                <w:szCs w:val="18"/>
                <w:lang w:eastAsia="es-CO"/>
              </w:rPr>
            </w:pPr>
            <w:r>
              <w:rPr>
                <w:rFonts w:ascii="Verdana" w:eastAsia="Times New Roman" w:hAnsi="Verdana" w:cs="Arial"/>
                <w:b/>
                <w:bCs/>
                <w:sz w:val="18"/>
                <w:szCs w:val="18"/>
                <w:lang w:eastAsia="es-CO"/>
              </w:rPr>
              <w:t>24</w:t>
            </w:r>
          </w:p>
        </w:tc>
        <w:tc>
          <w:tcPr>
            <w:tcW w:w="1306" w:type="dxa"/>
            <w:tcBorders>
              <w:top w:val="single" w:sz="4" w:space="0" w:color="A6A6A6"/>
              <w:left w:val="nil"/>
              <w:bottom w:val="single" w:sz="12" w:space="0" w:color="595959" w:themeColor="text1" w:themeTint="A6"/>
              <w:right w:val="nil"/>
            </w:tcBorders>
            <w:noWrap/>
            <w:vAlign w:val="center"/>
          </w:tcPr>
          <w:p w14:paraId="2CD1486E" w14:textId="77777777" w:rsidR="00321689" w:rsidRPr="00AE40AC" w:rsidRDefault="00AE40AC">
            <w:pPr>
              <w:jc w:val="center"/>
              <w:rPr>
                <w:rFonts w:ascii="Verdana" w:eastAsia="Times New Roman" w:hAnsi="Verdana" w:cs="Arial"/>
                <w:b/>
                <w:bCs/>
                <w:sz w:val="18"/>
                <w:szCs w:val="18"/>
                <w:lang w:eastAsia="es-CO"/>
              </w:rPr>
            </w:pPr>
            <w:r>
              <w:rPr>
                <w:rFonts w:ascii="Verdana" w:eastAsia="Times New Roman" w:hAnsi="Verdana" w:cs="Arial"/>
                <w:b/>
                <w:bCs/>
                <w:sz w:val="18"/>
                <w:szCs w:val="18"/>
                <w:lang w:eastAsia="es-CO"/>
              </w:rPr>
              <w:t>4</w:t>
            </w:r>
          </w:p>
        </w:tc>
        <w:tc>
          <w:tcPr>
            <w:tcW w:w="1306" w:type="dxa"/>
            <w:tcBorders>
              <w:top w:val="single" w:sz="4" w:space="0" w:color="A6A6A6"/>
              <w:left w:val="nil"/>
              <w:bottom w:val="single" w:sz="12" w:space="0" w:color="595959" w:themeColor="text1" w:themeTint="A6"/>
              <w:right w:val="nil"/>
            </w:tcBorders>
            <w:noWrap/>
            <w:vAlign w:val="center"/>
          </w:tcPr>
          <w:p w14:paraId="73D4752E" w14:textId="77777777" w:rsidR="00321689" w:rsidRPr="00AE40AC" w:rsidRDefault="00321689">
            <w:pPr>
              <w:jc w:val="center"/>
              <w:rPr>
                <w:rFonts w:ascii="Verdana" w:eastAsia="Times New Roman" w:hAnsi="Verdana" w:cs="Arial"/>
                <w:b/>
                <w:bCs/>
                <w:sz w:val="18"/>
                <w:szCs w:val="18"/>
                <w:lang w:eastAsia="es-CO"/>
              </w:rPr>
            </w:pPr>
          </w:p>
        </w:tc>
        <w:tc>
          <w:tcPr>
            <w:tcW w:w="900" w:type="dxa"/>
            <w:tcBorders>
              <w:top w:val="single" w:sz="4" w:space="0" w:color="A6A6A6"/>
              <w:left w:val="nil"/>
              <w:bottom w:val="single" w:sz="12" w:space="0" w:color="595959" w:themeColor="text1" w:themeTint="A6"/>
              <w:right w:val="nil"/>
            </w:tcBorders>
            <w:noWrap/>
            <w:vAlign w:val="center"/>
            <w:hideMark/>
          </w:tcPr>
          <w:p w14:paraId="38A06205" w14:textId="77777777" w:rsidR="00321689" w:rsidRPr="00AE40AC" w:rsidRDefault="00321689">
            <w:pPr>
              <w:jc w:val="center"/>
              <w:rPr>
                <w:rFonts w:ascii="Verdana" w:eastAsia="Times New Roman" w:hAnsi="Verdana" w:cs="Arial"/>
                <w:b/>
                <w:bCs/>
                <w:sz w:val="18"/>
                <w:szCs w:val="18"/>
                <w:lang w:eastAsia="es-CO"/>
              </w:rPr>
            </w:pPr>
            <w:r w:rsidRPr="00AE40AC">
              <w:rPr>
                <w:rFonts w:ascii="Verdana" w:eastAsia="Times New Roman" w:hAnsi="Verdana" w:cs="Arial"/>
                <w:b/>
                <w:bCs/>
                <w:sz w:val="18"/>
                <w:szCs w:val="18"/>
                <w:lang w:eastAsia="es-CO"/>
              </w:rPr>
              <w:t>28</w:t>
            </w:r>
          </w:p>
        </w:tc>
      </w:tr>
    </w:tbl>
    <w:p w14:paraId="6C4DB127" w14:textId="77777777" w:rsidR="00321689" w:rsidRPr="00AE40AC" w:rsidRDefault="00321689" w:rsidP="00321689">
      <w:pPr>
        <w:ind w:left="708" w:firstLine="708"/>
        <w:contextualSpacing/>
        <w:jc w:val="both"/>
        <w:rPr>
          <w:rFonts w:ascii="Verdana" w:eastAsia="Calibri" w:hAnsi="Verdana" w:cs="Arial"/>
          <w:sz w:val="18"/>
          <w:szCs w:val="18"/>
          <w:lang w:eastAsia="en-US"/>
        </w:rPr>
      </w:pPr>
      <w:r w:rsidRPr="00AE40AC">
        <w:rPr>
          <w:rFonts w:ascii="Verdana" w:eastAsia="Times New Roman" w:hAnsi="Verdana" w:cs="Arial"/>
          <w:b/>
          <w:sz w:val="18"/>
          <w:szCs w:val="18"/>
          <w:lang w:eastAsia="es-CO"/>
        </w:rPr>
        <w:t>Fuente</w:t>
      </w:r>
      <w:r w:rsidRPr="00AE40AC">
        <w:rPr>
          <w:rFonts w:ascii="Verdana" w:eastAsia="Times New Roman" w:hAnsi="Verdana" w:cs="Arial"/>
          <w:sz w:val="18"/>
          <w:szCs w:val="18"/>
          <w:lang w:eastAsia="es-CO"/>
        </w:rPr>
        <w:t xml:space="preserve">: MSPS REPS </w:t>
      </w:r>
    </w:p>
    <w:p w14:paraId="7B9228AA" w14:textId="77777777" w:rsidR="00321689" w:rsidRDefault="00321689" w:rsidP="00321689">
      <w:pPr>
        <w:autoSpaceDE w:val="0"/>
        <w:autoSpaceDN w:val="0"/>
        <w:adjustRightInd w:val="0"/>
        <w:jc w:val="both"/>
        <w:rPr>
          <w:rFonts w:ascii="Verdana" w:eastAsia="Calibri" w:hAnsi="Verdana" w:cs="Arial"/>
          <w:sz w:val="21"/>
          <w:szCs w:val="21"/>
        </w:rPr>
      </w:pPr>
    </w:p>
    <w:p w14:paraId="312EF992" w14:textId="77777777" w:rsidR="00321689" w:rsidRDefault="00321689" w:rsidP="00321689">
      <w:pPr>
        <w:jc w:val="both"/>
        <w:rPr>
          <w:rFonts w:ascii="Verdana" w:eastAsiaTheme="minorHAnsi" w:hAnsi="Verdana" w:cs="Arial"/>
          <w:sz w:val="21"/>
          <w:szCs w:val="21"/>
        </w:rPr>
      </w:pPr>
      <w:r>
        <w:rPr>
          <w:rFonts w:ascii="Verdana" w:hAnsi="Verdana" w:cs="Arial"/>
          <w:sz w:val="21"/>
          <w:szCs w:val="21"/>
        </w:rPr>
        <w:t>La categorización de riesgo aplicada entre los periodos 2012 – 2023 por el Ministerio de Salud y Protección Social a las ESE de la red del D</w:t>
      </w:r>
      <w:r w:rsidR="0083358B">
        <w:rPr>
          <w:rFonts w:ascii="Verdana" w:hAnsi="Verdana" w:cs="Arial"/>
          <w:sz w:val="21"/>
          <w:szCs w:val="21"/>
        </w:rPr>
        <w:t>epartamento</w:t>
      </w:r>
      <w:r>
        <w:rPr>
          <w:rFonts w:ascii="Verdana" w:hAnsi="Verdana" w:cs="Arial"/>
          <w:sz w:val="21"/>
          <w:szCs w:val="21"/>
        </w:rPr>
        <w:t xml:space="preserve"> presentó el siguiente comportamiento: </w:t>
      </w:r>
    </w:p>
    <w:p w14:paraId="72291A99" w14:textId="77777777" w:rsidR="00321689" w:rsidRDefault="00321689" w:rsidP="00321689">
      <w:pPr>
        <w:jc w:val="center"/>
        <w:rPr>
          <w:rFonts w:ascii="Verdana" w:hAnsi="Verdana" w:cs="Arial"/>
          <w:b/>
          <w:color w:val="B48C41"/>
          <w:sz w:val="18"/>
          <w:szCs w:val="18"/>
        </w:rPr>
      </w:pPr>
      <w:r>
        <w:rPr>
          <w:rFonts w:ascii="Verdana" w:hAnsi="Verdana" w:cs="Arial"/>
          <w:b/>
          <w:color w:val="B48C41"/>
          <w:sz w:val="18"/>
          <w:szCs w:val="18"/>
        </w:rPr>
        <w:t>Grafica No 1</w:t>
      </w:r>
    </w:p>
    <w:p w14:paraId="2DEE4124" w14:textId="77777777" w:rsidR="00321689" w:rsidRDefault="00321689" w:rsidP="00321689">
      <w:pPr>
        <w:jc w:val="center"/>
        <w:rPr>
          <w:rFonts w:ascii="Verdana" w:hAnsi="Verdana" w:cs="Arial"/>
          <w:b/>
          <w:sz w:val="18"/>
          <w:szCs w:val="18"/>
        </w:rPr>
      </w:pPr>
      <w:r>
        <w:rPr>
          <w:rFonts w:ascii="Verdana" w:hAnsi="Verdana" w:cs="Arial"/>
          <w:noProof/>
          <w:lang w:val="es-CO" w:eastAsia="es-CO"/>
        </w:rPr>
        <w:drawing>
          <wp:inline distT="0" distB="0" distL="0" distR="0" wp14:anchorId="7584A3E2" wp14:editId="7C900FAE">
            <wp:extent cx="5473700" cy="2692400"/>
            <wp:effectExtent l="0" t="0" r="12700" b="12700"/>
            <wp:docPr id="51" name="Gráfico 5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45C8BD" w14:textId="77777777" w:rsidR="00321689" w:rsidRDefault="00321689" w:rsidP="00321689">
      <w:pPr>
        <w:jc w:val="center"/>
        <w:rPr>
          <w:rFonts w:ascii="Verdana" w:eastAsia="Times New Roman" w:hAnsi="Verdana" w:cs="Arial"/>
          <w:sz w:val="16"/>
          <w:szCs w:val="16"/>
        </w:rPr>
      </w:pPr>
      <w:r>
        <w:rPr>
          <w:rFonts w:ascii="Verdana" w:eastAsia="Times New Roman" w:hAnsi="Verdana" w:cs="Arial"/>
          <w:b/>
          <w:bCs/>
          <w:color w:val="000000"/>
          <w:sz w:val="16"/>
          <w:szCs w:val="16"/>
          <w:lang w:eastAsia="es-CO"/>
        </w:rPr>
        <w:t xml:space="preserve">Fuente: </w:t>
      </w:r>
      <w:r>
        <w:rPr>
          <w:rFonts w:ascii="Verdana" w:eastAsia="Times New Roman" w:hAnsi="Verdana" w:cs="Arial"/>
          <w:color w:val="000000"/>
          <w:sz w:val="16"/>
          <w:szCs w:val="16"/>
          <w:lang w:eastAsia="es-CO"/>
        </w:rPr>
        <w:t xml:space="preserve">MSPS Resoluciones </w:t>
      </w:r>
      <w:r>
        <w:rPr>
          <w:rFonts w:ascii="Verdana" w:eastAsia="Times New Roman" w:hAnsi="Verdana" w:cs="Arial"/>
          <w:sz w:val="16"/>
          <w:szCs w:val="16"/>
          <w:lang w:eastAsia="es-CO"/>
        </w:rPr>
        <w:t>categorización de riesgo 2012-2023</w:t>
      </w:r>
    </w:p>
    <w:p w14:paraId="1832B927" w14:textId="77777777" w:rsidR="00321689" w:rsidRDefault="00321689" w:rsidP="00321689">
      <w:pPr>
        <w:autoSpaceDE w:val="0"/>
        <w:autoSpaceDN w:val="0"/>
        <w:adjustRightInd w:val="0"/>
        <w:jc w:val="both"/>
        <w:rPr>
          <w:rFonts w:ascii="Verdana" w:eastAsia="Calibri" w:hAnsi="Verdana" w:cs="Arial"/>
          <w:sz w:val="21"/>
          <w:szCs w:val="21"/>
        </w:rPr>
      </w:pPr>
    </w:p>
    <w:p w14:paraId="6CF5D360" w14:textId="77777777" w:rsidR="00321689" w:rsidRDefault="00321689" w:rsidP="00321689">
      <w:pPr>
        <w:autoSpaceDE w:val="0"/>
        <w:autoSpaceDN w:val="0"/>
        <w:adjustRightInd w:val="0"/>
        <w:jc w:val="both"/>
        <w:rPr>
          <w:rFonts w:ascii="Verdana" w:eastAsiaTheme="minorHAnsi" w:hAnsi="Verdana" w:cs="Arial"/>
          <w:sz w:val="21"/>
          <w:szCs w:val="21"/>
        </w:rPr>
      </w:pPr>
      <w:r>
        <w:rPr>
          <w:rFonts w:ascii="Verdana" w:eastAsia="Calibri" w:hAnsi="Verdana" w:cs="Arial"/>
          <w:sz w:val="21"/>
          <w:szCs w:val="21"/>
        </w:rPr>
        <w:t>Lo</w:t>
      </w:r>
      <w:r>
        <w:rPr>
          <w:rFonts w:ascii="Verdana" w:hAnsi="Verdana" w:cs="Arial"/>
          <w:sz w:val="21"/>
          <w:szCs w:val="21"/>
        </w:rPr>
        <w:t>s resultados financieros arrojados al cierre de la vigencia 2022 por la Red Pública prestadora de Servicios de Salud presentan el siguiente escenario:</w:t>
      </w:r>
    </w:p>
    <w:p w14:paraId="2DBAEB49" w14:textId="77777777" w:rsidR="00321689" w:rsidRDefault="00321689" w:rsidP="00321689">
      <w:pPr>
        <w:rPr>
          <w:rFonts w:ascii="Verdana" w:hAnsi="Verdana" w:cs="Arial"/>
          <w:sz w:val="21"/>
          <w:szCs w:val="21"/>
        </w:rPr>
      </w:pPr>
    </w:p>
    <w:p w14:paraId="76E10816"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Tabla No 2.</w:t>
      </w:r>
    </w:p>
    <w:p w14:paraId="32003984"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 xml:space="preserve">      Cifras en Millones de $</w:t>
      </w:r>
    </w:p>
    <w:tbl>
      <w:tblPr>
        <w:tblW w:w="6637" w:type="dxa"/>
        <w:jc w:val="center"/>
        <w:tblCellMar>
          <w:left w:w="70" w:type="dxa"/>
          <w:right w:w="70" w:type="dxa"/>
        </w:tblCellMar>
        <w:tblLook w:val="04A0" w:firstRow="1" w:lastRow="0" w:firstColumn="1" w:lastColumn="0" w:noHBand="0" w:noVBand="1"/>
      </w:tblPr>
      <w:tblGrid>
        <w:gridCol w:w="1701"/>
        <w:gridCol w:w="1234"/>
        <w:gridCol w:w="1234"/>
        <w:gridCol w:w="1234"/>
        <w:gridCol w:w="1234"/>
      </w:tblGrid>
      <w:tr w:rsidR="00321689" w14:paraId="61C891E8" w14:textId="77777777" w:rsidTr="00321689">
        <w:trPr>
          <w:trHeight w:val="331"/>
          <w:jc w:val="center"/>
        </w:trPr>
        <w:tc>
          <w:tcPr>
            <w:tcW w:w="1701" w:type="dxa"/>
            <w:tcBorders>
              <w:top w:val="single" w:sz="8" w:space="0" w:color="808080"/>
              <w:left w:val="nil"/>
              <w:bottom w:val="single" w:sz="8" w:space="0" w:color="808080"/>
              <w:right w:val="nil"/>
            </w:tcBorders>
            <w:shd w:val="clear" w:color="auto" w:fill="B48C41"/>
            <w:vAlign w:val="center"/>
            <w:hideMark/>
          </w:tcPr>
          <w:p w14:paraId="4DAB4ACE" w14:textId="77777777" w:rsidR="00321689" w:rsidRDefault="00321689">
            <w:pPr>
              <w:jc w:val="center"/>
              <w:rPr>
                <w:rFonts w:ascii="Verdana" w:eastAsia="Times New Roman" w:hAnsi="Verdana" w:cs="Arial"/>
                <w:b/>
                <w:bCs/>
                <w:color w:val="FFFFFF" w:themeColor="background1"/>
                <w:sz w:val="18"/>
                <w:szCs w:val="18"/>
                <w:lang w:eastAsia="es-CO"/>
              </w:rPr>
            </w:pPr>
            <w:r>
              <w:rPr>
                <w:rFonts w:ascii="Verdana" w:eastAsia="Times New Roman" w:hAnsi="Verdana" w:cs="Arial"/>
                <w:b/>
                <w:bCs/>
                <w:color w:val="FFFFFF" w:themeColor="background1"/>
                <w:sz w:val="18"/>
                <w:szCs w:val="18"/>
                <w:lang w:eastAsia="es-CO"/>
              </w:rPr>
              <w:lastRenderedPageBreak/>
              <w:t>Concepto</w:t>
            </w:r>
          </w:p>
        </w:tc>
        <w:tc>
          <w:tcPr>
            <w:tcW w:w="1234" w:type="dxa"/>
            <w:tcBorders>
              <w:top w:val="single" w:sz="8" w:space="0" w:color="808080"/>
              <w:left w:val="nil"/>
              <w:bottom w:val="single" w:sz="8" w:space="0" w:color="808080"/>
              <w:right w:val="nil"/>
            </w:tcBorders>
            <w:shd w:val="clear" w:color="auto" w:fill="B48C41"/>
            <w:vAlign w:val="center"/>
            <w:hideMark/>
          </w:tcPr>
          <w:p w14:paraId="3F61901C" w14:textId="77777777" w:rsidR="00321689" w:rsidRDefault="00321689">
            <w:pPr>
              <w:jc w:val="center"/>
              <w:rPr>
                <w:rFonts w:ascii="Verdana" w:eastAsia="Times New Roman" w:hAnsi="Verdana" w:cs="Arial"/>
                <w:b/>
                <w:bCs/>
                <w:color w:val="FFFFFF" w:themeColor="background1"/>
                <w:sz w:val="18"/>
                <w:szCs w:val="18"/>
                <w:lang w:eastAsia="es-CO"/>
              </w:rPr>
            </w:pPr>
            <w:r>
              <w:rPr>
                <w:rFonts w:ascii="Verdana" w:eastAsia="Times New Roman" w:hAnsi="Verdana" w:cs="Arial"/>
                <w:b/>
                <w:bCs/>
                <w:color w:val="FFFFFF" w:themeColor="background1"/>
                <w:sz w:val="18"/>
                <w:szCs w:val="18"/>
                <w:lang w:eastAsia="es-CO"/>
              </w:rPr>
              <w:t>Nivel I</w:t>
            </w:r>
          </w:p>
        </w:tc>
        <w:tc>
          <w:tcPr>
            <w:tcW w:w="1234" w:type="dxa"/>
            <w:tcBorders>
              <w:top w:val="single" w:sz="8" w:space="0" w:color="808080"/>
              <w:left w:val="nil"/>
              <w:bottom w:val="single" w:sz="8" w:space="0" w:color="808080"/>
              <w:right w:val="nil"/>
            </w:tcBorders>
            <w:shd w:val="clear" w:color="auto" w:fill="B48C41"/>
            <w:vAlign w:val="center"/>
            <w:hideMark/>
          </w:tcPr>
          <w:p w14:paraId="1CE262C2" w14:textId="77777777" w:rsidR="00321689" w:rsidRDefault="00321689">
            <w:pPr>
              <w:jc w:val="center"/>
              <w:rPr>
                <w:rFonts w:ascii="Verdana" w:eastAsia="Times New Roman" w:hAnsi="Verdana" w:cs="Arial"/>
                <w:b/>
                <w:bCs/>
                <w:color w:val="FFFFFF" w:themeColor="background1"/>
                <w:sz w:val="18"/>
                <w:szCs w:val="18"/>
                <w:lang w:eastAsia="es-CO"/>
              </w:rPr>
            </w:pPr>
            <w:r>
              <w:rPr>
                <w:rFonts w:ascii="Verdana" w:eastAsia="Times New Roman" w:hAnsi="Verdana" w:cs="Arial"/>
                <w:b/>
                <w:bCs/>
                <w:color w:val="FFFFFF" w:themeColor="background1"/>
                <w:sz w:val="18"/>
                <w:szCs w:val="18"/>
                <w:lang w:eastAsia="es-CO"/>
              </w:rPr>
              <w:t>Nivel II</w:t>
            </w:r>
          </w:p>
        </w:tc>
        <w:tc>
          <w:tcPr>
            <w:tcW w:w="1234" w:type="dxa"/>
            <w:tcBorders>
              <w:top w:val="single" w:sz="8" w:space="0" w:color="808080"/>
              <w:left w:val="nil"/>
              <w:bottom w:val="single" w:sz="8" w:space="0" w:color="808080"/>
              <w:right w:val="nil"/>
            </w:tcBorders>
            <w:shd w:val="clear" w:color="auto" w:fill="B48C41"/>
            <w:vAlign w:val="center"/>
            <w:hideMark/>
          </w:tcPr>
          <w:p w14:paraId="33F36520" w14:textId="77777777" w:rsidR="00321689" w:rsidRDefault="00321689">
            <w:pPr>
              <w:jc w:val="center"/>
              <w:rPr>
                <w:rFonts w:ascii="Verdana" w:eastAsia="Times New Roman" w:hAnsi="Verdana" w:cs="Arial"/>
                <w:b/>
                <w:bCs/>
                <w:color w:val="FFFFFF" w:themeColor="background1"/>
                <w:sz w:val="18"/>
                <w:szCs w:val="18"/>
                <w:lang w:eastAsia="es-CO"/>
              </w:rPr>
            </w:pPr>
            <w:r>
              <w:rPr>
                <w:rFonts w:ascii="Verdana" w:eastAsia="Times New Roman" w:hAnsi="Verdana" w:cs="Arial"/>
                <w:b/>
                <w:bCs/>
                <w:color w:val="FFFFFF" w:themeColor="background1"/>
                <w:sz w:val="18"/>
                <w:szCs w:val="18"/>
                <w:lang w:eastAsia="es-CO"/>
              </w:rPr>
              <w:t>Nivel III</w:t>
            </w:r>
          </w:p>
        </w:tc>
        <w:tc>
          <w:tcPr>
            <w:tcW w:w="1234" w:type="dxa"/>
            <w:tcBorders>
              <w:top w:val="single" w:sz="8" w:space="0" w:color="808080"/>
              <w:left w:val="nil"/>
              <w:bottom w:val="single" w:sz="8" w:space="0" w:color="808080"/>
              <w:right w:val="nil"/>
            </w:tcBorders>
            <w:shd w:val="clear" w:color="auto" w:fill="B48C41"/>
            <w:vAlign w:val="center"/>
            <w:hideMark/>
          </w:tcPr>
          <w:p w14:paraId="1B7B3C64" w14:textId="77777777" w:rsidR="00321689" w:rsidRDefault="00321689">
            <w:pPr>
              <w:jc w:val="center"/>
              <w:rPr>
                <w:rFonts w:ascii="Verdana" w:eastAsia="Times New Roman" w:hAnsi="Verdana" w:cs="Arial"/>
                <w:b/>
                <w:bCs/>
                <w:color w:val="FFFFFF" w:themeColor="background1"/>
                <w:sz w:val="18"/>
                <w:szCs w:val="18"/>
                <w:lang w:eastAsia="es-CO"/>
              </w:rPr>
            </w:pPr>
            <w:r>
              <w:rPr>
                <w:rFonts w:ascii="Verdana" w:eastAsia="Times New Roman" w:hAnsi="Verdana" w:cs="Arial"/>
                <w:b/>
                <w:bCs/>
                <w:color w:val="FFFFFF" w:themeColor="background1"/>
                <w:sz w:val="18"/>
                <w:szCs w:val="18"/>
                <w:lang w:eastAsia="es-CO"/>
              </w:rPr>
              <w:t>Total</w:t>
            </w:r>
          </w:p>
        </w:tc>
      </w:tr>
      <w:tr w:rsidR="00321689" w14:paraId="6BEDED00" w14:textId="77777777" w:rsidTr="00311F3F">
        <w:trPr>
          <w:trHeight w:val="331"/>
          <w:jc w:val="center"/>
        </w:trPr>
        <w:tc>
          <w:tcPr>
            <w:tcW w:w="1701" w:type="dxa"/>
            <w:tcBorders>
              <w:top w:val="nil"/>
              <w:left w:val="nil"/>
              <w:bottom w:val="single" w:sz="8" w:space="0" w:color="808080"/>
              <w:right w:val="nil"/>
            </w:tcBorders>
            <w:vAlign w:val="center"/>
            <w:hideMark/>
          </w:tcPr>
          <w:p w14:paraId="6692595B" w14:textId="77777777" w:rsidR="00321689" w:rsidRDefault="00321689">
            <w:pPr>
              <w:rPr>
                <w:rFonts w:ascii="Verdana" w:eastAsia="Times New Roman" w:hAnsi="Verdana" w:cs="Arial"/>
                <w:b/>
                <w:bCs/>
                <w:color w:val="000000"/>
                <w:sz w:val="18"/>
                <w:szCs w:val="18"/>
                <w:lang w:eastAsia="es-CO"/>
              </w:rPr>
            </w:pPr>
            <w:r>
              <w:rPr>
                <w:rFonts w:ascii="Verdana" w:eastAsia="Times New Roman" w:hAnsi="Verdana" w:cs="Arial"/>
                <w:b/>
                <w:bCs/>
                <w:color w:val="000000"/>
                <w:sz w:val="18"/>
                <w:szCs w:val="18"/>
                <w:lang w:eastAsia="es-CO"/>
              </w:rPr>
              <w:t>1. Ingresos</w:t>
            </w:r>
          </w:p>
        </w:tc>
        <w:tc>
          <w:tcPr>
            <w:tcW w:w="1234" w:type="dxa"/>
            <w:tcBorders>
              <w:top w:val="nil"/>
              <w:left w:val="nil"/>
              <w:bottom w:val="single" w:sz="8" w:space="0" w:color="808080"/>
              <w:right w:val="nil"/>
            </w:tcBorders>
            <w:shd w:val="clear" w:color="auto" w:fill="FFFFFF"/>
            <w:vAlign w:val="center"/>
          </w:tcPr>
          <w:p w14:paraId="177ADD5D" w14:textId="77777777" w:rsidR="00321689" w:rsidRDefault="00311F3F">
            <w:pPr>
              <w:jc w:val="cente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$231,259</w:t>
            </w:r>
          </w:p>
        </w:tc>
        <w:tc>
          <w:tcPr>
            <w:tcW w:w="1234" w:type="dxa"/>
            <w:tcBorders>
              <w:top w:val="nil"/>
              <w:left w:val="nil"/>
              <w:bottom w:val="single" w:sz="8" w:space="0" w:color="808080"/>
              <w:right w:val="nil"/>
            </w:tcBorders>
            <w:vAlign w:val="center"/>
          </w:tcPr>
          <w:p w14:paraId="5F8B0270" w14:textId="77777777" w:rsidR="00321689" w:rsidRDefault="00311F3F">
            <w:pPr>
              <w:jc w:val="cente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$185.015</w:t>
            </w:r>
          </w:p>
        </w:tc>
        <w:tc>
          <w:tcPr>
            <w:tcW w:w="1234" w:type="dxa"/>
            <w:tcBorders>
              <w:top w:val="nil"/>
              <w:left w:val="nil"/>
              <w:bottom w:val="single" w:sz="8" w:space="0" w:color="808080"/>
              <w:right w:val="nil"/>
            </w:tcBorders>
            <w:vAlign w:val="center"/>
          </w:tcPr>
          <w:p w14:paraId="72E971BA" w14:textId="77777777" w:rsidR="00321689" w:rsidRDefault="00321689">
            <w:pPr>
              <w:jc w:val="center"/>
              <w:rPr>
                <w:rFonts w:ascii="Verdana" w:eastAsia="Times New Roman" w:hAnsi="Verdana" w:cs="Arial"/>
                <w:color w:val="000000"/>
                <w:sz w:val="18"/>
                <w:szCs w:val="18"/>
                <w:lang w:eastAsia="es-CO"/>
              </w:rPr>
            </w:pPr>
          </w:p>
        </w:tc>
        <w:tc>
          <w:tcPr>
            <w:tcW w:w="1234" w:type="dxa"/>
            <w:tcBorders>
              <w:top w:val="nil"/>
              <w:left w:val="nil"/>
              <w:bottom w:val="single" w:sz="8" w:space="0" w:color="808080"/>
              <w:right w:val="nil"/>
            </w:tcBorders>
            <w:vAlign w:val="center"/>
          </w:tcPr>
          <w:p w14:paraId="00BCF41F" w14:textId="77777777" w:rsidR="00321689" w:rsidRDefault="00311F3F">
            <w:pP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$416,274</w:t>
            </w:r>
          </w:p>
        </w:tc>
      </w:tr>
      <w:tr w:rsidR="00321689" w14:paraId="03573519" w14:textId="77777777" w:rsidTr="00311F3F">
        <w:trPr>
          <w:trHeight w:val="331"/>
          <w:jc w:val="center"/>
        </w:trPr>
        <w:tc>
          <w:tcPr>
            <w:tcW w:w="1701" w:type="dxa"/>
            <w:tcBorders>
              <w:top w:val="nil"/>
              <w:left w:val="nil"/>
              <w:bottom w:val="single" w:sz="8" w:space="0" w:color="808080"/>
              <w:right w:val="nil"/>
            </w:tcBorders>
            <w:vAlign w:val="center"/>
            <w:hideMark/>
          </w:tcPr>
          <w:p w14:paraId="21AA0B7E" w14:textId="77777777" w:rsidR="00321689" w:rsidRDefault="00321689">
            <w:pPr>
              <w:rPr>
                <w:rFonts w:ascii="Verdana" w:eastAsia="Times New Roman" w:hAnsi="Verdana" w:cs="Arial"/>
                <w:b/>
                <w:bCs/>
                <w:color w:val="000000"/>
                <w:sz w:val="18"/>
                <w:szCs w:val="18"/>
                <w:lang w:eastAsia="es-CO"/>
              </w:rPr>
            </w:pPr>
            <w:r>
              <w:rPr>
                <w:rFonts w:ascii="Verdana" w:eastAsia="Times New Roman" w:hAnsi="Verdana" w:cs="Arial"/>
                <w:b/>
                <w:bCs/>
                <w:color w:val="000000"/>
                <w:sz w:val="18"/>
                <w:szCs w:val="18"/>
                <w:lang w:eastAsia="es-CO"/>
              </w:rPr>
              <w:t>2. Gastos</w:t>
            </w:r>
          </w:p>
        </w:tc>
        <w:tc>
          <w:tcPr>
            <w:tcW w:w="1234" w:type="dxa"/>
            <w:tcBorders>
              <w:top w:val="nil"/>
              <w:left w:val="nil"/>
              <w:bottom w:val="single" w:sz="8" w:space="0" w:color="808080"/>
              <w:right w:val="nil"/>
            </w:tcBorders>
            <w:shd w:val="clear" w:color="auto" w:fill="FFFFFF"/>
            <w:vAlign w:val="center"/>
          </w:tcPr>
          <w:p w14:paraId="1387B4C5" w14:textId="77777777" w:rsidR="00321689" w:rsidRDefault="00311F3F">
            <w:pPr>
              <w:jc w:val="cente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$206.738</w:t>
            </w:r>
          </w:p>
        </w:tc>
        <w:tc>
          <w:tcPr>
            <w:tcW w:w="1234" w:type="dxa"/>
            <w:tcBorders>
              <w:top w:val="nil"/>
              <w:left w:val="nil"/>
              <w:bottom w:val="single" w:sz="8" w:space="0" w:color="808080"/>
              <w:right w:val="nil"/>
            </w:tcBorders>
            <w:vAlign w:val="center"/>
          </w:tcPr>
          <w:p w14:paraId="582EB4CB" w14:textId="77777777" w:rsidR="00321689" w:rsidRDefault="00311F3F">
            <w:pPr>
              <w:jc w:val="cente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$153.064</w:t>
            </w:r>
          </w:p>
        </w:tc>
        <w:tc>
          <w:tcPr>
            <w:tcW w:w="1234" w:type="dxa"/>
            <w:tcBorders>
              <w:top w:val="nil"/>
              <w:left w:val="nil"/>
              <w:bottom w:val="single" w:sz="8" w:space="0" w:color="808080"/>
              <w:right w:val="nil"/>
            </w:tcBorders>
            <w:vAlign w:val="center"/>
          </w:tcPr>
          <w:p w14:paraId="12DAB7AD" w14:textId="77777777" w:rsidR="00321689" w:rsidRDefault="00321689">
            <w:pPr>
              <w:jc w:val="center"/>
              <w:rPr>
                <w:rFonts w:ascii="Verdana" w:eastAsia="Times New Roman" w:hAnsi="Verdana" w:cs="Arial"/>
                <w:color w:val="000000"/>
                <w:sz w:val="18"/>
                <w:szCs w:val="18"/>
                <w:lang w:eastAsia="es-CO"/>
              </w:rPr>
            </w:pPr>
          </w:p>
        </w:tc>
        <w:tc>
          <w:tcPr>
            <w:tcW w:w="1234" w:type="dxa"/>
            <w:tcBorders>
              <w:top w:val="nil"/>
              <w:left w:val="nil"/>
              <w:bottom w:val="single" w:sz="8" w:space="0" w:color="808080"/>
              <w:right w:val="nil"/>
            </w:tcBorders>
            <w:vAlign w:val="center"/>
          </w:tcPr>
          <w:p w14:paraId="6BC518D9" w14:textId="77777777" w:rsidR="00321689" w:rsidRDefault="00311F3F" w:rsidP="00311F3F">
            <w:pP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$359.803</w:t>
            </w:r>
          </w:p>
        </w:tc>
      </w:tr>
      <w:tr w:rsidR="00321689" w14:paraId="02B16A8E" w14:textId="77777777" w:rsidTr="00311F3F">
        <w:trPr>
          <w:trHeight w:val="486"/>
          <w:jc w:val="center"/>
        </w:trPr>
        <w:tc>
          <w:tcPr>
            <w:tcW w:w="1701" w:type="dxa"/>
            <w:tcBorders>
              <w:top w:val="nil"/>
              <w:left w:val="nil"/>
              <w:bottom w:val="single" w:sz="8" w:space="0" w:color="808080"/>
              <w:right w:val="nil"/>
            </w:tcBorders>
            <w:vAlign w:val="center"/>
            <w:hideMark/>
          </w:tcPr>
          <w:p w14:paraId="439CA1BA" w14:textId="77777777" w:rsidR="00321689" w:rsidRDefault="00321689">
            <w:pPr>
              <w:rPr>
                <w:rFonts w:ascii="Verdana" w:eastAsia="Times New Roman" w:hAnsi="Verdana" w:cs="Arial"/>
                <w:b/>
                <w:bCs/>
                <w:color w:val="000000"/>
                <w:sz w:val="18"/>
                <w:szCs w:val="18"/>
                <w:lang w:eastAsia="es-CO"/>
              </w:rPr>
            </w:pPr>
            <w:r>
              <w:rPr>
                <w:rFonts w:ascii="Verdana" w:eastAsia="Times New Roman" w:hAnsi="Verdana" w:cs="Arial"/>
                <w:b/>
                <w:bCs/>
                <w:color w:val="000000"/>
                <w:sz w:val="18"/>
                <w:szCs w:val="18"/>
                <w:lang w:eastAsia="es-CO"/>
              </w:rPr>
              <w:t>3. Resultado (1-2)</w:t>
            </w:r>
          </w:p>
        </w:tc>
        <w:tc>
          <w:tcPr>
            <w:tcW w:w="1234" w:type="dxa"/>
            <w:tcBorders>
              <w:top w:val="nil"/>
              <w:left w:val="nil"/>
              <w:bottom w:val="single" w:sz="8" w:space="0" w:color="808080"/>
              <w:right w:val="nil"/>
            </w:tcBorders>
            <w:shd w:val="clear" w:color="auto" w:fill="FFFFFF"/>
            <w:vAlign w:val="center"/>
          </w:tcPr>
          <w:p w14:paraId="6AF52566" w14:textId="77777777" w:rsidR="00321689" w:rsidRDefault="00311F3F">
            <w:pPr>
              <w:jc w:val="cente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$24.521</w:t>
            </w:r>
          </w:p>
        </w:tc>
        <w:tc>
          <w:tcPr>
            <w:tcW w:w="1234" w:type="dxa"/>
            <w:tcBorders>
              <w:top w:val="nil"/>
              <w:left w:val="nil"/>
              <w:bottom w:val="single" w:sz="8" w:space="0" w:color="808080"/>
              <w:right w:val="nil"/>
            </w:tcBorders>
            <w:shd w:val="clear" w:color="auto" w:fill="FFFFFF"/>
            <w:vAlign w:val="center"/>
          </w:tcPr>
          <w:p w14:paraId="59A8A92C" w14:textId="77777777" w:rsidR="00321689" w:rsidRDefault="00311F3F">
            <w:pPr>
              <w:jc w:val="cente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$31.950</w:t>
            </w:r>
          </w:p>
        </w:tc>
        <w:tc>
          <w:tcPr>
            <w:tcW w:w="1234" w:type="dxa"/>
            <w:tcBorders>
              <w:top w:val="nil"/>
              <w:left w:val="nil"/>
              <w:bottom w:val="single" w:sz="8" w:space="0" w:color="808080"/>
              <w:right w:val="nil"/>
            </w:tcBorders>
            <w:shd w:val="clear" w:color="auto" w:fill="FFFFFF"/>
            <w:vAlign w:val="center"/>
          </w:tcPr>
          <w:p w14:paraId="366EE536" w14:textId="77777777" w:rsidR="00321689" w:rsidRDefault="00321689">
            <w:pPr>
              <w:jc w:val="center"/>
              <w:rPr>
                <w:rFonts w:ascii="Verdana" w:eastAsia="Times New Roman" w:hAnsi="Verdana" w:cs="Arial"/>
                <w:color w:val="000000"/>
                <w:sz w:val="18"/>
                <w:szCs w:val="18"/>
                <w:lang w:eastAsia="es-CO"/>
              </w:rPr>
            </w:pPr>
          </w:p>
        </w:tc>
        <w:tc>
          <w:tcPr>
            <w:tcW w:w="1234" w:type="dxa"/>
            <w:tcBorders>
              <w:top w:val="nil"/>
              <w:left w:val="nil"/>
              <w:bottom w:val="single" w:sz="8" w:space="0" w:color="808080"/>
              <w:right w:val="nil"/>
            </w:tcBorders>
            <w:vAlign w:val="center"/>
          </w:tcPr>
          <w:p w14:paraId="575C157E" w14:textId="77777777" w:rsidR="00321689" w:rsidRDefault="00311F3F">
            <w:pP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$56.479</w:t>
            </w:r>
          </w:p>
        </w:tc>
      </w:tr>
      <w:tr w:rsidR="00321689" w14:paraId="258D6E8F" w14:textId="77777777" w:rsidTr="00311F3F">
        <w:trPr>
          <w:trHeight w:val="331"/>
          <w:jc w:val="center"/>
        </w:trPr>
        <w:tc>
          <w:tcPr>
            <w:tcW w:w="1701" w:type="dxa"/>
            <w:tcBorders>
              <w:top w:val="nil"/>
              <w:left w:val="nil"/>
              <w:bottom w:val="single" w:sz="8" w:space="0" w:color="808080"/>
              <w:right w:val="nil"/>
            </w:tcBorders>
            <w:vAlign w:val="center"/>
            <w:hideMark/>
          </w:tcPr>
          <w:p w14:paraId="6B516CA6" w14:textId="77777777" w:rsidR="00321689" w:rsidRDefault="00321689">
            <w:pPr>
              <w:rPr>
                <w:rFonts w:ascii="Verdana" w:eastAsia="Times New Roman" w:hAnsi="Verdana" w:cs="Arial"/>
                <w:b/>
                <w:bCs/>
                <w:color w:val="000000"/>
                <w:sz w:val="18"/>
                <w:szCs w:val="18"/>
                <w:lang w:eastAsia="es-CO"/>
              </w:rPr>
            </w:pPr>
            <w:r>
              <w:rPr>
                <w:rFonts w:ascii="Verdana" w:eastAsia="Times New Roman" w:hAnsi="Verdana" w:cs="Arial"/>
                <w:b/>
                <w:bCs/>
                <w:color w:val="000000"/>
                <w:sz w:val="18"/>
                <w:szCs w:val="18"/>
                <w:lang w:eastAsia="es-CO"/>
              </w:rPr>
              <w:t>4. Pasivos</w:t>
            </w:r>
          </w:p>
        </w:tc>
        <w:tc>
          <w:tcPr>
            <w:tcW w:w="1234" w:type="dxa"/>
            <w:tcBorders>
              <w:top w:val="nil"/>
              <w:left w:val="nil"/>
              <w:bottom w:val="single" w:sz="8" w:space="0" w:color="808080"/>
              <w:right w:val="nil"/>
            </w:tcBorders>
            <w:vAlign w:val="center"/>
          </w:tcPr>
          <w:p w14:paraId="2DC21CCF" w14:textId="77777777" w:rsidR="00321689" w:rsidRDefault="00311F3F">
            <w:pPr>
              <w:jc w:val="cente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$82.651</w:t>
            </w:r>
          </w:p>
        </w:tc>
        <w:tc>
          <w:tcPr>
            <w:tcW w:w="1234" w:type="dxa"/>
            <w:tcBorders>
              <w:top w:val="nil"/>
              <w:left w:val="nil"/>
              <w:bottom w:val="single" w:sz="8" w:space="0" w:color="808080"/>
              <w:right w:val="nil"/>
            </w:tcBorders>
            <w:vAlign w:val="center"/>
          </w:tcPr>
          <w:p w14:paraId="0AD80F63" w14:textId="77777777" w:rsidR="00321689" w:rsidRDefault="00311F3F">
            <w:pPr>
              <w:jc w:val="cente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$175,520</w:t>
            </w:r>
          </w:p>
        </w:tc>
        <w:tc>
          <w:tcPr>
            <w:tcW w:w="1234" w:type="dxa"/>
            <w:tcBorders>
              <w:top w:val="nil"/>
              <w:left w:val="nil"/>
              <w:bottom w:val="single" w:sz="8" w:space="0" w:color="808080"/>
              <w:right w:val="nil"/>
            </w:tcBorders>
            <w:vAlign w:val="center"/>
          </w:tcPr>
          <w:p w14:paraId="1DD308CE" w14:textId="77777777" w:rsidR="00321689" w:rsidRDefault="00321689">
            <w:pPr>
              <w:jc w:val="center"/>
              <w:rPr>
                <w:rFonts w:ascii="Verdana" w:eastAsia="Times New Roman" w:hAnsi="Verdana" w:cs="Arial"/>
                <w:color w:val="000000"/>
                <w:sz w:val="18"/>
                <w:szCs w:val="18"/>
                <w:lang w:eastAsia="es-CO"/>
              </w:rPr>
            </w:pPr>
          </w:p>
        </w:tc>
        <w:tc>
          <w:tcPr>
            <w:tcW w:w="1234" w:type="dxa"/>
            <w:tcBorders>
              <w:top w:val="nil"/>
              <w:left w:val="nil"/>
              <w:bottom w:val="single" w:sz="8" w:space="0" w:color="808080"/>
              <w:right w:val="nil"/>
            </w:tcBorders>
            <w:vAlign w:val="center"/>
          </w:tcPr>
          <w:p w14:paraId="44059762" w14:textId="77777777" w:rsidR="00321689" w:rsidRDefault="00311F3F" w:rsidP="00311F3F">
            <w:pP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$258.171</w:t>
            </w:r>
          </w:p>
        </w:tc>
      </w:tr>
      <w:tr w:rsidR="00321689" w14:paraId="5C9BC858" w14:textId="77777777" w:rsidTr="00311F3F">
        <w:trPr>
          <w:trHeight w:val="331"/>
          <w:jc w:val="center"/>
        </w:trPr>
        <w:tc>
          <w:tcPr>
            <w:tcW w:w="1701" w:type="dxa"/>
            <w:tcBorders>
              <w:top w:val="nil"/>
              <w:left w:val="nil"/>
              <w:bottom w:val="single" w:sz="8" w:space="0" w:color="808080"/>
              <w:right w:val="nil"/>
            </w:tcBorders>
            <w:vAlign w:val="center"/>
            <w:hideMark/>
          </w:tcPr>
          <w:p w14:paraId="3DD72344" w14:textId="77777777" w:rsidR="00321689" w:rsidRDefault="00321689">
            <w:pPr>
              <w:rPr>
                <w:rFonts w:ascii="Verdana" w:eastAsia="Times New Roman" w:hAnsi="Verdana" w:cs="Arial"/>
                <w:b/>
                <w:bCs/>
                <w:color w:val="000000"/>
                <w:sz w:val="18"/>
                <w:szCs w:val="18"/>
                <w:lang w:eastAsia="es-CO"/>
              </w:rPr>
            </w:pPr>
            <w:r>
              <w:rPr>
                <w:rFonts w:ascii="Verdana" w:eastAsia="Times New Roman" w:hAnsi="Verdana" w:cs="Arial"/>
                <w:b/>
                <w:bCs/>
                <w:color w:val="000000"/>
                <w:sz w:val="18"/>
                <w:szCs w:val="18"/>
                <w:lang w:eastAsia="es-CO"/>
              </w:rPr>
              <w:t>5. Cartera</w:t>
            </w:r>
          </w:p>
        </w:tc>
        <w:tc>
          <w:tcPr>
            <w:tcW w:w="1234" w:type="dxa"/>
            <w:tcBorders>
              <w:top w:val="nil"/>
              <w:left w:val="nil"/>
              <w:bottom w:val="single" w:sz="8" w:space="0" w:color="808080"/>
              <w:right w:val="nil"/>
            </w:tcBorders>
            <w:shd w:val="clear" w:color="auto" w:fill="FFFFFF"/>
            <w:vAlign w:val="center"/>
          </w:tcPr>
          <w:p w14:paraId="0170ADD7" w14:textId="77777777" w:rsidR="00321689" w:rsidRDefault="00311F3F">
            <w:pPr>
              <w:jc w:val="cente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90,136</w:t>
            </w:r>
          </w:p>
        </w:tc>
        <w:tc>
          <w:tcPr>
            <w:tcW w:w="1234" w:type="dxa"/>
            <w:tcBorders>
              <w:top w:val="nil"/>
              <w:left w:val="nil"/>
              <w:bottom w:val="single" w:sz="8" w:space="0" w:color="808080"/>
              <w:right w:val="nil"/>
            </w:tcBorders>
            <w:vAlign w:val="center"/>
          </w:tcPr>
          <w:p w14:paraId="5AC9C52E" w14:textId="77777777" w:rsidR="00321689" w:rsidRDefault="00311F3F">
            <w:pPr>
              <w:jc w:val="cente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$172,566</w:t>
            </w:r>
          </w:p>
        </w:tc>
        <w:tc>
          <w:tcPr>
            <w:tcW w:w="1234" w:type="dxa"/>
            <w:tcBorders>
              <w:top w:val="nil"/>
              <w:left w:val="nil"/>
              <w:bottom w:val="single" w:sz="8" w:space="0" w:color="808080"/>
              <w:right w:val="nil"/>
            </w:tcBorders>
            <w:vAlign w:val="center"/>
          </w:tcPr>
          <w:p w14:paraId="099E58C5" w14:textId="77777777" w:rsidR="00321689" w:rsidRDefault="00321689">
            <w:pPr>
              <w:jc w:val="center"/>
              <w:rPr>
                <w:rFonts w:ascii="Verdana" w:eastAsia="Times New Roman" w:hAnsi="Verdana" w:cs="Arial"/>
                <w:color w:val="000000"/>
                <w:sz w:val="18"/>
                <w:szCs w:val="18"/>
                <w:lang w:eastAsia="es-CO"/>
              </w:rPr>
            </w:pPr>
          </w:p>
        </w:tc>
        <w:tc>
          <w:tcPr>
            <w:tcW w:w="1234" w:type="dxa"/>
            <w:tcBorders>
              <w:top w:val="nil"/>
              <w:left w:val="nil"/>
              <w:bottom w:val="single" w:sz="8" w:space="0" w:color="808080"/>
              <w:right w:val="nil"/>
            </w:tcBorders>
            <w:vAlign w:val="center"/>
          </w:tcPr>
          <w:p w14:paraId="1AC04174" w14:textId="77777777" w:rsidR="00321689" w:rsidRDefault="00311F3F">
            <w:pP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$262,702</w:t>
            </w:r>
          </w:p>
        </w:tc>
      </w:tr>
    </w:tbl>
    <w:p w14:paraId="5F61C390" w14:textId="77777777" w:rsidR="00321689" w:rsidRDefault="00321689" w:rsidP="00321689">
      <w:pPr>
        <w:ind w:firstLine="709"/>
        <w:jc w:val="center"/>
        <w:rPr>
          <w:rFonts w:ascii="Verdana" w:eastAsia="Times New Roman" w:hAnsi="Verdana" w:cs="Arial"/>
          <w:sz w:val="16"/>
          <w:szCs w:val="16"/>
          <w:lang w:eastAsia="en-US"/>
        </w:rPr>
      </w:pPr>
      <w:r>
        <w:rPr>
          <w:rFonts w:ascii="Verdana" w:eastAsia="Times New Roman" w:hAnsi="Verdana" w:cs="Arial"/>
          <w:b/>
          <w:bCs/>
          <w:color w:val="000000"/>
          <w:sz w:val="16"/>
          <w:szCs w:val="16"/>
          <w:lang w:eastAsia="es-CO"/>
        </w:rPr>
        <w:t xml:space="preserve">Fuente: </w:t>
      </w:r>
      <w:r>
        <w:rPr>
          <w:rFonts w:ascii="Verdana" w:eastAsia="Times New Roman" w:hAnsi="Verdana" w:cs="Arial"/>
          <w:sz w:val="16"/>
          <w:szCs w:val="16"/>
          <w:lang w:eastAsia="es-CO"/>
        </w:rPr>
        <w:t>SIHO Cierre de 2022</w:t>
      </w:r>
    </w:p>
    <w:p w14:paraId="44986539" w14:textId="77777777" w:rsidR="00321689" w:rsidRDefault="00321689" w:rsidP="00321689">
      <w:pPr>
        <w:jc w:val="both"/>
        <w:rPr>
          <w:rFonts w:ascii="Verdana" w:eastAsiaTheme="minorHAnsi" w:hAnsi="Verdana" w:cs="Arial"/>
          <w:sz w:val="21"/>
          <w:szCs w:val="21"/>
        </w:rPr>
      </w:pPr>
    </w:p>
    <w:p w14:paraId="2570037E" w14:textId="77777777" w:rsidR="00A148C1" w:rsidRDefault="00321689" w:rsidP="00321689">
      <w:pPr>
        <w:jc w:val="both"/>
        <w:rPr>
          <w:rFonts w:ascii="Verdana" w:hAnsi="Verdana" w:cs="Arial"/>
          <w:sz w:val="21"/>
          <w:szCs w:val="21"/>
        </w:rPr>
      </w:pPr>
      <w:r>
        <w:rPr>
          <w:rFonts w:ascii="Verdana" w:hAnsi="Verdana" w:cs="Arial"/>
          <w:sz w:val="21"/>
          <w:szCs w:val="21"/>
        </w:rPr>
        <w:t xml:space="preserve">Al cierre de 2022, la red pública hospitalaria presentó un resultado presupuestal </w:t>
      </w:r>
      <w:r w:rsidR="00A148C1">
        <w:rPr>
          <w:rFonts w:ascii="Verdana" w:hAnsi="Verdana" w:cs="Arial"/>
          <w:sz w:val="21"/>
          <w:szCs w:val="21"/>
        </w:rPr>
        <w:t>superavitario</w:t>
      </w:r>
      <w:r>
        <w:rPr>
          <w:rFonts w:ascii="Verdana" w:hAnsi="Verdana" w:cs="Arial"/>
          <w:sz w:val="21"/>
          <w:szCs w:val="21"/>
        </w:rPr>
        <w:t xml:space="preserve"> de $</w:t>
      </w:r>
      <w:r w:rsidR="00311F3F">
        <w:rPr>
          <w:rFonts w:ascii="Verdana" w:hAnsi="Verdana" w:cs="Arial"/>
          <w:sz w:val="21"/>
          <w:szCs w:val="21"/>
        </w:rPr>
        <w:t>56.479</w:t>
      </w:r>
      <w:r>
        <w:rPr>
          <w:rFonts w:ascii="Verdana" w:hAnsi="Verdana" w:cs="Arial"/>
          <w:sz w:val="21"/>
          <w:szCs w:val="21"/>
        </w:rPr>
        <w:t xml:space="preserve"> millones, pasivos por $</w:t>
      </w:r>
      <w:r w:rsidR="00311F3F">
        <w:rPr>
          <w:rFonts w:ascii="Verdana" w:hAnsi="Verdana" w:cs="Arial"/>
          <w:sz w:val="21"/>
          <w:szCs w:val="21"/>
        </w:rPr>
        <w:t>258.171</w:t>
      </w:r>
      <w:r>
        <w:rPr>
          <w:rFonts w:ascii="Verdana" w:hAnsi="Verdana" w:cs="Arial"/>
          <w:sz w:val="21"/>
          <w:szCs w:val="21"/>
        </w:rPr>
        <w:t xml:space="preserve"> millones</w:t>
      </w:r>
      <w:r w:rsidR="0083358B">
        <w:rPr>
          <w:rFonts w:ascii="Verdana" w:hAnsi="Verdana" w:cs="Arial"/>
          <w:sz w:val="21"/>
          <w:szCs w:val="21"/>
        </w:rPr>
        <w:t xml:space="preserve"> y una cartera de </w:t>
      </w:r>
      <w:r>
        <w:rPr>
          <w:rFonts w:ascii="Verdana" w:hAnsi="Verdana" w:cs="Arial"/>
          <w:sz w:val="21"/>
          <w:szCs w:val="21"/>
        </w:rPr>
        <w:t>$</w:t>
      </w:r>
      <w:r w:rsidR="00311F3F">
        <w:rPr>
          <w:rFonts w:ascii="Verdana" w:hAnsi="Verdana" w:cs="Arial"/>
          <w:sz w:val="21"/>
          <w:szCs w:val="21"/>
        </w:rPr>
        <w:t>262.702</w:t>
      </w:r>
      <w:r>
        <w:rPr>
          <w:rFonts w:ascii="Verdana" w:hAnsi="Verdana" w:cs="Arial"/>
          <w:sz w:val="21"/>
          <w:szCs w:val="21"/>
        </w:rPr>
        <w:t xml:space="preserve"> millones</w:t>
      </w:r>
      <w:r w:rsidR="0083358B" w:rsidRPr="0083358B">
        <w:t xml:space="preserve"> </w:t>
      </w:r>
      <w:r w:rsidR="0083358B" w:rsidRPr="0083358B">
        <w:rPr>
          <w:rFonts w:ascii="Verdana" w:hAnsi="Verdana" w:cs="Arial"/>
          <w:sz w:val="21"/>
          <w:szCs w:val="21"/>
        </w:rPr>
        <w:t xml:space="preserve">de la cual el </w:t>
      </w:r>
      <w:r w:rsidR="00A148C1">
        <w:rPr>
          <w:rFonts w:ascii="Verdana" w:hAnsi="Verdana" w:cs="Arial"/>
          <w:sz w:val="21"/>
          <w:szCs w:val="21"/>
        </w:rPr>
        <w:t>57</w:t>
      </w:r>
      <w:r w:rsidR="0083358B" w:rsidRPr="0083358B">
        <w:rPr>
          <w:rFonts w:ascii="Verdana" w:hAnsi="Verdana" w:cs="Arial"/>
          <w:sz w:val="21"/>
          <w:szCs w:val="21"/>
        </w:rPr>
        <w:t>% ($</w:t>
      </w:r>
      <w:r w:rsidR="00311F3F">
        <w:rPr>
          <w:rFonts w:ascii="Verdana" w:hAnsi="Verdana" w:cs="Arial"/>
          <w:sz w:val="21"/>
          <w:szCs w:val="21"/>
        </w:rPr>
        <w:t>150.</w:t>
      </w:r>
      <w:r w:rsidR="00A148C1">
        <w:rPr>
          <w:rFonts w:ascii="Verdana" w:hAnsi="Verdana" w:cs="Arial"/>
          <w:sz w:val="21"/>
          <w:szCs w:val="21"/>
        </w:rPr>
        <w:t>598</w:t>
      </w:r>
      <w:r w:rsidR="0083358B" w:rsidRPr="0083358B">
        <w:rPr>
          <w:rFonts w:ascii="Verdana" w:hAnsi="Verdana" w:cs="Arial"/>
          <w:sz w:val="21"/>
          <w:szCs w:val="21"/>
        </w:rPr>
        <w:t xml:space="preserve"> millones) corresponde a cartera de difícil recaudo, </w:t>
      </w:r>
      <w:r w:rsidR="00A148C1">
        <w:rPr>
          <w:rFonts w:ascii="Verdana" w:hAnsi="Verdana" w:cs="Arial"/>
          <w:sz w:val="21"/>
          <w:szCs w:val="21"/>
        </w:rPr>
        <w:t>por lo que resulta insuficiente para cubrir el pasivo generado.</w:t>
      </w:r>
    </w:p>
    <w:p w14:paraId="5542ACB3" w14:textId="77777777" w:rsidR="00321689" w:rsidRDefault="00321689" w:rsidP="00321689">
      <w:pPr>
        <w:rPr>
          <w:rFonts w:ascii="Verdana" w:hAnsi="Verdana" w:cs="Arial"/>
          <w:sz w:val="21"/>
          <w:szCs w:val="21"/>
        </w:rPr>
      </w:pPr>
    </w:p>
    <w:p w14:paraId="79E82425" w14:textId="77777777" w:rsidR="00321689" w:rsidRDefault="00321689" w:rsidP="00321689">
      <w:pPr>
        <w:pStyle w:val="Prrafodelista"/>
        <w:numPr>
          <w:ilvl w:val="0"/>
          <w:numId w:val="7"/>
        </w:numPr>
        <w:jc w:val="both"/>
        <w:rPr>
          <w:rFonts w:ascii="Verdana" w:eastAsia="Calibri" w:hAnsi="Verdana" w:cs="Arial"/>
          <w:b/>
          <w:sz w:val="21"/>
          <w:szCs w:val="21"/>
        </w:rPr>
      </w:pPr>
      <w:r>
        <w:rPr>
          <w:rFonts w:ascii="Verdana" w:eastAsia="Calibri" w:hAnsi="Verdana" w:cs="Arial"/>
          <w:b/>
          <w:sz w:val="21"/>
          <w:szCs w:val="21"/>
        </w:rPr>
        <w:t>Planeación en Salud.</w:t>
      </w:r>
    </w:p>
    <w:p w14:paraId="59BF8677" w14:textId="77777777" w:rsidR="00321689" w:rsidRDefault="00321689" w:rsidP="003216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Verdana" w:eastAsia="Calibri" w:hAnsi="Verdana" w:cs="Arial"/>
          <w:sz w:val="21"/>
          <w:szCs w:val="21"/>
          <w:highlight w:val="yellow"/>
        </w:rPr>
      </w:pPr>
    </w:p>
    <w:p w14:paraId="23967A25" w14:textId="77777777" w:rsidR="00321689" w:rsidRDefault="00321689" w:rsidP="00321689">
      <w:pPr>
        <w:autoSpaceDE w:val="0"/>
        <w:autoSpaceDN w:val="0"/>
        <w:adjustRightInd w:val="0"/>
        <w:jc w:val="both"/>
        <w:rPr>
          <w:rFonts w:ascii="Verdana" w:eastAsiaTheme="minorHAnsi" w:hAnsi="Verdana" w:cs="Arial"/>
          <w:bCs/>
          <w:sz w:val="21"/>
          <w:szCs w:val="21"/>
        </w:rPr>
      </w:pPr>
      <w:r>
        <w:rPr>
          <w:rFonts w:ascii="Verdana" w:hAnsi="Verdana" w:cs="Arial"/>
          <w:bCs/>
          <w:sz w:val="21"/>
          <w:szCs w:val="21"/>
        </w:rPr>
        <w:t xml:space="preserve">El departamento del Cesar presentó como anexo al Plan de Desarrollo “Lo hacemos mejor 2020 - 2023”, </w:t>
      </w:r>
      <w:r w:rsidR="009A245A">
        <w:rPr>
          <w:rFonts w:ascii="Verdana" w:hAnsi="Verdana" w:cs="Arial"/>
          <w:bCs/>
          <w:sz w:val="21"/>
          <w:szCs w:val="21"/>
        </w:rPr>
        <w:t xml:space="preserve">el cual </w:t>
      </w:r>
      <w:r>
        <w:rPr>
          <w:rFonts w:ascii="Verdana" w:hAnsi="Verdana" w:cs="Arial"/>
          <w:bCs/>
          <w:sz w:val="21"/>
          <w:szCs w:val="21"/>
        </w:rPr>
        <w:t xml:space="preserve">incorporó el </w:t>
      </w:r>
      <w:r w:rsidR="009A245A">
        <w:rPr>
          <w:rFonts w:ascii="Verdana" w:hAnsi="Verdana" w:cs="Arial"/>
          <w:bCs/>
          <w:sz w:val="21"/>
          <w:szCs w:val="21"/>
        </w:rPr>
        <w:t>P</w:t>
      </w:r>
      <w:r>
        <w:rPr>
          <w:rFonts w:ascii="Verdana" w:hAnsi="Verdana" w:cs="Arial"/>
          <w:bCs/>
          <w:sz w:val="21"/>
          <w:szCs w:val="21"/>
        </w:rPr>
        <w:t xml:space="preserve">lan </w:t>
      </w:r>
      <w:r w:rsidR="009A245A">
        <w:rPr>
          <w:rFonts w:ascii="Verdana" w:hAnsi="Verdana" w:cs="Arial"/>
          <w:bCs/>
          <w:sz w:val="21"/>
          <w:szCs w:val="21"/>
        </w:rPr>
        <w:t>T</w:t>
      </w:r>
      <w:r>
        <w:rPr>
          <w:rFonts w:ascii="Verdana" w:hAnsi="Verdana" w:cs="Arial"/>
          <w:bCs/>
          <w:sz w:val="21"/>
          <w:szCs w:val="21"/>
        </w:rPr>
        <w:t xml:space="preserve">erritorial en </w:t>
      </w:r>
      <w:r w:rsidR="009A245A">
        <w:rPr>
          <w:rFonts w:ascii="Verdana" w:hAnsi="Verdana" w:cs="Arial"/>
          <w:bCs/>
          <w:sz w:val="21"/>
          <w:szCs w:val="21"/>
        </w:rPr>
        <w:t>S</w:t>
      </w:r>
      <w:r>
        <w:rPr>
          <w:rFonts w:ascii="Verdana" w:hAnsi="Verdana" w:cs="Arial"/>
          <w:bCs/>
          <w:sz w:val="21"/>
          <w:szCs w:val="21"/>
        </w:rPr>
        <w:t>alud del cuatrienio</w:t>
      </w:r>
      <w:r w:rsidR="00D32C60">
        <w:rPr>
          <w:rFonts w:ascii="Verdana" w:hAnsi="Verdana" w:cs="Arial"/>
          <w:bCs/>
          <w:sz w:val="21"/>
          <w:szCs w:val="21"/>
        </w:rPr>
        <w:t>, presentando</w:t>
      </w:r>
      <w:r>
        <w:rPr>
          <w:rFonts w:ascii="Verdana" w:hAnsi="Verdana" w:cs="Arial"/>
          <w:bCs/>
          <w:sz w:val="21"/>
          <w:szCs w:val="21"/>
        </w:rPr>
        <w:t xml:space="preserve"> los siguientes objetivos:</w:t>
      </w:r>
    </w:p>
    <w:p w14:paraId="5ED89B08" w14:textId="77777777" w:rsidR="00321689" w:rsidRDefault="00321689" w:rsidP="00321689">
      <w:pPr>
        <w:jc w:val="both"/>
        <w:rPr>
          <w:rFonts w:ascii="Verdana" w:hAnsi="Verdana" w:cs="Arial"/>
          <w:i/>
          <w:sz w:val="21"/>
          <w:szCs w:val="21"/>
        </w:rPr>
      </w:pPr>
    </w:p>
    <w:p w14:paraId="36C06796" w14:textId="77777777" w:rsidR="00321689" w:rsidRPr="00087B7F" w:rsidRDefault="00321689" w:rsidP="00087B7F">
      <w:pPr>
        <w:ind w:left="567"/>
        <w:jc w:val="both"/>
        <w:rPr>
          <w:rFonts w:ascii="Verdana" w:hAnsi="Verdana" w:cs="Arial"/>
          <w:bCs/>
          <w:i/>
          <w:sz w:val="18"/>
          <w:szCs w:val="18"/>
        </w:rPr>
      </w:pPr>
      <w:r w:rsidRPr="00087B7F">
        <w:rPr>
          <w:rFonts w:ascii="Verdana" w:hAnsi="Verdana" w:cs="Arial"/>
          <w:i/>
          <w:sz w:val="18"/>
          <w:szCs w:val="18"/>
        </w:rPr>
        <w:t xml:space="preserve">“[…] </w:t>
      </w:r>
      <w:r w:rsidRPr="00087B7F">
        <w:rPr>
          <w:rFonts w:ascii="Verdana" w:hAnsi="Verdana" w:cs="Arial"/>
          <w:bCs/>
          <w:i/>
          <w:sz w:val="18"/>
          <w:szCs w:val="18"/>
        </w:rPr>
        <w:t>A 2023 EL DEPARTAMENTO DEL CESAR SERÁ RECONOCIDO POR HABER PROMOVIDO EL DESARROLLO INTEGRAL EN SALUD MEDIANTE ACCIONES TRANSECTORIALES QUE GARANTICEN EL BIENESTAR AMBIENTAL, SOCIAL, CULTURAL Y ECONÓMICO DE LA POBLACIÓN, TENIENDO EN CUENTA EL APROVECHAMIENTO DEL CRECIENTE DESARROLLO DEPARTAMENTAL Y LA PRIVILEGIADA UBICACIÓN GEOGRÁFICA DEL TERRITORIO, LO QUE INFLUIRÁ POSITIVAMENTE PARA MODIFICAR LOS DETERMINANTES SOCIALES DE SALUD, DISMINUIR LOS INDICADORES DE MORBILIDAD Y MORTALIDAD, MEJORAR LA CALIDAD EN LA PRESTACIÓN DE SERVICIOS EN SALUD, Y FORTALECER EL SISTEMA GENERAL DE SEGURIDAD SOCIAL DE MANERA INCLUYENTE Y PARTICIPATIVA"</w:t>
      </w:r>
    </w:p>
    <w:p w14:paraId="0E52ABA1" w14:textId="77777777" w:rsidR="00321689" w:rsidRPr="00087B7F" w:rsidRDefault="00321689" w:rsidP="00087B7F">
      <w:pPr>
        <w:pStyle w:val="Prrafodelista"/>
        <w:ind w:left="567"/>
        <w:jc w:val="both"/>
        <w:rPr>
          <w:rFonts w:ascii="Verdana" w:hAnsi="Verdana" w:cs="Arial"/>
          <w:bCs/>
          <w:i/>
          <w:sz w:val="18"/>
          <w:szCs w:val="18"/>
        </w:rPr>
      </w:pPr>
      <w:r w:rsidRPr="00087B7F">
        <w:rPr>
          <w:rFonts w:ascii="Verdana" w:hAnsi="Verdana" w:cs="Arial"/>
          <w:bCs/>
          <w:i/>
          <w:sz w:val="18"/>
          <w:szCs w:val="18"/>
        </w:rPr>
        <w:t xml:space="preserve"> </w:t>
      </w:r>
    </w:p>
    <w:p w14:paraId="148EF391" w14:textId="77777777" w:rsidR="00321689" w:rsidRPr="00087B7F" w:rsidRDefault="00321689" w:rsidP="00087B7F">
      <w:pPr>
        <w:pStyle w:val="Prrafodelista"/>
        <w:ind w:left="567"/>
        <w:jc w:val="both"/>
        <w:rPr>
          <w:rFonts w:ascii="Verdana" w:hAnsi="Verdana" w:cs="Arial"/>
          <w:bCs/>
          <w:i/>
          <w:sz w:val="18"/>
          <w:szCs w:val="18"/>
        </w:rPr>
      </w:pPr>
      <w:r w:rsidRPr="00087B7F">
        <w:rPr>
          <w:rFonts w:ascii="Verdana" w:hAnsi="Verdana" w:cs="Arial"/>
          <w:bCs/>
          <w:i/>
          <w:sz w:val="18"/>
          <w:szCs w:val="18"/>
        </w:rPr>
        <w:t>OBJETIVOS ESTRATÉGICOS</w:t>
      </w:r>
    </w:p>
    <w:p w14:paraId="4B22BE5E" w14:textId="77777777" w:rsidR="00321689" w:rsidRPr="00087B7F" w:rsidRDefault="00321689" w:rsidP="00087B7F">
      <w:pPr>
        <w:ind w:left="567"/>
        <w:jc w:val="both"/>
        <w:rPr>
          <w:rFonts w:ascii="Verdana" w:hAnsi="Verdana" w:cs="Arial"/>
          <w:bCs/>
          <w:i/>
          <w:sz w:val="18"/>
          <w:szCs w:val="18"/>
        </w:rPr>
      </w:pPr>
    </w:p>
    <w:p w14:paraId="0EEDFAF0" w14:textId="77777777" w:rsidR="00321689" w:rsidRPr="00087B7F" w:rsidRDefault="00321689" w:rsidP="00087B7F">
      <w:pPr>
        <w:ind w:left="567"/>
        <w:jc w:val="both"/>
        <w:rPr>
          <w:rFonts w:ascii="Verdana" w:hAnsi="Verdana" w:cs="Arial"/>
          <w:bCs/>
          <w:i/>
          <w:sz w:val="18"/>
          <w:szCs w:val="18"/>
        </w:rPr>
      </w:pPr>
      <w:r w:rsidRPr="00087B7F">
        <w:rPr>
          <w:rFonts w:ascii="Verdana" w:hAnsi="Verdana" w:cs="Arial"/>
          <w:bCs/>
          <w:i/>
          <w:sz w:val="18"/>
          <w:szCs w:val="18"/>
        </w:rPr>
        <w:sym w:font="Symbol" w:char="F0B7"/>
      </w:r>
      <w:r w:rsidRPr="00087B7F">
        <w:rPr>
          <w:rFonts w:ascii="Verdana" w:hAnsi="Verdana" w:cs="Arial"/>
          <w:bCs/>
          <w:i/>
          <w:sz w:val="18"/>
          <w:szCs w:val="18"/>
        </w:rPr>
        <w:t>Fortalecer las acciones encaminadas al mejoramiento de los servicios de salud, a través de iniciativas proyectos y programas, que buscan intensificar la promoción y prevención, así como mejorar los componentes sociales que apuntan al elevamiento de los estándares de atención, adecuación de infraestructura hospitalaria, dotación y prestación de servicios en todas las áreas del sistema departamental de salud.</w:t>
      </w:r>
    </w:p>
    <w:p w14:paraId="5AC0740C" w14:textId="77777777" w:rsidR="00321689" w:rsidRPr="00087B7F" w:rsidRDefault="00321689" w:rsidP="00087B7F">
      <w:pPr>
        <w:ind w:left="567"/>
        <w:jc w:val="both"/>
        <w:rPr>
          <w:rFonts w:ascii="Verdana" w:hAnsi="Verdana" w:cs="Arial"/>
          <w:bCs/>
          <w:i/>
          <w:sz w:val="18"/>
          <w:szCs w:val="18"/>
        </w:rPr>
      </w:pPr>
    </w:p>
    <w:p w14:paraId="2430C64E" w14:textId="77777777" w:rsidR="00321689" w:rsidRPr="00087B7F" w:rsidRDefault="00321689" w:rsidP="00087B7F">
      <w:pPr>
        <w:ind w:left="567"/>
        <w:jc w:val="both"/>
        <w:rPr>
          <w:rFonts w:ascii="Verdana" w:hAnsi="Verdana" w:cs="Arial"/>
          <w:bCs/>
          <w:i/>
          <w:sz w:val="18"/>
          <w:szCs w:val="18"/>
        </w:rPr>
      </w:pPr>
      <w:r w:rsidRPr="00087B7F">
        <w:rPr>
          <w:rFonts w:ascii="Verdana" w:hAnsi="Verdana" w:cs="Arial"/>
          <w:bCs/>
          <w:i/>
          <w:sz w:val="18"/>
          <w:szCs w:val="18"/>
        </w:rPr>
        <w:sym w:font="Symbol" w:char="F0B7"/>
      </w:r>
      <w:r w:rsidRPr="00087B7F">
        <w:rPr>
          <w:rFonts w:ascii="Verdana" w:hAnsi="Verdana" w:cs="Arial"/>
          <w:bCs/>
          <w:i/>
          <w:sz w:val="18"/>
          <w:szCs w:val="18"/>
        </w:rPr>
        <w:t xml:space="preserve"> Actuar sobre los determinantes que contribuyen al uso pleno y de manera colectiva de los bienes y servicios del sistema departamental de salud, alrededor de los cuales, los ciudadanos y las ciudadanas tienen derecho a servirse, y que permiten garantizar vida sana. </w:t>
      </w:r>
    </w:p>
    <w:p w14:paraId="7E345EEC" w14:textId="77777777" w:rsidR="00321689" w:rsidRPr="00087B7F" w:rsidRDefault="00321689" w:rsidP="00087B7F">
      <w:pPr>
        <w:ind w:left="567"/>
        <w:jc w:val="both"/>
        <w:rPr>
          <w:rFonts w:ascii="Verdana" w:hAnsi="Verdana" w:cs="Arial"/>
          <w:bCs/>
          <w:i/>
          <w:sz w:val="18"/>
          <w:szCs w:val="18"/>
        </w:rPr>
      </w:pPr>
      <w:r w:rsidRPr="00087B7F">
        <w:rPr>
          <w:rFonts w:ascii="Verdana" w:hAnsi="Verdana" w:cs="Arial"/>
          <w:bCs/>
          <w:i/>
          <w:sz w:val="18"/>
          <w:szCs w:val="18"/>
        </w:rPr>
        <w:sym w:font="Symbol" w:char="F0B7"/>
      </w:r>
      <w:r w:rsidRPr="00087B7F">
        <w:rPr>
          <w:rFonts w:ascii="Verdana" w:hAnsi="Verdana" w:cs="Arial"/>
          <w:bCs/>
          <w:i/>
          <w:sz w:val="18"/>
          <w:szCs w:val="18"/>
        </w:rPr>
        <w:t xml:space="preserve"> Garantizar la continuidad a 832.583 afiliados al Régimen Subsidiado de Salud, con oportunidad, calidad y accesibilidad a la Prestación de los Servicios de Salud del Sistema General de Seguridad Social en Salud y el aseguramiento de la Población Pobre No Asegurada –Población Pobre no Asegurada.</w:t>
      </w:r>
    </w:p>
    <w:p w14:paraId="3A2A739A" w14:textId="77777777" w:rsidR="00321689" w:rsidRPr="00087B7F" w:rsidRDefault="00321689" w:rsidP="00087B7F">
      <w:pPr>
        <w:ind w:left="567"/>
        <w:jc w:val="both"/>
        <w:rPr>
          <w:rFonts w:ascii="Verdana" w:hAnsi="Verdana" w:cs="Arial"/>
          <w:bCs/>
          <w:i/>
          <w:sz w:val="18"/>
          <w:szCs w:val="18"/>
        </w:rPr>
      </w:pPr>
    </w:p>
    <w:p w14:paraId="09A1BC22" w14:textId="77777777" w:rsidR="00321689" w:rsidRPr="00087B7F" w:rsidRDefault="00321689" w:rsidP="00087B7F">
      <w:pPr>
        <w:ind w:left="567"/>
        <w:jc w:val="both"/>
        <w:rPr>
          <w:rFonts w:ascii="Verdana" w:hAnsi="Verdana" w:cs="Arial"/>
          <w:bCs/>
          <w:i/>
          <w:sz w:val="18"/>
          <w:szCs w:val="18"/>
        </w:rPr>
      </w:pPr>
      <w:r w:rsidRPr="00087B7F">
        <w:rPr>
          <w:rFonts w:ascii="Verdana" w:hAnsi="Verdana" w:cs="Arial"/>
          <w:bCs/>
          <w:i/>
          <w:sz w:val="18"/>
          <w:szCs w:val="18"/>
        </w:rPr>
        <w:sym w:font="Symbol" w:char="F0B7"/>
      </w:r>
      <w:r w:rsidRPr="00087B7F">
        <w:rPr>
          <w:rFonts w:ascii="Verdana" w:hAnsi="Verdana" w:cs="Arial"/>
          <w:bCs/>
          <w:i/>
          <w:sz w:val="18"/>
          <w:szCs w:val="18"/>
        </w:rPr>
        <w:t xml:space="preserve"> Lograr la satisfacción del usuario brindando mayor calidad y oportunidad en la atención a través del cumplimiento de las condiciones de habilitación de los diferentes Prestadores de Servicios de Salud del Departamento del Cesar, contemplado en el componente del Sistema Único de Habilitación del Sistema Obligatorio de Garantía de la Calidad (SOGC). </w:t>
      </w:r>
    </w:p>
    <w:p w14:paraId="1CBB0805" w14:textId="77777777" w:rsidR="00321689" w:rsidRPr="00087B7F" w:rsidRDefault="00321689" w:rsidP="00087B7F">
      <w:pPr>
        <w:ind w:left="567"/>
        <w:jc w:val="both"/>
        <w:rPr>
          <w:rFonts w:ascii="Verdana" w:hAnsi="Verdana" w:cs="Arial"/>
          <w:bCs/>
          <w:i/>
          <w:sz w:val="18"/>
          <w:szCs w:val="18"/>
        </w:rPr>
      </w:pPr>
    </w:p>
    <w:p w14:paraId="4E2F6CFA" w14:textId="77777777" w:rsidR="00321689" w:rsidRPr="00087B7F" w:rsidRDefault="00321689" w:rsidP="00087B7F">
      <w:pPr>
        <w:ind w:left="567"/>
        <w:jc w:val="both"/>
        <w:rPr>
          <w:rFonts w:ascii="Verdana" w:hAnsi="Verdana" w:cs="Arial"/>
          <w:bCs/>
          <w:i/>
          <w:sz w:val="18"/>
          <w:szCs w:val="18"/>
        </w:rPr>
      </w:pPr>
      <w:r w:rsidRPr="00087B7F">
        <w:rPr>
          <w:rFonts w:ascii="Verdana" w:hAnsi="Verdana" w:cs="Arial"/>
          <w:bCs/>
          <w:i/>
          <w:sz w:val="18"/>
          <w:szCs w:val="18"/>
        </w:rPr>
        <w:lastRenderedPageBreak/>
        <w:sym w:font="Symbol" w:char="F0B7"/>
      </w:r>
      <w:r w:rsidRPr="00087B7F">
        <w:rPr>
          <w:rFonts w:ascii="Verdana" w:hAnsi="Verdana" w:cs="Arial"/>
          <w:bCs/>
          <w:i/>
          <w:sz w:val="18"/>
          <w:szCs w:val="18"/>
        </w:rPr>
        <w:t xml:space="preserve"> Promover la gestión del riesgo de desastres como una práctica sistemática, con el fin de garantizar la protección de personas, colectividades, y el ambiente, para educar, prevenir, enfrentar y manejar situaciones de urgencias, de emergencia o desastres, así como aumentar la capacidad de resiliencia y recuperación de”</w:t>
      </w:r>
    </w:p>
    <w:p w14:paraId="0C747F67" w14:textId="77777777" w:rsidR="00321689" w:rsidRDefault="00321689" w:rsidP="00321689">
      <w:pPr>
        <w:jc w:val="both"/>
        <w:rPr>
          <w:rFonts w:ascii="Verdana" w:hAnsi="Verdana" w:cs="Arial"/>
          <w:sz w:val="21"/>
          <w:szCs w:val="21"/>
        </w:rPr>
      </w:pPr>
    </w:p>
    <w:p w14:paraId="6C4837F4" w14:textId="77777777" w:rsidR="00321689" w:rsidRDefault="006A04BF" w:rsidP="00321689">
      <w:pPr>
        <w:jc w:val="both"/>
        <w:rPr>
          <w:rFonts w:ascii="Verdana" w:hAnsi="Verdana" w:cs="Arial"/>
          <w:bCs/>
          <w:sz w:val="21"/>
          <w:szCs w:val="21"/>
        </w:rPr>
      </w:pPr>
      <w:r>
        <w:rPr>
          <w:rFonts w:ascii="Verdana" w:hAnsi="Verdana" w:cs="Arial"/>
          <w:bCs/>
          <w:sz w:val="21"/>
          <w:szCs w:val="21"/>
        </w:rPr>
        <w:t>Según el componente plurianual de inversión 2020 – 2023, p</w:t>
      </w:r>
      <w:r w:rsidR="00321689">
        <w:rPr>
          <w:rFonts w:ascii="Verdana" w:hAnsi="Verdana" w:cs="Arial"/>
          <w:bCs/>
          <w:sz w:val="21"/>
          <w:szCs w:val="21"/>
        </w:rPr>
        <w:t>ara adelantar los objetivos el plan territorial de salud</w:t>
      </w:r>
      <w:r>
        <w:rPr>
          <w:rFonts w:ascii="Verdana" w:hAnsi="Verdana" w:cs="Arial"/>
          <w:bCs/>
          <w:sz w:val="21"/>
          <w:szCs w:val="21"/>
        </w:rPr>
        <w:t>, se</w:t>
      </w:r>
      <w:r w:rsidR="00321689">
        <w:rPr>
          <w:rFonts w:ascii="Verdana" w:hAnsi="Verdana" w:cs="Arial"/>
          <w:bCs/>
          <w:sz w:val="21"/>
          <w:szCs w:val="21"/>
        </w:rPr>
        <w:t xml:space="preserve"> program</w:t>
      </w:r>
      <w:r>
        <w:rPr>
          <w:rFonts w:ascii="Verdana" w:hAnsi="Verdana" w:cs="Arial"/>
          <w:bCs/>
          <w:sz w:val="21"/>
          <w:szCs w:val="21"/>
        </w:rPr>
        <w:t>aron</w:t>
      </w:r>
      <w:r w:rsidR="00321689">
        <w:rPr>
          <w:rFonts w:ascii="Verdana" w:hAnsi="Verdana" w:cs="Arial"/>
          <w:bCs/>
          <w:sz w:val="21"/>
          <w:szCs w:val="21"/>
        </w:rPr>
        <w:t xml:space="preserve"> recursos por $258.645 millones</w:t>
      </w:r>
      <w:r>
        <w:rPr>
          <w:rFonts w:ascii="Verdana" w:hAnsi="Verdana" w:cs="Arial"/>
          <w:bCs/>
          <w:sz w:val="21"/>
          <w:szCs w:val="21"/>
        </w:rPr>
        <w:t>.</w:t>
      </w:r>
      <w:r w:rsidR="00321689">
        <w:rPr>
          <w:rFonts w:ascii="Verdana" w:hAnsi="Verdana" w:cs="Arial"/>
          <w:bCs/>
          <w:sz w:val="21"/>
          <w:szCs w:val="21"/>
        </w:rPr>
        <w:t xml:space="preserve"> </w:t>
      </w:r>
    </w:p>
    <w:p w14:paraId="29978BEB" w14:textId="77777777" w:rsidR="004F48F3" w:rsidRDefault="004F48F3" w:rsidP="00321689">
      <w:pPr>
        <w:jc w:val="both"/>
        <w:rPr>
          <w:rFonts w:ascii="Verdana" w:hAnsi="Verdana" w:cs="Arial"/>
          <w:sz w:val="21"/>
          <w:szCs w:val="21"/>
        </w:rPr>
      </w:pPr>
    </w:p>
    <w:p w14:paraId="35DF8F03" w14:textId="77777777" w:rsidR="00321689" w:rsidRPr="00321689" w:rsidRDefault="00321689" w:rsidP="00321689">
      <w:pPr>
        <w:pStyle w:val="Prrafodelista"/>
        <w:numPr>
          <w:ilvl w:val="0"/>
          <w:numId w:val="7"/>
        </w:numPr>
        <w:jc w:val="both"/>
        <w:rPr>
          <w:rFonts w:ascii="Verdana" w:eastAsia="Calibri" w:hAnsi="Verdana" w:cs="Arial"/>
          <w:b/>
          <w:sz w:val="21"/>
          <w:szCs w:val="21"/>
        </w:rPr>
      </w:pPr>
      <w:r w:rsidRPr="00321689">
        <w:rPr>
          <w:rFonts w:ascii="Verdana" w:eastAsia="Calibri" w:hAnsi="Verdana" w:cs="Arial"/>
          <w:b/>
          <w:sz w:val="21"/>
          <w:szCs w:val="21"/>
        </w:rPr>
        <w:t>Situación Fiscal y Financiera Departamental</w:t>
      </w:r>
      <w:r>
        <w:rPr>
          <w:rStyle w:val="Refdenotaalpie"/>
          <w:rFonts w:ascii="Verdana" w:eastAsia="Calibri" w:hAnsi="Verdana" w:cs="Arial"/>
          <w:b/>
          <w:sz w:val="21"/>
          <w:szCs w:val="21"/>
        </w:rPr>
        <w:footnoteReference w:id="1"/>
      </w:r>
      <w:r w:rsidRPr="00321689">
        <w:rPr>
          <w:rFonts w:ascii="Verdana" w:eastAsia="Calibri" w:hAnsi="Verdana" w:cs="Arial"/>
          <w:b/>
          <w:sz w:val="21"/>
          <w:szCs w:val="21"/>
        </w:rPr>
        <w:t>.</w:t>
      </w:r>
    </w:p>
    <w:p w14:paraId="5C7E3B5B" w14:textId="77777777" w:rsidR="00321689" w:rsidRDefault="00321689" w:rsidP="00321689">
      <w:pPr>
        <w:jc w:val="both"/>
        <w:rPr>
          <w:rFonts w:ascii="Verdana" w:eastAsiaTheme="minorHAnsi" w:hAnsi="Verdana" w:cs="Arial"/>
          <w:sz w:val="21"/>
          <w:szCs w:val="21"/>
        </w:rPr>
      </w:pPr>
    </w:p>
    <w:p w14:paraId="71B80705" w14:textId="77777777" w:rsidR="00321689" w:rsidRDefault="00321689" w:rsidP="00321689">
      <w:pPr>
        <w:jc w:val="both"/>
        <w:rPr>
          <w:rFonts w:ascii="Verdana" w:hAnsi="Verdana" w:cs="Arial"/>
          <w:bCs/>
          <w:i/>
          <w:sz w:val="21"/>
          <w:szCs w:val="21"/>
        </w:rPr>
      </w:pPr>
      <w:r>
        <w:rPr>
          <w:rFonts w:ascii="Verdana" w:hAnsi="Verdana" w:cs="Arial"/>
          <w:bCs/>
          <w:sz w:val="21"/>
          <w:szCs w:val="21"/>
        </w:rPr>
        <w:t>El Departamento del Cesar en la vigencia 2022, según el informe de viabilidad fiscal elaborado por la Dirección General de Apoyo Fiscal, mostró lo siguiente</w:t>
      </w:r>
      <w:r>
        <w:rPr>
          <w:rFonts w:ascii="Verdana" w:hAnsi="Verdana" w:cs="Arial"/>
          <w:bCs/>
          <w:i/>
          <w:sz w:val="21"/>
          <w:szCs w:val="21"/>
        </w:rPr>
        <w:t>:</w:t>
      </w:r>
    </w:p>
    <w:p w14:paraId="3BF23969" w14:textId="77777777" w:rsidR="00321689" w:rsidRPr="00087B7F" w:rsidRDefault="00321689" w:rsidP="00321689">
      <w:pPr>
        <w:jc w:val="both"/>
        <w:rPr>
          <w:rFonts w:ascii="Verdana" w:hAnsi="Verdana" w:cs="Arial"/>
          <w:bCs/>
          <w:i/>
          <w:sz w:val="18"/>
          <w:szCs w:val="18"/>
        </w:rPr>
      </w:pPr>
    </w:p>
    <w:p w14:paraId="56914EE1" w14:textId="77777777" w:rsidR="00321689" w:rsidRPr="00087B7F" w:rsidRDefault="00321689" w:rsidP="00514804">
      <w:pPr>
        <w:pStyle w:val="tex"/>
        <w:spacing w:line="240" w:lineRule="auto"/>
        <w:ind w:left="567" w:firstLine="0"/>
        <w:rPr>
          <w:rFonts w:ascii="Verdana" w:hAnsi="Verdana"/>
          <w:i/>
          <w:color w:val="auto"/>
          <w:sz w:val="18"/>
          <w:szCs w:val="18"/>
        </w:rPr>
      </w:pPr>
      <w:r w:rsidRPr="00087B7F">
        <w:rPr>
          <w:rFonts w:ascii="Verdana" w:eastAsiaTheme="minorHAnsi" w:hAnsi="Verdana"/>
          <w:bCs w:val="0"/>
          <w:i/>
          <w:color w:val="auto"/>
          <w:sz w:val="18"/>
          <w:szCs w:val="18"/>
          <w:lang w:eastAsia="en-US"/>
        </w:rPr>
        <w:t xml:space="preserve">“[…]  </w:t>
      </w:r>
      <w:r w:rsidRPr="00087B7F">
        <w:rPr>
          <w:rFonts w:ascii="Verdana" w:hAnsi="Verdana"/>
          <w:i/>
          <w:color w:val="auto"/>
          <w:sz w:val="18"/>
          <w:szCs w:val="18"/>
        </w:rPr>
        <w:t xml:space="preserve">Al cierre de la vigencia 2022, el Departamento recaudó, en términos reales menores ingresos diferentes al SGR en comparación con la vigencia 2021. Este comportamiento se explica principalmente por la fuerte caída en términos reales que tuvieron las transferencias corrientes. </w:t>
      </w:r>
    </w:p>
    <w:p w14:paraId="1F8BF07F" w14:textId="77777777" w:rsidR="00087B7F" w:rsidRPr="00087B7F" w:rsidRDefault="00087B7F" w:rsidP="00514804">
      <w:pPr>
        <w:pStyle w:val="tex"/>
        <w:spacing w:line="240" w:lineRule="auto"/>
        <w:ind w:left="567" w:firstLine="0"/>
        <w:rPr>
          <w:rFonts w:ascii="Verdana" w:hAnsi="Verdana"/>
          <w:i/>
          <w:color w:val="auto"/>
          <w:sz w:val="18"/>
          <w:szCs w:val="18"/>
        </w:rPr>
      </w:pPr>
    </w:p>
    <w:p w14:paraId="5695FB0C" w14:textId="77777777" w:rsidR="00321689" w:rsidRPr="00087B7F" w:rsidRDefault="00321689" w:rsidP="00514804">
      <w:pPr>
        <w:pStyle w:val="tex"/>
        <w:spacing w:line="240" w:lineRule="auto"/>
        <w:ind w:left="567" w:firstLine="0"/>
        <w:rPr>
          <w:rFonts w:ascii="Verdana" w:hAnsi="Verdana"/>
          <w:i/>
          <w:color w:val="auto"/>
          <w:sz w:val="18"/>
          <w:szCs w:val="18"/>
        </w:rPr>
      </w:pPr>
      <w:r w:rsidRPr="00087B7F">
        <w:rPr>
          <w:rFonts w:ascii="Verdana" w:hAnsi="Verdana"/>
          <w:i/>
          <w:color w:val="auto"/>
          <w:sz w:val="18"/>
          <w:szCs w:val="18"/>
        </w:rPr>
        <w:t>Así mismo, el Departamento estableció compromisos de gasto con recursos distintos al SGR que representaron un aumento del 46% en términos reales respecto al cierre del año 2021. Este comportamiento en los compromisos de la entidad está impulsado principalmente por el incremento en gastos de inversión respecto al año anterior.</w:t>
      </w:r>
    </w:p>
    <w:p w14:paraId="52CCDD11" w14:textId="77777777" w:rsidR="00087B7F" w:rsidRPr="00087B7F" w:rsidRDefault="00087B7F" w:rsidP="00514804">
      <w:pPr>
        <w:pStyle w:val="tex"/>
        <w:spacing w:line="240" w:lineRule="auto"/>
        <w:ind w:left="567" w:firstLine="0"/>
        <w:rPr>
          <w:rFonts w:ascii="Verdana" w:hAnsi="Verdana"/>
          <w:i/>
          <w:color w:val="auto"/>
          <w:sz w:val="18"/>
          <w:szCs w:val="18"/>
        </w:rPr>
      </w:pPr>
    </w:p>
    <w:p w14:paraId="1849A99F" w14:textId="77777777" w:rsidR="00321689" w:rsidRPr="00087B7F" w:rsidRDefault="00321689" w:rsidP="00514804">
      <w:pPr>
        <w:pStyle w:val="tex"/>
        <w:spacing w:line="240" w:lineRule="auto"/>
        <w:ind w:left="567" w:firstLine="0"/>
        <w:rPr>
          <w:rFonts w:ascii="Verdana" w:hAnsi="Verdana"/>
          <w:bCs w:val="0"/>
          <w:i/>
          <w:color w:val="auto"/>
          <w:sz w:val="18"/>
          <w:szCs w:val="18"/>
        </w:rPr>
      </w:pPr>
      <w:r w:rsidRPr="00087B7F">
        <w:rPr>
          <w:rFonts w:ascii="Verdana" w:hAnsi="Verdana"/>
          <w:i/>
          <w:color w:val="auto"/>
          <w:sz w:val="18"/>
          <w:szCs w:val="18"/>
        </w:rPr>
        <w:t>Los recaudos efectivos de la vigencia 2022 fueron inferiores a los compromisos de gasto, por lo cual se termina configurando un cierre presupuestal de la vigencia deficitario que de acuerdo con la entidad territorial corresponde a la modalidad de contratación utilizada para la ejecución de algunos de los proyectos del Pacto Funcional Cesar - Guajira</w:t>
      </w:r>
      <w:r w:rsidRPr="00087B7F">
        <w:rPr>
          <w:rFonts w:ascii="Verdana" w:hAnsi="Verdana"/>
          <w:bCs w:val="0"/>
          <w:i/>
          <w:color w:val="auto"/>
          <w:sz w:val="18"/>
          <w:szCs w:val="18"/>
        </w:rPr>
        <w:t>.</w:t>
      </w:r>
    </w:p>
    <w:p w14:paraId="5CFD076F" w14:textId="77777777" w:rsidR="00087B7F" w:rsidRPr="00087B7F" w:rsidRDefault="00087B7F" w:rsidP="00514804">
      <w:pPr>
        <w:pStyle w:val="tex"/>
        <w:spacing w:line="240" w:lineRule="auto"/>
        <w:ind w:left="567" w:firstLine="0"/>
        <w:rPr>
          <w:rFonts w:ascii="Verdana" w:hAnsi="Verdana"/>
          <w:bCs w:val="0"/>
          <w:i/>
          <w:color w:val="auto"/>
          <w:sz w:val="18"/>
          <w:szCs w:val="18"/>
        </w:rPr>
      </w:pPr>
    </w:p>
    <w:p w14:paraId="721322E2" w14:textId="77777777" w:rsidR="00321689" w:rsidRPr="00087B7F" w:rsidRDefault="00321689" w:rsidP="00514804">
      <w:pPr>
        <w:pStyle w:val="tex"/>
        <w:spacing w:line="240" w:lineRule="auto"/>
        <w:ind w:left="567" w:firstLine="0"/>
        <w:rPr>
          <w:rFonts w:ascii="Verdana" w:hAnsi="Verdana"/>
          <w:i/>
          <w:color w:val="auto"/>
          <w:sz w:val="18"/>
          <w:szCs w:val="18"/>
        </w:rPr>
      </w:pPr>
      <w:r w:rsidRPr="00087B7F">
        <w:rPr>
          <w:rFonts w:ascii="Verdana" w:hAnsi="Verdana"/>
          <w:i/>
          <w:color w:val="auto"/>
          <w:sz w:val="18"/>
          <w:szCs w:val="18"/>
        </w:rPr>
        <w:t xml:space="preserve">Frente a las normas de responsabilidad fiscal, el Departamento no sobrepasó los límites de los gastos de funcionamiento ejecutados en el nivel central y por la Contraloría. Sin embargo, no ocurrió lo mismo en el caso de la transferencia realizada a la Asamblea, al sobrepasar el límite establecido para los gastos diferentes a la remuneración de los diputados. </w:t>
      </w:r>
    </w:p>
    <w:p w14:paraId="632E3814" w14:textId="77777777" w:rsidR="00087B7F" w:rsidRPr="00087B7F" w:rsidRDefault="00087B7F" w:rsidP="00514804">
      <w:pPr>
        <w:pStyle w:val="tex"/>
        <w:spacing w:line="240" w:lineRule="auto"/>
        <w:ind w:left="567" w:firstLine="0"/>
        <w:rPr>
          <w:rFonts w:ascii="Verdana" w:hAnsi="Verdana"/>
          <w:i/>
          <w:color w:val="auto"/>
          <w:sz w:val="18"/>
          <w:szCs w:val="18"/>
        </w:rPr>
      </w:pPr>
    </w:p>
    <w:p w14:paraId="7F2A3A64" w14:textId="77777777" w:rsidR="00321689" w:rsidRPr="00087B7F" w:rsidRDefault="00321689" w:rsidP="00514804">
      <w:pPr>
        <w:pStyle w:val="tex"/>
        <w:spacing w:line="240" w:lineRule="auto"/>
        <w:ind w:left="567" w:firstLine="0"/>
        <w:rPr>
          <w:rFonts w:ascii="Verdana" w:hAnsi="Verdana"/>
          <w:i/>
          <w:color w:val="auto"/>
          <w:sz w:val="18"/>
          <w:szCs w:val="18"/>
        </w:rPr>
      </w:pPr>
      <w:r w:rsidRPr="00087B7F">
        <w:rPr>
          <w:rFonts w:ascii="Verdana" w:hAnsi="Verdana"/>
          <w:i/>
          <w:color w:val="auto"/>
          <w:sz w:val="18"/>
          <w:szCs w:val="18"/>
        </w:rPr>
        <w:t>La entidad territorial atendió de manera oportuna el servicio de la deuda y redujo su endeudamiento neto, a pesar de haber recibido desembolsos en la vigencia 2022. La Gobernación debe verificar la información que viene reportando en el CHIP, en las categorías relacionadas con el SGR y la Deuda Pública, ya que no relaciona el servicio de la deuda ni los créditos financiados con el SGR y solo reporta lo financiado con otros recursos.</w:t>
      </w:r>
      <w:r w:rsidRPr="00087B7F">
        <w:rPr>
          <w:rFonts w:ascii="Verdana" w:hAnsi="Verdana"/>
          <w:bCs w:val="0"/>
          <w:i/>
          <w:color w:val="auto"/>
          <w:sz w:val="18"/>
          <w:szCs w:val="18"/>
        </w:rPr>
        <w:t>”</w:t>
      </w:r>
    </w:p>
    <w:p w14:paraId="120F1A72" w14:textId="77777777" w:rsidR="00321689" w:rsidRPr="006A04BF" w:rsidRDefault="00321689" w:rsidP="00321689">
      <w:pPr>
        <w:jc w:val="both"/>
        <w:rPr>
          <w:rFonts w:ascii="Verdana" w:hAnsi="Verdana" w:cs="Arial"/>
          <w:bCs/>
          <w:sz w:val="21"/>
          <w:szCs w:val="21"/>
        </w:rPr>
      </w:pPr>
    </w:p>
    <w:p w14:paraId="687654AA" w14:textId="77777777" w:rsidR="00321689" w:rsidRDefault="00321689" w:rsidP="003216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Verdana" w:hAnsi="Verdana" w:cs="Arial"/>
          <w:sz w:val="21"/>
          <w:szCs w:val="21"/>
        </w:rPr>
      </w:pPr>
      <w:r>
        <w:rPr>
          <w:rFonts w:ascii="Verdana" w:hAnsi="Verdana" w:cs="Arial"/>
          <w:sz w:val="21"/>
          <w:szCs w:val="21"/>
        </w:rPr>
        <w:t>De acuerdo con el Ranking de Desempeño Fiscal por categorías presupuestales que desarrolla la Dirección de Descentralización y Desarrollo Regional del Departamento Nacional de Planeación - DNP para la vigencia 2021 el Departamento del Cesar ocupó el puesto 2 de la Categoría Segunda, como resultado de un Indicador de Desempeño Fiscal de 68,38.</w:t>
      </w:r>
    </w:p>
    <w:p w14:paraId="1E9AE204" w14:textId="77777777" w:rsidR="00321689" w:rsidRDefault="00321689" w:rsidP="003216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Verdana" w:hAnsi="Verdana" w:cs="Arial"/>
          <w:sz w:val="21"/>
          <w:szCs w:val="21"/>
        </w:rPr>
      </w:pPr>
    </w:p>
    <w:p w14:paraId="36DD6847" w14:textId="77777777" w:rsidR="00321689" w:rsidRPr="00321689" w:rsidRDefault="00321689" w:rsidP="00321689">
      <w:pPr>
        <w:pStyle w:val="Prrafodelista"/>
        <w:numPr>
          <w:ilvl w:val="0"/>
          <w:numId w:val="8"/>
        </w:numPr>
        <w:jc w:val="both"/>
        <w:rPr>
          <w:rFonts w:ascii="Verdana" w:eastAsia="Calibri" w:hAnsi="Verdana" w:cs="Arial"/>
          <w:b/>
          <w:sz w:val="21"/>
          <w:szCs w:val="21"/>
        </w:rPr>
      </w:pPr>
      <w:r w:rsidRPr="00321689">
        <w:rPr>
          <w:rFonts w:ascii="Verdana" w:eastAsia="Calibri" w:hAnsi="Verdana" w:cs="Arial"/>
          <w:b/>
          <w:sz w:val="21"/>
          <w:szCs w:val="21"/>
        </w:rPr>
        <w:t>Saneamiento Financiero del Sector Salud en las entidades territoriales. Punto Final - artículo 238 de la Ley 1955 de 2019.</w:t>
      </w:r>
    </w:p>
    <w:p w14:paraId="66F647CE" w14:textId="77777777" w:rsidR="00321689" w:rsidRDefault="00321689" w:rsidP="00321689">
      <w:pPr>
        <w:jc w:val="both"/>
        <w:rPr>
          <w:rFonts w:ascii="Verdana" w:eastAsiaTheme="minorHAnsi" w:hAnsi="Verdana" w:cs="Arial"/>
          <w:sz w:val="21"/>
          <w:szCs w:val="21"/>
        </w:rPr>
      </w:pPr>
    </w:p>
    <w:p w14:paraId="112D85C7" w14:textId="77777777" w:rsidR="00321689" w:rsidRDefault="00321689" w:rsidP="00321689">
      <w:pPr>
        <w:jc w:val="both"/>
        <w:rPr>
          <w:rFonts w:ascii="Verdana" w:hAnsi="Verdana" w:cs="Arial"/>
          <w:sz w:val="21"/>
          <w:szCs w:val="21"/>
        </w:rPr>
      </w:pPr>
      <w:r>
        <w:rPr>
          <w:rFonts w:ascii="Verdana" w:hAnsi="Verdana" w:cs="Arial"/>
          <w:sz w:val="21"/>
          <w:szCs w:val="21"/>
        </w:rPr>
        <w:lastRenderedPageBreak/>
        <w:t>El artículo 238 de la Ley 1955 de 2019 modificado por el artículo 21 de Decreto 538 de 2020, estableció las reglas y procedimientos que deberán atender las entidades territoriales para llevar a cabo el saneamiento financiero del Sector Salud por concepto de servicios y tecnologías en salud no financiadas con cargo a la Unidad de Pago por Capitación - UPC del Régimen Subsidiado, prestados hasta el 31 de diciembre de 2019 y dispuso las fuentes territoriales habilitadas para el pago de dicho concepto, definiendo la posibilidad de la cofinanciación por parte de la Nación, previo cumplimiento de las condiciones establecidas en los literales a), b) y c) del citado artículo.</w:t>
      </w:r>
    </w:p>
    <w:p w14:paraId="1A71D1E7" w14:textId="77777777" w:rsidR="00321689" w:rsidRDefault="00321689" w:rsidP="00321689">
      <w:pPr>
        <w:jc w:val="both"/>
        <w:rPr>
          <w:rFonts w:ascii="Verdana" w:hAnsi="Verdana" w:cs="Arial"/>
          <w:sz w:val="21"/>
          <w:szCs w:val="21"/>
        </w:rPr>
      </w:pPr>
    </w:p>
    <w:p w14:paraId="1B8E3DA6" w14:textId="77777777" w:rsidR="00321689" w:rsidRDefault="00321689" w:rsidP="00321689">
      <w:pPr>
        <w:jc w:val="both"/>
        <w:rPr>
          <w:rFonts w:ascii="Verdana" w:hAnsi="Verdana" w:cs="Arial"/>
          <w:sz w:val="21"/>
          <w:szCs w:val="21"/>
        </w:rPr>
      </w:pPr>
      <w:r>
        <w:rPr>
          <w:rFonts w:ascii="Verdana" w:hAnsi="Verdana" w:cs="Arial"/>
          <w:sz w:val="21"/>
          <w:szCs w:val="21"/>
        </w:rPr>
        <w:t>Para efectos de la cofinanciación por parte de la Nación, el literal a) del artículo 238 de la Ley 1955 de 2019, determinó que el Ministerio de Hacienda y Crédito Público con el apoyo del Ministerio de Salud y Protección Social y del Departamento Nacional de Planeación, evaluaría el esfuerzo fiscal de las entidades territoriales para el pago de estos pasivos y definiría el monto a financiar premiando a aquellas que hayan realizado mayores esfuerzos.</w:t>
      </w:r>
    </w:p>
    <w:p w14:paraId="3ADFBBA8" w14:textId="77777777" w:rsidR="00321689" w:rsidRDefault="00321689" w:rsidP="00321689">
      <w:pPr>
        <w:jc w:val="both"/>
        <w:rPr>
          <w:rFonts w:ascii="Verdana" w:hAnsi="Verdana" w:cs="Arial"/>
          <w:sz w:val="21"/>
          <w:szCs w:val="21"/>
        </w:rPr>
      </w:pPr>
    </w:p>
    <w:p w14:paraId="342EF845" w14:textId="77777777" w:rsidR="00321689" w:rsidRDefault="00321689" w:rsidP="00321689">
      <w:pPr>
        <w:jc w:val="both"/>
        <w:rPr>
          <w:rFonts w:ascii="Verdana" w:hAnsi="Verdana" w:cs="Arial"/>
          <w:sz w:val="21"/>
          <w:szCs w:val="21"/>
        </w:rPr>
      </w:pPr>
      <w:r>
        <w:rPr>
          <w:rFonts w:ascii="Verdana" w:hAnsi="Verdana" w:cs="Arial"/>
          <w:sz w:val="21"/>
          <w:szCs w:val="21"/>
        </w:rPr>
        <w:t>En el marco de lo anterior, el Gobierno Nacional a través del Decreto 2154 de 28 de noviembre de 2019 modificado por el Decreto 209 de 2022, estableció los términos y condiciones para la evaluación del esfuerzo fiscal de las entidades territoriales, a fin de determinar el monto de la cofinanciación de la Nación y reglas para el giro, cuyo artículo 3º prescribe que le correspondía a las entidades territoriales remitir a los Ministerios de Hacienda y Crédito Público y Salud y Protección Social las certificaciones en los formatos definidos por este último, las cuales debían estar suscritas por el representante legal de la entidad territorial.</w:t>
      </w:r>
    </w:p>
    <w:p w14:paraId="08F7398C" w14:textId="77777777" w:rsidR="00321689" w:rsidRDefault="00321689" w:rsidP="00321689">
      <w:pPr>
        <w:jc w:val="both"/>
        <w:rPr>
          <w:rFonts w:ascii="Verdana" w:hAnsi="Verdana" w:cs="Arial"/>
          <w:sz w:val="21"/>
          <w:szCs w:val="21"/>
        </w:rPr>
      </w:pPr>
    </w:p>
    <w:p w14:paraId="0F677878" w14:textId="77777777" w:rsidR="00321689" w:rsidRDefault="00321689" w:rsidP="00321689">
      <w:pPr>
        <w:jc w:val="both"/>
        <w:rPr>
          <w:rFonts w:ascii="Verdana" w:hAnsi="Verdana" w:cs="Arial"/>
          <w:sz w:val="21"/>
          <w:szCs w:val="21"/>
        </w:rPr>
      </w:pPr>
      <w:r>
        <w:rPr>
          <w:rFonts w:ascii="Verdana" w:hAnsi="Verdana" w:cs="Arial"/>
          <w:sz w:val="21"/>
          <w:szCs w:val="21"/>
        </w:rPr>
        <w:t xml:space="preserve">El artículo 9º </w:t>
      </w:r>
      <w:r>
        <w:rPr>
          <w:rFonts w:ascii="Verdana" w:hAnsi="Verdana" w:cs="Arial"/>
          <w:i/>
          <w:iCs/>
          <w:sz w:val="21"/>
          <w:szCs w:val="21"/>
        </w:rPr>
        <w:t>ibidem</w:t>
      </w:r>
      <w:r>
        <w:rPr>
          <w:rFonts w:ascii="Verdana" w:hAnsi="Verdana" w:cs="Arial"/>
          <w:sz w:val="21"/>
          <w:szCs w:val="21"/>
        </w:rPr>
        <w:t xml:space="preserve"> establece que la Dirección General de Apoyo Fiscal de acuerdo con el resultado de la aplicación de la fórmula del esfuerzo fiscal, determinaría el valor a cofinanciar por parte de la Nación para el pago de las deudas por concepto de servicios y tecnologías en salud no financiadas con cargo a la UPC del Régimen Subsidiado, prestados hasta el 31 de diciembre de 2019.</w:t>
      </w:r>
    </w:p>
    <w:p w14:paraId="0F854773" w14:textId="77777777" w:rsidR="00321689" w:rsidRDefault="00321689" w:rsidP="00321689">
      <w:pPr>
        <w:jc w:val="both"/>
        <w:rPr>
          <w:rFonts w:ascii="Verdana" w:hAnsi="Verdana" w:cs="Arial"/>
          <w:sz w:val="21"/>
          <w:szCs w:val="21"/>
        </w:rPr>
      </w:pPr>
    </w:p>
    <w:p w14:paraId="0712AE91" w14:textId="77777777" w:rsidR="00321689" w:rsidRDefault="00321689" w:rsidP="00321689">
      <w:pPr>
        <w:jc w:val="both"/>
        <w:rPr>
          <w:rFonts w:ascii="Verdana" w:hAnsi="Verdana" w:cs="Arial"/>
          <w:sz w:val="21"/>
          <w:szCs w:val="21"/>
        </w:rPr>
      </w:pPr>
      <w:r>
        <w:rPr>
          <w:rFonts w:ascii="Verdana" w:hAnsi="Verdana" w:cs="Arial"/>
          <w:sz w:val="21"/>
          <w:szCs w:val="21"/>
        </w:rPr>
        <w:t>En virtud de lo anterior, el Departamento envió para la Fase I, las certificaciones a que hace referencia el artículo 3º del Decreto 2154 de 28 de noviembre de 2019 modificado por el Decreto 209 de 2022, cuyo resultado en relación con la evaluación del esfuerzo fiscal y la determinación del monto a cofinanciar por parte de la Nación, se indica a continuación:</w:t>
      </w:r>
    </w:p>
    <w:p w14:paraId="72BFB575" w14:textId="77777777" w:rsidR="00AE40AC" w:rsidRDefault="00AE40AC" w:rsidP="00321689">
      <w:pPr>
        <w:jc w:val="both"/>
        <w:rPr>
          <w:rFonts w:ascii="Verdana" w:hAnsi="Verdana" w:cs="Arial"/>
          <w:sz w:val="21"/>
          <w:szCs w:val="21"/>
        </w:rPr>
      </w:pPr>
    </w:p>
    <w:p w14:paraId="3FA13FF7" w14:textId="77777777" w:rsidR="00321689" w:rsidRDefault="00321689" w:rsidP="00321689">
      <w:pPr>
        <w:jc w:val="center"/>
        <w:rPr>
          <w:rFonts w:ascii="Verdana" w:hAnsi="Verdana" w:cs="Arial"/>
          <w:b/>
          <w:bCs/>
          <w:sz w:val="18"/>
          <w:szCs w:val="18"/>
        </w:rPr>
      </w:pPr>
    </w:p>
    <w:p w14:paraId="281FC751" w14:textId="77777777" w:rsidR="00D35EDA" w:rsidRDefault="00D35EDA" w:rsidP="00321689">
      <w:pPr>
        <w:autoSpaceDE w:val="0"/>
        <w:autoSpaceDN w:val="0"/>
        <w:adjustRightInd w:val="0"/>
        <w:jc w:val="center"/>
        <w:rPr>
          <w:rFonts w:ascii="Verdana" w:eastAsia="ヒラギノ角ゴ Pro W3" w:hAnsi="Verdana" w:cs="Arial"/>
          <w:b/>
          <w:color w:val="B48C41"/>
          <w:sz w:val="18"/>
          <w:szCs w:val="18"/>
        </w:rPr>
      </w:pPr>
    </w:p>
    <w:p w14:paraId="662E2712"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Tabla No. 3</w:t>
      </w:r>
    </w:p>
    <w:p w14:paraId="139DC3AB" w14:textId="77777777" w:rsidR="00321689" w:rsidRDefault="00321689" w:rsidP="00321689">
      <w:pPr>
        <w:rPr>
          <w:rFonts w:ascii="Verdana" w:eastAsiaTheme="minorHAnsi" w:hAnsi="Verdana" w:cs="Arial"/>
          <w:sz w:val="16"/>
          <w:szCs w:val="16"/>
        </w:rPr>
      </w:pPr>
      <w:r>
        <w:rPr>
          <w:rFonts w:ascii="Verdana" w:hAnsi="Verdana"/>
          <w:noProof/>
          <w:lang w:val="es-CO" w:eastAsia="es-CO"/>
        </w:rPr>
        <w:lastRenderedPageBreak/>
        <w:drawing>
          <wp:inline distT="0" distB="0" distL="0" distR="0" wp14:anchorId="3DB68CB5" wp14:editId="1F40D765">
            <wp:extent cx="5549900" cy="22542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9900" cy="2254250"/>
                    </a:xfrm>
                    <a:prstGeom prst="rect">
                      <a:avLst/>
                    </a:prstGeom>
                    <a:noFill/>
                    <a:ln>
                      <a:noFill/>
                    </a:ln>
                  </pic:spPr>
                </pic:pic>
              </a:graphicData>
            </a:graphic>
          </wp:inline>
        </w:drawing>
      </w:r>
    </w:p>
    <w:p w14:paraId="266840B4" w14:textId="77777777" w:rsidR="00321689" w:rsidRDefault="00321689" w:rsidP="00321689">
      <w:pPr>
        <w:rPr>
          <w:rFonts w:ascii="Verdana" w:hAnsi="Verdana" w:cs="Arial"/>
          <w:sz w:val="16"/>
          <w:szCs w:val="16"/>
        </w:rPr>
      </w:pPr>
      <w:r>
        <w:rPr>
          <w:rFonts w:ascii="Verdana" w:hAnsi="Verdana" w:cs="Arial"/>
          <w:sz w:val="16"/>
          <w:szCs w:val="16"/>
        </w:rPr>
        <w:t>Fuente: DAF- informe de ley de punto final.</w:t>
      </w:r>
    </w:p>
    <w:p w14:paraId="0886FB1B" w14:textId="77777777" w:rsidR="00AE40AC" w:rsidRDefault="00AE40AC" w:rsidP="00321689">
      <w:pPr>
        <w:jc w:val="both"/>
        <w:rPr>
          <w:rFonts w:ascii="Verdana" w:hAnsi="Verdana" w:cs="Arial"/>
          <w:sz w:val="21"/>
          <w:szCs w:val="21"/>
        </w:rPr>
      </w:pPr>
    </w:p>
    <w:p w14:paraId="3D5BF9C0" w14:textId="77777777" w:rsidR="00321689" w:rsidRDefault="00321689" w:rsidP="00321689">
      <w:pPr>
        <w:jc w:val="both"/>
        <w:rPr>
          <w:rFonts w:ascii="Verdana" w:hAnsi="Verdana" w:cs="Arial"/>
          <w:sz w:val="21"/>
          <w:szCs w:val="21"/>
        </w:rPr>
      </w:pPr>
      <w:r>
        <w:rPr>
          <w:rFonts w:ascii="Verdana" w:hAnsi="Verdana" w:cs="Arial"/>
          <w:sz w:val="21"/>
          <w:szCs w:val="21"/>
        </w:rPr>
        <w:t>De acuerdo con lo anterior, el departamento del Cesar registró una sola fase y recibió recursos de la Nación por $11.723 millones de cofinanciación para el saneamiento de la deuda reportada, con fuentes propias aportó $14.134 millones con lo que saneo un total de $25.857 millones.</w:t>
      </w:r>
    </w:p>
    <w:p w14:paraId="0C890468" w14:textId="77777777" w:rsidR="00321689" w:rsidRDefault="00321689" w:rsidP="00321689">
      <w:pPr>
        <w:rPr>
          <w:rFonts w:ascii="Verdana" w:hAnsi="Verdana" w:cs="Arial"/>
          <w:sz w:val="22"/>
          <w:szCs w:val="22"/>
        </w:rPr>
      </w:pPr>
    </w:p>
    <w:p w14:paraId="7F7AD275" w14:textId="77777777" w:rsidR="00321689" w:rsidRPr="00AE40AC" w:rsidRDefault="00321689" w:rsidP="00321689">
      <w:pPr>
        <w:pStyle w:val="Ttulo1"/>
        <w:numPr>
          <w:ilvl w:val="0"/>
          <w:numId w:val="1"/>
        </w:numPr>
        <w:spacing w:before="0"/>
        <w:jc w:val="both"/>
        <w:rPr>
          <w:rFonts w:ascii="Verdana" w:hAnsi="Verdana" w:cs="Arial"/>
          <w:b/>
          <w:color w:val="auto"/>
          <w:sz w:val="21"/>
          <w:szCs w:val="21"/>
        </w:rPr>
      </w:pPr>
      <w:r w:rsidRPr="00AE40AC">
        <w:rPr>
          <w:rFonts w:ascii="Verdana" w:hAnsi="Verdana" w:cs="Arial"/>
          <w:b/>
          <w:color w:val="auto"/>
          <w:sz w:val="21"/>
          <w:szCs w:val="21"/>
        </w:rPr>
        <w:t>ANÁLISIS FINANCIERO Y SECTORIAL</w:t>
      </w:r>
    </w:p>
    <w:p w14:paraId="25E8DA0D" w14:textId="77777777" w:rsidR="00321689" w:rsidRPr="00AE40AC" w:rsidRDefault="00321689" w:rsidP="00321689">
      <w:pPr>
        <w:rPr>
          <w:rFonts w:ascii="Verdana" w:hAnsi="Verdana" w:cs="Arial"/>
          <w:sz w:val="21"/>
          <w:szCs w:val="21"/>
        </w:rPr>
      </w:pPr>
    </w:p>
    <w:p w14:paraId="7101EED3" w14:textId="77777777" w:rsidR="00321689" w:rsidRPr="00AE40AC" w:rsidRDefault="00321689" w:rsidP="00321689">
      <w:pPr>
        <w:pStyle w:val="Prrafodelista"/>
        <w:numPr>
          <w:ilvl w:val="0"/>
          <w:numId w:val="11"/>
        </w:numPr>
        <w:rPr>
          <w:rFonts w:ascii="Verdana" w:hAnsi="Verdana" w:cs="Arial"/>
          <w:b/>
          <w:sz w:val="21"/>
          <w:szCs w:val="21"/>
        </w:rPr>
      </w:pPr>
      <w:r w:rsidRPr="00AE40AC">
        <w:rPr>
          <w:rFonts w:ascii="Verdana" w:hAnsi="Verdana" w:cs="Arial"/>
          <w:b/>
          <w:sz w:val="21"/>
          <w:szCs w:val="21"/>
        </w:rPr>
        <w:t>Análisis financiero.</w:t>
      </w:r>
    </w:p>
    <w:p w14:paraId="72340724" w14:textId="77777777" w:rsidR="00321689" w:rsidRPr="00AE40AC" w:rsidRDefault="00321689" w:rsidP="00321689">
      <w:pPr>
        <w:rPr>
          <w:rFonts w:ascii="Verdana" w:hAnsi="Verdana" w:cs="Arial"/>
          <w:sz w:val="21"/>
          <w:szCs w:val="21"/>
        </w:rPr>
      </w:pPr>
    </w:p>
    <w:p w14:paraId="5102DEE5" w14:textId="77777777" w:rsidR="00321689" w:rsidRPr="00AE40AC" w:rsidRDefault="00321689" w:rsidP="00321689">
      <w:pPr>
        <w:jc w:val="both"/>
        <w:rPr>
          <w:rFonts w:ascii="Verdana" w:hAnsi="Verdana" w:cs="Arial"/>
          <w:b/>
          <w:sz w:val="21"/>
          <w:szCs w:val="21"/>
        </w:rPr>
      </w:pPr>
      <w:r w:rsidRPr="00AE40AC">
        <w:rPr>
          <w:rFonts w:ascii="Verdana" w:hAnsi="Verdana" w:cs="Arial"/>
          <w:b/>
          <w:sz w:val="21"/>
          <w:szCs w:val="21"/>
        </w:rPr>
        <w:t>Fondo Local de Salud – FLS.</w:t>
      </w:r>
    </w:p>
    <w:p w14:paraId="762DE9E7" w14:textId="77777777" w:rsidR="00321689" w:rsidRPr="00AE40AC" w:rsidRDefault="00321689" w:rsidP="00321689">
      <w:pPr>
        <w:jc w:val="both"/>
        <w:rPr>
          <w:rFonts w:ascii="Verdana" w:hAnsi="Verdana" w:cs="Arial"/>
          <w:b/>
          <w:sz w:val="21"/>
          <w:szCs w:val="21"/>
        </w:rPr>
      </w:pPr>
    </w:p>
    <w:p w14:paraId="5A7346A4" w14:textId="77777777" w:rsidR="00321689" w:rsidRPr="00AE40AC" w:rsidRDefault="00321689" w:rsidP="00321689">
      <w:pPr>
        <w:rPr>
          <w:rFonts w:ascii="Verdana" w:hAnsi="Verdana" w:cs="Arial"/>
          <w:b/>
          <w:sz w:val="21"/>
          <w:szCs w:val="21"/>
        </w:rPr>
      </w:pPr>
      <w:r w:rsidRPr="00AE40AC">
        <w:rPr>
          <w:rFonts w:ascii="Verdana" w:hAnsi="Verdana" w:cs="Arial"/>
          <w:b/>
          <w:sz w:val="21"/>
          <w:szCs w:val="21"/>
        </w:rPr>
        <w:t>Evaluación Presupuestal 2021 – 2022 y Primer Trimestre 2023.</w:t>
      </w:r>
    </w:p>
    <w:p w14:paraId="1369E802" w14:textId="77777777" w:rsidR="00321689" w:rsidRDefault="00321689" w:rsidP="00321689">
      <w:pPr>
        <w:rPr>
          <w:rFonts w:ascii="Verdana" w:hAnsi="Verdana" w:cs="Arial"/>
          <w:b/>
          <w:sz w:val="21"/>
          <w:szCs w:val="21"/>
        </w:rPr>
      </w:pPr>
    </w:p>
    <w:p w14:paraId="60F653D1" w14:textId="77777777" w:rsidR="00A148C1" w:rsidRPr="007D6F1E" w:rsidRDefault="00321689" w:rsidP="00321689">
      <w:pPr>
        <w:jc w:val="both"/>
        <w:rPr>
          <w:rFonts w:ascii="Verdana" w:hAnsi="Verdana" w:cs="Arial"/>
          <w:sz w:val="21"/>
          <w:szCs w:val="21"/>
        </w:rPr>
      </w:pPr>
      <w:r>
        <w:rPr>
          <w:rFonts w:ascii="Verdana" w:hAnsi="Verdana" w:cs="Arial"/>
          <w:sz w:val="21"/>
          <w:szCs w:val="21"/>
        </w:rPr>
        <w:t xml:space="preserve">La Entidad Territorial aportó la </w:t>
      </w:r>
      <w:r w:rsidR="002F629D">
        <w:rPr>
          <w:rFonts w:ascii="Verdana" w:hAnsi="Verdana" w:cs="Arial"/>
          <w:sz w:val="21"/>
          <w:szCs w:val="21"/>
        </w:rPr>
        <w:t>O</w:t>
      </w:r>
      <w:r>
        <w:rPr>
          <w:rFonts w:ascii="Verdana" w:hAnsi="Verdana" w:cs="Arial"/>
          <w:sz w:val="21"/>
          <w:szCs w:val="21"/>
        </w:rPr>
        <w:t>rdenanza 045 de 1994, “</w:t>
      </w:r>
      <w:r>
        <w:rPr>
          <w:rFonts w:ascii="Verdana" w:hAnsi="Verdana" w:cs="Arial"/>
          <w:i/>
          <w:sz w:val="21"/>
          <w:szCs w:val="21"/>
        </w:rPr>
        <w:t xml:space="preserve">POR EL CUAL SE ESTRUCTURA EL SERVICIO SECCIONAL DE SALUD, SE CREA EL DEPARTAMENTO ADMINISTRATIVO DE SALUD DEL CESAR “DASALUD” SE FIJA SU ESTRUCTURA ORGÁNICA Y FUNCIONES A CARGO Y SE DICTAN OTRAS DISPOSICIONES.”, </w:t>
      </w:r>
      <w:r w:rsidRPr="00854D15">
        <w:rPr>
          <w:rFonts w:ascii="Verdana" w:hAnsi="Verdana" w:cs="Arial"/>
          <w:iCs/>
          <w:sz w:val="21"/>
          <w:szCs w:val="21"/>
        </w:rPr>
        <w:t xml:space="preserve">la ordenanza 050 de noviembre de 1995, </w:t>
      </w:r>
      <w:r>
        <w:rPr>
          <w:rFonts w:ascii="Verdana" w:hAnsi="Verdana" w:cs="Arial"/>
          <w:i/>
          <w:sz w:val="21"/>
          <w:szCs w:val="21"/>
        </w:rPr>
        <w:t>“ POR MEDIO DE LA CUAL SE DEROGAN UNA ORDENANZA Y SE CREA Y REGLAMENTA EL FONDO SECCIONAL DE SALUD Y SE DICTAN OTRAS DIPOSICIONES” y el decreto 1527  de 2004 “ POR MEDIO DEL CUAL SE ADOPTA LA ESTRUCTURA DE LA ADMINSITRACION  CENTRAL DEPARTAMENTAL DEL CESAR Y SE DICTAN OTRAS DISPOSICIONES”.</w:t>
      </w:r>
      <w:r w:rsidR="00A148C1">
        <w:rPr>
          <w:rFonts w:ascii="Verdana" w:hAnsi="Verdana" w:cs="Arial"/>
          <w:sz w:val="21"/>
          <w:szCs w:val="21"/>
        </w:rPr>
        <w:t xml:space="preserve"> </w:t>
      </w:r>
      <w:r w:rsidR="00364608">
        <w:rPr>
          <w:rFonts w:ascii="Verdana" w:hAnsi="Verdana" w:cs="Arial"/>
          <w:sz w:val="21"/>
          <w:szCs w:val="21"/>
        </w:rPr>
        <w:t xml:space="preserve">Verificados los actos administrativos referidos es posible establecer la necesidad de realizar su actualización teniendo en cuenta la </w:t>
      </w:r>
      <w:r w:rsidR="0038767D">
        <w:rPr>
          <w:rFonts w:ascii="Verdana" w:hAnsi="Verdana" w:cs="Arial"/>
          <w:sz w:val="21"/>
          <w:szCs w:val="21"/>
        </w:rPr>
        <w:t xml:space="preserve">normatividad </w:t>
      </w:r>
      <w:r w:rsidR="00364608">
        <w:rPr>
          <w:rFonts w:ascii="Verdana" w:hAnsi="Verdana" w:cs="Arial"/>
          <w:sz w:val="21"/>
          <w:szCs w:val="21"/>
        </w:rPr>
        <w:t>que fue expedida por el Ministerio de Salud y Protección Social de manera posterior respecto a la administración del Fondo Local de Salud.</w:t>
      </w:r>
    </w:p>
    <w:p w14:paraId="64FA5084" w14:textId="77777777" w:rsidR="00321689" w:rsidRDefault="00321689" w:rsidP="00321689">
      <w:pPr>
        <w:jc w:val="both"/>
        <w:rPr>
          <w:rFonts w:ascii="Verdana" w:hAnsi="Verdana" w:cs="Arial"/>
          <w:i/>
          <w:sz w:val="21"/>
          <w:szCs w:val="21"/>
        </w:rPr>
      </w:pPr>
    </w:p>
    <w:p w14:paraId="71EFBEC1" w14:textId="77777777" w:rsidR="00321689" w:rsidRDefault="00321689" w:rsidP="00321689">
      <w:pPr>
        <w:jc w:val="both"/>
        <w:rPr>
          <w:rFonts w:ascii="Verdana" w:hAnsi="Verdana" w:cs="Arial"/>
          <w:sz w:val="21"/>
          <w:szCs w:val="21"/>
        </w:rPr>
      </w:pPr>
      <w:r>
        <w:rPr>
          <w:rFonts w:ascii="Verdana" w:hAnsi="Verdana" w:cs="Arial"/>
          <w:sz w:val="21"/>
          <w:szCs w:val="21"/>
        </w:rPr>
        <w:t xml:space="preserve">Por su parte la </w:t>
      </w:r>
      <w:r w:rsidR="003A1CB0">
        <w:rPr>
          <w:rFonts w:ascii="Verdana" w:hAnsi="Verdana" w:cs="Arial"/>
          <w:sz w:val="21"/>
          <w:szCs w:val="21"/>
        </w:rPr>
        <w:t>E</w:t>
      </w:r>
      <w:r>
        <w:rPr>
          <w:rFonts w:ascii="Verdana" w:hAnsi="Verdana" w:cs="Arial"/>
          <w:sz w:val="21"/>
          <w:szCs w:val="21"/>
        </w:rPr>
        <w:t xml:space="preserve">ntidad </w:t>
      </w:r>
      <w:r w:rsidR="006A04BF">
        <w:rPr>
          <w:rFonts w:ascii="Verdana" w:hAnsi="Verdana" w:cs="Arial"/>
          <w:sz w:val="21"/>
          <w:szCs w:val="21"/>
        </w:rPr>
        <w:t xml:space="preserve">aporta </w:t>
      </w:r>
      <w:r>
        <w:rPr>
          <w:rFonts w:ascii="Verdana" w:hAnsi="Verdana" w:cs="Arial"/>
          <w:sz w:val="21"/>
          <w:szCs w:val="21"/>
        </w:rPr>
        <w:t xml:space="preserve">el </w:t>
      </w:r>
      <w:r w:rsidR="006A04BF">
        <w:rPr>
          <w:rFonts w:ascii="Verdana" w:hAnsi="Verdana" w:cs="Arial"/>
          <w:sz w:val="21"/>
          <w:szCs w:val="21"/>
        </w:rPr>
        <w:t>“</w:t>
      </w:r>
      <w:r>
        <w:rPr>
          <w:rFonts w:ascii="Verdana" w:hAnsi="Verdana" w:cs="Arial"/>
          <w:sz w:val="21"/>
          <w:szCs w:val="21"/>
        </w:rPr>
        <w:t>otro si</w:t>
      </w:r>
      <w:r w:rsidR="006A04BF">
        <w:rPr>
          <w:rFonts w:ascii="Verdana" w:hAnsi="Verdana" w:cs="Arial"/>
          <w:sz w:val="21"/>
          <w:szCs w:val="21"/>
        </w:rPr>
        <w:t>”</w:t>
      </w:r>
      <w:r>
        <w:rPr>
          <w:rFonts w:ascii="Verdana" w:hAnsi="Verdana" w:cs="Arial"/>
          <w:sz w:val="21"/>
          <w:szCs w:val="21"/>
        </w:rPr>
        <w:t xml:space="preserve"> al </w:t>
      </w:r>
      <w:r w:rsidR="00A148C1">
        <w:rPr>
          <w:rFonts w:ascii="Verdana" w:hAnsi="Verdana" w:cs="Arial"/>
          <w:sz w:val="21"/>
          <w:szCs w:val="21"/>
        </w:rPr>
        <w:t xml:space="preserve">convenio </w:t>
      </w:r>
      <w:r>
        <w:rPr>
          <w:rFonts w:ascii="Verdana" w:hAnsi="Verdana" w:cs="Arial"/>
          <w:sz w:val="21"/>
          <w:szCs w:val="21"/>
        </w:rPr>
        <w:t xml:space="preserve">de </w:t>
      </w:r>
      <w:r w:rsidR="006A04BF">
        <w:rPr>
          <w:rFonts w:ascii="Verdana" w:hAnsi="Verdana" w:cs="Arial"/>
          <w:sz w:val="21"/>
          <w:szCs w:val="21"/>
        </w:rPr>
        <w:t xml:space="preserve">la </w:t>
      </w:r>
      <w:r>
        <w:rPr>
          <w:rFonts w:ascii="Verdana" w:hAnsi="Verdana" w:cs="Arial"/>
          <w:sz w:val="21"/>
          <w:szCs w:val="21"/>
        </w:rPr>
        <w:t>cuenta maestra No</w:t>
      </w:r>
      <w:r w:rsidR="00F32929">
        <w:rPr>
          <w:rFonts w:ascii="Verdana" w:hAnsi="Verdana" w:cs="Arial"/>
          <w:sz w:val="21"/>
          <w:szCs w:val="21"/>
        </w:rPr>
        <w:t>.</w:t>
      </w:r>
      <w:r>
        <w:rPr>
          <w:rFonts w:ascii="Verdana" w:hAnsi="Verdana" w:cs="Arial"/>
          <w:sz w:val="21"/>
          <w:szCs w:val="21"/>
        </w:rPr>
        <w:t xml:space="preserve"> 628091159 </w:t>
      </w:r>
      <w:r w:rsidR="006A04BF">
        <w:rPr>
          <w:rFonts w:ascii="Verdana" w:hAnsi="Verdana" w:cs="Arial"/>
          <w:sz w:val="21"/>
          <w:szCs w:val="21"/>
        </w:rPr>
        <w:t>correspondiente a la</w:t>
      </w:r>
      <w:r w:rsidR="007D6F1E">
        <w:rPr>
          <w:rFonts w:ascii="Verdana" w:hAnsi="Verdana" w:cs="Arial"/>
          <w:sz w:val="21"/>
          <w:szCs w:val="21"/>
        </w:rPr>
        <w:t xml:space="preserve"> </w:t>
      </w:r>
      <w:r>
        <w:rPr>
          <w:rFonts w:ascii="Verdana" w:hAnsi="Verdana" w:cs="Arial"/>
          <w:sz w:val="21"/>
          <w:szCs w:val="21"/>
        </w:rPr>
        <w:t xml:space="preserve">subcuenta de salud pública colectiva y </w:t>
      </w:r>
      <w:r w:rsidR="006A04BF">
        <w:rPr>
          <w:rFonts w:ascii="Verdana" w:hAnsi="Verdana" w:cs="Arial"/>
          <w:sz w:val="21"/>
          <w:szCs w:val="21"/>
        </w:rPr>
        <w:t>“</w:t>
      </w:r>
      <w:r>
        <w:rPr>
          <w:rFonts w:ascii="Verdana" w:hAnsi="Verdana" w:cs="Arial"/>
          <w:sz w:val="21"/>
          <w:szCs w:val="21"/>
        </w:rPr>
        <w:t>otro si</w:t>
      </w:r>
      <w:r w:rsidR="006A04BF">
        <w:rPr>
          <w:rFonts w:ascii="Verdana" w:hAnsi="Verdana" w:cs="Arial"/>
          <w:sz w:val="21"/>
          <w:szCs w:val="21"/>
        </w:rPr>
        <w:t>”</w:t>
      </w:r>
      <w:r>
        <w:rPr>
          <w:rFonts w:ascii="Verdana" w:hAnsi="Verdana" w:cs="Arial"/>
          <w:sz w:val="21"/>
          <w:szCs w:val="21"/>
        </w:rPr>
        <w:t xml:space="preserve"> del</w:t>
      </w:r>
      <w:r w:rsidR="00A148C1">
        <w:rPr>
          <w:rFonts w:ascii="Verdana" w:hAnsi="Verdana" w:cs="Arial"/>
          <w:sz w:val="21"/>
          <w:szCs w:val="21"/>
        </w:rPr>
        <w:t xml:space="preserve"> convenio </w:t>
      </w:r>
      <w:r>
        <w:rPr>
          <w:rFonts w:ascii="Verdana" w:hAnsi="Verdana" w:cs="Arial"/>
          <w:sz w:val="21"/>
          <w:szCs w:val="21"/>
        </w:rPr>
        <w:t xml:space="preserve">No 628351306 de la subcuenta prestación de servicios de salud y lo no cubierto con subsidios a la demanda, </w:t>
      </w:r>
      <w:r w:rsidR="006A04BF">
        <w:rPr>
          <w:rFonts w:ascii="Verdana" w:hAnsi="Verdana" w:cs="Arial"/>
          <w:sz w:val="21"/>
          <w:szCs w:val="21"/>
        </w:rPr>
        <w:t>frente a los</w:t>
      </w:r>
      <w:r>
        <w:rPr>
          <w:rFonts w:ascii="Verdana" w:hAnsi="Verdana" w:cs="Arial"/>
          <w:sz w:val="21"/>
          <w:szCs w:val="21"/>
        </w:rPr>
        <w:t xml:space="preserve"> </w:t>
      </w:r>
      <w:r w:rsidR="006A04BF">
        <w:rPr>
          <w:rFonts w:ascii="Verdana" w:hAnsi="Verdana" w:cs="Arial"/>
          <w:sz w:val="21"/>
          <w:szCs w:val="21"/>
        </w:rPr>
        <w:t xml:space="preserve">cuales se evidencia </w:t>
      </w:r>
      <w:r>
        <w:rPr>
          <w:rFonts w:ascii="Verdana" w:hAnsi="Verdana" w:cs="Arial"/>
          <w:sz w:val="21"/>
          <w:szCs w:val="21"/>
        </w:rPr>
        <w:t xml:space="preserve">que se ajustan a </w:t>
      </w:r>
      <w:r w:rsidR="00132E49" w:rsidRPr="00132E49">
        <w:rPr>
          <w:rFonts w:ascii="Verdana" w:hAnsi="Verdana" w:cs="Arial"/>
          <w:sz w:val="21"/>
          <w:szCs w:val="21"/>
        </w:rPr>
        <w:t>los requisitos exigidos para el manejo de los recursos de las Cuentas Maestras.</w:t>
      </w:r>
      <w:r>
        <w:rPr>
          <w:rFonts w:ascii="Verdana" w:hAnsi="Verdana" w:cs="Arial"/>
          <w:sz w:val="21"/>
          <w:szCs w:val="21"/>
        </w:rPr>
        <w:t xml:space="preserve"> Ambas cuentas </w:t>
      </w:r>
      <w:r w:rsidR="00132E49">
        <w:rPr>
          <w:rFonts w:ascii="Verdana" w:hAnsi="Verdana" w:cs="Arial"/>
          <w:sz w:val="21"/>
          <w:szCs w:val="21"/>
        </w:rPr>
        <w:t>fueron aperturadas</w:t>
      </w:r>
      <w:r>
        <w:rPr>
          <w:rFonts w:ascii="Verdana" w:hAnsi="Verdana" w:cs="Arial"/>
          <w:sz w:val="21"/>
          <w:szCs w:val="21"/>
        </w:rPr>
        <w:t xml:space="preserve"> en el Banco de Bogotá sucursal Valledupar. </w:t>
      </w:r>
    </w:p>
    <w:p w14:paraId="1575D40C" w14:textId="77777777" w:rsidR="004F48F3" w:rsidRDefault="004F48F3" w:rsidP="00321689">
      <w:pPr>
        <w:jc w:val="both"/>
        <w:rPr>
          <w:rFonts w:ascii="Verdana" w:hAnsi="Verdana" w:cs="Arial"/>
          <w:sz w:val="21"/>
          <w:szCs w:val="21"/>
        </w:rPr>
      </w:pPr>
    </w:p>
    <w:p w14:paraId="6454936B" w14:textId="77777777" w:rsidR="00321689" w:rsidRDefault="00321689" w:rsidP="00321689">
      <w:pPr>
        <w:jc w:val="both"/>
        <w:rPr>
          <w:rFonts w:ascii="Verdana" w:hAnsi="Verdana" w:cs="Arial"/>
          <w:sz w:val="21"/>
          <w:szCs w:val="21"/>
        </w:rPr>
      </w:pPr>
      <w:r>
        <w:rPr>
          <w:rFonts w:ascii="Verdana" w:hAnsi="Verdana" w:cs="Arial"/>
          <w:sz w:val="21"/>
          <w:szCs w:val="21"/>
        </w:rPr>
        <w:t>Se identificó mediante los Decretos No. 181 del 28 de diciembre de 2021 y No. 190 del 26 de diciembre de 2022 emitidos por el Departamento que el presupuesto de la Entidad Territorial para la vigencia 2022 fue de $716.949 millones y el de la vigencia 2023 de $828.920</w:t>
      </w:r>
      <w:r w:rsidR="00B26A68">
        <w:rPr>
          <w:rFonts w:ascii="Verdana" w:hAnsi="Verdana" w:cs="Arial"/>
          <w:sz w:val="21"/>
          <w:szCs w:val="21"/>
        </w:rPr>
        <w:t xml:space="preserve"> millones</w:t>
      </w:r>
      <w:r>
        <w:rPr>
          <w:rFonts w:ascii="Verdana" w:hAnsi="Verdana" w:cs="Arial"/>
          <w:sz w:val="21"/>
          <w:szCs w:val="21"/>
        </w:rPr>
        <w:t>. En los citados Decretos no es posible identificar los recursos destinados al Fondo Local de Salud – FLS.</w:t>
      </w:r>
    </w:p>
    <w:p w14:paraId="1BA85F84" w14:textId="77777777" w:rsidR="00321689" w:rsidRDefault="00321689" w:rsidP="00321689">
      <w:pPr>
        <w:jc w:val="both"/>
        <w:rPr>
          <w:rFonts w:ascii="Verdana" w:hAnsi="Verdana" w:cs="Arial"/>
          <w:sz w:val="21"/>
          <w:szCs w:val="21"/>
        </w:rPr>
      </w:pPr>
    </w:p>
    <w:p w14:paraId="25651728" w14:textId="77777777" w:rsidR="00321689" w:rsidRDefault="00321689" w:rsidP="00321689">
      <w:pPr>
        <w:jc w:val="both"/>
        <w:rPr>
          <w:rFonts w:ascii="Verdana" w:hAnsi="Verdana" w:cs="Arial"/>
          <w:sz w:val="21"/>
          <w:szCs w:val="21"/>
        </w:rPr>
      </w:pPr>
      <w:r>
        <w:rPr>
          <w:rFonts w:ascii="Verdana" w:hAnsi="Verdana" w:cs="Arial"/>
          <w:sz w:val="21"/>
          <w:szCs w:val="21"/>
        </w:rPr>
        <w:t xml:space="preserve">Así mismo se evidencia que mediante el Decreto No. 013 del 20 de enero de 2022, la Entidad Territorial incorporó los recursos del balance de la vigencia 2021 al presupuesto de la vigencia 2022; en este último se incorporaron $13.841 millones, al presupuesto del FLS. Posteriormente, con el </w:t>
      </w:r>
      <w:r w:rsidR="000A02B3">
        <w:rPr>
          <w:rFonts w:ascii="Verdana" w:hAnsi="Verdana" w:cs="Arial"/>
          <w:sz w:val="21"/>
          <w:szCs w:val="21"/>
        </w:rPr>
        <w:t>D</w:t>
      </w:r>
      <w:r>
        <w:rPr>
          <w:rFonts w:ascii="Verdana" w:hAnsi="Verdana" w:cs="Arial"/>
          <w:sz w:val="21"/>
          <w:szCs w:val="21"/>
        </w:rPr>
        <w:t xml:space="preserve">ecreto 021 del 22 de febrero de 2022 se incorporan $13.045 millones al FLS. En la vigencia 2023 se emitió el </w:t>
      </w:r>
      <w:r w:rsidR="00A62964">
        <w:rPr>
          <w:rFonts w:ascii="Verdana" w:hAnsi="Verdana" w:cs="Arial"/>
          <w:sz w:val="21"/>
          <w:szCs w:val="21"/>
        </w:rPr>
        <w:t>D</w:t>
      </w:r>
      <w:r>
        <w:rPr>
          <w:rFonts w:ascii="Verdana" w:hAnsi="Verdana" w:cs="Arial"/>
          <w:sz w:val="21"/>
          <w:szCs w:val="21"/>
        </w:rPr>
        <w:t>ecreto 053 del 21 de marzo de 2023 en el que se incorporaron al presupuesto de la vigencia recursos por $29.422 millones al FLS.</w:t>
      </w:r>
    </w:p>
    <w:p w14:paraId="323628F5" w14:textId="77777777" w:rsidR="00321689" w:rsidRDefault="00321689" w:rsidP="00321689">
      <w:pPr>
        <w:jc w:val="both"/>
        <w:rPr>
          <w:rFonts w:ascii="Verdana" w:hAnsi="Verdana" w:cs="Arial"/>
          <w:sz w:val="21"/>
          <w:szCs w:val="21"/>
        </w:rPr>
      </w:pPr>
    </w:p>
    <w:p w14:paraId="62CE0728" w14:textId="77777777" w:rsidR="00321689" w:rsidRDefault="00321689" w:rsidP="00321689">
      <w:pPr>
        <w:pStyle w:val="Prrafodelista"/>
        <w:ind w:left="357"/>
        <w:jc w:val="both"/>
        <w:rPr>
          <w:rFonts w:ascii="Verdana" w:hAnsi="Verdana" w:cs="Arial"/>
          <w:b/>
          <w:sz w:val="21"/>
          <w:szCs w:val="21"/>
        </w:rPr>
      </w:pPr>
      <w:r>
        <w:rPr>
          <w:rFonts w:ascii="Verdana" w:eastAsia="Times New Roman" w:hAnsi="Verdana" w:cs="Arial"/>
          <w:b/>
          <w:sz w:val="21"/>
          <w:szCs w:val="21"/>
        </w:rPr>
        <w:t>1. Ingresos.</w:t>
      </w:r>
    </w:p>
    <w:p w14:paraId="14F586AA" w14:textId="77777777" w:rsidR="00321689" w:rsidRDefault="00321689" w:rsidP="00321689">
      <w:pPr>
        <w:jc w:val="both"/>
        <w:rPr>
          <w:rFonts w:ascii="Verdana" w:eastAsia="Times New Roman" w:hAnsi="Verdana" w:cs="Arial"/>
          <w:sz w:val="21"/>
          <w:szCs w:val="21"/>
          <w:highlight w:val="yellow"/>
        </w:rPr>
      </w:pPr>
    </w:p>
    <w:p w14:paraId="2A3BE846" w14:textId="77777777" w:rsidR="00321689" w:rsidRPr="006771CF" w:rsidRDefault="00321689" w:rsidP="00321689">
      <w:pPr>
        <w:jc w:val="both"/>
        <w:rPr>
          <w:rFonts w:ascii="Verdana" w:eastAsiaTheme="minorHAnsi" w:hAnsi="Verdana" w:cs="Arial"/>
          <w:b/>
          <w:sz w:val="21"/>
          <w:szCs w:val="21"/>
        </w:rPr>
      </w:pPr>
      <w:r>
        <w:rPr>
          <w:rFonts w:ascii="Verdana" w:hAnsi="Verdana" w:cs="Arial"/>
          <w:sz w:val="21"/>
          <w:szCs w:val="21"/>
        </w:rPr>
        <w:t xml:space="preserve">      </w:t>
      </w:r>
      <w:r w:rsidRPr="006771CF">
        <w:rPr>
          <w:rFonts w:ascii="Verdana" w:hAnsi="Verdana" w:cs="Arial"/>
          <w:b/>
          <w:sz w:val="21"/>
          <w:szCs w:val="21"/>
        </w:rPr>
        <w:t>1.1. Vigencia 2021 y 2022</w:t>
      </w:r>
    </w:p>
    <w:p w14:paraId="574A87F7" w14:textId="77777777" w:rsidR="00321689" w:rsidRDefault="00321689" w:rsidP="00321689">
      <w:pPr>
        <w:pStyle w:val="Prrafodelista"/>
        <w:jc w:val="both"/>
        <w:rPr>
          <w:rFonts w:ascii="Verdana" w:hAnsi="Verdana" w:cs="Arial"/>
          <w:sz w:val="21"/>
          <w:szCs w:val="21"/>
        </w:rPr>
      </w:pPr>
    </w:p>
    <w:p w14:paraId="614EF3F5" w14:textId="77777777" w:rsidR="00321689" w:rsidRDefault="00321689" w:rsidP="00321689">
      <w:pPr>
        <w:jc w:val="both"/>
        <w:rPr>
          <w:rFonts w:ascii="Verdana" w:hAnsi="Verdana" w:cs="Arial"/>
          <w:sz w:val="21"/>
          <w:szCs w:val="21"/>
        </w:rPr>
      </w:pPr>
      <w:r>
        <w:rPr>
          <w:rFonts w:ascii="Verdana" w:hAnsi="Verdana" w:cs="Arial"/>
          <w:sz w:val="21"/>
          <w:szCs w:val="21"/>
        </w:rPr>
        <w:t>De acuerdo con la ejecución presupuestal de ingresos del FLS presentada por la Entidad al cierre 2021 y 2022, los resultados son los siguientes:</w:t>
      </w:r>
    </w:p>
    <w:p w14:paraId="2CF1E70E"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p>
    <w:p w14:paraId="5739D0E3"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Tabla No 4</w:t>
      </w:r>
    </w:p>
    <w:p w14:paraId="600F7545"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Valores en Millones</w:t>
      </w:r>
    </w:p>
    <w:p w14:paraId="4C12CBFB" w14:textId="77777777" w:rsidR="00321689" w:rsidRDefault="00321689" w:rsidP="00321689">
      <w:pPr>
        <w:jc w:val="center"/>
        <w:rPr>
          <w:rFonts w:ascii="Verdana" w:eastAsiaTheme="minorHAnsi" w:hAnsi="Verdana" w:cs="Arial"/>
          <w:sz w:val="18"/>
          <w:szCs w:val="18"/>
        </w:rPr>
      </w:pPr>
      <w:r>
        <w:rPr>
          <w:rFonts w:ascii="Verdana" w:hAnsi="Verdana"/>
          <w:noProof/>
          <w:lang w:val="es-CO" w:eastAsia="es-CO"/>
        </w:rPr>
        <w:drawing>
          <wp:inline distT="0" distB="0" distL="0" distR="0" wp14:anchorId="1593F6CA" wp14:editId="686F6697">
            <wp:extent cx="5302250" cy="2774950"/>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2250" cy="2774950"/>
                    </a:xfrm>
                    <a:prstGeom prst="rect">
                      <a:avLst/>
                    </a:prstGeom>
                    <a:noFill/>
                    <a:ln>
                      <a:noFill/>
                    </a:ln>
                  </pic:spPr>
                </pic:pic>
              </a:graphicData>
            </a:graphic>
          </wp:inline>
        </w:drawing>
      </w:r>
    </w:p>
    <w:p w14:paraId="082835F4" w14:textId="77777777" w:rsidR="00321689" w:rsidRDefault="00321689" w:rsidP="00087B7F">
      <w:pPr>
        <w:jc w:val="center"/>
        <w:rPr>
          <w:rFonts w:ascii="Verdana" w:hAnsi="Verdana" w:cs="Arial"/>
          <w:sz w:val="22"/>
          <w:szCs w:val="22"/>
        </w:rPr>
      </w:pPr>
      <w:r>
        <w:rPr>
          <w:rFonts w:ascii="Verdana" w:eastAsia="Times New Roman" w:hAnsi="Verdana" w:cs="Arial"/>
          <w:color w:val="000000"/>
          <w:sz w:val="16"/>
          <w:szCs w:val="16"/>
          <w:lang w:eastAsia="es-CO"/>
        </w:rPr>
        <w:t>Fuente: Entidad territorial – Ejecuciones presupuestales.</w:t>
      </w:r>
    </w:p>
    <w:p w14:paraId="09AA75FC" w14:textId="77777777" w:rsidR="00321689" w:rsidRDefault="00321689" w:rsidP="00321689">
      <w:pPr>
        <w:jc w:val="both"/>
        <w:rPr>
          <w:rFonts w:ascii="Verdana" w:hAnsi="Verdana" w:cs="Arial"/>
        </w:rPr>
      </w:pPr>
    </w:p>
    <w:p w14:paraId="6B7CFBB1" w14:textId="77777777" w:rsidR="00321689" w:rsidRPr="006771CF" w:rsidRDefault="00321689" w:rsidP="006771CF">
      <w:pPr>
        <w:pStyle w:val="Prrafodelista"/>
        <w:numPr>
          <w:ilvl w:val="0"/>
          <w:numId w:val="19"/>
        </w:numPr>
        <w:jc w:val="both"/>
        <w:rPr>
          <w:rFonts w:ascii="Verdana" w:hAnsi="Verdana" w:cs="Arial"/>
          <w:sz w:val="21"/>
          <w:szCs w:val="21"/>
        </w:rPr>
      </w:pPr>
      <w:r w:rsidRPr="006771CF">
        <w:rPr>
          <w:rFonts w:ascii="Verdana" w:hAnsi="Verdana" w:cs="Arial"/>
          <w:sz w:val="21"/>
          <w:szCs w:val="21"/>
        </w:rPr>
        <w:t>Del total de ingresos recaudados en la vigencia 2022, se tienen recursos por $118.146 millones en las distintas fuentes, lo que representa un crecimiento de 18%</w:t>
      </w:r>
      <w:r w:rsidRPr="00AE40AC">
        <w:rPr>
          <w:rStyle w:val="Refdenotaalpie"/>
          <w:rFonts w:ascii="Verdana" w:hAnsi="Verdana" w:cs="Arial"/>
          <w:sz w:val="21"/>
          <w:szCs w:val="21"/>
        </w:rPr>
        <w:footnoteReference w:id="2"/>
      </w:r>
      <w:r w:rsidRPr="006771CF">
        <w:rPr>
          <w:rFonts w:ascii="Verdana" w:hAnsi="Verdana" w:cs="Arial"/>
          <w:sz w:val="21"/>
          <w:szCs w:val="21"/>
        </w:rPr>
        <w:t xml:space="preserve"> frente al cierre de 2021 ($99.945 millones),</w:t>
      </w:r>
      <w:r w:rsidRPr="006771CF">
        <w:rPr>
          <w:rFonts w:ascii="Verdana" w:hAnsi="Verdana" w:cs="Arial"/>
        </w:rPr>
        <w:t xml:space="preserve"> </w:t>
      </w:r>
      <w:r w:rsidRPr="006771CF">
        <w:rPr>
          <w:rFonts w:ascii="Verdana" w:hAnsi="Verdana" w:cs="Arial"/>
          <w:sz w:val="21"/>
          <w:szCs w:val="21"/>
        </w:rPr>
        <w:t xml:space="preserve">situación que se explica </w:t>
      </w:r>
      <w:r w:rsidRPr="006771CF">
        <w:rPr>
          <w:rFonts w:ascii="Verdana" w:hAnsi="Verdana" w:cs="Arial"/>
          <w:sz w:val="21"/>
          <w:szCs w:val="21"/>
        </w:rPr>
        <w:lastRenderedPageBreak/>
        <w:t>por el crecimiento en el recaudo de los ingresos no tributarios, producto de la recuperación de la economía pospandemia.</w:t>
      </w:r>
    </w:p>
    <w:p w14:paraId="34D0A984" w14:textId="77777777" w:rsidR="00321689" w:rsidRPr="00AE40AC" w:rsidRDefault="00321689" w:rsidP="00321689">
      <w:pPr>
        <w:jc w:val="both"/>
        <w:rPr>
          <w:rFonts w:ascii="Verdana" w:hAnsi="Verdana" w:cs="Arial"/>
          <w:sz w:val="21"/>
          <w:szCs w:val="21"/>
        </w:rPr>
      </w:pPr>
    </w:p>
    <w:p w14:paraId="4403FC4D" w14:textId="77777777" w:rsidR="00321689" w:rsidRPr="006771CF" w:rsidRDefault="00321689" w:rsidP="006771CF">
      <w:pPr>
        <w:pStyle w:val="Prrafodelista"/>
        <w:numPr>
          <w:ilvl w:val="0"/>
          <w:numId w:val="19"/>
        </w:numPr>
        <w:jc w:val="both"/>
        <w:rPr>
          <w:rFonts w:ascii="Verdana" w:hAnsi="Verdana" w:cs="Arial"/>
          <w:sz w:val="21"/>
          <w:szCs w:val="21"/>
        </w:rPr>
      </w:pPr>
      <w:r w:rsidRPr="006771CF">
        <w:rPr>
          <w:rFonts w:ascii="Verdana" w:hAnsi="Verdana" w:cs="Arial"/>
          <w:sz w:val="21"/>
          <w:szCs w:val="21"/>
        </w:rPr>
        <w:t>El crecimiento de los ingresos corrientes (9%) está explicado por el aumento en el recaudo de las rentas cedidas que financiaron el régimen subsidiado, como consecuencia de la reactivación económica en 2022.</w:t>
      </w:r>
    </w:p>
    <w:p w14:paraId="67F2FD85" w14:textId="77777777" w:rsidR="00321689" w:rsidRPr="00AE40AC" w:rsidRDefault="00321689" w:rsidP="00321689">
      <w:pPr>
        <w:jc w:val="both"/>
        <w:rPr>
          <w:rFonts w:ascii="Verdana" w:hAnsi="Verdana" w:cs="Arial"/>
          <w:sz w:val="21"/>
          <w:szCs w:val="21"/>
        </w:rPr>
      </w:pPr>
    </w:p>
    <w:p w14:paraId="6FF4D891" w14:textId="77777777" w:rsidR="00321689" w:rsidRPr="006771CF" w:rsidRDefault="00321689" w:rsidP="006771CF">
      <w:pPr>
        <w:pStyle w:val="Prrafodelista"/>
        <w:numPr>
          <w:ilvl w:val="0"/>
          <w:numId w:val="19"/>
        </w:numPr>
        <w:jc w:val="both"/>
        <w:rPr>
          <w:rFonts w:ascii="Verdana" w:hAnsi="Verdana" w:cs="Arial"/>
          <w:sz w:val="21"/>
          <w:szCs w:val="21"/>
        </w:rPr>
      </w:pPr>
      <w:r w:rsidRPr="006771CF">
        <w:rPr>
          <w:rFonts w:ascii="Verdana" w:hAnsi="Verdana" w:cs="Arial"/>
          <w:sz w:val="21"/>
          <w:szCs w:val="21"/>
        </w:rPr>
        <w:t>En cuanto a los ingresos de capital, en la vigencia 2022 se observó un recaudo de $31.557 millones, valor que representó un crecimiento de 56% frente a 2021, explicados en mayor proporción por la incorporación de los recursos del balance de la vigencia 2021.</w:t>
      </w:r>
    </w:p>
    <w:p w14:paraId="1F25192E" w14:textId="77777777" w:rsidR="00321689" w:rsidRPr="00AE40AC" w:rsidRDefault="00321689" w:rsidP="00321689">
      <w:pPr>
        <w:jc w:val="both"/>
        <w:rPr>
          <w:rFonts w:ascii="Verdana" w:hAnsi="Verdana" w:cs="Arial"/>
          <w:sz w:val="21"/>
          <w:szCs w:val="21"/>
        </w:rPr>
      </w:pPr>
    </w:p>
    <w:p w14:paraId="6D43BFC4" w14:textId="77777777" w:rsidR="00321689" w:rsidRPr="006771CF" w:rsidRDefault="00321689" w:rsidP="006771CF">
      <w:pPr>
        <w:pStyle w:val="Prrafodelista"/>
        <w:numPr>
          <w:ilvl w:val="0"/>
          <w:numId w:val="19"/>
        </w:numPr>
        <w:jc w:val="both"/>
        <w:rPr>
          <w:rFonts w:ascii="Verdana" w:hAnsi="Verdana" w:cs="Arial"/>
          <w:sz w:val="21"/>
          <w:szCs w:val="21"/>
        </w:rPr>
      </w:pPr>
      <w:r w:rsidRPr="006771CF">
        <w:rPr>
          <w:rFonts w:ascii="Verdana" w:hAnsi="Verdana" w:cs="Arial"/>
          <w:sz w:val="21"/>
          <w:szCs w:val="21"/>
        </w:rPr>
        <w:t>En cuanto al subsidio a la oferta, la Entidad fue objeto de distribución de recursos para la financiación de la operación de la prestación de servicios y tecnologías efectuadas por instituciones públicas o infraestructura pública administrada por terceros, ubicadas en zonas alejadas o de difícil acceso que sean monopolio en servicios trazadores y no sostenibles por venta de servicios por $1.219 millones con un crecimiento del 2% frente a 2021.</w:t>
      </w:r>
    </w:p>
    <w:p w14:paraId="5B20BC09" w14:textId="77777777" w:rsidR="00321689" w:rsidRPr="00AE40AC" w:rsidRDefault="00321689" w:rsidP="00321689">
      <w:pPr>
        <w:jc w:val="both"/>
        <w:rPr>
          <w:rFonts w:ascii="Verdana" w:hAnsi="Verdana" w:cs="Arial"/>
          <w:sz w:val="21"/>
          <w:szCs w:val="21"/>
        </w:rPr>
      </w:pPr>
    </w:p>
    <w:p w14:paraId="11DA8C99" w14:textId="77777777" w:rsidR="00321689" w:rsidRPr="006771CF" w:rsidRDefault="00321689" w:rsidP="00321689">
      <w:pPr>
        <w:jc w:val="both"/>
        <w:rPr>
          <w:rFonts w:ascii="Verdana" w:hAnsi="Verdana" w:cs="Arial"/>
          <w:b/>
          <w:sz w:val="21"/>
          <w:szCs w:val="21"/>
        </w:rPr>
      </w:pPr>
      <w:r w:rsidRPr="006771CF">
        <w:rPr>
          <w:rFonts w:ascii="Verdana" w:hAnsi="Verdana" w:cs="Arial"/>
          <w:b/>
          <w:sz w:val="21"/>
          <w:szCs w:val="21"/>
        </w:rPr>
        <w:t>1.2 Corte a marzo 2022 y 2023</w:t>
      </w:r>
    </w:p>
    <w:p w14:paraId="08508F92" w14:textId="77777777" w:rsidR="00321689" w:rsidRPr="00AE40AC" w:rsidRDefault="00321689" w:rsidP="00321689">
      <w:pPr>
        <w:rPr>
          <w:rFonts w:ascii="Verdana" w:hAnsi="Verdana" w:cs="Arial"/>
          <w:sz w:val="21"/>
          <w:szCs w:val="21"/>
        </w:rPr>
      </w:pPr>
    </w:p>
    <w:p w14:paraId="15A07A2E" w14:textId="77777777" w:rsidR="00321689" w:rsidRDefault="00321689" w:rsidP="00321689">
      <w:pPr>
        <w:jc w:val="both"/>
        <w:rPr>
          <w:rFonts w:ascii="Verdana" w:hAnsi="Verdana" w:cs="Arial"/>
          <w:sz w:val="21"/>
          <w:szCs w:val="21"/>
        </w:rPr>
      </w:pPr>
      <w:r w:rsidRPr="00AE40AC">
        <w:rPr>
          <w:rFonts w:ascii="Verdana" w:hAnsi="Verdana" w:cs="Arial"/>
          <w:sz w:val="21"/>
          <w:szCs w:val="21"/>
        </w:rPr>
        <w:t>El avance de la ejecución a marzo presentó el siguiente comportamiento:</w:t>
      </w:r>
    </w:p>
    <w:p w14:paraId="487BFBA5" w14:textId="77777777" w:rsidR="00806BFD" w:rsidRPr="00AE40AC" w:rsidRDefault="00806BFD" w:rsidP="00321689">
      <w:pPr>
        <w:jc w:val="both"/>
        <w:rPr>
          <w:rFonts w:ascii="Verdana" w:hAnsi="Verdana" w:cs="Arial"/>
          <w:sz w:val="21"/>
          <w:szCs w:val="21"/>
        </w:rPr>
      </w:pPr>
    </w:p>
    <w:p w14:paraId="5771C6FA"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Tabla No 5</w:t>
      </w:r>
    </w:p>
    <w:p w14:paraId="42EB3D16" w14:textId="77777777" w:rsidR="00321689" w:rsidRDefault="00321689" w:rsidP="00321689">
      <w:pPr>
        <w:autoSpaceDE w:val="0"/>
        <w:autoSpaceDN w:val="0"/>
        <w:adjustRightInd w:val="0"/>
        <w:jc w:val="center"/>
        <w:rPr>
          <w:rFonts w:ascii="Verdana" w:eastAsiaTheme="minorHAnsi" w:hAnsi="Verdana" w:cs="Arial"/>
          <w:sz w:val="22"/>
          <w:szCs w:val="22"/>
        </w:rPr>
      </w:pPr>
      <w:r>
        <w:rPr>
          <w:rFonts w:ascii="Verdana" w:eastAsia="ヒラギノ角ゴ Pro W3" w:hAnsi="Verdana" w:cs="Arial"/>
          <w:b/>
          <w:color w:val="B48C41"/>
          <w:sz w:val="18"/>
          <w:szCs w:val="18"/>
        </w:rPr>
        <w:t>Valores en Millones</w:t>
      </w:r>
      <w:r>
        <w:rPr>
          <w:rFonts w:ascii="Verdana" w:hAnsi="Verdana"/>
          <w:noProof/>
          <w:lang w:val="es-CO" w:eastAsia="es-CO"/>
        </w:rPr>
        <w:drawing>
          <wp:inline distT="0" distB="0" distL="0" distR="0" wp14:anchorId="14BFAC70" wp14:editId="184708A6">
            <wp:extent cx="5530850" cy="2768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0850" cy="2768600"/>
                    </a:xfrm>
                    <a:prstGeom prst="rect">
                      <a:avLst/>
                    </a:prstGeom>
                    <a:noFill/>
                    <a:ln>
                      <a:noFill/>
                    </a:ln>
                  </pic:spPr>
                </pic:pic>
              </a:graphicData>
            </a:graphic>
          </wp:inline>
        </w:drawing>
      </w:r>
    </w:p>
    <w:p w14:paraId="55934DC8" w14:textId="77777777" w:rsidR="00321689" w:rsidRDefault="00321689" w:rsidP="00087B7F">
      <w:pPr>
        <w:jc w:val="center"/>
        <w:rPr>
          <w:rFonts w:ascii="Verdana" w:hAnsi="Verdana" w:cs="Arial"/>
        </w:rPr>
      </w:pPr>
      <w:r>
        <w:rPr>
          <w:rFonts w:ascii="Verdana" w:eastAsia="Times New Roman" w:hAnsi="Verdana" w:cs="Arial"/>
          <w:color w:val="000000"/>
          <w:sz w:val="16"/>
          <w:szCs w:val="16"/>
          <w:lang w:eastAsia="es-CO"/>
        </w:rPr>
        <w:t>Fuente: Entidad territorial – Ejecuciones presupuestales.</w:t>
      </w:r>
    </w:p>
    <w:p w14:paraId="0F1BD4DD" w14:textId="77777777" w:rsidR="00321689" w:rsidRDefault="00321689" w:rsidP="00321689">
      <w:pPr>
        <w:rPr>
          <w:rFonts w:ascii="Verdana" w:hAnsi="Verdana" w:cs="Arial"/>
        </w:rPr>
      </w:pPr>
    </w:p>
    <w:p w14:paraId="39C1E8A5" w14:textId="77777777" w:rsidR="00321689" w:rsidRPr="006771CF" w:rsidRDefault="00321689" w:rsidP="006771CF">
      <w:pPr>
        <w:pStyle w:val="Prrafodelista"/>
        <w:numPr>
          <w:ilvl w:val="0"/>
          <w:numId w:val="24"/>
        </w:numPr>
        <w:jc w:val="both"/>
        <w:rPr>
          <w:rFonts w:ascii="Verdana" w:hAnsi="Verdana" w:cs="Arial"/>
          <w:sz w:val="21"/>
          <w:szCs w:val="21"/>
        </w:rPr>
      </w:pPr>
      <w:r w:rsidRPr="006771CF">
        <w:rPr>
          <w:rFonts w:ascii="Verdana" w:hAnsi="Verdana" w:cs="Arial"/>
          <w:sz w:val="21"/>
          <w:szCs w:val="21"/>
        </w:rPr>
        <w:t>El total de ingreso recaudado a marzo de 2023 fue de $48.996 millones, lo que representó una disminución del 8% frente a la vigencia 2021 ($53.386 millones) en el mismo corte.</w:t>
      </w:r>
    </w:p>
    <w:p w14:paraId="5F06CAEC" w14:textId="77777777" w:rsidR="00321689" w:rsidRDefault="00321689" w:rsidP="00321689">
      <w:pPr>
        <w:jc w:val="both"/>
        <w:rPr>
          <w:rFonts w:ascii="Verdana" w:hAnsi="Verdana" w:cs="Arial"/>
        </w:rPr>
      </w:pPr>
    </w:p>
    <w:p w14:paraId="22A3966E" w14:textId="77777777" w:rsidR="00321689" w:rsidRPr="006771CF" w:rsidRDefault="00321689" w:rsidP="006771CF">
      <w:pPr>
        <w:pStyle w:val="Prrafodelista"/>
        <w:numPr>
          <w:ilvl w:val="0"/>
          <w:numId w:val="24"/>
        </w:numPr>
        <w:jc w:val="both"/>
        <w:rPr>
          <w:rFonts w:ascii="Verdana" w:hAnsi="Verdana" w:cs="Arial"/>
          <w:sz w:val="21"/>
          <w:szCs w:val="21"/>
        </w:rPr>
      </w:pPr>
      <w:r w:rsidRPr="006771CF">
        <w:rPr>
          <w:rFonts w:ascii="Verdana" w:hAnsi="Verdana" w:cs="Arial"/>
          <w:sz w:val="21"/>
          <w:szCs w:val="21"/>
        </w:rPr>
        <w:lastRenderedPageBreak/>
        <w:t>Por su parte, se destaca la disminución presentada en el recaudo de los ingresos no tributarios que a marzo de 2023 fue de $9.500 millones, mostrando una disminución de 53% frente a 2022, como consecuencia de la disminución en las transferencias de la Nación, que para la vigencia 2022 contó con la cofinanciación para el pago de deudas en aplicación de la ley de punto final. De tal forma que se dio una ejecución del 48%, frente al total programado en 2023. Ahora, en este mismo corte de 2022 la Entidad había recaudado recursos por $48.996 millones equivalentes al 45% del total programado, 3 puntos porcentuales menos que lo registrado en 2023.</w:t>
      </w:r>
    </w:p>
    <w:p w14:paraId="78CEB381" w14:textId="77777777" w:rsidR="00321689" w:rsidRPr="00AE40AC" w:rsidRDefault="00321689" w:rsidP="00321689">
      <w:pPr>
        <w:jc w:val="both"/>
        <w:rPr>
          <w:rFonts w:ascii="Verdana" w:hAnsi="Verdana" w:cs="Arial"/>
          <w:sz w:val="21"/>
          <w:szCs w:val="21"/>
        </w:rPr>
      </w:pPr>
    </w:p>
    <w:p w14:paraId="2CC948E3" w14:textId="77777777" w:rsidR="00321689" w:rsidRPr="006771CF" w:rsidRDefault="00321689" w:rsidP="006771CF">
      <w:pPr>
        <w:pStyle w:val="Prrafodelista"/>
        <w:numPr>
          <w:ilvl w:val="0"/>
          <w:numId w:val="24"/>
        </w:numPr>
        <w:jc w:val="both"/>
        <w:rPr>
          <w:rFonts w:ascii="Verdana" w:hAnsi="Verdana" w:cs="Arial"/>
          <w:sz w:val="21"/>
          <w:szCs w:val="21"/>
        </w:rPr>
      </w:pPr>
      <w:r w:rsidRPr="006771CF">
        <w:rPr>
          <w:rFonts w:ascii="Verdana" w:hAnsi="Verdana" w:cs="Arial"/>
          <w:sz w:val="21"/>
          <w:szCs w:val="21"/>
        </w:rPr>
        <w:t xml:space="preserve">En cuanto a los ingresos de capital se programaron recursos por $30.838 millones y a marzo de 2023 se encuentran ejecutados el 99%, como consecuencia de la </w:t>
      </w:r>
      <w:r w:rsidR="005039EC">
        <w:rPr>
          <w:rFonts w:ascii="Verdana" w:hAnsi="Verdana" w:cs="Arial"/>
          <w:sz w:val="21"/>
          <w:szCs w:val="21"/>
        </w:rPr>
        <w:t>ejecución</w:t>
      </w:r>
      <w:r w:rsidR="005039EC" w:rsidRPr="006771CF">
        <w:rPr>
          <w:rFonts w:ascii="Verdana" w:hAnsi="Verdana" w:cs="Arial"/>
          <w:sz w:val="21"/>
          <w:szCs w:val="21"/>
        </w:rPr>
        <w:t xml:space="preserve"> </w:t>
      </w:r>
      <w:r w:rsidRPr="006771CF">
        <w:rPr>
          <w:rFonts w:ascii="Verdana" w:hAnsi="Verdana" w:cs="Arial"/>
          <w:sz w:val="21"/>
          <w:szCs w:val="21"/>
        </w:rPr>
        <w:t xml:space="preserve">de los recursos del balance. </w:t>
      </w:r>
    </w:p>
    <w:p w14:paraId="40FDEB08" w14:textId="77777777" w:rsidR="00321689" w:rsidRPr="00AE40AC" w:rsidRDefault="00321689" w:rsidP="00321689">
      <w:pPr>
        <w:jc w:val="both"/>
        <w:rPr>
          <w:rFonts w:ascii="Verdana" w:hAnsi="Verdana" w:cs="Arial"/>
          <w:sz w:val="21"/>
          <w:szCs w:val="21"/>
        </w:rPr>
      </w:pPr>
    </w:p>
    <w:p w14:paraId="682E5F15" w14:textId="77777777" w:rsidR="00321689" w:rsidRPr="006771CF" w:rsidRDefault="00321689" w:rsidP="006771CF">
      <w:pPr>
        <w:pStyle w:val="Prrafodelista"/>
        <w:numPr>
          <w:ilvl w:val="0"/>
          <w:numId w:val="24"/>
        </w:numPr>
        <w:jc w:val="both"/>
        <w:rPr>
          <w:rFonts w:ascii="Verdana" w:hAnsi="Verdana" w:cs="Arial"/>
          <w:sz w:val="21"/>
          <w:szCs w:val="21"/>
        </w:rPr>
      </w:pPr>
      <w:r w:rsidRPr="006771CF">
        <w:rPr>
          <w:rFonts w:ascii="Verdana" w:hAnsi="Verdana" w:cs="Arial"/>
          <w:sz w:val="21"/>
          <w:szCs w:val="21"/>
        </w:rPr>
        <w:t>El análisis comparativo entre la información presupuestal presentada por la Entidad Territorial y el reporte de la información en el CUIPO relacionada con los ingresos del Fondo Local de Salud se ve limitada, toda vez que la Entidad no incluyó la variable detalle sectorial “Fondo Local de Salud” y tampoco identificó la información en el sector correspondiente, es decir, en el sector Salud y Protección Social, variables necesarias para identificar las rentas del sector salud en el ingreso.</w:t>
      </w:r>
    </w:p>
    <w:p w14:paraId="560285EA" w14:textId="77777777" w:rsidR="00321689" w:rsidRPr="00AE40AC" w:rsidRDefault="00321689" w:rsidP="00321689">
      <w:pPr>
        <w:jc w:val="both"/>
        <w:rPr>
          <w:rFonts w:ascii="Verdana" w:hAnsi="Verdana" w:cs="Arial"/>
          <w:sz w:val="21"/>
          <w:szCs w:val="21"/>
        </w:rPr>
      </w:pPr>
    </w:p>
    <w:p w14:paraId="39D84151" w14:textId="77777777" w:rsidR="00321689" w:rsidRPr="00AE40AC" w:rsidRDefault="00321689" w:rsidP="00321689">
      <w:pPr>
        <w:pStyle w:val="Prrafodelista"/>
        <w:numPr>
          <w:ilvl w:val="0"/>
          <w:numId w:val="18"/>
        </w:numPr>
        <w:jc w:val="both"/>
        <w:rPr>
          <w:rFonts w:ascii="Verdana" w:hAnsi="Verdana" w:cs="Arial"/>
          <w:b/>
          <w:sz w:val="21"/>
          <w:szCs w:val="21"/>
        </w:rPr>
      </w:pPr>
      <w:r w:rsidRPr="00AE40AC">
        <w:rPr>
          <w:rFonts w:ascii="Verdana" w:hAnsi="Verdana" w:cs="Arial"/>
          <w:b/>
          <w:sz w:val="21"/>
          <w:szCs w:val="21"/>
        </w:rPr>
        <w:t>Gastos</w:t>
      </w:r>
    </w:p>
    <w:p w14:paraId="384E9C10" w14:textId="77777777" w:rsidR="00321689" w:rsidRPr="00AE40AC" w:rsidRDefault="00321689" w:rsidP="00321689">
      <w:pPr>
        <w:ind w:left="360"/>
        <w:jc w:val="both"/>
        <w:rPr>
          <w:rFonts w:ascii="Verdana" w:hAnsi="Verdana" w:cs="Arial"/>
          <w:b/>
          <w:sz w:val="21"/>
          <w:szCs w:val="21"/>
        </w:rPr>
      </w:pPr>
    </w:p>
    <w:p w14:paraId="3AC5F146" w14:textId="77777777" w:rsidR="00321689" w:rsidRPr="00AE40AC" w:rsidRDefault="00321689" w:rsidP="00321689">
      <w:pPr>
        <w:ind w:left="360"/>
        <w:jc w:val="both"/>
        <w:rPr>
          <w:rFonts w:ascii="Verdana" w:hAnsi="Verdana" w:cs="Arial"/>
          <w:b/>
          <w:sz w:val="21"/>
          <w:szCs w:val="21"/>
        </w:rPr>
      </w:pPr>
      <w:r w:rsidRPr="00AE40AC">
        <w:rPr>
          <w:rFonts w:ascii="Verdana" w:hAnsi="Verdana" w:cs="Arial"/>
          <w:b/>
          <w:sz w:val="21"/>
          <w:szCs w:val="21"/>
        </w:rPr>
        <w:t>2.1. Vigencia 2021 y 2022</w:t>
      </w:r>
    </w:p>
    <w:p w14:paraId="56C5CDA4" w14:textId="77777777" w:rsidR="00321689" w:rsidRPr="00AE40AC" w:rsidRDefault="00321689" w:rsidP="00321689">
      <w:pPr>
        <w:jc w:val="both"/>
        <w:rPr>
          <w:rFonts w:ascii="Verdana" w:hAnsi="Verdana" w:cs="Arial"/>
          <w:sz w:val="21"/>
          <w:szCs w:val="21"/>
        </w:rPr>
      </w:pPr>
    </w:p>
    <w:p w14:paraId="7D6EE3CB" w14:textId="77777777" w:rsidR="00321689" w:rsidRDefault="00321689" w:rsidP="00321689">
      <w:pPr>
        <w:jc w:val="both"/>
        <w:rPr>
          <w:rFonts w:ascii="Verdana" w:hAnsi="Verdana" w:cs="Arial"/>
          <w:sz w:val="21"/>
          <w:szCs w:val="21"/>
        </w:rPr>
      </w:pPr>
      <w:r w:rsidRPr="00AE40AC">
        <w:rPr>
          <w:rFonts w:ascii="Verdana" w:hAnsi="Verdana" w:cs="Arial"/>
          <w:sz w:val="21"/>
          <w:szCs w:val="21"/>
        </w:rPr>
        <w:t>Al cierre de 2021 y 2022 la ejecución present</w:t>
      </w:r>
      <w:r w:rsidR="00B91C16">
        <w:rPr>
          <w:rFonts w:ascii="Verdana" w:hAnsi="Verdana" w:cs="Arial"/>
          <w:sz w:val="21"/>
          <w:szCs w:val="21"/>
        </w:rPr>
        <w:t>ó</w:t>
      </w:r>
      <w:r w:rsidRPr="00AE40AC">
        <w:rPr>
          <w:rFonts w:ascii="Verdana" w:hAnsi="Verdana" w:cs="Arial"/>
          <w:sz w:val="21"/>
          <w:szCs w:val="21"/>
        </w:rPr>
        <w:t xml:space="preserve"> el siguiente comportamiento:</w:t>
      </w:r>
    </w:p>
    <w:p w14:paraId="2225CD12" w14:textId="77777777" w:rsidR="00B87B79" w:rsidRPr="00AE40AC" w:rsidRDefault="00B87B79" w:rsidP="00321689">
      <w:pPr>
        <w:jc w:val="both"/>
        <w:rPr>
          <w:rFonts w:ascii="Verdana" w:hAnsi="Verdana" w:cs="Arial"/>
          <w:sz w:val="21"/>
          <w:szCs w:val="21"/>
        </w:rPr>
      </w:pPr>
    </w:p>
    <w:p w14:paraId="1F38FBCA"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Tabla No 6</w:t>
      </w:r>
    </w:p>
    <w:p w14:paraId="68203C76"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Valores en Millones</w:t>
      </w:r>
    </w:p>
    <w:p w14:paraId="37BC7108" w14:textId="77777777" w:rsidR="00321689" w:rsidRDefault="00321689" w:rsidP="00321689">
      <w:pPr>
        <w:rPr>
          <w:rFonts w:ascii="Verdana" w:eastAsiaTheme="minorHAnsi" w:hAnsi="Verdana" w:cs="Arial"/>
          <w:noProof/>
          <w:sz w:val="22"/>
          <w:szCs w:val="22"/>
          <w:lang w:eastAsia="es-CO"/>
        </w:rPr>
      </w:pPr>
      <w:r>
        <w:rPr>
          <w:rFonts w:ascii="Verdana" w:hAnsi="Verdana"/>
          <w:noProof/>
          <w:lang w:val="es-CO" w:eastAsia="es-CO"/>
        </w:rPr>
        <w:drawing>
          <wp:inline distT="0" distB="0" distL="0" distR="0" wp14:anchorId="7823987A" wp14:editId="089D67CD">
            <wp:extent cx="5607050" cy="16827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0" cy="1682750"/>
                    </a:xfrm>
                    <a:prstGeom prst="rect">
                      <a:avLst/>
                    </a:prstGeom>
                    <a:noFill/>
                    <a:ln>
                      <a:noFill/>
                    </a:ln>
                  </pic:spPr>
                </pic:pic>
              </a:graphicData>
            </a:graphic>
          </wp:inline>
        </w:drawing>
      </w:r>
    </w:p>
    <w:p w14:paraId="5349048A" w14:textId="77777777" w:rsidR="00321689" w:rsidRDefault="00321689" w:rsidP="00087B7F">
      <w:pPr>
        <w:jc w:val="center"/>
        <w:rPr>
          <w:rFonts w:ascii="Verdana" w:hAnsi="Verdana" w:cs="Arial"/>
          <w:lang w:eastAsia="en-US"/>
        </w:rPr>
      </w:pPr>
      <w:r>
        <w:rPr>
          <w:rFonts w:ascii="Verdana" w:eastAsia="Times New Roman" w:hAnsi="Verdana" w:cs="Arial"/>
          <w:color w:val="000000"/>
          <w:sz w:val="16"/>
          <w:szCs w:val="16"/>
          <w:lang w:eastAsia="es-CO"/>
        </w:rPr>
        <w:t>Fuente: Entidad territorial – Ejecuciones presupuestales.</w:t>
      </w:r>
    </w:p>
    <w:p w14:paraId="33400AA9" w14:textId="77777777" w:rsidR="00321689" w:rsidRDefault="00321689" w:rsidP="00321689">
      <w:pPr>
        <w:jc w:val="both"/>
        <w:rPr>
          <w:rFonts w:ascii="Verdana" w:hAnsi="Verdana" w:cs="Arial"/>
        </w:rPr>
      </w:pPr>
    </w:p>
    <w:p w14:paraId="3AE5B7C8" w14:textId="77777777" w:rsidR="00321689" w:rsidRPr="006771CF" w:rsidRDefault="00321689" w:rsidP="006771CF">
      <w:pPr>
        <w:pStyle w:val="Prrafodelista"/>
        <w:numPr>
          <w:ilvl w:val="0"/>
          <w:numId w:val="20"/>
        </w:numPr>
        <w:jc w:val="both"/>
        <w:rPr>
          <w:rFonts w:ascii="Verdana" w:hAnsi="Verdana" w:cs="Arial"/>
          <w:sz w:val="21"/>
          <w:szCs w:val="21"/>
        </w:rPr>
      </w:pPr>
      <w:r w:rsidRPr="006771CF">
        <w:rPr>
          <w:rFonts w:ascii="Verdana" w:hAnsi="Verdana" w:cs="Arial"/>
          <w:sz w:val="21"/>
          <w:szCs w:val="21"/>
        </w:rPr>
        <w:t>En el 2022 el Departamento del Cesar reportó compromisos por $83.668 millones correspondientes a una ejecución de 71%, 1 puntos porcentuales superior a lo ejecutado en 2021 (72%).</w:t>
      </w:r>
    </w:p>
    <w:p w14:paraId="19C84AF3" w14:textId="77777777" w:rsidR="00321689" w:rsidRPr="00AE40AC" w:rsidRDefault="00321689" w:rsidP="00321689">
      <w:pPr>
        <w:jc w:val="both"/>
        <w:rPr>
          <w:rFonts w:ascii="Verdana" w:hAnsi="Verdana" w:cs="Arial"/>
          <w:sz w:val="21"/>
          <w:szCs w:val="21"/>
        </w:rPr>
      </w:pPr>
    </w:p>
    <w:p w14:paraId="33F01735" w14:textId="77777777" w:rsidR="00321689" w:rsidRPr="006771CF" w:rsidRDefault="00321689" w:rsidP="006771CF">
      <w:pPr>
        <w:pStyle w:val="Prrafodelista"/>
        <w:numPr>
          <w:ilvl w:val="0"/>
          <w:numId w:val="20"/>
        </w:numPr>
        <w:jc w:val="both"/>
        <w:rPr>
          <w:rFonts w:ascii="Verdana" w:hAnsi="Verdana" w:cs="Arial"/>
          <w:sz w:val="21"/>
          <w:szCs w:val="21"/>
        </w:rPr>
      </w:pPr>
      <w:r w:rsidRPr="006771CF">
        <w:rPr>
          <w:rFonts w:ascii="Verdana" w:hAnsi="Verdana" w:cs="Arial"/>
          <w:sz w:val="21"/>
          <w:szCs w:val="21"/>
        </w:rPr>
        <w:t xml:space="preserve">En cuanto al comportamiento presentado por cada una de las subcuentas, de manera positiva se destaca la cuenta de régimen subsidiado cuya ejecución estuvo en el 89%, 3 puntos porcentuales superior a la ejecución de 2022. </w:t>
      </w:r>
      <w:r w:rsidRPr="006771CF">
        <w:rPr>
          <w:rFonts w:ascii="Verdana" w:hAnsi="Verdana" w:cs="Arial"/>
          <w:sz w:val="21"/>
          <w:szCs w:val="21"/>
        </w:rPr>
        <w:lastRenderedPageBreak/>
        <w:t>Ahora, las cuentas de prestación de servicios (55%), otros gastos en salud (71%), y salud pública (82%) presentaron una baja ejecución, sin embargo, al compararlas con la vigencia 2021, se observa un crecimiento de 13 puntos porcentuales en la ejecución de la subcuenta salud pública, que si bien mejora aún es bajo para este tipo de gasto.</w:t>
      </w:r>
    </w:p>
    <w:p w14:paraId="1CB7184F" w14:textId="77777777" w:rsidR="00321689" w:rsidRPr="00AE40AC" w:rsidRDefault="00321689" w:rsidP="00321689">
      <w:pPr>
        <w:jc w:val="both"/>
        <w:rPr>
          <w:rFonts w:ascii="Verdana" w:hAnsi="Verdana" w:cs="Arial"/>
          <w:sz w:val="21"/>
          <w:szCs w:val="21"/>
        </w:rPr>
      </w:pPr>
    </w:p>
    <w:p w14:paraId="372C5030" w14:textId="77777777" w:rsidR="00321689" w:rsidRPr="006771CF" w:rsidRDefault="00321689" w:rsidP="006771CF">
      <w:pPr>
        <w:pStyle w:val="Prrafodelista"/>
        <w:numPr>
          <w:ilvl w:val="0"/>
          <w:numId w:val="20"/>
        </w:numPr>
        <w:jc w:val="both"/>
        <w:rPr>
          <w:rFonts w:ascii="Verdana" w:hAnsi="Verdana" w:cs="Arial"/>
          <w:sz w:val="21"/>
          <w:szCs w:val="21"/>
        </w:rPr>
      </w:pPr>
      <w:r w:rsidRPr="006771CF">
        <w:rPr>
          <w:rFonts w:ascii="Verdana" w:hAnsi="Verdana" w:cs="Arial"/>
          <w:sz w:val="21"/>
          <w:szCs w:val="21"/>
        </w:rPr>
        <w:t xml:space="preserve">En cuanto a la baja ejecución en la subcuenta de prestación de servicios en la vigencia 2022, esta corresponde a los recursos pendientes por pagar a los hospitales </w:t>
      </w:r>
      <w:r w:rsidR="00B91C16" w:rsidRPr="006771CF">
        <w:rPr>
          <w:rFonts w:ascii="Verdana" w:hAnsi="Verdana" w:cs="Arial"/>
          <w:sz w:val="21"/>
          <w:szCs w:val="21"/>
        </w:rPr>
        <w:t xml:space="preserve">dada la debilidad evidenciada en el </w:t>
      </w:r>
      <w:r w:rsidRPr="006771CF">
        <w:rPr>
          <w:rFonts w:ascii="Verdana" w:hAnsi="Verdana" w:cs="Arial"/>
          <w:sz w:val="21"/>
          <w:szCs w:val="21"/>
        </w:rPr>
        <w:t>proceso de auditoría.</w:t>
      </w:r>
    </w:p>
    <w:p w14:paraId="3A0D11D6" w14:textId="77777777" w:rsidR="00321689" w:rsidRPr="00AE40AC" w:rsidRDefault="00321689" w:rsidP="00321689">
      <w:pPr>
        <w:jc w:val="both"/>
        <w:rPr>
          <w:rFonts w:ascii="Verdana" w:hAnsi="Verdana" w:cs="Arial"/>
          <w:sz w:val="21"/>
          <w:szCs w:val="21"/>
        </w:rPr>
      </w:pPr>
    </w:p>
    <w:p w14:paraId="227214C3" w14:textId="77777777" w:rsidR="00321689" w:rsidRPr="006771CF" w:rsidRDefault="00321689" w:rsidP="006771CF">
      <w:pPr>
        <w:pStyle w:val="Prrafodelista"/>
        <w:numPr>
          <w:ilvl w:val="0"/>
          <w:numId w:val="20"/>
        </w:numPr>
        <w:jc w:val="both"/>
        <w:rPr>
          <w:rFonts w:ascii="Verdana" w:hAnsi="Verdana" w:cs="Arial"/>
          <w:sz w:val="21"/>
          <w:szCs w:val="21"/>
        </w:rPr>
      </w:pPr>
      <w:r w:rsidRPr="006771CF">
        <w:rPr>
          <w:rFonts w:ascii="Verdana" w:hAnsi="Verdana" w:cs="Arial"/>
          <w:sz w:val="21"/>
          <w:szCs w:val="21"/>
        </w:rPr>
        <w:t xml:space="preserve">Frente al comportamiento de los otros gastos en salud, se observó una disminución en el porcentaje de ejecución (71%), correspondiente </w:t>
      </w:r>
      <w:r w:rsidR="00B91C16" w:rsidRPr="006771CF">
        <w:rPr>
          <w:rFonts w:ascii="Verdana" w:hAnsi="Verdana" w:cs="Arial"/>
          <w:sz w:val="21"/>
          <w:szCs w:val="21"/>
        </w:rPr>
        <w:t xml:space="preserve">a </w:t>
      </w:r>
      <w:r w:rsidRPr="006771CF">
        <w:rPr>
          <w:rFonts w:ascii="Verdana" w:hAnsi="Verdana" w:cs="Arial"/>
          <w:sz w:val="21"/>
          <w:szCs w:val="21"/>
        </w:rPr>
        <w:t xml:space="preserve">19 puntos porcentuales, con respecto a la vigencia 2021, esto como consecuencia de </w:t>
      </w:r>
      <w:r w:rsidR="00B91C16" w:rsidRPr="006771CF">
        <w:rPr>
          <w:rFonts w:ascii="Verdana" w:hAnsi="Verdana" w:cs="Arial"/>
          <w:sz w:val="21"/>
          <w:szCs w:val="21"/>
        </w:rPr>
        <w:t xml:space="preserve">una </w:t>
      </w:r>
      <w:r w:rsidRPr="006771CF">
        <w:rPr>
          <w:rFonts w:ascii="Verdana" w:hAnsi="Verdana" w:cs="Arial"/>
          <w:sz w:val="21"/>
          <w:szCs w:val="21"/>
        </w:rPr>
        <w:t>menor ejecución en los gastos de personal y en gastos asociados a la implementación de las acciones en promoción social mediante la atención en salud a personas con discapacidad vigencia 2022.</w:t>
      </w:r>
    </w:p>
    <w:p w14:paraId="0D934466" w14:textId="77777777" w:rsidR="00321689" w:rsidRPr="00AE40AC" w:rsidRDefault="00321689" w:rsidP="00321689">
      <w:pPr>
        <w:jc w:val="both"/>
        <w:rPr>
          <w:rFonts w:ascii="Verdana" w:hAnsi="Verdana" w:cs="Arial"/>
          <w:sz w:val="21"/>
          <w:szCs w:val="21"/>
        </w:rPr>
      </w:pPr>
    </w:p>
    <w:p w14:paraId="65B3C270" w14:textId="77777777" w:rsidR="00321689" w:rsidRPr="006771CF" w:rsidRDefault="00321689" w:rsidP="006771CF">
      <w:pPr>
        <w:pStyle w:val="Prrafodelista"/>
        <w:numPr>
          <w:ilvl w:val="0"/>
          <w:numId w:val="20"/>
        </w:numPr>
        <w:jc w:val="both"/>
        <w:rPr>
          <w:rFonts w:ascii="Verdana" w:hAnsi="Verdana" w:cs="Arial"/>
          <w:sz w:val="21"/>
          <w:szCs w:val="21"/>
        </w:rPr>
      </w:pPr>
      <w:r w:rsidRPr="006771CF">
        <w:rPr>
          <w:rFonts w:ascii="Verdana" w:hAnsi="Verdana" w:cs="Arial"/>
          <w:sz w:val="21"/>
          <w:szCs w:val="21"/>
        </w:rPr>
        <w:t>Por último, al comparar la información presupuestal entregada por la Entidad con la reportada en CCPET y su validación en el CUIPO, fue posible determinar de manera agregada lo siguiente:</w:t>
      </w:r>
    </w:p>
    <w:p w14:paraId="3C37242B" w14:textId="77777777" w:rsidR="00884E4A" w:rsidRDefault="00884E4A" w:rsidP="00321689">
      <w:pPr>
        <w:autoSpaceDE w:val="0"/>
        <w:autoSpaceDN w:val="0"/>
        <w:adjustRightInd w:val="0"/>
        <w:jc w:val="center"/>
        <w:rPr>
          <w:rFonts w:ascii="Verdana" w:eastAsia="ヒラギノ角ゴ Pro W3" w:hAnsi="Verdana" w:cs="Arial"/>
          <w:b/>
          <w:color w:val="B48C41"/>
          <w:sz w:val="18"/>
          <w:szCs w:val="18"/>
        </w:rPr>
      </w:pPr>
    </w:p>
    <w:p w14:paraId="2A736B86"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Tabla No 7</w:t>
      </w:r>
    </w:p>
    <w:p w14:paraId="28F0CEB8"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Valores en Millones</w:t>
      </w:r>
    </w:p>
    <w:p w14:paraId="393736EB" w14:textId="77777777" w:rsidR="00321689" w:rsidRDefault="00321689" w:rsidP="00321689">
      <w:pPr>
        <w:jc w:val="both"/>
        <w:rPr>
          <w:rFonts w:ascii="Verdana" w:eastAsiaTheme="minorHAnsi" w:hAnsi="Verdana" w:cs="Arial"/>
          <w:sz w:val="16"/>
          <w:szCs w:val="16"/>
        </w:rPr>
      </w:pPr>
      <w:r>
        <w:rPr>
          <w:rFonts w:ascii="Verdana" w:hAnsi="Verdana"/>
          <w:noProof/>
          <w:lang w:val="es-CO" w:eastAsia="es-CO"/>
        </w:rPr>
        <w:drawing>
          <wp:inline distT="0" distB="0" distL="0" distR="0" wp14:anchorId="19A3D11B" wp14:editId="3C99C40A">
            <wp:extent cx="5613400" cy="1193800"/>
            <wp:effectExtent l="0" t="0" r="635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400" cy="1193800"/>
                    </a:xfrm>
                    <a:prstGeom prst="rect">
                      <a:avLst/>
                    </a:prstGeom>
                    <a:noFill/>
                    <a:ln>
                      <a:noFill/>
                    </a:ln>
                  </pic:spPr>
                </pic:pic>
              </a:graphicData>
            </a:graphic>
          </wp:inline>
        </w:drawing>
      </w:r>
    </w:p>
    <w:p w14:paraId="1642B98E" w14:textId="77777777" w:rsidR="00321689" w:rsidRDefault="00321689" w:rsidP="00087B7F">
      <w:pPr>
        <w:jc w:val="center"/>
        <w:rPr>
          <w:rFonts w:ascii="Verdana" w:hAnsi="Verdana" w:cs="Arial"/>
          <w:sz w:val="16"/>
          <w:szCs w:val="16"/>
        </w:rPr>
      </w:pPr>
      <w:r>
        <w:rPr>
          <w:rFonts w:ascii="Verdana" w:hAnsi="Verdana" w:cs="Arial"/>
          <w:sz w:val="16"/>
          <w:szCs w:val="16"/>
        </w:rPr>
        <w:t>Fuente: Elaboración propia con información entidad territorial y CUIPO</w:t>
      </w:r>
    </w:p>
    <w:p w14:paraId="18D52A72" w14:textId="77777777" w:rsidR="00321689" w:rsidRDefault="00321689" w:rsidP="00321689">
      <w:pPr>
        <w:jc w:val="both"/>
        <w:rPr>
          <w:rFonts w:ascii="Verdana" w:hAnsi="Verdana" w:cs="Arial"/>
          <w:sz w:val="22"/>
          <w:szCs w:val="22"/>
        </w:rPr>
      </w:pPr>
    </w:p>
    <w:p w14:paraId="44CA112F" w14:textId="77777777" w:rsidR="00321689" w:rsidRPr="006771CF" w:rsidRDefault="00321689" w:rsidP="006771CF">
      <w:pPr>
        <w:pStyle w:val="Prrafodelista"/>
        <w:numPr>
          <w:ilvl w:val="0"/>
          <w:numId w:val="21"/>
        </w:numPr>
        <w:jc w:val="both"/>
        <w:rPr>
          <w:rFonts w:ascii="Verdana" w:hAnsi="Verdana" w:cs="Arial"/>
          <w:sz w:val="21"/>
          <w:szCs w:val="21"/>
        </w:rPr>
      </w:pPr>
      <w:r w:rsidRPr="006771CF">
        <w:rPr>
          <w:rFonts w:ascii="Verdana" w:hAnsi="Verdana" w:cs="Arial"/>
          <w:sz w:val="21"/>
          <w:szCs w:val="21"/>
        </w:rPr>
        <w:t>De tal forma que de manera agregada existen inconsistencia</w:t>
      </w:r>
      <w:r w:rsidR="00B91C16" w:rsidRPr="006771CF">
        <w:rPr>
          <w:rFonts w:ascii="Verdana" w:hAnsi="Verdana" w:cs="Arial"/>
          <w:sz w:val="21"/>
          <w:szCs w:val="21"/>
        </w:rPr>
        <w:t>s</w:t>
      </w:r>
      <w:r w:rsidRPr="006771CF">
        <w:rPr>
          <w:rFonts w:ascii="Verdana" w:hAnsi="Verdana" w:cs="Arial"/>
          <w:sz w:val="21"/>
          <w:szCs w:val="21"/>
        </w:rPr>
        <w:t xml:space="preserve"> entre la ejecución presupuestal entregada y los valores reportados por la </w:t>
      </w:r>
      <w:r w:rsidR="00364608">
        <w:rPr>
          <w:rFonts w:ascii="Verdana" w:hAnsi="Verdana" w:cs="Arial"/>
          <w:sz w:val="21"/>
          <w:szCs w:val="21"/>
        </w:rPr>
        <w:t>E</w:t>
      </w:r>
      <w:r w:rsidRPr="006771CF">
        <w:rPr>
          <w:rFonts w:ascii="Verdana" w:hAnsi="Verdana" w:cs="Arial"/>
          <w:sz w:val="21"/>
          <w:szCs w:val="21"/>
        </w:rPr>
        <w:t>ntidad en CUIPO.</w:t>
      </w:r>
    </w:p>
    <w:p w14:paraId="170213A4" w14:textId="77777777" w:rsidR="00321689" w:rsidRPr="00AE40AC" w:rsidRDefault="00321689" w:rsidP="00321689">
      <w:pPr>
        <w:jc w:val="both"/>
        <w:rPr>
          <w:rFonts w:ascii="Verdana" w:hAnsi="Verdana" w:cs="Arial"/>
          <w:sz w:val="21"/>
          <w:szCs w:val="21"/>
        </w:rPr>
      </w:pPr>
    </w:p>
    <w:p w14:paraId="45B82CB5" w14:textId="77777777" w:rsidR="00321689" w:rsidRPr="006771CF" w:rsidRDefault="00321689" w:rsidP="006771CF">
      <w:pPr>
        <w:pStyle w:val="Prrafodelista"/>
        <w:numPr>
          <w:ilvl w:val="0"/>
          <w:numId w:val="21"/>
        </w:numPr>
        <w:jc w:val="both"/>
        <w:rPr>
          <w:rFonts w:ascii="Verdana" w:hAnsi="Verdana" w:cs="Arial"/>
          <w:sz w:val="21"/>
          <w:szCs w:val="21"/>
        </w:rPr>
      </w:pPr>
      <w:r w:rsidRPr="006771CF">
        <w:rPr>
          <w:rFonts w:ascii="Verdana" w:hAnsi="Verdana" w:cs="Arial"/>
          <w:sz w:val="21"/>
          <w:szCs w:val="21"/>
        </w:rPr>
        <w:t>Al igual que en el ingreso, el análisis comparativo entre la información presupuestal presentada por la Entidad Territorial y el reporte de la información en el CUIPO relacionada con los gastos del Fondo Local de Salud se ve limitada, toda vez que la Entidad no incluyó la variable detalle sectorial “Fondo Local de Salud” y tampoco identificó la información en el sector correspondiente.</w:t>
      </w:r>
    </w:p>
    <w:p w14:paraId="4597E316" w14:textId="77777777" w:rsidR="00D35EDA" w:rsidRPr="00AE40AC" w:rsidRDefault="00D35EDA" w:rsidP="00321689">
      <w:pPr>
        <w:jc w:val="both"/>
        <w:rPr>
          <w:rFonts w:ascii="Verdana" w:hAnsi="Verdana" w:cs="Arial"/>
          <w:sz w:val="21"/>
          <w:szCs w:val="21"/>
        </w:rPr>
      </w:pPr>
    </w:p>
    <w:p w14:paraId="6EEF99D5" w14:textId="77777777" w:rsidR="00321689" w:rsidRPr="00AE40AC" w:rsidRDefault="00321689" w:rsidP="00AE40AC">
      <w:pPr>
        <w:jc w:val="both"/>
        <w:rPr>
          <w:rFonts w:ascii="Verdana" w:hAnsi="Verdana" w:cs="Arial"/>
          <w:b/>
          <w:sz w:val="21"/>
          <w:szCs w:val="21"/>
        </w:rPr>
      </w:pPr>
      <w:r w:rsidRPr="00AE40AC">
        <w:rPr>
          <w:rFonts w:ascii="Verdana" w:hAnsi="Verdana" w:cs="Arial"/>
          <w:b/>
          <w:sz w:val="21"/>
          <w:szCs w:val="21"/>
        </w:rPr>
        <w:t>2.2. Corte marzo 2022 y 2023.</w:t>
      </w:r>
    </w:p>
    <w:p w14:paraId="78ED6E38" w14:textId="77777777" w:rsidR="00321689" w:rsidRDefault="00321689" w:rsidP="00321689">
      <w:pPr>
        <w:jc w:val="both"/>
        <w:rPr>
          <w:rFonts w:ascii="Verdana" w:hAnsi="Verdana" w:cs="Arial"/>
          <w:sz w:val="21"/>
          <w:szCs w:val="21"/>
        </w:rPr>
      </w:pPr>
    </w:p>
    <w:p w14:paraId="47AA65A3" w14:textId="77777777" w:rsidR="00321689" w:rsidRPr="00AE40AC" w:rsidRDefault="00321689" w:rsidP="00321689">
      <w:pPr>
        <w:jc w:val="both"/>
        <w:rPr>
          <w:rFonts w:ascii="Verdana" w:hAnsi="Verdana" w:cs="Arial"/>
          <w:sz w:val="21"/>
          <w:szCs w:val="21"/>
        </w:rPr>
      </w:pPr>
      <w:r w:rsidRPr="00AE40AC">
        <w:rPr>
          <w:rFonts w:ascii="Verdana" w:hAnsi="Verdana" w:cs="Arial"/>
          <w:sz w:val="21"/>
          <w:szCs w:val="21"/>
        </w:rPr>
        <w:t>El avance de la ejecución del gasto al primer trimestre se detalla a continuación:</w:t>
      </w:r>
    </w:p>
    <w:p w14:paraId="6F09EB77" w14:textId="77777777" w:rsidR="00321689" w:rsidRDefault="00321689" w:rsidP="00321689">
      <w:pPr>
        <w:jc w:val="center"/>
        <w:rPr>
          <w:rFonts w:ascii="Verdana" w:hAnsi="Verdana" w:cs="Arial"/>
          <w:sz w:val="18"/>
          <w:szCs w:val="18"/>
        </w:rPr>
      </w:pPr>
    </w:p>
    <w:p w14:paraId="6A9B187B"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Tabla No 8</w:t>
      </w:r>
    </w:p>
    <w:p w14:paraId="5B072862"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Valores en Millones</w:t>
      </w:r>
    </w:p>
    <w:p w14:paraId="3CA5218D" w14:textId="77777777" w:rsidR="00321689" w:rsidRDefault="00321689" w:rsidP="00321689">
      <w:pPr>
        <w:jc w:val="both"/>
        <w:rPr>
          <w:rFonts w:ascii="Verdana" w:eastAsiaTheme="minorHAnsi" w:hAnsi="Verdana" w:cs="Arial"/>
          <w:sz w:val="22"/>
          <w:szCs w:val="22"/>
        </w:rPr>
      </w:pPr>
      <w:r>
        <w:rPr>
          <w:rFonts w:ascii="Verdana" w:hAnsi="Verdana"/>
          <w:noProof/>
          <w:lang w:val="es-CO" w:eastAsia="es-CO"/>
        </w:rPr>
        <w:lastRenderedPageBreak/>
        <w:drawing>
          <wp:inline distT="0" distB="0" distL="0" distR="0" wp14:anchorId="72027531" wp14:editId="6356D687">
            <wp:extent cx="5607050" cy="174625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050" cy="1746250"/>
                    </a:xfrm>
                    <a:prstGeom prst="rect">
                      <a:avLst/>
                    </a:prstGeom>
                    <a:noFill/>
                    <a:ln>
                      <a:noFill/>
                    </a:ln>
                  </pic:spPr>
                </pic:pic>
              </a:graphicData>
            </a:graphic>
          </wp:inline>
        </w:drawing>
      </w:r>
    </w:p>
    <w:p w14:paraId="2604F1EB" w14:textId="77777777" w:rsidR="00321689" w:rsidRDefault="00321689" w:rsidP="00087B7F">
      <w:pPr>
        <w:jc w:val="center"/>
        <w:rPr>
          <w:rFonts w:ascii="Verdana" w:hAnsi="Verdana" w:cs="Arial"/>
        </w:rPr>
      </w:pPr>
      <w:r>
        <w:rPr>
          <w:rFonts w:ascii="Verdana" w:eastAsia="Times New Roman" w:hAnsi="Verdana" w:cs="Arial"/>
          <w:color w:val="000000"/>
          <w:sz w:val="16"/>
          <w:szCs w:val="16"/>
          <w:lang w:eastAsia="es-CO"/>
        </w:rPr>
        <w:t>Fuente: Entidad territorial – Ejecuciones presupuestales</w:t>
      </w:r>
    </w:p>
    <w:p w14:paraId="26C19A17" w14:textId="77777777" w:rsidR="00321689" w:rsidRDefault="00321689" w:rsidP="00321689">
      <w:pPr>
        <w:jc w:val="both"/>
        <w:rPr>
          <w:rFonts w:ascii="Verdana" w:hAnsi="Verdana" w:cs="Arial"/>
        </w:rPr>
      </w:pPr>
    </w:p>
    <w:p w14:paraId="6C413666" w14:textId="77777777" w:rsidR="00321689" w:rsidRPr="006771CF" w:rsidRDefault="00321689" w:rsidP="006771CF">
      <w:pPr>
        <w:pStyle w:val="Prrafodelista"/>
        <w:numPr>
          <w:ilvl w:val="0"/>
          <w:numId w:val="22"/>
        </w:numPr>
        <w:jc w:val="both"/>
        <w:rPr>
          <w:rFonts w:ascii="Verdana" w:hAnsi="Verdana" w:cs="Arial"/>
          <w:sz w:val="21"/>
          <w:szCs w:val="21"/>
        </w:rPr>
      </w:pPr>
      <w:r w:rsidRPr="006771CF">
        <w:rPr>
          <w:rFonts w:ascii="Verdana" w:hAnsi="Verdana" w:cs="Arial"/>
          <w:sz w:val="21"/>
          <w:szCs w:val="21"/>
        </w:rPr>
        <w:t>A marzo de 2023 el Departamento del Cesar reportó un avance en la ejecución del gasto de 14%, 4 puntos porcentuales inferior al presentado al mismo trimestre de 2022. Cabe destacar que al corte de marzo de 2022 como de 2023 la subcuenta de prestación de servicios no presenta ejecución, lo anterior debido a que la Entidad no ha realizado el proceso de contratación.</w:t>
      </w:r>
    </w:p>
    <w:p w14:paraId="1CD0E34A" w14:textId="77777777" w:rsidR="00321689" w:rsidRPr="00AE40AC" w:rsidRDefault="00321689" w:rsidP="00321689">
      <w:pPr>
        <w:jc w:val="both"/>
        <w:rPr>
          <w:rFonts w:ascii="Verdana" w:hAnsi="Verdana" w:cs="Arial"/>
          <w:sz w:val="21"/>
          <w:szCs w:val="21"/>
        </w:rPr>
      </w:pPr>
    </w:p>
    <w:p w14:paraId="14AC47A8" w14:textId="77777777" w:rsidR="00321689" w:rsidRPr="006771CF" w:rsidRDefault="00321689" w:rsidP="006771CF">
      <w:pPr>
        <w:pStyle w:val="Prrafodelista"/>
        <w:numPr>
          <w:ilvl w:val="0"/>
          <w:numId w:val="22"/>
        </w:numPr>
        <w:jc w:val="both"/>
        <w:rPr>
          <w:rFonts w:ascii="Verdana" w:hAnsi="Verdana" w:cs="Arial"/>
          <w:sz w:val="21"/>
          <w:szCs w:val="21"/>
        </w:rPr>
      </w:pPr>
      <w:r w:rsidRPr="006771CF">
        <w:rPr>
          <w:rFonts w:ascii="Verdana" w:hAnsi="Verdana" w:cs="Arial"/>
          <w:sz w:val="21"/>
          <w:szCs w:val="21"/>
        </w:rPr>
        <w:t>Frente a Salud Pública se observó una ejecución del 28%, 13 puntos porcentuales menos que lo ejecutado en la vigencia 2022, esto debido a que la contratación se encuentra en fase de elaboración.</w:t>
      </w:r>
    </w:p>
    <w:p w14:paraId="3045AD3B" w14:textId="77777777" w:rsidR="00321689" w:rsidRPr="00AE40AC" w:rsidRDefault="00321689" w:rsidP="00321689">
      <w:pPr>
        <w:jc w:val="both"/>
        <w:rPr>
          <w:rFonts w:ascii="Verdana" w:hAnsi="Verdana" w:cs="Arial"/>
          <w:sz w:val="21"/>
          <w:szCs w:val="21"/>
        </w:rPr>
      </w:pPr>
    </w:p>
    <w:p w14:paraId="7C1388EC" w14:textId="77777777" w:rsidR="00321689" w:rsidRPr="006771CF" w:rsidRDefault="00321689" w:rsidP="006771CF">
      <w:pPr>
        <w:pStyle w:val="Prrafodelista"/>
        <w:numPr>
          <w:ilvl w:val="0"/>
          <w:numId w:val="22"/>
        </w:numPr>
        <w:jc w:val="both"/>
        <w:rPr>
          <w:rFonts w:ascii="Verdana" w:hAnsi="Verdana" w:cs="Arial"/>
          <w:sz w:val="21"/>
          <w:szCs w:val="21"/>
        </w:rPr>
      </w:pPr>
      <w:r w:rsidRPr="006771CF">
        <w:rPr>
          <w:rFonts w:ascii="Verdana" w:hAnsi="Verdana" w:cs="Arial"/>
          <w:sz w:val="21"/>
          <w:szCs w:val="21"/>
        </w:rPr>
        <w:t>En cuanto a los Otros gastos en salud, se observa una variación nominal de 26 puntos porcentuales.</w:t>
      </w:r>
    </w:p>
    <w:p w14:paraId="1478B36F" w14:textId="77777777" w:rsidR="00321689" w:rsidRPr="00AE40AC" w:rsidRDefault="00321689" w:rsidP="00321689">
      <w:pPr>
        <w:jc w:val="both"/>
        <w:rPr>
          <w:rFonts w:ascii="Verdana" w:hAnsi="Verdana" w:cs="Arial"/>
          <w:sz w:val="21"/>
          <w:szCs w:val="21"/>
        </w:rPr>
      </w:pPr>
    </w:p>
    <w:p w14:paraId="758859CD" w14:textId="77777777" w:rsidR="00321689" w:rsidRPr="006771CF" w:rsidRDefault="00321689" w:rsidP="005039EC">
      <w:pPr>
        <w:jc w:val="both"/>
        <w:rPr>
          <w:rFonts w:ascii="Verdana" w:hAnsi="Verdana" w:cs="Arial"/>
          <w:sz w:val="21"/>
          <w:szCs w:val="21"/>
        </w:rPr>
      </w:pPr>
      <w:r w:rsidRPr="006771CF">
        <w:rPr>
          <w:rFonts w:ascii="Verdana" w:hAnsi="Verdana" w:cs="Arial"/>
          <w:sz w:val="21"/>
          <w:szCs w:val="21"/>
        </w:rPr>
        <w:t xml:space="preserve">En conclusión, respecto al componente presupuestal del FLS se corroboró la información reportada por el Ministerio de </w:t>
      </w:r>
      <w:r w:rsidR="006100DD">
        <w:rPr>
          <w:rFonts w:ascii="Verdana" w:hAnsi="Verdana" w:cs="Arial"/>
          <w:sz w:val="21"/>
          <w:szCs w:val="21"/>
        </w:rPr>
        <w:t>S</w:t>
      </w:r>
      <w:r w:rsidRPr="006771CF">
        <w:rPr>
          <w:rFonts w:ascii="Verdana" w:hAnsi="Verdana" w:cs="Arial"/>
          <w:sz w:val="21"/>
          <w:szCs w:val="21"/>
        </w:rPr>
        <w:t xml:space="preserve">alud y </w:t>
      </w:r>
      <w:r w:rsidR="006100DD">
        <w:rPr>
          <w:rFonts w:ascii="Verdana" w:hAnsi="Verdana" w:cs="Arial"/>
          <w:sz w:val="21"/>
          <w:szCs w:val="21"/>
        </w:rPr>
        <w:t>P</w:t>
      </w:r>
      <w:r w:rsidRPr="006771CF">
        <w:rPr>
          <w:rFonts w:ascii="Verdana" w:hAnsi="Verdana" w:cs="Arial"/>
          <w:sz w:val="21"/>
          <w:szCs w:val="21"/>
        </w:rPr>
        <w:t xml:space="preserve">rotección </w:t>
      </w:r>
      <w:r w:rsidR="006100DD">
        <w:rPr>
          <w:rFonts w:ascii="Verdana" w:hAnsi="Verdana" w:cs="Arial"/>
          <w:sz w:val="21"/>
          <w:szCs w:val="21"/>
        </w:rPr>
        <w:t>S</w:t>
      </w:r>
      <w:r w:rsidRPr="006771CF">
        <w:rPr>
          <w:rFonts w:ascii="Verdana" w:hAnsi="Verdana" w:cs="Arial"/>
          <w:sz w:val="21"/>
          <w:szCs w:val="21"/>
        </w:rPr>
        <w:t>ocial en el informe de monitoreo de la vigencia 2021, sobre la baja ejecución, la cual continua en la vigencia 2022. Si bien se observó un aumento importante en la ejecución de la subcuenta salud pública, aún no logra tener una ejecución en niveles óptimos.</w:t>
      </w:r>
    </w:p>
    <w:p w14:paraId="0AE9FB52" w14:textId="77777777" w:rsidR="00321689" w:rsidRPr="00AE40AC" w:rsidRDefault="00321689" w:rsidP="00321689">
      <w:pPr>
        <w:jc w:val="both"/>
        <w:rPr>
          <w:rFonts w:ascii="Verdana" w:hAnsi="Verdana" w:cs="Arial"/>
          <w:sz w:val="21"/>
          <w:szCs w:val="21"/>
        </w:rPr>
      </w:pPr>
    </w:p>
    <w:p w14:paraId="4D5B375B" w14:textId="77777777" w:rsidR="00321689" w:rsidRPr="006771CF" w:rsidRDefault="00321689" w:rsidP="005039EC">
      <w:pPr>
        <w:jc w:val="both"/>
        <w:rPr>
          <w:rFonts w:ascii="Verdana" w:hAnsi="Verdana" w:cs="Arial"/>
          <w:sz w:val="21"/>
          <w:szCs w:val="21"/>
        </w:rPr>
      </w:pPr>
      <w:r w:rsidRPr="006771CF">
        <w:rPr>
          <w:rFonts w:ascii="Verdana" w:hAnsi="Verdana" w:cs="Arial"/>
          <w:sz w:val="21"/>
          <w:szCs w:val="21"/>
        </w:rPr>
        <w:t>De igual forma se destaca la generación de manera recurrente de recursos del balance, producto de la baja ejecución descrita en el párrafo anterior.</w:t>
      </w:r>
    </w:p>
    <w:p w14:paraId="3F676B3C" w14:textId="77777777" w:rsidR="00321689" w:rsidRPr="00AE40AC" w:rsidRDefault="00321689" w:rsidP="00321689">
      <w:pPr>
        <w:jc w:val="both"/>
        <w:rPr>
          <w:rFonts w:ascii="Verdana" w:hAnsi="Verdana" w:cs="Arial"/>
          <w:sz w:val="21"/>
          <w:szCs w:val="21"/>
        </w:rPr>
      </w:pPr>
    </w:p>
    <w:p w14:paraId="7D89BA14" w14:textId="77777777" w:rsidR="00321689" w:rsidRPr="006771CF" w:rsidRDefault="00321689" w:rsidP="005039EC">
      <w:pPr>
        <w:jc w:val="both"/>
        <w:rPr>
          <w:rFonts w:ascii="Verdana" w:hAnsi="Verdana" w:cs="Arial"/>
          <w:sz w:val="21"/>
          <w:szCs w:val="21"/>
        </w:rPr>
      </w:pPr>
      <w:r w:rsidRPr="006771CF">
        <w:rPr>
          <w:rFonts w:ascii="Verdana" w:hAnsi="Verdana" w:cs="Arial"/>
          <w:sz w:val="21"/>
          <w:szCs w:val="21"/>
        </w:rPr>
        <w:t>Por otro lado, la Entidad no tiene actualizado el acto administrativo de conformación del fondo local de salud con la normatividad vigente.</w:t>
      </w:r>
    </w:p>
    <w:p w14:paraId="27B496F1" w14:textId="77777777" w:rsidR="00667309" w:rsidRPr="00AE40AC" w:rsidRDefault="00667309" w:rsidP="00321689">
      <w:pPr>
        <w:jc w:val="both"/>
        <w:rPr>
          <w:rFonts w:ascii="Verdana" w:hAnsi="Verdana" w:cs="Arial"/>
          <w:sz w:val="21"/>
          <w:szCs w:val="21"/>
        </w:rPr>
      </w:pPr>
    </w:p>
    <w:p w14:paraId="560F50D3" w14:textId="77777777" w:rsidR="00321689" w:rsidRPr="00AE40AC" w:rsidRDefault="00321689" w:rsidP="00321689">
      <w:pPr>
        <w:pStyle w:val="Prrafodelista"/>
        <w:numPr>
          <w:ilvl w:val="0"/>
          <w:numId w:val="8"/>
        </w:numPr>
        <w:jc w:val="both"/>
        <w:rPr>
          <w:rFonts w:ascii="Verdana" w:hAnsi="Verdana" w:cs="Arial"/>
          <w:sz w:val="21"/>
          <w:szCs w:val="21"/>
        </w:rPr>
      </w:pPr>
      <w:r w:rsidRPr="00AE40AC">
        <w:rPr>
          <w:rFonts w:ascii="Verdana" w:eastAsia="Times New Roman" w:hAnsi="Verdana" w:cs="Arial"/>
          <w:b/>
          <w:sz w:val="21"/>
          <w:szCs w:val="21"/>
        </w:rPr>
        <w:t>Cierre fiscal y de tesorería</w:t>
      </w:r>
    </w:p>
    <w:p w14:paraId="249C8E1D" w14:textId="77777777" w:rsidR="00321689" w:rsidRPr="00AE40AC" w:rsidRDefault="00321689" w:rsidP="00321689">
      <w:pPr>
        <w:jc w:val="both"/>
        <w:rPr>
          <w:rFonts w:ascii="Verdana" w:hAnsi="Verdana" w:cs="Arial"/>
          <w:sz w:val="21"/>
          <w:szCs w:val="21"/>
        </w:rPr>
      </w:pPr>
    </w:p>
    <w:p w14:paraId="2504B1BF" w14:textId="77777777" w:rsidR="00321689" w:rsidRDefault="00321689" w:rsidP="00321689">
      <w:pPr>
        <w:jc w:val="both"/>
        <w:rPr>
          <w:rFonts w:ascii="Verdana" w:hAnsi="Verdana" w:cs="Arial"/>
          <w:sz w:val="21"/>
          <w:szCs w:val="21"/>
        </w:rPr>
      </w:pPr>
      <w:r>
        <w:rPr>
          <w:rFonts w:ascii="Verdana" w:hAnsi="Verdana" w:cs="Arial"/>
          <w:sz w:val="21"/>
          <w:szCs w:val="21"/>
        </w:rPr>
        <w:t>De acuerdo con lo expuesto, el cierre presupuestal y de tesorería del Fondo Local de Salud para la vigencia 2022 mostró lo siguiente:</w:t>
      </w:r>
    </w:p>
    <w:p w14:paraId="4023C39B" w14:textId="77777777" w:rsidR="00321689" w:rsidRDefault="00321689" w:rsidP="00321689">
      <w:pPr>
        <w:jc w:val="both"/>
        <w:rPr>
          <w:rFonts w:ascii="Verdana" w:hAnsi="Verdana" w:cs="Arial"/>
          <w:sz w:val="21"/>
          <w:szCs w:val="21"/>
        </w:rPr>
      </w:pPr>
    </w:p>
    <w:p w14:paraId="3713D545"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Tabla No 9</w:t>
      </w:r>
    </w:p>
    <w:p w14:paraId="0EE9883E"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Cifras en Millones</w:t>
      </w:r>
    </w:p>
    <w:p w14:paraId="301C73A3" w14:textId="77777777" w:rsidR="00321689" w:rsidRDefault="00321689" w:rsidP="00321689">
      <w:pPr>
        <w:jc w:val="center"/>
        <w:rPr>
          <w:rFonts w:ascii="Verdana" w:eastAsiaTheme="minorHAnsi" w:hAnsi="Verdana" w:cs="Arial"/>
          <w:sz w:val="18"/>
          <w:szCs w:val="18"/>
        </w:rPr>
      </w:pPr>
      <w:r>
        <w:rPr>
          <w:rFonts w:ascii="Verdana" w:hAnsi="Verdana"/>
          <w:noProof/>
          <w:lang w:val="es-CO" w:eastAsia="es-CO"/>
        </w:rPr>
        <w:lastRenderedPageBreak/>
        <w:drawing>
          <wp:inline distT="0" distB="0" distL="0" distR="0" wp14:anchorId="1570F175" wp14:editId="28EBC503">
            <wp:extent cx="4381500" cy="1930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0" cy="1930400"/>
                    </a:xfrm>
                    <a:prstGeom prst="rect">
                      <a:avLst/>
                    </a:prstGeom>
                    <a:noFill/>
                    <a:ln>
                      <a:noFill/>
                    </a:ln>
                  </pic:spPr>
                </pic:pic>
              </a:graphicData>
            </a:graphic>
          </wp:inline>
        </w:drawing>
      </w:r>
    </w:p>
    <w:p w14:paraId="4E8D0822" w14:textId="77777777" w:rsidR="00321689" w:rsidRDefault="00321689" w:rsidP="00087B7F">
      <w:pPr>
        <w:ind w:left="709"/>
        <w:jc w:val="center"/>
        <w:rPr>
          <w:rFonts w:ascii="Verdana" w:hAnsi="Verdana" w:cs="Arial"/>
          <w:sz w:val="16"/>
          <w:szCs w:val="16"/>
        </w:rPr>
      </w:pPr>
      <w:r>
        <w:rPr>
          <w:rFonts w:ascii="Verdana" w:hAnsi="Verdana" w:cs="Arial"/>
          <w:sz w:val="16"/>
          <w:szCs w:val="16"/>
        </w:rPr>
        <w:t xml:space="preserve">Fuente: Ejecuciones </w:t>
      </w:r>
      <w:r w:rsidR="00364608">
        <w:rPr>
          <w:rFonts w:ascii="Verdana" w:hAnsi="Verdana" w:cs="Arial"/>
          <w:sz w:val="16"/>
          <w:szCs w:val="16"/>
        </w:rPr>
        <w:t>E</w:t>
      </w:r>
      <w:r>
        <w:rPr>
          <w:rFonts w:ascii="Verdana" w:hAnsi="Verdana" w:cs="Arial"/>
          <w:sz w:val="16"/>
          <w:szCs w:val="16"/>
        </w:rPr>
        <w:t>ntidad territorial</w:t>
      </w:r>
    </w:p>
    <w:p w14:paraId="137DEAFA" w14:textId="77777777" w:rsidR="00321689" w:rsidRDefault="00321689" w:rsidP="00321689">
      <w:pPr>
        <w:jc w:val="both"/>
        <w:rPr>
          <w:rFonts w:ascii="Verdana" w:hAnsi="Verdana" w:cs="Arial"/>
          <w:sz w:val="22"/>
          <w:szCs w:val="22"/>
        </w:rPr>
      </w:pPr>
    </w:p>
    <w:p w14:paraId="60AC3E81" w14:textId="77777777" w:rsidR="00321689" w:rsidRPr="00AE40AC" w:rsidRDefault="00321689" w:rsidP="00321689">
      <w:pPr>
        <w:jc w:val="both"/>
        <w:rPr>
          <w:rFonts w:ascii="Verdana" w:hAnsi="Verdana" w:cs="Arial"/>
          <w:sz w:val="21"/>
          <w:szCs w:val="21"/>
        </w:rPr>
      </w:pPr>
      <w:r w:rsidRPr="00AE40AC">
        <w:rPr>
          <w:rFonts w:ascii="Verdana" w:hAnsi="Verdana" w:cs="Arial"/>
          <w:sz w:val="21"/>
          <w:szCs w:val="21"/>
        </w:rPr>
        <w:t xml:space="preserve">Frente al cierre fiscal y de tesorería de la vigencia 2022, se presentó un resultado Superavitario para la Entidad de $2.921 millones, debiendo constituir reservas por $4.576 millones y cuentas por pagar por $ 634 millones y un saldo mínimo en caja de $8.132 millones. Respecto a lo anterior, la Entidad Territorial presentó el Decreto 302 del 17 de enero de 2023, el cual contiene de manera agregada las reservas de la administración central, situación que impide la identificación de las correspondientes al sector salud. Sin embargo, la Entidad envío documento en Excel en el cual relaciona un valor de $4,576 millones, de reservas de 2022, constituidas en 2023, la cuales son consistentes con el ejercicio de la tabla No 5. Similar situación se observó en las cuentas por pagar, en las que el documento enviado por la entidad es consistente con el dato de cuentas por pagar del cuadro No 5. </w:t>
      </w:r>
    </w:p>
    <w:p w14:paraId="4AE6B1DB" w14:textId="77777777" w:rsidR="00321689" w:rsidRPr="00AE40AC" w:rsidRDefault="00321689" w:rsidP="00321689">
      <w:pPr>
        <w:jc w:val="both"/>
        <w:rPr>
          <w:rFonts w:ascii="Verdana" w:hAnsi="Verdana" w:cs="Arial"/>
          <w:sz w:val="21"/>
          <w:szCs w:val="21"/>
        </w:rPr>
      </w:pPr>
    </w:p>
    <w:p w14:paraId="0F41F3FB" w14:textId="77777777" w:rsidR="00321689" w:rsidRPr="00AE40AC" w:rsidRDefault="00321689" w:rsidP="00321689">
      <w:pPr>
        <w:jc w:val="both"/>
        <w:rPr>
          <w:rFonts w:ascii="Verdana" w:hAnsi="Verdana" w:cs="Arial"/>
          <w:sz w:val="21"/>
          <w:szCs w:val="21"/>
        </w:rPr>
      </w:pPr>
      <w:r w:rsidRPr="00AE40AC">
        <w:rPr>
          <w:rFonts w:ascii="Verdana" w:hAnsi="Verdana" w:cs="Arial"/>
          <w:sz w:val="21"/>
          <w:szCs w:val="21"/>
        </w:rPr>
        <w:t>En relación con la constitución de reservas presupuestales, cabe precisar que las mismas deben constituirse sobre aquellos compromisos contenidos en el presupuesto que se programaron y contrataron para ser ejecutados en su totalidad; es decir, para recibir los bienes a satisfacción durante la vigencia en que fueron contratados y que por alguna circunstancia excepcional no se cumplió con ese plazo.</w:t>
      </w:r>
    </w:p>
    <w:p w14:paraId="70399A5B" w14:textId="77777777" w:rsidR="00321689" w:rsidRPr="00AE40AC" w:rsidRDefault="00321689" w:rsidP="00321689">
      <w:pPr>
        <w:jc w:val="both"/>
        <w:rPr>
          <w:rFonts w:ascii="Verdana" w:hAnsi="Verdana" w:cs="Arial"/>
          <w:sz w:val="21"/>
          <w:szCs w:val="21"/>
        </w:rPr>
      </w:pPr>
    </w:p>
    <w:p w14:paraId="6CE37B69" w14:textId="77777777" w:rsidR="00321689" w:rsidRPr="00AE40AC" w:rsidRDefault="00321689" w:rsidP="00321689">
      <w:pPr>
        <w:jc w:val="both"/>
        <w:rPr>
          <w:rFonts w:ascii="Verdana" w:hAnsi="Verdana" w:cs="Arial"/>
          <w:sz w:val="21"/>
          <w:szCs w:val="21"/>
        </w:rPr>
      </w:pPr>
      <w:r w:rsidRPr="00AE40AC">
        <w:rPr>
          <w:rFonts w:ascii="Verdana" w:hAnsi="Verdana" w:cs="Arial"/>
          <w:sz w:val="21"/>
          <w:szCs w:val="21"/>
        </w:rPr>
        <w:t xml:space="preserve">Al comparar, el saldo mínimo en caja ($8.132 millones) con el saldo de tesorería reportado por la </w:t>
      </w:r>
      <w:r w:rsidR="00364608">
        <w:rPr>
          <w:rFonts w:ascii="Verdana" w:hAnsi="Verdana" w:cs="Arial"/>
          <w:sz w:val="21"/>
          <w:szCs w:val="21"/>
        </w:rPr>
        <w:t>E</w:t>
      </w:r>
      <w:r w:rsidRPr="00AE40AC">
        <w:rPr>
          <w:rFonts w:ascii="Verdana" w:hAnsi="Verdana" w:cs="Arial"/>
          <w:sz w:val="21"/>
          <w:szCs w:val="21"/>
        </w:rPr>
        <w:t xml:space="preserve">ntidad ($37.572 millones) se evidencia que son suficientes para financiar tanto las reservas como las cuentas por pagar. Por otro lado, el saldo existente después descontar las exigibilidades, denota la generación recurrente de recursos del balance, lo que es acorde con la baja ejecución que tuvo la </w:t>
      </w:r>
      <w:r w:rsidR="00364608">
        <w:rPr>
          <w:rFonts w:ascii="Verdana" w:hAnsi="Verdana" w:cs="Arial"/>
          <w:sz w:val="21"/>
          <w:szCs w:val="21"/>
        </w:rPr>
        <w:t>E</w:t>
      </w:r>
      <w:r w:rsidRPr="00AE40AC">
        <w:rPr>
          <w:rFonts w:ascii="Verdana" w:hAnsi="Verdana" w:cs="Arial"/>
          <w:sz w:val="21"/>
          <w:szCs w:val="21"/>
        </w:rPr>
        <w:t>ntidad</w:t>
      </w:r>
      <w:r w:rsidR="00B91C16">
        <w:rPr>
          <w:rFonts w:ascii="Verdana" w:hAnsi="Verdana" w:cs="Arial"/>
          <w:sz w:val="21"/>
          <w:szCs w:val="21"/>
        </w:rPr>
        <w:t>.</w:t>
      </w:r>
      <w:r w:rsidRPr="00AE40AC">
        <w:rPr>
          <w:rFonts w:ascii="Verdana" w:hAnsi="Verdana" w:cs="Arial"/>
          <w:sz w:val="21"/>
          <w:szCs w:val="21"/>
        </w:rPr>
        <w:t xml:space="preserve"> </w:t>
      </w:r>
    </w:p>
    <w:p w14:paraId="6E0249C7" w14:textId="77777777" w:rsidR="00321689" w:rsidRPr="00AE40AC" w:rsidRDefault="00321689" w:rsidP="00321689">
      <w:pPr>
        <w:jc w:val="both"/>
        <w:rPr>
          <w:rFonts w:ascii="Verdana" w:hAnsi="Verdana" w:cs="Arial"/>
          <w:sz w:val="21"/>
          <w:szCs w:val="21"/>
        </w:rPr>
      </w:pPr>
    </w:p>
    <w:p w14:paraId="68D54104" w14:textId="77777777" w:rsidR="00321689" w:rsidRPr="00AE40AC" w:rsidRDefault="00321689" w:rsidP="00321689">
      <w:pPr>
        <w:jc w:val="both"/>
        <w:rPr>
          <w:rFonts w:ascii="Verdana" w:hAnsi="Verdana" w:cs="Arial"/>
          <w:sz w:val="21"/>
          <w:szCs w:val="21"/>
        </w:rPr>
      </w:pPr>
      <w:r w:rsidRPr="00AE40AC">
        <w:rPr>
          <w:rFonts w:ascii="Verdana" w:hAnsi="Verdana" w:cs="Arial"/>
          <w:sz w:val="21"/>
          <w:szCs w:val="21"/>
        </w:rPr>
        <w:t>De otro lado, según el reporte de la Categoría Tesorería Fondo Salud del FUT al cierre de la vigencia 2022, la Entidad Territorial contaba con saldos en las Cuentas</w:t>
      </w:r>
      <w:r>
        <w:rPr>
          <w:rFonts w:ascii="Verdana" w:hAnsi="Verdana" w:cs="Arial"/>
          <w:sz w:val="21"/>
          <w:szCs w:val="21"/>
        </w:rPr>
        <w:t xml:space="preserve"> </w:t>
      </w:r>
      <w:r w:rsidRPr="00AE40AC">
        <w:rPr>
          <w:rFonts w:ascii="Verdana" w:hAnsi="Verdana" w:cs="Arial"/>
          <w:sz w:val="21"/>
          <w:szCs w:val="21"/>
        </w:rPr>
        <w:t>Maestras de Salud y otras cuentas de $37.572</w:t>
      </w:r>
      <w:r w:rsidR="006100DD">
        <w:rPr>
          <w:rFonts w:ascii="Verdana" w:hAnsi="Verdana" w:cs="Arial"/>
          <w:sz w:val="21"/>
          <w:szCs w:val="21"/>
        </w:rPr>
        <w:t xml:space="preserve"> </w:t>
      </w:r>
      <w:r w:rsidRPr="00AE40AC">
        <w:rPr>
          <w:rFonts w:ascii="Verdana" w:hAnsi="Verdana" w:cs="Arial"/>
          <w:sz w:val="21"/>
          <w:szCs w:val="21"/>
        </w:rPr>
        <w:t>millones, como se evidencia en la siguiente tabla:</w:t>
      </w:r>
    </w:p>
    <w:p w14:paraId="582C1BAE" w14:textId="77777777" w:rsidR="00AE40AC" w:rsidRDefault="00AE40AC" w:rsidP="00321689">
      <w:pPr>
        <w:autoSpaceDE w:val="0"/>
        <w:autoSpaceDN w:val="0"/>
        <w:adjustRightInd w:val="0"/>
        <w:jc w:val="center"/>
        <w:rPr>
          <w:rFonts w:ascii="Verdana" w:eastAsia="ヒラギノ角ゴ Pro W3" w:hAnsi="Verdana" w:cs="Arial"/>
          <w:b/>
          <w:color w:val="B48C41"/>
          <w:sz w:val="18"/>
          <w:szCs w:val="18"/>
        </w:rPr>
      </w:pPr>
    </w:p>
    <w:p w14:paraId="2F2ECB43"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Tabla No 10</w:t>
      </w:r>
    </w:p>
    <w:tbl>
      <w:tblPr>
        <w:tblStyle w:val="Tablanormal2"/>
        <w:tblW w:w="0" w:type="auto"/>
        <w:jc w:val="center"/>
        <w:tblInd w:w="0" w:type="dxa"/>
        <w:tblLook w:val="04A0" w:firstRow="1" w:lastRow="0" w:firstColumn="1" w:lastColumn="0" w:noHBand="0" w:noVBand="1"/>
      </w:tblPr>
      <w:tblGrid>
        <w:gridCol w:w="2173"/>
        <w:gridCol w:w="3352"/>
        <w:gridCol w:w="79"/>
      </w:tblGrid>
      <w:tr w:rsidR="00321689" w14:paraId="7D3BA903" w14:textId="77777777" w:rsidTr="00216135">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2173" w:type="dxa"/>
            <w:tcBorders>
              <w:top w:val="single" w:sz="4" w:space="0" w:color="7F7F7F" w:themeColor="text1" w:themeTint="80"/>
              <w:left w:val="nil"/>
              <w:right w:val="nil"/>
            </w:tcBorders>
            <w:shd w:val="clear" w:color="auto" w:fill="B48C41"/>
            <w:hideMark/>
          </w:tcPr>
          <w:p w14:paraId="31389624" w14:textId="77777777" w:rsidR="00321689" w:rsidRDefault="00321689">
            <w:pPr>
              <w:jc w:val="center"/>
              <w:rPr>
                <w:rFonts w:ascii="Verdana" w:eastAsia="Calibri" w:hAnsi="Verdana" w:cs="Arial"/>
                <w:color w:val="FFFFFF" w:themeColor="background1"/>
                <w:sz w:val="16"/>
                <w:szCs w:val="16"/>
              </w:rPr>
            </w:pPr>
            <w:r>
              <w:rPr>
                <w:rFonts w:ascii="Verdana" w:eastAsia="Calibri" w:hAnsi="Verdana" w:cs="Arial"/>
                <w:color w:val="FFFFFF" w:themeColor="background1"/>
                <w:sz w:val="16"/>
                <w:szCs w:val="16"/>
              </w:rPr>
              <w:t>Componente</w:t>
            </w:r>
          </w:p>
        </w:tc>
        <w:tc>
          <w:tcPr>
            <w:tcW w:w="3431" w:type="dxa"/>
            <w:gridSpan w:val="2"/>
            <w:tcBorders>
              <w:top w:val="single" w:sz="4" w:space="0" w:color="7F7F7F" w:themeColor="text1" w:themeTint="80"/>
              <w:left w:val="nil"/>
              <w:right w:val="nil"/>
            </w:tcBorders>
            <w:shd w:val="clear" w:color="auto" w:fill="B48C41"/>
            <w:hideMark/>
          </w:tcPr>
          <w:p w14:paraId="62E4C3E2" w14:textId="77777777" w:rsidR="00321689" w:rsidRDefault="00321689">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Arial"/>
                <w:color w:val="FFFFFF" w:themeColor="background1"/>
                <w:sz w:val="16"/>
                <w:szCs w:val="16"/>
              </w:rPr>
            </w:pPr>
            <w:r>
              <w:rPr>
                <w:rFonts w:ascii="Verdana" w:eastAsia="Calibri" w:hAnsi="Verdana" w:cs="Arial"/>
                <w:color w:val="FFFFFF" w:themeColor="background1"/>
                <w:sz w:val="16"/>
                <w:szCs w:val="16"/>
              </w:rPr>
              <w:t xml:space="preserve">    Saldo en millones de ($)</w:t>
            </w:r>
          </w:p>
        </w:tc>
      </w:tr>
      <w:tr w:rsidR="00321689" w14:paraId="686914AF" w14:textId="77777777" w:rsidTr="00321689">
        <w:trPr>
          <w:gridAfter w:val="1"/>
          <w:cnfStyle w:val="000000100000" w:firstRow="0" w:lastRow="0" w:firstColumn="0" w:lastColumn="0" w:oddVBand="0" w:evenVBand="0" w:oddHBand="1" w:evenHBand="0" w:firstRowFirstColumn="0" w:firstRowLastColumn="0" w:lastRowFirstColumn="0" w:lastRowLastColumn="0"/>
          <w:wAfter w:w="79" w:type="dxa"/>
          <w:trHeight w:val="258"/>
          <w:jc w:val="center"/>
        </w:trPr>
        <w:tc>
          <w:tcPr>
            <w:cnfStyle w:val="001000000000" w:firstRow="0" w:lastRow="0" w:firstColumn="1" w:lastColumn="0" w:oddVBand="0" w:evenVBand="0" w:oddHBand="0" w:evenHBand="0" w:firstRowFirstColumn="0" w:firstRowLastColumn="0" w:lastRowFirstColumn="0" w:lastRowLastColumn="0"/>
            <w:tcW w:w="2173" w:type="dxa"/>
            <w:tcBorders>
              <w:left w:val="nil"/>
              <w:right w:val="nil"/>
            </w:tcBorders>
            <w:hideMark/>
          </w:tcPr>
          <w:p w14:paraId="74CFD837" w14:textId="77777777" w:rsidR="00321689" w:rsidRDefault="00321689">
            <w:pPr>
              <w:jc w:val="both"/>
              <w:rPr>
                <w:rFonts w:ascii="Verdana" w:eastAsia="Calibri" w:hAnsi="Verdana" w:cs="Arial"/>
                <w:sz w:val="16"/>
                <w:szCs w:val="16"/>
              </w:rPr>
            </w:pPr>
            <w:r>
              <w:rPr>
                <w:rFonts w:ascii="Verdana" w:eastAsia="Calibri" w:hAnsi="Verdana" w:cs="Arial"/>
                <w:b w:val="0"/>
                <w:sz w:val="16"/>
                <w:szCs w:val="16"/>
              </w:rPr>
              <w:t>Régimen Subsidiado</w:t>
            </w:r>
          </w:p>
        </w:tc>
        <w:tc>
          <w:tcPr>
            <w:tcW w:w="3352" w:type="dxa"/>
            <w:tcBorders>
              <w:left w:val="nil"/>
              <w:right w:val="nil"/>
            </w:tcBorders>
            <w:hideMark/>
          </w:tcPr>
          <w:p w14:paraId="64A6A732" w14:textId="77777777" w:rsidR="00321689" w:rsidRDefault="00321689">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Arial"/>
                <w:sz w:val="16"/>
                <w:szCs w:val="16"/>
              </w:rPr>
            </w:pPr>
            <w:r>
              <w:rPr>
                <w:rFonts w:ascii="Verdana" w:eastAsia="Calibri" w:hAnsi="Verdana" w:cs="Arial"/>
                <w:sz w:val="16"/>
                <w:szCs w:val="16"/>
              </w:rPr>
              <w:t>0</w:t>
            </w:r>
          </w:p>
        </w:tc>
      </w:tr>
      <w:tr w:rsidR="00321689" w14:paraId="7AC00278" w14:textId="77777777" w:rsidTr="00321689">
        <w:trPr>
          <w:gridAfter w:val="1"/>
          <w:wAfter w:w="79" w:type="dxa"/>
          <w:trHeight w:val="242"/>
          <w:jc w:val="center"/>
        </w:trPr>
        <w:tc>
          <w:tcPr>
            <w:cnfStyle w:val="001000000000" w:firstRow="0" w:lastRow="0" w:firstColumn="1" w:lastColumn="0" w:oddVBand="0" w:evenVBand="0" w:oddHBand="0" w:evenHBand="0" w:firstRowFirstColumn="0" w:firstRowLastColumn="0" w:lastRowFirstColumn="0" w:lastRowLastColumn="0"/>
            <w:tcW w:w="2173" w:type="dxa"/>
            <w:tcBorders>
              <w:top w:val="nil"/>
              <w:left w:val="nil"/>
              <w:bottom w:val="nil"/>
              <w:right w:val="nil"/>
            </w:tcBorders>
            <w:hideMark/>
          </w:tcPr>
          <w:p w14:paraId="224B7084" w14:textId="77777777" w:rsidR="00321689" w:rsidRDefault="00321689">
            <w:pPr>
              <w:jc w:val="both"/>
              <w:rPr>
                <w:rFonts w:ascii="Verdana" w:eastAsia="Calibri" w:hAnsi="Verdana" w:cs="Arial"/>
                <w:sz w:val="16"/>
                <w:szCs w:val="16"/>
              </w:rPr>
            </w:pPr>
            <w:r>
              <w:rPr>
                <w:rFonts w:ascii="Verdana" w:eastAsia="Calibri" w:hAnsi="Verdana" w:cs="Arial"/>
                <w:b w:val="0"/>
                <w:sz w:val="16"/>
                <w:szCs w:val="16"/>
              </w:rPr>
              <w:t>Prestación de Servicios</w:t>
            </w:r>
          </w:p>
        </w:tc>
        <w:tc>
          <w:tcPr>
            <w:tcW w:w="3352" w:type="dxa"/>
            <w:tcBorders>
              <w:top w:val="nil"/>
              <w:left w:val="nil"/>
              <w:bottom w:val="nil"/>
              <w:right w:val="nil"/>
            </w:tcBorders>
            <w:hideMark/>
          </w:tcPr>
          <w:p w14:paraId="432843DB" w14:textId="77777777" w:rsidR="00321689" w:rsidRDefault="0032168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Arial"/>
                <w:sz w:val="16"/>
                <w:szCs w:val="16"/>
              </w:rPr>
            </w:pPr>
            <w:r>
              <w:rPr>
                <w:rFonts w:ascii="Verdana" w:eastAsia="Calibri" w:hAnsi="Verdana" w:cs="Arial"/>
                <w:sz w:val="16"/>
                <w:szCs w:val="16"/>
              </w:rPr>
              <w:t>7.700</w:t>
            </w:r>
          </w:p>
        </w:tc>
      </w:tr>
      <w:tr w:rsidR="00321689" w14:paraId="032E27AB" w14:textId="77777777" w:rsidTr="00321689">
        <w:trPr>
          <w:gridAfter w:val="1"/>
          <w:cnfStyle w:val="000000100000" w:firstRow="0" w:lastRow="0" w:firstColumn="0" w:lastColumn="0" w:oddVBand="0" w:evenVBand="0" w:oddHBand="1" w:evenHBand="0" w:firstRowFirstColumn="0" w:firstRowLastColumn="0" w:lastRowFirstColumn="0" w:lastRowLastColumn="0"/>
          <w:wAfter w:w="79" w:type="dxa"/>
          <w:trHeight w:val="258"/>
          <w:jc w:val="center"/>
        </w:trPr>
        <w:tc>
          <w:tcPr>
            <w:cnfStyle w:val="001000000000" w:firstRow="0" w:lastRow="0" w:firstColumn="1" w:lastColumn="0" w:oddVBand="0" w:evenVBand="0" w:oddHBand="0" w:evenHBand="0" w:firstRowFirstColumn="0" w:firstRowLastColumn="0" w:lastRowFirstColumn="0" w:lastRowLastColumn="0"/>
            <w:tcW w:w="2173" w:type="dxa"/>
            <w:tcBorders>
              <w:left w:val="nil"/>
              <w:right w:val="nil"/>
            </w:tcBorders>
            <w:hideMark/>
          </w:tcPr>
          <w:p w14:paraId="332BB499" w14:textId="77777777" w:rsidR="00321689" w:rsidRDefault="00321689">
            <w:pPr>
              <w:jc w:val="both"/>
              <w:rPr>
                <w:rFonts w:ascii="Verdana" w:eastAsia="Calibri" w:hAnsi="Verdana" w:cs="Arial"/>
                <w:sz w:val="16"/>
                <w:szCs w:val="16"/>
              </w:rPr>
            </w:pPr>
            <w:r>
              <w:rPr>
                <w:rFonts w:ascii="Verdana" w:eastAsia="Calibri" w:hAnsi="Verdana" w:cs="Arial"/>
                <w:b w:val="0"/>
                <w:sz w:val="16"/>
                <w:szCs w:val="16"/>
              </w:rPr>
              <w:t>Salud Pública</w:t>
            </w:r>
          </w:p>
        </w:tc>
        <w:tc>
          <w:tcPr>
            <w:tcW w:w="3352" w:type="dxa"/>
            <w:tcBorders>
              <w:left w:val="nil"/>
              <w:right w:val="nil"/>
            </w:tcBorders>
            <w:hideMark/>
          </w:tcPr>
          <w:p w14:paraId="2EBC26ED" w14:textId="77777777" w:rsidR="00321689" w:rsidRDefault="00321689">
            <w:pPr>
              <w:ind w:left="-135"/>
              <w:contextualSpacing/>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Arial"/>
                <w:sz w:val="16"/>
                <w:szCs w:val="16"/>
              </w:rPr>
            </w:pPr>
            <w:r>
              <w:rPr>
                <w:rFonts w:ascii="Verdana" w:eastAsia="Calibri" w:hAnsi="Verdana" w:cs="Arial"/>
                <w:sz w:val="16"/>
                <w:szCs w:val="16"/>
              </w:rPr>
              <w:t>6.037</w:t>
            </w:r>
          </w:p>
        </w:tc>
      </w:tr>
      <w:tr w:rsidR="00321689" w14:paraId="3339D2BC" w14:textId="77777777" w:rsidTr="00321689">
        <w:trPr>
          <w:gridAfter w:val="1"/>
          <w:wAfter w:w="79" w:type="dxa"/>
          <w:trHeight w:val="242"/>
          <w:jc w:val="center"/>
        </w:trPr>
        <w:tc>
          <w:tcPr>
            <w:cnfStyle w:val="001000000000" w:firstRow="0" w:lastRow="0" w:firstColumn="1" w:lastColumn="0" w:oddVBand="0" w:evenVBand="0" w:oddHBand="0" w:evenHBand="0" w:firstRowFirstColumn="0" w:firstRowLastColumn="0" w:lastRowFirstColumn="0" w:lastRowLastColumn="0"/>
            <w:tcW w:w="2173" w:type="dxa"/>
            <w:tcBorders>
              <w:top w:val="nil"/>
              <w:left w:val="nil"/>
              <w:bottom w:val="nil"/>
              <w:right w:val="nil"/>
            </w:tcBorders>
            <w:hideMark/>
          </w:tcPr>
          <w:p w14:paraId="1CB48F3C" w14:textId="77777777" w:rsidR="00321689" w:rsidRDefault="00321689">
            <w:pPr>
              <w:jc w:val="both"/>
              <w:rPr>
                <w:rFonts w:ascii="Verdana" w:eastAsia="Calibri" w:hAnsi="Verdana" w:cs="Arial"/>
                <w:sz w:val="16"/>
                <w:szCs w:val="16"/>
              </w:rPr>
            </w:pPr>
            <w:r>
              <w:rPr>
                <w:rFonts w:ascii="Verdana" w:eastAsia="Calibri" w:hAnsi="Verdana" w:cs="Arial"/>
                <w:b w:val="0"/>
                <w:sz w:val="16"/>
                <w:szCs w:val="16"/>
              </w:rPr>
              <w:t>Otros Gastos en Salud - Inv</w:t>
            </w:r>
          </w:p>
        </w:tc>
        <w:tc>
          <w:tcPr>
            <w:tcW w:w="3352" w:type="dxa"/>
            <w:tcBorders>
              <w:top w:val="nil"/>
              <w:left w:val="nil"/>
              <w:bottom w:val="nil"/>
              <w:right w:val="nil"/>
            </w:tcBorders>
            <w:hideMark/>
          </w:tcPr>
          <w:p w14:paraId="55E7A88B" w14:textId="77777777" w:rsidR="00321689" w:rsidRDefault="0032168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Arial"/>
                <w:sz w:val="16"/>
                <w:szCs w:val="16"/>
              </w:rPr>
            </w:pPr>
            <w:r>
              <w:rPr>
                <w:rFonts w:ascii="Verdana" w:eastAsia="Calibri" w:hAnsi="Verdana" w:cs="Arial"/>
                <w:sz w:val="16"/>
                <w:szCs w:val="16"/>
              </w:rPr>
              <w:t>15.327</w:t>
            </w:r>
          </w:p>
        </w:tc>
      </w:tr>
      <w:tr w:rsidR="00321689" w14:paraId="1F9DB821" w14:textId="77777777" w:rsidTr="00321689">
        <w:trPr>
          <w:gridAfter w:val="1"/>
          <w:cnfStyle w:val="000000100000" w:firstRow="0" w:lastRow="0" w:firstColumn="0" w:lastColumn="0" w:oddVBand="0" w:evenVBand="0" w:oddHBand="1" w:evenHBand="0" w:firstRowFirstColumn="0" w:firstRowLastColumn="0" w:lastRowFirstColumn="0" w:lastRowLastColumn="0"/>
          <w:wAfter w:w="79" w:type="dxa"/>
          <w:trHeight w:val="242"/>
          <w:jc w:val="center"/>
        </w:trPr>
        <w:tc>
          <w:tcPr>
            <w:cnfStyle w:val="001000000000" w:firstRow="0" w:lastRow="0" w:firstColumn="1" w:lastColumn="0" w:oddVBand="0" w:evenVBand="0" w:oddHBand="0" w:evenHBand="0" w:firstRowFirstColumn="0" w:firstRowLastColumn="0" w:lastRowFirstColumn="0" w:lastRowLastColumn="0"/>
            <w:tcW w:w="2173" w:type="dxa"/>
            <w:tcBorders>
              <w:left w:val="nil"/>
              <w:right w:val="nil"/>
            </w:tcBorders>
            <w:hideMark/>
          </w:tcPr>
          <w:p w14:paraId="4C5641E6" w14:textId="77777777" w:rsidR="00321689" w:rsidRDefault="00321689">
            <w:pPr>
              <w:jc w:val="both"/>
              <w:rPr>
                <w:rFonts w:ascii="Verdana" w:eastAsia="Calibri" w:hAnsi="Verdana" w:cs="Arial"/>
                <w:sz w:val="16"/>
                <w:szCs w:val="16"/>
              </w:rPr>
            </w:pPr>
            <w:r>
              <w:rPr>
                <w:rFonts w:ascii="Verdana" w:eastAsia="Calibri" w:hAnsi="Verdana" w:cs="Arial"/>
                <w:b w:val="0"/>
                <w:sz w:val="16"/>
                <w:szCs w:val="16"/>
              </w:rPr>
              <w:lastRenderedPageBreak/>
              <w:t>Otros Gastos en Salud - Fun</w:t>
            </w:r>
          </w:p>
        </w:tc>
        <w:tc>
          <w:tcPr>
            <w:tcW w:w="3352" w:type="dxa"/>
            <w:tcBorders>
              <w:left w:val="nil"/>
              <w:right w:val="nil"/>
            </w:tcBorders>
            <w:hideMark/>
          </w:tcPr>
          <w:p w14:paraId="242AF8F6" w14:textId="77777777" w:rsidR="00321689" w:rsidRDefault="00321689">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Arial"/>
                <w:sz w:val="16"/>
                <w:szCs w:val="16"/>
              </w:rPr>
            </w:pPr>
            <w:r>
              <w:rPr>
                <w:rFonts w:ascii="Verdana" w:eastAsia="Calibri" w:hAnsi="Verdana" w:cs="Arial"/>
                <w:sz w:val="16"/>
                <w:szCs w:val="16"/>
              </w:rPr>
              <w:t>8.507</w:t>
            </w:r>
          </w:p>
        </w:tc>
      </w:tr>
    </w:tbl>
    <w:p w14:paraId="00AD9DC3" w14:textId="77777777" w:rsidR="00321689" w:rsidRDefault="00321689" w:rsidP="00087B7F">
      <w:pPr>
        <w:jc w:val="center"/>
        <w:rPr>
          <w:rFonts w:ascii="Verdana" w:hAnsi="Verdana" w:cs="Arial"/>
          <w:sz w:val="16"/>
          <w:szCs w:val="16"/>
          <w:lang w:eastAsia="en-US"/>
        </w:rPr>
      </w:pPr>
      <w:r>
        <w:rPr>
          <w:rFonts w:ascii="Verdana" w:hAnsi="Verdana" w:cs="Arial"/>
          <w:sz w:val="16"/>
          <w:szCs w:val="16"/>
        </w:rPr>
        <w:t>Fuente: FUT</w:t>
      </w:r>
    </w:p>
    <w:p w14:paraId="1F89F82A" w14:textId="77777777" w:rsidR="00321689" w:rsidRDefault="00321689" w:rsidP="00321689">
      <w:pPr>
        <w:jc w:val="both"/>
        <w:rPr>
          <w:rFonts w:ascii="Verdana" w:hAnsi="Verdana" w:cs="Arial"/>
          <w:sz w:val="22"/>
          <w:szCs w:val="22"/>
        </w:rPr>
      </w:pPr>
    </w:p>
    <w:p w14:paraId="0B023130" w14:textId="77777777" w:rsidR="00321689" w:rsidRPr="00AE40AC" w:rsidRDefault="00321689" w:rsidP="00321689">
      <w:pPr>
        <w:jc w:val="both"/>
        <w:rPr>
          <w:rFonts w:ascii="Verdana" w:hAnsi="Verdana" w:cs="Arial"/>
          <w:sz w:val="21"/>
          <w:szCs w:val="21"/>
        </w:rPr>
      </w:pPr>
      <w:r w:rsidRPr="00AE40AC">
        <w:rPr>
          <w:rFonts w:ascii="Verdana" w:hAnsi="Verdana" w:cs="Arial"/>
          <w:sz w:val="21"/>
          <w:szCs w:val="21"/>
        </w:rPr>
        <w:t xml:space="preserve">Al revisar los extractos del cierre de vigencia 2022 y compararlos con el formato de tesorería requerido y el saldo reportado en el cierre de tesorería del FUT se encontró inconsistencia en los saldos de las cuentas maestras </w:t>
      </w:r>
      <w:r w:rsidR="00AE40AC" w:rsidRPr="00AE40AC">
        <w:rPr>
          <w:rFonts w:ascii="Verdana" w:hAnsi="Verdana" w:cs="Arial"/>
          <w:sz w:val="21"/>
          <w:szCs w:val="21"/>
        </w:rPr>
        <w:t>así</w:t>
      </w:r>
      <w:r w:rsidRPr="00AE40AC">
        <w:rPr>
          <w:rFonts w:ascii="Verdana" w:hAnsi="Verdana" w:cs="Arial"/>
          <w:sz w:val="21"/>
          <w:szCs w:val="21"/>
        </w:rPr>
        <w:t>:</w:t>
      </w:r>
    </w:p>
    <w:p w14:paraId="6E25B9D1" w14:textId="77777777" w:rsidR="00321689" w:rsidRDefault="00321689" w:rsidP="00321689">
      <w:pPr>
        <w:jc w:val="both"/>
        <w:rPr>
          <w:rFonts w:ascii="Verdana" w:hAnsi="Verdana" w:cs="Arial"/>
        </w:rPr>
      </w:pPr>
    </w:p>
    <w:p w14:paraId="38567209"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Tabla No 11</w:t>
      </w:r>
    </w:p>
    <w:tbl>
      <w:tblPr>
        <w:tblW w:w="0" w:type="dxa"/>
        <w:tblLayout w:type="fixed"/>
        <w:tblCellMar>
          <w:left w:w="70" w:type="dxa"/>
          <w:right w:w="70" w:type="dxa"/>
        </w:tblCellMar>
        <w:tblLook w:val="04A0" w:firstRow="1" w:lastRow="0" w:firstColumn="1" w:lastColumn="0" w:noHBand="0" w:noVBand="1"/>
      </w:tblPr>
      <w:tblGrid>
        <w:gridCol w:w="2697"/>
        <w:gridCol w:w="1255"/>
        <w:gridCol w:w="1564"/>
        <w:gridCol w:w="1283"/>
        <w:gridCol w:w="993"/>
        <w:gridCol w:w="992"/>
      </w:tblGrid>
      <w:tr w:rsidR="00321689" w14:paraId="7A0D0C34" w14:textId="77777777" w:rsidTr="00321689">
        <w:trPr>
          <w:trHeight w:val="214"/>
        </w:trPr>
        <w:tc>
          <w:tcPr>
            <w:tcW w:w="2697" w:type="dxa"/>
            <w:tcBorders>
              <w:top w:val="single" w:sz="4" w:space="0" w:color="000000"/>
              <w:left w:val="single" w:sz="4" w:space="0" w:color="000000"/>
              <w:bottom w:val="single" w:sz="4" w:space="0" w:color="000000"/>
              <w:right w:val="single" w:sz="4" w:space="0" w:color="000000"/>
            </w:tcBorders>
            <w:shd w:val="clear" w:color="auto" w:fill="B48C41"/>
            <w:noWrap/>
            <w:vAlign w:val="center"/>
            <w:hideMark/>
          </w:tcPr>
          <w:p w14:paraId="6761A31A" w14:textId="77777777" w:rsidR="00321689" w:rsidRDefault="00321689">
            <w:pPr>
              <w:jc w:val="center"/>
              <w:rPr>
                <w:rFonts w:ascii="Verdana" w:eastAsia="Times New Roman" w:hAnsi="Verdana" w:cs="Calibri"/>
                <w:color w:val="FFFFFF"/>
                <w:sz w:val="16"/>
                <w:szCs w:val="16"/>
                <w:lang w:eastAsia="es-CO"/>
              </w:rPr>
            </w:pPr>
            <w:r>
              <w:rPr>
                <w:rFonts w:ascii="Verdana" w:eastAsia="Times New Roman" w:hAnsi="Verdana"/>
                <w:color w:val="FFFFFF"/>
                <w:sz w:val="16"/>
                <w:szCs w:val="16"/>
                <w:lang w:eastAsia="es-CO"/>
              </w:rPr>
              <w:t>CUENTA</w:t>
            </w:r>
          </w:p>
        </w:tc>
        <w:tc>
          <w:tcPr>
            <w:tcW w:w="1255" w:type="dxa"/>
            <w:tcBorders>
              <w:top w:val="single" w:sz="4" w:space="0" w:color="000000"/>
              <w:left w:val="nil"/>
              <w:bottom w:val="single" w:sz="4" w:space="0" w:color="000000"/>
              <w:right w:val="single" w:sz="4" w:space="0" w:color="000000"/>
            </w:tcBorders>
            <w:shd w:val="clear" w:color="auto" w:fill="B48C41"/>
            <w:noWrap/>
            <w:vAlign w:val="center"/>
            <w:hideMark/>
          </w:tcPr>
          <w:p w14:paraId="27BB0280" w14:textId="77777777" w:rsidR="00321689" w:rsidRDefault="00321689">
            <w:pPr>
              <w:jc w:val="center"/>
              <w:rPr>
                <w:rFonts w:ascii="Verdana" w:eastAsia="Times New Roman" w:hAnsi="Verdana"/>
                <w:color w:val="FFFFFF"/>
                <w:sz w:val="16"/>
                <w:szCs w:val="16"/>
                <w:lang w:eastAsia="es-CO"/>
              </w:rPr>
            </w:pPr>
            <w:r>
              <w:rPr>
                <w:rFonts w:ascii="Verdana" w:eastAsia="Times New Roman" w:hAnsi="Verdana"/>
                <w:color w:val="FFFFFF"/>
                <w:sz w:val="16"/>
                <w:szCs w:val="16"/>
                <w:lang w:eastAsia="es-CO"/>
              </w:rPr>
              <w:t>EXTRACTO</w:t>
            </w:r>
          </w:p>
        </w:tc>
        <w:tc>
          <w:tcPr>
            <w:tcW w:w="1564" w:type="dxa"/>
            <w:tcBorders>
              <w:top w:val="single" w:sz="4" w:space="0" w:color="000000"/>
              <w:left w:val="nil"/>
              <w:bottom w:val="single" w:sz="4" w:space="0" w:color="000000"/>
              <w:right w:val="single" w:sz="4" w:space="0" w:color="000000"/>
            </w:tcBorders>
            <w:shd w:val="clear" w:color="auto" w:fill="B48C41"/>
            <w:noWrap/>
            <w:vAlign w:val="center"/>
            <w:hideMark/>
          </w:tcPr>
          <w:p w14:paraId="4C5BAB1C" w14:textId="77777777" w:rsidR="00321689" w:rsidRDefault="00321689">
            <w:pPr>
              <w:jc w:val="center"/>
              <w:rPr>
                <w:rFonts w:ascii="Verdana" w:eastAsia="Times New Roman" w:hAnsi="Verdana"/>
                <w:color w:val="FFFFFF"/>
                <w:sz w:val="16"/>
                <w:szCs w:val="16"/>
                <w:lang w:eastAsia="es-CO"/>
              </w:rPr>
            </w:pPr>
            <w:r>
              <w:rPr>
                <w:rFonts w:ascii="Verdana" w:eastAsia="Times New Roman" w:hAnsi="Verdana"/>
                <w:color w:val="FFFFFF"/>
                <w:sz w:val="16"/>
                <w:szCs w:val="16"/>
                <w:lang w:eastAsia="es-CO"/>
              </w:rPr>
              <w:t>FUT_TESORERIA</w:t>
            </w:r>
          </w:p>
        </w:tc>
        <w:tc>
          <w:tcPr>
            <w:tcW w:w="1283" w:type="dxa"/>
            <w:tcBorders>
              <w:top w:val="single" w:sz="4" w:space="0" w:color="000000"/>
              <w:left w:val="nil"/>
              <w:bottom w:val="single" w:sz="4" w:space="0" w:color="000000"/>
              <w:right w:val="single" w:sz="4" w:space="0" w:color="000000"/>
            </w:tcBorders>
            <w:shd w:val="clear" w:color="auto" w:fill="B48C41"/>
            <w:vAlign w:val="center"/>
            <w:hideMark/>
          </w:tcPr>
          <w:p w14:paraId="73C03D5E" w14:textId="77777777" w:rsidR="00321689" w:rsidRDefault="00321689">
            <w:pPr>
              <w:jc w:val="center"/>
              <w:rPr>
                <w:rFonts w:ascii="Verdana" w:eastAsia="Times New Roman" w:hAnsi="Verdana"/>
                <w:color w:val="FFFFFF"/>
                <w:sz w:val="16"/>
                <w:szCs w:val="16"/>
                <w:lang w:eastAsia="es-CO"/>
              </w:rPr>
            </w:pPr>
            <w:r>
              <w:rPr>
                <w:rFonts w:ascii="Verdana" w:eastAsia="Times New Roman" w:hAnsi="Verdana"/>
                <w:color w:val="FFFFFF"/>
                <w:sz w:val="16"/>
                <w:szCs w:val="16"/>
                <w:lang w:eastAsia="es-CO"/>
              </w:rPr>
              <w:t>ENTIDAD TERRITORIAL</w:t>
            </w:r>
          </w:p>
        </w:tc>
        <w:tc>
          <w:tcPr>
            <w:tcW w:w="993" w:type="dxa"/>
            <w:tcBorders>
              <w:top w:val="single" w:sz="4" w:space="0" w:color="000000"/>
              <w:left w:val="nil"/>
              <w:bottom w:val="single" w:sz="4" w:space="0" w:color="000000"/>
              <w:right w:val="single" w:sz="4" w:space="0" w:color="000000"/>
            </w:tcBorders>
            <w:shd w:val="clear" w:color="auto" w:fill="B48C41"/>
            <w:vAlign w:val="center"/>
            <w:hideMark/>
          </w:tcPr>
          <w:p w14:paraId="30FF2414" w14:textId="77777777" w:rsidR="00321689" w:rsidRDefault="00321689">
            <w:pPr>
              <w:jc w:val="center"/>
              <w:rPr>
                <w:rFonts w:ascii="Verdana" w:eastAsia="Times New Roman" w:hAnsi="Verdana"/>
                <w:color w:val="FFFFFF"/>
                <w:sz w:val="16"/>
                <w:szCs w:val="16"/>
                <w:lang w:eastAsia="es-CO"/>
              </w:rPr>
            </w:pPr>
            <w:r>
              <w:rPr>
                <w:rFonts w:ascii="Verdana" w:eastAsia="Times New Roman" w:hAnsi="Verdana"/>
                <w:color w:val="FFFFFF"/>
                <w:sz w:val="16"/>
                <w:szCs w:val="16"/>
                <w:lang w:eastAsia="es-CO"/>
              </w:rPr>
              <w:t xml:space="preserve">Diferencia 1 </w:t>
            </w:r>
            <w:r>
              <w:rPr>
                <w:rFonts w:ascii="Verdana" w:eastAsia="Times New Roman" w:hAnsi="Verdana"/>
                <w:color w:val="FFFFFF"/>
                <w:sz w:val="16"/>
                <w:szCs w:val="16"/>
                <w:lang w:eastAsia="es-CO"/>
              </w:rPr>
              <w:br/>
              <w:t>(1-2)</w:t>
            </w:r>
          </w:p>
        </w:tc>
        <w:tc>
          <w:tcPr>
            <w:tcW w:w="992" w:type="dxa"/>
            <w:tcBorders>
              <w:top w:val="single" w:sz="4" w:space="0" w:color="000000"/>
              <w:left w:val="nil"/>
              <w:bottom w:val="single" w:sz="4" w:space="0" w:color="000000"/>
              <w:right w:val="single" w:sz="4" w:space="0" w:color="000000"/>
            </w:tcBorders>
            <w:shd w:val="clear" w:color="auto" w:fill="B48C41"/>
            <w:vAlign w:val="center"/>
            <w:hideMark/>
          </w:tcPr>
          <w:p w14:paraId="4717E084" w14:textId="77777777" w:rsidR="00321689" w:rsidRDefault="00321689">
            <w:pPr>
              <w:jc w:val="center"/>
              <w:rPr>
                <w:rFonts w:ascii="Verdana" w:eastAsia="Times New Roman" w:hAnsi="Verdana"/>
                <w:color w:val="FFFFFF"/>
                <w:sz w:val="16"/>
                <w:szCs w:val="16"/>
                <w:lang w:eastAsia="es-CO"/>
              </w:rPr>
            </w:pPr>
            <w:r>
              <w:rPr>
                <w:rFonts w:ascii="Verdana" w:eastAsia="Times New Roman" w:hAnsi="Verdana"/>
                <w:color w:val="FFFFFF"/>
                <w:sz w:val="16"/>
                <w:szCs w:val="16"/>
                <w:lang w:eastAsia="es-CO"/>
              </w:rPr>
              <w:t>Diferencia 2</w:t>
            </w:r>
            <w:r>
              <w:rPr>
                <w:rFonts w:ascii="Verdana" w:eastAsia="Times New Roman" w:hAnsi="Verdana"/>
                <w:color w:val="FFFFFF"/>
                <w:sz w:val="16"/>
                <w:szCs w:val="16"/>
                <w:lang w:eastAsia="es-CO"/>
              </w:rPr>
              <w:br/>
              <w:t>(1-3)</w:t>
            </w:r>
          </w:p>
        </w:tc>
      </w:tr>
      <w:tr w:rsidR="00321689" w14:paraId="52F81F5A" w14:textId="77777777" w:rsidTr="00321689">
        <w:trPr>
          <w:trHeight w:val="214"/>
        </w:trPr>
        <w:tc>
          <w:tcPr>
            <w:tcW w:w="2697" w:type="dxa"/>
            <w:tcBorders>
              <w:top w:val="nil"/>
              <w:left w:val="single" w:sz="4" w:space="0" w:color="000000"/>
              <w:bottom w:val="single" w:sz="4" w:space="0" w:color="000000"/>
              <w:right w:val="single" w:sz="4" w:space="0" w:color="000000"/>
            </w:tcBorders>
            <w:noWrap/>
            <w:vAlign w:val="center"/>
            <w:hideMark/>
          </w:tcPr>
          <w:p w14:paraId="619A2871" w14:textId="77777777" w:rsidR="00321689" w:rsidRDefault="00321689">
            <w:pPr>
              <w:jc w:val="both"/>
              <w:rPr>
                <w:rFonts w:ascii="Verdana" w:eastAsia="Times New Roman" w:hAnsi="Verdana"/>
                <w:color w:val="000000"/>
                <w:sz w:val="16"/>
                <w:szCs w:val="16"/>
                <w:lang w:eastAsia="es-CO"/>
              </w:rPr>
            </w:pPr>
            <w:r>
              <w:rPr>
                <w:rFonts w:ascii="Verdana" w:eastAsia="Times New Roman" w:hAnsi="Verdana"/>
                <w:color w:val="000000"/>
                <w:sz w:val="16"/>
                <w:szCs w:val="16"/>
                <w:lang w:eastAsia="es-CO"/>
              </w:rPr>
              <w:t>PRESTACION DEL SERVICIO OFERTA</w:t>
            </w:r>
          </w:p>
        </w:tc>
        <w:tc>
          <w:tcPr>
            <w:tcW w:w="1255" w:type="dxa"/>
            <w:tcBorders>
              <w:top w:val="nil"/>
              <w:left w:val="nil"/>
              <w:bottom w:val="single" w:sz="4" w:space="0" w:color="000000"/>
              <w:right w:val="single" w:sz="4" w:space="0" w:color="000000"/>
            </w:tcBorders>
            <w:noWrap/>
            <w:vAlign w:val="center"/>
            <w:hideMark/>
          </w:tcPr>
          <w:p w14:paraId="720E5323"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$ 7.700</w:t>
            </w:r>
          </w:p>
        </w:tc>
        <w:tc>
          <w:tcPr>
            <w:tcW w:w="1564" w:type="dxa"/>
            <w:tcBorders>
              <w:top w:val="nil"/>
              <w:left w:val="nil"/>
              <w:bottom w:val="single" w:sz="4" w:space="0" w:color="000000"/>
              <w:right w:val="single" w:sz="4" w:space="0" w:color="000000"/>
            </w:tcBorders>
            <w:noWrap/>
            <w:vAlign w:val="center"/>
            <w:hideMark/>
          </w:tcPr>
          <w:p w14:paraId="2A98489F"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$ 7.700</w:t>
            </w:r>
          </w:p>
        </w:tc>
        <w:tc>
          <w:tcPr>
            <w:tcW w:w="1283" w:type="dxa"/>
            <w:tcBorders>
              <w:top w:val="nil"/>
              <w:left w:val="nil"/>
              <w:bottom w:val="single" w:sz="4" w:space="0" w:color="000000"/>
              <w:right w:val="single" w:sz="4" w:space="0" w:color="000000"/>
            </w:tcBorders>
            <w:noWrap/>
            <w:vAlign w:val="center"/>
            <w:hideMark/>
          </w:tcPr>
          <w:p w14:paraId="2F26CC9C"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$ 6.913</w:t>
            </w:r>
          </w:p>
        </w:tc>
        <w:tc>
          <w:tcPr>
            <w:tcW w:w="993" w:type="dxa"/>
            <w:tcBorders>
              <w:top w:val="nil"/>
              <w:left w:val="nil"/>
              <w:bottom w:val="single" w:sz="4" w:space="0" w:color="000000"/>
              <w:right w:val="single" w:sz="4" w:space="0" w:color="000000"/>
            </w:tcBorders>
            <w:noWrap/>
            <w:vAlign w:val="center"/>
            <w:hideMark/>
          </w:tcPr>
          <w:p w14:paraId="7E845622"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$ 0</w:t>
            </w:r>
          </w:p>
        </w:tc>
        <w:tc>
          <w:tcPr>
            <w:tcW w:w="992" w:type="dxa"/>
            <w:tcBorders>
              <w:top w:val="nil"/>
              <w:left w:val="nil"/>
              <w:bottom w:val="single" w:sz="4" w:space="0" w:color="000000"/>
              <w:right w:val="single" w:sz="4" w:space="0" w:color="000000"/>
            </w:tcBorders>
            <w:noWrap/>
            <w:vAlign w:val="center"/>
            <w:hideMark/>
          </w:tcPr>
          <w:p w14:paraId="35E951E9"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$ 787</w:t>
            </w:r>
          </w:p>
        </w:tc>
      </w:tr>
      <w:tr w:rsidR="00321689" w14:paraId="64C02030" w14:textId="77777777" w:rsidTr="00321689">
        <w:trPr>
          <w:trHeight w:val="154"/>
        </w:trPr>
        <w:tc>
          <w:tcPr>
            <w:tcW w:w="2697" w:type="dxa"/>
            <w:tcBorders>
              <w:top w:val="nil"/>
              <w:left w:val="single" w:sz="4" w:space="0" w:color="000000"/>
              <w:bottom w:val="single" w:sz="4" w:space="0" w:color="000000"/>
              <w:right w:val="single" w:sz="4" w:space="0" w:color="000000"/>
            </w:tcBorders>
            <w:noWrap/>
            <w:vAlign w:val="center"/>
            <w:hideMark/>
          </w:tcPr>
          <w:p w14:paraId="13D79305" w14:textId="77777777" w:rsidR="00321689" w:rsidRDefault="00321689">
            <w:pPr>
              <w:jc w:val="both"/>
              <w:rPr>
                <w:rFonts w:ascii="Verdana" w:eastAsia="Times New Roman" w:hAnsi="Verdana"/>
                <w:color w:val="000000"/>
                <w:sz w:val="16"/>
                <w:szCs w:val="16"/>
                <w:lang w:eastAsia="es-CO"/>
              </w:rPr>
            </w:pPr>
            <w:r>
              <w:rPr>
                <w:rFonts w:ascii="Verdana" w:eastAsia="Times New Roman" w:hAnsi="Verdana"/>
                <w:color w:val="000000"/>
                <w:sz w:val="16"/>
                <w:szCs w:val="16"/>
                <w:lang w:eastAsia="es-CO"/>
              </w:rPr>
              <w:t>SALUD PUBLICA COLECTIVA</w:t>
            </w:r>
          </w:p>
        </w:tc>
        <w:tc>
          <w:tcPr>
            <w:tcW w:w="1255" w:type="dxa"/>
            <w:tcBorders>
              <w:top w:val="nil"/>
              <w:left w:val="nil"/>
              <w:bottom w:val="single" w:sz="4" w:space="0" w:color="000000"/>
              <w:right w:val="single" w:sz="4" w:space="0" w:color="000000"/>
            </w:tcBorders>
            <w:noWrap/>
            <w:vAlign w:val="center"/>
            <w:hideMark/>
          </w:tcPr>
          <w:p w14:paraId="502FD9B1"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$ 6.530</w:t>
            </w:r>
          </w:p>
        </w:tc>
        <w:tc>
          <w:tcPr>
            <w:tcW w:w="1564" w:type="dxa"/>
            <w:tcBorders>
              <w:top w:val="nil"/>
              <w:left w:val="nil"/>
              <w:bottom w:val="single" w:sz="4" w:space="0" w:color="000000"/>
              <w:right w:val="single" w:sz="4" w:space="0" w:color="000000"/>
            </w:tcBorders>
            <w:noWrap/>
            <w:vAlign w:val="center"/>
            <w:hideMark/>
          </w:tcPr>
          <w:p w14:paraId="56BF41F4"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$ 6.037</w:t>
            </w:r>
          </w:p>
        </w:tc>
        <w:tc>
          <w:tcPr>
            <w:tcW w:w="1283" w:type="dxa"/>
            <w:tcBorders>
              <w:top w:val="nil"/>
              <w:left w:val="nil"/>
              <w:bottom w:val="single" w:sz="4" w:space="0" w:color="000000"/>
              <w:right w:val="single" w:sz="4" w:space="0" w:color="000000"/>
            </w:tcBorders>
            <w:noWrap/>
            <w:vAlign w:val="center"/>
            <w:hideMark/>
          </w:tcPr>
          <w:p w14:paraId="025201A4"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$ 6.104</w:t>
            </w:r>
          </w:p>
        </w:tc>
        <w:tc>
          <w:tcPr>
            <w:tcW w:w="993" w:type="dxa"/>
            <w:tcBorders>
              <w:top w:val="nil"/>
              <w:left w:val="nil"/>
              <w:bottom w:val="single" w:sz="4" w:space="0" w:color="000000"/>
              <w:right w:val="single" w:sz="4" w:space="0" w:color="000000"/>
            </w:tcBorders>
            <w:noWrap/>
            <w:vAlign w:val="center"/>
            <w:hideMark/>
          </w:tcPr>
          <w:p w14:paraId="1F159572"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$ 493</w:t>
            </w:r>
          </w:p>
        </w:tc>
        <w:tc>
          <w:tcPr>
            <w:tcW w:w="992" w:type="dxa"/>
            <w:tcBorders>
              <w:top w:val="nil"/>
              <w:left w:val="nil"/>
              <w:bottom w:val="single" w:sz="4" w:space="0" w:color="000000"/>
              <w:right w:val="single" w:sz="4" w:space="0" w:color="000000"/>
            </w:tcBorders>
            <w:noWrap/>
            <w:vAlign w:val="center"/>
            <w:hideMark/>
          </w:tcPr>
          <w:p w14:paraId="1A12F7FB"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$ 426</w:t>
            </w:r>
          </w:p>
        </w:tc>
      </w:tr>
      <w:tr w:rsidR="00321689" w14:paraId="1D915E47" w14:textId="77777777" w:rsidTr="00321689">
        <w:trPr>
          <w:trHeight w:val="230"/>
        </w:trPr>
        <w:tc>
          <w:tcPr>
            <w:tcW w:w="2697" w:type="dxa"/>
            <w:tcBorders>
              <w:top w:val="nil"/>
              <w:left w:val="single" w:sz="4" w:space="0" w:color="000000"/>
              <w:bottom w:val="single" w:sz="4" w:space="0" w:color="000000"/>
              <w:right w:val="single" w:sz="4" w:space="0" w:color="000000"/>
            </w:tcBorders>
            <w:noWrap/>
            <w:vAlign w:val="center"/>
            <w:hideMark/>
          </w:tcPr>
          <w:p w14:paraId="399FC0A2" w14:textId="77777777" w:rsidR="00321689" w:rsidRDefault="00321689">
            <w:pPr>
              <w:jc w:val="both"/>
              <w:rPr>
                <w:rFonts w:ascii="Verdana" w:eastAsia="Times New Roman" w:hAnsi="Verdana"/>
                <w:color w:val="000000"/>
                <w:sz w:val="16"/>
                <w:szCs w:val="16"/>
                <w:lang w:eastAsia="es-CO"/>
              </w:rPr>
            </w:pPr>
            <w:r>
              <w:rPr>
                <w:rFonts w:ascii="Verdana" w:eastAsia="Times New Roman" w:hAnsi="Verdana"/>
                <w:color w:val="000000"/>
                <w:sz w:val="16"/>
                <w:szCs w:val="16"/>
                <w:lang w:eastAsia="es-CO"/>
              </w:rPr>
              <w:t>OTROS GASTOS EN SALUD INVERSIÓN</w:t>
            </w:r>
          </w:p>
        </w:tc>
        <w:tc>
          <w:tcPr>
            <w:tcW w:w="1255" w:type="dxa"/>
            <w:tcBorders>
              <w:top w:val="nil"/>
              <w:left w:val="nil"/>
              <w:bottom w:val="single" w:sz="4" w:space="0" w:color="000000"/>
              <w:right w:val="single" w:sz="4" w:space="0" w:color="000000"/>
            </w:tcBorders>
            <w:noWrap/>
            <w:vAlign w:val="center"/>
            <w:hideMark/>
          </w:tcPr>
          <w:p w14:paraId="40ADCF9B"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$ 13.035</w:t>
            </w:r>
          </w:p>
        </w:tc>
        <w:tc>
          <w:tcPr>
            <w:tcW w:w="1564" w:type="dxa"/>
            <w:tcBorders>
              <w:top w:val="nil"/>
              <w:left w:val="nil"/>
              <w:bottom w:val="single" w:sz="4" w:space="0" w:color="000000"/>
              <w:right w:val="single" w:sz="4" w:space="0" w:color="000000"/>
            </w:tcBorders>
            <w:noWrap/>
            <w:vAlign w:val="center"/>
            <w:hideMark/>
          </w:tcPr>
          <w:p w14:paraId="67025575"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$ 15.327</w:t>
            </w:r>
          </w:p>
        </w:tc>
        <w:tc>
          <w:tcPr>
            <w:tcW w:w="1283" w:type="dxa"/>
            <w:tcBorders>
              <w:top w:val="nil"/>
              <w:left w:val="nil"/>
              <w:bottom w:val="single" w:sz="4" w:space="0" w:color="000000"/>
              <w:right w:val="single" w:sz="4" w:space="0" w:color="000000"/>
            </w:tcBorders>
            <w:noWrap/>
            <w:vAlign w:val="center"/>
            <w:hideMark/>
          </w:tcPr>
          <w:p w14:paraId="5F9555C6"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$ 15.415</w:t>
            </w:r>
          </w:p>
        </w:tc>
        <w:tc>
          <w:tcPr>
            <w:tcW w:w="993" w:type="dxa"/>
            <w:tcBorders>
              <w:top w:val="nil"/>
              <w:left w:val="nil"/>
              <w:bottom w:val="single" w:sz="4" w:space="0" w:color="000000"/>
              <w:right w:val="single" w:sz="4" w:space="0" w:color="000000"/>
            </w:tcBorders>
            <w:noWrap/>
            <w:vAlign w:val="center"/>
            <w:hideMark/>
          </w:tcPr>
          <w:p w14:paraId="7F0878D3"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FF0000"/>
                <w:sz w:val="16"/>
                <w:szCs w:val="16"/>
                <w:lang w:eastAsia="es-CO"/>
              </w:rPr>
              <w:t>-$ 2.292</w:t>
            </w:r>
          </w:p>
        </w:tc>
        <w:tc>
          <w:tcPr>
            <w:tcW w:w="992" w:type="dxa"/>
            <w:tcBorders>
              <w:top w:val="nil"/>
              <w:left w:val="nil"/>
              <w:bottom w:val="single" w:sz="4" w:space="0" w:color="000000"/>
              <w:right w:val="single" w:sz="4" w:space="0" w:color="000000"/>
            </w:tcBorders>
            <w:noWrap/>
            <w:vAlign w:val="center"/>
            <w:hideMark/>
          </w:tcPr>
          <w:p w14:paraId="03102613"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FF0000"/>
                <w:sz w:val="16"/>
                <w:szCs w:val="16"/>
                <w:lang w:eastAsia="es-CO"/>
              </w:rPr>
              <w:t>-$ 2.380</w:t>
            </w:r>
          </w:p>
        </w:tc>
      </w:tr>
      <w:tr w:rsidR="00321689" w14:paraId="6D14C283" w14:textId="77777777" w:rsidTr="00321689">
        <w:trPr>
          <w:trHeight w:val="227"/>
        </w:trPr>
        <w:tc>
          <w:tcPr>
            <w:tcW w:w="2697" w:type="dxa"/>
            <w:tcBorders>
              <w:top w:val="nil"/>
              <w:left w:val="single" w:sz="4" w:space="0" w:color="000000"/>
              <w:bottom w:val="single" w:sz="4" w:space="0" w:color="000000"/>
              <w:right w:val="single" w:sz="4" w:space="0" w:color="000000"/>
            </w:tcBorders>
            <w:noWrap/>
            <w:vAlign w:val="center"/>
            <w:hideMark/>
          </w:tcPr>
          <w:p w14:paraId="6CDA862F" w14:textId="77777777" w:rsidR="00321689" w:rsidRDefault="00321689">
            <w:pPr>
              <w:jc w:val="both"/>
              <w:rPr>
                <w:rFonts w:ascii="Verdana" w:eastAsia="Times New Roman" w:hAnsi="Verdana"/>
                <w:color w:val="000000"/>
                <w:sz w:val="16"/>
                <w:szCs w:val="16"/>
                <w:lang w:eastAsia="es-CO"/>
              </w:rPr>
            </w:pPr>
            <w:r>
              <w:rPr>
                <w:rFonts w:ascii="Verdana" w:eastAsia="Times New Roman" w:hAnsi="Verdana"/>
                <w:color w:val="000000"/>
                <w:sz w:val="16"/>
                <w:szCs w:val="16"/>
                <w:lang w:eastAsia="es-CO"/>
              </w:rPr>
              <w:t>OTROS GASTOS SALUD FUNCIONAMIENTO</w:t>
            </w:r>
          </w:p>
        </w:tc>
        <w:tc>
          <w:tcPr>
            <w:tcW w:w="1255" w:type="dxa"/>
            <w:tcBorders>
              <w:top w:val="nil"/>
              <w:left w:val="nil"/>
              <w:bottom w:val="single" w:sz="4" w:space="0" w:color="000000"/>
              <w:right w:val="single" w:sz="4" w:space="0" w:color="000000"/>
            </w:tcBorders>
            <w:noWrap/>
            <w:vAlign w:val="center"/>
            <w:hideMark/>
          </w:tcPr>
          <w:p w14:paraId="165AB95B"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$ 8.549</w:t>
            </w:r>
          </w:p>
        </w:tc>
        <w:tc>
          <w:tcPr>
            <w:tcW w:w="1564" w:type="dxa"/>
            <w:tcBorders>
              <w:top w:val="nil"/>
              <w:left w:val="nil"/>
              <w:bottom w:val="single" w:sz="4" w:space="0" w:color="000000"/>
              <w:right w:val="single" w:sz="4" w:space="0" w:color="000000"/>
            </w:tcBorders>
            <w:noWrap/>
            <w:vAlign w:val="center"/>
            <w:hideMark/>
          </w:tcPr>
          <w:p w14:paraId="31858A56"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$ 8.507</w:t>
            </w:r>
          </w:p>
        </w:tc>
        <w:tc>
          <w:tcPr>
            <w:tcW w:w="1283" w:type="dxa"/>
            <w:tcBorders>
              <w:top w:val="nil"/>
              <w:left w:val="nil"/>
              <w:bottom w:val="single" w:sz="4" w:space="0" w:color="000000"/>
              <w:right w:val="single" w:sz="4" w:space="0" w:color="000000"/>
            </w:tcBorders>
            <w:noWrap/>
            <w:vAlign w:val="center"/>
            <w:hideMark/>
          </w:tcPr>
          <w:p w14:paraId="6B18DA82"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$ 8.756</w:t>
            </w:r>
          </w:p>
        </w:tc>
        <w:tc>
          <w:tcPr>
            <w:tcW w:w="993" w:type="dxa"/>
            <w:tcBorders>
              <w:top w:val="nil"/>
              <w:left w:val="nil"/>
              <w:bottom w:val="single" w:sz="4" w:space="0" w:color="000000"/>
              <w:right w:val="single" w:sz="4" w:space="0" w:color="000000"/>
            </w:tcBorders>
            <w:noWrap/>
            <w:vAlign w:val="center"/>
            <w:hideMark/>
          </w:tcPr>
          <w:p w14:paraId="3383A231"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$ 42</w:t>
            </w:r>
          </w:p>
        </w:tc>
        <w:tc>
          <w:tcPr>
            <w:tcW w:w="992" w:type="dxa"/>
            <w:tcBorders>
              <w:top w:val="nil"/>
              <w:left w:val="nil"/>
              <w:bottom w:val="single" w:sz="4" w:space="0" w:color="000000"/>
              <w:right w:val="single" w:sz="4" w:space="0" w:color="000000"/>
            </w:tcBorders>
            <w:noWrap/>
            <w:vAlign w:val="center"/>
            <w:hideMark/>
          </w:tcPr>
          <w:p w14:paraId="5BF1FA1B" w14:textId="77777777" w:rsidR="00321689" w:rsidRDefault="00321689">
            <w:pPr>
              <w:jc w:val="right"/>
              <w:rPr>
                <w:rFonts w:ascii="Verdana" w:eastAsia="Times New Roman" w:hAnsi="Verdana"/>
                <w:color w:val="000000"/>
                <w:sz w:val="16"/>
                <w:szCs w:val="16"/>
                <w:lang w:eastAsia="es-CO"/>
              </w:rPr>
            </w:pPr>
            <w:r>
              <w:rPr>
                <w:rFonts w:ascii="Verdana" w:eastAsia="Times New Roman" w:hAnsi="Verdana"/>
                <w:color w:val="FF0000"/>
                <w:sz w:val="16"/>
                <w:szCs w:val="16"/>
                <w:lang w:eastAsia="es-CO"/>
              </w:rPr>
              <w:t>-$ 207</w:t>
            </w:r>
          </w:p>
        </w:tc>
      </w:tr>
    </w:tbl>
    <w:p w14:paraId="5076FA39" w14:textId="77777777" w:rsidR="00321689" w:rsidRDefault="00321689" w:rsidP="00087B7F">
      <w:pPr>
        <w:jc w:val="center"/>
        <w:rPr>
          <w:rFonts w:ascii="Verdana" w:eastAsiaTheme="minorHAnsi" w:hAnsi="Verdana" w:cs="Arial"/>
          <w:sz w:val="22"/>
          <w:szCs w:val="22"/>
          <w:lang w:eastAsia="en-US"/>
        </w:rPr>
      </w:pPr>
      <w:r>
        <w:rPr>
          <w:rFonts w:ascii="Verdana" w:hAnsi="Verdana" w:cs="Arial"/>
          <w:sz w:val="16"/>
          <w:szCs w:val="16"/>
        </w:rPr>
        <w:t>Fuente: Entidad territorial y FUT_Tesoreria</w:t>
      </w:r>
    </w:p>
    <w:p w14:paraId="7F6A466D" w14:textId="77777777" w:rsidR="00321689" w:rsidRDefault="00321689" w:rsidP="00321689">
      <w:pPr>
        <w:jc w:val="both"/>
        <w:rPr>
          <w:rFonts w:ascii="Verdana" w:hAnsi="Verdana" w:cs="Arial"/>
        </w:rPr>
      </w:pPr>
    </w:p>
    <w:p w14:paraId="2B1CCF1E" w14:textId="77777777" w:rsidR="00AE40AC" w:rsidRPr="00AE40AC" w:rsidRDefault="00321689" w:rsidP="00321689">
      <w:pPr>
        <w:jc w:val="both"/>
        <w:rPr>
          <w:rFonts w:ascii="Verdana" w:hAnsi="Verdana" w:cs="Arial"/>
          <w:sz w:val="21"/>
          <w:szCs w:val="21"/>
        </w:rPr>
      </w:pPr>
      <w:r w:rsidRPr="00AE40AC">
        <w:rPr>
          <w:rFonts w:ascii="Verdana" w:hAnsi="Verdana" w:cs="Arial"/>
          <w:sz w:val="21"/>
          <w:szCs w:val="21"/>
        </w:rPr>
        <w:t>Al respecto el área de tesorería, en la vista realizada, manifestó frente a las diferencias lo siguiente</w:t>
      </w:r>
      <w:r w:rsidR="00AE40AC" w:rsidRPr="00AE40AC">
        <w:rPr>
          <w:rFonts w:ascii="Verdana" w:hAnsi="Verdana" w:cs="Arial"/>
          <w:sz w:val="21"/>
          <w:szCs w:val="21"/>
        </w:rPr>
        <w:t>:</w:t>
      </w:r>
    </w:p>
    <w:p w14:paraId="0B426DC5" w14:textId="77777777" w:rsidR="00AE40AC" w:rsidRDefault="00AE40AC" w:rsidP="00321689">
      <w:pPr>
        <w:jc w:val="both"/>
        <w:rPr>
          <w:rFonts w:ascii="Verdana" w:hAnsi="Verdana" w:cs="Arial"/>
        </w:rPr>
      </w:pPr>
    </w:p>
    <w:p w14:paraId="0E79D711" w14:textId="77777777" w:rsidR="00B91C16" w:rsidRDefault="00321689" w:rsidP="00AB0C16">
      <w:pPr>
        <w:ind w:left="567"/>
        <w:jc w:val="both"/>
        <w:rPr>
          <w:rFonts w:ascii="Verdana" w:hAnsi="Verdana" w:cs="Arial"/>
          <w:i/>
          <w:sz w:val="18"/>
          <w:szCs w:val="18"/>
        </w:rPr>
      </w:pPr>
      <w:r w:rsidRPr="00854D15">
        <w:rPr>
          <w:rFonts w:ascii="Verdana" w:hAnsi="Verdana" w:cs="Arial"/>
          <w:i/>
          <w:iCs/>
          <w:sz w:val="18"/>
          <w:szCs w:val="18"/>
        </w:rPr>
        <w:t>“[…]</w:t>
      </w:r>
      <w:r>
        <w:rPr>
          <w:rFonts w:ascii="Verdana" w:hAnsi="Verdana" w:cs="Arial"/>
        </w:rPr>
        <w:t xml:space="preserve"> </w:t>
      </w:r>
      <w:r>
        <w:rPr>
          <w:rFonts w:ascii="Verdana" w:hAnsi="Verdana" w:cs="Arial"/>
          <w:i/>
          <w:sz w:val="18"/>
          <w:szCs w:val="18"/>
        </w:rPr>
        <w:t xml:space="preserve">La cuenta bancaria donde se manejan los recursos POBLACION POBRE NO ASEGURADA es la CUENTA CORRIENTE No. 628351306 del banco BOGOTA, en esta cuenta se manejan dos (2) fuentes de financiación:  POBLACION POBRE NO ASEGURADA (RECURSO 30) con un saldo de $6,913,054,555.87 y ATENCION EN SALUD A LA POBLACION DESPLAZADA (RECURSO 138) con un saldo al cierre de $787,283,207.5.  En el reporte FUT Fondo Local de Salud se reporta saldo según libros y en el FUT Cierre se reporta el saldo depurado que realmente le corresponde a la fuente de financiación SGP Prestación de Servicios.” </w:t>
      </w:r>
    </w:p>
    <w:p w14:paraId="733C5900" w14:textId="77777777" w:rsidR="00B91C16" w:rsidRDefault="00B91C16" w:rsidP="00321689">
      <w:pPr>
        <w:jc w:val="both"/>
        <w:rPr>
          <w:rFonts w:ascii="Verdana" w:hAnsi="Verdana" w:cs="Arial"/>
          <w:i/>
          <w:sz w:val="18"/>
          <w:szCs w:val="18"/>
        </w:rPr>
      </w:pPr>
    </w:p>
    <w:p w14:paraId="6D2F4D2F" w14:textId="77777777" w:rsidR="00321689" w:rsidRPr="00B91C16" w:rsidRDefault="00321689" w:rsidP="00321689">
      <w:pPr>
        <w:jc w:val="both"/>
        <w:rPr>
          <w:rFonts w:ascii="Verdana" w:hAnsi="Verdana" w:cs="Arial"/>
          <w:sz w:val="21"/>
          <w:szCs w:val="21"/>
        </w:rPr>
      </w:pPr>
      <w:r w:rsidRPr="00B91C16">
        <w:rPr>
          <w:rFonts w:ascii="Verdana" w:hAnsi="Verdana" w:cs="Arial"/>
          <w:sz w:val="21"/>
          <w:szCs w:val="21"/>
        </w:rPr>
        <w:t>Frente a la cuenta de salud pública menciona:</w:t>
      </w:r>
    </w:p>
    <w:p w14:paraId="4AB0EB66" w14:textId="77777777" w:rsidR="00321689" w:rsidRDefault="00321689" w:rsidP="00321689">
      <w:pPr>
        <w:jc w:val="both"/>
        <w:rPr>
          <w:rFonts w:ascii="Verdana" w:hAnsi="Verdana" w:cs="Arial"/>
        </w:rPr>
      </w:pPr>
    </w:p>
    <w:p w14:paraId="0043947B" w14:textId="77777777" w:rsidR="00321689" w:rsidRDefault="00321689" w:rsidP="00AB0C16">
      <w:pPr>
        <w:ind w:left="567"/>
        <w:jc w:val="both"/>
        <w:rPr>
          <w:rFonts w:ascii="Verdana" w:hAnsi="Verdana" w:cs="Arial"/>
          <w:i/>
          <w:sz w:val="18"/>
          <w:szCs w:val="18"/>
        </w:rPr>
      </w:pPr>
      <w:r>
        <w:rPr>
          <w:rFonts w:ascii="Verdana" w:hAnsi="Verdana" w:cs="Arial"/>
          <w:i/>
          <w:sz w:val="18"/>
          <w:szCs w:val="18"/>
        </w:rPr>
        <w:t>“[…]</w:t>
      </w:r>
      <w:r w:rsidR="006100DD">
        <w:rPr>
          <w:rFonts w:ascii="Verdana" w:hAnsi="Verdana" w:cs="Arial"/>
          <w:i/>
          <w:sz w:val="18"/>
          <w:szCs w:val="18"/>
        </w:rPr>
        <w:t xml:space="preserve"> </w:t>
      </w:r>
      <w:r>
        <w:rPr>
          <w:rFonts w:ascii="Verdana" w:hAnsi="Verdana" w:cs="Arial"/>
          <w:i/>
          <w:sz w:val="18"/>
          <w:szCs w:val="18"/>
        </w:rPr>
        <w:t>La cuenta bancaria donde se manejan los recursos SALUD PUBLICA (RECURSO 32) es la CUENTA CORRIENTE No. 628091159 del banco BOGOTA, esta cuenta tiene saldos de 9 fuentes de financiación diferentes a salud pública que se relacionan a continuación con el saldo disponible a 31 de diciembre de 2022 de $425,899,933,97</w:t>
      </w:r>
      <w:r w:rsidR="006100DD">
        <w:rPr>
          <w:rFonts w:ascii="Verdana" w:hAnsi="Verdana" w:cs="Arial"/>
          <w:i/>
          <w:sz w:val="18"/>
          <w:szCs w:val="18"/>
        </w:rPr>
        <w:t>.</w:t>
      </w:r>
    </w:p>
    <w:p w14:paraId="3BA3DFCB" w14:textId="77777777" w:rsidR="00321689" w:rsidRDefault="00321689" w:rsidP="00AB0C16">
      <w:pPr>
        <w:ind w:left="567"/>
        <w:jc w:val="both"/>
        <w:rPr>
          <w:rFonts w:ascii="Verdana" w:hAnsi="Verdana" w:cs="Arial"/>
          <w:i/>
          <w:sz w:val="18"/>
          <w:szCs w:val="18"/>
        </w:rPr>
      </w:pPr>
    </w:p>
    <w:p w14:paraId="18CD2F90" w14:textId="77777777" w:rsidR="00321689" w:rsidRDefault="00321689" w:rsidP="00AB0C16">
      <w:pPr>
        <w:ind w:left="567"/>
        <w:jc w:val="center"/>
        <w:rPr>
          <w:rFonts w:ascii="Verdana" w:hAnsi="Verdana" w:cs="Arial"/>
          <w:i/>
          <w:sz w:val="18"/>
          <w:szCs w:val="18"/>
        </w:rPr>
      </w:pPr>
      <w:r>
        <w:rPr>
          <w:noProof/>
          <w:lang w:val="es-CO" w:eastAsia="es-CO"/>
        </w:rPr>
        <w:drawing>
          <wp:inline distT="0" distB="0" distL="0" distR="0" wp14:anchorId="77F1BDB5" wp14:editId="1007BCBF">
            <wp:extent cx="4908550" cy="1174750"/>
            <wp:effectExtent l="0" t="0" r="635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8550" cy="1174750"/>
                    </a:xfrm>
                    <a:prstGeom prst="rect">
                      <a:avLst/>
                    </a:prstGeom>
                    <a:noFill/>
                    <a:ln>
                      <a:noFill/>
                    </a:ln>
                  </pic:spPr>
                </pic:pic>
              </a:graphicData>
            </a:graphic>
          </wp:inline>
        </w:drawing>
      </w:r>
      <w:r>
        <w:rPr>
          <w:rFonts w:ascii="Verdana" w:hAnsi="Verdana" w:cs="Arial"/>
          <w:i/>
          <w:sz w:val="18"/>
          <w:szCs w:val="18"/>
        </w:rPr>
        <w:t xml:space="preserve"> ”</w:t>
      </w:r>
    </w:p>
    <w:p w14:paraId="12A66DC0" w14:textId="77777777" w:rsidR="00321689" w:rsidRDefault="00321689" w:rsidP="00321689">
      <w:pPr>
        <w:jc w:val="both"/>
        <w:rPr>
          <w:rFonts w:ascii="Verdana" w:hAnsi="Verdana" w:cs="Arial"/>
          <w:sz w:val="22"/>
          <w:szCs w:val="22"/>
        </w:rPr>
      </w:pPr>
      <w:r>
        <w:rPr>
          <w:rFonts w:ascii="Verdana" w:hAnsi="Verdana" w:cs="Arial"/>
        </w:rPr>
        <w:t xml:space="preserve"> </w:t>
      </w:r>
    </w:p>
    <w:p w14:paraId="15CD0857" w14:textId="77777777" w:rsidR="00321689" w:rsidRPr="00AE40AC" w:rsidRDefault="00321689" w:rsidP="00321689">
      <w:pPr>
        <w:jc w:val="both"/>
        <w:rPr>
          <w:rFonts w:ascii="Verdana" w:hAnsi="Verdana" w:cs="Arial"/>
          <w:sz w:val="21"/>
          <w:szCs w:val="21"/>
        </w:rPr>
      </w:pPr>
      <w:r w:rsidRPr="00AE40AC">
        <w:rPr>
          <w:rFonts w:ascii="Verdana" w:hAnsi="Verdana" w:cs="Arial"/>
          <w:sz w:val="21"/>
          <w:szCs w:val="21"/>
        </w:rPr>
        <w:t xml:space="preserve">Por lo anterior, la justificación entregada por la </w:t>
      </w:r>
      <w:r w:rsidR="00364608">
        <w:rPr>
          <w:rFonts w:ascii="Verdana" w:hAnsi="Verdana" w:cs="Arial"/>
          <w:sz w:val="21"/>
          <w:szCs w:val="21"/>
        </w:rPr>
        <w:t>E</w:t>
      </w:r>
      <w:r w:rsidRPr="00AE40AC">
        <w:rPr>
          <w:rFonts w:ascii="Verdana" w:hAnsi="Verdana" w:cs="Arial"/>
          <w:sz w:val="21"/>
          <w:szCs w:val="21"/>
        </w:rPr>
        <w:t>ntidad en cuanto a los saldos de tesorería y su reporte en el FUT_TESORERIA evidencia que el manejo de las cuentas de Prestación de Servicios y Salud Pública no revela la totalidad de las fuentes, generando un mal reporte en el FUT, debiéndose incluir la totalidad de las fuentes que nutren estas cuentas, no solo lo correspondiente al SGP.</w:t>
      </w:r>
    </w:p>
    <w:p w14:paraId="75C59DCF" w14:textId="77777777" w:rsidR="00321689" w:rsidRPr="00AE40AC" w:rsidRDefault="00321689" w:rsidP="00321689">
      <w:pPr>
        <w:jc w:val="both"/>
        <w:rPr>
          <w:rFonts w:ascii="Verdana" w:hAnsi="Verdana" w:cs="Arial"/>
          <w:sz w:val="21"/>
          <w:szCs w:val="21"/>
        </w:rPr>
      </w:pPr>
    </w:p>
    <w:p w14:paraId="394414D9" w14:textId="77777777" w:rsidR="00321689" w:rsidRPr="00AE40AC" w:rsidRDefault="00321689" w:rsidP="00321689">
      <w:pPr>
        <w:pStyle w:val="Prrafodelista"/>
        <w:numPr>
          <w:ilvl w:val="0"/>
          <w:numId w:val="8"/>
        </w:numPr>
        <w:rPr>
          <w:rFonts w:ascii="Verdana" w:hAnsi="Verdana" w:cs="Arial"/>
          <w:b/>
          <w:sz w:val="21"/>
          <w:szCs w:val="21"/>
        </w:rPr>
      </w:pPr>
      <w:r w:rsidRPr="00AE40AC">
        <w:rPr>
          <w:rFonts w:ascii="Verdana" w:hAnsi="Verdana" w:cs="Arial"/>
          <w:b/>
          <w:sz w:val="21"/>
          <w:szCs w:val="21"/>
        </w:rPr>
        <w:t>Análisis contable.</w:t>
      </w:r>
    </w:p>
    <w:p w14:paraId="03E08C0C" w14:textId="77777777" w:rsidR="00321689" w:rsidRPr="00AE40AC" w:rsidRDefault="00321689" w:rsidP="00321689">
      <w:pPr>
        <w:rPr>
          <w:rFonts w:ascii="Verdana" w:hAnsi="Verdana" w:cs="Arial"/>
          <w:b/>
          <w:sz w:val="21"/>
          <w:szCs w:val="21"/>
        </w:rPr>
      </w:pPr>
    </w:p>
    <w:p w14:paraId="58695936" w14:textId="77777777" w:rsidR="00321689" w:rsidRPr="00AE40AC" w:rsidRDefault="00321689" w:rsidP="00321689">
      <w:pPr>
        <w:jc w:val="both"/>
        <w:rPr>
          <w:rFonts w:ascii="Verdana" w:eastAsia="Calibri" w:hAnsi="Verdana" w:cs="Arial"/>
          <w:sz w:val="21"/>
          <w:szCs w:val="21"/>
        </w:rPr>
      </w:pPr>
      <w:r w:rsidRPr="00AE40AC">
        <w:rPr>
          <w:rFonts w:ascii="Verdana" w:eastAsia="Calibri" w:hAnsi="Verdana" w:cs="Arial"/>
          <w:sz w:val="21"/>
          <w:szCs w:val="21"/>
        </w:rPr>
        <w:t xml:space="preserve">A nivel contable, la Entidad Territorial no presentó la contabilidad en una cuenta especial e independiente para el Fondo Local de Salud dentro del sistema contable general de acuerdo </w:t>
      </w:r>
      <w:r w:rsidR="007527CD">
        <w:rPr>
          <w:rFonts w:ascii="Verdana" w:eastAsia="Calibri" w:hAnsi="Verdana" w:cs="Arial"/>
          <w:sz w:val="21"/>
          <w:szCs w:val="21"/>
        </w:rPr>
        <w:t>con</w:t>
      </w:r>
      <w:r w:rsidRPr="00AE40AC">
        <w:rPr>
          <w:rFonts w:ascii="Verdana" w:eastAsia="Calibri" w:hAnsi="Verdana" w:cs="Arial"/>
          <w:sz w:val="21"/>
          <w:szCs w:val="21"/>
        </w:rPr>
        <w:t xml:space="preserve"> lo establecido por la normatividad vigente, pues la maneja de manera consolidada, mostrando activos por $2.9 billones, pasivos por $829.394 millones y patrimonio por $2.1 billones.</w:t>
      </w:r>
    </w:p>
    <w:p w14:paraId="5C9056F0" w14:textId="77777777" w:rsidR="00321689" w:rsidRPr="00AE40AC" w:rsidRDefault="00321689" w:rsidP="00321689">
      <w:pPr>
        <w:jc w:val="both"/>
        <w:rPr>
          <w:rFonts w:ascii="Verdana" w:eastAsia="Calibri" w:hAnsi="Verdana" w:cs="Arial"/>
          <w:sz w:val="21"/>
          <w:szCs w:val="21"/>
        </w:rPr>
      </w:pPr>
    </w:p>
    <w:p w14:paraId="28642BBA" w14:textId="77777777" w:rsidR="00321689" w:rsidRDefault="00321689" w:rsidP="00321689">
      <w:pPr>
        <w:jc w:val="both"/>
        <w:rPr>
          <w:rFonts w:ascii="Verdana" w:eastAsia="Calibri" w:hAnsi="Verdana" w:cs="Arial"/>
          <w:sz w:val="21"/>
          <w:szCs w:val="21"/>
        </w:rPr>
      </w:pPr>
      <w:r w:rsidRPr="00AE40AC">
        <w:rPr>
          <w:rFonts w:ascii="Verdana" w:eastAsia="Calibri" w:hAnsi="Verdana" w:cs="Arial"/>
          <w:sz w:val="21"/>
          <w:szCs w:val="21"/>
        </w:rPr>
        <w:t>De igual forma, la Entidad Territorial tiene en el Formulario Único Territorial - FUT de la Categoría Información Contable Pública reportada la información de manera consolidada, por lo que no es posible identificar con precisión el origen y destinación de los recursos de cada una de las fuentes del Fondo Local de Salud.</w:t>
      </w:r>
    </w:p>
    <w:p w14:paraId="25EE3FAF" w14:textId="77777777" w:rsidR="00323CBF" w:rsidRDefault="00323CBF" w:rsidP="00AB0C16">
      <w:pPr>
        <w:contextualSpacing/>
        <w:jc w:val="both"/>
        <w:rPr>
          <w:rFonts w:ascii="Verdana" w:eastAsia="Calibri" w:hAnsi="Verdana" w:cs="Arial"/>
          <w:sz w:val="21"/>
          <w:szCs w:val="21"/>
        </w:rPr>
      </w:pPr>
    </w:p>
    <w:p w14:paraId="400DF07F" w14:textId="77777777" w:rsidR="00323CBF" w:rsidRDefault="00323CBF" w:rsidP="00AB0C16">
      <w:pPr>
        <w:contextualSpacing/>
        <w:jc w:val="both"/>
        <w:rPr>
          <w:rFonts w:ascii="Verdana" w:hAnsi="Verdana" w:cs="Arial"/>
          <w:sz w:val="21"/>
          <w:szCs w:val="21"/>
        </w:rPr>
      </w:pPr>
      <w:r>
        <w:rPr>
          <w:rFonts w:ascii="Verdana" w:hAnsi="Verdana" w:cs="Arial"/>
          <w:sz w:val="21"/>
          <w:szCs w:val="21"/>
        </w:rPr>
        <w:t>Al respecto, la entidad se sustenta mediante el oficio entregado por la Líder del programa de contabilidad, con fecha del 21 de junio de 2023, en el que indica:</w:t>
      </w:r>
    </w:p>
    <w:p w14:paraId="71CFFC65" w14:textId="77777777" w:rsidR="00AB0C16" w:rsidRDefault="00AB0C16" w:rsidP="00AB0C16">
      <w:pPr>
        <w:contextualSpacing/>
        <w:jc w:val="both"/>
        <w:rPr>
          <w:rFonts w:ascii="Verdana" w:hAnsi="Verdana" w:cs="Arial"/>
          <w:sz w:val="21"/>
          <w:szCs w:val="21"/>
        </w:rPr>
      </w:pPr>
    </w:p>
    <w:p w14:paraId="53129ABD" w14:textId="77777777" w:rsidR="00323CBF" w:rsidRDefault="00323CBF" w:rsidP="00AB0C16">
      <w:pPr>
        <w:ind w:left="567"/>
        <w:contextualSpacing/>
        <w:jc w:val="both"/>
        <w:rPr>
          <w:rFonts w:ascii="Verdana" w:hAnsi="Verdana" w:cs="Arial"/>
          <w:i/>
          <w:sz w:val="18"/>
          <w:szCs w:val="18"/>
        </w:rPr>
      </w:pPr>
      <w:r w:rsidRPr="00AB0C16">
        <w:rPr>
          <w:rFonts w:ascii="Verdana" w:hAnsi="Verdana" w:cs="Arial"/>
          <w:i/>
          <w:iCs/>
          <w:sz w:val="18"/>
          <w:szCs w:val="18"/>
        </w:rPr>
        <w:t xml:space="preserve">“[…] </w:t>
      </w:r>
      <w:r w:rsidRPr="00AB0C16">
        <w:rPr>
          <w:rFonts w:ascii="Verdana" w:hAnsi="Verdana" w:cs="Arial"/>
          <w:i/>
          <w:sz w:val="18"/>
          <w:szCs w:val="18"/>
          <w:lang w:val="es-MX"/>
        </w:rPr>
        <w:t xml:space="preserve">muy respetuosamente le comunico que de acuerdo con la resolución 3042 del 2007 emitida por el </w:t>
      </w:r>
      <w:r w:rsidRPr="00AB0C16">
        <w:rPr>
          <w:rFonts w:ascii="Verdana" w:hAnsi="Verdana" w:cs="Arial"/>
          <w:i/>
          <w:sz w:val="18"/>
          <w:szCs w:val="18"/>
        </w:rPr>
        <w:t>Ministerio de la Protección Social</w:t>
      </w:r>
      <w:r w:rsidRPr="00AB0C16">
        <w:rPr>
          <w:rFonts w:ascii="Verdana" w:hAnsi="Verdana" w:cs="Arial"/>
          <w:b/>
          <w:bCs/>
          <w:i/>
          <w:sz w:val="18"/>
          <w:szCs w:val="18"/>
        </w:rPr>
        <w:t xml:space="preserve">, </w:t>
      </w:r>
      <w:r w:rsidRPr="00AB0C16">
        <w:rPr>
          <w:rFonts w:ascii="Verdana" w:hAnsi="Verdana" w:cs="Arial"/>
          <w:i/>
          <w:sz w:val="18"/>
          <w:szCs w:val="18"/>
        </w:rPr>
        <w:t>el manejo contable de los fondos de salud debe realizarse siguiendo los lineamientos establecidos por la Contaduría General de la Nación (CGN).</w:t>
      </w:r>
    </w:p>
    <w:p w14:paraId="0BC71BCE" w14:textId="77777777" w:rsidR="00AB0C16" w:rsidRPr="00AB0C16" w:rsidRDefault="00AB0C16" w:rsidP="00AB0C16">
      <w:pPr>
        <w:ind w:left="567"/>
        <w:contextualSpacing/>
        <w:jc w:val="both"/>
        <w:rPr>
          <w:rFonts w:ascii="Verdana" w:hAnsi="Verdana"/>
          <w:i/>
          <w:sz w:val="18"/>
          <w:szCs w:val="18"/>
          <w:lang w:val="es-CO" w:eastAsia="en-US"/>
        </w:rPr>
      </w:pPr>
    </w:p>
    <w:p w14:paraId="70826AD3" w14:textId="77777777" w:rsidR="00323CBF" w:rsidRDefault="00323CBF" w:rsidP="00AB0C16">
      <w:pPr>
        <w:ind w:left="567"/>
        <w:contextualSpacing/>
        <w:jc w:val="both"/>
        <w:rPr>
          <w:rFonts w:ascii="Verdana" w:hAnsi="Verdana" w:cs="Arial"/>
          <w:b/>
          <w:bCs/>
          <w:i/>
          <w:sz w:val="18"/>
          <w:szCs w:val="18"/>
        </w:rPr>
      </w:pPr>
      <w:r w:rsidRPr="00AB0C16">
        <w:rPr>
          <w:rFonts w:ascii="Verdana" w:hAnsi="Verdana" w:cs="Arial"/>
          <w:i/>
          <w:sz w:val="18"/>
          <w:szCs w:val="18"/>
        </w:rPr>
        <w:t>En esta misma resolución, se establece que el manejo contable aplica para las entidades territoriales cuando sus secretarias de salud operen de manera   centralizada y descentralizada. En el caso del fondo de salud del cesar, por su carácter centralizado (carente de personería jurídica, así como de autonomía administrativa y financiera), su contabilidad se lleva como un centro de costos que forma parte del proceso contable de la Gobernación del Departamento del Cesar</w:t>
      </w:r>
      <w:r w:rsidRPr="00AB0C16">
        <w:rPr>
          <w:rFonts w:ascii="Verdana" w:hAnsi="Verdana" w:cs="Arial"/>
          <w:b/>
          <w:bCs/>
          <w:i/>
          <w:sz w:val="18"/>
          <w:szCs w:val="18"/>
        </w:rPr>
        <w:t>.</w:t>
      </w:r>
    </w:p>
    <w:p w14:paraId="56491B4F" w14:textId="77777777" w:rsidR="00AB0C16" w:rsidRPr="00AB0C16" w:rsidRDefault="00AB0C16" w:rsidP="00AB0C16">
      <w:pPr>
        <w:ind w:left="567"/>
        <w:contextualSpacing/>
        <w:jc w:val="both"/>
        <w:rPr>
          <w:rFonts w:ascii="Verdana" w:hAnsi="Verdana" w:cs="Calibri"/>
          <w:i/>
          <w:sz w:val="18"/>
          <w:szCs w:val="18"/>
        </w:rPr>
      </w:pPr>
    </w:p>
    <w:p w14:paraId="4DA98CE0" w14:textId="77777777" w:rsidR="00323CBF" w:rsidRPr="00AB0C16" w:rsidRDefault="00323CBF" w:rsidP="00AB0C16">
      <w:pPr>
        <w:ind w:left="567"/>
        <w:contextualSpacing/>
        <w:jc w:val="both"/>
        <w:rPr>
          <w:rFonts w:ascii="Verdana" w:hAnsi="Verdana" w:cs="Arial"/>
          <w:i/>
          <w:sz w:val="18"/>
          <w:szCs w:val="18"/>
        </w:rPr>
      </w:pPr>
      <w:r w:rsidRPr="00AB0C16">
        <w:rPr>
          <w:rFonts w:ascii="Verdana" w:hAnsi="Verdana" w:cs="Arial"/>
          <w:i/>
          <w:sz w:val="18"/>
          <w:szCs w:val="18"/>
        </w:rPr>
        <w:t>El procedimiento mencionado se seleccionó a partir de las directrices establecidas en la resolución # 069 del 2021 de la CGN, las cuales fundamentan el proceso contable centralizado que deben seguir las entidades contables públicas para registrar “los hechos económicos en una única unidad contable, y a partir de allí, genera sus estados financieros”.</w:t>
      </w:r>
    </w:p>
    <w:p w14:paraId="7C8E4BC8" w14:textId="77777777" w:rsidR="00AB0C16" w:rsidRDefault="00AB0C16" w:rsidP="00AB0C16">
      <w:pPr>
        <w:contextualSpacing/>
        <w:jc w:val="both"/>
        <w:rPr>
          <w:rFonts w:ascii="Verdana" w:hAnsi="Verdana" w:cs="Arial"/>
          <w:sz w:val="21"/>
          <w:szCs w:val="21"/>
        </w:rPr>
      </w:pPr>
    </w:p>
    <w:p w14:paraId="79FE32C3" w14:textId="77777777" w:rsidR="008818EB" w:rsidRDefault="00323CBF" w:rsidP="00AB0C16">
      <w:pPr>
        <w:contextualSpacing/>
        <w:jc w:val="both"/>
        <w:rPr>
          <w:rFonts w:ascii="Verdana" w:hAnsi="Verdana" w:cs="Arial"/>
          <w:sz w:val="21"/>
          <w:szCs w:val="21"/>
        </w:rPr>
      </w:pPr>
      <w:r>
        <w:rPr>
          <w:rFonts w:ascii="Verdana" w:hAnsi="Verdana" w:cs="Arial"/>
          <w:sz w:val="21"/>
          <w:szCs w:val="21"/>
        </w:rPr>
        <w:t>Frente a lo mencionado por la Líder del proceso contable, Dra.</w:t>
      </w:r>
      <w:r>
        <w:rPr>
          <w:rFonts w:ascii="Verdana" w:hAnsi="Verdana"/>
          <w:sz w:val="21"/>
          <w:szCs w:val="21"/>
        </w:rPr>
        <w:t xml:space="preserve"> </w:t>
      </w:r>
      <w:r>
        <w:rPr>
          <w:rFonts w:ascii="Verdana" w:hAnsi="Verdana" w:cs="Arial"/>
          <w:sz w:val="21"/>
          <w:szCs w:val="21"/>
        </w:rPr>
        <w:t xml:space="preserve">Olga Lucía Iglesias Ibarra, se aclara que en la </w:t>
      </w:r>
      <w:r w:rsidR="00687E2A">
        <w:rPr>
          <w:rFonts w:ascii="Verdana" w:hAnsi="Verdana" w:cs="Arial"/>
          <w:sz w:val="21"/>
          <w:szCs w:val="21"/>
        </w:rPr>
        <w:t>R</w:t>
      </w:r>
      <w:r>
        <w:rPr>
          <w:rFonts w:ascii="Verdana" w:hAnsi="Verdana" w:cs="Arial"/>
          <w:sz w:val="21"/>
          <w:szCs w:val="21"/>
        </w:rPr>
        <w:t xml:space="preserve">esolución 069 del 2021 de la CGN, no se encontró el texto referido, adicionalmente esta </w:t>
      </w:r>
      <w:r w:rsidR="001105BE">
        <w:rPr>
          <w:rFonts w:ascii="Verdana" w:hAnsi="Verdana" w:cs="Arial"/>
          <w:sz w:val="21"/>
          <w:szCs w:val="21"/>
        </w:rPr>
        <w:t>R</w:t>
      </w:r>
      <w:r>
        <w:rPr>
          <w:rFonts w:ascii="Verdana" w:hAnsi="Verdana" w:cs="Arial"/>
          <w:sz w:val="21"/>
          <w:szCs w:val="21"/>
        </w:rPr>
        <w:t xml:space="preserve">esolución hace referencia a: </w:t>
      </w:r>
      <w:r w:rsidR="00AB0C16">
        <w:rPr>
          <w:rFonts w:ascii="Verdana" w:hAnsi="Verdana" w:cs="Arial"/>
          <w:sz w:val="21"/>
          <w:szCs w:val="21"/>
        </w:rPr>
        <w:t>“</w:t>
      </w:r>
      <w:r w:rsidRPr="00854D15">
        <w:rPr>
          <w:rFonts w:ascii="Verdana" w:hAnsi="Verdana" w:cs="Arial"/>
          <w:i/>
          <w:iCs/>
          <w:sz w:val="21"/>
          <w:szCs w:val="21"/>
        </w:rPr>
        <w:t xml:space="preserve">[…] </w:t>
      </w:r>
      <w:r>
        <w:rPr>
          <w:rFonts w:ascii="Verdana" w:hAnsi="Verdana" w:cs="Arial"/>
          <w:i/>
          <w:sz w:val="21"/>
          <w:szCs w:val="21"/>
        </w:rPr>
        <w:t>Por la cual se modifica el numeral 3.3. de la Norma de Proceso Contable y Sistema Documental Contable del Régimen de Contabilidad Pública”</w:t>
      </w:r>
      <w:r>
        <w:rPr>
          <w:rFonts w:ascii="Verdana" w:hAnsi="Verdana" w:cs="Arial"/>
          <w:i/>
          <w:iCs/>
          <w:sz w:val="21"/>
          <w:szCs w:val="21"/>
        </w:rPr>
        <w:t xml:space="preserve"> </w:t>
      </w:r>
      <w:r w:rsidRPr="00854D15">
        <w:rPr>
          <w:rFonts w:ascii="Verdana" w:hAnsi="Verdana" w:cs="Arial"/>
          <w:sz w:val="21"/>
          <w:szCs w:val="21"/>
        </w:rPr>
        <w:t>en la que se menciona:</w:t>
      </w:r>
      <w:r>
        <w:rPr>
          <w:rFonts w:ascii="Verdana" w:hAnsi="Verdana" w:cs="Arial"/>
          <w:i/>
          <w:iCs/>
          <w:sz w:val="21"/>
          <w:szCs w:val="21"/>
        </w:rPr>
        <w:t xml:space="preserve"> “</w:t>
      </w:r>
      <w:r>
        <w:rPr>
          <w:rFonts w:ascii="Verdana" w:hAnsi="Verdana" w:cs="Arial"/>
          <w:i/>
          <w:sz w:val="21"/>
          <w:szCs w:val="21"/>
        </w:rPr>
        <w:t xml:space="preserve">En aras de la economía y eficiencia administrativa, las entidades territoriales podrán llevar, de forma centralizada, la contabilidad de los concejos y personerías municipales o de las asambleas departamentales, siempre y cuando exista consenso entre las partes […]”. </w:t>
      </w:r>
      <w:r>
        <w:rPr>
          <w:rFonts w:ascii="Verdana" w:hAnsi="Verdana" w:cs="Arial"/>
          <w:sz w:val="21"/>
          <w:szCs w:val="21"/>
        </w:rPr>
        <w:t>De tal forma, que en la misma no se hace referencia a la cita enunciada por la entidad.</w:t>
      </w:r>
    </w:p>
    <w:p w14:paraId="27EE4D77" w14:textId="77777777" w:rsidR="00AB0C16" w:rsidRDefault="00AB0C16" w:rsidP="00AB0C16">
      <w:pPr>
        <w:contextualSpacing/>
        <w:jc w:val="both"/>
        <w:rPr>
          <w:rFonts w:ascii="Verdana" w:hAnsi="Verdana" w:cs="Arial"/>
          <w:sz w:val="21"/>
          <w:szCs w:val="21"/>
        </w:rPr>
      </w:pPr>
    </w:p>
    <w:p w14:paraId="7C1E93FC" w14:textId="77777777" w:rsidR="00321689" w:rsidRDefault="008818EB" w:rsidP="00321689">
      <w:pPr>
        <w:jc w:val="both"/>
        <w:rPr>
          <w:rFonts w:ascii="Verdana" w:hAnsi="Verdana" w:cs="Arial"/>
          <w:sz w:val="21"/>
          <w:szCs w:val="21"/>
        </w:rPr>
      </w:pPr>
      <w:r>
        <w:rPr>
          <w:rFonts w:ascii="Verdana" w:hAnsi="Verdana" w:cs="Arial"/>
          <w:sz w:val="21"/>
          <w:szCs w:val="21"/>
        </w:rPr>
        <w:t>En consecuencia, la entidad territorial reitera que la información contable por disposiciones propias, se lleva de manera centralizada</w:t>
      </w:r>
      <w:r w:rsidR="00C133CF">
        <w:rPr>
          <w:rFonts w:ascii="Verdana" w:hAnsi="Verdana" w:cs="Arial"/>
          <w:sz w:val="21"/>
          <w:szCs w:val="21"/>
        </w:rPr>
        <w:t>.</w:t>
      </w:r>
      <w:r>
        <w:rPr>
          <w:rFonts w:ascii="Verdana" w:hAnsi="Verdana" w:cs="Arial"/>
          <w:sz w:val="21"/>
          <w:szCs w:val="21"/>
        </w:rPr>
        <w:t xml:space="preserve"> </w:t>
      </w:r>
    </w:p>
    <w:p w14:paraId="3C202EDF" w14:textId="77777777" w:rsidR="007D6F1E" w:rsidRDefault="007D6F1E" w:rsidP="00321689">
      <w:pPr>
        <w:jc w:val="both"/>
        <w:rPr>
          <w:rFonts w:ascii="Verdana" w:eastAsia="Calibri" w:hAnsi="Verdana" w:cs="Arial"/>
          <w:sz w:val="21"/>
          <w:szCs w:val="21"/>
        </w:rPr>
      </w:pPr>
    </w:p>
    <w:p w14:paraId="39B2F276" w14:textId="77777777" w:rsidR="00321689" w:rsidRDefault="00321689" w:rsidP="00321689">
      <w:pPr>
        <w:pStyle w:val="Prrafodelista"/>
        <w:numPr>
          <w:ilvl w:val="0"/>
          <w:numId w:val="11"/>
        </w:numPr>
        <w:rPr>
          <w:rFonts w:ascii="Verdana" w:eastAsiaTheme="minorHAnsi" w:hAnsi="Verdana" w:cs="Arial"/>
          <w:sz w:val="22"/>
          <w:szCs w:val="22"/>
        </w:rPr>
      </w:pPr>
      <w:r>
        <w:rPr>
          <w:rFonts w:ascii="Verdana" w:hAnsi="Verdana" w:cs="Arial"/>
          <w:b/>
          <w:sz w:val="21"/>
          <w:szCs w:val="21"/>
        </w:rPr>
        <w:t>Régimen Subsidiado.</w:t>
      </w:r>
    </w:p>
    <w:p w14:paraId="210C5D5B" w14:textId="77777777" w:rsidR="00321689" w:rsidRDefault="00321689" w:rsidP="00321689">
      <w:pPr>
        <w:jc w:val="both"/>
        <w:rPr>
          <w:rFonts w:ascii="Verdana" w:hAnsi="Verdana" w:cs="Arial"/>
          <w:b/>
          <w:sz w:val="21"/>
          <w:szCs w:val="21"/>
        </w:rPr>
      </w:pPr>
    </w:p>
    <w:p w14:paraId="72662048" w14:textId="77777777" w:rsidR="00321689" w:rsidRDefault="00321689" w:rsidP="00321689">
      <w:pPr>
        <w:jc w:val="both"/>
        <w:rPr>
          <w:rFonts w:ascii="Verdana" w:eastAsia="Calibri" w:hAnsi="Verdana" w:cs="Arial"/>
          <w:sz w:val="21"/>
          <w:szCs w:val="21"/>
        </w:rPr>
      </w:pPr>
      <w:r>
        <w:rPr>
          <w:rFonts w:ascii="Verdana" w:eastAsia="Calibri" w:hAnsi="Verdana" w:cs="Arial"/>
          <w:sz w:val="21"/>
          <w:szCs w:val="21"/>
        </w:rPr>
        <w:lastRenderedPageBreak/>
        <w:t>El Departamento del Cesar es responsable de dirigir, coordinar y vigilar el Sector Salud y el Sistema General de Seguridad Social en Salud en el territorio de su jurisdicción. Frente al aseguramiento, le corresponde vigilar y controlar el aseguramiento en el Sistema General de Seguridad Social en Salud y en los regímenes de excepción definidos en la Ley 100 de 1993.</w:t>
      </w:r>
    </w:p>
    <w:p w14:paraId="52F15B26" w14:textId="77777777" w:rsidR="00321689" w:rsidRDefault="00321689" w:rsidP="00321689">
      <w:pPr>
        <w:jc w:val="both"/>
        <w:rPr>
          <w:rFonts w:ascii="Verdana" w:eastAsia="Calibri" w:hAnsi="Verdana" w:cs="Arial"/>
          <w:sz w:val="21"/>
          <w:szCs w:val="21"/>
        </w:rPr>
      </w:pPr>
    </w:p>
    <w:p w14:paraId="1042975A" w14:textId="77777777" w:rsidR="00321689" w:rsidRDefault="00321689" w:rsidP="00321689">
      <w:pPr>
        <w:jc w:val="both"/>
        <w:rPr>
          <w:rFonts w:ascii="Verdana" w:eastAsia="Calibri" w:hAnsi="Verdana" w:cs="Arial"/>
          <w:sz w:val="21"/>
          <w:szCs w:val="21"/>
        </w:rPr>
      </w:pPr>
      <w:r>
        <w:rPr>
          <w:rFonts w:ascii="Verdana" w:eastAsia="Calibri" w:hAnsi="Verdana" w:cs="Arial"/>
          <w:sz w:val="21"/>
          <w:szCs w:val="21"/>
        </w:rPr>
        <w:t xml:space="preserve">En cumplimiento a los artículos 2.3.2.2.2 y 2.3.2.2.3 del Decreto 780 de 2016, la Entidad Territorial </w:t>
      </w:r>
      <w:r w:rsidR="00E25D67">
        <w:rPr>
          <w:rFonts w:ascii="Verdana" w:eastAsia="Calibri" w:hAnsi="Verdana" w:cs="Arial"/>
          <w:sz w:val="21"/>
          <w:szCs w:val="21"/>
        </w:rPr>
        <w:t xml:space="preserve">en la vigencia 2022 </w:t>
      </w:r>
      <w:r>
        <w:rPr>
          <w:rFonts w:ascii="Verdana" w:eastAsia="Calibri" w:hAnsi="Verdana" w:cs="Arial"/>
          <w:sz w:val="21"/>
          <w:szCs w:val="21"/>
        </w:rPr>
        <w:t xml:space="preserve">expidió las Resoluciones No 2301 del 17 de febrero de 2022, 5721 del 14 de junio de 2022 y 13477 del 16 de diciembre de 2022, </w:t>
      </w:r>
      <w:r w:rsidR="00E25D67">
        <w:rPr>
          <w:rFonts w:ascii="Verdana" w:eastAsia="Calibri" w:hAnsi="Verdana" w:cs="Arial"/>
          <w:sz w:val="21"/>
          <w:szCs w:val="21"/>
        </w:rPr>
        <w:t xml:space="preserve">y </w:t>
      </w:r>
      <w:r>
        <w:rPr>
          <w:rFonts w:ascii="Verdana" w:eastAsia="Calibri" w:hAnsi="Verdana" w:cs="Arial"/>
          <w:sz w:val="21"/>
          <w:szCs w:val="21"/>
        </w:rPr>
        <w:t xml:space="preserve">para la vigencia 2023 se han expedido las </w:t>
      </w:r>
      <w:r w:rsidR="00E25D67">
        <w:rPr>
          <w:rFonts w:ascii="Verdana" w:eastAsia="Calibri" w:hAnsi="Verdana" w:cs="Arial"/>
          <w:sz w:val="21"/>
          <w:szCs w:val="21"/>
        </w:rPr>
        <w:t>R</w:t>
      </w:r>
      <w:r>
        <w:rPr>
          <w:rFonts w:ascii="Verdana" w:eastAsia="Calibri" w:hAnsi="Verdana" w:cs="Arial"/>
          <w:sz w:val="21"/>
          <w:szCs w:val="21"/>
        </w:rPr>
        <w:t>esoluciones 2741 del 10 de marzo de 2023 y 2933 del 15 de marzo de 2023, por medio de las cuales se estableció el esfuerzo propio territorial para la vigencia 2022 y 2023, por valor de $18.623 millones y de $22.268 millones</w:t>
      </w:r>
      <w:r w:rsidR="00E25D67">
        <w:rPr>
          <w:rFonts w:ascii="Verdana" w:eastAsia="Calibri" w:hAnsi="Verdana" w:cs="Arial"/>
          <w:sz w:val="21"/>
          <w:szCs w:val="21"/>
        </w:rPr>
        <w:t xml:space="preserve"> respectivamente</w:t>
      </w:r>
      <w:r>
        <w:rPr>
          <w:rFonts w:ascii="Verdana" w:eastAsia="Calibri" w:hAnsi="Verdana" w:cs="Arial"/>
          <w:sz w:val="21"/>
          <w:szCs w:val="21"/>
        </w:rPr>
        <w:t>,</w:t>
      </w:r>
      <w:r>
        <w:rPr>
          <w:rFonts w:ascii="Verdana" w:hAnsi="Verdana" w:cs="Arial"/>
          <w:sz w:val="21"/>
          <w:szCs w:val="21"/>
        </w:rPr>
        <w:t xml:space="preserve"> </w:t>
      </w:r>
      <w:r>
        <w:rPr>
          <w:rFonts w:ascii="Verdana" w:eastAsia="Calibri" w:hAnsi="Verdana" w:cs="Arial"/>
          <w:sz w:val="21"/>
          <w:szCs w:val="21"/>
        </w:rPr>
        <w:t xml:space="preserve">los cuales no se ajustan a los </w:t>
      </w:r>
      <w:r w:rsidR="00094E83">
        <w:rPr>
          <w:rFonts w:ascii="Verdana" w:eastAsia="Calibri" w:hAnsi="Verdana" w:cs="Arial"/>
          <w:sz w:val="21"/>
          <w:szCs w:val="21"/>
        </w:rPr>
        <w:t xml:space="preserve">valores </w:t>
      </w:r>
      <w:r>
        <w:rPr>
          <w:rFonts w:ascii="Verdana" w:eastAsia="Calibri" w:hAnsi="Verdana" w:cs="Arial"/>
          <w:sz w:val="21"/>
          <w:szCs w:val="21"/>
        </w:rPr>
        <w:t xml:space="preserve">proyectados por el Ministerio de Salud y Protección Social en su matriz de cofinanciación teniendo en cuenta la modificación realizada en el mes de octubre por el mismo, publicada en la página </w:t>
      </w:r>
      <w:r>
        <w:rPr>
          <w:rFonts w:ascii="Verdana" w:eastAsia="Calibri" w:hAnsi="Verdana" w:cs="Arial"/>
          <w:i/>
          <w:iCs/>
          <w:sz w:val="21"/>
          <w:szCs w:val="21"/>
        </w:rPr>
        <w:t>Web</w:t>
      </w:r>
      <w:r>
        <w:rPr>
          <w:rFonts w:ascii="Verdana" w:eastAsia="Calibri" w:hAnsi="Verdana" w:cs="Arial"/>
          <w:sz w:val="21"/>
          <w:szCs w:val="21"/>
        </w:rPr>
        <w:t>, mostrando una diferencia de $5.954 millones para 2022.</w:t>
      </w:r>
    </w:p>
    <w:p w14:paraId="65B5034D" w14:textId="77777777" w:rsidR="00321689" w:rsidRDefault="00321689" w:rsidP="00321689">
      <w:pPr>
        <w:jc w:val="both"/>
        <w:rPr>
          <w:rFonts w:ascii="Verdana" w:eastAsia="Calibri" w:hAnsi="Verdana" w:cs="Arial"/>
          <w:sz w:val="21"/>
          <w:szCs w:val="21"/>
        </w:rPr>
      </w:pPr>
    </w:p>
    <w:p w14:paraId="6C4C963C" w14:textId="77777777" w:rsidR="00321689" w:rsidRDefault="00321689" w:rsidP="00321689">
      <w:pPr>
        <w:jc w:val="both"/>
        <w:rPr>
          <w:rFonts w:ascii="Verdana" w:eastAsia="Calibri" w:hAnsi="Verdana" w:cs="Arial"/>
          <w:sz w:val="21"/>
          <w:szCs w:val="21"/>
        </w:rPr>
      </w:pPr>
      <w:r>
        <w:rPr>
          <w:rFonts w:ascii="Verdana" w:eastAsia="Calibri" w:hAnsi="Verdana" w:cs="Arial"/>
          <w:sz w:val="21"/>
          <w:szCs w:val="21"/>
        </w:rPr>
        <w:t xml:space="preserve">Ahora bien, de acuerdo con la Matriz de Continuidad del Ministerio de Salud y Protección Social (ejecución) de la vigencia 2022, el monto ejecutado de cofinanciación con recursos de esfuerzo propio se estimó en $24.577 millones y, con base en la ejecución presupuestal de gastos a cierre de 2022, se comprometieron $26.313 millones y se realizaron giros por $25.577 millones por dicho concepto, mostrando que al cierre de la vigencia 2022, la Entidad superó la totalidad del pago señalado por el Ministerio de Salud y Protección Social en la Matriz de Continuidad respectiva. </w:t>
      </w:r>
    </w:p>
    <w:p w14:paraId="512C5FE6" w14:textId="77777777" w:rsidR="00E25D67" w:rsidRDefault="00E25D67" w:rsidP="00321689">
      <w:pPr>
        <w:jc w:val="both"/>
        <w:rPr>
          <w:rFonts w:ascii="Verdana" w:eastAsia="Calibri" w:hAnsi="Verdana" w:cs="Arial"/>
          <w:sz w:val="21"/>
          <w:szCs w:val="21"/>
        </w:rPr>
      </w:pPr>
    </w:p>
    <w:p w14:paraId="2E67EE2C" w14:textId="77777777" w:rsidR="00321689" w:rsidRDefault="00321689" w:rsidP="00321689">
      <w:pPr>
        <w:jc w:val="both"/>
        <w:rPr>
          <w:rFonts w:ascii="Verdana" w:eastAsia="Calibri" w:hAnsi="Verdana" w:cs="Arial"/>
          <w:sz w:val="21"/>
          <w:szCs w:val="21"/>
        </w:rPr>
      </w:pPr>
      <w:r>
        <w:rPr>
          <w:rFonts w:ascii="Verdana" w:eastAsia="Calibri" w:hAnsi="Verdana" w:cs="Arial"/>
          <w:sz w:val="21"/>
          <w:szCs w:val="21"/>
        </w:rPr>
        <w:t>Finalmente, a pesar de que la entidad en sus actos administrativos no reflejó la totalidad de los recursos proyectados por el Ministerio de Salud y Protección Social en su matriz de cofinanciamiento, como esfuerzo propio, estos se identificaron en la ejecución presupuestal.</w:t>
      </w:r>
    </w:p>
    <w:p w14:paraId="6428CBE0" w14:textId="77777777" w:rsidR="00321689" w:rsidRDefault="00321689" w:rsidP="00321689">
      <w:pPr>
        <w:jc w:val="both"/>
        <w:rPr>
          <w:rFonts w:ascii="Verdana" w:eastAsia="Calibri" w:hAnsi="Verdana" w:cs="Arial"/>
          <w:sz w:val="21"/>
          <w:szCs w:val="21"/>
        </w:rPr>
      </w:pPr>
    </w:p>
    <w:p w14:paraId="0C222B91" w14:textId="77777777" w:rsidR="00321689" w:rsidRDefault="00321689" w:rsidP="00321689">
      <w:pPr>
        <w:jc w:val="both"/>
        <w:rPr>
          <w:rFonts w:ascii="Verdana" w:eastAsiaTheme="minorHAnsi" w:hAnsi="Verdana" w:cs="Arial"/>
          <w:sz w:val="21"/>
          <w:szCs w:val="21"/>
        </w:rPr>
      </w:pPr>
      <w:r>
        <w:rPr>
          <w:rFonts w:ascii="Verdana" w:hAnsi="Verdana" w:cs="Arial"/>
          <w:sz w:val="21"/>
          <w:szCs w:val="21"/>
        </w:rPr>
        <w:t>En cuanto al seguimiento y control del Régimen Subsidiado</w:t>
      </w:r>
      <w:r w:rsidR="00F85D83">
        <w:rPr>
          <w:rFonts w:ascii="Verdana" w:hAnsi="Verdana" w:cs="Arial"/>
          <w:sz w:val="21"/>
          <w:szCs w:val="21"/>
        </w:rPr>
        <w:t>,</w:t>
      </w:r>
      <w:r>
        <w:rPr>
          <w:rFonts w:ascii="Verdana" w:hAnsi="Verdana" w:cs="Arial"/>
          <w:sz w:val="21"/>
          <w:szCs w:val="21"/>
        </w:rPr>
        <w:t xml:space="preserve"> el Departamento informa que la Secretar</w:t>
      </w:r>
      <w:r w:rsidR="000D56DC">
        <w:rPr>
          <w:rFonts w:ascii="Verdana" w:hAnsi="Verdana" w:cs="Arial"/>
          <w:sz w:val="21"/>
          <w:szCs w:val="21"/>
        </w:rPr>
        <w:t>í</w:t>
      </w:r>
      <w:r>
        <w:rPr>
          <w:rFonts w:ascii="Verdana" w:hAnsi="Verdana" w:cs="Arial"/>
          <w:sz w:val="21"/>
          <w:szCs w:val="21"/>
        </w:rPr>
        <w:t xml:space="preserve">a de Salud Departamental, dentro de las competencias de inspección y vigilancia a las EPS, realiza inspección y vigilancia al Régimen Subsidiado a través </w:t>
      </w:r>
      <w:r>
        <w:rPr>
          <w:rFonts w:ascii="Verdana" w:hAnsi="Verdana" w:cs="Arial"/>
          <w:iCs/>
          <w:sz w:val="21"/>
          <w:szCs w:val="21"/>
        </w:rPr>
        <w:t>del</w:t>
      </w:r>
      <w:r>
        <w:rPr>
          <w:rFonts w:ascii="Verdana" w:hAnsi="Verdana" w:cs="Arial"/>
          <w:sz w:val="21"/>
          <w:szCs w:val="21"/>
        </w:rPr>
        <w:t xml:space="preserve"> monitoreo a las auditorías que desarrollan en los EAPB de su jurisdicción, en concordancia con las directrices dadas por la Superintendencia Nacional de Salud.</w:t>
      </w:r>
    </w:p>
    <w:p w14:paraId="15EE0F54" w14:textId="77777777" w:rsidR="00321689" w:rsidRDefault="00321689" w:rsidP="00321689">
      <w:pPr>
        <w:jc w:val="both"/>
        <w:rPr>
          <w:rFonts w:ascii="Verdana" w:hAnsi="Verdana" w:cs="Arial"/>
          <w:sz w:val="21"/>
          <w:szCs w:val="21"/>
        </w:rPr>
      </w:pPr>
    </w:p>
    <w:p w14:paraId="68CEBF16" w14:textId="77777777" w:rsidR="00321689" w:rsidRDefault="00321689" w:rsidP="00321689">
      <w:pPr>
        <w:jc w:val="both"/>
        <w:rPr>
          <w:rFonts w:ascii="Verdana" w:hAnsi="Verdana" w:cs="Arial"/>
          <w:sz w:val="21"/>
          <w:szCs w:val="21"/>
        </w:rPr>
      </w:pPr>
      <w:r>
        <w:rPr>
          <w:rFonts w:ascii="Verdana" w:hAnsi="Verdana" w:cs="Arial"/>
          <w:sz w:val="21"/>
          <w:szCs w:val="21"/>
        </w:rPr>
        <w:t xml:space="preserve">En virtud de ello, para la vigencia 2020 la Superintendencia Nacional de Salud expidió la Circular 001 del 9 de enero de 2020, por medio de la cual se imparten instrucciones sobre el ejercicio de las funciones de inspección, vigilancia y control a nivel territorial, haciendo obligatoria la adopción e implementación de la guía de auditoría y del informe de auditoría dentro de los plazos establecidos en dicha </w:t>
      </w:r>
      <w:r w:rsidR="007C3BDB">
        <w:rPr>
          <w:rFonts w:ascii="Verdana" w:hAnsi="Verdana" w:cs="Arial"/>
          <w:sz w:val="21"/>
          <w:szCs w:val="21"/>
        </w:rPr>
        <w:t>C</w:t>
      </w:r>
      <w:r>
        <w:rPr>
          <w:rFonts w:ascii="Verdana" w:hAnsi="Verdana" w:cs="Arial"/>
          <w:sz w:val="21"/>
          <w:szCs w:val="21"/>
        </w:rPr>
        <w:t>ircular.</w:t>
      </w:r>
    </w:p>
    <w:p w14:paraId="5E85AA53" w14:textId="77777777" w:rsidR="00321689" w:rsidRDefault="00321689" w:rsidP="00321689">
      <w:pPr>
        <w:jc w:val="both"/>
        <w:rPr>
          <w:rFonts w:ascii="Verdana" w:hAnsi="Verdana" w:cs="Arial"/>
          <w:sz w:val="21"/>
          <w:szCs w:val="21"/>
        </w:rPr>
      </w:pPr>
    </w:p>
    <w:p w14:paraId="48E40B3E" w14:textId="77777777" w:rsidR="00321689" w:rsidRDefault="00321689" w:rsidP="00321689">
      <w:pPr>
        <w:jc w:val="both"/>
        <w:rPr>
          <w:rFonts w:ascii="Verdana" w:hAnsi="Verdana" w:cs="Arial"/>
          <w:sz w:val="21"/>
          <w:szCs w:val="21"/>
        </w:rPr>
      </w:pPr>
      <w:r>
        <w:rPr>
          <w:rFonts w:ascii="Verdana" w:hAnsi="Verdana" w:cs="Arial"/>
          <w:sz w:val="21"/>
          <w:szCs w:val="21"/>
        </w:rPr>
        <w:t>En cuanto al seguimiento correspondiente a las vigencias 2021 y 2022 la Entidad Territorial menciona en su informe:</w:t>
      </w:r>
    </w:p>
    <w:p w14:paraId="6F90223C" w14:textId="77777777" w:rsidR="00321689" w:rsidRDefault="00321689" w:rsidP="00321689">
      <w:pPr>
        <w:jc w:val="both"/>
        <w:rPr>
          <w:rFonts w:ascii="Verdana" w:hAnsi="Verdana" w:cs="Arial"/>
          <w:sz w:val="21"/>
          <w:szCs w:val="21"/>
        </w:rPr>
      </w:pPr>
    </w:p>
    <w:p w14:paraId="077E5A67" w14:textId="77777777" w:rsidR="00321689" w:rsidRDefault="00321689" w:rsidP="00AB0C16">
      <w:pPr>
        <w:pStyle w:val="Textoindependiente"/>
        <w:spacing w:after="0"/>
        <w:ind w:left="567" w:right="49"/>
        <w:jc w:val="both"/>
      </w:pPr>
      <w:r>
        <w:rPr>
          <w:rFonts w:ascii="Verdana" w:hAnsi="Verdana" w:cs="Arial"/>
          <w:i/>
          <w:iCs/>
          <w:sz w:val="21"/>
          <w:szCs w:val="21"/>
        </w:rPr>
        <w:lastRenderedPageBreak/>
        <w:t xml:space="preserve">“[…] </w:t>
      </w:r>
      <w:r>
        <w:rPr>
          <w:rFonts w:ascii="Verdana" w:hAnsi="Verdana" w:cs="Arial"/>
          <w:i/>
          <w:sz w:val="19"/>
          <w:szCs w:val="19"/>
        </w:rPr>
        <w:t>La Guía de Auditoria y el Informe de Auditoría, tienen el propósito de armonizar y articular las competencias de Inspección y vigilancia de las entidades territoriales de los diferentes órdenes, respecto de las Empresas Promotoras de Salud de los regímenes contributivo y subsidiado que operan en cada territorio, de manera que el Sistema de Inspección, Vigilancia y Control responda a las realidades de cada uno de ellos. En el desarrollo de la guía de auditoría, se establece que para efectos de las acciones de inspección y vigilancia que deben adelantar las Entidades Territoriales, se deben tener en cuenta las variables definidas en la guía a fin de verificar lo correspondiente al aseguramiento y la prestación de los servicios de salud y la estructura de presentación de las evidencias y hallazgos a remitir a la Superintendencia Nacional de Salud. Por lo anterior y dando cumplimiento a las obligaciones definidas en la normatividad anteriormente mencionada, La Gobernación del Cesar, a través de la Secretaría Departamental de Salud, implementó la Guía de Auditoría establecida por la Superintendencia Nacional de Salud como instrumento para cumplir con las funciones de Inspección y Vigilancia respecto de las Entidades Promotoras de Salud de los Regímenes Contributivo y Subsidiado que operen en su jurisdicción. La implementación de la Guía de Auditoría se realizó para las vigencias 2021, primer y segundo semestre de 2022, de acuerdo con los plazos e instrucciones definidos en la misma.</w:t>
      </w:r>
      <w:r>
        <w:t>”</w:t>
      </w:r>
    </w:p>
    <w:p w14:paraId="155EC59C" w14:textId="77777777" w:rsidR="00AE40AC" w:rsidRDefault="00AE40AC" w:rsidP="00321689">
      <w:pPr>
        <w:jc w:val="both"/>
        <w:rPr>
          <w:rFonts w:ascii="Verdana" w:hAnsi="Verdana" w:cs="Arial"/>
          <w:sz w:val="21"/>
          <w:szCs w:val="21"/>
        </w:rPr>
      </w:pPr>
    </w:p>
    <w:p w14:paraId="6FCFC13E" w14:textId="77777777" w:rsidR="00321689" w:rsidRDefault="00321689" w:rsidP="00321689">
      <w:pPr>
        <w:jc w:val="both"/>
        <w:rPr>
          <w:rFonts w:ascii="Verdana" w:hAnsi="Verdana" w:cs="Arial"/>
          <w:sz w:val="21"/>
          <w:szCs w:val="21"/>
        </w:rPr>
      </w:pPr>
      <w:r>
        <w:rPr>
          <w:rFonts w:ascii="Verdana" w:hAnsi="Verdana" w:cs="Arial"/>
          <w:sz w:val="21"/>
          <w:szCs w:val="21"/>
        </w:rPr>
        <w:t>Frente al informe presentado por la Entidad, fue posible identificar las auditorías realizadas por la misma a las EPS o EAPB al primer semestre de 2022 con el siguiente resultado:</w:t>
      </w:r>
    </w:p>
    <w:p w14:paraId="103563FC" w14:textId="77777777" w:rsidR="00577DFC" w:rsidRDefault="00577DFC" w:rsidP="00321689">
      <w:pPr>
        <w:autoSpaceDE w:val="0"/>
        <w:autoSpaceDN w:val="0"/>
        <w:adjustRightInd w:val="0"/>
        <w:jc w:val="center"/>
        <w:rPr>
          <w:rFonts w:ascii="Verdana" w:eastAsia="ヒラギノ角ゴ Pro W3" w:hAnsi="Verdana" w:cs="Arial"/>
          <w:b/>
          <w:color w:val="B48C41"/>
          <w:sz w:val="18"/>
          <w:szCs w:val="18"/>
        </w:rPr>
      </w:pPr>
    </w:p>
    <w:p w14:paraId="6B4962C8"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Imagen No 1</w:t>
      </w:r>
    </w:p>
    <w:p w14:paraId="795F813F" w14:textId="77777777" w:rsidR="00321689" w:rsidRDefault="00321689" w:rsidP="00321689">
      <w:pPr>
        <w:jc w:val="center"/>
        <w:rPr>
          <w:rFonts w:ascii="Verdana" w:eastAsiaTheme="minorHAnsi" w:hAnsi="Verdana" w:cs="Arial"/>
          <w:sz w:val="21"/>
          <w:szCs w:val="21"/>
        </w:rPr>
      </w:pPr>
      <w:r>
        <w:rPr>
          <w:rFonts w:ascii="Verdana" w:hAnsi="Verdana" w:cs="Arial"/>
          <w:noProof/>
          <w:sz w:val="21"/>
          <w:szCs w:val="21"/>
          <w:lang w:val="es-CO" w:eastAsia="es-CO"/>
        </w:rPr>
        <w:drawing>
          <wp:inline distT="0" distB="0" distL="0" distR="0" wp14:anchorId="13E0A5C2" wp14:editId="2C43CA0F">
            <wp:extent cx="5613400" cy="257175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2571750"/>
                    </a:xfrm>
                    <a:prstGeom prst="rect">
                      <a:avLst/>
                    </a:prstGeom>
                    <a:noFill/>
                    <a:ln>
                      <a:noFill/>
                    </a:ln>
                  </pic:spPr>
                </pic:pic>
              </a:graphicData>
            </a:graphic>
          </wp:inline>
        </w:drawing>
      </w:r>
    </w:p>
    <w:p w14:paraId="5FEE51FC" w14:textId="77777777" w:rsidR="00321689" w:rsidRPr="00E25D67" w:rsidRDefault="00321689" w:rsidP="00AB0C16">
      <w:pPr>
        <w:jc w:val="center"/>
        <w:rPr>
          <w:rFonts w:ascii="Verdana" w:hAnsi="Verdana" w:cs="Arial"/>
          <w:sz w:val="18"/>
          <w:szCs w:val="18"/>
        </w:rPr>
      </w:pPr>
      <w:r w:rsidRPr="00E25D67">
        <w:rPr>
          <w:rFonts w:ascii="Verdana" w:hAnsi="Verdana" w:cs="Arial"/>
          <w:sz w:val="18"/>
          <w:szCs w:val="18"/>
        </w:rPr>
        <w:t>Fuente: Entidad territorial – Secretaria de Salud.</w:t>
      </w:r>
    </w:p>
    <w:p w14:paraId="54CC1360" w14:textId="77777777" w:rsidR="00321689" w:rsidRPr="00E25D67" w:rsidRDefault="00321689" w:rsidP="00321689">
      <w:pPr>
        <w:jc w:val="both"/>
        <w:rPr>
          <w:rFonts w:ascii="Verdana" w:hAnsi="Verdana" w:cs="Arial"/>
          <w:sz w:val="18"/>
          <w:szCs w:val="18"/>
        </w:rPr>
      </w:pPr>
    </w:p>
    <w:p w14:paraId="34103A1E" w14:textId="77777777" w:rsidR="00321689" w:rsidRDefault="00321689" w:rsidP="00321689">
      <w:pPr>
        <w:jc w:val="both"/>
        <w:rPr>
          <w:rFonts w:ascii="Verdana" w:hAnsi="Verdana" w:cs="Arial"/>
          <w:sz w:val="21"/>
          <w:szCs w:val="21"/>
        </w:rPr>
      </w:pPr>
      <w:r>
        <w:rPr>
          <w:rFonts w:ascii="Verdana" w:hAnsi="Verdana" w:cs="Arial"/>
          <w:sz w:val="21"/>
          <w:szCs w:val="21"/>
        </w:rPr>
        <w:t>Por otra parte, la entidad presentó dos archivos en PDF de las vigencias 2021 y 2022, donde se pueden identificar los informes de auditoría</w:t>
      </w:r>
      <w:r w:rsidR="00E25D67">
        <w:rPr>
          <w:rFonts w:ascii="Verdana" w:hAnsi="Verdana" w:cs="Arial"/>
          <w:sz w:val="21"/>
          <w:szCs w:val="21"/>
        </w:rPr>
        <w:t>;</w:t>
      </w:r>
      <w:r>
        <w:rPr>
          <w:rFonts w:ascii="Verdana" w:hAnsi="Verdana" w:cs="Arial"/>
          <w:sz w:val="21"/>
          <w:szCs w:val="21"/>
        </w:rPr>
        <w:t xml:space="preserve"> </w:t>
      </w:r>
      <w:r w:rsidR="00E25D67">
        <w:rPr>
          <w:rFonts w:ascii="Verdana" w:hAnsi="Verdana" w:cs="Arial"/>
          <w:sz w:val="21"/>
          <w:szCs w:val="21"/>
        </w:rPr>
        <w:t xml:space="preserve">en </w:t>
      </w:r>
      <w:r>
        <w:rPr>
          <w:rFonts w:ascii="Verdana" w:hAnsi="Verdana" w:cs="Arial"/>
          <w:sz w:val="21"/>
          <w:szCs w:val="21"/>
        </w:rPr>
        <w:t xml:space="preserve">el informe a junio de 2022, se identificaron 12 informes de auditoría en el que se </w:t>
      </w:r>
      <w:r w:rsidR="00E25D67">
        <w:rPr>
          <w:rFonts w:ascii="Verdana" w:hAnsi="Verdana" w:cs="Arial"/>
          <w:sz w:val="21"/>
          <w:szCs w:val="21"/>
        </w:rPr>
        <w:t>evidencian</w:t>
      </w:r>
      <w:r>
        <w:rPr>
          <w:rFonts w:ascii="Verdana" w:hAnsi="Verdana" w:cs="Arial"/>
          <w:sz w:val="21"/>
          <w:szCs w:val="21"/>
        </w:rPr>
        <w:t xml:space="preserve"> los respectivos hallazgos para cada una de las EPS, </w:t>
      </w:r>
      <w:r w:rsidR="00AE40AC">
        <w:rPr>
          <w:rFonts w:ascii="Verdana" w:hAnsi="Verdana" w:cs="Arial"/>
          <w:sz w:val="21"/>
          <w:szCs w:val="21"/>
        </w:rPr>
        <w:t>así</w:t>
      </w:r>
      <w:r>
        <w:rPr>
          <w:rFonts w:ascii="Verdana" w:hAnsi="Verdana" w:cs="Arial"/>
          <w:sz w:val="21"/>
          <w:szCs w:val="21"/>
        </w:rPr>
        <w:t>:</w:t>
      </w:r>
    </w:p>
    <w:p w14:paraId="6D926E7B" w14:textId="77777777" w:rsidR="00321689" w:rsidRDefault="00321689" w:rsidP="00321689">
      <w:pPr>
        <w:jc w:val="both"/>
        <w:rPr>
          <w:rFonts w:ascii="Verdana" w:hAnsi="Verdana" w:cs="Arial"/>
          <w:sz w:val="21"/>
          <w:szCs w:val="21"/>
        </w:rPr>
      </w:pPr>
    </w:p>
    <w:p w14:paraId="25A55FDE"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Imagen No 2</w:t>
      </w:r>
    </w:p>
    <w:p w14:paraId="545B92CD" w14:textId="77777777" w:rsidR="00321689" w:rsidRDefault="00321689" w:rsidP="00321689">
      <w:pPr>
        <w:jc w:val="both"/>
        <w:rPr>
          <w:rFonts w:ascii="Verdana" w:eastAsiaTheme="minorHAnsi" w:hAnsi="Verdana" w:cs="Arial"/>
          <w:sz w:val="21"/>
          <w:szCs w:val="21"/>
        </w:rPr>
      </w:pPr>
      <w:r>
        <w:rPr>
          <w:rFonts w:ascii="Verdana" w:hAnsi="Verdana" w:cs="Arial"/>
          <w:noProof/>
          <w:sz w:val="21"/>
          <w:szCs w:val="21"/>
          <w:lang w:val="es-CO" w:eastAsia="es-CO"/>
        </w:rPr>
        <w:lastRenderedPageBreak/>
        <w:drawing>
          <wp:inline distT="0" distB="0" distL="0" distR="0" wp14:anchorId="3FAB7F56" wp14:editId="3140D093">
            <wp:extent cx="5568950" cy="27051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8950" cy="2705100"/>
                    </a:xfrm>
                    <a:prstGeom prst="rect">
                      <a:avLst/>
                    </a:prstGeom>
                    <a:noFill/>
                    <a:ln>
                      <a:noFill/>
                    </a:ln>
                  </pic:spPr>
                </pic:pic>
              </a:graphicData>
            </a:graphic>
          </wp:inline>
        </w:drawing>
      </w:r>
    </w:p>
    <w:p w14:paraId="581BA36E" w14:textId="77777777" w:rsidR="00321689" w:rsidRDefault="00321689" w:rsidP="00AB0C16">
      <w:pPr>
        <w:jc w:val="center"/>
        <w:rPr>
          <w:rFonts w:ascii="Verdana" w:hAnsi="Verdana" w:cs="Arial"/>
          <w:sz w:val="18"/>
          <w:szCs w:val="18"/>
        </w:rPr>
      </w:pPr>
      <w:r>
        <w:rPr>
          <w:rFonts w:ascii="Verdana" w:hAnsi="Verdana" w:cs="Arial"/>
          <w:sz w:val="18"/>
          <w:szCs w:val="18"/>
        </w:rPr>
        <w:t>Fuente: Entidad territorial – Secretaria de Salud.</w:t>
      </w:r>
    </w:p>
    <w:p w14:paraId="37598E73" w14:textId="77777777" w:rsidR="00321689" w:rsidRDefault="00321689" w:rsidP="00321689">
      <w:pPr>
        <w:jc w:val="both"/>
        <w:rPr>
          <w:rFonts w:ascii="Verdana" w:hAnsi="Verdana" w:cs="Arial"/>
          <w:sz w:val="18"/>
          <w:szCs w:val="18"/>
        </w:rPr>
      </w:pPr>
    </w:p>
    <w:p w14:paraId="01BAA34E" w14:textId="77777777" w:rsidR="00AE40AC" w:rsidRDefault="00AE40AC" w:rsidP="00321689">
      <w:pPr>
        <w:autoSpaceDE w:val="0"/>
        <w:autoSpaceDN w:val="0"/>
        <w:adjustRightInd w:val="0"/>
        <w:jc w:val="center"/>
        <w:rPr>
          <w:rFonts w:ascii="Verdana" w:eastAsia="ヒラギノ角ゴ Pro W3" w:hAnsi="Verdana" w:cs="Arial"/>
          <w:b/>
          <w:color w:val="B48C41"/>
          <w:sz w:val="18"/>
          <w:szCs w:val="18"/>
        </w:rPr>
      </w:pPr>
    </w:p>
    <w:p w14:paraId="70178C6C"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Imagen No 3</w:t>
      </w:r>
    </w:p>
    <w:p w14:paraId="52730811" w14:textId="77777777" w:rsidR="00321689" w:rsidRDefault="00321689" w:rsidP="00321689">
      <w:pPr>
        <w:jc w:val="center"/>
        <w:rPr>
          <w:rFonts w:ascii="Verdana" w:eastAsiaTheme="minorHAnsi" w:hAnsi="Verdana" w:cs="Arial"/>
          <w:b/>
          <w:sz w:val="18"/>
          <w:szCs w:val="18"/>
        </w:rPr>
      </w:pPr>
      <w:r>
        <w:rPr>
          <w:rFonts w:ascii="Verdana" w:hAnsi="Verdana" w:cs="Arial"/>
          <w:b/>
          <w:sz w:val="18"/>
          <w:szCs w:val="18"/>
        </w:rPr>
        <w:t xml:space="preserve"> </w:t>
      </w:r>
      <w:r>
        <w:rPr>
          <w:rFonts w:ascii="Verdana" w:hAnsi="Verdana" w:cs="Arial"/>
          <w:b/>
          <w:noProof/>
          <w:sz w:val="18"/>
          <w:szCs w:val="18"/>
          <w:lang w:val="es-CO" w:eastAsia="es-CO"/>
        </w:rPr>
        <w:drawing>
          <wp:inline distT="0" distB="0" distL="0" distR="0" wp14:anchorId="1E8E5213" wp14:editId="54EF5EFE">
            <wp:extent cx="5327650" cy="168275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7650" cy="1682750"/>
                    </a:xfrm>
                    <a:prstGeom prst="rect">
                      <a:avLst/>
                    </a:prstGeom>
                    <a:noFill/>
                    <a:ln>
                      <a:noFill/>
                    </a:ln>
                  </pic:spPr>
                </pic:pic>
              </a:graphicData>
            </a:graphic>
          </wp:inline>
        </w:drawing>
      </w:r>
    </w:p>
    <w:p w14:paraId="22095642" w14:textId="77777777" w:rsidR="00321689" w:rsidRDefault="00321689" w:rsidP="00AB0C16">
      <w:pPr>
        <w:jc w:val="center"/>
        <w:rPr>
          <w:rFonts w:ascii="Verdana" w:hAnsi="Verdana" w:cs="Arial"/>
          <w:sz w:val="18"/>
          <w:szCs w:val="18"/>
        </w:rPr>
      </w:pPr>
      <w:r>
        <w:rPr>
          <w:rFonts w:ascii="Verdana" w:hAnsi="Verdana" w:cs="Arial"/>
          <w:sz w:val="18"/>
          <w:szCs w:val="18"/>
        </w:rPr>
        <w:t>Fuente: Entidad territorial – Secretaria de Salud.</w:t>
      </w:r>
    </w:p>
    <w:p w14:paraId="5B3EF2E6" w14:textId="77777777" w:rsidR="00321689" w:rsidRDefault="00321689" w:rsidP="00321689">
      <w:pPr>
        <w:jc w:val="both"/>
        <w:rPr>
          <w:rFonts w:ascii="Verdana" w:hAnsi="Verdana" w:cs="Arial"/>
          <w:sz w:val="21"/>
          <w:szCs w:val="21"/>
        </w:rPr>
      </w:pPr>
    </w:p>
    <w:p w14:paraId="18F941FD" w14:textId="77777777" w:rsidR="00321689" w:rsidRPr="00AE40AC" w:rsidRDefault="00321689" w:rsidP="00321689">
      <w:pPr>
        <w:jc w:val="both"/>
        <w:rPr>
          <w:rFonts w:ascii="Verdana" w:hAnsi="Verdana" w:cs="Arial"/>
          <w:sz w:val="21"/>
          <w:szCs w:val="21"/>
        </w:rPr>
      </w:pPr>
      <w:r w:rsidRPr="00AE40AC">
        <w:rPr>
          <w:rFonts w:ascii="Verdana" w:hAnsi="Verdana" w:cs="Arial"/>
          <w:sz w:val="21"/>
          <w:szCs w:val="21"/>
        </w:rPr>
        <w:t xml:space="preserve">Con la información entregada por la Entidad, se evidenció que se realiza la auditoria según los lineamientos emitidos por la Superintendencia Nacional de </w:t>
      </w:r>
      <w:r w:rsidR="00E25D67">
        <w:rPr>
          <w:rFonts w:ascii="Verdana" w:hAnsi="Verdana" w:cs="Arial"/>
          <w:sz w:val="21"/>
          <w:szCs w:val="21"/>
        </w:rPr>
        <w:t>S</w:t>
      </w:r>
      <w:r w:rsidRPr="00AE40AC">
        <w:rPr>
          <w:rFonts w:ascii="Verdana" w:hAnsi="Verdana" w:cs="Arial"/>
          <w:sz w:val="21"/>
          <w:szCs w:val="21"/>
        </w:rPr>
        <w:t>alud</w:t>
      </w:r>
      <w:r w:rsidR="00E25D67">
        <w:rPr>
          <w:rFonts w:ascii="Verdana" w:hAnsi="Verdana" w:cs="Arial"/>
          <w:sz w:val="21"/>
          <w:szCs w:val="21"/>
        </w:rPr>
        <w:t xml:space="preserve">. Ahora </w:t>
      </w:r>
      <w:r w:rsidRPr="00AE40AC">
        <w:rPr>
          <w:rFonts w:ascii="Verdana" w:hAnsi="Verdana" w:cs="Arial"/>
          <w:sz w:val="21"/>
          <w:szCs w:val="21"/>
        </w:rPr>
        <w:t xml:space="preserve">bien, frente a los incumplimientos encontrados en las diferentes auditorias, no se pudo constatar la iniciación de algún plan de mejora que permitiera constatar el cumplimiento por parte de la Entidad Territorial en relación con el seguimiento para el mejoramiento de la calidad en la prestación de los servicios de las EAPB’s. </w:t>
      </w:r>
    </w:p>
    <w:p w14:paraId="2D6557FC" w14:textId="77777777" w:rsidR="00321689" w:rsidRPr="00AE40AC" w:rsidRDefault="00321689" w:rsidP="00321689">
      <w:pPr>
        <w:jc w:val="both"/>
        <w:rPr>
          <w:rFonts w:ascii="Verdana" w:hAnsi="Verdana" w:cs="Arial"/>
          <w:sz w:val="21"/>
          <w:szCs w:val="21"/>
        </w:rPr>
      </w:pPr>
    </w:p>
    <w:p w14:paraId="23ED268E" w14:textId="77777777" w:rsidR="00321689" w:rsidRPr="00AE40AC" w:rsidRDefault="00321689" w:rsidP="00321689">
      <w:pPr>
        <w:jc w:val="both"/>
        <w:rPr>
          <w:rFonts w:ascii="Verdana" w:hAnsi="Verdana" w:cs="Arial"/>
          <w:sz w:val="21"/>
          <w:szCs w:val="21"/>
        </w:rPr>
      </w:pPr>
      <w:r w:rsidRPr="00AE40AC">
        <w:rPr>
          <w:rFonts w:ascii="Verdana" w:hAnsi="Verdana" w:cs="Arial"/>
          <w:sz w:val="21"/>
          <w:szCs w:val="21"/>
        </w:rPr>
        <w:t>Finalmente, la Entidad no presentó el informe requerido en el numeral 34 “</w:t>
      </w:r>
      <w:r w:rsidRPr="00AE40AC">
        <w:rPr>
          <w:rFonts w:ascii="Verdana" w:hAnsi="Verdana" w:cs="Arial"/>
          <w:i/>
          <w:iCs/>
          <w:sz w:val="21"/>
          <w:szCs w:val="21"/>
        </w:rPr>
        <w:t xml:space="preserve">[…] </w:t>
      </w:r>
      <w:r w:rsidRPr="00AE40AC">
        <w:rPr>
          <w:rFonts w:ascii="Verdana" w:hAnsi="Verdana" w:cs="Arial"/>
          <w:i/>
          <w:sz w:val="21"/>
          <w:szCs w:val="21"/>
        </w:rPr>
        <w:t xml:space="preserve">Informe técnico de Seguimiento y Control al del Régimen Subsidiado  (procesos de afiliación, el reporte de novedades, la garantía del acceso a los servicios, la red contratada para la prestación de los servicios de salud, el suministro de medicamentos, el pago a la red prestadora de servicios, la satisfacción de los usuarios, la oportunidad en la prestación de los servicios, la prestación de servicios de promoción y prevención, así como otros que permitan mejorar la calidad en la atención al afiliado, sin perjuicio de las demás obligaciones establecidas en las normas vigentes.) en el marco de lo dispuesto al artículo 2,6,1,2,11 del Decreto 780 </w:t>
      </w:r>
      <w:r w:rsidRPr="00AE40AC">
        <w:rPr>
          <w:rFonts w:ascii="Verdana" w:hAnsi="Verdana" w:cs="Arial"/>
          <w:i/>
          <w:sz w:val="21"/>
          <w:szCs w:val="21"/>
        </w:rPr>
        <w:lastRenderedPageBreak/>
        <w:t xml:space="preserve">de 2016. “, </w:t>
      </w:r>
      <w:r w:rsidRPr="00AE40AC">
        <w:rPr>
          <w:rFonts w:ascii="Verdana" w:hAnsi="Verdana" w:cs="Arial"/>
          <w:sz w:val="21"/>
          <w:szCs w:val="21"/>
        </w:rPr>
        <w:t>en las condiciones y con los parámetros señalados, por lo que no fue posible identificar otras situaciones de riesgo asociadas a este componente.</w:t>
      </w:r>
    </w:p>
    <w:p w14:paraId="5BECDE6A" w14:textId="77777777" w:rsidR="00321689" w:rsidRDefault="00321689" w:rsidP="00321689">
      <w:pPr>
        <w:jc w:val="both"/>
        <w:rPr>
          <w:rFonts w:ascii="Verdana" w:hAnsi="Verdana" w:cs="Arial"/>
          <w:i/>
          <w:sz w:val="22"/>
          <w:szCs w:val="22"/>
        </w:rPr>
      </w:pPr>
    </w:p>
    <w:p w14:paraId="291D77A1" w14:textId="77777777" w:rsidR="00321689" w:rsidRDefault="00321689" w:rsidP="00321689">
      <w:pPr>
        <w:pStyle w:val="Prrafodelista"/>
        <w:numPr>
          <w:ilvl w:val="0"/>
          <w:numId w:val="11"/>
        </w:numPr>
        <w:jc w:val="both"/>
        <w:rPr>
          <w:rFonts w:ascii="Verdana" w:hAnsi="Verdana" w:cs="Arial"/>
          <w:sz w:val="21"/>
          <w:szCs w:val="21"/>
        </w:rPr>
      </w:pPr>
      <w:r>
        <w:rPr>
          <w:rFonts w:ascii="Verdana" w:hAnsi="Verdana" w:cs="Arial"/>
          <w:b/>
          <w:sz w:val="21"/>
          <w:szCs w:val="21"/>
        </w:rPr>
        <w:t>Subsidio a la oferta y reorganización de la Red.</w:t>
      </w:r>
    </w:p>
    <w:p w14:paraId="6A831D46" w14:textId="77777777" w:rsidR="00321689" w:rsidRDefault="00321689" w:rsidP="00321689">
      <w:pPr>
        <w:jc w:val="both"/>
        <w:rPr>
          <w:rFonts w:ascii="Verdana" w:hAnsi="Verdana" w:cs="Arial"/>
          <w:sz w:val="21"/>
          <w:szCs w:val="21"/>
        </w:rPr>
      </w:pPr>
    </w:p>
    <w:p w14:paraId="4306F2B4" w14:textId="77777777" w:rsidR="00321689" w:rsidRDefault="00321689" w:rsidP="00321689">
      <w:pPr>
        <w:pStyle w:val="Prrafodelista"/>
        <w:numPr>
          <w:ilvl w:val="3"/>
          <w:numId w:val="18"/>
        </w:numPr>
        <w:ind w:left="851"/>
        <w:jc w:val="both"/>
        <w:rPr>
          <w:rFonts w:ascii="Verdana" w:hAnsi="Verdana" w:cs="Arial"/>
          <w:sz w:val="21"/>
          <w:szCs w:val="21"/>
        </w:rPr>
      </w:pPr>
      <w:r>
        <w:rPr>
          <w:rFonts w:ascii="Verdana" w:hAnsi="Verdana" w:cs="Arial"/>
          <w:b/>
          <w:sz w:val="21"/>
          <w:szCs w:val="21"/>
        </w:rPr>
        <w:t>Subsidio a la oferta</w:t>
      </w:r>
    </w:p>
    <w:p w14:paraId="7C99A8EC" w14:textId="77777777" w:rsidR="00321689" w:rsidRDefault="00321689" w:rsidP="00321689">
      <w:pPr>
        <w:jc w:val="both"/>
        <w:rPr>
          <w:rFonts w:ascii="Verdana" w:hAnsi="Verdana" w:cs="Arial"/>
          <w:sz w:val="21"/>
          <w:szCs w:val="21"/>
        </w:rPr>
      </w:pPr>
    </w:p>
    <w:p w14:paraId="2DF25527" w14:textId="77777777" w:rsidR="00321689" w:rsidRDefault="00AE40AC" w:rsidP="00321689">
      <w:pPr>
        <w:jc w:val="both"/>
        <w:rPr>
          <w:rFonts w:ascii="Verdana" w:hAnsi="Verdana" w:cs="Arial"/>
          <w:b/>
          <w:sz w:val="21"/>
          <w:szCs w:val="21"/>
        </w:rPr>
      </w:pPr>
      <w:r>
        <w:rPr>
          <w:rFonts w:ascii="Arial" w:hAnsi="Arial" w:cs="Arial"/>
          <w:b/>
          <w:sz w:val="21"/>
          <w:szCs w:val="21"/>
        </w:rPr>
        <w:t>1</w:t>
      </w:r>
      <w:r w:rsidR="00321689">
        <w:rPr>
          <w:rFonts w:ascii="Arial" w:hAnsi="Arial" w:cs="Arial"/>
          <w:b/>
          <w:sz w:val="21"/>
          <w:szCs w:val="21"/>
        </w:rPr>
        <w:t xml:space="preserve">.1 </w:t>
      </w:r>
      <w:r w:rsidR="00321689">
        <w:rPr>
          <w:rFonts w:ascii="Verdana" w:hAnsi="Verdana" w:cs="Arial"/>
          <w:b/>
          <w:sz w:val="21"/>
          <w:szCs w:val="21"/>
        </w:rPr>
        <w:t>Ejecución de recursos del Subsidio a la oferta</w:t>
      </w:r>
    </w:p>
    <w:p w14:paraId="44B996E7" w14:textId="77777777" w:rsidR="00321689" w:rsidRDefault="00321689" w:rsidP="00321689">
      <w:pPr>
        <w:rPr>
          <w:rFonts w:ascii="Arial" w:hAnsi="Arial" w:cs="Arial"/>
          <w:sz w:val="21"/>
          <w:szCs w:val="21"/>
        </w:rPr>
      </w:pPr>
    </w:p>
    <w:p w14:paraId="1EDEFEAD" w14:textId="77777777" w:rsidR="00321689" w:rsidRDefault="00321689" w:rsidP="00321689">
      <w:pPr>
        <w:autoSpaceDE w:val="0"/>
        <w:autoSpaceDN w:val="0"/>
        <w:adjustRightInd w:val="0"/>
        <w:jc w:val="both"/>
        <w:rPr>
          <w:rFonts w:ascii="Verdana" w:hAnsi="Verdana" w:cs="Arial"/>
          <w:sz w:val="21"/>
          <w:szCs w:val="21"/>
        </w:rPr>
      </w:pPr>
      <w:r>
        <w:rPr>
          <w:rFonts w:ascii="Verdana" w:hAnsi="Verdana" w:cs="Arial"/>
          <w:sz w:val="21"/>
          <w:szCs w:val="21"/>
        </w:rPr>
        <w:t xml:space="preserve">De acuerdo con la información remitida por el Departamento y con base en el listado de las ESE o Administradores de infraestructura pública publicado en la Web del MSPS se evidencia que las siguientes ESE corresponden a las instituciones objeto de la asignación de recursos del componente de Subsidio a la Oferta del SGP y son con quien la Entidad Territorial puede suscribir el respectivo convenio para su ejecución. </w:t>
      </w:r>
    </w:p>
    <w:p w14:paraId="6BDCF5C2" w14:textId="77777777" w:rsidR="00AE40AC" w:rsidRDefault="00AE40AC" w:rsidP="00E25D67">
      <w:pPr>
        <w:autoSpaceDE w:val="0"/>
        <w:autoSpaceDN w:val="0"/>
        <w:adjustRightInd w:val="0"/>
        <w:rPr>
          <w:rFonts w:ascii="Verdana" w:eastAsia="ヒラギノ角ゴ Pro W3" w:hAnsi="Verdana" w:cs="Arial"/>
          <w:b/>
          <w:color w:val="B48C41"/>
          <w:sz w:val="18"/>
          <w:szCs w:val="18"/>
        </w:rPr>
      </w:pPr>
    </w:p>
    <w:p w14:paraId="16CCF530"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Tabla No 12</w:t>
      </w:r>
    </w:p>
    <w:p w14:paraId="4FE6E085" w14:textId="77777777" w:rsidR="00321689" w:rsidRDefault="00321689" w:rsidP="00321689">
      <w:pPr>
        <w:jc w:val="both"/>
        <w:rPr>
          <w:rFonts w:ascii="Verdana" w:eastAsiaTheme="minorHAnsi" w:hAnsi="Verdana" w:cs="Arial"/>
          <w:sz w:val="21"/>
          <w:szCs w:val="21"/>
        </w:rPr>
      </w:pPr>
      <w:r>
        <w:rPr>
          <w:noProof/>
          <w:lang w:val="es-CO" w:eastAsia="es-CO"/>
        </w:rPr>
        <w:drawing>
          <wp:inline distT="0" distB="0" distL="0" distR="0" wp14:anchorId="7E1C2A09" wp14:editId="19858D77">
            <wp:extent cx="5607050" cy="231775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7050" cy="2317750"/>
                    </a:xfrm>
                    <a:prstGeom prst="rect">
                      <a:avLst/>
                    </a:prstGeom>
                    <a:noFill/>
                    <a:ln>
                      <a:noFill/>
                    </a:ln>
                  </pic:spPr>
                </pic:pic>
              </a:graphicData>
            </a:graphic>
          </wp:inline>
        </w:drawing>
      </w:r>
    </w:p>
    <w:p w14:paraId="67401CFD" w14:textId="77777777" w:rsidR="00321689" w:rsidRDefault="00321689" w:rsidP="00AB0C16">
      <w:pPr>
        <w:jc w:val="center"/>
        <w:rPr>
          <w:rFonts w:ascii="Calibri" w:hAnsi="Calibri" w:cs="Calibri"/>
          <w:sz w:val="18"/>
          <w:szCs w:val="18"/>
        </w:rPr>
      </w:pPr>
      <w:r>
        <w:rPr>
          <w:rFonts w:ascii="Verdana" w:hAnsi="Verdana" w:cs="Arial"/>
          <w:sz w:val="18"/>
          <w:szCs w:val="18"/>
        </w:rPr>
        <w:t>Fuente: Ministerio de Salud y Protección Social.</w:t>
      </w:r>
    </w:p>
    <w:p w14:paraId="21A50B7A" w14:textId="77777777" w:rsidR="00321689" w:rsidRDefault="00762F3C" w:rsidP="00AB0C16">
      <w:pPr>
        <w:jc w:val="center"/>
        <w:rPr>
          <w:rFonts w:ascii="Verdana" w:hAnsi="Verdana" w:cs="Arial"/>
          <w:sz w:val="18"/>
          <w:szCs w:val="18"/>
        </w:rPr>
      </w:pPr>
      <w:hyperlink r:id="rId26" w:history="1">
        <w:r w:rsidR="00321689">
          <w:rPr>
            <w:rStyle w:val="Hipervnculo"/>
            <w:rFonts w:ascii="Verdana" w:hAnsi="Verdana" w:cs="Arial"/>
            <w:sz w:val="18"/>
            <w:szCs w:val="18"/>
          </w:rPr>
          <w:t>https://www.minsalud.gov.co/proteccionsocial/Financiamiento/Paginas/Sistema-General-de-Participaciones---Prestacion-de-servicios.aspx</w:t>
        </w:r>
      </w:hyperlink>
    </w:p>
    <w:p w14:paraId="53B5FA92" w14:textId="77777777" w:rsidR="00321689" w:rsidRDefault="00321689" w:rsidP="00321689">
      <w:pPr>
        <w:jc w:val="both"/>
        <w:rPr>
          <w:rFonts w:ascii="Verdana" w:hAnsi="Verdana" w:cs="Arial"/>
          <w:sz w:val="21"/>
          <w:szCs w:val="21"/>
        </w:rPr>
      </w:pPr>
    </w:p>
    <w:p w14:paraId="075A962C" w14:textId="77777777" w:rsidR="00321689" w:rsidRDefault="00321689" w:rsidP="00321689">
      <w:pPr>
        <w:jc w:val="both"/>
        <w:rPr>
          <w:rFonts w:ascii="Verdana" w:hAnsi="Verdana" w:cs="Arial"/>
          <w:sz w:val="21"/>
          <w:szCs w:val="21"/>
        </w:rPr>
      </w:pPr>
      <w:r>
        <w:rPr>
          <w:rFonts w:ascii="Verdana" w:hAnsi="Verdana" w:cs="Arial"/>
          <w:sz w:val="21"/>
          <w:szCs w:val="21"/>
        </w:rPr>
        <w:t>Frente a los criterios de distribución y asignación de los recursos para el subsidio a la oferta, la entidad envió el siguiente oficio:</w:t>
      </w:r>
    </w:p>
    <w:p w14:paraId="393FD560" w14:textId="77777777" w:rsidR="007D6F1E" w:rsidRDefault="007D6F1E" w:rsidP="00321689">
      <w:pPr>
        <w:jc w:val="both"/>
        <w:rPr>
          <w:rFonts w:ascii="Verdana" w:hAnsi="Verdana" w:cs="Arial"/>
          <w:sz w:val="21"/>
          <w:szCs w:val="21"/>
        </w:rPr>
      </w:pPr>
    </w:p>
    <w:p w14:paraId="60E990F9"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Imagen No 4</w:t>
      </w:r>
    </w:p>
    <w:p w14:paraId="7B6B9D22" w14:textId="77777777" w:rsidR="00321689" w:rsidRDefault="00321689" w:rsidP="00321689">
      <w:pPr>
        <w:jc w:val="both"/>
        <w:rPr>
          <w:rFonts w:ascii="Verdana" w:eastAsiaTheme="minorHAnsi" w:hAnsi="Verdana" w:cs="Arial"/>
          <w:sz w:val="21"/>
          <w:szCs w:val="21"/>
        </w:rPr>
      </w:pPr>
      <w:r>
        <w:rPr>
          <w:rFonts w:ascii="Verdana" w:hAnsi="Verdana" w:cs="Arial"/>
          <w:noProof/>
          <w:sz w:val="21"/>
          <w:szCs w:val="21"/>
          <w:lang w:val="es-CO" w:eastAsia="es-CO"/>
        </w:rPr>
        <w:lastRenderedPageBreak/>
        <w:drawing>
          <wp:inline distT="0" distB="0" distL="0" distR="0" wp14:anchorId="3390BAD0" wp14:editId="525B9A53">
            <wp:extent cx="5613400" cy="2832100"/>
            <wp:effectExtent l="0" t="0" r="635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2832100"/>
                    </a:xfrm>
                    <a:prstGeom prst="rect">
                      <a:avLst/>
                    </a:prstGeom>
                    <a:noFill/>
                    <a:ln>
                      <a:noFill/>
                    </a:ln>
                  </pic:spPr>
                </pic:pic>
              </a:graphicData>
            </a:graphic>
          </wp:inline>
        </w:drawing>
      </w:r>
    </w:p>
    <w:p w14:paraId="6A782B24" w14:textId="77777777" w:rsidR="00321689" w:rsidRDefault="00321689" w:rsidP="00AB0C16">
      <w:pPr>
        <w:jc w:val="center"/>
        <w:rPr>
          <w:rFonts w:ascii="Verdana" w:hAnsi="Verdana" w:cs="Arial"/>
          <w:sz w:val="18"/>
          <w:szCs w:val="18"/>
        </w:rPr>
      </w:pPr>
      <w:r>
        <w:rPr>
          <w:rFonts w:ascii="Verdana" w:hAnsi="Verdana" w:cs="Arial"/>
          <w:sz w:val="18"/>
          <w:szCs w:val="18"/>
        </w:rPr>
        <w:t>Fuente: Entidad Territorial.</w:t>
      </w:r>
    </w:p>
    <w:p w14:paraId="1F1C05C8" w14:textId="77777777" w:rsidR="00321689" w:rsidRDefault="00321689" w:rsidP="00321689">
      <w:pPr>
        <w:jc w:val="both"/>
        <w:rPr>
          <w:rFonts w:ascii="Verdana" w:hAnsi="Verdana" w:cs="Arial"/>
          <w:sz w:val="21"/>
          <w:szCs w:val="21"/>
        </w:rPr>
      </w:pPr>
    </w:p>
    <w:p w14:paraId="11168D3F" w14:textId="77777777" w:rsidR="00577DFC" w:rsidRDefault="00577DFC" w:rsidP="00321689">
      <w:pPr>
        <w:jc w:val="both"/>
        <w:rPr>
          <w:rFonts w:ascii="Verdana" w:hAnsi="Verdana" w:cs="Arial"/>
          <w:sz w:val="21"/>
          <w:szCs w:val="21"/>
        </w:rPr>
      </w:pPr>
      <w:r>
        <w:rPr>
          <w:rFonts w:ascii="Verdana" w:hAnsi="Verdana" w:cs="Arial"/>
          <w:sz w:val="21"/>
          <w:szCs w:val="21"/>
        </w:rPr>
        <w:t>Por lo que se observa que la entidad</w:t>
      </w:r>
      <w:r w:rsidR="00FE1D35">
        <w:rPr>
          <w:rFonts w:ascii="Verdana" w:hAnsi="Verdana" w:cs="Arial"/>
          <w:sz w:val="21"/>
          <w:szCs w:val="21"/>
        </w:rPr>
        <w:t xml:space="preserve"> dio cumplimiento a la</w:t>
      </w:r>
      <w:r>
        <w:rPr>
          <w:rFonts w:ascii="Verdana" w:hAnsi="Verdana" w:cs="Arial"/>
          <w:sz w:val="21"/>
          <w:szCs w:val="21"/>
        </w:rPr>
        <w:t xml:space="preserve"> normatividad vigente, en lo concerniente a los parámetros para la distribución de los recursos del SGP – oferta.</w:t>
      </w:r>
    </w:p>
    <w:p w14:paraId="29355738" w14:textId="77777777" w:rsidR="00577DFC" w:rsidRDefault="00577DFC" w:rsidP="00321689">
      <w:pPr>
        <w:jc w:val="both"/>
        <w:rPr>
          <w:rFonts w:ascii="Verdana" w:hAnsi="Verdana" w:cs="Arial"/>
          <w:sz w:val="21"/>
          <w:szCs w:val="21"/>
        </w:rPr>
      </w:pPr>
    </w:p>
    <w:p w14:paraId="7E5FD50F" w14:textId="77777777" w:rsidR="00321689" w:rsidRDefault="00321689" w:rsidP="00321689">
      <w:pPr>
        <w:jc w:val="both"/>
        <w:rPr>
          <w:rFonts w:ascii="Verdana" w:hAnsi="Verdana" w:cs="Arial"/>
          <w:sz w:val="21"/>
          <w:szCs w:val="21"/>
        </w:rPr>
      </w:pPr>
      <w:r>
        <w:rPr>
          <w:rFonts w:ascii="Verdana" w:hAnsi="Verdana" w:cs="Arial"/>
          <w:sz w:val="21"/>
          <w:szCs w:val="21"/>
        </w:rPr>
        <w:t xml:space="preserve">De otra </w:t>
      </w:r>
      <w:r w:rsidR="00E25D67">
        <w:rPr>
          <w:rFonts w:ascii="Verdana" w:hAnsi="Verdana" w:cs="Arial"/>
          <w:sz w:val="21"/>
          <w:szCs w:val="21"/>
        </w:rPr>
        <w:t>parte,</w:t>
      </w:r>
      <w:r>
        <w:rPr>
          <w:rFonts w:ascii="Verdana" w:hAnsi="Verdana" w:cs="Arial"/>
          <w:sz w:val="21"/>
          <w:szCs w:val="21"/>
        </w:rPr>
        <w:t xml:space="preserve"> la entidad adjunta</w:t>
      </w:r>
      <w:r w:rsidR="00006023">
        <w:rPr>
          <w:rFonts w:ascii="Verdana" w:hAnsi="Verdana" w:cs="Arial"/>
          <w:sz w:val="21"/>
          <w:szCs w:val="21"/>
        </w:rPr>
        <w:t xml:space="preserve"> la</w:t>
      </w:r>
      <w:r>
        <w:rPr>
          <w:rFonts w:ascii="Verdana" w:hAnsi="Verdana" w:cs="Arial"/>
          <w:sz w:val="21"/>
          <w:szCs w:val="21"/>
        </w:rPr>
        <w:t xml:space="preserve"> </w:t>
      </w:r>
      <w:r w:rsidR="00E25D67">
        <w:rPr>
          <w:rFonts w:ascii="Verdana" w:hAnsi="Verdana" w:cs="Arial"/>
          <w:sz w:val="21"/>
          <w:szCs w:val="21"/>
        </w:rPr>
        <w:t>R</w:t>
      </w:r>
      <w:r>
        <w:rPr>
          <w:rFonts w:ascii="Verdana" w:hAnsi="Verdana" w:cs="Arial"/>
          <w:sz w:val="21"/>
          <w:szCs w:val="21"/>
        </w:rPr>
        <w:t>esolución No 3606 del 27 de abril de 2022 en la que se asignan recursos del subsidio a la oferta por $1.218 millones, valores que se ajustan a los observados en la ejecución presupuestal como compromisos</w:t>
      </w:r>
      <w:r w:rsidR="00FB4FD3">
        <w:rPr>
          <w:rFonts w:ascii="Verdana" w:hAnsi="Verdana" w:cs="Arial"/>
          <w:sz w:val="21"/>
          <w:szCs w:val="21"/>
        </w:rPr>
        <w:t>;</w:t>
      </w:r>
      <w:r>
        <w:rPr>
          <w:rFonts w:ascii="Verdana" w:hAnsi="Verdana" w:cs="Arial"/>
          <w:sz w:val="21"/>
          <w:szCs w:val="21"/>
        </w:rPr>
        <w:t xml:space="preserve"> ahora, de estos recursos se registraron obligaciones por $959 millones y pagos por $883 millones, lo que representa pagos equivalentes al 72% del total programado.</w:t>
      </w:r>
    </w:p>
    <w:p w14:paraId="3D7D98DC" w14:textId="77777777" w:rsidR="00321689" w:rsidRDefault="00321689" w:rsidP="00321689">
      <w:pPr>
        <w:pStyle w:val="Default"/>
        <w:jc w:val="both"/>
        <w:rPr>
          <w:rFonts w:ascii="Verdana" w:hAnsi="Verdana"/>
          <w:color w:val="auto"/>
          <w:sz w:val="21"/>
          <w:szCs w:val="21"/>
          <w:lang w:val="es-CO"/>
        </w:rPr>
      </w:pPr>
    </w:p>
    <w:p w14:paraId="165E05DE" w14:textId="77777777" w:rsidR="00A51C35" w:rsidRDefault="00321689" w:rsidP="00321689">
      <w:pPr>
        <w:pStyle w:val="Default"/>
        <w:jc w:val="both"/>
        <w:rPr>
          <w:rFonts w:ascii="Verdana" w:hAnsi="Verdana"/>
          <w:color w:val="auto"/>
          <w:sz w:val="21"/>
          <w:szCs w:val="21"/>
          <w:lang w:val="es-CO"/>
        </w:rPr>
      </w:pPr>
      <w:r>
        <w:rPr>
          <w:rFonts w:ascii="Verdana" w:hAnsi="Verdana"/>
          <w:color w:val="auto"/>
          <w:sz w:val="21"/>
          <w:szCs w:val="21"/>
          <w:lang w:val="es-CO"/>
        </w:rPr>
        <w:t xml:space="preserve">Se encontró que la fecha de contratación con las ESE no fue oportuna para la vigencia 2022, pues la misma se realizó en el mes de agosto, </w:t>
      </w:r>
      <w:r w:rsidR="00A51C35" w:rsidRPr="00A51C35">
        <w:rPr>
          <w:rFonts w:ascii="Verdana" w:hAnsi="Verdana"/>
          <w:color w:val="auto"/>
          <w:sz w:val="21"/>
          <w:szCs w:val="21"/>
          <w:lang w:val="es-CO"/>
        </w:rPr>
        <w:t>situación que gener</w:t>
      </w:r>
      <w:r w:rsidR="00A51C35">
        <w:rPr>
          <w:rFonts w:ascii="Verdana" w:hAnsi="Verdana"/>
          <w:color w:val="auto"/>
          <w:sz w:val="21"/>
          <w:szCs w:val="21"/>
          <w:lang w:val="es-CO"/>
        </w:rPr>
        <w:t>a</w:t>
      </w:r>
      <w:r w:rsidR="00A51C35" w:rsidRPr="00A51C35">
        <w:rPr>
          <w:rFonts w:ascii="Verdana" w:hAnsi="Verdana"/>
          <w:color w:val="auto"/>
          <w:sz w:val="21"/>
          <w:szCs w:val="21"/>
          <w:lang w:val="es-CO"/>
        </w:rPr>
        <w:t xml:space="preserve"> un riesgo la adecuada prestación de los servicios de salud a cargo de las ESE ante el giro tardío de los recursos, y por ende la eficiente y debida ejecución de los recursos del Sistema General de Participaciones del Sector Salud</w:t>
      </w:r>
      <w:r w:rsidR="00A51C35">
        <w:rPr>
          <w:rFonts w:ascii="Verdana" w:hAnsi="Verdana"/>
          <w:color w:val="auto"/>
          <w:sz w:val="21"/>
          <w:szCs w:val="21"/>
          <w:lang w:val="es-CO"/>
        </w:rPr>
        <w:t>.</w:t>
      </w:r>
    </w:p>
    <w:p w14:paraId="3013D63D" w14:textId="77777777" w:rsidR="00A51C35" w:rsidRDefault="00A51C35" w:rsidP="00321689">
      <w:pPr>
        <w:pStyle w:val="Default"/>
        <w:jc w:val="both"/>
        <w:rPr>
          <w:rFonts w:ascii="Verdana" w:hAnsi="Verdana"/>
          <w:color w:val="auto"/>
          <w:sz w:val="21"/>
          <w:szCs w:val="21"/>
          <w:lang w:val="es-CO"/>
        </w:rPr>
      </w:pPr>
    </w:p>
    <w:p w14:paraId="040EABAB" w14:textId="77777777" w:rsidR="00321689" w:rsidRPr="006771CF" w:rsidRDefault="00A51C35" w:rsidP="00321689">
      <w:pPr>
        <w:pStyle w:val="Default"/>
        <w:jc w:val="both"/>
        <w:rPr>
          <w:rFonts w:ascii="Verdana" w:hAnsi="Verdana"/>
          <w:i/>
          <w:color w:val="auto"/>
          <w:sz w:val="21"/>
          <w:szCs w:val="21"/>
          <w:lang w:val="es-CO"/>
        </w:rPr>
      </w:pPr>
      <w:r>
        <w:rPr>
          <w:rFonts w:ascii="Verdana" w:hAnsi="Verdana"/>
          <w:color w:val="auto"/>
          <w:sz w:val="21"/>
          <w:szCs w:val="21"/>
          <w:lang w:val="es-CO"/>
        </w:rPr>
        <w:t xml:space="preserve">Dicha situación igualmente incumple </w:t>
      </w:r>
      <w:r w:rsidR="00321689">
        <w:rPr>
          <w:rFonts w:ascii="Verdana" w:hAnsi="Verdana"/>
          <w:color w:val="auto"/>
          <w:sz w:val="21"/>
          <w:szCs w:val="21"/>
          <w:lang w:val="es-CO"/>
        </w:rPr>
        <w:t xml:space="preserve">lo dispuesto por el Ministerio de Salud y Protección Social a través de la Resolución 857 de 2020 en donde se establecen los lineamientos para el uso y ejecución de los recursos del subcomponente de Subsidio a la Oferta, </w:t>
      </w:r>
      <w:r>
        <w:rPr>
          <w:rFonts w:ascii="Verdana" w:hAnsi="Verdana"/>
          <w:color w:val="auto"/>
          <w:sz w:val="21"/>
          <w:szCs w:val="21"/>
          <w:lang w:val="es-CO"/>
        </w:rPr>
        <w:t xml:space="preserve">definiendo </w:t>
      </w:r>
      <w:r w:rsidR="00321689">
        <w:rPr>
          <w:rFonts w:ascii="Verdana" w:hAnsi="Verdana"/>
          <w:color w:val="auto"/>
          <w:sz w:val="21"/>
          <w:szCs w:val="21"/>
          <w:lang w:val="es-CO"/>
        </w:rPr>
        <w:t>en su artículo tercero</w:t>
      </w:r>
      <w:r>
        <w:rPr>
          <w:rFonts w:ascii="Verdana" w:hAnsi="Verdana"/>
          <w:color w:val="auto"/>
          <w:sz w:val="21"/>
          <w:szCs w:val="21"/>
          <w:lang w:val="es-CO"/>
        </w:rPr>
        <w:t>,</w:t>
      </w:r>
      <w:r w:rsidR="00321689">
        <w:rPr>
          <w:rFonts w:ascii="Verdana" w:hAnsi="Verdana"/>
          <w:color w:val="auto"/>
          <w:sz w:val="21"/>
          <w:szCs w:val="21"/>
          <w:lang w:val="es-CO"/>
        </w:rPr>
        <w:t xml:space="preserve"> respecto del contenido de los convenios para el seguimiento a la ejecución de los recursos</w:t>
      </w:r>
      <w:r>
        <w:rPr>
          <w:rFonts w:ascii="Verdana" w:hAnsi="Verdana"/>
          <w:color w:val="auto"/>
          <w:sz w:val="21"/>
          <w:szCs w:val="21"/>
          <w:lang w:val="es-CO"/>
        </w:rPr>
        <w:t>,</w:t>
      </w:r>
      <w:r w:rsidR="00321689">
        <w:rPr>
          <w:rFonts w:ascii="Verdana" w:hAnsi="Verdana"/>
          <w:color w:val="auto"/>
          <w:sz w:val="21"/>
          <w:szCs w:val="21"/>
          <w:lang w:val="es-CO"/>
        </w:rPr>
        <w:t xml:space="preserve"> que el término no debe ser inferior a la vigencia fiscal para la cual se asignan los recurso</w:t>
      </w:r>
      <w:r>
        <w:rPr>
          <w:rFonts w:ascii="Verdana" w:hAnsi="Verdana"/>
          <w:color w:val="auto"/>
          <w:sz w:val="21"/>
          <w:szCs w:val="21"/>
          <w:lang w:val="es-CO"/>
        </w:rPr>
        <w:t>s.</w:t>
      </w:r>
      <w:r w:rsidR="00321689">
        <w:rPr>
          <w:rFonts w:ascii="Verdana" w:hAnsi="Verdana"/>
          <w:color w:val="auto"/>
          <w:sz w:val="21"/>
          <w:szCs w:val="21"/>
          <w:lang w:val="es-CO"/>
        </w:rPr>
        <w:t xml:space="preserve"> </w:t>
      </w:r>
      <w:r>
        <w:rPr>
          <w:rFonts w:ascii="Verdana" w:hAnsi="Verdana"/>
          <w:color w:val="auto"/>
          <w:sz w:val="21"/>
          <w:szCs w:val="21"/>
          <w:lang w:val="es-CO"/>
        </w:rPr>
        <w:t xml:space="preserve">Así mismo, </w:t>
      </w:r>
      <w:r w:rsidR="00321689">
        <w:rPr>
          <w:rFonts w:ascii="Verdana" w:hAnsi="Verdana"/>
          <w:color w:val="auto"/>
          <w:sz w:val="21"/>
          <w:szCs w:val="21"/>
          <w:lang w:val="es-CO"/>
        </w:rPr>
        <w:t>el artículo quinto determina respecto al giro de los recursos que “</w:t>
      </w:r>
      <w:r w:rsidR="00321689" w:rsidRPr="006771CF">
        <w:rPr>
          <w:rFonts w:ascii="Verdana" w:hAnsi="Verdana"/>
          <w:i/>
          <w:color w:val="auto"/>
          <w:sz w:val="21"/>
          <w:szCs w:val="21"/>
          <w:lang w:val="es-CO"/>
        </w:rPr>
        <w:t>Una vez la Nación realice el giro de los recursos del SGP del Subsidio a la oferta a las entidades territoriales, éstas suscribirán los convenios o contratos correspondientes y realizarán la transferencia del recurso”.</w:t>
      </w:r>
    </w:p>
    <w:p w14:paraId="41DC79DD" w14:textId="77777777" w:rsidR="00321689" w:rsidRDefault="00321689" w:rsidP="00321689">
      <w:pPr>
        <w:pStyle w:val="Default"/>
        <w:jc w:val="both"/>
        <w:rPr>
          <w:rFonts w:ascii="Verdana" w:hAnsi="Verdana"/>
          <w:color w:val="auto"/>
          <w:sz w:val="21"/>
          <w:szCs w:val="21"/>
          <w:lang w:val="es-CO"/>
        </w:rPr>
      </w:pPr>
    </w:p>
    <w:p w14:paraId="423BFCB6" w14:textId="77777777" w:rsidR="00321689" w:rsidRDefault="00321689" w:rsidP="00321689">
      <w:pPr>
        <w:pStyle w:val="Default"/>
        <w:jc w:val="both"/>
        <w:rPr>
          <w:rFonts w:ascii="Verdana" w:hAnsi="Verdana"/>
          <w:color w:val="auto"/>
          <w:sz w:val="21"/>
          <w:szCs w:val="21"/>
          <w:lang w:val="es-CO"/>
        </w:rPr>
      </w:pPr>
      <w:r>
        <w:rPr>
          <w:rFonts w:ascii="Verdana" w:hAnsi="Verdana"/>
          <w:color w:val="auto"/>
          <w:sz w:val="21"/>
          <w:szCs w:val="21"/>
          <w:lang w:val="es-CO"/>
        </w:rPr>
        <w:t xml:space="preserve">Finalmente, la Entidad envía los informes de supervisión a los convenios suscritos con las ESE y copia de las actas de pagos anticipados de las tres (3) ESE en la </w:t>
      </w:r>
      <w:r>
        <w:rPr>
          <w:rFonts w:ascii="Verdana" w:hAnsi="Verdana"/>
          <w:color w:val="auto"/>
          <w:sz w:val="21"/>
          <w:szCs w:val="21"/>
          <w:lang w:val="es-CO"/>
        </w:rPr>
        <w:lastRenderedPageBreak/>
        <w:t>vigencia, en estas actas la Entidad certifica el cumplimiento de las actividades contempladas en los respectivos convenios. No obstante, verificado el enlace correspondiente al cargue de los contratos en el SECOP I y SECOP II, estos no fueron identificados, situación que además fue corroborada en la página Web del SECOP, por tal razón no fue posible realizar la verificación de cumplimiento a los lineamientos dispuestos en la Resolución 857 de 2020.</w:t>
      </w:r>
    </w:p>
    <w:p w14:paraId="125A9B66" w14:textId="77777777" w:rsidR="00321689" w:rsidRDefault="00321689" w:rsidP="00321689">
      <w:pPr>
        <w:jc w:val="both"/>
        <w:rPr>
          <w:rFonts w:ascii="Verdana" w:hAnsi="Verdana" w:cs="Arial"/>
          <w:sz w:val="21"/>
          <w:szCs w:val="21"/>
          <w:lang w:val="es-CO"/>
        </w:rPr>
      </w:pPr>
    </w:p>
    <w:p w14:paraId="39086442" w14:textId="77777777" w:rsidR="00321689" w:rsidRDefault="00321689" w:rsidP="00321689">
      <w:pPr>
        <w:jc w:val="both"/>
        <w:rPr>
          <w:rFonts w:ascii="Verdana" w:hAnsi="Verdana" w:cs="Arial"/>
          <w:sz w:val="21"/>
          <w:szCs w:val="21"/>
        </w:rPr>
      </w:pPr>
      <w:r>
        <w:rPr>
          <w:rFonts w:ascii="Verdana" w:hAnsi="Verdana" w:cs="Arial"/>
          <w:sz w:val="21"/>
          <w:szCs w:val="21"/>
        </w:rPr>
        <w:t xml:space="preserve">En cuanto a los informes de supervisión de los contratos, la entidad adjunta la certificación del cumplimiento de las metas propuestas </w:t>
      </w:r>
      <w:r w:rsidR="00A51C35">
        <w:rPr>
          <w:rFonts w:ascii="Verdana" w:hAnsi="Verdana" w:cs="Arial"/>
          <w:sz w:val="21"/>
          <w:szCs w:val="21"/>
        </w:rPr>
        <w:t>así</w:t>
      </w:r>
      <w:r>
        <w:rPr>
          <w:rFonts w:ascii="Verdana" w:hAnsi="Verdana" w:cs="Arial"/>
          <w:sz w:val="21"/>
          <w:szCs w:val="21"/>
        </w:rPr>
        <w:t>:</w:t>
      </w:r>
    </w:p>
    <w:p w14:paraId="11FB0767" w14:textId="77777777" w:rsidR="00321689" w:rsidRDefault="00321689" w:rsidP="00321689">
      <w:pPr>
        <w:jc w:val="both"/>
        <w:rPr>
          <w:rFonts w:ascii="Verdana" w:hAnsi="Verdana" w:cs="Arial"/>
          <w:sz w:val="21"/>
          <w:szCs w:val="21"/>
        </w:rPr>
      </w:pPr>
    </w:p>
    <w:p w14:paraId="6657C292"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Imagen No 5</w:t>
      </w:r>
    </w:p>
    <w:p w14:paraId="4FD0582B" w14:textId="77777777" w:rsidR="00321689" w:rsidRDefault="00321689" w:rsidP="00321689">
      <w:pPr>
        <w:jc w:val="both"/>
        <w:rPr>
          <w:rFonts w:ascii="Verdana" w:eastAsiaTheme="minorHAnsi" w:hAnsi="Verdana" w:cs="Arial"/>
          <w:sz w:val="21"/>
          <w:szCs w:val="21"/>
        </w:rPr>
      </w:pPr>
    </w:p>
    <w:p w14:paraId="06D35080" w14:textId="77777777" w:rsidR="00321689" w:rsidRDefault="00321689" w:rsidP="00321689">
      <w:pPr>
        <w:jc w:val="center"/>
        <w:rPr>
          <w:rFonts w:ascii="Verdana" w:hAnsi="Verdana" w:cs="Arial"/>
          <w:sz w:val="21"/>
          <w:szCs w:val="21"/>
        </w:rPr>
      </w:pPr>
      <w:r>
        <w:rPr>
          <w:rFonts w:ascii="Verdana" w:hAnsi="Verdana" w:cs="Arial"/>
          <w:noProof/>
          <w:sz w:val="21"/>
          <w:szCs w:val="21"/>
          <w:lang w:val="es-CO" w:eastAsia="es-CO"/>
        </w:rPr>
        <w:drawing>
          <wp:inline distT="0" distB="0" distL="0" distR="0" wp14:anchorId="1F3C370C" wp14:editId="6418997B">
            <wp:extent cx="4756150" cy="3194050"/>
            <wp:effectExtent l="0" t="0" r="635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6150" cy="3194050"/>
                    </a:xfrm>
                    <a:prstGeom prst="rect">
                      <a:avLst/>
                    </a:prstGeom>
                    <a:noFill/>
                    <a:ln>
                      <a:noFill/>
                    </a:ln>
                  </pic:spPr>
                </pic:pic>
              </a:graphicData>
            </a:graphic>
          </wp:inline>
        </w:drawing>
      </w:r>
    </w:p>
    <w:p w14:paraId="73C40109" w14:textId="77777777" w:rsidR="003411EE" w:rsidRDefault="003411EE" w:rsidP="00321689">
      <w:pPr>
        <w:jc w:val="both"/>
        <w:rPr>
          <w:rFonts w:ascii="Verdana" w:hAnsi="Verdana" w:cs="Arial"/>
          <w:sz w:val="21"/>
          <w:szCs w:val="21"/>
        </w:rPr>
      </w:pPr>
    </w:p>
    <w:p w14:paraId="41689B7F" w14:textId="77777777" w:rsidR="00A51C35" w:rsidRDefault="00321689" w:rsidP="00321689">
      <w:pPr>
        <w:jc w:val="both"/>
        <w:rPr>
          <w:rFonts w:ascii="Verdana" w:hAnsi="Verdana" w:cs="Arial"/>
          <w:sz w:val="21"/>
          <w:szCs w:val="21"/>
        </w:rPr>
      </w:pPr>
      <w:r>
        <w:rPr>
          <w:rFonts w:ascii="Verdana" w:hAnsi="Verdana" w:cs="Arial"/>
          <w:sz w:val="21"/>
          <w:szCs w:val="21"/>
        </w:rPr>
        <w:t xml:space="preserve">En la imagen anterior se observa </w:t>
      </w:r>
      <w:r w:rsidR="00A51C35">
        <w:rPr>
          <w:rFonts w:ascii="Verdana" w:hAnsi="Verdana" w:cs="Arial"/>
          <w:sz w:val="21"/>
          <w:szCs w:val="21"/>
        </w:rPr>
        <w:t>que</w:t>
      </w:r>
      <w:r w:rsidR="00697651">
        <w:rPr>
          <w:rFonts w:ascii="Verdana" w:hAnsi="Verdana" w:cs="Arial"/>
          <w:sz w:val="21"/>
          <w:szCs w:val="21"/>
        </w:rPr>
        <w:t>,</w:t>
      </w:r>
      <w:r>
        <w:rPr>
          <w:rFonts w:ascii="Verdana" w:hAnsi="Verdana" w:cs="Arial"/>
          <w:sz w:val="21"/>
          <w:szCs w:val="21"/>
        </w:rPr>
        <w:t xml:space="preserve"> en los indicadores financieros la meta en recaudo corriente fue de $116 millones mensuales y </w:t>
      </w:r>
      <w:r w:rsidR="00A51C35">
        <w:rPr>
          <w:rFonts w:ascii="Verdana" w:hAnsi="Verdana" w:cs="Arial"/>
          <w:sz w:val="21"/>
          <w:szCs w:val="21"/>
        </w:rPr>
        <w:t xml:space="preserve">en </w:t>
      </w:r>
      <w:r>
        <w:rPr>
          <w:rFonts w:ascii="Verdana" w:hAnsi="Verdana" w:cs="Arial"/>
          <w:sz w:val="21"/>
          <w:szCs w:val="21"/>
        </w:rPr>
        <w:t xml:space="preserve">recaudo de vigencias anteriores </w:t>
      </w:r>
      <w:r w:rsidR="00A51C35">
        <w:rPr>
          <w:rFonts w:ascii="Verdana" w:hAnsi="Verdana" w:cs="Arial"/>
          <w:sz w:val="21"/>
          <w:szCs w:val="21"/>
        </w:rPr>
        <w:t>fue de</w:t>
      </w:r>
      <w:r>
        <w:rPr>
          <w:rFonts w:ascii="Verdana" w:hAnsi="Verdana" w:cs="Arial"/>
          <w:sz w:val="21"/>
          <w:szCs w:val="21"/>
        </w:rPr>
        <w:t xml:space="preserve"> $2</w:t>
      </w:r>
      <w:r w:rsidR="004F48F3">
        <w:rPr>
          <w:rFonts w:ascii="Verdana" w:hAnsi="Verdana" w:cs="Arial"/>
          <w:sz w:val="21"/>
          <w:szCs w:val="21"/>
        </w:rPr>
        <w:t xml:space="preserve"> </w:t>
      </w:r>
      <w:r>
        <w:rPr>
          <w:rFonts w:ascii="Verdana" w:hAnsi="Verdana" w:cs="Arial"/>
          <w:sz w:val="21"/>
          <w:szCs w:val="21"/>
        </w:rPr>
        <w:t xml:space="preserve">millones, valores que se identificaron en los 5 meses en los que se desarrolla el contrato. Por lo anterior, </w:t>
      </w:r>
      <w:r w:rsidR="005039EC">
        <w:rPr>
          <w:rFonts w:ascii="Verdana" w:hAnsi="Verdana" w:cs="Arial"/>
          <w:sz w:val="21"/>
          <w:szCs w:val="21"/>
        </w:rPr>
        <w:t xml:space="preserve">durante ese periodo, </w:t>
      </w:r>
      <w:r>
        <w:rPr>
          <w:rFonts w:ascii="Verdana" w:hAnsi="Verdana" w:cs="Arial"/>
          <w:sz w:val="21"/>
          <w:szCs w:val="21"/>
        </w:rPr>
        <w:t>la meta financiera fue de $581.5 millones en el recaudo corriente y de $14 millones en el recaudo de vigencias anteriores</w:t>
      </w:r>
      <w:r w:rsidR="00A51C35">
        <w:rPr>
          <w:rFonts w:ascii="Verdana" w:hAnsi="Verdana" w:cs="Arial"/>
          <w:sz w:val="21"/>
          <w:szCs w:val="21"/>
        </w:rPr>
        <w:t>.</w:t>
      </w:r>
      <w:r>
        <w:rPr>
          <w:rFonts w:ascii="Verdana" w:hAnsi="Verdana" w:cs="Arial"/>
          <w:sz w:val="21"/>
          <w:szCs w:val="21"/>
        </w:rPr>
        <w:t xml:space="preserve"> </w:t>
      </w:r>
    </w:p>
    <w:p w14:paraId="65224042" w14:textId="77777777" w:rsidR="00A51C35" w:rsidRDefault="00A51C35" w:rsidP="00321689">
      <w:pPr>
        <w:jc w:val="both"/>
        <w:rPr>
          <w:rFonts w:ascii="Verdana" w:hAnsi="Verdana" w:cs="Arial"/>
          <w:sz w:val="21"/>
          <w:szCs w:val="21"/>
        </w:rPr>
      </w:pPr>
    </w:p>
    <w:p w14:paraId="6E081E1B" w14:textId="77777777" w:rsidR="00321689" w:rsidRDefault="00A51C35" w:rsidP="00321689">
      <w:pPr>
        <w:jc w:val="both"/>
        <w:rPr>
          <w:rFonts w:ascii="Verdana" w:hAnsi="Verdana" w:cs="Arial"/>
          <w:sz w:val="21"/>
          <w:szCs w:val="21"/>
        </w:rPr>
      </w:pPr>
      <w:r>
        <w:rPr>
          <w:rFonts w:ascii="Verdana" w:hAnsi="Verdana" w:cs="Arial"/>
          <w:sz w:val="21"/>
          <w:szCs w:val="21"/>
        </w:rPr>
        <w:t xml:space="preserve">En relación </w:t>
      </w:r>
      <w:r w:rsidR="004E13DA">
        <w:rPr>
          <w:rFonts w:ascii="Verdana" w:hAnsi="Verdana" w:cs="Arial"/>
          <w:sz w:val="21"/>
          <w:szCs w:val="21"/>
        </w:rPr>
        <w:t>con</w:t>
      </w:r>
      <w:r>
        <w:rPr>
          <w:rFonts w:ascii="Verdana" w:hAnsi="Verdana" w:cs="Arial"/>
          <w:sz w:val="21"/>
          <w:szCs w:val="21"/>
        </w:rPr>
        <w:t xml:space="preserve"> lo expuesto, de acuerdo </w:t>
      </w:r>
      <w:r w:rsidR="004E13DA">
        <w:rPr>
          <w:rFonts w:ascii="Verdana" w:hAnsi="Verdana" w:cs="Arial"/>
          <w:sz w:val="21"/>
          <w:szCs w:val="21"/>
        </w:rPr>
        <w:t>con e</w:t>
      </w:r>
      <w:r>
        <w:rPr>
          <w:rFonts w:ascii="Verdana" w:hAnsi="Verdana" w:cs="Arial"/>
          <w:sz w:val="21"/>
          <w:szCs w:val="21"/>
        </w:rPr>
        <w:t xml:space="preserve">l reporte efectuado en </w:t>
      </w:r>
      <w:r w:rsidR="00321689">
        <w:rPr>
          <w:rFonts w:ascii="Verdana" w:hAnsi="Verdana" w:cs="Arial"/>
          <w:sz w:val="21"/>
          <w:szCs w:val="21"/>
        </w:rPr>
        <w:t>SIHO (Res 2193</w:t>
      </w:r>
      <w:r w:rsidR="00854D15">
        <w:rPr>
          <w:rFonts w:ascii="Verdana" w:hAnsi="Verdana" w:cs="Arial"/>
          <w:sz w:val="21"/>
          <w:szCs w:val="21"/>
        </w:rPr>
        <w:t xml:space="preserve"> de 2004</w:t>
      </w:r>
      <w:r w:rsidR="00321689">
        <w:rPr>
          <w:rFonts w:ascii="Verdana" w:hAnsi="Verdana" w:cs="Arial"/>
          <w:sz w:val="21"/>
          <w:szCs w:val="21"/>
        </w:rPr>
        <w:t>) se observa que la entidad en las últimas 3 vigencias recaudó</w:t>
      </w:r>
      <w:r>
        <w:rPr>
          <w:rFonts w:ascii="Verdana" w:hAnsi="Verdana" w:cs="Arial"/>
          <w:sz w:val="21"/>
          <w:szCs w:val="21"/>
        </w:rPr>
        <w:t xml:space="preserve"> lo siguiente</w:t>
      </w:r>
      <w:r w:rsidR="00321689">
        <w:rPr>
          <w:rFonts w:ascii="Verdana" w:hAnsi="Verdana" w:cs="Arial"/>
          <w:sz w:val="21"/>
          <w:szCs w:val="21"/>
        </w:rPr>
        <w:t>:</w:t>
      </w:r>
    </w:p>
    <w:p w14:paraId="4877F4DC" w14:textId="77777777" w:rsidR="007D6F1E" w:rsidRDefault="007D6F1E" w:rsidP="00321689">
      <w:pPr>
        <w:autoSpaceDE w:val="0"/>
        <w:autoSpaceDN w:val="0"/>
        <w:adjustRightInd w:val="0"/>
        <w:jc w:val="center"/>
        <w:rPr>
          <w:rFonts w:ascii="Verdana" w:eastAsia="ヒラギノ角ゴ Pro W3" w:hAnsi="Verdana" w:cs="Arial"/>
          <w:b/>
          <w:color w:val="B48C41"/>
          <w:sz w:val="18"/>
          <w:szCs w:val="18"/>
        </w:rPr>
      </w:pPr>
    </w:p>
    <w:p w14:paraId="3CF969EC"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Imagen No 6</w:t>
      </w:r>
    </w:p>
    <w:p w14:paraId="47615FF2" w14:textId="77777777" w:rsidR="00321689" w:rsidRDefault="00762F3C" w:rsidP="00AB0C16">
      <w:pPr>
        <w:jc w:val="center"/>
        <w:rPr>
          <w:rFonts w:ascii="Verdana" w:eastAsiaTheme="minorHAnsi" w:hAnsi="Verdana" w:cs="Arial"/>
          <w:sz w:val="21"/>
          <w:szCs w:val="21"/>
        </w:rPr>
      </w:pPr>
      <w:r>
        <w:rPr>
          <w:rFonts w:ascii="Calibri" w:eastAsiaTheme="minorHAnsi" w:hAnsi="Calibri" w:cs="Calibri"/>
          <w:noProof/>
          <w:sz w:val="22"/>
          <w:szCs w:val="22"/>
          <w:lang w:val="es-CO" w:eastAsia="es-CO"/>
        </w:rPr>
        <w:lastRenderedPageBreak/>
        <w:pict w14:anchorId="1EC4E086">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223101568" o:spid="_x0000_s2050" type="#_x0000_t67" style="position:absolute;left:0;text-align:left;margin-left:387.95pt;margin-top:127.05pt;width:29.5pt;height:46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dj="14674" fillcolor="#4f81bd [3204]" strokecolor="#243f60 [1604]" strokeweight="2pt"/>
        </w:pict>
      </w:r>
      <w:r>
        <w:rPr>
          <w:rFonts w:ascii="Calibri" w:eastAsiaTheme="minorHAnsi" w:hAnsi="Calibri" w:cs="Calibri"/>
          <w:noProof/>
          <w:sz w:val="22"/>
          <w:szCs w:val="22"/>
          <w:lang w:val="es-CO" w:eastAsia="es-CO"/>
        </w:rPr>
        <w:pict w14:anchorId="01E62A2F">
          <v:shape id="Flecha abajo 1223101569" o:spid="_x0000_s2058" type="#_x0000_t67" style="position:absolute;left:0;text-align:left;margin-left:390.3pt;margin-top:8.55pt;width:29.5pt;height:47.4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" adj="14886" fillcolor="#4f81bd [3204]" strokecolor="#243f60 [1604]" strokeweight="2pt"/>
        </w:pict>
      </w:r>
      <w:r w:rsidR="00321689">
        <w:rPr>
          <w:rFonts w:ascii="Verdana" w:hAnsi="Verdana" w:cs="Arial"/>
          <w:noProof/>
          <w:sz w:val="21"/>
          <w:szCs w:val="21"/>
          <w:lang w:val="es-CO" w:eastAsia="es-CO"/>
        </w:rPr>
        <w:drawing>
          <wp:inline distT="0" distB="0" distL="0" distR="0" wp14:anchorId="75ECF4B5" wp14:editId="1E74C755">
            <wp:extent cx="5270500" cy="2203450"/>
            <wp:effectExtent l="0" t="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2203450"/>
                    </a:xfrm>
                    <a:prstGeom prst="rect">
                      <a:avLst/>
                    </a:prstGeom>
                    <a:noFill/>
                    <a:ln>
                      <a:noFill/>
                    </a:ln>
                  </pic:spPr>
                </pic:pic>
              </a:graphicData>
            </a:graphic>
          </wp:inline>
        </w:drawing>
      </w:r>
    </w:p>
    <w:p w14:paraId="7DAA9F40" w14:textId="77777777" w:rsidR="00321689" w:rsidRDefault="00321689" w:rsidP="00AB0C16">
      <w:pPr>
        <w:autoSpaceDE w:val="0"/>
        <w:autoSpaceDN w:val="0"/>
        <w:adjustRightInd w:val="0"/>
        <w:jc w:val="center"/>
        <w:rPr>
          <w:rFonts w:ascii="Verdana" w:eastAsia="ヒラギノ角ゴ Pro W3" w:hAnsi="Verdana" w:cs="Arial"/>
          <w:sz w:val="18"/>
          <w:szCs w:val="18"/>
        </w:rPr>
      </w:pPr>
      <w:r>
        <w:rPr>
          <w:rFonts w:ascii="Verdana" w:eastAsia="ヒラギノ角ゴ Pro W3" w:hAnsi="Verdana" w:cs="Arial"/>
          <w:sz w:val="18"/>
          <w:szCs w:val="18"/>
        </w:rPr>
        <w:t>Fuente: SIHO.</w:t>
      </w:r>
    </w:p>
    <w:p w14:paraId="15AC6060" w14:textId="77777777" w:rsidR="00321689" w:rsidRDefault="00321689" w:rsidP="00321689">
      <w:pPr>
        <w:jc w:val="both"/>
        <w:rPr>
          <w:rFonts w:ascii="Verdana" w:eastAsiaTheme="minorHAnsi" w:hAnsi="Verdana" w:cs="Arial"/>
          <w:sz w:val="21"/>
          <w:szCs w:val="21"/>
        </w:rPr>
      </w:pPr>
    </w:p>
    <w:p w14:paraId="10F9FBC0" w14:textId="77777777" w:rsidR="00321689" w:rsidRDefault="00321689" w:rsidP="00321689">
      <w:pPr>
        <w:jc w:val="both"/>
        <w:rPr>
          <w:rFonts w:ascii="Verdana" w:hAnsi="Verdana" w:cs="Arial"/>
          <w:sz w:val="21"/>
          <w:szCs w:val="21"/>
        </w:rPr>
      </w:pPr>
      <w:r>
        <w:rPr>
          <w:rFonts w:ascii="Verdana" w:hAnsi="Verdana" w:cs="Arial"/>
          <w:sz w:val="21"/>
          <w:szCs w:val="21"/>
        </w:rPr>
        <w:t>De tal forma, que el promedio anual de recaudo fue de $3.383 millones</w:t>
      </w:r>
      <w:r>
        <w:rPr>
          <w:rStyle w:val="Refdenotaalpie"/>
          <w:rFonts w:ascii="Verdana" w:hAnsi="Verdana" w:cs="Arial"/>
          <w:sz w:val="21"/>
          <w:szCs w:val="21"/>
        </w:rPr>
        <w:footnoteReference w:id="3"/>
      </w:r>
      <w:r>
        <w:rPr>
          <w:rFonts w:ascii="Verdana" w:hAnsi="Verdana" w:cs="Arial"/>
          <w:sz w:val="21"/>
          <w:szCs w:val="21"/>
        </w:rPr>
        <w:t>, que al hacerlo en los 5 meses del convenio sería de $1.409 millones, valor que es superior al plasmado en las metas, situación que se repite en el indicador de recaudo de vigencia anterior.</w:t>
      </w:r>
    </w:p>
    <w:p w14:paraId="613BA30E" w14:textId="77777777" w:rsidR="00321689" w:rsidRDefault="00321689" w:rsidP="00321689">
      <w:pPr>
        <w:jc w:val="both"/>
        <w:rPr>
          <w:rFonts w:ascii="Verdana" w:hAnsi="Verdana" w:cs="Arial"/>
          <w:sz w:val="21"/>
          <w:szCs w:val="21"/>
        </w:rPr>
      </w:pPr>
    </w:p>
    <w:p w14:paraId="47EB33AA" w14:textId="77777777" w:rsidR="00321689" w:rsidRDefault="00321689" w:rsidP="00321689">
      <w:pPr>
        <w:jc w:val="both"/>
        <w:rPr>
          <w:rFonts w:ascii="Verdana" w:hAnsi="Verdana" w:cs="Arial"/>
          <w:sz w:val="21"/>
          <w:szCs w:val="21"/>
          <w:shd w:val="clear" w:color="auto" w:fill="FFFFFF"/>
        </w:rPr>
      </w:pPr>
      <w:r>
        <w:rPr>
          <w:rFonts w:ascii="Verdana" w:hAnsi="Verdana" w:cs="Arial"/>
          <w:sz w:val="21"/>
          <w:szCs w:val="21"/>
        </w:rPr>
        <w:t>De lo anterior se observa que las metas financieras no son consistentes con el promedio de recaudo de la vigencia y de la vigencia anterior, incumpliendo de esta forma el artículo 4 d</w:t>
      </w:r>
      <w:r>
        <w:rPr>
          <w:rFonts w:ascii="Verdana" w:hAnsi="Verdana" w:cs="Arial"/>
          <w:sz w:val="21"/>
          <w:szCs w:val="21"/>
          <w:shd w:val="clear" w:color="auto" w:fill="FFFFFF"/>
        </w:rPr>
        <w:t xml:space="preserve">e la </w:t>
      </w:r>
      <w:r w:rsidR="00562A8F">
        <w:rPr>
          <w:rFonts w:ascii="Verdana" w:hAnsi="Verdana" w:cs="Arial"/>
          <w:sz w:val="21"/>
          <w:szCs w:val="21"/>
          <w:shd w:val="clear" w:color="auto" w:fill="FFFFFF"/>
        </w:rPr>
        <w:t>R</w:t>
      </w:r>
      <w:r>
        <w:rPr>
          <w:rFonts w:ascii="Verdana" w:hAnsi="Verdana" w:cs="Arial"/>
          <w:sz w:val="21"/>
          <w:szCs w:val="21"/>
          <w:shd w:val="clear" w:color="auto" w:fill="FFFFFF"/>
        </w:rPr>
        <w:t xml:space="preserve">esolución 857 de 2020 </w:t>
      </w:r>
      <w:r w:rsidR="000E1F3C">
        <w:rPr>
          <w:rFonts w:ascii="Verdana" w:hAnsi="Verdana" w:cs="Arial"/>
          <w:sz w:val="21"/>
          <w:szCs w:val="21"/>
          <w:shd w:val="clear" w:color="auto" w:fill="FFFFFF"/>
        </w:rPr>
        <w:t>la cual establece</w:t>
      </w:r>
      <w:r>
        <w:rPr>
          <w:rFonts w:ascii="Verdana" w:hAnsi="Verdana" w:cs="Arial"/>
          <w:sz w:val="21"/>
          <w:szCs w:val="21"/>
          <w:shd w:val="clear" w:color="auto" w:fill="FFFFFF"/>
        </w:rPr>
        <w:t xml:space="preserve">: </w:t>
      </w:r>
    </w:p>
    <w:p w14:paraId="2529E9F6" w14:textId="77777777" w:rsidR="00321689" w:rsidRDefault="00321689" w:rsidP="00321689">
      <w:pPr>
        <w:shd w:val="clear" w:color="auto" w:fill="FFFFFF"/>
        <w:jc w:val="both"/>
        <w:rPr>
          <w:rFonts w:ascii="Arial" w:hAnsi="Arial" w:cs="Arial"/>
          <w:b/>
          <w:bCs/>
          <w:color w:val="181717"/>
          <w:sz w:val="22"/>
          <w:szCs w:val="22"/>
        </w:rPr>
      </w:pPr>
    </w:p>
    <w:p w14:paraId="540136BE" w14:textId="77777777" w:rsidR="00321689" w:rsidRPr="00AB0C16" w:rsidRDefault="00321689" w:rsidP="00AB0C16">
      <w:pPr>
        <w:shd w:val="clear" w:color="auto" w:fill="FFFFFF"/>
        <w:ind w:left="567"/>
        <w:jc w:val="both"/>
        <w:rPr>
          <w:rFonts w:ascii="Calibri" w:eastAsia="Times New Roman" w:hAnsi="Calibri" w:cs="Calibri"/>
          <w:i/>
          <w:color w:val="181717"/>
          <w:sz w:val="18"/>
          <w:szCs w:val="18"/>
          <w:lang w:eastAsia="es-CO"/>
        </w:rPr>
      </w:pPr>
      <w:r w:rsidRPr="00AB0C16">
        <w:rPr>
          <w:rFonts w:ascii="Arial" w:hAnsi="Arial" w:cs="Arial"/>
          <w:b/>
          <w:bCs/>
          <w:color w:val="181717"/>
          <w:sz w:val="18"/>
          <w:szCs w:val="18"/>
        </w:rPr>
        <w:t>“</w:t>
      </w:r>
      <w:r w:rsidRPr="00AB0C16">
        <w:rPr>
          <w:rFonts w:ascii="Arial" w:hAnsi="Arial" w:cs="Arial"/>
          <w:i/>
          <w:iCs/>
          <w:color w:val="181717"/>
          <w:sz w:val="18"/>
          <w:szCs w:val="18"/>
        </w:rPr>
        <w:t xml:space="preserve">[…] </w:t>
      </w:r>
      <w:r w:rsidRPr="00AB0C16">
        <w:rPr>
          <w:rFonts w:ascii="Arial" w:hAnsi="Arial" w:cs="Arial"/>
          <w:b/>
          <w:bCs/>
          <w:i/>
          <w:color w:val="181717"/>
          <w:sz w:val="18"/>
          <w:szCs w:val="18"/>
        </w:rPr>
        <w:t>4.3 </w:t>
      </w:r>
      <w:r w:rsidRPr="00AB0C16">
        <w:rPr>
          <w:rFonts w:ascii="Arial" w:hAnsi="Arial" w:cs="Arial"/>
          <w:b/>
          <w:bCs/>
          <w:i/>
          <w:sz w:val="18"/>
          <w:szCs w:val="18"/>
        </w:rPr>
        <w:t>Gestión financiera:</w:t>
      </w:r>
    </w:p>
    <w:p w14:paraId="4D9DEF97" w14:textId="77777777" w:rsidR="00321689" w:rsidRPr="00AB0C16" w:rsidRDefault="00321689" w:rsidP="00AB0C16">
      <w:pPr>
        <w:shd w:val="clear" w:color="auto" w:fill="FFFFFF"/>
        <w:ind w:left="567"/>
        <w:jc w:val="both"/>
        <w:rPr>
          <w:rFonts w:eastAsiaTheme="minorHAnsi"/>
          <w:i/>
          <w:color w:val="181717"/>
          <w:sz w:val="18"/>
          <w:szCs w:val="18"/>
          <w:lang w:eastAsia="en-US"/>
        </w:rPr>
      </w:pPr>
      <w:r w:rsidRPr="00AB0C16">
        <w:rPr>
          <w:rFonts w:ascii="Arial" w:hAnsi="Arial" w:cs="Arial"/>
          <w:i/>
          <w:sz w:val="18"/>
          <w:szCs w:val="18"/>
        </w:rPr>
        <w:t> </w:t>
      </w:r>
    </w:p>
    <w:p w14:paraId="3EFD4228" w14:textId="77777777" w:rsidR="00321689" w:rsidRPr="00AB0C16" w:rsidRDefault="00321689" w:rsidP="00AB0C16">
      <w:pPr>
        <w:shd w:val="clear" w:color="auto" w:fill="FFFFFF"/>
        <w:ind w:left="567"/>
        <w:jc w:val="both"/>
        <w:rPr>
          <w:i/>
          <w:color w:val="181717"/>
          <w:sz w:val="18"/>
          <w:szCs w:val="18"/>
        </w:rPr>
      </w:pPr>
      <w:r w:rsidRPr="00AB0C16">
        <w:rPr>
          <w:rFonts w:ascii="Arial" w:hAnsi="Arial" w:cs="Arial"/>
          <w:i/>
          <w:color w:val="181717"/>
          <w:sz w:val="18"/>
          <w:szCs w:val="18"/>
        </w:rPr>
        <w:t>4.3.1 </w:t>
      </w:r>
      <w:r w:rsidRPr="00AB0C16">
        <w:rPr>
          <w:rFonts w:ascii="Arial" w:hAnsi="Arial" w:cs="Arial"/>
          <w:i/>
          <w:sz w:val="18"/>
          <w:szCs w:val="18"/>
        </w:rPr>
        <w:t>Promedio del monto de los ingresos corrientes recaudados por concepto de venta de servicios de salud en las últimas tres (3) vigencias. Cuando el tiempo de operación del prestador sea inferior a tres (3) años, se tendrá en cuenta todo el período en el que haya prestado servicios de salud.</w:t>
      </w:r>
    </w:p>
    <w:p w14:paraId="14DFCB41" w14:textId="77777777" w:rsidR="00321689" w:rsidRPr="00AB0C16" w:rsidRDefault="00321689" w:rsidP="00AB0C16">
      <w:pPr>
        <w:shd w:val="clear" w:color="auto" w:fill="FFFFFF"/>
        <w:ind w:left="567"/>
        <w:jc w:val="both"/>
        <w:rPr>
          <w:i/>
          <w:color w:val="181717"/>
          <w:sz w:val="18"/>
          <w:szCs w:val="18"/>
        </w:rPr>
      </w:pPr>
      <w:r w:rsidRPr="00AB0C16">
        <w:rPr>
          <w:rFonts w:ascii="Arial" w:hAnsi="Arial" w:cs="Arial"/>
          <w:i/>
          <w:sz w:val="18"/>
          <w:szCs w:val="18"/>
        </w:rPr>
        <w:t> </w:t>
      </w:r>
    </w:p>
    <w:p w14:paraId="68854478" w14:textId="77777777" w:rsidR="00321689" w:rsidRPr="00AB0C16" w:rsidRDefault="00321689" w:rsidP="00AB0C16">
      <w:pPr>
        <w:shd w:val="clear" w:color="auto" w:fill="FFFFFF"/>
        <w:ind w:left="567"/>
        <w:jc w:val="both"/>
        <w:rPr>
          <w:rFonts w:ascii="Arial" w:hAnsi="Arial" w:cs="Arial"/>
          <w:b/>
          <w:bCs/>
          <w:i/>
          <w:color w:val="181717"/>
          <w:sz w:val="18"/>
          <w:szCs w:val="18"/>
        </w:rPr>
      </w:pPr>
      <w:r w:rsidRPr="00AB0C16">
        <w:rPr>
          <w:rFonts w:ascii="Arial" w:hAnsi="Arial" w:cs="Arial"/>
          <w:i/>
          <w:color w:val="181717"/>
          <w:sz w:val="18"/>
          <w:szCs w:val="18"/>
        </w:rPr>
        <w:t>4.3.2 </w:t>
      </w:r>
      <w:r w:rsidRPr="00AB0C16">
        <w:rPr>
          <w:rFonts w:ascii="Arial" w:hAnsi="Arial" w:cs="Arial"/>
          <w:i/>
          <w:sz w:val="18"/>
          <w:szCs w:val="18"/>
        </w:rPr>
        <w:t>Promedio del monto de recuperación de cartera por concepto de venta de servicios de salud en las tres (3) últimas vigencias. Cuando el tiempo de operación del prestador sea inferior a tres (3) años, se tendrá en cuenta todo el período en el que haya prestado servicios de salud</w:t>
      </w:r>
      <w:r w:rsidRPr="00AB0C16">
        <w:rPr>
          <w:rFonts w:ascii="Arial" w:hAnsi="Arial" w:cs="Arial"/>
          <w:b/>
          <w:bCs/>
          <w:i/>
          <w:color w:val="181717"/>
          <w:sz w:val="18"/>
          <w:szCs w:val="18"/>
        </w:rPr>
        <w:t>.”</w:t>
      </w:r>
    </w:p>
    <w:p w14:paraId="5BA090D9" w14:textId="77777777" w:rsidR="00321689" w:rsidRDefault="00321689" w:rsidP="00321689">
      <w:pPr>
        <w:jc w:val="both"/>
        <w:rPr>
          <w:rFonts w:ascii="Verdana" w:hAnsi="Verdana" w:cs="Arial"/>
          <w:sz w:val="21"/>
          <w:szCs w:val="21"/>
        </w:rPr>
      </w:pPr>
    </w:p>
    <w:p w14:paraId="39E1CC32" w14:textId="77777777" w:rsidR="00321689" w:rsidRDefault="00321689" w:rsidP="00321689">
      <w:pPr>
        <w:pStyle w:val="Prrafodelista"/>
        <w:numPr>
          <w:ilvl w:val="3"/>
          <w:numId w:val="18"/>
        </w:numPr>
        <w:ind w:left="851"/>
        <w:jc w:val="both"/>
        <w:rPr>
          <w:rFonts w:ascii="Verdana" w:hAnsi="Verdana" w:cs="Arial"/>
          <w:sz w:val="21"/>
          <w:szCs w:val="21"/>
        </w:rPr>
      </w:pPr>
      <w:r>
        <w:rPr>
          <w:rFonts w:ascii="Verdana" w:hAnsi="Verdana" w:cs="Arial"/>
          <w:b/>
          <w:sz w:val="21"/>
          <w:szCs w:val="21"/>
        </w:rPr>
        <w:t>Evaluación de la reorganización de la Red Pública de Prestadores viabilizada por el MSPS</w:t>
      </w:r>
    </w:p>
    <w:p w14:paraId="26635B34" w14:textId="77777777" w:rsidR="00321689" w:rsidRDefault="00321689" w:rsidP="00321689">
      <w:pPr>
        <w:ind w:left="491"/>
        <w:jc w:val="both"/>
        <w:rPr>
          <w:rFonts w:ascii="Verdana" w:hAnsi="Verdana" w:cs="Arial"/>
          <w:sz w:val="21"/>
          <w:szCs w:val="21"/>
        </w:rPr>
      </w:pPr>
    </w:p>
    <w:p w14:paraId="4CAEA6D7" w14:textId="77777777" w:rsidR="00321689" w:rsidRDefault="00321689" w:rsidP="00321689">
      <w:pPr>
        <w:autoSpaceDE w:val="0"/>
        <w:autoSpaceDN w:val="0"/>
        <w:adjustRightInd w:val="0"/>
        <w:jc w:val="both"/>
        <w:rPr>
          <w:rFonts w:ascii="Verdana" w:hAnsi="Verdana" w:cs="Arial"/>
          <w:sz w:val="21"/>
          <w:szCs w:val="21"/>
        </w:rPr>
      </w:pPr>
      <w:r>
        <w:rPr>
          <w:rFonts w:ascii="Verdana" w:hAnsi="Verdana" w:cs="Arial"/>
          <w:sz w:val="21"/>
          <w:szCs w:val="21"/>
        </w:rPr>
        <w:t>La red del Departamento del Cesar fue viabilizada por el Ministerio de Salud y Protección Social el 11 de junio de 2014 con el oficio No 201423100837511</w:t>
      </w:r>
      <w:r w:rsidR="000E15EE">
        <w:rPr>
          <w:rFonts w:ascii="Verdana" w:hAnsi="Verdana" w:cs="Arial"/>
          <w:sz w:val="21"/>
          <w:szCs w:val="21"/>
        </w:rPr>
        <w:t>. L</w:t>
      </w:r>
      <w:r>
        <w:rPr>
          <w:rFonts w:ascii="Verdana" w:hAnsi="Verdana" w:cs="Arial"/>
          <w:sz w:val="21"/>
          <w:szCs w:val="21"/>
        </w:rPr>
        <w:t>a Red Pública hospitalaria la conforma 28 Empresas Social del Estado - ESE, 24 de carácter Municipal y 4 departamental.</w:t>
      </w:r>
    </w:p>
    <w:p w14:paraId="634374D9" w14:textId="77777777" w:rsidR="00321689" w:rsidRDefault="00321689" w:rsidP="00321689">
      <w:pPr>
        <w:autoSpaceDE w:val="0"/>
        <w:autoSpaceDN w:val="0"/>
        <w:adjustRightInd w:val="0"/>
        <w:jc w:val="both"/>
        <w:rPr>
          <w:rFonts w:ascii="Verdana" w:hAnsi="Verdana" w:cs="Arial"/>
          <w:sz w:val="21"/>
          <w:szCs w:val="21"/>
        </w:rPr>
      </w:pPr>
    </w:p>
    <w:p w14:paraId="2DE69481" w14:textId="77777777" w:rsidR="00321689" w:rsidRDefault="00321689" w:rsidP="00321689">
      <w:pPr>
        <w:autoSpaceDE w:val="0"/>
        <w:autoSpaceDN w:val="0"/>
        <w:adjustRightInd w:val="0"/>
        <w:jc w:val="both"/>
        <w:rPr>
          <w:rFonts w:ascii="Verdana" w:hAnsi="Verdana" w:cs="Arial"/>
          <w:sz w:val="21"/>
          <w:szCs w:val="21"/>
        </w:rPr>
      </w:pPr>
      <w:r>
        <w:rPr>
          <w:rFonts w:ascii="Verdana" w:hAnsi="Verdana" w:cs="Arial"/>
          <w:sz w:val="21"/>
          <w:szCs w:val="21"/>
        </w:rPr>
        <w:t>En el Departamento del Cesar existen 365 Instituciones de Salud, el 80,82%</w:t>
      </w:r>
      <w:r w:rsidR="00AA0DED">
        <w:rPr>
          <w:rFonts w:ascii="Verdana" w:hAnsi="Verdana" w:cs="Arial"/>
          <w:sz w:val="21"/>
          <w:szCs w:val="21"/>
        </w:rPr>
        <w:t xml:space="preserve"> </w:t>
      </w:r>
      <w:r>
        <w:rPr>
          <w:rFonts w:ascii="Verdana" w:hAnsi="Verdana" w:cs="Arial"/>
          <w:sz w:val="21"/>
          <w:szCs w:val="21"/>
        </w:rPr>
        <w:t>(295) privadas, y el 19,18% (35) públicas</w:t>
      </w:r>
      <w:r>
        <w:rPr>
          <w:rStyle w:val="Refdenotaalpie"/>
          <w:rFonts w:ascii="Verdana" w:hAnsi="Verdana" w:cs="Arial"/>
          <w:sz w:val="21"/>
          <w:szCs w:val="21"/>
        </w:rPr>
        <w:footnoteReference w:id="4"/>
      </w:r>
      <w:r>
        <w:rPr>
          <w:rFonts w:ascii="Verdana" w:hAnsi="Verdana" w:cs="Arial"/>
          <w:sz w:val="21"/>
          <w:szCs w:val="21"/>
        </w:rPr>
        <w:t xml:space="preserve">; se encuentran inscritos 381 profesionales de la salud como independientes. En la Red Pública hay disponibles 757 camas hospitalarias al 2013, 397 de primer nivel y 360 en segundo nivel. La red se </w:t>
      </w:r>
      <w:r>
        <w:rPr>
          <w:rFonts w:ascii="Verdana" w:hAnsi="Verdana" w:cs="Arial"/>
          <w:sz w:val="21"/>
          <w:szCs w:val="21"/>
        </w:rPr>
        <w:lastRenderedPageBreak/>
        <w:t>encuentra conformada por tres redes</w:t>
      </w:r>
      <w:r w:rsidR="00AA0DED">
        <w:rPr>
          <w:rFonts w:ascii="Verdana" w:hAnsi="Verdana" w:cs="Arial"/>
          <w:sz w:val="21"/>
          <w:szCs w:val="21"/>
        </w:rPr>
        <w:t>:</w:t>
      </w:r>
      <w:r>
        <w:rPr>
          <w:rFonts w:ascii="Verdana" w:hAnsi="Verdana" w:cs="Arial"/>
          <w:sz w:val="21"/>
          <w:szCs w:val="21"/>
        </w:rPr>
        <w:t xml:space="preserve"> la Norte, Centro y Sur, que funciona</w:t>
      </w:r>
      <w:r w:rsidR="0074047A">
        <w:rPr>
          <w:rFonts w:ascii="Verdana" w:hAnsi="Verdana" w:cs="Arial"/>
          <w:sz w:val="21"/>
          <w:szCs w:val="21"/>
        </w:rPr>
        <w:t>n</w:t>
      </w:r>
      <w:r>
        <w:rPr>
          <w:rFonts w:ascii="Verdana" w:hAnsi="Verdana" w:cs="Arial"/>
          <w:sz w:val="21"/>
          <w:szCs w:val="21"/>
        </w:rPr>
        <w:t xml:space="preserve"> en la actualidad de la siguiente forma:</w:t>
      </w:r>
    </w:p>
    <w:p w14:paraId="01DBF361" w14:textId="77777777" w:rsidR="00321689" w:rsidRDefault="00321689" w:rsidP="00321689">
      <w:pPr>
        <w:autoSpaceDE w:val="0"/>
        <w:autoSpaceDN w:val="0"/>
        <w:adjustRightInd w:val="0"/>
        <w:jc w:val="both"/>
        <w:rPr>
          <w:rFonts w:ascii="Verdana" w:hAnsi="Verdana" w:cs="Arial"/>
          <w:sz w:val="21"/>
          <w:szCs w:val="21"/>
        </w:rPr>
      </w:pPr>
    </w:p>
    <w:p w14:paraId="6E1493E5" w14:textId="77777777" w:rsidR="00321689" w:rsidRDefault="00321689" w:rsidP="00321689">
      <w:pPr>
        <w:autoSpaceDE w:val="0"/>
        <w:autoSpaceDN w:val="0"/>
        <w:adjustRightInd w:val="0"/>
        <w:jc w:val="both"/>
        <w:rPr>
          <w:rFonts w:ascii="Verdana" w:hAnsi="Verdana" w:cs="Arial"/>
          <w:sz w:val="21"/>
          <w:szCs w:val="21"/>
        </w:rPr>
      </w:pPr>
      <w:r>
        <w:rPr>
          <w:rFonts w:ascii="Verdana" w:hAnsi="Verdana" w:cs="Arial"/>
          <w:sz w:val="21"/>
          <w:szCs w:val="21"/>
        </w:rPr>
        <w:t>Red Norte. Esta red de prestadores de servicios, cuenta con 13 Instituciones de las cuales 11 de Baja Complejidad (7 tipo C y 4 tipo B), una de Mediana Complejidad, el IDREEC (caracterizada así no por su tamaño sino por la especialidad de los servicios que presta), y una de Mediana Alta Complejidad, el Hospital Rosario Pumarejo de López.</w:t>
      </w:r>
    </w:p>
    <w:p w14:paraId="267AB939" w14:textId="77777777" w:rsidR="00321689" w:rsidRDefault="00321689" w:rsidP="00321689">
      <w:pPr>
        <w:autoSpaceDE w:val="0"/>
        <w:autoSpaceDN w:val="0"/>
        <w:adjustRightInd w:val="0"/>
        <w:jc w:val="both"/>
        <w:rPr>
          <w:rFonts w:ascii="Verdana" w:hAnsi="Verdana" w:cs="Arial"/>
          <w:sz w:val="21"/>
          <w:szCs w:val="21"/>
        </w:rPr>
      </w:pPr>
    </w:p>
    <w:p w14:paraId="4D208205" w14:textId="77777777" w:rsidR="00321689" w:rsidRDefault="00321689" w:rsidP="00321689">
      <w:pPr>
        <w:autoSpaceDE w:val="0"/>
        <w:autoSpaceDN w:val="0"/>
        <w:adjustRightInd w:val="0"/>
        <w:jc w:val="both"/>
        <w:rPr>
          <w:rFonts w:ascii="Verdana" w:hAnsi="Verdana" w:cs="Arial"/>
          <w:sz w:val="21"/>
          <w:szCs w:val="21"/>
        </w:rPr>
      </w:pPr>
      <w:r>
        <w:rPr>
          <w:rFonts w:ascii="Verdana" w:hAnsi="Verdana" w:cs="Arial"/>
          <w:sz w:val="21"/>
          <w:szCs w:val="21"/>
        </w:rPr>
        <w:t>Red Centro</w:t>
      </w:r>
      <w:r w:rsidR="0074047A">
        <w:rPr>
          <w:rFonts w:ascii="Verdana" w:hAnsi="Verdana" w:cs="Arial"/>
          <w:sz w:val="21"/>
          <w:szCs w:val="21"/>
        </w:rPr>
        <w:t>.</w:t>
      </w:r>
      <w:r>
        <w:rPr>
          <w:rFonts w:ascii="Verdana" w:hAnsi="Verdana" w:cs="Arial"/>
          <w:sz w:val="21"/>
          <w:szCs w:val="21"/>
        </w:rPr>
        <w:t xml:space="preserve"> En esta Red se encuentra como Institución de Mediana Complejidad el Hospital de San Andrés de Chiriguaná, así como las IPS de Baja Complejidad que conforman geográficamente la subred.</w:t>
      </w:r>
    </w:p>
    <w:p w14:paraId="7328CA23" w14:textId="77777777" w:rsidR="00321689" w:rsidRDefault="00321689" w:rsidP="00321689">
      <w:pPr>
        <w:autoSpaceDE w:val="0"/>
        <w:autoSpaceDN w:val="0"/>
        <w:adjustRightInd w:val="0"/>
        <w:jc w:val="both"/>
        <w:rPr>
          <w:rFonts w:ascii="Calibri" w:hAnsi="Calibri" w:cs="Calibri"/>
          <w:sz w:val="22"/>
          <w:szCs w:val="22"/>
        </w:rPr>
      </w:pPr>
    </w:p>
    <w:p w14:paraId="7EDF9620" w14:textId="77777777" w:rsidR="00321689" w:rsidRDefault="00321689" w:rsidP="00321689">
      <w:pPr>
        <w:autoSpaceDE w:val="0"/>
        <w:autoSpaceDN w:val="0"/>
        <w:adjustRightInd w:val="0"/>
        <w:jc w:val="both"/>
        <w:rPr>
          <w:rFonts w:ascii="Verdana" w:hAnsi="Verdana" w:cs="Arial"/>
          <w:sz w:val="21"/>
          <w:szCs w:val="21"/>
        </w:rPr>
      </w:pPr>
      <w:r>
        <w:rPr>
          <w:rFonts w:ascii="Verdana" w:hAnsi="Verdana" w:cs="Arial"/>
          <w:sz w:val="21"/>
          <w:szCs w:val="21"/>
        </w:rPr>
        <w:t>Red Sur</w:t>
      </w:r>
      <w:r w:rsidR="008B7EE3">
        <w:rPr>
          <w:rFonts w:ascii="Verdana" w:hAnsi="Verdana" w:cs="Arial"/>
          <w:sz w:val="21"/>
          <w:szCs w:val="21"/>
        </w:rPr>
        <w:t>.</w:t>
      </w:r>
      <w:r>
        <w:rPr>
          <w:rFonts w:ascii="Verdana" w:hAnsi="Verdana" w:cs="Arial"/>
          <w:sz w:val="21"/>
          <w:szCs w:val="21"/>
        </w:rPr>
        <w:t xml:space="preserve"> Esta Red está conformada por un importante número de instituciones, la gran mayoría de Primer Nivel de Atención, y cuenta como Institución de Mediana Complejidad con el Hospital José David Padilla Villafañe de Aguachica que tiene gran importancia geográfica dentro del Departamento al ser el hospital de referencia para los servicios de mediana complejidad de esta amplia zona.</w:t>
      </w:r>
    </w:p>
    <w:p w14:paraId="628F3BBD" w14:textId="77777777" w:rsidR="00321689" w:rsidRDefault="00321689" w:rsidP="00321689">
      <w:pPr>
        <w:autoSpaceDE w:val="0"/>
        <w:autoSpaceDN w:val="0"/>
        <w:adjustRightInd w:val="0"/>
        <w:jc w:val="both"/>
        <w:rPr>
          <w:rFonts w:ascii="Calibri" w:hAnsi="Calibri" w:cs="Calibri"/>
          <w:sz w:val="22"/>
          <w:szCs w:val="22"/>
        </w:rPr>
      </w:pPr>
    </w:p>
    <w:p w14:paraId="2BF3B414" w14:textId="77777777" w:rsidR="00321689" w:rsidRDefault="00321689" w:rsidP="00321689">
      <w:pPr>
        <w:autoSpaceDE w:val="0"/>
        <w:autoSpaceDN w:val="0"/>
        <w:adjustRightInd w:val="0"/>
        <w:jc w:val="both"/>
        <w:rPr>
          <w:rFonts w:ascii="Verdana" w:hAnsi="Verdana" w:cs="Arial"/>
          <w:sz w:val="21"/>
          <w:szCs w:val="21"/>
        </w:rPr>
      </w:pPr>
      <w:r>
        <w:rPr>
          <w:rFonts w:ascii="Verdana" w:hAnsi="Verdana" w:cs="Arial"/>
          <w:sz w:val="21"/>
          <w:szCs w:val="21"/>
        </w:rPr>
        <w:t xml:space="preserve">El Departamento del Cesar no cuenta con una institución especializada para el manejo de los servicios de Salud Mental. Sin embargo, los Hospitales José David Padilla Villafañe de Aguachica, centro de referencia de servicios de mediana complejidad del sur del Departamento, y el Rosario Pumarejo de López, que es la institución de mediana complejidad para la región norte y de alta complejidad para todo el Departamento, cuentan con pabellones para el manejo de estas enfermedades, y allí son remitidos los pacientes que requieren este tipo de servicios. </w:t>
      </w:r>
    </w:p>
    <w:p w14:paraId="3F5024C1" w14:textId="77777777" w:rsidR="00321689" w:rsidRDefault="00321689" w:rsidP="00321689">
      <w:pPr>
        <w:autoSpaceDE w:val="0"/>
        <w:autoSpaceDN w:val="0"/>
        <w:adjustRightInd w:val="0"/>
        <w:jc w:val="both"/>
        <w:rPr>
          <w:rFonts w:ascii="Verdana" w:hAnsi="Verdana" w:cs="Arial"/>
          <w:sz w:val="21"/>
          <w:szCs w:val="21"/>
        </w:rPr>
      </w:pPr>
    </w:p>
    <w:p w14:paraId="009ED084" w14:textId="77777777" w:rsidR="00321689" w:rsidRDefault="00321689" w:rsidP="00321689">
      <w:pPr>
        <w:autoSpaceDE w:val="0"/>
        <w:autoSpaceDN w:val="0"/>
        <w:adjustRightInd w:val="0"/>
        <w:jc w:val="both"/>
        <w:rPr>
          <w:rFonts w:ascii="Verdana" w:hAnsi="Verdana" w:cs="Arial"/>
          <w:sz w:val="21"/>
          <w:szCs w:val="21"/>
        </w:rPr>
      </w:pPr>
      <w:r>
        <w:rPr>
          <w:rFonts w:ascii="Verdana" w:hAnsi="Verdana" w:cs="Arial"/>
          <w:sz w:val="21"/>
          <w:szCs w:val="21"/>
        </w:rPr>
        <w:t>Adicionalmente, el Departamento remite, para los casos que son necesarios y que no pueden ser atendidos en estas instituciones, a los hospitales especializados en los Departamentos de Atlántico y de Santander, con los cuales hay acuerdo para la atención de urgencias por evento.</w:t>
      </w:r>
    </w:p>
    <w:p w14:paraId="67B2079B" w14:textId="77777777" w:rsidR="00321689" w:rsidRDefault="00321689" w:rsidP="00321689">
      <w:pPr>
        <w:autoSpaceDE w:val="0"/>
        <w:autoSpaceDN w:val="0"/>
        <w:adjustRightInd w:val="0"/>
        <w:jc w:val="both"/>
        <w:rPr>
          <w:rFonts w:ascii="Verdana" w:hAnsi="Verdana" w:cs="Arial"/>
          <w:sz w:val="21"/>
          <w:szCs w:val="21"/>
        </w:rPr>
      </w:pPr>
    </w:p>
    <w:p w14:paraId="33DAB33B" w14:textId="77777777" w:rsidR="00321689" w:rsidRDefault="00321689" w:rsidP="00321689">
      <w:pPr>
        <w:autoSpaceDE w:val="0"/>
        <w:autoSpaceDN w:val="0"/>
        <w:adjustRightInd w:val="0"/>
        <w:jc w:val="both"/>
        <w:rPr>
          <w:rFonts w:ascii="Verdana" w:hAnsi="Verdana" w:cs="Arial"/>
          <w:sz w:val="21"/>
          <w:szCs w:val="21"/>
        </w:rPr>
      </w:pPr>
      <w:r>
        <w:rPr>
          <w:rFonts w:ascii="Verdana" w:hAnsi="Verdana" w:cs="Arial"/>
          <w:sz w:val="21"/>
          <w:szCs w:val="21"/>
        </w:rPr>
        <w:t>Por lo anterior, se concluye que el Departamento cuenta con un documento de Red aprobado por el Ministerio de Salud y Protección Social en el que se puede evidenciar que se avanza en la reorganización e implementación de la propuesta de rediseño y modernización de la Red, a través de la diferenciación de las ESE por su situación financiera, criterios habilitantes que le permitieron identificar instituciones que en sus estados financieros guardaran equilibrio entre el ingreso recaudado y el gasto; planta de personal administrativa y asistencial acorde con los servicios, su producción y el nivel de complejidad.</w:t>
      </w:r>
    </w:p>
    <w:p w14:paraId="681AAF47" w14:textId="77777777" w:rsidR="00321689" w:rsidRDefault="00321689" w:rsidP="00321689">
      <w:pPr>
        <w:autoSpaceDE w:val="0"/>
        <w:autoSpaceDN w:val="0"/>
        <w:adjustRightInd w:val="0"/>
        <w:jc w:val="both"/>
        <w:rPr>
          <w:rFonts w:ascii="Verdana" w:hAnsi="Verdana" w:cs="Arial"/>
          <w:sz w:val="21"/>
          <w:szCs w:val="21"/>
        </w:rPr>
      </w:pPr>
    </w:p>
    <w:p w14:paraId="62C3369E" w14:textId="77777777" w:rsidR="00321689" w:rsidRDefault="00321689" w:rsidP="00321689">
      <w:pPr>
        <w:pStyle w:val="Default"/>
        <w:jc w:val="both"/>
        <w:rPr>
          <w:rFonts w:ascii="Verdana" w:eastAsia="MS Mincho" w:hAnsi="Verdana"/>
          <w:color w:val="auto"/>
          <w:sz w:val="21"/>
          <w:szCs w:val="21"/>
          <w:lang w:val="es-ES" w:eastAsia="es-ES"/>
        </w:rPr>
      </w:pPr>
      <w:r>
        <w:rPr>
          <w:rFonts w:ascii="Verdana" w:eastAsia="MS Mincho" w:hAnsi="Verdana"/>
          <w:color w:val="auto"/>
          <w:sz w:val="21"/>
          <w:szCs w:val="21"/>
          <w:lang w:val="es-ES" w:eastAsia="es-ES"/>
        </w:rPr>
        <w:t>En relación con el informe elaborado por la DAF de la vigencia 2022, sobre la aprobación de los PSFF y los avances de las instituciones que tiene en ejecución PSFF se tiene:</w:t>
      </w:r>
    </w:p>
    <w:p w14:paraId="761346F4" w14:textId="77777777" w:rsidR="00321689" w:rsidRDefault="00321689" w:rsidP="00321689">
      <w:pPr>
        <w:pStyle w:val="Default"/>
        <w:jc w:val="both"/>
        <w:rPr>
          <w:rFonts w:ascii="Verdana" w:eastAsia="MS Mincho" w:hAnsi="Verdana"/>
          <w:color w:val="auto"/>
          <w:sz w:val="21"/>
          <w:szCs w:val="21"/>
          <w:lang w:val="es-ES" w:eastAsia="es-ES"/>
        </w:rPr>
      </w:pPr>
    </w:p>
    <w:p w14:paraId="5C95ECA2" w14:textId="77777777" w:rsidR="00321689" w:rsidRPr="00AB0C16" w:rsidRDefault="00321689" w:rsidP="00AB0C16">
      <w:pPr>
        <w:pStyle w:val="Default"/>
        <w:ind w:left="567"/>
        <w:jc w:val="both"/>
        <w:rPr>
          <w:rFonts w:ascii="Verdana" w:eastAsia="MS Mincho" w:hAnsi="Verdana"/>
          <w:i/>
          <w:color w:val="auto"/>
          <w:sz w:val="18"/>
          <w:szCs w:val="18"/>
          <w:lang w:val="es-ES" w:eastAsia="es-ES"/>
        </w:rPr>
      </w:pPr>
      <w:r w:rsidRPr="00AB0C16">
        <w:rPr>
          <w:rFonts w:ascii="Verdana" w:eastAsia="MS Mincho" w:hAnsi="Verdana"/>
          <w:i/>
          <w:color w:val="auto"/>
          <w:sz w:val="18"/>
          <w:szCs w:val="18"/>
          <w:lang w:val="es-ES" w:eastAsia="es-ES"/>
        </w:rPr>
        <w:t>“[…] A 31 de diciembre de 2022, el 3.57% (1 ESE) de la red pública hospitalaria, cuentan con un Programa viabilizado y es sujeta de evaluación por parte de este Ministerio. A continuación, se relacionan las ESE cuyo Programa fue viabilizado en diciembre de 2022, y no son sujetas de evaluación por parte de este Ministerio, Estas ESE son:</w:t>
      </w:r>
    </w:p>
    <w:p w14:paraId="7EA3F590" w14:textId="77777777" w:rsidR="00321689" w:rsidRPr="00AB0C16" w:rsidRDefault="00321689" w:rsidP="00AB0C16">
      <w:pPr>
        <w:pStyle w:val="Default"/>
        <w:ind w:left="567"/>
        <w:jc w:val="both"/>
        <w:rPr>
          <w:rFonts w:ascii="Verdana" w:eastAsia="MS Mincho" w:hAnsi="Verdana"/>
          <w:i/>
          <w:iCs/>
          <w:color w:val="auto"/>
          <w:sz w:val="18"/>
          <w:szCs w:val="18"/>
          <w:lang w:val="es-ES" w:eastAsia="es-ES"/>
        </w:rPr>
      </w:pPr>
    </w:p>
    <w:p w14:paraId="73109909" w14:textId="77777777" w:rsidR="00321689" w:rsidRPr="00AB0C16" w:rsidRDefault="00321689" w:rsidP="00AB0C16">
      <w:pPr>
        <w:pStyle w:val="Default"/>
        <w:ind w:left="567"/>
        <w:jc w:val="both"/>
        <w:rPr>
          <w:rFonts w:ascii="Verdana" w:eastAsia="MS Mincho" w:hAnsi="Verdana"/>
          <w:i/>
          <w:iCs/>
          <w:color w:val="auto"/>
          <w:sz w:val="18"/>
          <w:szCs w:val="18"/>
          <w:lang w:val="es-ES" w:eastAsia="es-ES"/>
        </w:rPr>
      </w:pPr>
      <w:r w:rsidRPr="00AB0C16">
        <w:rPr>
          <w:rFonts w:ascii="Verdana" w:eastAsia="MS Mincho" w:hAnsi="Verdana"/>
          <w:i/>
          <w:iCs/>
          <w:color w:val="auto"/>
          <w:sz w:val="18"/>
          <w:szCs w:val="18"/>
          <w:lang w:val="es-ES" w:eastAsia="es-ES"/>
        </w:rPr>
        <w:t xml:space="preserve">1. HOSPITAL SAN JOSÉ ESE de la Gloria, </w:t>
      </w:r>
    </w:p>
    <w:p w14:paraId="5ECBD4B2" w14:textId="77777777" w:rsidR="00321689" w:rsidRPr="00AB0C16" w:rsidRDefault="00321689" w:rsidP="00AB0C16">
      <w:pPr>
        <w:pStyle w:val="Default"/>
        <w:ind w:left="567"/>
        <w:jc w:val="both"/>
        <w:rPr>
          <w:rFonts w:ascii="Verdana" w:eastAsia="MS Mincho" w:hAnsi="Verdana"/>
          <w:i/>
          <w:iCs/>
          <w:color w:val="auto"/>
          <w:sz w:val="18"/>
          <w:szCs w:val="18"/>
          <w:lang w:val="es-ES" w:eastAsia="es-ES"/>
        </w:rPr>
      </w:pPr>
      <w:r w:rsidRPr="00AB0C16">
        <w:rPr>
          <w:rFonts w:ascii="Verdana" w:eastAsia="MS Mincho" w:hAnsi="Verdana"/>
          <w:i/>
          <w:iCs/>
          <w:color w:val="auto"/>
          <w:sz w:val="18"/>
          <w:szCs w:val="18"/>
          <w:lang w:val="es-ES" w:eastAsia="es-ES"/>
        </w:rPr>
        <w:t>2. ESE HOSPITAL FRANCISCO CANOSA – Pelayo.</w:t>
      </w:r>
    </w:p>
    <w:p w14:paraId="4CAB9631" w14:textId="77777777" w:rsidR="00321689" w:rsidRPr="00AB0C16" w:rsidRDefault="00321689" w:rsidP="00AB0C16">
      <w:pPr>
        <w:pStyle w:val="Default"/>
        <w:ind w:left="567"/>
        <w:jc w:val="both"/>
        <w:rPr>
          <w:rFonts w:ascii="Verdana" w:eastAsia="MS Mincho" w:hAnsi="Verdana"/>
          <w:i/>
          <w:iCs/>
          <w:color w:val="auto"/>
          <w:sz w:val="18"/>
          <w:szCs w:val="18"/>
          <w:lang w:val="es-ES" w:eastAsia="es-ES"/>
        </w:rPr>
      </w:pPr>
      <w:r w:rsidRPr="00AB0C16">
        <w:rPr>
          <w:rFonts w:ascii="Verdana" w:eastAsia="MS Mincho" w:hAnsi="Verdana"/>
          <w:i/>
          <w:iCs/>
          <w:color w:val="auto"/>
          <w:sz w:val="18"/>
          <w:szCs w:val="18"/>
          <w:lang w:val="es-ES" w:eastAsia="es-ES"/>
        </w:rPr>
        <w:t xml:space="preserve">3.INSTITUTO DEPARTAMENTAL DE REHABILITACION Y EDUCACION ESPECIAL IDREEC – Valledupar. </w:t>
      </w:r>
    </w:p>
    <w:p w14:paraId="6DADB45C" w14:textId="77777777" w:rsidR="00321689" w:rsidRPr="00AB0C16" w:rsidRDefault="00321689" w:rsidP="00AB0C16">
      <w:pPr>
        <w:pStyle w:val="Default"/>
        <w:ind w:left="567"/>
        <w:jc w:val="both"/>
        <w:rPr>
          <w:rFonts w:ascii="Verdana" w:eastAsia="MS Mincho" w:hAnsi="Verdana"/>
          <w:color w:val="auto"/>
          <w:sz w:val="18"/>
          <w:szCs w:val="18"/>
          <w:lang w:val="es-ES" w:eastAsia="es-ES"/>
        </w:rPr>
      </w:pPr>
    </w:p>
    <w:p w14:paraId="3BED101A" w14:textId="77777777" w:rsidR="00321689" w:rsidRPr="00AB0C16" w:rsidRDefault="00321689" w:rsidP="00AB0C16">
      <w:pPr>
        <w:pStyle w:val="Default"/>
        <w:ind w:left="567"/>
        <w:jc w:val="both"/>
        <w:rPr>
          <w:rFonts w:ascii="Verdana" w:eastAsia="MS Mincho" w:hAnsi="Verdana"/>
          <w:i/>
          <w:color w:val="auto"/>
          <w:sz w:val="18"/>
          <w:szCs w:val="18"/>
          <w:lang w:val="es-ES" w:eastAsia="es-ES"/>
        </w:rPr>
      </w:pPr>
      <w:r w:rsidRPr="00AB0C16">
        <w:rPr>
          <w:rFonts w:ascii="Verdana" w:eastAsia="MS Mincho" w:hAnsi="Verdana"/>
          <w:i/>
          <w:color w:val="auto"/>
          <w:sz w:val="18"/>
          <w:szCs w:val="18"/>
          <w:lang w:val="es-ES" w:eastAsia="es-ES"/>
        </w:rPr>
        <w:t>Al periodo de corte del presente informe, los Programas de las siguientes ESE se encontraban en proceso de viabilidad:</w:t>
      </w:r>
    </w:p>
    <w:p w14:paraId="108F97D4" w14:textId="77777777" w:rsidR="00321689" w:rsidRPr="00AB0C16" w:rsidRDefault="00321689" w:rsidP="00AB0C16">
      <w:pPr>
        <w:pStyle w:val="Default"/>
        <w:ind w:left="567"/>
        <w:jc w:val="both"/>
        <w:rPr>
          <w:rFonts w:ascii="Verdana" w:eastAsia="MS Mincho" w:hAnsi="Verdana"/>
          <w:i/>
          <w:color w:val="auto"/>
          <w:sz w:val="18"/>
          <w:szCs w:val="18"/>
          <w:lang w:val="es-ES" w:eastAsia="es-ES"/>
        </w:rPr>
      </w:pPr>
    </w:p>
    <w:p w14:paraId="6FC06672" w14:textId="77777777" w:rsidR="00321689" w:rsidRPr="00AB0C16" w:rsidRDefault="00321689" w:rsidP="00AB0C16">
      <w:pPr>
        <w:pStyle w:val="Default"/>
        <w:numPr>
          <w:ilvl w:val="0"/>
          <w:numId w:val="13"/>
        </w:numPr>
        <w:ind w:left="567" w:firstLine="0"/>
        <w:contextualSpacing/>
        <w:jc w:val="both"/>
        <w:rPr>
          <w:rFonts w:ascii="Verdana" w:eastAsia="MS Mincho" w:hAnsi="Verdana"/>
          <w:i/>
          <w:color w:val="auto"/>
          <w:sz w:val="18"/>
          <w:szCs w:val="18"/>
          <w:lang w:val="es-ES" w:eastAsia="es-ES"/>
        </w:rPr>
      </w:pPr>
      <w:r w:rsidRPr="00AB0C16">
        <w:rPr>
          <w:rFonts w:ascii="Verdana" w:eastAsia="MS Mincho" w:hAnsi="Verdana"/>
          <w:i/>
          <w:color w:val="auto"/>
          <w:sz w:val="18"/>
          <w:szCs w:val="18"/>
          <w:lang w:val="es-ES" w:eastAsia="es-ES"/>
        </w:rPr>
        <w:t>ESE HOSPITAL TAMALAMEQUE – Tamalameque.”</w:t>
      </w:r>
    </w:p>
    <w:p w14:paraId="432719BA" w14:textId="77777777" w:rsidR="00321689" w:rsidRPr="00AB0C16" w:rsidRDefault="00321689" w:rsidP="00AB0C16">
      <w:pPr>
        <w:pStyle w:val="Default"/>
        <w:ind w:left="567"/>
        <w:jc w:val="both"/>
        <w:rPr>
          <w:rFonts w:ascii="Verdana" w:eastAsia="MS Mincho" w:hAnsi="Verdana"/>
          <w:color w:val="auto"/>
          <w:sz w:val="18"/>
          <w:szCs w:val="18"/>
          <w:lang w:val="es-ES" w:eastAsia="es-ES"/>
        </w:rPr>
      </w:pPr>
    </w:p>
    <w:p w14:paraId="4E12C737" w14:textId="77777777" w:rsidR="00321689" w:rsidRPr="00AB0C16" w:rsidRDefault="00321689" w:rsidP="00AB0C16">
      <w:pPr>
        <w:pStyle w:val="Default"/>
        <w:ind w:left="567"/>
        <w:jc w:val="both"/>
        <w:rPr>
          <w:rFonts w:ascii="Verdana" w:eastAsia="MS Mincho" w:hAnsi="Verdana"/>
          <w:color w:val="auto"/>
          <w:sz w:val="18"/>
          <w:szCs w:val="18"/>
          <w:lang w:val="es-ES" w:eastAsia="es-ES"/>
        </w:rPr>
      </w:pPr>
      <w:r w:rsidRPr="00AB0C16">
        <w:rPr>
          <w:rFonts w:ascii="Verdana" w:eastAsia="MS Mincho" w:hAnsi="Verdana"/>
          <w:color w:val="auto"/>
          <w:sz w:val="18"/>
          <w:szCs w:val="18"/>
          <w:lang w:val="es-ES" w:eastAsia="es-ES"/>
        </w:rPr>
        <w:t>Por último, el informe concluye:</w:t>
      </w:r>
    </w:p>
    <w:p w14:paraId="4171703B" w14:textId="77777777" w:rsidR="00321689" w:rsidRPr="00AB0C16" w:rsidRDefault="00321689" w:rsidP="00AB0C16">
      <w:pPr>
        <w:autoSpaceDE w:val="0"/>
        <w:autoSpaceDN w:val="0"/>
        <w:adjustRightInd w:val="0"/>
        <w:ind w:left="567"/>
        <w:jc w:val="both"/>
        <w:rPr>
          <w:rFonts w:ascii="Verdana" w:eastAsiaTheme="minorHAnsi" w:hAnsi="Verdana" w:cs="Arial"/>
          <w:i/>
          <w:sz w:val="18"/>
          <w:szCs w:val="18"/>
          <w:lang w:val="es-CO" w:eastAsia="en-US"/>
        </w:rPr>
      </w:pPr>
    </w:p>
    <w:p w14:paraId="37EB6CD0" w14:textId="77777777" w:rsidR="00321689" w:rsidRPr="00AB0C16" w:rsidRDefault="00321689" w:rsidP="00AB0C16">
      <w:pPr>
        <w:pStyle w:val="Default"/>
        <w:ind w:left="567"/>
        <w:jc w:val="both"/>
        <w:rPr>
          <w:rFonts w:ascii="Verdana" w:eastAsia="MS Mincho" w:hAnsi="Verdana"/>
          <w:i/>
          <w:color w:val="auto"/>
          <w:sz w:val="18"/>
          <w:szCs w:val="18"/>
          <w:lang w:val="es-ES" w:eastAsia="es-ES"/>
        </w:rPr>
      </w:pPr>
      <w:r w:rsidRPr="00AB0C16">
        <w:rPr>
          <w:rFonts w:ascii="Verdana" w:eastAsia="MS Mincho" w:hAnsi="Verdana"/>
          <w:i/>
          <w:color w:val="auto"/>
          <w:sz w:val="18"/>
          <w:szCs w:val="18"/>
          <w:lang w:val="es-ES" w:eastAsia="es-ES"/>
        </w:rPr>
        <w:t xml:space="preserve">“[…] En cumplimiento de lo previsto en el artículo 2.6.5.13 del Decreto 1068 de 2015, la Junta Directiva y el CONFIS Territorial deben considerar para la elaboración del presupuesto el CUADRO 36 – PRESUPUESTO DE INGRESOS Y GASTOS, el cual hace parte integral del Programa de Saneamiento Fiscal y Financiero adoptado por la ESE y viabilizado por el Ministerio de Hacienda y Crédito Público, dado que este es el límite máximo de ingresos y gastos para efectos de la aprobación de los presupuestos anuales, mientras el Programa se encuentre en ejecución. Por lo tanto, el Departamento y el Municipio, deben garantizar que el presupuesto de ingresos y gastos de la ESE no se modifique, excediendo el techo presupuestal. </w:t>
      </w:r>
    </w:p>
    <w:p w14:paraId="5DBA382F" w14:textId="77777777" w:rsidR="00321689" w:rsidRPr="00AB0C16" w:rsidRDefault="00321689" w:rsidP="00AB0C16">
      <w:pPr>
        <w:pStyle w:val="Default"/>
        <w:ind w:left="567"/>
        <w:jc w:val="both"/>
        <w:rPr>
          <w:rFonts w:ascii="Verdana" w:eastAsia="MS Mincho" w:hAnsi="Verdana"/>
          <w:i/>
          <w:color w:val="auto"/>
          <w:sz w:val="18"/>
          <w:szCs w:val="18"/>
          <w:lang w:val="es-ES" w:eastAsia="es-ES"/>
        </w:rPr>
      </w:pPr>
    </w:p>
    <w:p w14:paraId="4C0A4DFF" w14:textId="77777777" w:rsidR="00321689" w:rsidRPr="00AB0C16" w:rsidRDefault="00321689" w:rsidP="00AB0C16">
      <w:pPr>
        <w:pStyle w:val="Default"/>
        <w:ind w:left="567"/>
        <w:jc w:val="both"/>
        <w:rPr>
          <w:rFonts w:ascii="Verdana" w:eastAsia="MS Mincho" w:hAnsi="Verdana"/>
          <w:i/>
          <w:color w:val="auto"/>
          <w:sz w:val="18"/>
          <w:szCs w:val="18"/>
          <w:lang w:val="es-ES" w:eastAsia="es-ES"/>
        </w:rPr>
      </w:pPr>
      <w:r w:rsidRPr="00AB0C16">
        <w:rPr>
          <w:rFonts w:ascii="Verdana" w:eastAsia="MS Mincho" w:hAnsi="Verdana"/>
          <w:i/>
          <w:color w:val="auto"/>
          <w:sz w:val="18"/>
          <w:szCs w:val="18"/>
          <w:lang w:val="es-ES" w:eastAsia="es-ES"/>
        </w:rPr>
        <w:t>Se debe mantener un riguroso control sobre los recursos recibidos por las ESE para el financiamiento de los Programas viabilizados, advirtiendo cualquier uso no debido y autorizado por el comité de pagos. En caso de presentarse esta situación, se recomienda realizar la verificación y validación de los eventos relacionados, y si fuese del caso, informar a las entidades competentes para que se lleven a cabo las acciones que correspondan.”</w:t>
      </w:r>
    </w:p>
    <w:p w14:paraId="425F1132" w14:textId="77777777" w:rsidR="00AE40AC" w:rsidRDefault="00AE40AC" w:rsidP="00321689">
      <w:pPr>
        <w:pStyle w:val="Default"/>
        <w:jc w:val="both"/>
        <w:rPr>
          <w:rFonts w:ascii="Verdana" w:eastAsia="MS Mincho" w:hAnsi="Verdana"/>
          <w:i/>
          <w:color w:val="auto"/>
          <w:sz w:val="21"/>
          <w:szCs w:val="21"/>
          <w:lang w:val="es-ES" w:eastAsia="es-ES"/>
        </w:rPr>
      </w:pPr>
    </w:p>
    <w:p w14:paraId="542371AC" w14:textId="77777777" w:rsidR="00321689" w:rsidRPr="00AE40AC" w:rsidRDefault="00321689" w:rsidP="00AE40AC">
      <w:pPr>
        <w:pStyle w:val="Prrafodelista"/>
        <w:numPr>
          <w:ilvl w:val="0"/>
          <w:numId w:val="11"/>
        </w:numPr>
        <w:autoSpaceDE w:val="0"/>
        <w:autoSpaceDN w:val="0"/>
        <w:adjustRightInd w:val="0"/>
        <w:jc w:val="both"/>
        <w:rPr>
          <w:rFonts w:ascii="Verdana" w:eastAsia="Times New Roman" w:hAnsi="Verdana" w:cs="Arial"/>
          <w:b/>
          <w:sz w:val="21"/>
          <w:szCs w:val="21"/>
          <w:lang w:val="es-CO" w:eastAsia="en-US"/>
        </w:rPr>
      </w:pPr>
      <w:r w:rsidRPr="00AE40AC">
        <w:rPr>
          <w:rFonts w:ascii="Verdana" w:hAnsi="Verdana" w:cs="Arial"/>
          <w:i/>
          <w:sz w:val="21"/>
          <w:szCs w:val="21"/>
        </w:rPr>
        <w:t xml:space="preserve"> </w:t>
      </w:r>
      <w:r w:rsidRPr="00AE40AC">
        <w:rPr>
          <w:rFonts w:ascii="Verdana" w:eastAsia="Times New Roman" w:hAnsi="Verdana" w:cs="Arial"/>
          <w:b/>
          <w:sz w:val="21"/>
          <w:szCs w:val="21"/>
        </w:rPr>
        <w:t>Salud Pública.</w:t>
      </w:r>
    </w:p>
    <w:p w14:paraId="6ECCAA66" w14:textId="77777777" w:rsidR="00321689" w:rsidRDefault="00321689" w:rsidP="00321689">
      <w:pPr>
        <w:pStyle w:val="Prrafodelista"/>
        <w:jc w:val="both"/>
        <w:rPr>
          <w:rFonts w:ascii="Verdana" w:eastAsia="Times New Roman" w:hAnsi="Verdana" w:cs="Arial"/>
          <w:b/>
          <w:sz w:val="21"/>
          <w:szCs w:val="21"/>
        </w:rPr>
      </w:pPr>
    </w:p>
    <w:p w14:paraId="3CB1FFDE" w14:textId="77777777" w:rsidR="00321689" w:rsidRDefault="00321689" w:rsidP="00321689">
      <w:pPr>
        <w:pStyle w:val="Prrafodelista"/>
        <w:numPr>
          <w:ilvl w:val="6"/>
          <w:numId w:val="18"/>
        </w:numPr>
        <w:ind w:left="567"/>
        <w:jc w:val="both"/>
        <w:rPr>
          <w:rFonts w:ascii="Verdana" w:eastAsiaTheme="minorHAnsi" w:hAnsi="Verdana" w:cs="Arial"/>
          <w:b/>
          <w:bCs/>
          <w:sz w:val="21"/>
          <w:szCs w:val="21"/>
        </w:rPr>
      </w:pPr>
      <w:r>
        <w:rPr>
          <w:rFonts w:ascii="Verdana" w:hAnsi="Verdana" w:cs="Arial"/>
          <w:b/>
          <w:bCs/>
          <w:sz w:val="21"/>
          <w:szCs w:val="21"/>
        </w:rPr>
        <w:t xml:space="preserve"> Planeación integral de los recursos.</w:t>
      </w:r>
    </w:p>
    <w:p w14:paraId="13B1C862" w14:textId="77777777" w:rsidR="00321689" w:rsidRDefault="00321689" w:rsidP="00321689">
      <w:pPr>
        <w:jc w:val="both"/>
        <w:rPr>
          <w:rFonts w:ascii="Verdana" w:hAnsi="Verdana" w:cs="Arial"/>
          <w:sz w:val="21"/>
          <w:szCs w:val="21"/>
        </w:rPr>
      </w:pPr>
    </w:p>
    <w:p w14:paraId="26611E30" w14:textId="77777777" w:rsidR="00321689" w:rsidRPr="00854D15" w:rsidRDefault="00321689" w:rsidP="00321689">
      <w:pPr>
        <w:jc w:val="both"/>
        <w:rPr>
          <w:rFonts w:ascii="Verdana" w:hAnsi="Verdana" w:cs="Arial"/>
          <w:i/>
          <w:iCs/>
          <w:sz w:val="21"/>
          <w:szCs w:val="21"/>
        </w:rPr>
      </w:pPr>
      <w:r>
        <w:rPr>
          <w:rFonts w:ascii="Verdana" w:hAnsi="Verdana" w:cs="Arial"/>
          <w:sz w:val="21"/>
          <w:szCs w:val="21"/>
        </w:rPr>
        <w:t xml:space="preserve">Se evidenció que la Entidad Territorial cuenta con herramientas de planeación como, el Plan de Acción en Salud - PAS y el Componente Operativo y de Inversiones en Salud - COAI. En cuanto al Plan Territorial en Salud se verificó que el mismo no está publicado en la página </w:t>
      </w:r>
      <w:r>
        <w:rPr>
          <w:rFonts w:ascii="Verdana" w:hAnsi="Verdana" w:cs="Arial"/>
          <w:i/>
          <w:iCs/>
          <w:sz w:val="21"/>
          <w:szCs w:val="21"/>
        </w:rPr>
        <w:t>Web</w:t>
      </w:r>
      <w:r>
        <w:rPr>
          <w:rFonts w:ascii="Verdana" w:hAnsi="Verdana" w:cs="Arial"/>
          <w:sz w:val="21"/>
          <w:szCs w:val="21"/>
        </w:rPr>
        <w:t xml:space="preserve"> de la Entidad, sin embargo, hace parte integral del Plan de Desarrollo de la Entidad Territorial, el cual si se identificó su publicación en la </w:t>
      </w:r>
      <w:r w:rsidRPr="00854D15">
        <w:rPr>
          <w:rFonts w:ascii="Verdana" w:hAnsi="Verdana" w:cs="Arial"/>
          <w:i/>
          <w:iCs/>
          <w:sz w:val="21"/>
          <w:szCs w:val="21"/>
        </w:rPr>
        <w:t>web.</w:t>
      </w:r>
    </w:p>
    <w:p w14:paraId="76CFCEF5" w14:textId="77777777" w:rsidR="00321689" w:rsidRPr="00854D15" w:rsidRDefault="00321689" w:rsidP="00321689">
      <w:pPr>
        <w:jc w:val="both"/>
        <w:rPr>
          <w:rFonts w:ascii="Verdana" w:hAnsi="Verdana" w:cs="Arial"/>
          <w:i/>
          <w:iCs/>
          <w:sz w:val="21"/>
          <w:szCs w:val="21"/>
        </w:rPr>
      </w:pPr>
    </w:p>
    <w:p w14:paraId="1D437DB3" w14:textId="77777777" w:rsidR="00321689" w:rsidRDefault="00321689" w:rsidP="00321689">
      <w:pPr>
        <w:jc w:val="both"/>
        <w:rPr>
          <w:rFonts w:ascii="Verdana" w:hAnsi="Verdana" w:cs="Arial"/>
          <w:sz w:val="21"/>
          <w:szCs w:val="21"/>
        </w:rPr>
      </w:pPr>
      <w:r>
        <w:rPr>
          <w:rFonts w:ascii="Verdana" w:hAnsi="Verdana" w:cs="Arial"/>
          <w:sz w:val="21"/>
          <w:szCs w:val="21"/>
        </w:rPr>
        <w:t>De acuerdo con el PAS presentado por la Entidad Territorial para la vigencia 2021 y 2022 es posible identificar las dimensiones, componentes, el código del subprograma y el BPIN del proyecto de inversión, así mismo se incluye la línea</w:t>
      </w:r>
      <w:r w:rsidR="001839DF">
        <w:rPr>
          <w:rFonts w:ascii="Verdana" w:hAnsi="Verdana" w:cs="Arial"/>
          <w:sz w:val="21"/>
          <w:szCs w:val="21"/>
        </w:rPr>
        <w:t xml:space="preserve"> de </w:t>
      </w:r>
      <w:r>
        <w:rPr>
          <w:rFonts w:ascii="Verdana" w:hAnsi="Verdana" w:cs="Arial"/>
          <w:sz w:val="21"/>
          <w:szCs w:val="21"/>
        </w:rPr>
        <w:t>acción, la cual distingue entre PIC y Gestión y el avance en las actividades realizadas por trimestre.</w:t>
      </w:r>
    </w:p>
    <w:p w14:paraId="4139F6B2" w14:textId="77777777" w:rsidR="00321689" w:rsidRDefault="00321689" w:rsidP="00321689">
      <w:pPr>
        <w:jc w:val="both"/>
        <w:rPr>
          <w:rFonts w:ascii="Verdana" w:hAnsi="Verdana" w:cs="Arial"/>
          <w:sz w:val="21"/>
          <w:szCs w:val="21"/>
        </w:rPr>
      </w:pPr>
    </w:p>
    <w:p w14:paraId="67B9ED1E" w14:textId="77777777" w:rsidR="00A545F9" w:rsidRPr="00EC55C1" w:rsidRDefault="00A545F9" w:rsidP="00A545F9">
      <w:pPr>
        <w:pStyle w:val="Sinespaciado"/>
        <w:jc w:val="both"/>
        <w:rPr>
          <w:rFonts w:ascii="Verdana" w:hAnsi="Verdana"/>
          <w:bCs/>
          <w:sz w:val="21"/>
          <w:szCs w:val="21"/>
        </w:rPr>
      </w:pPr>
      <w:r w:rsidRPr="00EC55C1">
        <w:rPr>
          <w:rFonts w:ascii="Verdana" w:eastAsia="Times New Roman" w:hAnsi="Verdana" w:cs="Arial"/>
          <w:bCs/>
          <w:sz w:val="21"/>
          <w:szCs w:val="21"/>
          <w:lang w:eastAsia="es-CO"/>
        </w:rPr>
        <w:t>Respecto al avance de las intervenciones aprobadas en el Plan de Acción en Salud y la evaluación de las metas sanitarias del Plan Territorial de Salud, la Entidad envió informe de seguimiento en el que se identifican 27 metas, de las cuales el 90% tienen cumplimiento promedio de avance del 95%, sin embargo, tres alcanzan cumplimientos inferiores al 77% así</w:t>
      </w:r>
      <w:r w:rsidRPr="00EC55C1">
        <w:rPr>
          <w:rFonts w:ascii="Verdana" w:hAnsi="Verdana" w:cs="Arial"/>
          <w:bCs/>
          <w:sz w:val="21"/>
          <w:szCs w:val="21"/>
        </w:rPr>
        <w:t>:</w:t>
      </w:r>
    </w:p>
    <w:p w14:paraId="62CA8BA9" w14:textId="77777777" w:rsidR="00A545F9" w:rsidRDefault="00A545F9" w:rsidP="00A545F9">
      <w:pPr>
        <w:pStyle w:val="Sinespaciado"/>
        <w:jc w:val="both"/>
        <w:rPr>
          <w:rFonts w:ascii="Verdana" w:hAnsi="Verdana" w:cs="Arial"/>
          <w:bCs/>
          <w:sz w:val="21"/>
          <w:szCs w:val="21"/>
        </w:rPr>
      </w:pPr>
    </w:p>
    <w:p w14:paraId="0F5CC497" w14:textId="77777777" w:rsidR="00A545F9" w:rsidRDefault="00A545F9" w:rsidP="00A545F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 xml:space="preserve">Gráfica No 2 </w:t>
      </w:r>
      <w:r>
        <w:rPr>
          <w:rFonts w:ascii="Verdana" w:eastAsia="ヒラギノ角ゴ Pro W3" w:hAnsi="Verdana" w:cs="Arial"/>
          <w:b/>
          <w:color w:val="B48C41"/>
          <w:sz w:val="18"/>
          <w:szCs w:val="18"/>
        </w:rPr>
        <w:tab/>
      </w:r>
      <w:r>
        <w:rPr>
          <w:rFonts w:ascii="Verdana" w:eastAsia="ヒラギノ角ゴ Pro W3" w:hAnsi="Verdana" w:cs="Arial"/>
          <w:b/>
          <w:color w:val="B48C41"/>
          <w:sz w:val="18"/>
          <w:szCs w:val="18"/>
        </w:rPr>
        <w:tab/>
      </w:r>
      <w:r>
        <w:rPr>
          <w:rFonts w:ascii="Verdana" w:eastAsia="ヒラギノ角ゴ Pro W3" w:hAnsi="Verdana" w:cs="Arial"/>
          <w:b/>
          <w:color w:val="B48C41"/>
          <w:sz w:val="18"/>
          <w:szCs w:val="18"/>
        </w:rPr>
        <w:tab/>
      </w:r>
      <w:r>
        <w:rPr>
          <w:rFonts w:ascii="Verdana" w:eastAsia="ヒラギノ角ゴ Pro W3" w:hAnsi="Verdana" w:cs="Arial"/>
          <w:b/>
          <w:color w:val="B48C41"/>
          <w:sz w:val="18"/>
          <w:szCs w:val="18"/>
        </w:rPr>
        <w:tab/>
      </w:r>
      <w:r>
        <w:rPr>
          <w:rFonts w:ascii="Verdana" w:eastAsia="ヒラギノ角ゴ Pro W3" w:hAnsi="Verdana" w:cs="Arial"/>
          <w:b/>
          <w:color w:val="B48C41"/>
          <w:sz w:val="18"/>
          <w:szCs w:val="18"/>
        </w:rPr>
        <w:tab/>
        <w:t xml:space="preserve">      Gráfica No 3</w:t>
      </w:r>
    </w:p>
    <w:p w14:paraId="74EE816F" w14:textId="77777777" w:rsidR="00A545F9" w:rsidRDefault="00A545F9" w:rsidP="00A545F9">
      <w:pPr>
        <w:pStyle w:val="Sinespaciado"/>
        <w:jc w:val="both"/>
        <w:rPr>
          <w:rFonts w:ascii="Arial" w:hAnsi="Arial" w:cs="Arial"/>
          <w:bCs/>
          <w:sz w:val="21"/>
          <w:szCs w:val="21"/>
        </w:rPr>
      </w:pPr>
      <w:r>
        <w:rPr>
          <w:noProof/>
          <w:lang w:eastAsia="es-CO"/>
        </w:rPr>
        <w:lastRenderedPageBreak/>
        <w:drawing>
          <wp:inline distT="0" distB="0" distL="0" distR="0" wp14:anchorId="010FD0F0" wp14:editId="56CF3E7C">
            <wp:extent cx="2698750" cy="2362200"/>
            <wp:effectExtent l="0" t="0" r="6350" b="0"/>
            <wp:docPr id="1" name="Gráfico 1">
              <a:extLst xmlns:a="http://schemas.openxmlformats.org/drawingml/2006/main">
                <a:ext uri="{FF2B5EF4-FFF2-40B4-BE49-F238E27FC236}">
                  <a16:creationId xmlns:a16="http://schemas.microsoft.com/office/drawing/2014/main" id="{3F2BAF66-5F27-0C0D-7B6F-09CE6BCFA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lang w:eastAsia="es-CO"/>
        </w:rPr>
        <w:drawing>
          <wp:inline distT="0" distB="0" distL="0" distR="0" wp14:anchorId="679CF6D5" wp14:editId="0BB6423E">
            <wp:extent cx="2870200" cy="2349500"/>
            <wp:effectExtent l="0" t="0" r="6350" b="12700"/>
            <wp:docPr id="2" name="Gráfico 2">
              <a:extLst xmlns:a="http://schemas.openxmlformats.org/drawingml/2006/main">
                <a:ext uri="{FF2B5EF4-FFF2-40B4-BE49-F238E27FC236}">
                  <a16:creationId xmlns:a16="http://schemas.microsoft.com/office/drawing/2014/main" id="{327A831B-2F83-AB60-6382-5040ADD03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t xml:space="preserve"> </w:t>
      </w:r>
    </w:p>
    <w:p w14:paraId="7CE88272" w14:textId="77777777" w:rsidR="00A545F9" w:rsidRDefault="00A545F9" w:rsidP="00AB0C16">
      <w:pPr>
        <w:jc w:val="center"/>
        <w:rPr>
          <w:rFonts w:ascii="Verdana" w:hAnsi="Verdana" w:cs="Arial"/>
          <w:sz w:val="16"/>
          <w:szCs w:val="16"/>
        </w:rPr>
      </w:pPr>
      <w:r>
        <w:rPr>
          <w:rFonts w:ascii="Verdana" w:hAnsi="Verdana" w:cs="Arial"/>
          <w:sz w:val="16"/>
          <w:szCs w:val="16"/>
        </w:rPr>
        <w:t>Fuente: Entidad territorial</w:t>
      </w:r>
    </w:p>
    <w:p w14:paraId="7EE14AD1" w14:textId="77777777" w:rsidR="00A545F9" w:rsidRDefault="00A545F9" w:rsidP="00A545F9">
      <w:pPr>
        <w:pStyle w:val="Sinespaciado"/>
        <w:rPr>
          <w:rFonts w:ascii="Verdana" w:eastAsia="ヒラギノ角ゴ Pro W3" w:hAnsi="Verdana" w:cs="Arial"/>
          <w:b/>
          <w:color w:val="B48C41"/>
          <w:sz w:val="18"/>
          <w:szCs w:val="18"/>
        </w:rPr>
      </w:pPr>
    </w:p>
    <w:p w14:paraId="24003A6D" w14:textId="77777777" w:rsidR="00A545F9" w:rsidRDefault="00A545F9" w:rsidP="00A545F9">
      <w:pPr>
        <w:pStyle w:val="Sinespaciado"/>
        <w:jc w:val="center"/>
        <w:rPr>
          <w:rStyle w:val="contentpasted0"/>
          <w:rFonts w:eastAsia="Times New Roman"/>
          <w:color w:val="000000"/>
          <w:sz w:val="21"/>
          <w:szCs w:val="21"/>
        </w:rPr>
      </w:pPr>
      <w:r>
        <w:rPr>
          <w:rFonts w:ascii="Verdana" w:eastAsia="ヒラギノ角ゴ Pro W3" w:hAnsi="Verdana" w:cs="Arial"/>
          <w:b/>
          <w:color w:val="B48C41"/>
          <w:sz w:val="18"/>
          <w:szCs w:val="18"/>
        </w:rPr>
        <w:t>Gráfica No 4</w:t>
      </w:r>
    </w:p>
    <w:p w14:paraId="37CE1CDF" w14:textId="77777777" w:rsidR="00A545F9" w:rsidRDefault="00A545F9" w:rsidP="00A545F9">
      <w:pPr>
        <w:pStyle w:val="Sinespaciado"/>
        <w:jc w:val="both"/>
        <w:rPr>
          <w:rStyle w:val="contentpasted0"/>
          <w:rFonts w:ascii="Verdana" w:eastAsia="Times New Roman" w:hAnsi="Verdana" w:cs="Arial"/>
          <w:color w:val="000000"/>
          <w:sz w:val="21"/>
          <w:szCs w:val="21"/>
        </w:rPr>
      </w:pPr>
      <w:r>
        <w:rPr>
          <w:noProof/>
          <w:lang w:eastAsia="es-CO"/>
        </w:rPr>
        <w:drawing>
          <wp:inline distT="0" distB="0" distL="0" distR="0" wp14:anchorId="6A17F779" wp14:editId="347DCA94">
            <wp:extent cx="5626100" cy="1644650"/>
            <wp:effectExtent l="0" t="0" r="12700" b="12700"/>
            <wp:docPr id="3" name="Gráfico 3">
              <a:extLst xmlns:a="http://schemas.openxmlformats.org/drawingml/2006/main">
                <a:ext uri="{FF2B5EF4-FFF2-40B4-BE49-F238E27FC236}">
                  <a16:creationId xmlns:a16="http://schemas.microsoft.com/office/drawing/2014/main" id="{466B0670-0538-0185-35FA-718BABB687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9367678" w14:textId="77777777" w:rsidR="00A545F9" w:rsidRDefault="00A545F9" w:rsidP="00AB0C16">
      <w:pPr>
        <w:jc w:val="center"/>
        <w:rPr>
          <w:rFonts w:eastAsiaTheme="minorHAnsi"/>
          <w:sz w:val="16"/>
          <w:szCs w:val="16"/>
        </w:rPr>
      </w:pPr>
      <w:r>
        <w:rPr>
          <w:rFonts w:ascii="Verdana" w:hAnsi="Verdana" w:cs="Arial"/>
          <w:sz w:val="16"/>
          <w:szCs w:val="16"/>
        </w:rPr>
        <w:t>Fuente: Entidad territorial</w:t>
      </w:r>
    </w:p>
    <w:p w14:paraId="396BC32B" w14:textId="77777777" w:rsidR="007D6F1E" w:rsidRDefault="007D6F1E" w:rsidP="00A545F9">
      <w:pPr>
        <w:pStyle w:val="Sinespaciado"/>
        <w:jc w:val="both"/>
        <w:rPr>
          <w:rStyle w:val="contentpasted0"/>
          <w:rFonts w:eastAsia="Times New Roman"/>
          <w:color w:val="000000"/>
          <w:sz w:val="21"/>
          <w:szCs w:val="21"/>
        </w:rPr>
      </w:pPr>
    </w:p>
    <w:p w14:paraId="762B1FE9" w14:textId="77777777" w:rsidR="007D6F1E" w:rsidRPr="007D6F1E" w:rsidRDefault="007D6F1E" w:rsidP="00A545F9">
      <w:pPr>
        <w:pStyle w:val="Sinespaciado"/>
        <w:jc w:val="both"/>
        <w:rPr>
          <w:rFonts w:ascii="Verdana" w:hAnsi="Verdana" w:cs="Arial"/>
          <w:bCs/>
          <w:lang w:eastAsia="es-CO"/>
        </w:rPr>
      </w:pPr>
      <w:r w:rsidRPr="007D6F1E">
        <w:rPr>
          <w:rFonts w:ascii="Verdana" w:hAnsi="Verdana" w:cs="Arial"/>
          <w:bCs/>
          <w:lang w:eastAsia="es-CO"/>
        </w:rPr>
        <w:t>Dado el avance, no se identifican ri</w:t>
      </w:r>
      <w:r>
        <w:rPr>
          <w:rFonts w:ascii="Verdana" w:hAnsi="Verdana" w:cs="Arial"/>
          <w:bCs/>
          <w:lang w:eastAsia="es-CO"/>
        </w:rPr>
        <w:t>esgos asociado al cumplimiento de las metas</w:t>
      </w:r>
      <w:r w:rsidRPr="007D6F1E">
        <w:rPr>
          <w:rFonts w:ascii="Verdana" w:hAnsi="Verdana" w:cs="Arial"/>
          <w:bCs/>
          <w:lang w:eastAsia="es-CO"/>
        </w:rPr>
        <w:t>.</w:t>
      </w:r>
    </w:p>
    <w:p w14:paraId="6F741EEF" w14:textId="77777777" w:rsidR="00321689" w:rsidRDefault="00321689" w:rsidP="00321689">
      <w:pPr>
        <w:jc w:val="center"/>
        <w:rPr>
          <w:rFonts w:ascii="Verdana" w:eastAsia="Times New Roman" w:hAnsi="Verdana" w:cs="Arial"/>
          <w:bCs/>
          <w:sz w:val="21"/>
          <w:szCs w:val="21"/>
          <w:lang w:val="es-CO" w:eastAsia="es-CO"/>
        </w:rPr>
      </w:pPr>
    </w:p>
    <w:p w14:paraId="54D3A93D" w14:textId="77777777" w:rsidR="007D6F1E" w:rsidRPr="007D6F1E" w:rsidRDefault="007D6F1E" w:rsidP="00321689">
      <w:pPr>
        <w:jc w:val="center"/>
        <w:rPr>
          <w:rFonts w:ascii="Verdana" w:eastAsia="Times New Roman" w:hAnsi="Verdana" w:cs="Arial"/>
          <w:bCs/>
          <w:sz w:val="21"/>
          <w:szCs w:val="21"/>
          <w:lang w:val="es-CO" w:eastAsia="es-CO"/>
        </w:rPr>
      </w:pPr>
    </w:p>
    <w:p w14:paraId="57107116" w14:textId="77777777" w:rsidR="00321689" w:rsidRDefault="00321689" w:rsidP="00321689">
      <w:pPr>
        <w:pStyle w:val="Prrafodelista"/>
        <w:numPr>
          <w:ilvl w:val="6"/>
          <w:numId w:val="18"/>
        </w:numPr>
        <w:ind w:left="567"/>
        <w:jc w:val="both"/>
        <w:rPr>
          <w:rFonts w:ascii="Verdana" w:hAnsi="Verdana" w:cs="Arial"/>
          <w:sz w:val="21"/>
          <w:szCs w:val="21"/>
        </w:rPr>
      </w:pPr>
      <w:r>
        <w:rPr>
          <w:rFonts w:ascii="Verdana" w:hAnsi="Verdana" w:cs="Arial"/>
          <w:b/>
          <w:bCs/>
          <w:sz w:val="21"/>
          <w:szCs w:val="21"/>
        </w:rPr>
        <w:t>Análisis de PIC.</w:t>
      </w:r>
    </w:p>
    <w:p w14:paraId="2CCF305C" w14:textId="77777777" w:rsidR="00321689" w:rsidRDefault="00321689" w:rsidP="00321689">
      <w:pPr>
        <w:jc w:val="both"/>
        <w:rPr>
          <w:rFonts w:ascii="Verdana" w:hAnsi="Verdana" w:cs="Arial"/>
          <w:sz w:val="21"/>
          <w:szCs w:val="21"/>
        </w:rPr>
      </w:pPr>
    </w:p>
    <w:p w14:paraId="237F0B52" w14:textId="77777777" w:rsidR="00321689" w:rsidRDefault="00321689" w:rsidP="00321689">
      <w:pPr>
        <w:jc w:val="both"/>
        <w:rPr>
          <w:rFonts w:ascii="Verdana" w:hAnsi="Verdana" w:cs="Arial"/>
          <w:sz w:val="21"/>
          <w:szCs w:val="21"/>
        </w:rPr>
      </w:pPr>
      <w:r>
        <w:rPr>
          <w:rFonts w:ascii="Verdana" w:hAnsi="Verdana" w:cs="Arial"/>
          <w:sz w:val="21"/>
          <w:szCs w:val="21"/>
        </w:rPr>
        <w:t xml:space="preserve">Para la </w:t>
      </w:r>
      <w:r>
        <w:rPr>
          <w:rFonts w:ascii="Verdana" w:hAnsi="Verdana" w:cs="Arial"/>
          <w:b/>
          <w:sz w:val="21"/>
          <w:szCs w:val="21"/>
        </w:rPr>
        <w:t xml:space="preserve">vigencia 2021 </w:t>
      </w:r>
      <w:r>
        <w:rPr>
          <w:rFonts w:ascii="Verdana" w:hAnsi="Verdana" w:cs="Arial"/>
          <w:sz w:val="21"/>
          <w:szCs w:val="21"/>
        </w:rPr>
        <w:t>la Entidad suscribió 60 contratos por valor de $5.575 millones con recursos del SGP- Salud Pública.</w:t>
      </w:r>
    </w:p>
    <w:p w14:paraId="5BE210B8" w14:textId="77777777" w:rsidR="00321689" w:rsidRDefault="00321689" w:rsidP="00321689">
      <w:pPr>
        <w:jc w:val="both"/>
        <w:rPr>
          <w:rFonts w:ascii="Verdana" w:hAnsi="Verdana" w:cs="Arial"/>
          <w:b/>
          <w:sz w:val="21"/>
          <w:szCs w:val="21"/>
        </w:rPr>
      </w:pPr>
    </w:p>
    <w:p w14:paraId="0AA84B13"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Imagen No 7</w:t>
      </w:r>
    </w:p>
    <w:p w14:paraId="7554BE6A"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Contratación PIC 2022</w:t>
      </w:r>
    </w:p>
    <w:p w14:paraId="4F19D048" w14:textId="77777777" w:rsidR="00321689" w:rsidRDefault="00321689" w:rsidP="00321689">
      <w:pPr>
        <w:jc w:val="center"/>
        <w:rPr>
          <w:rFonts w:ascii="Verdana" w:eastAsiaTheme="minorHAnsi" w:hAnsi="Verdana" w:cs="Arial"/>
          <w:sz w:val="21"/>
          <w:szCs w:val="21"/>
        </w:rPr>
      </w:pPr>
      <w:r>
        <w:rPr>
          <w:noProof/>
          <w:lang w:val="es-CO" w:eastAsia="es-CO"/>
        </w:rPr>
        <w:drawing>
          <wp:inline distT="0" distB="0" distL="0" distR="0" wp14:anchorId="58D15FA3" wp14:editId="734EE22E">
            <wp:extent cx="5607050" cy="16827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7050" cy="1682750"/>
                    </a:xfrm>
                    <a:prstGeom prst="rect">
                      <a:avLst/>
                    </a:prstGeom>
                    <a:noFill/>
                    <a:ln>
                      <a:noFill/>
                    </a:ln>
                  </pic:spPr>
                </pic:pic>
              </a:graphicData>
            </a:graphic>
          </wp:inline>
        </w:drawing>
      </w:r>
    </w:p>
    <w:p w14:paraId="2C584A07" w14:textId="77777777" w:rsidR="00321689" w:rsidRDefault="00321689" w:rsidP="00AB0C16">
      <w:pPr>
        <w:jc w:val="center"/>
        <w:rPr>
          <w:rFonts w:ascii="Verdana" w:hAnsi="Verdana" w:cs="Arial"/>
          <w:sz w:val="16"/>
          <w:szCs w:val="16"/>
        </w:rPr>
      </w:pPr>
      <w:r>
        <w:rPr>
          <w:rFonts w:ascii="Verdana" w:hAnsi="Verdana" w:cs="Arial"/>
          <w:sz w:val="16"/>
          <w:szCs w:val="16"/>
        </w:rPr>
        <w:lastRenderedPageBreak/>
        <w:t>Fuente: Entidad territorial</w:t>
      </w:r>
    </w:p>
    <w:p w14:paraId="521CA949" w14:textId="77777777" w:rsidR="00321689" w:rsidRDefault="00321689" w:rsidP="00321689">
      <w:pPr>
        <w:jc w:val="both"/>
        <w:rPr>
          <w:rFonts w:ascii="Verdana" w:hAnsi="Verdana" w:cs="Arial"/>
          <w:sz w:val="21"/>
          <w:szCs w:val="21"/>
        </w:rPr>
      </w:pPr>
    </w:p>
    <w:p w14:paraId="30973EF2" w14:textId="77777777" w:rsidR="00321689" w:rsidRDefault="00321689" w:rsidP="00321689">
      <w:pPr>
        <w:jc w:val="both"/>
        <w:rPr>
          <w:rFonts w:ascii="Verdana" w:hAnsi="Verdana" w:cs="Arial"/>
          <w:sz w:val="21"/>
          <w:szCs w:val="21"/>
        </w:rPr>
      </w:pPr>
      <w:r w:rsidRPr="00AE40AC">
        <w:rPr>
          <w:rFonts w:ascii="Verdana" w:hAnsi="Verdana" w:cs="Arial"/>
          <w:sz w:val="21"/>
          <w:szCs w:val="21"/>
        </w:rPr>
        <w:t>Del total de recursos ejecutados en el PIC, se encontraron 7 contratos por valor de $4.037 millones, donde lo</w:t>
      </w:r>
      <w:r w:rsidR="003D2A48">
        <w:rPr>
          <w:rFonts w:ascii="Verdana" w:hAnsi="Verdana" w:cs="Arial"/>
          <w:sz w:val="21"/>
          <w:szCs w:val="21"/>
        </w:rPr>
        <w:t>s</w:t>
      </w:r>
      <w:r w:rsidRPr="00AE40AC">
        <w:rPr>
          <w:rFonts w:ascii="Verdana" w:hAnsi="Verdana" w:cs="Arial"/>
          <w:sz w:val="21"/>
          <w:szCs w:val="21"/>
        </w:rPr>
        <w:t xml:space="preserve"> contratistas fueron</w:t>
      </w:r>
      <w:r w:rsidR="00F71A41">
        <w:rPr>
          <w:rFonts w:ascii="Verdana" w:hAnsi="Verdana" w:cs="Arial"/>
          <w:sz w:val="21"/>
          <w:szCs w:val="21"/>
        </w:rPr>
        <w:t>:</w:t>
      </w:r>
      <w:r w:rsidRPr="00AE40AC">
        <w:rPr>
          <w:rFonts w:ascii="Verdana" w:hAnsi="Verdana" w:cs="Arial"/>
          <w:sz w:val="21"/>
          <w:szCs w:val="21"/>
        </w:rPr>
        <w:t xml:space="preserve"> la ESE Hospital Agustín Codazzi, el Instituto departamental de Rehabilitación y 4 fundaciones. En estos contratos se pudo identificar que la fecha de contratación fue en el mes octubre, lo que demuestra inoportunidad en la contratación, generando riesgos en la prestación de servicios de salud.</w:t>
      </w:r>
    </w:p>
    <w:p w14:paraId="35569332" w14:textId="77777777" w:rsidR="00EC55C1" w:rsidRPr="00AE40AC" w:rsidRDefault="00EC55C1" w:rsidP="00321689">
      <w:pPr>
        <w:jc w:val="both"/>
        <w:rPr>
          <w:rFonts w:ascii="Verdana" w:hAnsi="Verdana" w:cs="Arial"/>
          <w:sz w:val="21"/>
          <w:szCs w:val="21"/>
        </w:rPr>
      </w:pPr>
    </w:p>
    <w:p w14:paraId="5559B15D" w14:textId="77777777" w:rsidR="00321689" w:rsidRPr="00EC55C1" w:rsidRDefault="00321689" w:rsidP="00321689">
      <w:pPr>
        <w:jc w:val="both"/>
        <w:rPr>
          <w:rFonts w:ascii="Verdana" w:hAnsi="Verdana" w:cs="Arial"/>
          <w:sz w:val="21"/>
          <w:szCs w:val="21"/>
        </w:rPr>
      </w:pPr>
      <w:r w:rsidRPr="00EC55C1">
        <w:rPr>
          <w:rFonts w:ascii="Verdana" w:hAnsi="Verdana" w:cs="Arial"/>
          <w:sz w:val="21"/>
          <w:szCs w:val="21"/>
        </w:rPr>
        <w:t xml:space="preserve">Por otra parte, se revisaron los 7 contratos que la entidad hizo con las ESE y con las fundaciones, los cuales se encontraron cargados en la plataforma </w:t>
      </w:r>
      <w:r w:rsidR="00F519FC" w:rsidRPr="00EC55C1">
        <w:rPr>
          <w:rFonts w:ascii="Verdana" w:hAnsi="Verdana" w:cs="Arial"/>
          <w:sz w:val="21"/>
          <w:szCs w:val="21"/>
        </w:rPr>
        <w:t xml:space="preserve">SECOP </w:t>
      </w:r>
      <w:r w:rsidRPr="00EC55C1">
        <w:rPr>
          <w:rFonts w:ascii="Verdana" w:hAnsi="Verdana" w:cs="Arial"/>
          <w:sz w:val="21"/>
          <w:szCs w:val="21"/>
        </w:rPr>
        <w:t xml:space="preserve">II. Ahora, al validar la información cargada en la plataforma SECOP II por la Entidad Territorial para estos contratos, no se encontraron los documentos de ejecución del mismo, ni se pudo verificar la existencia de los informes de </w:t>
      </w:r>
      <w:r w:rsidR="00643444">
        <w:rPr>
          <w:rFonts w:ascii="Verdana" w:hAnsi="Verdana" w:cs="Arial"/>
          <w:sz w:val="21"/>
          <w:szCs w:val="21"/>
        </w:rPr>
        <w:t xml:space="preserve">supervisión o </w:t>
      </w:r>
      <w:r w:rsidRPr="00EC55C1">
        <w:rPr>
          <w:rFonts w:ascii="Verdana" w:hAnsi="Verdana" w:cs="Arial"/>
          <w:sz w:val="21"/>
          <w:szCs w:val="21"/>
        </w:rPr>
        <w:t>interventoría, al interior solo fue posible identificar el acta de inicio.</w:t>
      </w:r>
    </w:p>
    <w:p w14:paraId="6CF63292" w14:textId="77777777" w:rsidR="00321689" w:rsidRPr="00EC55C1" w:rsidRDefault="00321689" w:rsidP="00321689">
      <w:pPr>
        <w:jc w:val="both"/>
        <w:rPr>
          <w:rFonts w:ascii="Verdana" w:hAnsi="Verdana" w:cs="Arial"/>
          <w:sz w:val="21"/>
          <w:szCs w:val="21"/>
        </w:rPr>
      </w:pPr>
    </w:p>
    <w:p w14:paraId="3BFEF98F"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Imagen No 8</w:t>
      </w:r>
    </w:p>
    <w:p w14:paraId="3FB8B9CB"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Contratación PIC 2022</w:t>
      </w:r>
    </w:p>
    <w:p w14:paraId="2CBC683B" w14:textId="77777777" w:rsidR="00321689" w:rsidRDefault="00762F3C" w:rsidP="00321689">
      <w:pPr>
        <w:jc w:val="both"/>
        <w:rPr>
          <w:rFonts w:ascii="Verdana" w:eastAsiaTheme="minorHAnsi" w:hAnsi="Verdana" w:cs="Arial"/>
          <w:sz w:val="22"/>
          <w:szCs w:val="22"/>
        </w:rPr>
      </w:pPr>
      <w:r>
        <w:rPr>
          <w:rFonts w:ascii="Calibri" w:eastAsiaTheme="minorHAnsi" w:hAnsi="Calibri" w:cs="Calibri"/>
          <w:noProof/>
          <w:sz w:val="22"/>
          <w:szCs w:val="22"/>
          <w:lang w:val="es-CO" w:eastAsia="es-CO"/>
        </w:rPr>
        <w:pict w14:anchorId="3447E31E">
          <v:shape id="Flecha abajo 48" o:spid="_x0000_s2057" type="#_x0000_t67" style="position:absolute;left:0;text-align:left;margin-left:84.35pt;margin-top:79.8pt;width:34.25pt;height:41.75pt;rotation:3241514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" adj="13107" fillcolor="#4f81bd [3204]" strokecolor="#243f60 [1604]" strokeweight="2pt"/>
        </w:pict>
      </w:r>
      <w:r w:rsidR="00321689">
        <w:rPr>
          <w:rFonts w:ascii="Verdana" w:hAnsi="Verdana" w:cs="Arial"/>
          <w:noProof/>
          <w:lang w:val="es-CO" w:eastAsia="es-CO"/>
        </w:rPr>
        <w:drawing>
          <wp:inline distT="0" distB="0" distL="0" distR="0" wp14:anchorId="44E0B8A9" wp14:editId="7C18FF29">
            <wp:extent cx="5511800" cy="18923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1800" cy="1892300"/>
                    </a:xfrm>
                    <a:prstGeom prst="rect">
                      <a:avLst/>
                    </a:prstGeom>
                    <a:noFill/>
                    <a:ln>
                      <a:noFill/>
                    </a:ln>
                  </pic:spPr>
                </pic:pic>
              </a:graphicData>
            </a:graphic>
          </wp:inline>
        </w:drawing>
      </w:r>
    </w:p>
    <w:p w14:paraId="52F75DD9" w14:textId="77777777" w:rsidR="00321689" w:rsidRDefault="00321689" w:rsidP="00AB0C16">
      <w:pPr>
        <w:jc w:val="center"/>
        <w:rPr>
          <w:rFonts w:ascii="Verdana" w:hAnsi="Verdana" w:cs="Arial"/>
          <w:sz w:val="16"/>
          <w:szCs w:val="16"/>
        </w:rPr>
      </w:pPr>
      <w:r>
        <w:rPr>
          <w:rFonts w:ascii="Verdana" w:hAnsi="Verdana" w:cs="Arial"/>
          <w:sz w:val="16"/>
          <w:szCs w:val="16"/>
        </w:rPr>
        <w:t>Fuente: Secop II, contrato CDO-SSA-0016-2021 – 24-08-2023</w:t>
      </w:r>
    </w:p>
    <w:p w14:paraId="76D8336F" w14:textId="77777777" w:rsidR="00321689" w:rsidRDefault="00321689" w:rsidP="00321689">
      <w:pPr>
        <w:jc w:val="both"/>
        <w:rPr>
          <w:rFonts w:ascii="Verdana" w:hAnsi="Verdana" w:cs="Arial"/>
          <w:sz w:val="22"/>
          <w:szCs w:val="22"/>
        </w:rPr>
      </w:pPr>
    </w:p>
    <w:p w14:paraId="5F3A0EDA" w14:textId="77777777" w:rsidR="00321689" w:rsidRPr="00EC55C1" w:rsidRDefault="00321689" w:rsidP="00321689">
      <w:pPr>
        <w:jc w:val="both"/>
        <w:rPr>
          <w:rFonts w:ascii="Verdana" w:hAnsi="Verdana" w:cs="Arial"/>
          <w:sz w:val="21"/>
          <w:szCs w:val="21"/>
        </w:rPr>
      </w:pPr>
      <w:r w:rsidRPr="00EC55C1">
        <w:rPr>
          <w:rFonts w:ascii="Verdana" w:hAnsi="Verdana" w:cs="Arial"/>
          <w:sz w:val="21"/>
          <w:szCs w:val="21"/>
        </w:rPr>
        <w:t xml:space="preserve">En cuanto a la </w:t>
      </w:r>
      <w:r w:rsidRPr="00EC55C1">
        <w:rPr>
          <w:rFonts w:ascii="Verdana" w:hAnsi="Verdana" w:cs="Arial"/>
          <w:b/>
          <w:sz w:val="21"/>
          <w:szCs w:val="21"/>
        </w:rPr>
        <w:t>vigencia 2022</w:t>
      </w:r>
      <w:r w:rsidRPr="00EC55C1">
        <w:rPr>
          <w:rFonts w:ascii="Verdana" w:hAnsi="Verdana" w:cs="Arial"/>
          <w:sz w:val="21"/>
          <w:szCs w:val="21"/>
        </w:rPr>
        <w:t>, se reportaron los siguientes contratos:</w:t>
      </w:r>
    </w:p>
    <w:p w14:paraId="51589FD4" w14:textId="77777777" w:rsidR="00321689" w:rsidRPr="00EC55C1" w:rsidRDefault="00321689" w:rsidP="00321689">
      <w:pPr>
        <w:jc w:val="center"/>
        <w:rPr>
          <w:rFonts w:ascii="Verdana" w:hAnsi="Verdana" w:cs="Arial"/>
          <w:sz w:val="21"/>
          <w:szCs w:val="21"/>
        </w:rPr>
      </w:pPr>
    </w:p>
    <w:p w14:paraId="4FF871AA"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Imagen No 9</w:t>
      </w:r>
    </w:p>
    <w:p w14:paraId="092D64F2"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r>
        <w:rPr>
          <w:rFonts w:ascii="Verdana" w:eastAsia="ヒラギノ角ゴ Pro W3" w:hAnsi="Verdana" w:cs="Arial"/>
          <w:b/>
          <w:color w:val="B48C41"/>
          <w:sz w:val="18"/>
          <w:szCs w:val="18"/>
        </w:rPr>
        <w:t>Contratación PIC 2022</w:t>
      </w:r>
    </w:p>
    <w:p w14:paraId="2D8657C1" w14:textId="77777777" w:rsidR="00321689" w:rsidRDefault="00321689" w:rsidP="00321689">
      <w:pPr>
        <w:jc w:val="both"/>
        <w:rPr>
          <w:rFonts w:ascii="Verdana" w:eastAsiaTheme="minorHAnsi" w:hAnsi="Verdana" w:cs="Arial"/>
          <w:sz w:val="16"/>
          <w:szCs w:val="16"/>
        </w:rPr>
      </w:pPr>
      <w:r>
        <w:rPr>
          <w:noProof/>
          <w:lang w:val="es-CO" w:eastAsia="es-CO"/>
        </w:rPr>
        <w:drawing>
          <wp:inline distT="0" distB="0" distL="0" distR="0" wp14:anchorId="6601CAF1" wp14:editId="6DD373E9">
            <wp:extent cx="5759450" cy="2247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247900"/>
                    </a:xfrm>
                    <a:prstGeom prst="rect">
                      <a:avLst/>
                    </a:prstGeom>
                    <a:noFill/>
                    <a:ln>
                      <a:noFill/>
                    </a:ln>
                  </pic:spPr>
                </pic:pic>
              </a:graphicData>
            </a:graphic>
          </wp:inline>
        </w:drawing>
      </w:r>
    </w:p>
    <w:p w14:paraId="15E157AA" w14:textId="77777777" w:rsidR="00321689" w:rsidRDefault="00321689" w:rsidP="00AB0C16">
      <w:pPr>
        <w:jc w:val="center"/>
        <w:rPr>
          <w:rFonts w:ascii="Verdana" w:hAnsi="Verdana" w:cs="Arial"/>
          <w:sz w:val="16"/>
          <w:szCs w:val="16"/>
        </w:rPr>
      </w:pPr>
      <w:r>
        <w:rPr>
          <w:rFonts w:ascii="Verdana" w:hAnsi="Verdana" w:cs="Arial"/>
          <w:sz w:val="16"/>
          <w:szCs w:val="16"/>
        </w:rPr>
        <w:lastRenderedPageBreak/>
        <w:t>Fuente: Entidad territorial</w:t>
      </w:r>
    </w:p>
    <w:p w14:paraId="00ECD25A" w14:textId="77777777" w:rsidR="00321689" w:rsidRDefault="00321689" w:rsidP="00321689">
      <w:pPr>
        <w:jc w:val="both"/>
        <w:rPr>
          <w:rFonts w:ascii="Verdana" w:hAnsi="Verdana" w:cs="Arial"/>
          <w:sz w:val="22"/>
          <w:szCs w:val="22"/>
        </w:rPr>
      </w:pPr>
    </w:p>
    <w:p w14:paraId="184E8603" w14:textId="77777777" w:rsidR="00321689" w:rsidRPr="00EC55C1" w:rsidRDefault="00321689" w:rsidP="00321689">
      <w:pPr>
        <w:jc w:val="both"/>
        <w:rPr>
          <w:rFonts w:ascii="Verdana" w:hAnsi="Verdana" w:cs="Arial"/>
          <w:sz w:val="21"/>
          <w:szCs w:val="21"/>
        </w:rPr>
      </w:pPr>
      <w:r w:rsidRPr="00EC55C1">
        <w:rPr>
          <w:rFonts w:ascii="Verdana" w:hAnsi="Verdana" w:cs="Arial"/>
          <w:sz w:val="21"/>
          <w:szCs w:val="21"/>
        </w:rPr>
        <w:t>Se identificaron 17 contratos por valor de $3.016 millones, con fecha de inicio de actividades a partir del mes de agosto de 2022, incluso un contrato por $2.146 millones suscrito el 9 de diciembre de 2022.  De igual forma, al validar la información cargada en la plataforma SECOP II por la Entidad Territorial para estos contratos, no se encontraron los documentos de ejecución del mismo, ni se pudo verificar la existencia de</w:t>
      </w:r>
      <w:r>
        <w:rPr>
          <w:rFonts w:ascii="Verdana" w:hAnsi="Verdana" w:cs="Arial"/>
        </w:rPr>
        <w:t xml:space="preserve"> </w:t>
      </w:r>
      <w:r w:rsidRPr="00EC55C1">
        <w:rPr>
          <w:rFonts w:ascii="Verdana" w:hAnsi="Verdana" w:cs="Arial"/>
          <w:sz w:val="21"/>
          <w:szCs w:val="21"/>
        </w:rPr>
        <w:t xml:space="preserve">los informes de </w:t>
      </w:r>
      <w:r w:rsidR="009D7444">
        <w:rPr>
          <w:rFonts w:ascii="Verdana" w:hAnsi="Verdana" w:cs="Arial"/>
          <w:sz w:val="21"/>
          <w:szCs w:val="21"/>
        </w:rPr>
        <w:t xml:space="preserve">supervisión o </w:t>
      </w:r>
      <w:r w:rsidRPr="00EC55C1">
        <w:rPr>
          <w:rFonts w:ascii="Verdana" w:hAnsi="Verdana" w:cs="Arial"/>
          <w:sz w:val="21"/>
          <w:szCs w:val="21"/>
        </w:rPr>
        <w:t>interventoría, situación que se evidenció en las dos vigencias analizadas.</w:t>
      </w:r>
    </w:p>
    <w:p w14:paraId="1777E73A" w14:textId="77777777" w:rsidR="00321689" w:rsidRPr="00EC55C1" w:rsidRDefault="00321689" w:rsidP="00321689">
      <w:pPr>
        <w:jc w:val="both"/>
        <w:rPr>
          <w:rFonts w:ascii="Verdana" w:hAnsi="Verdana" w:cs="Arial"/>
          <w:sz w:val="21"/>
          <w:szCs w:val="21"/>
        </w:rPr>
      </w:pPr>
    </w:p>
    <w:p w14:paraId="6DEE5BA5" w14:textId="77777777" w:rsidR="00321689" w:rsidRPr="00EC55C1" w:rsidRDefault="00321689" w:rsidP="00321689">
      <w:pPr>
        <w:jc w:val="both"/>
        <w:rPr>
          <w:rFonts w:ascii="Verdana" w:hAnsi="Verdana" w:cs="Arial"/>
          <w:bCs/>
          <w:sz w:val="21"/>
          <w:szCs w:val="21"/>
        </w:rPr>
      </w:pPr>
      <w:r w:rsidRPr="00EC55C1">
        <w:rPr>
          <w:rFonts w:ascii="Verdana" w:hAnsi="Verdana" w:cs="Arial"/>
          <w:bCs/>
          <w:sz w:val="21"/>
          <w:szCs w:val="21"/>
        </w:rPr>
        <w:t xml:space="preserve">Por lo anterior, al verificar los </w:t>
      </w:r>
      <w:r w:rsidRPr="00EC55C1">
        <w:rPr>
          <w:rFonts w:ascii="Verdana" w:hAnsi="Verdana" w:cs="Arial"/>
          <w:sz w:val="21"/>
          <w:szCs w:val="21"/>
        </w:rPr>
        <w:t>parámetros de contratación establecidos en las Resoluciones 518 de 2015, y 3280 de 2018 para las intervenciones colectivas</w:t>
      </w:r>
      <w:r w:rsidRPr="00EC55C1">
        <w:rPr>
          <w:rFonts w:ascii="Verdana" w:hAnsi="Verdana" w:cs="Arial"/>
          <w:bCs/>
          <w:sz w:val="21"/>
          <w:szCs w:val="21"/>
        </w:rPr>
        <w:t xml:space="preserve"> con la fecha en la que la Entidad inició la contratación del PIC (último trimestre del año), se identifica falta de oportunidad en la contratación como en el giro de los recursos, debiéndose realizar en el primer trimestre, esto conforme con lo dispuesto en el artículo 5 de la Resolución 857 de 2020. </w:t>
      </w:r>
    </w:p>
    <w:p w14:paraId="6C3EBAA5" w14:textId="77777777" w:rsidR="00321689" w:rsidRPr="00EC55C1" w:rsidRDefault="00321689" w:rsidP="00321689">
      <w:pPr>
        <w:jc w:val="both"/>
        <w:rPr>
          <w:rFonts w:ascii="Verdana" w:hAnsi="Verdana" w:cs="Arial"/>
          <w:sz w:val="21"/>
          <w:szCs w:val="21"/>
        </w:rPr>
      </w:pPr>
    </w:p>
    <w:p w14:paraId="3D8B2B2D" w14:textId="77777777" w:rsidR="00321689" w:rsidRPr="00EC55C1" w:rsidRDefault="00321689" w:rsidP="00321689">
      <w:pPr>
        <w:pStyle w:val="Prrafodelista"/>
        <w:numPr>
          <w:ilvl w:val="3"/>
          <w:numId w:val="18"/>
        </w:numPr>
        <w:ind w:left="284" w:firstLine="0"/>
        <w:jc w:val="both"/>
        <w:rPr>
          <w:rFonts w:ascii="Verdana" w:hAnsi="Verdana" w:cs="Arial"/>
          <w:b/>
          <w:bCs/>
          <w:sz w:val="21"/>
          <w:szCs w:val="21"/>
        </w:rPr>
      </w:pPr>
      <w:r w:rsidRPr="00EC55C1">
        <w:rPr>
          <w:rFonts w:ascii="Verdana" w:hAnsi="Verdana" w:cs="Arial"/>
          <w:b/>
          <w:bCs/>
          <w:sz w:val="21"/>
          <w:szCs w:val="21"/>
        </w:rPr>
        <w:t>Gestión en Salud Pública.</w:t>
      </w:r>
    </w:p>
    <w:p w14:paraId="1F043218" w14:textId="77777777" w:rsidR="00321689" w:rsidRPr="00EC55C1" w:rsidRDefault="00321689" w:rsidP="00321689">
      <w:pPr>
        <w:jc w:val="both"/>
        <w:rPr>
          <w:rFonts w:ascii="Verdana" w:hAnsi="Verdana" w:cs="Arial"/>
          <w:b/>
          <w:bCs/>
          <w:sz w:val="21"/>
          <w:szCs w:val="21"/>
        </w:rPr>
      </w:pPr>
    </w:p>
    <w:p w14:paraId="7F0286E6" w14:textId="77777777" w:rsidR="00321689" w:rsidRPr="00EC55C1" w:rsidRDefault="00321689" w:rsidP="00321689">
      <w:pPr>
        <w:jc w:val="both"/>
        <w:rPr>
          <w:rFonts w:ascii="Verdana" w:hAnsi="Verdana" w:cs="Arial"/>
          <w:b/>
          <w:bCs/>
          <w:sz w:val="21"/>
          <w:szCs w:val="21"/>
        </w:rPr>
      </w:pPr>
      <w:r w:rsidRPr="00EC55C1">
        <w:rPr>
          <w:rFonts w:ascii="Verdana" w:hAnsi="Verdana" w:cs="Arial"/>
          <w:b/>
          <w:bCs/>
          <w:sz w:val="21"/>
          <w:szCs w:val="21"/>
        </w:rPr>
        <w:t>3.1 Análisis de los procesos de gestión de la Salud Publica financiados con el SGP:</w:t>
      </w:r>
    </w:p>
    <w:p w14:paraId="1EFE3100" w14:textId="77777777" w:rsidR="00321689" w:rsidRPr="00EC55C1" w:rsidRDefault="00321689" w:rsidP="00321689">
      <w:pPr>
        <w:jc w:val="both"/>
        <w:rPr>
          <w:rStyle w:val="contentpasted0"/>
          <w:rFonts w:ascii="Verdana" w:hAnsi="Verdana"/>
          <w:color w:val="000000"/>
          <w:sz w:val="21"/>
          <w:szCs w:val="21"/>
        </w:rPr>
      </w:pPr>
    </w:p>
    <w:p w14:paraId="18AA81D4" w14:textId="77777777" w:rsidR="00321689" w:rsidRDefault="004F48F3" w:rsidP="006771CF">
      <w:pPr>
        <w:pStyle w:val="Sinespaciado"/>
        <w:jc w:val="both"/>
        <w:rPr>
          <w:rStyle w:val="contentpasted0"/>
          <w:rFonts w:ascii="Verdana" w:eastAsia="Times New Roman" w:hAnsi="Verdana" w:cs="Arial"/>
          <w:color w:val="000000"/>
          <w:sz w:val="21"/>
          <w:szCs w:val="21"/>
        </w:rPr>
      </w:pPr>
      <w:r>
        <w:rPr>
          <w:rStyle w:val="contentpasted0"/>
          <w:rFonts w:ascii="Verdana" w:eastAsia="Times New Roman" w:hAnsi="Verdana" w:cs="Arial"/>
          <w:color w:val="000000"/>
          <w:sz w:val="21"/>
          <w:szCs w:val="21"/>
        </w:rPr>
        <w:t>L</w:t>
      </w:r>
      <w:r w:rsidR="00321689">
        <w:rPr>
          <w:rStyle w:val="contentpasted0"/>
          <w:rFonts w:ascii="Verdana" w:eastAsia="Times New Roman" w:hAnsi="Verdana" w:cs="Arial"/>
          <w:color w:val="000000"/>
          <w:sz w:val="21"/>
          <w:szCs w:val="21"/>
        </w:rPr>
        <w:t xml:space="preserve">a Entidad Territorial entregó la matriz que contiene los procesos y los productos esperados a su nivel de gobierno teniendo en cuenta el documento técnico expedido por el MSPS </w:t>
      </w:r>
      <w:r w:rsidR="00321689">
        <w:rPr>
          <w:rStyle w:val="contentpasted0"/>
          <w:rFonts w:ascii="Verdana" w:eastAsia="Times New Roman" w:hAnsi="Verdana" w:cs="Arial"/>
          <w:i/>
          <w:color w:val="000000"/>
          <w:sz w:val="21"/>
          <w:szCs w:val="21"/>
        </w:rPr>
        <w:t>"Directrices para la caracterización y ejecución de los procesos para la Gestión de la Salud Pública en el contexto de la Política de Atención Integral en Salud</w:t>
      </w:r>
      <w:r w:rsidR="00321689">
        <w:rPr>
          <w:rStyle w:val="contentpasted0"/>
          <w:rFonts w:ascii="Verdana" w:eastAsia="Times New Roman" w:hAnsi="Verdana" w:cs="Arial"/>
          <w:color w:val="000000"/>
          <w:sz w:val="21"/>
          <w:szCs w:val="21"/>
        </w:rPr>
        <w:t>"</w:t>
      </w:r>
      <w:r w:rsidR="00565042">
        <w:rPr>
          <w:rStyle w:val="contentpasted0"/>
          <w:rFonts w:ascii="Verdana" w:eastAsia="Times New Roman" w:hAnsi="Verdana" w:cs="Arial"/>
          <w:color w:val="000000"/>
          <w:sz w:val="21"/>
          <w:szCs w:val="21"/>
        </w:rPr>
        <w:t>.</w:t>
      </w:r>
      <w:r w:rsidR="00321689">
        <w:rPr>
          <w:rStyle w:val="contentpasted0"/>
          <w:rFonts w:ascii="Verdana" w:eastAsia="Times New Roman" w:hAnsi="Verdana" w:cs="Arial"/>
          <w:color w:val="000000"/>
          <w:sz w:val="21"/>
          <w:szCs w:val="21"/>
        </w:rPr>
        <w:t xml:space="preserve"> </w:t>
      </w:r>
    </w:p>
    <w:p w14:paraId="604357AA" w14:textId="77777777" w:rsidR="006D325F" w:rsidRDefault="006D325F" w:rsidP="00321689">
      <w:pPr>
        <w:jc w:val="both"/>
        <w:rPr>
          <w:rStyle w:val="contentpasted0"/>
          <w:rFonts w:ascii="Verdana" w:hAnsi="Verdana" w:cs="Arial"/>
          <w:color w:val="000000"/>
          <w:sz w:val="21"/>
          <w:szCs w:val="21"/>
        </w:rPr>
      </w:pPr>
    </w:p>
    <w:p w14:paraId="1286F0B3" w14:textId="77777777" w:rsidR="00321689" w:rsidRDefault="00321689" w:rsidP="00321689">
      <w:pPr>
        <w:jc w:val="both"/>
        <w:rPr>
          <w:rStyle w:val="contentpasted0"/>
          <w:rFonts w:ascii="Verdana" w:eastAsiaTheme="minorHAnsi" w:hAnsi="Verdana" w:cs="Arial"/>
          <w:color w:val="000000"/>
          <w:sz w:val="21"/>
          <w:szCs w:val="21"/>
        </w:rPr>
      </w:pPr>
      <w:r>
        <w:rPr>
          <w:rStyle w:val="contentpasted0"/>
          <w:rFonts w:ascii="Verdana" w:hAnsi="Verdana" w:cs="Arial"/>
          <w:color w:val="000000"/>
          <w:sz w:val="21"/>
          <w:szCs w:val="21"/>
        </w:rPr>
        <w:t>A</w:t>
      </w:r>
      <w:r>
        <w:rPr>
          <w:rStyle w:val="contentpasted0"/>
          <w:rFonts w:ascii="Verdana" w:eastAsia="Times New Roman" w:hAnsi="Verdana" w:cs="Arial"/>
          <w:color w:val="000000"/>
          <w:sz w:val="21"/>
          <w:szCs w:val="21"/>
        </w:rPr>
        <w:t>l validar la información entregada por la Entidad</w:t>
      </w:r>
      <w:r w:rsidR="00565042">
        <w:rPr>
          <w:rStyle w:val="contentpasted0"/>
          <w:rFonts w:ascii="Verdana" w:eastAsia="Times New Roman" w:hAnsi="Verdana" w:cs="Arial"/>
          <w:color w:val="000000"/>
          <w:sz w:val="21"/>
          <w:szCs w:val="21"/>
        </w:rPr>
        <w:t>,</w:t>
      </w:r>
      <w:r>
        <w:rPr>
          <w:rStyle w:val="contentpasted0"/>
          <w:rFonts w:ascii="Verdana" w:eastAsia="Times New Roman" w:hAnsi="Verdana" w:cs="Arial"/>
          <w:color w:val="000000"/>
          <w:sz w:val="21"/>
          <w:szCs w:val="21"/>
        </w:rPr>
        <w:t xml:space="preserve"> en la matriz referente a las actividades desarrolladas para dar cumplimiento a los productos esperados</w:t>
      </w:r>
      <w:r w:rsidR="00565042">
        <w:rPr>
          <w:rStyle w:val="contentpasted0"/>
          <w:rFonts w:ascii="Verdana" w:eastAsia="Times New Roman" w:hAnsi="Verdana" w:cs="Arial"/>
          <w:color w:val="000000"/>
          <w:sz w:val="21"/>
          <w:szCs w:val="21"/>
        </w:rPr>
        <w:t>,</w:t>
      </w:r>
      <w:r>
        <w:rPr>
          <w:rStyle w:val="contentpasted0"/>
          <w:rFonts w:ascii="Verdana" w:hAnsi="Verdana" w:cs="Arial"/>
          <w:color w:val="000000"/>
          <w:sz w:val="21"/>
          <w:szCs w:val="21"/>
        </w:rPr>
        <w:t xml:space="preserve"> se encontró que los productos esperados, las acciones y las evidencias</w:t>
      </w:r>
      <w:r>
        <w:rPr>
          <w:rStyle w:val="contentpasted0"/>
          <w:rFonts w:ascii="Verdana" w:eastAsia="Times New Roman" w:hAnsi="Verdana" w:cs="Arial"/>
          <w:color w:val="000000"/>
          <w:sz w:val="21"/>
          <w:szCs w:val="21"/>
        </w:rPr>
        <w:t xml:space="preserve"> son consistentes </w:t>
      </w:r>
      <w:r>
        <w:rPr>
          <w:rStyle w:val="contentpasted0"/>
          <w:rFonts w:ascii="Verdana" w:hAnsi="Verdana" w:cs="Arial"/>
          <w:color w:val="000000"/>
          <w:sz w:val="21"/>
          <w:szCs w:val="21"/>
        </w:rPr>
        <w:t xml:space="preserve">con los avances reportados y las metas definidas en el plan de acción en salud y responden a los productos </w:t>
      </w:r>
      <w:r w:rsidR="00096CD2">
        <w:rPr>
          <w:rStyle w:val="contentpasted0"/>
          <w:rFonts w:ascii="Verdana" w:hAnsi="Verdana" w:cs="Arial"/>
          <w:color w:val="000000"/>
          <w:sz w:val="21"/>
          <w:szCs w:val="21"/>
        </w:rPr>
        <w:t>definidos para el ámbito territorial frente a cada uno de los procesos de la gestión de la salud, por lo que no se evidencian riesgos asociados.</w:t>
      </w:r>
    </w:p>
    <w:p w14:paraId="5DCCB1A2" w14:textId="77777777" w:rsidR="00321689" w:rsidRDefault="00321689" w:rsidP="00321689">
      <w:pPr>
        <w:jc w:val="both"/>
        <w:rPr>
          <w:rStyle w:val="contentpasted0"/>
          <w:rFonts w:ascii="Verdana" w:hAnsi="Verdana" w:cs="Arial"/>
          <w:color w:val="000000"/>
          <w:sz w:val="21"/>
          <w:szCs w:val="21"/>
        </w:rPr>
      </w:pPr>
    </w:p>
    <w:p w14:paraId="10C76CF2" w14:textId="77777777" w:rsidR="00321689" w:rsidRDefault="00321689" w:rsidP="00321689">
      <w:pPr>
        <w:jc w:val="both"/>
        <w:rPr>
          <w:b/>
          <w:bCs/>
        </w:rPr>
      </w:pPr>
      <w:r>
        <w:rPr>
          <w:rFonts w:ascii="Verdana" w:hAnsi="Verdana" w:cs="Arial"/>
          <w:b/>
          <w:bCs/>
          <w:sz w:val="21"/>
          <w:szCs w:val="21"/>
        </w:rPr>
        <w:t>3.2 Contratación gestión de la Salud Pública 2021 y 2022.</w:t>
      </w:r>
    </w:p>
    <w:p w14:paraId="4DAB3244" w14:textId="77777777" w:rsidR="00321689" w:rsidRDefault="00321689" w:rsidP="00321689">
      <w:pPr>
        <w:jc w:val="both"/>
        <w:rPr>
          <w:rFonts w:ascii="Verdana" w:hAnsi="Verdana" w:cs="Arial"/>
          <w:bCs/>
          <w:sz w:val="21"/>
          <w:szCs w:val="21"/>
        </w:rPr>
      </w:pPr>
    </w:p>
    <w:p w14:paraId="3BB436F1" w14:textId="77777777" w:rsidR="00321689" w:rsidRDefault="00321689" w:rsidP="00321689">
      <w:pPr>
        <w:jc w:val="both"/>
        <w:rPr>
          <w:rFonts w:ascii="Verdana" w:hAnsi="Verdana" w:cs="Arial"/>
          <w:bCs/>
          <w:sz w:val="21"/>
          <w:szCs w:val="21"/>
        </w:rPr>
      </w:pPr>
      <w:r>
        <w:rPr>
          <w:rFonts w:ascii="Verdana" w:hAnsi="Verdana" w:cs="Arial"/>
          <w:bCs/>
          <w:sz w:val="21"/>
          <w:szCs w:val="21"/>
        </w:rPr>
        <w:t xml:space="preserve">Para la ejecución de acciones relacionadas con la gestión de la Salud Pública en la vigencia 2021 la Entidad reporta un total de doscientos ochenta (280) contratos, comprometiendo un total de $4.504 millones provenientes del SGP - Salud Pública. </w:t>
      </w:r>
    </w:p>
    <w:p w14:paraId="0BAC8608" w14:textId="77777777" w:rsidR="00321689" w:rsidRDefault="00321689" w:rsidP="00321689">
      <w:pPr>
        <w:jc w:val="both"/>
        <w:rPr>
          <w:rFonts w:ascii="Verdana" w:hAnsi="Verdana" w:cs="Arial"/>
          <w:bCs/>
          <w:sz w:val="21"/>
          <w:szCs w:val="21"/>
        </w:rPr>
      </w:pPr>
      <w:r>
        <w:rPr>
          <w:rFonts w:ascii="Verdana" w:hAnsi="Verdana" w:cs="Arial"/>
          <w:bCs/>
          <w:sz w:val="21"/>
          <w:szCs w:val="21"/>
        </w:rPr>
        <w:t>En ese orden de acuerdo con la modalidad de selección se evidenció lo siguiente:</w:t>
      </w:r>
    </w:p>
    <w:p w14:paraId="749EA982" w14:textId="77777777" w:rsidR="00321689" w:rsidRDefault="00321689" w:rsidP="00321689">
      <w:pPr>
        <w:jc w:val="both"/>
        <w:rPr>
          <w:rFonts w:ascii="Verdana" w:hAnsi="Verdana" w:cs="Arial"/>
          <w:bCs/>
          <w:sz w:val="21"/>
          <w:szCs w:val="21"/>
        </w:rPr>
      </w:pPr>
    </w:p>
    <w:tbl>
      <w:tblPr>
        <w:tblW w:w="4550" w:type="pct"/>
        <w:jc w:val="center"/>
        <w:tblCellMar>
          <w:left w:w="70" w:type="dxa"/>
          <w:right w:w="70" w:type="dxa"/>
        </w:tblCellMar>
        <w:tblLook w:val="04A0" w:firstRow="1" w:lastRow="0" w:firstColumn="1" w:lastColumn="0" w:noHBand="0" w:noVBand="1"/>
      </w:tblPr>
      <w:tblGrid>
        <w:gridCol w:w="3490"/>
        <w:gridCol w:w="2603"/>
        <w:gridCol w:w="1940"/>
      </w:tblGrid>
      <w:tr w:rsidR="00321689" w14:paraId="08090AB3" w14:textId="77777777" w:rsidTr="00321689">
        <w:trPr>
          <w:trHeight w:val="251"/>
          <w:jc w:val="center"/>
        </w:trPr>
        <w:tc>
          <w:tcPr>
            <w:tcW w:w="5000" w:type="pct"/>
            <w:gridSpan w:val="3"/>
            <w:tcBorders>
              <w:top w:val="single" w:sz="4" w:space="0" w:color="1F4E78"/>
              <w:left w:val="single" w:sz="4" w:space="0" w:color="1F4E78"/>
              <w:bottom w:val="single" w:sz="4" w:space="0" w:color="1F4E78"/>
              <w:right w:val="single" w:sz="4" w:space="0" w:color="1F4E78"/>
            </w:tcBorders>
            <w:shd w:val="clear" w:color="auto" w:fill="B48C41"/>
            <w:noWrap/>
            <w:vAlign w:val="bottom"/>
            <w:hideMark/>
          </w:tcPr>
          <w:p w14:paraId="05D9E0CF" w14:textId="77777777" w:rsidR="00321689" w:rsidRDefault="00321689">
            <w:pPr>
              <w:jc w:val="center"/>
              <w:rPr>
                <w:rFonts w:ascii="Verdana" w:hAnsi="Verdana" w:cs="Calibri"/>
                <w:color w:val="FFFFFF"/>
                <w:sz w:val="16"/>
                <w:szCs w:val="16"/>
              </w:rPr>
            </w:pPr>
            <w:r>
              <w:rPr>
                <w:rFonts w:ascii="Verdana" w:hAnsi="Verdana"/>
                <w:color w:val="FFFFFF"/>
                <w:sz w:val="16"/>
                <w:szCs w:val="16"/>
              </w:rPr>
              <w:t>Tabla No 13</w:t>
            </w:r>
          </w:p>
          <w:p w14:paraId="12920CFD" w14:textId="77777777" w:rsidR="00321689" w:rsidRDefault="00321689">
            <w:pPr>
              <w:jc w:val="center"/>
              <w:rPr>
                <w:rFonts w:ascii="Verdana" w:eastAsia="Times New Roman" w:hAnsi="Verdana"/>
                <w:color w:val="FFFFFF"/>
                <w:sz w:val="16"/>
                <w:szCs w:val="16"/>
                <w:lang w:eastAsia="es-CO"/>
              </w:rPr>
            </w:pPr>
            <w:r>
              <w:rPr>
                <w:rFonts w:ascii="Verdana" w:hAnsi="Verdana"/>
                <w:color w:val="FFFFFF"/>
                <w:sz w:val="16"/>
                <w:szCs w:val="16"/>
              </w:rPr>
              <w:t xml:space="preserve"> </w:t>
            </w:r>
            <w:r>
              <w:rPr>
                <w:rFonts w:ascii="Verdana" w:eastAsia="Times New Roman" w:hAnsi="Verdana"/>
                <w:color w:val="FFFFFF"/>
                <w:sz w:val="16"/>
                <w:szCs w:val="16"/>
                <w:lang w:eastAsia="es-CO"/>
              </w:rPr>
              <w:t>Vigencia 202</w:t>
            </w:r>
            <w:r w:rsidR="00345E62">
              <w:rPr>
                <w:rFonts w:ascii="Verdana" w:eastAsia="Times New Roman" w:hAnsi="Verdana"/>
                <w:color w:val="FFFFFF"/>
                <w:sz w:val="16"/>
                <w:szCs w:val="16"/>
                <w:lang w:eastAsia="es-CO"/>
              </w:rPr>
              <w:t>1</w:t>
            </w:r>
            <w:r>
              <w:rPr>
                <w:rFonts w:ascii="Verdana" w:eastAsia="Times New Roman" w:hAnsi="Verdana"/>
                <w:color w:val="FFFFFF"/>
                <w:sz w:val="16"/>
                <w:szCs w:val="16"/>
                <w:lang w:eastAsia="es-CO"/>
              </w:rPr>
              <w:t xml:space="preserve"> (valores en millones)</w:t>
            </w:r>
          </w:p>
        </w:tc>
      </w:tr>
      <w:tr w:rsidR="00321689" w14:paraId="6D0113C2" w14:textId="77777777" w:rsidTr="00321689">
        <w:trPr>
          <w:trHeight w:val="251"/>
          <w:jc w:val="center"/>
        </w:trPr>
        <w:tc>
          <w:tcPr>
            <w:tcW w:w="2172" w:type="pct"/>
            <w:tcBorders>
              <w:top w:val="nil"/>
              <w:left w:val="single" w:sz="4" w:space="0" w:color="1F4E78"/>
              <w:bottom w:val="single" w:sz="4" w:space="0" w:color="1F4E78"/>
              <w:right w:val="single" w:sz="4" w:space="0" w:color="1F4E78"/>
            </w:tcBorders>
            <w:shd w:val="clear" w:color="auto" w:fill="B48C41"/>
            <w:noWrap/>
            <w:vAlign w:val="bottom"/>
            <w:hideMark/>
          </w:tcPr>
          <w:p w14:paraId="5DEC1EC3" w14:textId="77777777" w:rsidR="00321689" w:rsidRDefault="00321689">
            <w:pPr>
              <w:rPr>
                <w:rFonts w:ascii="Verdana" w:eastAsia="Times New Roman" w:hAnsi="Verdana" w:cs="Arial"/>
                <w:color w:val="FFFFFF"/>
                <w:sz w:val="18"/>
                <w:szCs w:val="18"/>
                <w:lang w:eastAsia="es-CO"/>
              </w:rPr>
            </w:pPr>
            <w:r>
              <w:rPr>
                <w:rFonts w:ascii="Verdana" w:eastAsia="Times New Roman" w:hAnsi="Verdana" w:cs="Arial"/>
                <w:color w:val="FFFFFF"/>
                <w:sz w:val="18"/>
                <w:szCs w:val="18"/>
                <w:lang w:eastAsia="es-CO"/>
              </w:rPr>
              <w:t>MODALIDAD DE SELECCIÓN</w:t>
            </w:r>
          </w:p>
        </w:tc>
        <w:tc>
          <w:tcPr>
            <w:tcW w:w="1620" w:type="pct"/>
            <w:tcBorders>
              <w:top w:val="nil"/>
              <w:left w:val="nil"/>
              <w:bottom w:val="single" w:sz="4" w:space="0" w:color="1F4E78"/>
              <w:right w:val="single" w:sz="4" w:space="0" w:color="1F4E78"/>
            </w:tcBorders>
            <w:shd w:val="clear" w:color="auto" w:fill="B48C41"/>
            <w:noWrap/>
            <w:vAlign w:val="bottom"/>
            <w:hideMark/>
          </w:tcPr>
          <w:p w14:paraId="4664FF59" w14:textId="77777777" w:rsidR="00321689" w:rsidRDefault="00321689">
            <w:pPr>
              <w:jc w:val="center"/>
              <w:rPr>
                <w:rFonts w:ascii="Verdana" w:eastAsia="Times New Roman" w:hAnsi="Verdana" w:cs="Calibri"/>
                <w:color w:val="FFFFFF"/>
                <w:sz w:val="16"/>
                <w:szCs w:val="16"/>
                <w:lang w:eastAsia="es-CO"/>
              </w:rPr>
            </w:pPr>
            <w:r>
              <w:rPr>
                <w:rFonts w:ascii="Verdana" w:eastAsia="Times New Roman" w:hAnsi="Verdana"/>
                <w:color w:val="FFFFFF"/>
                <w:sz w:val="16"/>
                <w:szCs w:val="16"/>
                <w:lang w:eastAsia="es-CO"/>
              </w:rPr>
              <w:t xml:space="preserve"> VALOR FINAL DEL CONTRATO</w:t>
            </w:r>
          </w:p>
        </w:tc>
        <w:tc>
          <w:tcPr>
            <w:tcW w:w="1208" w:type="pct"/>
            <w:tcBorders>
              <w:top w:val="nil"/>
              <w:left w:val="nil"/>
              <w:bottom w:val="single" w:sz="4" w:space="0" w:color="1F4E78"/>
              <w:right w:val="single" w:sz="4" w:space="0" w:color="1F4E78"/>
            </w:tcBorders>
            <w:shd w:val="clear" w:color="auto" w:fill="B48C41"/>
            <w:noWrap/>
            <w:vAlign w:val="bottom"/>
            <w:hideMark/>
          </w:tcPr>
          <w:p w14:paraId="2BA4D160" w14:textId="77777777" w:rsidR="00321689" w:rsidRDefault="00321689">
            <w:pPr>
              <w:jc w:val="center"/>
              <w:rPr>
                <w:rFonts w:ascii="Verdana" w:eastAsia="Times New Roman" w:hAnsi="Verdana"/>
                <w:color w:val="FFFFFF"/>
                <w:sz w:val="16"/>
                <w:szCs w:val="16"/>
                <w:lang w:eastAsia="es-CO"/>
              </w:rPr>
            </w:pPr>
            <w:r>
              <w:rPr>
                <w:rFonts w:ascii="Verdana" w:eastAsia="Times New Roman" w:hAnsi="Verdana"/>
                <w:color w:val="FFFFFF"/>
                <w:sz w:val="16"/>
                <w:szCs w:val="16"/>
                <w:lang w:eastAsia="es-CO"/>
              </w:rPr>
              <w:t>Cantidad de Contratos</w:t>
            </w:r>
          </w:p>
        </w:tc>
      </w:tr>
      <w:tr w:rsidR="00321689" w14:paraId="289FE8E0" w14:textId="77777777" w:rsidTr="00321689">
        <w:trPr>
          <w:trHeight w:val="251"/>
          <w:jc w:val="center"/>
        </w:trPr>
        <w:tc>
          <w:tcPr>
            <w:tcW w:w="2172" w:type="pct"/>
            <w:tcBorders>
              <w:top w:val="nil"/>
              <w:left w:val="single" w:sz="4" w:space="0" w:color="1F4E78"/>
              <w:bottom w:val="single" w:sz="4" w:space="0" w:color="1F4E78"/>
              <w:right w:val="single" w:sz="4" w:space="0" w:color="1F4E78"/>
            </w:tcBorders>
            <w:noWrap/>
            <w:vAlign w:val="bottom"/>
            <w:hideMark/>
          </w:tcPr>
          <w:p w14:paraId="5D5FE90B" w14:textId="77777777" w:rsidR="00321689" w:rsidRDefault="00321689">
            <w:pP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 xml:space="preserve"> CONTRATACIÓN DIRECTA </w:t>
            </w:r>
          </w:p>
        </w:tc>
        <w:tc>
          <w:tcPr>
            <w:tcW w:w="1620" w:type="pct"/>
            <w:tcBorders>
              <w:top w:val="nil"/>
              <w:left w:val="nil"/>
              <w:bottom w:val="single" w:sz="4" w:space="0" w:color="1F4E78"/>
              <w:right w:val="single" w:sz="4" w:space="0" w:color="1F4E78"/>
            </w:tcBorders>
            <w:noWrap/>
            <w:vAlign w:val="bottom"/>
            <w:hideMark/>
          </w:tcPr>
          <w:p w14:paraId="437C36AB" w14:textId="77777777" w:rsidR="00321689" w:rsidRDefault="00321689">
            <w:pPr>
              <w:jc w:val="center"/>
              <w:rPr>
                <w:rFonts w:ascii="Verdana" w:eastAsia="Times New Roman" w:hAnsi="Verdana" w:cs="Arial"/>
                <w:color w:val="000000"/>
                <w:sz w:val="18"/>
                <w:szCs w:val="18"/>
                <w:lang w:eastAsia="es-CO"/>
              </w:rPr>
            </w:pPr>
            <w:r>
              <w:rPr>
                <w:rFonts w:ascii="Verdana" w:hAnsi="Verdana" w:cs="Arial"/>
                <w:color w:val="000000"/>
                <w:sz w:val="18"/>
                <w:szCs w:val="18"/>
              </w:rPr>
              <w:t>$4.471</w:t>
            </w:r>
          </w:p>
        </w:tc>
        <w:tc>
          <w:tcPr>
            <w:tcW w:w="1208" w:type="pct"/>
            <w:tcBorders>
              <w:top w:val="nil"/>
              <w:left w:val="nil"/>
              <w:bottom w:val="single" w:sz="4" w:space="0" w:color="1F4E78"/>
              <w:right w:val="single" w:sz="4" w:space="0" w:color="1F4E78"/>
            </w:tcBorders>
            <w:noWrap/>
            <w:vAlign w:val="bottom"/>
            <w:hideMark/>
          </w:tcPr>
          <w:p w14:paraId="0F4A18A3" w14:textId="77777777" w:rsidR="00321689" w:rsidRDefault="00321689">
            <w:pPr>
              <w:jc w:val="right"/>
              <w:rPr>
                <w:rFonts w:ascii="Verdana" w:eastAsia="Times New Roman" w:hAnsi="Verdana" w:cs="Arial"/>
                <w:color w:val="000000"/>
                <w:sz w:val="18"/>
                <w:szCs w:val="18"/>
                <w:lang w:eastAsia="es-CO"/>
              </w:rPr>
            </w:pPr>
            <w:r>
              <w:rPr>
                <w:rFonts w:ascii="Verdana" w:hAnsi="Verdana" w:cs="Arial"/>
                <w:color w:val="000000"/>
                <w:sz w:val="18"/>
                <w:szCs w:val="18"/>
              </w:rPr>
              <w:t>199</w:t>
            </w:r>
          </w:p>
        </w:tc>
      </w:tr>
      <w:tr w:rsidR="00321689" w14:paraId="395925E8" w14:textId="77777777" w:rsidTr="00321689">
        <w:trPr>
          <w:trHeight w:val="251"/>
          <w:jc w:val="center"/>
        </w:trPr>
        <w:tc>
          <w:tcPr>
            <w:tcW w:w="2172" w:type="pct"/>
            <w:tcBorders>
              <w:top w:val="nil"/>
              <w:left w:val="single" w:sz="4" w:space="0" w:color="1F4E78"/>
              <w:bottom w:val="single" w:sz="4" w:space="0" w:color="1F4E78"/>
              <w:right w:val="single" w:sz="4" w:space="0" w:color="1F4E78"/>
            </w:tcBorders>
            <w:noWrap/>
            <w:vAlign w:val="bottom"/>
            <w:hideMark/>
          </w:tcPr>
          <w:p w14:paraId="19B5B40A" w14:textId="77777777" w:rsidR="00321689" w:rsidRDefault="00321689">
            <w:pP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 xml:space="preserve"> PROCESO CO</w:t>
            </w:r>
            <w:r>
              <w:rPr>
                <w:rFonts w:ascii="Verdana" w:eastAsia="Times New Roman" w:hAnsi="Verdana"/>
                <w:sz w:val="18"/>
                <w:szCs w:val="18"/>
                <w:lang w:eastAsia="es-CO"/>
              </w:rPr>
              <w:t>NVOCATORIA PÚBLICA</w:t>
            </w:r>
          </w:p>
        </w:tc>
        <w:tc>
          <w:tcPr>
            <w:tcW w:w="1620" w:type="pct"/>
            <w:tcBorders>
              <w:top w:val="nil"/>
              <w:left w:val="nil"/>
              <w:bottom w:val="single" w:sz="4" w:space="0" w:color="1F4E78"/>
              <w:right w:val="single" w:sz="4" w:space="0" w:color="1F4E78"/>
            </w:tcBorders>
            <w:noWrap/>
            <w:vAlign w:val="bottom"/>
            <w:hideMark/>
          </w:tcPr>
          <w:p w14:paraId="6AC8B53A" w14:textId="77777777" w:rsidR="00321689" w:rsidRDefault="00321689">
            <w:pPr>
              <w:jc w:val="center"/>
              <w:rPr>
                <w:rFonts w:ascii="Verdana" w:eastAsia="Times New Roman" w:hAnsi="Verdana" w:cs="Arial"/>
                <w:color w:val="000000"/>
                <w:sz w:val="18"/>
                <w:szCs w:val="18"/>
                <w:lang w:eastAsia="es-CO"/>
              </w:rPr>
            </w:pPr>
            <w:r>
              <w:rPr>
                <w:rFonts w:ascii="Verdana" w:hAnsi="Verdana" w:cs="Arial"/>
                <w:color w:val="000000"/>
                <w:sz w:val="18"/>
                <w:szCs w:val="18"/>
              </w:rPr>
              <w:t xml:space="preserve">     $32</w:t>
            </w:r>
          </w:p>
        </w:tc>
        <w:tc>
          <w:tcPr>
            <w:tcW w:w="1208" w:type="pct"/>
            <w:tcBorders>
              <w:top w:val="nil"/>
              <w:left w:val="nil"/>
              <w:bottom w:val="single" w:sz="4" w:space="0" w:color="1F4E78"/>
              <w:right w:val="single" w:sz="4" w:space="0" w:color="1F4E78"/>
            </w:tcBorders>
            <w:noWrap/>
            <w:vAlign w:val="bottom"/>
            <w:hideMark/>
          </w:tcPr>
          <w:p w14:paraId="30DD6ADB" w14:textId="77777777" w:rsidR="00321689" w:rsidRDefault="00321689">
            <w:pPr>
              <w:jc w:val="right"/>
              <w:rPr>
                <w:rFonts w:ascii="Verdana" w:eastAsia="Times New Roman" w:hAnsi="Verdana" w:cs="Arial"/>
                <w:color w:val="000000"/>
                <w:sz w:val="18"/>
                <w:szCs w:val="18"/>
                <w:lang w:eastAsia="es-CO"/>
              </w:rPr>
            </w:pPr>
            <w:r>
              <w:rPr>
                <w:rFonts w:ascii="Verdana" w:hAnsi="Verdana" w:cs="Arial"/>
                <w:color w:val="000000"/>
                <w:sz w:val="18"/>
                <w:szCs w:val="18"/>
              </w:rPr>
              <w:t>2</w:t>
            </w:r>
          </w:p>
        </w:tc>
      </w:tr>
      <w:tr w:rsidR="00321689" w14:paraId="2C524813" w14:textId="77777777" w:rsidTr="00321689">
        <w:trPr>
          <w:trHeight w:val="251"/>
          <w:jc w:val="center"/>
        </w:trPr>
        <w:tc>
          <w:tcPr>
            <w:tcW w:w="2172" w:type="pct"/>
            <w:tcBorders>
              <w:top w:val="nil"/>
              <w:left w:val="single" w:sz="4" w:space="0" w:color="1F4E78"/>
              <w:bottom w:val="single" w:sz="4" w:space="0" w:color="1F4E78"/>
              <w:right w:val="single" w:sz="4" w:space="0" w:color="1F4E78"/>
            </w:tcBorders>
            <w:noWrap/>
            <w:vAlign w:val="bottom"/>
            <w:hideMark/>
          </w:tcPr>
          <w:p w14:paraId="2C1000A9" w14:textId="77777777" w:rsidR="00321689" w:rsidRDefault="00321689">
            <w:pP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 xml:space="preserve"> Total </w:t>
            </w:r>
          </w:p>
        </w:tc>
        <w:tc>
          <w:tcPr>
            <w:tcW w:w="1620" w:type="pct"/>
            <w:tcBorders>
              <w:top w:val="nil"/>
              <w:left w:val="nil"/>
              <w:bottom w:val="single" w:sz="4" w:space="0" w:color="1F4E78"/>
              <w:right w:val="single" w:sz="4" w:space="0" w:color="1F4E78"/>
            </w:tcBorders>
            <w:noWrap/>
            <w:vAlign w:val="bottom"/>
            <w:hideMark/>
          </w:tcPr>
          <w:p w14:paraId="7CF622E4" w14:textId="77777777" w:rsidR="00321689" w:rsidRDefault="00321689">
            <w:pPr>
              <w:jc w:val="center"/>
              <w:rPr>
                <w:rFonts w:ascii="Verdana" w:eastAsia="Times New Roman" w:hAnsi="Verdana" w:cs="Arial"/>
                <w:color w:val="000000"/>
                <w:sz w:val="18"/>
                <w:szCs w:val="18"/>
                <w:lang w:eastAsia="es-CO"/>
              </w:rPr>
            </w:pPr>
            <w:r>
              <w:rPr>
                <w:rFonts w:ascii="Verdana" w:hAnsi="Verdana" w:cs="Arial"/>
                <w:color w:val="000000"/>
                <w:sz w:val="18"/>
                <w:szCs w:val="18"/>
              </w:rPr>
              <w:t xml:space="preserve"> $4.504</w:t>
            </w:r>
          </w:p>
        </w:tc>
        <w:tc>
          <w:tcPr>
            <w:tcW w:w="1208" w:type="pct"/>
            <w:tcBorders>
              <w:top w:val="nil"/>
              <w:left w:val="nil"/>
              <w:bottom w:val="single" w:sz="4" w:space="0" w:color="1F4E78"/>
              <w:right w:val="single" w:sz="4" w:space="0" w:color="1F4E78"/>
            </w:tcBorders>
            <w:noWrap/>
            <w:vAlign w:val="bottom"/>
            <w:hideMark/>
          </w:tcPr>
          <w:p w14:paraId="09A57A52" w14:textId="77777777" w:rsidR="00321689" w:rsidRDefault="00321689">
            <w:pPr>
              <w:jc w:val="right"/>
              <w:rPr>
                <w:rFonts w:ascii="Verdana" w:eastAsia="Times New Roman" w:hAnsi="Verdana" w:cs="Arial"/>
                <w:color w:val="000000"/>
                <w:sz w:val="18"/>
                <w:szCs w:val="18"/>
                <w:lang w:eastAsia="es-CO"/>
              </w:rPr>
            </w:pPr>
            <w:r>
              <w:rPr>
                <w:rFonts w:ascii="Verdana" w:hAnsi="Verdana" w:cs="Arial"/>
                <w:color w:val="000000"/>
                <w:sz w:val="18"/>
                <w:szCs w:val="18"/>
              </w:rPr>
              <w:t>201</w:t>
            </w:r>
          </w:p>
        </w:tc>
      </w:tr>
    </w:tbl>
    <w:p w14:paraId="6BA3C1CA" w14:textId="77777777" w:rsidR="00321689" w:rsidRDefault="00321689" w:rsidP="00AB0C16">
      <w:pPr>
        <w:jc w:val="center"/>
        <w:rPr>
          <w:rStyle w:val="contentpasted0"/>
          <w:rFonts w:ascii="Verdana" w:hAnsi="Verdana" w:cs="Arial"/>
          <w:bCs/>
          <w:sz w:val="21"/>
          <w:szCs w:val="21"/>
          <w:lang w:eastAsia="en-US"/>
        </w:rPr>
      </w:pPr>
      <w:r>
        <w:rPr>
          <w:rFonts w:ascii="Verdana" w:eastAsia="Times New Roman" w:hAnsi="Verdana" w:cs="Arial"/>
          <w:color w:val="000000"/>
          <w:sz w:val="18"/>
          <w:szCs w:val="18"/>
          <w:lang w:eastAsia="es-CO"/>
        </w:rPr>
        <w:t>Fuente: Elaboración DAF con información -  Entidad territorial – Secretaria de Salud.</w:t>
      </w:r>
    </w:p>
    <w:p w14:paraId="044E47C4" w14:textId="77777777" w:rsidR="00EC55C1" w:rsidRDefault="00EC55C1" w:rsidP="00321689">
      <w:pPr>
        <w:jc w:val="both"/>
        <w:rPr>
          <w:rStyle w:val="contentpasted0"/>
          <w:rFonts w:ascii="Verdana" w:hAnsi="Verdana" w:cs="Arial"/>
          <w:color w:val="000000"/>
          <w:sz w:val="21"/>
          <w:szCs w:val="21"/>
        </w:rPr>
      </w:pPr>
    </w:p>
    <w:p w14:paraId="4A23D48A" w14:textId="77777777" w:rsidR="00321689" w:rsidRDefault="00321689" w:rsidP="00321689">
      <w:pPr>
        <w:jc w:val="both"/>
        <w:rPr>
          <w:rStyle w:val="contentpasted0"/>
          <w:rFonts w:ascii="Verdana" w:hAnsi="Verdana" w:cs="Arial"/>
          <w:color w:val="000000"/>
          <w:sz w:val="21"/>
          <w:szCs w:val="21"/>
        </w:rPr>
      </w:pPr>
      <w:r>
        <w:rPr>
          <w:rStyle w:val="contentpasted0"/>
          <w:rFonts w:ascii="Verdana" w:hAnsi="Verdana" w:cs="Arial"/>
          <w:color w:val="000000"/>
          <w:sz w:val="21"/>
          <w:szCs w:val="21"/>
        </w:rPr>
        <w:t>Del cuadro anterior se tiene que el 99% de los contratos fue</w:t>
      </w:r>
      <w:r w:rsidR="00CA4364">
        <w:rPr>
          <w:rStyle w:val="contentpasted0"/>
          <w:rFonts w:ascii="Verdana" w:hAnsi="Verdana" w:cs="Arial"/>
          <w:color w:val="000000"/>
          <w:sz w:val="21"/>
          <w:szCs w:val="21"/>
        </w:rPr>
        <w:t>ron celebrados a través de la Modalidad de</w:t>
      </w:r>
      <w:r>
        <w:rPr>
          <w:rStyle w:val="contentpasted0"/>
          <w:rFonts w:ascii="Verdana" w:hAnsi="Verdana" w:cs="Arial"/>
          <w:color w:val="000000"/>
          <w:sz w:val="21"/>
          <w:szCs w:val="21"/>
        </w:rPr>
        <w:t xml:space="preserve"> contratación directa y el 1% restante por </w:t>
      </w:r>
      <w:r w:rsidR="00CA4364">
        <w:rPr>
          <w:rStyle w:val="contentpasted0"/>
          <w:rFonts w:ascii="Verdana" w:hAnsi="Verdana" w:cs="Arial"/>
          <w:color w:val="000000"/>
          <w:sz w:val="21"/>
          <w:szCs w:val="21"/>
        </w:rPr>
        <w:t>convocatoria pública</w:t>
      </w:r>
      <w:r>
        <w:rPr>
          <w:rStyle w:val="contentpasted0"/>
          <w:rFonts w:ascii="Verdana" w:hAnsi="Verdana" w:cs="Arial"/>
          <w:color w:val="000000"/>
          <w:sz w:val="21"/>
          <w:szCs w:val="21"/>
        </w:rPr>
        <w:t>.</w:t>
      </w:r>
    </w:p>
    <w:p w14:paraId="5B9D7DA9" w14:textId="77777777" w:rsidR="00321689" w:rsidRDefault="00321689" w:rsidP="00321689">
      <w:pPr>
        <w:jc w:val="both"/>
        <w:rPr>
          <w:rStyle w:val="contentpasted0"/>
          <w:rFonts w:ascii="Verdana" w:hAnsi="Verdana" w:cs="Arial"/>
          <w:color w:val="000000"/>
          <w:sz w:val="21"/>
          <w:szCs w:val="21"/>
        </w:rPr>
      </w:pPr>
    </w:p>
    <w:p w14:paraId="43EA99D5" w14:textId="77777777" w:rsidR="00321689" w:rsidRDefault="00321689" w:rsidP="00321689">
      <w:pPr>
        <w:jc w:val="both"/>
        <w:rPr>
          <w:rStyle w:val="contentpasted0"/>
          <w:rFonts w:ascii="Verdana" w:hAnsi="Verdana" w:cs="Arial"/>
          <w:color w:val="000000"/>
          <w:sz w:val="21"/>
          <w:szCs w:val="21"/>
        </w:rPr>
      </w:pPr>
      <w:r>
        <w:rPr>
          <w:rStyle w:val="contentpasted0"/>
          <w:rFonts w:ascii="Verdana" w:hAnsi="Verdana" w:cs="Arial"/>
          <w:color w:val="000000"/>
          <w:sz w:val="21"/>
          <w:szCs w:val="21"/>
        </w:rPr>
        <w:t xml:space="preserve">Frente a la matriz entregada por la Entidad se evidencia que la contratación efectuada por prestación de servicios se realiza por 7 meses y posteriormente se hace por 2 o 3 meses. Ahora, se evidencia que el personal es contratado dos y tres veces en la vigencia, para desarrollar las mismas actividades, lo que duplica los procesos contractuales e impacta en la continuidad de las actividades de la Entidad. Como ejemplo se tiene el siguiente cuadro: </w:t>
      </w:r>
    </w:p>
    <w:p w14:paraId="1A1C4744" w14:textId="77777777" w:rsidR="00EC55C1" w:rsidRDefault="00EC55C1" w:rsidP="00321689">
      <w:pPr>
        <w:autoSpaceDE w:val="0"/>
        <w:autoSpaceDN w:val="0"/>
        <w:adjustRightInd w:val="0"/>
        <w:jc w:val="center"/>
        <w:rPr>
          <w:rFonts w:ascii="Verdana" w:eastAsia="ヒラギノ角ゴ Pro W3" w:hAnsi="Verdana" w:cs="Arial"/>
          <w:b/>
          <w:color w:val="B48C41"/>
          <w:sz w:val="18"/>
          <w:szCs w:val="18"/>
        </w:rPr>
      </w:pPr>
    </w:p>
    <w:p w14:paraId="49E6A8BC" w14:textId="77777777" w:rsidR="00321689" w:rsidRDefault="00321689" w:rsidP="00321689">
      <w:pPr>
        <w:autoSpaceDE w:val="0"/>
        <w:autoSpaceDN w:val="0"/>
        <w:adjustRightInd w:val="0"/>
        <w:jc w:val="center"/>
        <w:rPr>
          <w:rFonts w:eastAsia="ヒラギノ角ゴ Pro W3"/>
          <w:b/>
          <w:color w:val="B48C41"/>
          <w:sz w:val="18"/>
          <w:szCs w:val="18"/>
        </w:rPr>
      </w:pPr>
      <w:r>
        <w:rPr>
          <w:rFonts w:ascii="Verdana" w:eastAsia="ヒラギノ角ゴ Pro W3" w:hAnsi="Verdana" w:cs="Arial"/>
          <w:b/>
          <w:color w:val="B48C41"/>
          <w:sz w:val="18"/>
          <w:szCs w:val="18"/>
        </w:rPr>
        <w:t>Imagen No 10</w:t>
      </w:r>
    </w:p>
    <w:p w14:paraId="30E41482" w14:textId="77777777" w:rsidR="00321689" w:rsidRDefault="00762F3C" w:rsidP="00321689">
      <w:pPr>
        <w:jc w:val="both"/>
        <w:rPr>
          <w:rStyle w:val="contentpasted0"/>
          <w:rFonts w:eastAsiaTheme="minorHAnsi"/>
          <w:color w:val="000000"/>
          <w:sz w:val="21"/>
          <w:szCs w:val="21"/>
        </w:rPr>
      </w:pPr>
      <w:r>
        <w:rPr>
          <w:rFonts w:ascii="Calibri" w:eastAsiaTheme="minorHAnsi" w:hAnsi="Calibri" w:cs="Calibri"/>
          <w:noProof/>
          <w:sz w:val="22"/>
          <w:szCs w:val="22"/>
          <w:lang w:val="es-CO" w:eastAsia="es-CO"/>
        </w:rPr>
        <w:pict w14:anchorId="6412B537">
          <v:shape id="Flecha abajo 57" o:spid="_x0000_s2056" type="#_x0000_t67" style="position:absolute;left:0;text-align:left;margin-left:80.9pt;margin-top:21.6pt;width:47.1pt;height:34.85pt;rotation:2745943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" adj="10800" fillcolor="#4f81bd [3204]" strokecolor="#243f60 [1604]" strokeweight="2pt"/>
        </w:pict>
      </w:r>
      <w:r w:rsidR="00321689">
        <w:rPr>
          <w:noProof/>
          <w:lang w:val="es-CO" w:eastAsia="es-CO"/>
        </w:rPr>
        <w:drawing>
          <wp:inline distT="0" distB="0" distL="0" distR="0" wp14:anchorId="3CBEFDAF" wp14:editId="06170256">
            <wp:extent cx="5613400" cy="1403350"/>
            <wp:effectExtent l="0" t="0" r="635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3400" cy="1403350"/>
                    </a:xfrm>
                    <a:prstGeom prst="rect">
                      <a:avLst/>
                    </a:prstGeom>
                    <a:noFill/>
                    <a:ln>
                      <a:noFill/>
                    </a:ln>
                  </pic:spPr>
                </pic:pic>
              </a:graphicData>
            </a:graphic>
          </wp:inline>
        </w:drawing>
      </w:r>
    </w:p>
    <w:p w14:paraId="38F37B65" w14:textId="77777777" w:rsidR="00321689" w:rsidRDefault="00321689" w:rsidP="00AB0C16">
      <w:pPr>
        <w:jc w:val="center"/>
        <w:rPr>
          <w:rStyle w:val="contentpasted0"/>
          <w:rFonts w:ascii="Verdana" w:hAnsi="Verdana" w:cs="Arial"/>
          <w:color w:val="000000"/>
          <w:sz w:val="21"/>
          <w:szCs w:val="21"/>
        </w:rPr>
      </w:pPr>
      <w:r>
        <w:rPr>
          <w:rFonts w:ascii="Verdana" w:eastAsia="Times New Roman" w:hAnsi="Verdana" w:cs="Arial"/>
          <w:color w:val="000000"/>
          <w:sz w:val="18"/>
          <w:szCs w:val="18"/>
          <w:lang w:eastAsia="es-CO"/>
        </w:rPr>
        <w:t>Fuente: Elaboración DAF con información -  Entidad territorial – Secretaria de Salud</w:t>
      </w:r>
    </w:p>
    <w:p w14:paraId="6FD1A60F" w14:textId="77777777" w:rsidR="00321689" w:rsidRDefault="00321689" w:rsidP="00321689">
      <w:pPr>
        <w:jc w:val="both"/>
        <w:rPr>
          <w:rStyle w:val="contentpasted0"/>
          <w:rFonts w:ascii="Verdana" w:hAnsi="Verdana" w:cs="Arial"/>
          <w:color w:val="000000"/>
          <w:sz w:val="21"/>
          <w:szCs w:val="21"/>
        </w:rPr>
      </w:pPr>
    </w:p>
    <w:p w14:paraId="58DC7B85" w14:textId="77777777" w:rsidR="00321689" w:rsidRDefault="00321689" w:rsidP="00321689">
      <w:pPr>
        <w:jc w:val="both"/>
        <w:rPr>
          <w:rStyle w:val="contentpasted0"/>
          <w:rFonts w:ascii="Verdana" w:hAnsi="Verdana" w:cs="Arial"/>
          <w:color w:val="000000"/>
          <w:sz w:val="21"/>
          <w:szCs w:val="21"/>
        </w:rPr>
      </w:pPr>
      <w:r>
        <w:rPr>
          <w:rStyle w:val="contentpasted0"/>
          <w:rFonts w:ascii="Verdana" w:hAnsi="Verdana" w:cs="Arial"/>
          <w:color w:val="000000"/>
          <w:sz w:val="21"/>
          <w:szCs w:val="21"/>
        </w:rPr>
        <w:t>En la vigencia 2022, se reporta</w:t>
      </w:r>
      <w:r w:rsidR="00444FC4">
        <w:rPr>
          <w:rStyle w:val="contentpasted0"/>
          <w:rFonts w:ascii="Verdana" w:hAnsi="Verdana" w:cs="Arial"/>
          <w:color w:val="000000"/>
          <w:sz w:val="21"/>
          <w:szCs w:val="21"/>
        </w:rPr>
        <w:t>ron</w:t>
      </w:r>
      <w:r>
        <w:rPr>
          <w:rStyle w:val="contentpasted0"/>
          <w:rFonts w:ascii="Verdana" w:hAnsi="Verdana" w:cs="Arial"/>
          <w:color w:val="000000"/>
          <w:sz w:val="21"/>
          <w:szCs w:val="21"/>
        </w:rPr>
        <w:t xml:space="preserve"> un total de </w:t>
      </w:r>
      <w:r w:rsidR="00807A0D">
        <w:rPr>
          <w:rStyle w:val="contentpasted0"/>
          <w:rFonts w:ascii="Verdana" w:hAnsi="Verdana" w:cs="Arial"/>
          <w:color w:val="000000"/>
          <w:sz w:val="21"/>
          <w:szCs w:val="21"/>
        </w:rPr>
        <w:t>342</w:t>
      </w:r>
      <w:r>
        <w:rPr>
          <w:rStyle w:val="contentpasted0"/>
          <w:rFonts w:ascii="Verdana" w:hAnsi="Verdana" w:cs="Arial"/>
          <w:color w:val="000000"/>
          <w:sz w:val="21"/>
          <w:szCs w:val="21"/>
        </w:rPr>
        <w:t xml:space="preserve"> contratos por valor de $ 6.</w:t>
      </w:r>
      <w:r w:rsidR="00807A0D">
        <w:rPr>
          <w:rStyle w:val="contentpasted0"/>
          <w:rFonts w:ascii="Verdana" w:hAnsi="Verdana" w:cs="Arial"/>
          <w:color w:val="000000"/>
          <w:sz w:val="21"/>
          <w:szCs w:val="21"/>
        </w:rPr>
        <w:t>995</w:t>
      </w:r>
      <w:r>
        <w:rPr>
          <w:rStyle w:val="contentpasted0"/>
          <w:rFonts w:ascii="Verdana" w:hAnsi="Verdana" w:cs="Arial"/>
          <w:color w:val="000000"/>
          <w:sz w:val="21"/>
          <w:szCs w:val="21"/>
        </w:rPr>
        <w:t xml:space="preserve"> millones, que por tipo de contrato se tiene:</w:t>
      </w:r>
    </w:p>
    <w:p w14:paraId="1D7B70B7" w14:textId="77777777" w:rsidR="00321689" w:rsidRDefault="00321689" w:rsidP="00321689">
      <w:pPr>
        <w:pStyle w:val="Sinespaciado"/>
        <w:jc w:val="center"/>
        <w:rPr>
          <w:rFonts w:eastAsia="ヒラギノ角ゴ Pro W3"/>
          <w:b/>
          <w:color w:val="B48C41"/>
          <w:sz w:val="18"/>
          <w:szCs w:val="18"/>
        </w:rPr>
      </w:pPr>
    </w:p>
    <w:p w14:paraId="239FD654" w14:textId="77777777" w:rsidR="00321689" w:rsidRDefault="00321689" w:rsidP="00321689">
      <w:pPr>
        <w:pStyle w:val="Sinespaciado"/>
        <w:jc w:val="center"/>
        <w:rPr>
          <w:rStyle w:val="contentpasted0"/>
        </w:rPr>
      </w:pPr>
      <w:r>
        <w:rPr>
          <w:rFonts w:ascii="Verdana" w:eastAsia="ヒラギノ角ゴ Pro W3" w:hAnsi="Verdana" w:cs="Arial"/>
          <w:b/>
          <w:color w:val="B48C41"/>
          <w:sz w:val="18"/>
          <w:szCs w:val="18"/>
        </w:rPr>
        <w:t>Tabla No 14</w:t>
      </w:r>
    </w:p>
    <w:tbl>
      <w:tblPr>
        <w:tblpPr w:leftFromText="141" w:rightFromText="141" w:vertAnchor="text" w:horzAnchor="margin" w:tblpXSpec="center" w:tblpY="2"/>
        <w:tblW w:w="4406" w:type="pct"/>
        <w:tblCellMar>
          <w:left w:w="70" w:type="dxa"/>
          <w:right w:w="70" w:type="dxa"/>
        </w:tblCellMar>
        <w:tblLook w:val="04A0" w:firstRow="1" w:lastRow="0" w:firstColumn="1" w:lastColumn="0" w:noHBand="0" w:noVBand="1"/>
      </w:tblPr>
      <w:tblGrid>
        <w:gridCol w:w="2705"/>
        <w:gridCol w:w="2910"/>
        <w:gridCol w:w="2165"/>
      </w:tblGrid>
      <w:tr w:rsidR="00321689" w14:paraId="5902DDF1" w14:textId="77777777" w:rsidTr="00854D15">
        <w:trPr>
          <w:trHeight w:val="251"/>
          <w:tblHeader/>
        </w:trPr>
        <w:tc>
          <w:tcPr>
            <w:tcW w:w="5000" w:type="pct"/>
            <w:gridSpan w:val="3"/>
            <w:tcBorders>
              <w:top w:val="single" w:sz="4" w:space="0" w:color="1F4E78"/>
              <w:left w:val="single" w:sz="4" w:space="0" w:color="1F4E78"/>
              <w:bottom w:val="single" w:sz="4" w:space="0" w:color="1F4E78"/>
              <w:right w:val="single" w:sz="4" w:space="0" w:color="1F4E78"/>
            </w:tcBorders>
            <w:shd w:val="clear" w:color="auto" w:fill="B48C41"/>
            <w:noWrap/>
            <w:vAlign w:val="bottom"/>
            <w:hideMark/>
          </w:tcPr>
          <w:p w14:paraId="45EE10AF" w14:textId="77777777" w:rsidR="00321689" w:rsidRDefault="00321689">
            <w:pPr>
              <w:jc w:val="center"/>
              <w:rPr>
                <w:rFonts w:eastAsia="Times New Roman" w:cs="Calibri"/>
                <w:color w:val="FFFFFF"/>
                <w:sz w:val="16"/>
                <w:szCs w:val="16"/>
                <w:lang w:eastAsia="es-CO"/>
              </w:rPr>
            </w:pPr>
            <w:r>
              <w:rPr>
                <w:rFonts w:ascii="Verdana" w:eastAsia="Times New Roman" w:hAnsi="Verdana"/>
                <w:color w:val="FFFFFF"/>
                <w:sz w:val="16"/>
                <w:szCs w:val="16"/>
                <w:lang w:eastAsia="es-CO"/>
              </w:rPr>
              <w:t>Vigencia 2021 (valores en millones)</w:t>
            </w:r>
          </w:p>
        </w:tc>
      </w:tr>
      <w:tr w:rsidR="00321689" w14:paraId="2392344D" w14:textId="77777777" w:rsidTr="00854D15">
        <w:trPr>
          <w:trHeight w:val="251"/>
          <w:tblHeader/>
        </w:trPr>
        <w:tc>
          <w:tcPr>
            <w:tcW w:w="1738" w:type="pct"/>
            <w:tcBorders>
              <w:top w:val="nil"/>
              <w:left w:val="single" w:sz="4" w:space="0" w:color="1F4E78"/>
              <w:bottom w:val="single" w:sz="4" w:space="0" w:color="1F4E78"/>
              <w:right w:val="single" w:sz="4" w:space="0" w:color="1F4E78"/>
            </w:tcBorders>
            <w:shd w:val="clear" w:color="auto" w:fill="B48C41"/>
            <w:noWrap/>
            <w:vAlign w:val="bottom"/>
            <w:hideMark/>
          </w:tcPr>
          <w:p w14:paraId="5E09549E" w14:textId="77777777" w:rsidR="00321689" w:rsidRDefault="00321689">
            <w:pPr>
              <w:rPr>
                <w:rFonts w:ascii="Verdana" w:eastAsia="Times New Roman" w:hAnsi="Verdana" w:cs="Arial"/>
                <w:color w:val="FFFFFF"/>
                <w:sz w:val="18"/>
                <w:szCs w:val="18"/>
                <w:lang w:eastAsia="es-CO"/>
              </w:rPr>
            </w:pPr>
            <w:r>
              <w:rPr>
                <w:rFonts w:ascii="Verdana" w:eastAsia="Times New Roman" w:hAnsi="Verdana" w:cs="Arial"/>
                <w:color w:val="FFFFFF"/>
                <w:sz w:val="18"/>
                <w:szCs w:val="18"/>
                <w:lang w:eastAsia="es-CO"/>
              </w:rPr>
              <w:t>MODALIDAD DE SELECCIÓN</w:t>
            </w:r>
          </w:p>
        </w:tc>
        <w:tc>
          <w:tcPr>
            <w:tcW w:w="1870" w:type="pct"/>
            <w:tcBorders>
              <w:top w:val="nil"/>
              <w:left w:val="nil"/>
              <w:bottom w:val="single" w:sz="4" w:space="0" w:color="1F4E78"/>
              <w:right w:val="single" w:sz="4" w:space="0" w:color="1F4E78"/>
            </w:tcBorders>
            <w:shd w:val="clear" w:color="auto" w:fill="B48C41"/>
            <w:noWrap/>
            <w:vAlign w:val="bottom"/>
            <w:hideMark/>
          </w:tcPr>
          <w:p w14:paraId="27002B15" w14:textId="77777777" w:rsidR="00321689" w:rsidRDefault="00321689">
            <w:pPr>
              <w:rPr>
                <w:rFonts w:ascii="Verdana" w:eastAsia="Times New Roman" w:hAnsi="Verdana" w:cs="Arial"/>
                <w:color w:val="FFFFFF"/>
                <w:sz w:val="18"/>
                <w:szCs w:val="18"/>
                <w:lang w:eastAsia="es-CO"/>
              </w:rPr>
            </w:pPr>
            <w:r>
              <w:rPr>
                <w:rFonts w:ascii="Verdana" w:eastAsia="Times New Roman" w:hAnsi="Verdana" w:cs="Arial"/>
                <w:color w:val="FFFFFF"/>
                <w:sz w:val="18"/>
                <w:szCs w:val="18"/>
                <w:lang w:eastAsia="es-CO"/>
              </w:rPr>
              <w:t xml:space="preserve"> VALOR FINAL DEL CONTRATO</w:t>
            </w:r>
          </w:p>
        </w:tc>
        <w:tc>
          <w:tcPr>
            <w:tcW w:w="1391" w:type="pct"/>
            <w:tcBorders>
              <w:top w:val="nil"/>
              <w:left w:val="nil"/>
              <w:bottom w:val="single" w:sz="4" w:space="0" w:color="1F4E78"/>
              <w:right w:val="single" w:sz="4" w:space="0" w:color="1F4E78"/>
            </w:tcBorders>
            <w:shd w:val="clear" w:color="auto" w:fill="B48C41"/>
            <w:noWrap/>
            <w:vAlign w:val="bottom"/>
            <w:hideMark/>
          </w:tcPr>
          <w:p w14:paraId="4C819DDE" w14:textId="77777777" w:rsidR="00321689" w:rsidRDefault="00321689">
            <w:pPr>
              <w:rPr>
                <w:rFonts w:ascii="Verdana" w:eastAsia="Times New Roman" w:hAnsi="Verdana" w:cs="Arial"/>
                <w:color w:val="FFFFFF"/>
                <w:sz w:val="18"/>
                <w:szCs w:val="18"/>
                <w:lang w:eastAsia="es-CO"/>
              </w:rPr>
            </w:pPr>
            <w:r>
              <w:rPr>
                <w:rFonts w:ascii="Verdana" w:eastAsia="Times New Roman" w:hAnsi="Verdana" w:cs="Arial"/>
                <w:color w:val="FFFFFF"/>
                <w:sz w:val="18"/>
                <w:szCs w:val="18"/>
                <w:lang w:eastAsia="es-CO"/>
              </w:rPr>
              <w:t>Cantidad de Contratos</w:t>
            </w:r>
          </w:p>
        </w:tc>
      </w:tr>
      <w:tr w:rsidR="00321689" w14:paraId="4C19B2D9" w14:textId="77777777" w:rsidTr="00321689">
        <w:trPr>
          <w:trHeight w:val="251"/>
        </w:trPr>
        <w:tc>
          <w:tcPr>
            <w:tcW w:w="1738" w:type="pct"/>
            <w:tcBorders>
              <w:top w:val="nil"/>
              <w:left w:val="single" w:sz="4" w:space="0" w:color="1F4E78"/>
              <w:bottom w:val="single" w:sz="4" w:space="0" w:color="1F4E78"/>
              <w:right w:val="single" w:sz="4" w:space="0" w:color="1F4E78"/>
            </w:tcBorders>
            <w:noWrap/>
            <w:vAlign w:val="bottom"/>
            <w:hideMark/>
          </w:tcPr>
          <w:p w14:paraId="3AED41F8" w14:textId="77777777" w:rsidR="00321689" w:rsidRDefault="00321689">
            <w:pP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 xml:space="preserve"> CONTRATACIÓN DIRECTA </w:t>
            </w:r>
          </w:p>
        </w:tc>
        <w:tc>
          <w:tcPr>
            <w:tcW w:w="1870" w:type="pct"/>
            <w:tcBorders>
              <w:top w:val="nil"/>
              <w:left w:val="nil"/>
              <w:bottom w:val="single" w:sz="4" w:space="0" w:color="1F4E78"/>
              <w:right w:val="single" w:sz="4" w:space="0" w:color="1F4E78"/>
            </w:tcBorders>
            <w:noWrap/>
            <w:vAlign w:val="bottom"/>
            <w:hideMark/>
          </w:tcPr>
          <w:p w14:paraId="3B089253" w14:textId="77777777" w:rsidR="00321689" w:rsidRDefault="00321689">
            <w:pPr>
              <w:jc w:val="center"/>
              <w:rPr>
                <w:rFonts w:ascii="Verdana" w:eastAsia="Times New Roman" w:hAnsi="Verdana" w:cs="Arial"/>
                <w:color w:val="000000"/>
                <w:sz w:val="18"/>
                <w:szCs w:val="18"/>
                <w:lang w:eastAsia="es-CO"/>
              </w:rPr>
            </w:pPr>
            <w:r>
              <w:rPr>
                <w:rFonts w:ascii="Verdana" w:hAnsi="Verdana" w:cs="Arial"/>
                <w:color w:val="000000"/>
                <w:sz w:val="18"/>
                <w:szCs w:val="18"/>
              </w:rPr>
              <w:t>$6.</w:t>
            </w:r>
            <w:r w:rsidR="00345E62">
              <w:rPr>
                <w:rFonts w:ascii="Verdana" w:hAnsi="Verdana" w:cs="Arial"/>
                <w:color w:val="000000"/>
                <w:sz w:val="18"/>
                <w:szCs w:val="18"/>
              </w:rPr>
              <w:t>962</w:t>
            </w:r>
          </w:p>
        </w:tc>
        <w:tc>
          <w:tcPr>
            <w:tcW w:w="1391" w:type="pct"/>
            <w:tcBorders>
              <w:top w:val="nil"/>
              <w:left w:val="nil"/>
              <w:bottom w:val="single" w:sz="4" w:space="0" w:color="1F4E78"/>
              <w:right w:val="single" w:sz="4" w:space="0" w:color="1F4E78"/>
            </w:tcBorders>
            <w:noWrap/>
            <w:vAlign w:val="bottom"/>
            <w:hideMark/>
          </w:tcPr>
          <w:p w14:paraId="52E23BB7" w14:textId="77777777" w:rsidR="00321689" w:rsidRDefault="00321689">
            <w:pPr>
              <w:jc w:val="right"/>
              <w:rPr>
                <w:rFonts w:ascii="Verdana" w:eastAsia="Times New Roman" w:hAnsi="Verdana" w:cs="Arial"/>
                <w:color w:val="000000"/>
                <w:sz w:val="18"/>
                <w:szCs w:val="18"/>
                <w:lang w:eastAsia="es-CO"/>
              </w:rPr>
            </w:pPr>
            <w:r>
              <w:rPr>
                <w:rFonts w:ascii="Verdana" w:hAnsi="Verdana" w:cs="Arial"/>
                <w:color w:val="000000"/>
                <w:sz w:val="18"/>
                <w:szCs w:val="18"/>
              </w:rPr>
              <w:t>3</w:t>
            </w:r>
            <w:r w:rsidR="00807A0D">
              <w:rPr>
                <w:rFonts w:ascii="Verdana" w:hAnsi="Verdana" w:cs="Arial"/>
                <w:color w:val="000000"/>
                <w:sz w:val="18"/>
                <w:szCs w:val="18"/>
              </w:rPr>
              <w:t>40</w:t>
            </w:r>
          </w:p>
        </w:tc>
      </w:tr>
      <w:tr w:rsidR="00321689" w14:paraId="41C99177" w14:textId="77777777" w:rsidTr="00321689">
        <w:trPr>
          <w:trHeight w:val="251"/>
        </w:trPr>
        <w:tc>
          <w:tcPr>
            <w:tcW w:w="1738" w:type="pct"/>
            <w:tcBorders>
              <w:top w:val="nil"/>
              <w:left w:val="single" w:sz="4" w:space="0" w:color="1F4E78"/>
              <w:bottom w:val="single" w:sz="4" w:space="0" w:color="1F4E78"/>
              <w:right w:val="single" w:sz="4" w:space="0" w:color="1F4E78"/>
            </w:tcBorders>
            <w:noWrap/>
            <w:vAlign w:val="bottom"/>
            <w:hideMark/>
          </w:tcPr>
          <w:p w14:paraId="10EF00BB" w14:textId="77777777" w:rsidR="00321689" w:rsidRDefault="00321689">
            <w:pPr>
              <w:rPr>
                <w:rFonts w:ascii="Verdana" w:eastAsia="Times New Roman" w:hAnsi="Verdana" w:cs="Arial"/>
                <w:color w:val="000000"/>
                <w:sz w:val="18"/>
                <w:szCs w:val="18"/>
                <w:lang w:eastAsia="es-CO"/>
              </w:rPr>
            </w:pPr>
            <w:r>
              <w:rPr>
                <w:rFonts w:ascii="Verdana" w:hAnsi="Verdana" w:cs="Arial"/>
                <w:color w:val="000000"/>
                <w:sz w:val="18"/>
                <w:szCs w:val="18"/>
              </w:rPr>
              <w:t xml:space="preserve"> MINIMA CUNATIA</w:t>
            </w:r>
            <w:r>
              <w:rPr>
                <w:rFonts w:ascii="Verdana" w:eastAsia="Times New Roman" w:hAnsi="Verdana" w:cs="Arial"/>
                <w:color w:val="000000"/>
                <w:sz w:val="18"/>
                <w:szCs w:val="18"/>
                <w:lang w:eastAsia="es-CO"/>
              </w:rPr>
              <w:t xml:space="preserve"> </w:t>
            </w:r>
          </w:p>
        </w:tc>
        <w:tc>
          <w:tcPr>
            <w:tcW w:w="1870" w:type="pct"/>
            <w:tcBorders>
              <w:top w:val="nil"/>
              <w:left w:val="nil"/>
              <w:bottom w:val="single" w:sz="4" w:space="0" w:color="1F4E78"/>
              <w:right w:val="single" w:sz="4" w:space="0" w:color="1F4E78"/>
            </w:tcBorders>
            <w:noWrap/>
            <w:vAlign w:val="bottom"/>
            <w:hideMark/>
          </w:tcPr>
          <w:p w14:paraId="3BFBCDDE" w14:textId="77777777" w:rsidR="00321689" w:rsidRDefault="00321689">
            <w:pPr>
              <w:jc w:val="center"/>
              <w:rPr>
                <w:rFonts w:ascii="Verdana" w:eastAsia="Times New Roman" w:hAnsi="Verdana" w:cs="Arial"/>
                <w:color w:val="000000"/>
                <w:sz w:val="18"/>
                <w:szCs w:val="18"/>
                <w:lang w:eastAsia="es-CO"/>
              </w:rPr>
            </w:pPr>
            <w:r>
              <w:rPr>
                <w:rFonts w:ascii="Verdana" w:hAnsi="Verdana" w:cs="Arial"/>
                <w:color w:val="000000"/>
                <w:sz w:val="18"/>
                <w:szCs w:val="18"/>
              </w:rPr>
              <w:t>$32.8</w:t>
            </w:r>
          </w:p>
        </w:tc>
        <w:tc>
          <w:tcPr>
            <w:tcW w:w="1391" w:type="pct"/>
            <w:tcBorders>
              <w:top w:val="nil"/>
              <w:left w:val="nil"/>
              <w:bottom w:val="single" w:sz="4" w:space="0" w:color="1F4E78"/>
              <w:right w:val="single" w:sz="4" w:space="0" w:color="1F4E78"/>
            </w:tcBorders>
            <w:noWrap/>
            <w:vAlign w:val="bottom"/>
            <w:hideMark/>
          </w:tcPr>
          <w:p w14:paraId="46157F83" w14:textId="77777777" w:rsidR="00321689" w:rsidRDefault="00321689">
            <w:pPr>
              <w:jc w:val="right"/>
              <w:rPr>
                <w:rFonts w:ascii="Verdana" w:eastAsia="Times New Roman" w:hAnsi="Verdana" w:cs="Arial"/>
                <w:color w:val="000000"/>
                <w:sz w:val="18"/>
                <w:szCs w:val="18"/>
                <w:lang w:eastAsia="es-CO"/>
              </w:rPr>
            </w:pPr>
            <w:r>
              <w:rPr>
                <w:rFonts w:ascii="Verdana" w:hAnsi="Verdana" w:cs="Arial"/>
                <w:color w:val="000000"/>
                <w:sz w:val="18"/>
                <w:szCs w:val="18"/>
              </w:rPr>
              <w:t>2</w:t>
            </w:r>
          </w:p>
        </w:tc>
      </w:tr>
      <w:tr w:rsidR="00321689" w14:paraId="4EBB5DAA" w14:textId="77777777" w:rsidTr="00321689">
        <w:trPr>
          <w:trHeight w:val="251"/>
        </w:trPr>
        <w:tc>
          <w:tcPr>
            <w:tcW w:w="1738" w:type="pct"/>
            <w:tcBorders>
              <w:top w:val="nil"/>
              <w:left w:val="single" w:sz="4" w:space="0" w:color="1F4E78"/>
              <w:bottom w:val="single" w:sz="4" w:space="0" w:color="1F4E78"/>
              <w:right w:val="single" w:sz="4" w:space="0" w:color="1F4E78"/>
            </w:tcBorders>
            <w:noWrap/>
            <w:vAlign w:val="bottom"/>
            <w:hideMark/>
          </w:tcPr>
          <w:p w14:paraId="6CDE6A01" w14:textId="77777777" w:rsidR="00321689" w:rsidRDefault="00321689">
            <w:pP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 xml:space="preserve"> Total </w:t>
            </w:r>
          </w:p>
        </w:tc>
        <w:tc>
          <w:tcPr>
            <w:tcW w:w="1870" w:type="pct"/>
            <w:tcBorders>
              <w:top w:val="nil"/>
              <w:left w:val="nil"/>
              <w:bottom w:val="single" w:sz="4" w:space="0" w:color="1F4E78"/>
              <w:right w:val="single" w:sz="4" w:space="0" w:color="1F4E78"/>
            </w:tcBorders>
            <w:noWrap/>
            <w:vAlign w:val="bottom"/>
            <w:hideMark/>
          </w:tcPr>
          <w:p w14:paraId="2B959828" w14:textId="77777777" w:rsidR="00321689" w:rsidRDefault="00321689">
            <w:pPr>
              <w:jc w:val="center"/>
              <w:rPr>
                <w:rFonts w:ascii="Verdana" w:eastAsia="Times New Roman" w:hAnsi="Verdana" w:cs="Arial"/>
                <w:color w:val="000000"/>
                <w:sz w:val="18"/>
                <w:szCs w:val="18"/>
                <w:lang w:eastAsia="es-CO"/>
              </w:rPr>
            </w:pPr>
            <w:r>
              <w:rPr>
                <w:rFonts w:ascii="Verdana" w:hAnsi="Verdana" w:cs="Arial"/>
                <w:color w:val="000000"/>
                <w:sz w:val="18"/>
                <w:szCs w:val="18"/>
              </w:rPr>
              <w:t>$6.</w:t>
            </w:r>
            <w:r w:rsidR="00345E62">
              <w:rPr>
                <w:rFonts w:ascii="Verdana" w:hAnsi="Verdana" w:cs="Arial"/>
                <w:color w:val="000000"/>
                <w:sz w:val="18"/>
                <w:szCs w:val="18"/>
              </w:rPr>
              <w:t>995</w:t>
            </w:r>
          </w:p>
        </w:tc>
        <w:tc>
          <w:tcPr>
            <w:tcW w:w="1391" w:type="pct"/>
            <w:tcBorders>
              <w:top w:val="nil"/>
              <w:left w:val="nil"/>
              <w:bottom w:val="single" w:sz="4" w:space="0" w:color="1F4E78"/>
              <w:right w:val="single" w:sz="4" w:space="0" w:color="1F4E78"/>
            </w:tcBorders>
            <w:noWrap/>
            <w:vAlign w:val="bottom"/>
            <w:hideMark/>
          </w:tcPr>
          <w:p w14:paraId="24FB10AC" w14:textId="77777777" w:rsidR="00321689" w:rsidRDefault="00321689">
            <w:pPr>
              <w:jc w:val="right"/>
              <w:rPr>
                <w:rFonts w:ascii="Verdana" w:eastAsia="Times New Roman" w:hAnsi="Verdana" w:cs="Arial"/>
                <w:color w:val="000000"/>
                <w:sz w:val="18"/>
                <w:szCs w:val="18"/>
                <w:lang w:eastAsia="es-CO"/>
              </w:rPr>
            </w:pPr>
            <w:r>
              <w:rPr>
                <w:rFonts w:ascii="Verdana" w:hAnsi="Verdana" w:cs="Arial"/>
                <w:color w:val="000000"/>
                <w:sz w:val="18"/>
                <w:szCs w:val="18"/>
              </w:rPr>
              <w:t>3</w:t>
            </w:r>
            <w:r w:rsidR="00807A0D">
              <w:rPr>
                <w:rFonts w:ascii="Verdana" w:hAnsi="Verdana" w:cs="Arial"/>
                <w:color w:val="000000"/>
                <w:sz w:val="18"/>
                <w:szCs w:val="18"/>
              </w:rPr>
              <w:t>42</w:t>
            </w:r>
          </w:p>
        </w:tc>
      </w:tr>
    </w:tbl>
    <w:p w14:paraId="05053208" w14:textId="77777777" w:rsidR="00321689" w:rsidRDefault="00321689" w:rsidP="00321689">
      <w:pPr>
        <w:rPr>
          <w:rStyle w:val="contentpasted0"/>
          <w:rFonts w:ascii="Verdana" w:hAnsi="Verdana" w:cs="Arial"/>
          <w:color w:val="000000"/>
          <w:sz w:val="21"/>
          <w:szCs w:val="21"/>
          <w:lang w:eastAsia="en-US"/>
        </w:rPr>
      </w:pPr>
    </w:p>
    <w:p w14:paraId="335D0645" w14:textId="77777777" w:rsidR="00321689" w:rsidRDefault="00321689" w:rsidP="00321689">
      <w:pPr>
        <w:jc w:val="both"/>
        <w:rPr>
          <w:sz w:val="18"/>
          <w:szCs w:val="18"/>
        </w:rPr>
      </w:pPr>
      <w:r>
        <w:rPr>
          <w:rFonts w:ascii="Verdana" w:eastAsia="Times New Roman" w:hAnsi="Verdana" w:cs="Arial"/>
          <w:color w:val="000000"/>
          <w:sz w:val="18"/>
          <w:szCs w:val="18"/>
          <w:lang w:eastAsia="es-CO"/>
        </w:rPr>
        <w:t xml:space="preserve">                       </w:t>
      </w:r>
    </w:p>
    <w:p w14:paraId="12C642BC" w14:textId="77777777" w:rsidR="00321689" w:rsidRDefault="00321689" w:rsidP="00321689">
      <w:pPr>
        <w:jc w:val="both"/>
        <w:rPr>
          <w:rFonts w:ascii="Verdana" w:hAnsi="Verdana" w:cs="Arial"/>
          <w:color w:val="000000"/>
          <w:sz w:val="18"/>
          <w:szCs w:val="18"/>
        </w:rPr>
      </w:pPr>
    </w:p>
    <w:p w14:paraId="5AFAEC94" w14:textId="77777777" w:rsidR="00321689" w:rsidRDefault="00321689" w:rsidP="00321689">
      <w:pPr>
        <w:jc w:val="both"/>
        <w:rPr>
          <w:rFonts w:ascii="Verdana" w:hAnsi="Verdana" w:cs="Arial"/>
          <w:color w:val="000000"/>
          <w:sz w:val="18"/>
          <w:szCs w:val="18"/>
        </w:rPr>
      </w:pPr>
    </w:p>
    <w:p w14:paraId="6752D223" w14:textId="77777777" w:rsidR="00321689" w:rsidRDefault="00321689" w:rsidP="00321689">
      <w:pPr>
        <w:jc w:val="both"/>
        <w:rPr>
          <w:rFonts w:ascii="Verdana" w:hAnsi="Verdana" w:cs="Arial"/>
          <w:color w:val="000000"/>
          <w:sz w:val="18"/>
          <w:szCs w:val="18"/>
        </w:rPr>
      </w:pPr>
    </w:p>
    <w:p w14:paraId="6F5489E3" w14:textId="77777777" w:rsidR="00321689" w:rsidRDefault="00321689" w:rsidP="00AB0C16">
      <w:pPr>
        <w:jc w:val="center"/>
        <w:rPr>
          <w:rStyle w:val="contentpasted0"/>
          <w:sz w:val="21"/>
          <w:szCs w:val="21"/>
        </w:rPr>
      </w:pPr>
      <w:r>
        <w:rPr>
          <w:rFonts w:ascii="Verdana" w:eastAsia="Times New Roman" w:hAnsi="Verdana" w:cs="Arial"/>
          <w:color w:val="000000"/>
          <w:sz w:val="18"/>
          <w:szCs w:val="18"/>
          <w:lang w:eastAsia="es-CO"/>
        </w:rPr>
        <w:t>Fuente: Elaboración DAF con información -  Entidad territorial – Secretaria de Salud</w:t>
      </w:r>
    </w:p>
    <w:p w14:paraId="193ACF5D" w14:textId="77777777" w:rsidR="00321689" w:rsidRDefault="00321689" w:rsidP="00321689">
      <w:pPr>
        <w:jc w:val="both"/>
        <w:rPr>
          <w:rStyle w:val="contentpasted0"/>
          <w:rFonts w:ascii="Verdana" w:hAnsi="Verdana" w:cs="Arial"/>
          <w:color w:val="000000"/>
          <w:sz w:val="21"/>
          <w:szCs w:val="21"/>
        </w:rPr>
      </w:pPr>
    </w:p>
    <w:p w14:paraId="0031ED0B" w14:textId="77777777" w:rsidR="00321689" w:rsidRDefault="00321689" w:rsidP="00321689">
      <w:pPr>
        <w:jc w:val="both"/>
        <w:rPr>
          <w:rStyle w:val="contentpasted0"/>
          <w:rFonts w:ascii="Verdana" w:hAnsi="Verdana" w:cs="Arial"/>
          <w:color w:val="000000"/>
          <w:sz w:val="21"/>
          <w:szCs w:val="21"/>
        </w:rPr>
      </w:pPr>
      <w:r>
        <w:rPr>
          <w:rStyle w:val="contentpasted0"/>
          <w:rFonts w:ascii="Verdana" w:hAnsi="Verdana" w:cs="Arial"/>
          <w:color w:val="000000"/>
          <w:sz w:val="21"/>
          <w:szCs w:val="21"/>
        </w:rPr>
        <w:t>Como se evidenció en la vigencia 2021, la mayor parte de los contratos se hace por contratación directa.</w:t>
      </w:r>
    </w:p>
    <w:p w14:paraId="165F72B3" w14:textId="77777777" w:rsidR="00321689" w:rsidRDefault="00321689" w:rsidP="00321689">
      <w:pPr>
        <w:jc w:val="both"/>
        <w:rPr>
          <w:rStyle w:val="contentpasted0"/>
          <w:rFonts w:ascii="Verdana" w:hAnsi="Verdana" w:cs="Arial"/>
          <w:color w:val="000000"/>
          <w:sz w:val="21"/>
          <w:szCs w:val="21"/>
        </w:rPr>
      </w:pPr>
    </w:p>
    <w:p w14:paraId="66BFFD3E" w14:textId="77777777" w:rsidR="00321689" w:rsidRDefault="00321689" w:rsidP="00321689">
      <w:pPr>
        <w:jc w:val="both"/>
        <w:rPr>
          <w:rStyle w:val="contentpasted0"/>
          <w:rFonts w:ascii="Verdana" w:hAnsi="Verdana" w:cs="Arial"/>
          <w:color w:val="000000"/>
          <w:sz w:val="21"/>
          <w:szCs w:val="21"/>
        </w:rPr>
      </w:pPr>
      <w:r>
        <w:rPr>
          <w:rStyle w:val="contentpasted0"/>
          <w:rFonts w:ascii="Verdana" w:hAnsi="Verdana" w:cs="Arial"/>
          <w:color w:val="000000"/>
          <w:sz w:val="21"/>
          <w:szCs w:val="21"/>
        </w:rPr>
        <w:t>Al igual que en la vigencia 2021, la contratación se hace de manera dividida con el mismo contratista así:</w:t>
      </w:r>
    </w:p>
    <w:p w14:paraId="6E630EEA" w14:textId="77777777" w:rsidR="00321689" w:rsidRDefault="00321689" w:rsidP="00321689">
      <w:pPr>
        <w:autoSpaceDE w:val="0"/>
        <w:autoSpaceDN w:val="0"/>
        <w:adjustRightInd w:val="0"/>
        <w:jc w:val="center"/>
        <w:rPr>
          <w:rFonts w:eastAsia="ヒラギノ角ゴ Pro W3"/>
          <w:b/>
          <w:color w:val="B48C41"/>
          <w:sz w:val="18"/>
          <w:szCs w:val="18"/>
        </w:rPr>
      </w:pPr>
      <w:r>
        <w:rPr>
          <w:rFonts w:ascii="Verdana" w:eastAsia="ヒラギノ角ゴ Pro W3" w:hAnsi="Verdana" w:cs="Arial"/>
          <w:b/>
          <w:color w:val="B48C41"/>
          <w:sz w:val="18"/>
          <w:szCs w:val="18"/>
        </w:rPr>
        <w:t>Imagen No 11</w:t>
      </w:r>
    </w:p>
    <w:p w14:paraId="69401FCA" w14:textId="77777777" w:rsidR="00321689" w:rsidRDefault="00762F3C" w:rsidP="00321689">
      <w:pPr>
        <w:jc w:val="both"/>
        <w:rPr>
          <w:rStyle w:val="contentpasted0"/>
          <w:rFonts w:eastAsiaTheme="minorHAnsi"/>
          <w:color w:val="000000"/>
          <w:sz w:val="21"/>
          <w:szCs w:val="21"/>
        </w:rPr>
      </w:pPr>
      <w:r>
        <w:rPr>
          <w:rFonts w:ascii="Calibri" w:eastAsiaTheme="minorHAnsi" w:hAnsi="Calibri" w:cs="Calibri"/>
          <w:noProof/>
          <w:sz w:val="22"/>
          <w:szCs w:val="22"/>
          <w:lang w:val="es-CO" w:eastAsia="es-CO"/>
        </w:rPr>
        <w:pict w14:anchorId="3BC155F7">
          <v:shape id="Flecha abajo 59" o:spid="_x0000_s2055" type="#_x0000_t67" style="position:absolute;left:0;text-align:left;margin-left:96.55pt;margin-top:15pt;width:47.1pt;height:34.85pt;rotation:274594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" adj="10800" fillcolor="#4f81bd [3204]" strokecolor="#243f60 [1604]" strokeweight="2pt"/>
        </w:pict>
      </w:r>
      <w:r w:rsidR="00321689">
        <w:rPr>
          <w:noProof/>
          <w:lang w:val="es-CO" w:eastAsia="es-CO"/>
        </w:rPr>
        <w:drawing>
          <wp:inline distT="0" distB="0" distL="0" distR="0" wp14:anchorId="030BAB78" wp14:editId="71BDB9B0">
            <wp:extent cx="5499100" cy="13779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99100" cy="1377950"/>
                    </a:xfrm>
                    <a:prstGeom prst="rect">
                      <a:avLst/>
                    </a:prstGeom>
                    <a:noFill/>
                    <a:ln>
                      <a:noFill/>
                    </a:ln>
                  </pic:spPr>
                </pic:pic>
              </a:graphicData>
            </a:graphic>
          </wp:inline>
        </w:drawing>
      </w:r>
    </w:p>
    <w:p w14:paraId="5C108117" w14:textId="77777777" w:rsidR="00321689" w:rsidRDefault="00321689" w:rsidP="00AB0C16">
      <w:pPr>
        <w:jc w:val="center"/>
        <w:rPr>
          <w:rStyle w:val="contentpasted0"/>
          <w:rFonts w:ascii="Verdana" w:hAnsi="Verdana" w:cs="Arial"/>
          <w:color w:val="000000"/>
          <w:sz w:val="21"/>
          <w:szCs w:val="21"/>
        </w:rPr>
      </w:pPr>
      <w:r>
        <w:rPr>
          <w:rFonts w:ascii="Verdana" w:eastAsia="Times New Roman" w:hAnsi="Verdana" w:cs="Arial"/>
          <w:color w:val="000000"/>
          <w:sz w:val="18"/>
          <w:szCs w:val="18"/>
          <w:lang w:eastAsia="es-CO"/>
        </w:rPr>
        <w:t>Fuente: Elaboración DAF con información -  Entidad territorial – Secretaria de Salud</w:t>
      </w:r>
    </w:p>
    <w:p w14:paraId="0035411A" w14:textId="77777777" w:rsidR="00EC55C1" w:rsidRDefault="00EC55C1" w:rsidP="00321689">
      <w:pPr>
        <w:jc w:val="both"/>
        <w:rPr>
          <w:rStyle w:val="contentpasted0"/>
          <w:rFonts w:ascii="Verdana" w:hAnsi="Verdana" w:cs="Arial"/>
          <w:color w:val="000000"/>
          <w:sz w:val="21"/>
          <w:szCs w:val="21"/>
        </w:rPr>
      </w:pPr>
    </w:p>
    <w:p w14:paraId="160F2B95" w14:textId="77777777" w:rsidR="00321689" w:rsidRDefault="00321689" w:rsidP="00321689">
      <w:pPr>
        <w:jc w:val="both"/>
        <w:rPr>
          <w:rStyle w:val="contentpasted0"/>
          <w:rFonts w:ascii="Verdana" w:hAnsi="Verdana" w:cs="Arial"/>
          <w:color w:val="000000"/>
          <w:sz w:val="21"/>
          <w:szCs w:val="21"/>
        </w:rPr>
      </w:pPr>
      <w:r>
        <w:rPr>
          <w:rStyle w:val="contentpasted0"/>
          <w:rFonts w:ascii="Verdana" w:hAnsi="Verdana" w:cs="Arial"/>
          <w:color w:val="000000"/>
          <w:sz w:val="21"/>
          <w:szCs w:val="21"/>
        </w:rPr>
        <w:lastRenderedPageBreak/>
        <w:t xml:space="preserve">Es importante mencionar, que la fuente de financiación de estos recursos es el SGP – Salud Pública, recurso que se asigna al inicio de la vigencia, por lo que no es aconsejable dividir la contratación, más aún cuando los contratistas son los mismos de las vigencias anteriores, lo que genera duplicidad en los procesos </w:t>
      </w:r>
      <w:r w:rsidR="008B117B">
        <w:rPr>
          <w:rStyle w:val="contentpasted0"/>
          <w:rFonts w:ascii="Verdana" w:hAnsi="Verdana" w:cs="Arial"/>
          <w:color w:val="000000"/>
          <w:sz w:val="21"/>
          <w:szCs w:val="21"/>
        </w:rPr>
        <w:t xml:space="preserve">administrativos y </w:t>
      </w:r>
      <w:r>
        <w:rPr>
          <w:rStyle w:val="contentpasted0"/>
          <w:rFonts w:ascii="Verdana" w:hAnsi="Verdana" w:cs="Arial"/>
          <w:color w:val="000000"/>
          <w:sz w:val="21"/>
          <w:szCs w:val="21"/>
        </w:rPr>
        <w:t>contractuales e interrupción en las actividades desarrolladas por estos.</w:t>
      </w:r>
    </w:p>
    <w:p w14:paraId="5F07C241" w14:textId="77777777" w:rsidR="00345E62" w:rsidRDefault="00345E62" w:rsidP="00321689">
      <w:pPr>
        <w:jc w:val="both"/>
        <w:rPr>
          <w:rStyle w:val="contentpasted0"/>
          <w:rFonts w:ascii="Verdana" w:hAnsi="Verdana" w:cs="Arial"/>
          <w:color w:val="000000"/>
          <w:sz w:val="21"/>
          <w:szCs w:val="21"/>
        </w:rPr>
      </w:pPr>
    </w:p>
    <w:p w14:paraId="47B418A0" w14:textId="77777777" w:rsidR="008A0662" w:rsidRDefault="008A0662" w:rsidP="008A0662">
      <w:pPr>
        <w:jc w:val="both"/>
        <w:rPr>
          <w:rStyle w:val="contentpasted0"/>
          <w:rFonts w:ascii="Verdana" w:hAnsi="Verdana" w:cs="Arial"/>
          <w:color w:val="000000"/>
          <w:sz w:val="21"/>
          <w:szCs w:val="21"/>
        </w:rPr>
      </w:pPr>
      <w:r>
        <w:rPr>
          <w:rStyle w:val="contentpasted0"/>
          <w:rFonts w:ascii="Verdana" w:hAnsi="Verdana" w:cs="Arial"/>
          <w:color w:val="000000"/>
          <w:sz w:val="21"/>
          <w:szCs w:val="21"/>
        </w:rPr>
        <w:t>Frente a la asignación de recursos, para la vigencia 2022 se distribuyeron</w:t>
      </w:r>
      <w:r w:rsidR="00653249">
        <w:rPr>
          <w:rStyle w:val="contentpasted0"/>
          <w:rFonts w:ascii="Verdana" w:hAnsi="Verdana" w:cs="Arial"/>
          <w:color w:val="000000"/>
          <w:sz w:val="21"/>
          <w:szCs w:val="21"/>
        </w:rPr>
        <w:t xml:space="preserve"> entre los procesos de gestión</w:t>
      </w:r>
      <w:r>
        <w:rPr>
          <w:rStyle w:val="contentpasted0"/>
          <w:rFonts w:ascii="Verdana" w:hAnsi="Verdana" w:cs="Arial"/>
          <w:color w:val="000000"/>
          <w:sz w:val="21"/>
          <w:szCs w:val="21"/>
        </w:rPr>
        <w:t xml:space="preserve"> $6.995 millones, así:</w:t>
      </w:r>
    </w:p>
    <w:p w14:paraId="63219C72" w14:textId="77777777" w:rsidR="008A0662" w:rsidRDefault="008A0662" w:rsidP="008A0662">
      <w:pPr>
        <w:pStyle w:val="Sinespaciado"/>
        <w:jc w:val="center"/>
        <w:rPr>
          <w:rStyle w:val="contentpasted0"/>
          <w:rFonts w:ascii="Verdana" w:hAnsi="Verdana" w:cs="Arial"/>
          <w:color w:val="000000"/>
          <w:sz w:val="21"/>
          <w:szCs w:val="21"/>
        </w:rPr>
      </w:pPr>
    </w:p>
    <w:p w14:paraId="1B7BB7F4" w14:textId="77777777" w:rsidR="008A0662" w:rsidRDefault="008A0662" w:rsidP="008A0662">
      <w:pPr>
        <w:pStyle w:val="Sinespaciado"/>
        <w:jc w:val="center"/>
        <w:rPr>
          <w:rStyle w:val="contentpasted0"/>
          <w:rFonts w:ascii="Verdana" w:hAnsi="Verdana" w:cs="Arial"/>
          <w:color w:val="000000"/>
          <w:sz w:val="21"/>
          <w:szCs w:val="21"/>
        </w:rPr>
      </w:pPr>
      <w:r w:rsidRPr="00345E62">
        <w:rPr>
          <w:rStyle w:val="contentpasted0"/>
          <w:noProof/>
          <w:lang w:eastAsia="es-CO"/>
        </w:rPr>
        <w:drawing>
          <wp:inline distT="0" distB="0" distL="0" distR="0" wp14:anchorId="16897D65" wp14:editId="339C37D3">
            <wp:extent cx="4439920" cy="1377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2438" cy="1381835"/>
                    </a:xfrm>
                    <a:prstGeom prst="rect">
                      <a:avLst/>
                    </a:prstGeom>
                    <a:noFill/>
                    <a:ln>
                      <a:noFill/>
                    </a:ln>
                  </pic:spPr>
                </pic:pic>
              </a:graphicData>
            </a:graphic>
          </wp:inline>
        </w:drawing>
      </w:r>
      <w:r w:rsidR="007D6F1E">
        <w:rPr>
          <w:rStyle w:val="contentpasted0"/>
          <w:rFonts w:ascii="Verdana" w:hAnsi="Verdana" w:cs="Arial"/>
          <w:color w:val="000000"/>
          <w:sz w:val="21"/>
          <w:szCs w:val="21"/>
        </w:rPr>
        <w:t>i</w:t>
      </w:r>
    </w:p>
    <w:p w14:paraId="744CCCC0" w14:textId="77777777" w:rsidR="008A0662" w:rsidRDefault="008A0662" w:rsidP="00AB0C16">
      <w:pPr>
        <w:jc w:val="center"/>
        <w:rPr>
          <w:rStyle w:val="contentpasted0"/>
          <w:sz w:val="21"/>
          <w:szCs w:val="21"/>
        </w:rPr>
      </w:pPr>
      <w:r>
        <w:rPr>
          <w:rFonts w:ascii="Verdana" w:eastAsia="Times New Roman" w:hAnsi="Verdana" w:cs="Arial"/>
          <w:color w:val="000000"/>
          <w:sz w:val="18"/>
          <w:szCs w:val="18"/>
          <w:lang w:eastAsia="es-CO"/>
        </w:rPr>
        <w:t>Fuente: Elaboración DAF con información -  Entidad territorial – Secretaria de Salud</w:t>
      </w:r>
    </w:p>
    <w:p w14:paraId="4157DC09" w14:textId="77777777" w:rsidR="008A0662" w:rsidRDefault="008A0662" w:rsidP="008A0662">
      <w:pPr>
        <w:jc w:val="both"/>
        <w:rPr>
          <w:rStyle w:val="contentpasted0"/>
          <w:rFonts w:ascii="Verdana" w:hAnsi="Verdana" w:cs="Arial"/>
          <w:color w:val="000000"/>
          <w:sz w:val="21"/>
          <w:szCs w:val="21"/>
        </w:rPr>
      </w:pPr>
    </w:p>
    <w:p w14:paraId="62A10987" w14:textId="77777777" w:rsidR="008A0662" w:rsidRPr="0069012D" w:rsidRDefault="008A0662" w:rsidP="008A0662">
      <w:pPr>
        <w:jc w:val="both"/>
        <w:rPr>
          <w:rStyle w:val="contentpasted0"/>
          <w:rFonts w:ascii="Verdana" w:hAnsi="Verdana" w:cs="Arial"/>
          <w:color w:val="000000"/>
          <w:sz w:val="21"/>
          <w:szCs w:val="21"/>
        </w:rPr>
      </w:pPr>
      <w:r w:rsidRPr="0069012D">
        <w:rPr>
          <w:rStyle w:val="contentpasted0"/>
          <w:rFonts w:ascii="Verdana" w:hAnsi="Verdana" w:cs="Arial"/>
          <w:color w:val="000000"/>
          <w:sz w:val="21"/>
          <w:szCs w:val="21"/>
        </w:rPr>
        <w:t>Por su parte la entidad</w:t>
      </w:r>
      <w:r>
        <w:rPr>
          <w:rStyle w:val="contentpasted0"/>
          <w:rFonts w:ascii="Verdana" w:hAnsi="Verdana" w:cs="Arial"/>
          <w:color w:val="000000"/>
          <w:sz w:val="21"/>
          <w:szCs w:val="21"/>
        </w:rPr>
        <w:t xml:space="preserve"> priorizó recursos en 7 de los 13 procesos de la gestión, de los cuales 34% fue para vigilancia en salud pública, 21% gestión de las intervenciones colectivas y 18% en desarrollo de capacidades, todos ellos correspondientes a lo previsto por la </w:t>
      </w:r>
      <w:r w:rsidR="00ED1EE3">
        <w:rPr>
          <w:rStyle w:val="contentpasted0"/>
          <w:rFonts w:ascii="Verdana" w:hAnsi="Verdana" w:cs="Arial"/>
          <w:color w:val="000000"/>
          <w:sz w:val="21"/>
          <w:szCs w:val="21"/>
        </w:rPr>
        <w:t>R</w:t>
      </w:r>
      <w:r>
        <w:rPr>
          <w:rStyle w:val="contentpasted0"/>
          <w:rFonts w:ascii="Verdana" w:hAnsi="Verdana" w:cs="Arial"/>
          <w:color w:val="000000"/>
          <w:sz w:val="21"/>
          <w:szCs w:val="21"/>
        </w:rPr>
        <w:t>esolución 518 de 2015 del MSPS.</w:t>
      </w:r>
    </w:p>
    <w:p w14:paraId="56F76C17" w14:textId="77777777" w:rsidR="008A0662" w:rsidRDefault="008A0662" w:rsidP="008A0662">
      <w:pPr>
        <w:jc w:val="both"/>
        <w:rPr>
          <w:rStyle w:val="contentpasted0"/>
          <w:rFonts w:ascii="Verdana" w:hAnsi="Verdana" w:cs="Arial"/>
          <w:color w:val="000000"/>
          <w:sz w:val="21"/>
          <w:szCs w:val="21"/>
        </w:rPr>
      </w:pPr>
    </w:p>
    <w:p w14:paraId="6CFA8558" w14:textId="77777777" w:rsidR="008A0662" w:rsidRDefault="00653249" w:rsidP="008A0662">
      <w:pPr>
        <w:jc w:val="both"/>
        <w:rPr>
          <w:rStyle w:val="contentpasted0"/>
          <w:rFonts w:ascii="Verdana" w:hAnsi="Verdana" w:cs="Arial"/>
          <w:color w:val="000000"/>
          <w:sz w:val="21"/>
          <w:szCs w:val="21"/>
        </w:rPr>
      </w:pPr>
      <w:r>
        <w:rPr>
          <w:rStyle w:val="contentpasted0"/>
          <w:rFonts w:ascii="Verdana" w:hAnsi="Verdana" w:cs="Arial"/>
          <w:color w:val="000000"/>
          <w:sz w:val="21"/>
          <w:szCs w:val="21"/>
        </w:rPr>
        <w:t>Ahora</w:t>
      </w:r>
      <w:r w:rsidR="008A0662">
        <w:rPr>
          <w:rStyle w:val="contentpasted0"/>
          <w:rFonts w:ascii="Verdana" w:hAnsi="Verdana" w:cs="Arial"/>
          <w:color w:val="000000"/>
          <w:sz w:val="21"/>
          <w:szCs w:val="21"/>
        </w:rPr>
        <w:t>,</w:t>
      </w:r>
      <w:r>
        <w:rPr>
          <w:rStyle w:val="contentpasted0"/>
          <w:rFonts w:ascii="Verdana" w:hAnsi="Verdana" w:cs="Arial"/>
          <w:color w:val="000000"/>
          <w:sz w:val="21"/>
          <w:szCs w:val="21"/>
        </w:rPr>
        <w:t xml:space="preserve"> con la información suministrada por la entidad</w:t>
      </w:r>
      <w:r w:rsidR="008A0662">
        <w:rPr>
          <w:rStyle w:val="contentpasted0"/>
          <w:rFonts w:ascii="Verdana" w:hAnsi="Verdana" w:cs="Arial"/>
          <w:color w:val="000000"/>
          <w:sz w:val="21"/>
          <w:szCs w:val="21"/>
        </w:rPr>
        <w:t xml:space="preserve"> se realizó una validación aleatoria de 1 contrato por cada proceso de la gestión, con el fin de v</w:t>
      </w:r>
      <w:r>
        <w:rPr>
          <w:rStyle w:val="contentpasted0"/>
          <w:rFonts w:ascii="Verdana" w:hAnsi="Verdana" w:cs="Arial"/>
          <w:color w:val="000000"/>
          <w:sz w:val="21"/>
          <w:szCs w:val="21"/>
        </w:rPr>
        <w:t>erifica</w:t>
      </w:r>
      <w:r w:rsidR="008A0662">
        <w:rPr>
          <w:rStyle w:val="contentpasted0"/>
          <w:rFonts w:ascii="Verdana" w:hAnsi="Verdana" w:cs="Arial"/>
          <w:color w:val="000000"/>
          <w:sz w:val="21"/>
          <w:szCs w:val="21"/>
        </w:rPr>
        <w:t>r la consistencia del contrato con la posibilidad de gasto de acuerdo con el proceso de gestión que se relaciona así:</w:t>
      </w:r>
    </w:p>
    <w:p w14:paraId="61DA7CC0" w14:textId="77777777" w:rsidR="008A0662" w:rsidRDefault="008A0662" w:rsidP="008A0662">
      <w:pPr>
        <w:jc w:val="both"/>
        <w:rPr>
          <w:rStyle w:val="contentpasted0"/>
          <w:rFonts w:ascii="Verdana" w:hAnsi="Verdana" w:cs="Arial"/>
          <w:color w:val="000000"/>
          <w:sz w:val="21"/>
          <w:szCs w:val="21"/>
        </w:rPr>
      </w:pPr>
    </w:p>
    <w:p w14:paraId="15F0AE4A" w14:textId="77777777" w:rsidR="008A0662" w:rsidRDefault="008A0662" w:rsidP="008A0662">
      <w:pPr>
        <w:jc w:val="both"/>
        <w:rPr>
          <w:rStyle w:val="contentpasted0"/>
          <w:rFonts w:ascii="Verdana" w:hAnsi="Verdana" w:cs="Arial"/>
          <w:color w:val="000000"/>
          <w:sz w:val="21"/>
          <w:szCs w:val="21"/>
        </w:rPr>
      </w:pPr>
      <w:r w:rsidRPr="008A0662">
        <w:rPr>
          <w:rStyle w:val="contentpasted0"/>
          <w:noProof/>
          <w:lang w:val="es-CO" w:eastAsia="es-CO"/>
        </w:rPr>
        <w:drawing>
          <wp:inline distT="0" distB="0" distL="0" distR="0" wp14:anchorId="0B1672F8" wp14:editId="77455B59">
            <wp:extent cx="6134100" cy="2073910"/>
            <wp:effectExtent l="0" t="0" r="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35635" cy="2074429"/>
                    </a:xfrm>
                    <a:prstGeom prst="rect">
                      <a:avLst/>
                    </a:prstGeom>
                    <a:noFill/>
                    <a:ln>
                      <a:noFill/>
                    </a:ln>
                  </pic:spPr>
                </pic:pic>
              </a:graphicData>
            </a:graphic>
          </wp:inline>
        </w:drawing>
      </w:r>
    </w:p>
    <w:p w14:paraId="4D5B0CDF" w14:textId="77777777" w:rsidR="008A0662" w:rsidRDefault="008A0662" w:rsidP="00AB0C16">
      <w:pPr>
        <w:jc w:val="center"/>
        <w:rPr>
          <w:rStyle w:val="contentpasted0"/>
          <w:rFonts w:ascii="Verdana" w:hAnsi="Verdana" w:cs="Arial"/>
          <w:color w:val="000000"/>
          <w:sz w:val="21"/>
          <w:szCs w:val="21"/>
        </w:rPr>
      </w:pPr>
      <w:r>
        <w:rPr>
          <w:rFonts w:ascii="Verdana" w:eastAsia="Times New Roman" w:hAnsi="Verdana" w:cs="Arial"/>
          <w:color w:val="000000"/>
          <w:sz w:val="18"/>
          <w:szCs w:val="18"/>
          <w:lang w:eastAsia="es-CO"/>
        </w:rPr>
        <w:t>Fuente: Entidad territorial – Secretaria de Salud</w:t>
      </w:r>
    </w:p>
    <w:p w14:paraId="3909A57F" w14:textId="77777777" w:rsidR="007D6F1E" w:rsidRDefault="007D6F1E" w:rsidP="00321689">
      <w:pPr>
        <w:jc w:val="both"/>
        <w:rPr>
          <w:rFonts w:ascii="Verdana" w:hAnsi="Verdana"/>
          <w:bCs/>
          <w:sz w:val="21"/>
          <w:szCs w:val="21"/>
        </w:rPr>
      </w:pPr>
    </w:p>
    <w:p w14:paraId="421ED4D9" w14:textId="77777777" w:rsidR="00EC55C1" w:rsidRPr="00653249" w:rsidRDefault="00653249" w:rsidP="00321689">
      <w:pPr>
        <w:jc w:val="both"/>
        <w:rPr>
          <w:rFonts w:ascii="Arial" w:hAnsi="Arial"/>
          <w:b/>
          <w:bCs/>
          <w:sz w:val="21"/>
          <w:szCs w:val="21"/>
        </w:rPr>
      </w:pPr>
      <w:r w:rsidRPr="00653249">
        <w:rPr>
          <w:rFonts w:ascii="Verdana" w:hAnsi="Verdana"/>
          <w:bCs/>
          <w:sz w:val="21"/>
          <w:szCs w:val="21"/>
        </w:rPr>
        <w:t>De lo anterior, fue posible constatar en los contratos revisados</w:t>
      </w:r>
      <w:r w:rsidR="00A86417">
        <w:rPr>
          <w:rFonts w:ascii="Verdana" w:hAnsi="Verdana"/>
          <w:bCs/>
          <w:sz w:val="21"/>
          <w:szCs w:val="21"/>
        </w:rPr>
        <w:t>,</w:t>
      </w:r>
      <w:r w:rsidRPr="00653249">
        <w:rPr>
          <w:rFonts w:ascii="Verdana" w:hAnsi="Verdana"/>
          <w:bCs/>
          <w:sz w:val="21"/>
          <w:szCs w:val="21"/>
        </w:rPr>
        <w:t xml:space="preserve"> que los objetos contractuales son acordes con las acciones que se deben desarrollar en el proceso de gestió</w:t>
      </w:r>
      <w:r>
        <w:rPr>
          <w:rFonts w:ascii="Verdana" w:hAnsi="Verdana"/>
          <w:bCs/>
          <w:sz w:val="21"/>
          <w:szCs w:val="21"/>
        </w:rPr>
        <w:t>n</w:t>
      </w:r>
      <w:r w:rsidRPr="00653249">
        <w:rPr>
          <w:rFonts w:ascii="Verdana" w:hAnsi="Verdana"/>
          <w:bCs/>
          <w:sz w:val="21"/>
          <w:szCs w:val="21"/>
        </w:rPr>
        <w:t>, dando</w:t>
      </w:r>
      <w:r>
        <w:rPr>
          <w:rFonts w:ascii="Verdana" w:hAnsi="Verdana"/>
          <w:bCs/>
          <w:sz w:val="21"/>
          <w:szCs w:val="21"/>
        </w:rPr>
        <w:t xml:space="preserve"> </w:t>
      </w:r>
      <w:r w:rsidRPr="00653249">
        <w:rPr>
          <w:rFonts w:ascii="Verdana" w:hAnsi="Verdana"/>
          <w:bCs/>
          <w:sz w:val="21"/>
          <w:szCs w:val="21"/>
        </w:rPr>
        <w:t>cumplimi</w:t>
      </w:r>
      <w:r>
        <w:rPr>
          <w:rFonts w:ascii="Verdana" w:hAnsi="Verdana"/>
          <w:bCs/>
          <w:sz w:val="21"/>
          <w:szCs w:val="21"/>
        </w:rPr>
        <w:t>e</w:t>
      </w:r>
      <w:r w:rsidRPr="00653249">
        <w:rPr>
          <w:rFonts w:ascii="Verdana" w:hAnsi="Verdana"/>
          <w:bCs/>
          <w:sz w:val="21"/>
          <w:szCs w:val="21"/>
        </w:rPr>
        <w:t>nto de est</w:t>
      </w:r>
      <w:r>
        <w:rPr>
          <w:rFonts w:ascii="Verdana" w:hAnsi="Verdana"/>
          <w:bCs/>
          <w:sz w:val="21"/>
          <w:szCs w:val="21"/>
        </w:rPr>
        <w:t>a</w:t>
      </w:r>
      <w:r w:rsidRPr="00653249">
        <w:rPr>
          <w:rFonts w:ascii="Verdana" w:hAnsi="Verdana"/>
          <w:bCs/>
          <w:sz w:val="21"/>
          <w:szCs w:val="21"/>
        </w:rPr>
        <w:t xml:space="preserve"> forma con lo dispuesto en </w:t>
      </w:r>
      <w:r w:rsidR="00A86417" w:rsidRPr="00653249">
        <w:rPr>
          <w:rFonts w:ascii="Verdana" w:hAnsi="Verdana"/>
          <w:bCs/>
          <w:sz w:val="21"/>
          <w:szCs w:val="21"/>
        </w:rPr>
        <w:t xml:space="preserve">la </w:t>
      </w:r>
      <w:r w:rsidR="00415C21">
        <w:rPr>
          <w:rFonts w:ascii="Verdana" w:hAnsi="Verdana"/>
          <w:bCs/>
          <w:sz w:val="21"/>
          <w:szCs w:val="21"/>
        </w:rPr>
        <w:t>R</w:t>
      </w:r>
      <w:r w:rsidR="00A86417" w:rsidRPr="00653249">
        <w:rPr>
          <w:rFonts w:ascii="Verdana" w:hAnsi="Verdana"/>
          <w:bCs/>
          <w:sz w:val="21"/>
          <w:szCs w:val="21"/>
        </w:rPr>
        <w:t>esolución</w:t>
      </w:r>
      <w:r w:rsidRPr="00653249">
        <w:rPr>
          <w:rFonts w:ascii="Verdana" w:hAnsi="Verdana"/>
          <w:bCs/>
          <w:sz w:val="21"/>
          <w:szCs w:val="21"/>
        </w:rPr>
        <w:t xml:space="preserve"> 518 de 2015 y con el documento de “</w:t>
      </w:r>
      <w:r w:rsidRPr="00653249">
        <w:rPr>
          <w:rFonts w:ascii="Verdana" w:hAnsi="Verdana"/>
          <w:i/>
          <w:sz w:val="21"/>
          <w:szCs w:val="21"/>
        </w:rPr>
        <w:t xml:space="preserve">Directrices para la caracterización y ejecución de </w:t>
      </w:r>
      <w:r w:rsidRPr="00653249">
        <w:rPr>
          <w:rFonts w:ascii="Verdana" w:hAnsi="Verdana"/>
          <w:i/>
          <w:sz w:val="21"/>
          <w:szCs w:val="21"/>
        </w:rPr>
        <w:lastRenderedPageBreak/>
        <w:t>los procesos para la Gestión de la Salud Pública en el contexto de la Política de Atención Integral en Salud” elaborado por el Ministerio de Salud y Protección So</w:t>
      </w:r>
      <w:r>
        <w:rPr>
          <w:rFonts w:ascii="Verdana" w:hAnsi="Verdana"/>
          <w:i/>
          <w:sz w:val="21"/>
          <w:szCs w:val="21"/>
        </w:rPr>
        <w:t>c</w:t>
      </w:r>
      <w:r w:rsidRPr="00653249">
        <w:rPr>
          <w:rFonts w:ascii="Verdana" w:hAnsi="Verdana"/>
          <w:i/>
          <w:sz w:val="21"/>
          <w:szCs w:val="21"/>
        </w:rPr>
        <w:t>ial</w:t>
      </w:r>
      <w:r w:rsidR="00415C21">
        <w:rPr>
          <w:rFonts w:ascii="Verdana" w:hAnsi="Verdana"/>
          <w:i/>
          <w:sz w:val="21"/>
          <w:szCs w:val="21"/>
        </w:rPr>
        <w:t>”</w:t>
      </w:r>
      <w:r w:rsidRPr="00653249">
        <w:rPr>
          <w:rFonts w:ascii="Verdana" w:hAnsi="Verdana"/>
          <w:i/>
          <w:sz w:val="21"/>
          <w:szCs w:val="21"/>
        </w:rPr>
        <w:t>.</w:t>
      </w:r>
    </w:p>
    <w:p w14:paraId="33D86F43" w14:textId="77777777" w:rsidR="00EC55C1" w:rsidRDefault="00EC55C1" w:rsidP="00321689">
      <w:pPr>
        <w:jc w:val="both"/>
        <w:rPr>
          <w:rFonts w:ascii="Arial" w:hAnsi="Arial"/>
          <w:b/>
          <w:bCs/>
        </w:rPr>
      </w:pPr>
    </w:p>
    <w:p w14:paraId="11311C6F" w14:textId="77777777" w:rsidR="00321689" w:rsidRDefault="00321689" w:rsidP="00321689">
      <w:pPr>
        <w:jc w:val="both"/>
        <w:rPr>
          <w:rFonts w:ascii="Verdana" w:hAnsi="Verdana" w:cs="Arial"/>
          <w:b/>
          <w:sz w:val="21"/>
          <w:szCs w:val="21"/>
        </w:rPr>
      </w:pPr>
      <w:r>
        <w:rPr>
          <w:rFonts w:ascii="Verdana" w:hAnsi="Verdana" w:cs="Arial"/>
          <w:b/>
          <w:sz w:val="21"/>
          <w:szCs w:val="21"/>
        </w:rPr>
        <w:t>3.3 Red de Laboratorios y Laboratorios en Salud Pública:</w:t>
      </w:r>
    </w:p>
    <w:p w14:paraId="241C7F8E" w14:textId="77777777" w:rsidR="00321689" w:rsidRDefault="00321689" w:rsidP="00321689">
      <w:pPr>
        <w:jc w:val="both"/>
        <w:rPr>
          <w:rFonts w:ascii="Verdana" w:hAnsi="Verdana" w:cs="Arial"/>
          <w:b/>
          <w:sz w:val="21"/>
          <w:szCs w:val="21"/>
        </w:rPr>
      </w:pPr>
    </w:p>
    <w:p w14:paraId="74562B05" w14:textId="77777777" w:rsidR="00321689" w:rsidRDefault="00321689" w:rsidP="00321689">
      <w:pPr>
        <w:jc w:val="both"/>
        <w:rPr>
          <w:rFonts w:ascii="Verdana" w:hAnsi="Verdana" w:cs="Arial"/>
          <w:bCs/>
          <w:sz w:val="21"/>
          <w:szCs w:val="21"/>
        </w:rPr>
      </w:pPr>
      <w:r>
        <w:rPr>
          <w:rFonts w:ascii="Verdana" w:hAnsi="Verdana" w:cs="Arial"/>
          <w:bCs/>
          <w:sz w:val="21"/>
          <w:szCs w:val="21"/>
        </w:rPr>
        <w:t>Con fundamento en lo previsto por el artículo 13 del Decreto 2323 de 2006, que establece “</w:t>
      </w:r>
      <w:r>
        <w:rPr>
          <w:rFonts w:ascii="Verdana" w:hAnsi="Verdana" w:cs="Arial"/>
          <w:bCs/>
          <w:i/>
          <w:iCs/>
          <w:sz w:val="21"/>
          <w:szCs w:val="21"/>
        </w:rPr>
        <w:t>Los departamentos y el distrito capital crearán Comités Técnicos en sus respectivas jurisdicciones, integrados por representantes regionales de los distintos sectores involucrados en el desarrollo de la Red</w:t>
      </w:r>
      <w:r>
        <w:rPr>
          <w:rFonts w:ascii="Verdana" w:hAnsi="Verdana" w:cs="Arial"/>
          <w:bCs/>
          <w:sz w:val="21"/>
          <w:szCs w:val="21"/>
        </w:rPr>
        <w:t xml:space="preserve">”; así, a partir de la información suministrada por la Entidad Territorial se evidenció el incumplimiento a lo allí dispuesto; toda vez que, manifiesta frente a las obligaciones de la Red Pública de Laboratorios que; </w:t>
      </w:r>
      <w:r>
        <w:rPr>
          <w:rFonts w:ascii="Verdana" w:hAnsi="Verdana" w:cs="Arial"/>
          <w:i/>
          <w:sz w:val="21"/>
          <w:szCs w:val="21"/>
        </w:rPr>
        <w:t>“la Secretaría de Salud Departamental aún no tiene conformado el comité técnico departamental, debido a que el Laboratorio de Salud Pública se encuentra en un proceso de transición a la modernización</w:t>
      </w:r>
      <w:r>
        <w:rPr>
          <w:rFonts w:ascii="Verdana" w:hAnsi="Verdana" w:cs="Arial"/>
          <w:bCs/>
          <w:iCs/>
          <w:sz w:val="21"/>
          <w:szCs w:val="21"/>
        </w:rPr>
        <w:t>”,</w:t>
      </w:r>
      <w:r>
        <w:rPr>
          <w:rFonts w:ascii="Verdana" w:hAnsi="Verdana" w:cs="Arial"/>
          <w:bCs/>
          <w:sz w:val="21"/>
          <w:szCs w:val="21"/>
        </w:rPr>
        <w:t xml:space="preserve"> situación que impacta el adecuado funcionamiento de la Red Nacional de Laboratorios en el ámbito departamental toda vez que limita las funciones que tendría dicho Comité frente a brindar asesoría y apoyo a las secretarías de salud departamentales o distritales en la adopción e implementación de los lineamientos dados por el nivel nacional para la Red Nacional de Laboratorios; proponer mecanismos que permitan mejorar el funcionamiento del Laboratorio de Salud Pública en consonancia con las normas técnicas y administrativas que establezca el Ministerio de Salud y Protección Social; recomendar la formulación de planes, programas y proyectos destinados a garantizar la gestión y operación de la Red de Laboratorios en su jurisdicción, de acuerdo con los lineamientos nacionales; orientar la toma de decisiones con base en información generada por la Red de Laboratorios de su jurisdicción y promover la realización de alianzas estratégicas intersectoriales.</w:t>
      </w:r>
    </w:p>
    <w:p w14:paraId="28BD671D" w14:textId="77777777" w:rsidR="00321689" w:rsidRDefault="00321689" w:rsidP="00321689">
      <w:pPr>
        <w:jc w:val="both"/>
        <w:rPr>
          <w:rFonts w:ascii="Arial" w:hAnsi="Arial" w:cs="Arial"/>
          <w:sz w:val="21"/>
          <w:szCs w:val="21"/>
        </w:rPr>
      </w:pPr>
    </w:p>
    <w:p w14:paraId="0529869A" w14:textId="77777777" w:rsidR="00321689" w:rsidRDefault="00321689" w:rsidP="00321689">
      <w:pPr>
        <w:jc w:val="both"/>
        <w:rPr>
          <w:rFonts w:ascii="Verdana" w:hAnsi="Verdana" w:cs="Arial"/>
          <w:bCs/>
          <w:sz w:val="21"/>
          <w:szCs w:val="21"/>
        </w:rPr>
      </w:pPr>
      <w:r>
        <w:rPr>
          <w:rFonts w:ascii="Verdana" w:hAnsi="Verdana" w:cs="Arial"/>
          <w:bCs/>
          <w:sz w:val="21"/>
          <w:szCs w:val="21"/>
        </w:rPr>
        <w:t>De otro lado, frente al cumplimiento de lo establecido en el Decreto 2323 de 2006 y la Resolución 1619 de 2015, conforme al documento “</w:t>
      </w:r>
      <w:r>
        <w:rPr>
          <w:rFonts w:ascii="Verdana" w:hAnsi="Verdana" w:cs="Arial"/>
          <w:bCs/>
          <w:i/>
          <w:iCs/>
          <w:sz w:val="21"/>
          <w:szCs w:val="21"/>
        </w:rPr>
        <w:t>Diagnóstico de los Laboratorios de Salud Pública de Colombia, Vigencia 2022</w:t>
      </w:r>
      <w:r>
        <w:rPr>
          <w:rFonts w:ascii="Verdana" w:hAnsi="Verdana" w:cs="Arial"/>
          <w:bCs/>
          <w:sz w:val="21"/>
          <w:szCs w:val="21"/>
        </w:rPr>
        <w:t xml:space="preserve">” del Ministerio de Salud y Protección Social, el Laboratorio de Salud Pública del Departamento del Cesar, fue evaluado por el Instituto Nacional de Salud (INS) </w:t>
      </w:r>
      <w:r w:rsidR="00D779F9">
        <w:rPr>
          <w:rFonts w:ascii="Verdana" w:hAnsi="Verdana" w:cs="Arial"/>
          <w:bCs/>
          <w:sz w:val="21"/>
          <w:szCs w:val="21"/>
        </w:rPr>
        <w:t>así</w:t>
      </w:r>
      <w:r>
        <w:rPr>
          <w:rFonts w:ascii="Verdana" w:hAnsi="Verdana" w:cs="Arial"/>
          <w:bCs/>
          <w:sz w:val="21"/>
          <w:szCs w:val="21"/>
        </w:rPr>
        <w:t xml:space="preserve">: </w:t>
      </w:r>
    </w:p>
    <w:p w14:paraId="251D64DD" w14:textId="77777777" w:rsidR="00321689" w:rsidRDefault="00321689" w:rsidP="00321689">
      <w:pPr>
        <w:jc w:val="both"/>
        <w:rPr>
          <w:rFonts w:ascii="Verdana" w:hAnsi="Verdana" w:cs="Arial"/>
          <w:bCs/>
          <w:sz w:val="21"/>
          <w:szCs w:val="21"/>
        </w:rPr>
      </w:pPr>
    </w:p>
    <w:p w14:paraId="73B33E7C" w14:textId="77777777" w:rsidR="00321689" w:rsidRPr="00AB0C16" w:rsidRDefault="00321689" w:rsidP="00AB0C16">
      <w:pPr>
        <w:ind w:left="567"/>
        <w:jc w:val="both"/>
        <w:rPr>
          <w:rFonts w:ascii="Verdana" w:hAnsi="Verdana" w:cs="Arial"/>
          <w:bCs/>
          <w:iCs/>
          <w:sz w:val="18"/>
          <w:szCs w:val="18"/>
        </w:rPr>
      </w:pPr>
      <w:r w:rsidRPr="00AB0C16">
        <w:rPr>
          <w:rFonts w:ascii="Verdana" w:hAnsi="Verdana" w:cs="Arial"/>
          <w:bCs/>
          <w:sz w:val="18"/>
          <w:szCs w:val="18"/>
        </w:rPr>
        <w:t>“</w:t>
      </w:r>
      <w:r w:rsidRPr="00AB0C16">
        <w:rPr>
          <w:rFonts w:ascii="Verdana" w:hAnsi="Verdana" w:cs="Arial"/>
          <w:bCs/>
          <w:i/>
          <w:sz w:val="18"/>
          <w:szCs w:val="18"/>
        </w:rPr>
        <w:t xml:space="preserve">El INS reporta en su informe de cierre para el 2022 que el LSP  de Cesar  se encuentra en plan de mejoramiento con visita de seguimiento virtual, fue asignado para realización de detección del virus de Monkey Pox (Viruela Símica </w:t>
      </w:r>
      <w:r w:rsidRPr="00AB0C16">
        <w:rPr>
          <w:rFonts w:ascii="Verdana" w:hAnsi="Verdana" w:cs="Arial"/>
          <w:bCs/>
          <w:iCs/>
          <w:sz w:val="18"/>
          <w:szCs w:val="18"/>
        </w:rPr>
        <w:t>. El porcentaje de cumplimiento de estándar de calidad es de</w:t>
      </w:r>
      <w:r w:rsidR="00D779F9" w:rsidRPr="00AB0C16">
        <w:rPr>
          <w:rFonts w:ascii="Verdana" w:hAnsi="Verdana" w:cs="Arial"/>
          <w:bCs/>
          <w:iCs/>
          <w:sz w:val="18"/>
          <w:szCs w:val="18"/>
        </w:rPr>
        <w:t xml:space="preserve"> </w:t>
      </w:r>
      <w:r w:rsidRPr="00AB0C16">
        <w:rPr>
          <w:rFonts w:ascii="Verdana" w:hAnsi="Verdana" w:cs="Arial"/>
          <w:bCs/>
          <w:iCs/>
          <w:sz w:val="18"/>
          <w:szCs w:val="18"/>
        </w:rPr>
        <w:t xml:space="preserve">63,1%” </w:t>
      </w:r>
    </w:p>
    <w:p w14:paraId="3E7110D6" w14:textId="77777777" w:rsidR="00321689" w:rsidRPr="00AB0C16" w:rsidRDefault="00321689" w:rsidP="00AB0C16">
      <w:pPr>
        <w:ind w:left="567"/>
        <w:jc w:val="both"/>
        <w:rPr>
          <w:rFonts w:ascii="Verdana" w:hAnsi="Verdana" w:cs="Arial"/>
          <w:bCs/>
          <w:sz w:val="18"/>
          <w:szCs w:val="18"/>
        </w:rPr>
      </w:pPr>
    </w:p>
    <w:p w14:paraId="129FA9E7" w14:textId="77777777" w:rsidR="00321689" w:rsidRPr="00AB0C16" w:rsidRDefault="00321689" w:rsidP="00AB0C16">
      <w:pPr>
        <w:ind w:left="567"/>
        <w:jc w:val="both"/>
        <w:rPr>
          <w:rFonts w:ascii="Verdana" w:hAnsi="Verdana" w:cs="Arial"/>
          <w:bCs/>
          <w:i/>
          <w:sz w:val="18"/>
          <w:szCs w:val="18"/>
        </w:rPr>
      </w:pPr>
      <w:r w:rsidRPr="00AB0C16">
        <w:rPr>
          <w:rFonts w:ascii="Verdana" w:hAnsi="Verdana" w:cs="Arial"/>
          <w:bCs/>
          <w:sz w:val="18"/>
          <w:szCs w:val="18"/>
        </w:rPr>
        <w:t>Por su parte el INVIMA emitió el siguiente concepto</w:t>
      </w:r>
      <w:r w:rsidRPr="00AB0C16">
        <w:rPr>
          <w:rFonts w:ascii="Verdana" w:hAnsi="Verdana" w:cs="Arial"/>
          <w:bCs/>
          <w:i/>
          <w:sz w:val="18"/>
          <w:szCs w:val="18"/>
        </w:rPr>
        <w:t>:</w:t>
      </w:r>
    </w:p>
    <w:p w14:paraId="1245B353" w14:textId="77777777" w:rsidR="00321689" w:rsidRPr="00AB0C16" w:rsidRDefault="00321689" w:rsidP="00AB0C16">
      <w:pPr>
        <w:ind w:left="567"/>
        <w:jc w:val="both"/>
        <w:rPr>
          <w:rFonts w:ascii="Verdana" w:hAnsi="Verdana" w:cs="Arial"/>
          <w:bCs/>
          <w:i/>
          <w:sz w:val="18"/>
          <w:szCs w:val="18"/>
        </w:rPr>
      </w:pPr>
    </w:p>
    <w:p w14:paraId="16FD37AB" w14:textId="77777777" w:rsidR="00321689" w:rsidRPr="00AB0C16" w:rsidRDefault="00321689" w:rsidP="00AB0C16">
      <w:pPr>
        <w:ind w:left="567"/>
        <w:jc w:val="both"/>
        <w:rPr>
          <w:rFonts w:ascii="Verdana" w:hAnsi="Verdana" w:cs="Arial"/>
          <w:bCs/>
          <w:i/>
          <w:sz w:val="18"/>
          <w:szCs w:val="18"/>
        </w:rPr>
      </w:pPr>
      <w:r w:rsidRPr="00AB0C16">
        <w:rPr>
          <w:rFonts w:ascii="Verdana" w:hAnsi="Verdana" w:cs="Arial"/>
          <w:bCs/>
          <w:i/>
          <w:sz w:val="18"/>
          <w:szCs w:val="18"/>
        </w:rPr>
        <w:t xml:space="preserve"> “[…</w:t>
      </w:r>
      <w:r w:rsidR="00837C4D" w:rsidRPr="00AB0C16">
        <w:rPr>
          <w:rFonts w:ascii="Verdana" w:hAnsi="Verdana" w:cs="Arial"/>
          <w:bCs/>
          <w:i/>
          <w:sz w:val="18"/>
          <w:szCs w:val="18"/>
        </w:rPr>
        <w:t xml:space="preserve">] </w:t>
      </w:r>
      <w:r w:rsidRPr="00AB0C16">
        <w:rPr>
          <w:rFonts w:ascii="Verdana" w:hAnsi="Verdana" w:cs="Arial"/>
          <w:bCs/>
          <w:i/>
          <w:sz w:val="18"/>
          <w:szCs w:val="18"/>
        </w:rPr>
        <w:t>El Invima reporta que persiste el bajo desempeño del Laboratorio de Salud Pública del Departamento del Cesar frente al reporte de los resultados de análisis de muestras de alimentos y bebidas que se deberían realizar por parte del laboratorio en virtud de sus funciones de apoyo a las actividades de Inspección, Vigilancia y Control de los productos de uso y consumo humano enmarcados en el contexto normativo de la Resolución 1229 de 2013, conforme a sus competencias.”</w:t>
      </w:r>
    </w:p>
    <w:p w14:paraId="0B4D5DA9" w14:textId="77777777" w:rsidR="00321689" w:rsidRDefault="00321689" w:rsidP="00321689">
      <w:pPr>
        <w:jc w:val="both"/>
        <w:rPr>
          <w:rFonts w:ascii="Arial" w:hAnsi="Arial" w:cs="Arial"/>
          <w:b/>
          <w:bCs/>
          <w:sz w:val="21"/>
          <w:szCs w:val="21"/>
        </w:rPr>
      </w:pPr>
    </w:p>
    <w:p w14:paraId="320EDB43" w14:textId="77777777" w:rsidR="00321689" w:rsidRDefault="00321689" w:rsidP="00321689">
      <w:pPr>
        <w:autoSpaceDE w:val="0"/>
        <w:autoSpaceDN w:val="0"/>
        <w:adjustRightInd w:val="0"/>
        <w:jc w:val="center"/>
        <w:rPr>
          <w:rStyle w:val="contentpasted0"/>
          <w:rFonts w:ascii="Verdana" w:hAnsi="Verdana"/>
          <w:color w:val="000000"/>
        </w:rPr>
      </w:pPr>
      <w:r>
        <w:rPr>
          <w:rFonts w:ascii="Verdana" w:eastAsia="ヒラギノ角ゴ Pro W3" w:hAnsi="Verdana" w:cs="Arial"/>
          <w:b/>
          <w:color w:val="B48C41"/>
          <w:sz w:val="18"/>
          <w:szCs w:val="18"/>
        </w:rPr>
        <w:t>Imagen No 12</w:t>
      </w:r>
    </w:p>
    <w:p w14:paraId="7EFE5C06" w14:textId="77777777" w:rsidR="00321689" w:rsidRDefault="00321689" w:rsidP="00321689">
      <w:pPr>
        <w:jc w:val="both"/>
        <w:rPr>
          <w:sz w:val="22"/>
          <w:szCs w:val="22"/>
        </w:rPr>
      </w:pPr>
      <w:r>
        <w:rPr>
          <w:noProof/>
          <w:lang w:val="es-CO" w:eastAsia="es-CO"/>
        </w:rPr>
        <w:lastRenderedPageBreak/>
        <w:drawing>
          <wp:inline distT="0" distB="0" distL="0" distR="0" wp14:anchorId="3ACE5B92" wp14:editId="199BBBCB">
            <wp:extent cx="5607050" cy="1282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07050" cy="1282700"/>
                    </a:xfrm>
                    <a:prstGeom prst="rect">
                      <a:avLst/>
                    </a:prstGeom>
                    <a:noFill/>
                    <a:ln>
                      <a:noFill/>
                    </a:ln>
                  </pic:spPr>
                </pic:pic>
              </a:graphicData>
            </a:graphic>
          </wp:inline>
        </w:drawing>
      </w:r>
    </w:p>
    <w:p w14:paraId="7F1D4557" w14:textId="77777777" w:rsidR="00321689" w:rsidRDefault="00321689" w:rsidP="00321689">
      <w:pPr>
        <w:jc w:val="both"/>
        <w:rPr>
          <w:rStyle w:val="contentpasted0"/>
          <w:color w:val="000000"/>
          <w:sz w:val="21"/>
          <w:szCs w:val="21"/>
        </w:rPr>
      </w:pPr>
      <w:r>
        <w:rPr>
          <w:rFonts w:ascii="Verdana" w:eastAsia="Times New Roman" w:hAnsi="Verdana" w:cs="Arial"/>
          <w:color w:val="000000"/>
          <w:sz w:val="18"/>
          <w:szCs w:val="18"/>
          <w:lang w:eastAsia="es-CO"/>
        </w:rPr>
        <w:t>Fuente: Elaboración DAF con información -  Entidad territorial – Secretaria de Salud</w:t>
      </w:r>
    </w:p>
    <w:p w14:paraId="20FA21DA" w14:textId="77777777" w:rsidR="00321689" w:rsidRDefault="00321689" w:rsidP="00321689">
      <w:pPr>
        <w:jc w:val="both"/>
        <w:rPr>
          <w:sz w:val="22"/>
          <w:szCs w:val="22"/>
        </w:rPr>
      </w:pPr>
    </w:p>
    <w:p w14:paraId="36F17CCA" w14:textId="77777777" w:rsidR="00321689" w:rsidRPr="00854D15" w:rsidRDefault="00D779F9" w:rsidP="00321689">
      <w:pPr>
        <w:jc w:val="both"/>
        <w:rPr>
          <w:rFonts w:ascii="Verdana" w:hAnsi="Verdana" w:cs="Arial"/>
          <w:sz w:val="21"/>
          <w:szCs w:val="21"/>
        </w:rPr>
      </w:pPr>
      <w:r w:rsidRPr="00854D15">
        <w:rPr>
          <w:rFonts w:ascii="Verdana" w:hAnsi="Verdana" w:cs="Arial"/>
          <w:sz w:val="21"/>
          <w:szCs w:val="21"/>
        </w:rPr>
        <w:t>Lo anterior evidencia, además del incumplimiento a los requisitos indispensables para desarrollar las funciones esenciales en Salud Pública en el territorio, la afectación del correcto funcionamiento del Laboratorio de Salud Pública Departamental, de su adecuada incorporación a la Red Nacional de Laboratorios de Salud Pública incidiendo en el desarrollo de actividades de vigilancia en Salud Pública, prestación de servicios, gestión de la calidad e investigación, así como también de su efectivo desarrollo de acciones técnico administrativas realizadas frente a la atención de las personas y el medio ambiente.</w:t>
      </w:r>
    </w:p>
    <w:p w14:paraId="694D2DFE" w14:textId="77777777" w:rsidR="00D779F9" w:rsidRDefault="00D779F9" w:rsidP="00321689">
      <w:pPr>
        <w:jc w:val="both"/>
        <w:rPr>
          <w:rFonts w:ascii="Verdana" w:hAnsi="Verdana" w:cs="Arial"/>
        </w:rPr>
      </w:pPr>
    </w:p>
    <w:p w14:paraId="50EA5698" w14:textId="77777777" w:rsidR="00321689" w:rsidRDefault="00321689" w:rsidP="00321689">
      <w:pPr>
        <w:pStyle w:val="Prrafodelista"/>
        <w:numPr>
          <w:ilvl w:val="3"/>
          <w:numId w:val="18"/>
        </w:numPr>
        <w:ind w:left="426"/>
        <w:jc w:val="both"/>
        <w:rPr>
          <w:rFonts w:ascii="Verdana" w:hAnsi="Verdana" w:cs="Arial"/>
          <w:b/>
          <w:sz w:val="21"/>
          <w:szCs w:val="21"/>
        </w:rPr>
      </w:pPr>
      <w:r>
        <w:rPr>
          <w:rFonts w:ascii="Verdana" w:hAnsi="Verdana" w:cs="Arial"/>
          <w:b/>
          <w:sz w:val="21"/>
          <w:szCs w:val="21"/>
        </w:rPr>
        <w:t>Análisis Jurídico.</w:t>
      </w:r>
    </w:p>
    <w:p w14:paraId="4908DF95" w14:textId="77777777" w:rsidR="00321689" w:rsidRDefault="00321689" w:rsidP="00321689">
      <w:pPr>
        <w:jc w:val="both"/>
        <w:rPr>
          <w:rFonts w:ascii="Verdana" w:hAnsi="Verdana" w:cs="Arial"/>
          <w:i/>
          <w:sz w:val="21"/>
          <w:szCs w:val="21"/>
          <w:u w:val="single"/>
        </w:rPr>
      </w:pPr>
    </w:p>
    <w:p w14:paraId="74763337" w14:textId="77777777" w:rsidR="00321689" w:rsidRDefault="00321689" w:rsidP="00321689">
      <w:pPr>
        <w:jc w:val="both"/>
        <w:rPr>
          <w:rFonts w:ascii="Verdana" w:hAnsi="Verdana" w:cs="Arial"/>
          <w:b/>
          <w:sz w:val="21"/>
          <w:szCs w:val="21"/>
        </w:rPr>
      </w:pPr>
      <w:r>
        <w:rPr>
          <w:rFonts w:ascii="Verdana" w:hAnsi="Verdana" w:cs="Arial"/>
          <w:b/>
          <w:sz w:val="21"/>
          <w:szCs w:val="21"/>
        </w:rPr>
        <w:t>4.1 Procesos Jurídicos.</w:t>
      </w:r>
    </w:p>
    <w:p w14:paraId="7597A7E2" w14:textId="77777777" w:rsidR="00321689" w:rsidRDefault="00321689" w:rsidP="00321689">
      <w:pPr>
        <w:pStyle w:val="Sinespaciado"/>
        <w:jc w:val="both"/>
        <w:rPr>
          <w:rFonts w:ascii="Verdana" w:eastAsia="MS Mincho" w:hAnsi="Verdana" w:cs="Arial"/>
          <w:bCs/>
          <w:sz w:val="21"/>
          <w:szCs w:val="21"/>
          <w:lang w:val="es-ES" w:eastAsia="es-ES"/>
        </w:rPr>
      </w:pPr>
    </w:p>
    <w:p w14:paraId="56108050" w14:textId="77777777" w:rsidR="00321689" w:rsidRDefault="00321689" w:rsidP="00321689">
      <w:pPr>
        <w:pStyle w:val="Sinespaciado"/>
        <w:jc w:val="both"/>
        <w:rPr>
          <w:rFonts w:ascii="Verdana" w:eastAsia="MS Mincho" w:hAnsi="Verdana" w:cs="Arial"/>
          <w:bCs/>
          <w:sz w:val="21"/>
          <w:szCs w:val="21"/>
          <w:lang w:val="es-ES" w:eastAsia="es-ES"/>
        </w:rPr>
      </w:pPr>
      <w:r>
        <w:rPr>
          <w:rFonts w:ascii="Verdana" w:eastAsia="MS Mincho" w:hAnsi="Verdana" w:cs="Arial"/>
          <w:bCs/>
          <w:sz w:val="21"/>
          <w:szCs w:val="21"/>
          <w:lang w:val="es-ES" w:eastAsia="es-ES"/>
        </w:rPr>
        <w:t xml:space="preserve">El Departamento del Cesar, hizo entrega del informe de procesos judiciales que cursan actualmente en contra del Departamento relacionados específicamente con la Secretaría de Salud, en los formatos establecidos por esta Dirección, en los que se tiene un total de 23 procesos </w:t>
      </w:r>
      <w:r w:rsidR="00371595">
        <w:rPr>
          <w:rFonts w:ascii="Verdana" w:eastAsia="MS Mincho" w:hAnsi="Verdana" w:cs="Arial"/>
          <w:bCs/>
          <w:sz w:val="21"/>
          <w:szCs w:val="21"/>
          <w:lang w:val="es-ES" w:eastAsia="es-ES"/>
        </w:rPr>
        <w:t xml:space="preserve">cuyas pretensiones </w:t>
      </w:r>
      <w:r w:rsidR="000460D9">
        <w:rPr>
          <w:rFonts w:ascii="Verdana" w:eastAsia="MS Mincho" w:hAnsi="Verdana" w:cs="Arial"/>
          <w:bCs/>
          <w:sz w:val="21"/>
          <w:szCs w:val="21"/>
          <w:lang w:val="es-ES" w:eastAsia="es-ES"/>
        </w:rPr>
        <w:t xml:space="preserve">se encuentran </w:t>
      </w:r>
      <w:r>
        <w:rPr>
          <w:rFonts w:ascii="Verdana" w:eastAsia="MS Mincho" w:hAnsi="Verdana" w:cs="Arial"/>
          <w:bCs/>
          <w:sz w:val="21"/>
          <w:szCs w:val="21"/>
          <w:lang w:val="es-ES" w:eastAsia="es-ES"/>
        </w:rPr>
        <w:t>por $17.716 millones así:</w:t>
      </w:r>
    </w:p>
    <w:p w14:paraId="5217569A" w14:textId="77777777" w:rsidR="00321689" w:rsidRDefault="00321689" w:rsidP="00321689">
      <w:pPr>
        <w:pStyle w:val="Sinespaciado"/>
        <w:jc w:val="both"/>
        <w:rPr>
          <w:rFonts w:ascii="Verdana" w:eastAsia="MS Mincho" w:hAnsi="Verdana" w:cs="Arial"/>
          <w:bCs/>
          <w:sz w:val="21"/>
          <w:szCs w:val="21"/>
          <w:lang w:val="es-ES" w:eastAsia="es-ES"/>
        </w:rPr>
      </w:pPr>
    </w:p>
    <w:p w14:paraId="64622E1B" w14:textId="77777777" w:rsidR="00321689" w:rsidRDefault="00321689" w:rsidP="00321689">
      <w:pPr>
        <w:jc w:val="center"/>
        <w:rPr>
          <w:rStyle w:val="contentpasted0"/>
          <w:rFonts w:eastAsia="Times New Roman"/>
          <w:b/>
          <w:sz w:val="18"/>
          <w:szCs w:val="18"/>
          <w:lang w:val="es-CO" w:eastAsia="en-US"/>
        </w:rPr>
      </w:pPr>
      <w:r>
        <w:rPr>
          <w:rFonts w:ascii="Verdana" w:eastAsia="ヒラギノ角ゴ Pro W3" w:hAnsi="Verdana" w:cs="Arial"/>
          <w:b/>
          <w:color w:val="B48C41"/>
          <w:sz w:val="18"/>
          <w:szCs w:val="18"/>
        </w:rPr>
        <w:t>Tabla No 15</w:t>
      </w:r>
    </w:p>
    <w:p w14:paraId="258FABAF" w14:textId="77777777" w:rsidR="00321689" w:rsidRDefault="00321689" w:rsidP="00321689">
      <w:pPr>
        <w:jc w:val="center"/>
        <w:rPr>
          <w:rFonts w:eastAsia="ヒラギノ角ゴ Pro W3"/>
          <w:color w:val="B48C41"/>
        </w:rPr>
      </w:pPr>
      <w:r>
        <w:rPr>
          <w:rFonts w:ascii="Verdana" w:eastAsia="ヒラギノ角ゴ Pro W3" w:hAnsi="Verdana" w:cs="Arial"/>
          <w:b/>
          <w:color w:val="B48C41"/>
          <w:sz w:val="18"/>
          <w:szCs w:val="18"/>
        </w:rPr>
        <w:t>Valores en millones</w:t>
      </w:r>
    </w:p>
    <w:p w14:paraId="13BA254E" w14:textId="77777777" w:rsidR="00321689" w:rsidRDefault="00321689" w:rsidP="00321689">
      <w:pPr>
        <w:jc w:val="center"/>
        <w:rPr>
          <w:rStyle w:val="contentpasted0"/>
          <w:rFonts w:eastAsiaTheme="minorHAnsi"/>
          <w:color w:val="000000"/>
          <w:sz w:val="21"/>
          <w:szCs w:val="21"/>
        </w:rPr>
      </w:pPr>
    </w:p>
    <w:p w14:paraId="6735D4CF" w14:textId="77777777" w:rsidR="00695E73" w:rsidRDefault="00321689" w:rsidP="00321689">
      <w:pPr>
        <w:jc w:val="both"/>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 xml:space="preserve">  </w:t>
      </w:r>
    </w:p>
    <w:p w14:paraId="1732013D" w14:textId="77777777" w:rsidR="00695E73" w:rsidRDefault="00695E73" w:rsidP="00321689">
      <w:pPr>
        <w:jc w:val="both"/>
        <w:rPr>
          <w:rFonts w:ascii="Verdana" w:eastAsia="Times New Roman" w:hAnsi="Verdana" w:cs="Arial"/>
          <w:color w:val="000000"/>
          <w:sz w:val="18"/>
          <w:szCs w:val="18"/>
          <w:lang w:eastAsia="es-CO"/>
        </w:rPr>
      </w:pPr>
      <w:r w:rsidRPr="00695E73">
        <w:rPr>
          <w:noProof/>
          <w:lang w:val="es-CO" w:eastAsia="es-CO"/>
        </w:rPr>
        <w:drawing>
          <wp:inline distT="0" distB="0" distL="0" distR="0" wp14:anchorId="068026BA" wp14:editId="7D5A6816">
            <wp:extent cx="5612130" cy="131579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1315790"/>
                    </a:xfrm>
                    <a:prstGeom prst="rect">
                      <a:avLst/>
                    </a:prstGeom>
                    <a:noFill/>
                    <a:ln>
                      <a:noFill/>
                    </a:ln>
                  </pic:spPr>
                </pic:pic>
              </a:graphicData>
            </a:graphic>
          </wp:inline>
        </w:drawing>
      </w:r>
    </w:p>
    <w:p w14:paraId="7466342F" w14:textId="77777777" w:rsidR="00321689" w:rsidRDefault="00321689" w:rsidP="00EF5BF4">
      <w:pPr>
        <w:jc w:val="center"/>
        <w:rPr>
          <w:sz w:val="22"/>
          <w:szCs w:val="22"/>
        </w:rPr>
      </w:pPr>
      <w:r>
        <w:rPr>
          <w:rFonts w:ascii="Verdana" w:eastAsia="Times New Roman" w:hAnsi="Verdana" w:cs="Arial"/>
          <w:color w:val="000000"/>
          <w:sz w:val="18"/>
          <w:szCs w:val="18"/>
          <w:lang w:eastAsia="es-CO"/>
        </w:rPr>
        <w:t>Fuente: Entidad territorial – Secretaria de Salud</w:t>
      </w:r>
    </w:p>
    <w:p w14:paraId="0FECE3AA" w14:textId="77777777" w:rsidR="00321689" w:rsidRDefault="00321689" w:rsidP="00321689">
      <w:pPr>
        <w:pStyle w:val="Sinespaciado"/>
        <w:jc w:val="both"/>
        <w:rPr>
          <w:rFonts w:ascii="Verdana" w:hAnsi="Verdana" w:cs="Arial"/>
          <w:sz w:val="21"/>
          <w:szCs w:val="21"/>
        </w:rPr>
      </w:pPr>
    </w:p>
    <w:p w14:paraId="0DE6BC84" w14:textId="77777777" w:rsidR="00321689" w:rsidRDefault="00321689" w:rsidP="00321689">
      <w:pPr>
        <w:pStyle w:val="Sinespaciado"/>
        <w:jc w:val="both"/>
        <w:rPr>
          <w:rFonts w:ascii="Verdana" w:eastAsia="Calibri" w:hAnsi="Verdana" w:cs="Arial"/>
          <w:sz w:val="21"/>
          <w:szCs w:val="21"/>
        </w:rPr>
      </w:pPr>
      <w:r>
        <w:rPr>
          <w:rFonts w:ascii="Verdana" w:hAnsi="Verdana" w:cs="Arial"/>
          <w:sz w:val="21"/>
          <w:szCs w:val="21"/>
        </w:rPr>
        <w:t xml:space="preserve">En cuanto a la cantidad de procesos judiciales y el monto estimado de las pretensiones, se pudo verificar que </w:t>
      </w:r>
      <w:r>
        <w:rPr>
          <w:rFonts w:ascii="Verdana" w:eastAsia="Calibri" w:hAnsi="Verdana" w:cs="Arial"/>
          <w:sz w:val="21"/>
          <w:szCs w:val="21"/>
        </w:rPr>
        <w:t>se tiene constituido el fondo de contingencias, sin embargo, no es exclusivo para el sector salud, sino que los recursos asignados $103.214 millones, fueron programados en el presupuesto 2022 para toda la administración, los cuales son suficientes para cubrir un total de $102.524 millones reportados como pretensiones de las demandas del departamento</w:t>
      </w:r>
      <w:r w:rsidR="00695E73">
        <w:rPr>
          <w:rFonts w:ascii="Verdana" w:eastAsia="Calibri" w:hAnsi="Verdana" w:cs="Arial"/>
          <w:sz w:val="21"/>
          <w:szCs w:val="21"/>
        </w:rPr>
        <w:t xml:space="preserve"> los cuales </w:t>
      </w:r>
      <w:r w:rsidR="00695E73">
        <w:rPr>
          <w:rFonts w:ascii="Verdana" w:eastAsia="Calibri" w:hAnsi="Verdana" w:cs="Arial"/>
          <w:sz w:val="21"/>
          <w:szCs w:val="21"/>
        </w:rPr>
        <w:lastRenderedPageBreak/>
        <w:t>incluyen los $17.716 millones del sector salud</w:t>
      </w:r>
      <w:r>
        <w:rPr>
          <w:rFonts w:ascii="Verdana" w:eastAsia="Calibri" w:hAnsi="Verdana" w:cs="Arial"/>
          <w:sz w:val="21"/>
          <w:szCs w:val="21"/>
        </w:rPr>
        <w:t>.</w:t>
      </w:r>
      <w:r w:rsidR="00FB18D7">
        <w:rPr>
          <w:rFonts w:ascii="Verdana" w:eastAsia="Calibri" w:hAnsi="Verdana" w:cs="Arial"/>
          <w:sz w:val="21"/>
          <w:szCs w:val="21"/>
        </w:rPr>
        <w:t xml:space="preserve"> De tal forma, que no existe riesgo al respecto.</w:t>
      </w:r>
    </w:p>
    <w:p w14:paraId="67DAB991" w14:textId="77777777" w:rsidR="00321689" w:rsidRDefault="00321689" w:rsidP="00321689">
      <w:pPr>
        <w:pStyle w:val="Sinespaciado"/>
        <w:jc w:val="both"/>
        <w:rPr>
          <w:rFonts w:ascii="Verdana" w:eastAsia="MS Mincho" w:hAnsi="Verdana" w:cs="Arial"/>
          <w:bCs/>
          <w:sz w:val="21"/>
          <w:szCs w:val="21"/>
          <w:lang w:val="es-ES" w:eastAsia="es-ES"/>
        </w:rPr>
      </w:pPr>
    </w:p>
    <w:p w14:paraId="4D0DD08F" w14:textId="77777777" w:rsidR="00321689" w:rsidRDefault="00321689" w:rsidP="00321689">
      <w:pPr>
        <w:pStyle w:val="Sinespaciado"/>
        <w:jc w:val="both"/>
        <w:rPr>
          <w:rFonts w:ascii="Verdana" w:eastAsia="MS Mincho" w:hAnsi="Verdana" w:cs="Arial"/>
          <w:bCs/>
          <w:sz w:val="21"/>
          <w:szCs w:val="21"/>
          <w:lang w:val="es-ES" w:eastAsia="es-ES"/>
        </w:rPr>
      </w:pPr>
      <w:r>
        <w:rPr>
          <w:rFonts w:ascii="Verdana" w:eastAsia="MS Mincho" w:hAnsi="Verdana" w:cs="Arial"/>
          <w:bCs/>
          <w:sz w:val="21"/>
          <w:szCs w:val="21"/>
          <w:lang w:val="es-ES" w:eastAsia="es-ES"/>
        </w:rPr>
        <w:t>Por otra parte, se adjuntó certificación de la Tesorería departamental en la que se informa que no existen embargos a las Cuentas Maestras del Sector Salud.</w:t>
      </w:r>
    </w:p>
    <w:p w14:paraId="2606D278" w14:textId="77777777" w:rsidR="00A86417" w:rsidRDefault="00A86417" w:rsidP="00321689">
      <w:pPr>
        <w:pStyle w:val="Sinespaciado"/>
        <w:jc w:val="both"/>
        <w:rPr>
          <w:rFonts w:ascii="Verdana" w:eastAsia="MS Mincho" w:hAnsi="Verdana" w:cs="Arial"/>
          <w:bCs/>
          <w:sz w:val="21"/>
          <w:szCs w:val="21"/>
          <w:lang w:val="es-ES" w:eastAsia="es-ES"/>
        </w:rPr>
      </w:pPr>
    </w:p>
    <w:p w14:paraId="6EC51B3C" w14:textId="77777777" w:rsidR="00321689" w:rsidRDefault="00321689" w:rsidP="00321689">
      <w:pPr>
        <w:pStyle w:val="Sinespaciado"/>
        <w:jc w:val="both"/>
        <w:rPr>
          <w:rFonts w:ascii="Verdana" w:eastAsia="MS Mincho" w:hAnsi="Verdana" w:cs="Arial"/>
          <w:bCs/>
          <w:sz w:val="21"/>
          <w:szCs w:val="21"/>
          <w:lang w:val="es-ES" w:eastAsia="es-ES"/>
        </w:rPr>
      </w:pPr>
      <w:r>
        <w:rPr>
          <w:rFonts w:ascii="Verdana" w:hAnsi="Verdana" w:cs="Arial"/>
          <w:b/>
          <w:sz w:val="21"/>
          <w:szCs w:val="21"/>
        </w:rPr>
        <w:t>4.2 Metodología probabilidad de fallo.</w:t>
      </w:r>
    </w:p>
    <w:p w14:paraId="1AB2BE3E" w14:textId="77777777" w:rsidR="00321689" w:rsidRDefault="00321689" w:rsidP="00321689">
      <w:pPr>
        <w:autoSpaceDE w:val="0"/>
        <w:autoSpaceDN w:val="0"/>
        <w:adjustRightInd w:val="0"/>
        <w:rPr>
          <w:rFonts w:ascii="Verdana" w:eastAsiaTheme="minorHAnsi" w:hAnsi="Verdana" w:cs="Arial"/>
          <w:b/>
          <w:sz w:val="21"/>
          <w:szCs w:val="21"/>
          <w:lang w:val="es-CO" w:eastAsia="en-US"/>
        </w:rPr>
      </w:pPr>
    </w:p>
    <w:p w14:paraId="5639044C" w14:textId="77777777" w:rsidR="00BD1DDC" w:rsidRPr="00A12652" w:rsidRDefault="00321689" w:rsidP="007D6F1E">
      <w:pPr>
        <w:pStyle w:val="Ttulo1"/>
        <w:spacing w:before="0"/>
        <w:jc w:val="both"/>
        <w:rPr>
          <w:rFonts w:ascii="Verdana" w:eastAsia="MS Mincho" w:hAnsi="Verdana" w:cs="Arial"/>
          <w:bCs/>
          <w:color w:val="auto"/>
          <w:sz w:val="21"/>
          <w:szCs w:val="21"/>
        </w:rPr>
      </w:pPr>
      <w:r w:rsidRPr="00BD1DDC">
        <w:rPr>
          <w:rFonts w:ascii="Verdana" w:eastAsia="MS Mincho" w:hAnsi="Verdana" w:cs="Arial"/>
          <w:bCs/>
          <w:color w:val="auto"/>
          <w:sz w:val="21"/>
          <w:szCs w:val="21"/>
        </w:rPr>
        <w:t>En cuanto a la metodología utilizada para determinar la probabilidad de fallo de los procesos judiciales, la Entidad informa que no tiene definido dentro de sus procesos una metodología</w:t>
      </w:r>
      <w:r w:rsidR="004448B7">
        <w:rPr>
          <w:rFonts w:ascii="Verdana" w:eastAsia="MS Mincho" w:hAnsi="Verdana" w:cs="Arial"/>
          <w:bCs/>
          <w:color w:val="auto"/>
          <w:sz w:val="21"/>
          <w:szCs w:val="21"/>
        </w:rPr>
        <w:t>.</w:t>
      </w:r>
      <w:r w:rsidR="00AD6E04" w:rsidRPr="00BD1DDC">
        <w:rPr>
          <w:rFonts w:ascii="Verdana" w:eastAsia="MS Mincho" w:hAnsi="Verdana" w:cs="Arial"/>
          <w:bCs/>
          <w:color w:val="auto"/>
          <w:sz w:val="21"/>
          <w:szCs w:val="21"/>
        </w:rPr>
        <w:t xml:space="preserve"> Por lo que se le recuerda a la entidad la obligatoriedad de valorar los pasivos contingentes y la probabilidad de fallo, de acuerdo con las metodologías dispuesta por la Agencia Nacional de Defensa Jurídica del Estado y los dispuesto en la </w:t>
      </w:r>
      <w:r w:rsidR="00A11BF2">
        <w:rPr>
          <w:rFonts w:ascii="Verdana" w:eastAsia="MS Mincho" w:hAnsi="Verdana" w:cs="Arial"/>
          <w:bCs/>
          <w:color w:val="auto"/>
          <w:sz w:val="21"/>
          <w:szCs w:val="21"/>
        </w:rPr>
        <w:t>L</w:t>
      </w:r>
      <w:r w:rsidR="00AD6E04" w:rsidRPr="00BD1DDC">
        <w:rPr>
          <w:rFonts w:ascii="Verdana" w:eastAsia="MS Mincho" w:hAnsi="Verdana" w:cs="Arial"/>
          <w:bCs/>
          <w:color w:val="auto"/>
          <w:sz w:val="21"/>
          <w:szCs w:val="21"/>
        </w:rPr>
        <w:t>ey 819 de 2003</w:t>
      </w:r>
      <w:r w:rsidR="004F0A54">
        <w:rPr>
          <w:rFonts w:ascii="Verdana" w:eastAsia="MS Mincho" w:hAnsi="Verdana" w:cs="Arial"/>
          <w:bCs/>
          <w:color w:val="auto"/>
          <w:sz w:val="21"/>
          <w:szCs w:val="21"/>
        </w:rPr>
        <w:t>, con el objetivo de elaborar una programación ajustada de recursos a las que atenderás estas pretensiones, esto sin perjuicio de que la entidad tenga cubierto la totalidad de los recursos para atenderlas.</w:t>
      </w:r>
      <w:r w:rsidR="00321BAA">
        <w:rPr>
          <w:rFonts w:ascii="Verdana" w:eastAsia="MS Mincho" w:hAnsi="Verdana" w:cs="Arial"/>
          <w:bCs/>
          <w:color w:val="auto"/>
          <w:sz w:val="21"/>
          <w:szCs w:val="21"/>
        </w:rPr>
        <w:t>.</w:t>
      </w:r>
    </w:p>
    <w:p w14:paraId="6466C527" w14:textId="77777777" w:rsidR="00BD1DDC" w:rsidRDefault="00BD1DDC" w:rsidP="007D6F1E">
      <w:pPr>
        <w:pStyle w:val="Ttulo1"/>
        <w:spacing w:before="0"/>
        <w:jc w:val="both"/>
        <w:rPr>
          <w:rFonts w:ascii="Verdana" w:hAnsi="Verdana" w:cs="Arial"/>
          <w:bCs/>
          <w:sz w:val="21"/>
          <w:szCs w:val="21"/>
        </w:rPr>
      </w:pPr>
    </w:p>
    <w:p w14:paraId="55A6586F" w14:textId="77777777" w:rsidR="00321689" w:rsidRDefault="00321689" w:rsidP="007D6F1E">
      <w:pPr>
        <w:pStyle w:val="Ttulo1"/>
        <w:spacing w:before="0"/>
        <w:jc w:val="both"/>
        <w:rPr>
          <w:rFonts w:ascii="Verdana" w:hAnsi="Verdana" w:cs="Arial"/>
          <w:b/>
          <w:color w:val="auto"/>
          <w:sz w:val="21"/>
          <w:szCs w:val="21"/>
        </w:rPr>
      </w:pPr>
      <w:r>
        <w:rPr>
          <w:rFonts w:ascii="Verdana" w:hAnsi="Verdana" w:cs="Arial"/>
          <w:b/>
          <w:color w:val="auto"/>
          <w:sz w:val="21"/>
          <w:szCs w:val="21"/>
        </w:rPr>
        <w:t xml:space="preserve">EVENTOS DE RIESGO IDENTIFICADOS </w:t>
      </w:r>
    </w:p>
    <w:p w14:paraId="699B9069" w14:textId="77777777" w:rsidR="00C6191C" w:rsidRDefault="00C6191C" w:rsidP="00321689">
      <w:pPr>
        <w:pStyle w:val="Prrafodelista"/>
        <w:ind w:left="1080"/>
        <w:jc w:val="both"/>
        <w:rPr>
          <w:rFonts w:ascii="Verdana" w:eastAsia="Arial Narrow" w:hAnsi="Verdana" w:cs="Arial"/>
          <w:color w:val="000000" w:themeColor="text1"/>
          <w:sz w:val="21"/>
          <w:szCs w:val="21"/>
        </w:rPr>
      </w:pPr>
    </w:p>
    <w:p w14:paraId="0FFFF02D" w14:textId="77777777" w:rsidR="00C6191C" w:rsidRPr="006A2FFD" w:rsidRDefault="00C6191C" w:rsidP="00C6191C">
      <w:pPr>
        <w:contextualSpacing/>
        <w:jc w:val="both"/>
        <w:rPr>
          <w:rFonts w:ascii="Verdana" w:eastAsia="Arial Narrow" w:hAnsi="Verdana" w:cs="Arial"/>
          <w:b/>
          <w:bCs/>
          <w:color w:val="000000" w:themeColor="text1"/>
          <w:sz w:val="21"/>
          <w:szCs w:val="21"/>
          <w:lang w:val="es-CO" w:eastAsia="en-US"/>
        </w:rPr>
      </w:pPr>
      <w:r w:rsidRPr="00EF5BF4">
        <w:rPr>
          <w:rFonts w:ascii="Verdana" w:eastAsia="Arial Narrow" w:hAnsi="Verdana" w:cs="Arial"/>
          <w:b/>
          <w:bCs/>
          <w:color w:val="000000" w:themeColor="text1"/>
          <w:sz w:val="21"/>
          <w:szCs w:val="21"/>
          <w:lang w:val="es-CO" w:eastAsia="en-US"/>
        </w:rPr>
        <w:t xml:space="preserve">EVENTO DE RIESGO </w:t>
      </w:r>
      <w:r w:rsidR="00D2082B" w:rsidRPr="006A2FFD">
        <w:rPr>
          <w:rFonts w:ascii="Verdana" w:eastAsia="Arial Narrow" w:hAnsi="Verdana" w:cs="Arial"/>
          <w:b/>
          <w:bCs/>
          <w:color w:val="000000" w:themeColor="text1"/>
          <w:sz w:val="21"/>
          <w:szCs w:val="21"/>
          <w:lang w:val="es-CO" w:eastAsia="en-US"/>
        </w:rPr>
        <w:t xml:space="preserve">9.1. </w:t>
      </w:r>
      <w:r w:rsidR="006A2FFD" w:rsidRPr="006A2FFD">
        <w:rPr>
          <w:rFonts w:ascii="Verdana" w:eastAsia="Arial Narrow" w:hAnsi="Verdana" w:cs="Arial"/>
          <w:b/>
          <w:bCs/>
          <w:i/>
          <w:iCs/>
          <w:color w:val="000000" w:themeColor="text1"/>
          <w:sz w:val="21"/>
          <w:szCs w:val="21"/>
          <w:lang w:val="es-CO" w:eastAsia="en-US"/>
        </w:rPr>
        <w:t>“</w:t>
      </w:r>
      <w:r w:rsidR="00D2082B" w:rsidRPr="006A2FFD">
        <w:rPr>
          <w:rFonts w:ascii="Verdana" w:eastAsia="Arial Narrow" w:hAnsi="Verdana" w:cs="Arial"/>
          <w:b/>
          <w:bCs/>
          <w:i/>
          <w:iCs/>
          <w:color w:val="000000" w:themeColor="text1"/>
          <w:sz w:val="21"/>
          <w:szCs w:val="21"/>
          <w:lang w:val="es-CO" w:eastAsia="en-US"/>
        </w:rPr>
        <w:t>NO ENVÍO DE INFORMACIÓN CONFORME A LOS PLAZOS, CONDICIONES Y FORMATOS INDICADOS POR EL GOBIERNO NACIONAL, Y/O HABER REMITIDO O ENTREGADO INFORMACIÓN INCOMPLETA O ERRÓNEA</w:t>
      </w:r>
      <w:r w:rsidR="006A2FFD" w:rsidRPr="006A2FFD">
        <w:rPr>
          <w:rFonts w:ascii="Verdana" w:eastAsia="Arial Narrow" w:hAnsi="Verdana" w:cs="Arial"/>
          <w:b/>
          <w:bCs/>
          <w:i/>
          <w:iCs/>
          <w:color w:val="000000" w:themeColor="text1"/>
          <w:sz w:val="21"/>
          <w:szCs w:val="21"/>
          <w:lang w:val="es-CO" w:eastAsia="en-US"/>
        </w:rPr>
        <w:t>”</w:t>
      </w:r>
      <w:r w:rsidR="00D2082B" w:rsidRPr="006A2FFD">
        <w:rPr>
          <w:rFonts w:ascii="Verdana" w:eastAsia="Arial Narrow" w:hAnsi="Verdana" w:cs="Arial"/>
          <w:b/>
          <w:bCs/>
          <w:color w:val="000000" w:themeColor="text1"/>
          <w:sz w:val="21"/>
          <w:szCs w:val="21"/>
          <w:lang w:val="es-CO" w:eastAsia="en-US"/>
        </w:rPr>
        <w:t>.</w:t>
      </w:r>
    </w:p>
    <w:p w14:paraId="68ADB4A1" w14:textId="77777777" w:rsidR="006A2FFD" w:rsidRDefault="006A2FFD" w:rsidP="00C6191C">
      <w:pPr>
        <w:contextualSpacing/>
        <w:jc w:val="both"/>
        <w:rPr>
          <w:rFonts w:ascii="Verdana" w:hAnsi="Verdana" w:cs="Arial"/>
          <w:sz w:val="21"/>
          <w:szCs w:val="21"/>
        </w:rPr>
      </w:pPr>
    </w:p>
    <w:p w14:paraId="6AF76CDC" w14:textId="77777777" w:rsidR="00C6191C" w:rsidRPr="00216135" w:rsidRDefault="00C6191C" w:rsidP="00C6191C">
      <w:pPr>
        <w:contextualSpacing/>
        <w:jc w:val="both"/>
        <w:rPr>
          <w:rFonts w:ascii="Verdana" w:hAnsi="Verdana" w:cs="Arial"/>
          <w:sz w:val="21"/>
          <w:szCs w:val="21"/>
        </w:rPr>
      </w:pPr>
      <w:r w:rsidRPr="00216135">
        <w:rPr>
          <w:rFonts w:ascii="Verdana" w:hAnsi="Verdana" w:cs="Arial"/>
          <w:sz w:val="21"/>
          <w:szCs w:val="21"/>
        </w:rPr>
        <w:t>De acuerdo con el artículo 22 del Decreto 028 de 2008, es deber de las entidades territoriales suministrar la información que los diferentes responsables institucionales requieran en aplicación de la Estrategia de Monitoreo, Seguimiento y Control Integral al uso de los recursos del Sistema General de Participaciones establecida en el Decreto citado.</w:t>
      </w:r>
    </w:p>
    <w:p w14:paraId="31183519" w14:textId="77777777" w:rsidR="00C6191C" w:rsidRPr="00216135" w:rsidRDefault="00C6191C" w:rsidP="00C6191C">
      <w:pPr>
        <w:contextualSpacing/>
        <w:jc w:val="both"/>
        <w:rPr>
          <w:rFonts w:ascii="Verdana" w:hAnsi="Verdana" w:cs="Arial"/>
          <w:sz w:val="21"/>
          <w:szCs w:val="21"/>
        </w:rPr>
      </w:pPr>
    </w:p>
    <w:p w14:paraId="08B9DF9F" w14:textId="77777777" w:rsidR="0021790A" w:rsidRPr="00216135" w:rsidRDefault="00C6191C" w:rsidP="00C6191C">
      <w:pPr>
        <w:contextualSpacing/>
        <w:jc w:val="both"/>
        <w:rPr>
          <w:rFonts w:ascii="Verdana" w:hAnsi="Verdana" w:cs="Arial"/>
          <w:sz w:val="21"/>
          <w:szCs w:val="21"/>
        </w:rPr>
      </w:pPr>
      <w:r w:rsidRPr="00216135">
        <w:rPr>
          <w:rFonts w:ascii="Verdana" w:hAnsi="Verdana" w:cs="Arial"/>
          <w:sz w:val="21"/>
          <w:szCs w:val="21"/>
        </w:rPr>
        <w:t>En virtud de lo anterior y en ejercicio de sus competencias, la Dirección General de Apoyo Fiscal solicitó al Departamento del Cesar información sectorial mediante el oficio con radicado No. 2-2023-0013312 del 17 de marzo de 2023; no obstante, f</w:t>
      </w:r>
      <w:r w:rsidR="0021790A" w:rsidRPr="00216135">
        <w:rPr>
          <w:rFonts w:ascii="Verdana" w:hAnsi="Verdana" w:cs="Arial"/>
          <w:sz w:val="21"/>
          <w:szCs w:val="21"/>
        </w:rPr>
        <w:t xml:space="preserve">rente al requerimiento 34 </w:t>
      </w:r>
      <w:r w:rsidR="00A12652" w:rsidRPr="00216135">
        <w:rPr>
          <w:rFonts w:ascii="Verdana" w:hAnsi="Verdana" w:cs="Arial"/>
          <w:sz w:val="21"/>
          <w:szCs w:val="21"/>
        </w:rPr>
        <w:t>correspondiente a</w:t>
      </w:r>
      <w:r w:rsidR="0021790A" w:rsidRPr="00216135">
        <w:rPr>
          <w:rFonts w:ascii="Verdana" w:hAnsi="Verdana" w:cs="Arial"/>
          <w:sz w:val="21"/>
          <w:szCs w:val="21"/>
        </w:rPr>
        <w:t xml:space="preserve"> “Informe técnico de Seguimiento y Control al del Régimen Subsidiado  (procesos de afiliación, el reporte de novedades, la garantía del acceso a los servicios, la red contratada para la prestación de los servicios de salud, el suministro de medicamentos, el pago a la red prestadora de servicios, la satisfacción de los usuarios, la oportunidad en la prestación de los servicios, la prestación de servicios de promoción y prevención, así como otros que permitan mejorar la calidad en la atención al afiliado, sin perjuicio de las obligaciones establecidas en las normas vigentes.) en el marco de lo dispuesto al artículo 2,6,1,2,11 del Decreto 780 de 2016.” La entidad envió un informe de 4 páginas en el que menciona los roles y las actividades desarrolladas en el marco de las auditorias GAUDI, sin embargo, no es posible identificar los procesos de afiliación, las garantías para </w:t>
      </w:r>
      <w:r w:rsidR="00695E73" w:rsidRPr="00695E73">
        <w:rPr>
          <w:rFonts w:ascii="Verdana" w:hAnsi="Verdana" w:cs="Arial"/>
          <w:sz w:val="21"/>
          <w:szCs w:val="21"/>
        </w:rPr>
        <w:t>el acceso</w:t>
      </w:r>
      <w:r w:rsidR="0021790A" w:rsidRPr="00216135">
        <w:rPr>
          <w:rFonts w:ascii="Verdana" w:hAnsi="Verdana" w:cs="Arial"/>
          <w:sz w:val="21"/>
          <w:szCs w:val="21"/>
        </w:rPr>
        <w:t xml:space="preserve"> a los servicios de salud</w:t>
      </w:r>
      <w:r w:rsidR="00695E73" w:rsidRPr="00695E73">
        <w:rPr>
          <w:rFonts w:ascii="Verdana" w:hAnsi="Verdana" w:cs="Arial"/>
          <w:sz w:val="21"/>
          <w:szCs w:val="21"/>
        </w:rPr>
        <w:t xml:space="preserve"> y la oportunidad.</w:t>
      </w:r>
    </w:p>
    <w:p w14:paraId="5DC47A93" w14:textId="77777777" w:rsidR="0021790A" w:rsidRPr="00216135" w:rsidRDefault="0021790A" w:rsidP="00C6191C">
      <w:pPr>
        <w:contextualSpacing/>
        <w:jc w:val="both"/>
        <w:rPr>
          <w:rFonts w:ascii="Verdana" w:hAnsi="Verdana" w:cs="Arial"/>
          <w:sz w:val="21"/>
          <w:szCs w:val="21"/>
        </w:rPr>
      </w:pPr>
    </w:p>
    <w:p w14:paraId="559F52DC" w14:textId="77777777" w:rsidR="00C6191C" w:rsidRPr="00216135" w:rsidRDefault="0021790A" w:rsidP="00C6191C">
      <w:pPr>
        <w:contextualSpacing/>
        <w:jc w:val="both"/>
        <w:rPr>
          <w:rFonts w:ascii="Verdana" w:hAnsi="Verdana" w:cs="Arial"/>
          <w:sz w:val="21"/>
          <w:szCs w:val="21"/>
        </w:rPr>
      </w:pPr>
      <w:r w:rsidRPr="00216135">
        <w:rPr>
          <w:rFonts w:ascii="Verdana" w:hAnsi="Verdana" w:cs="Arial"/>
          <w:sz w:val="21"/>
          <w:szCs w:val="21"/>
        </w:rPr>
        <w:t>Por otra parte</w:t>
      </w:r>
      <w:r w:rsidR="00695E73">
        <w:rPr>
          <w:rFonts w:ascii="Verdana" w:hAnsi="Verdana" w:cs="Arial"/>
          <w:sz w:val="21"/>
          <w:szCs w:val="21"/>
        </w:rPr>
        <w:t>,</w:t>
      </w:r>
      <w:r w:rsidRPr="00216135">
        <w:rPr>
          <w:rFonts w:ascii="Verdana" w:hAnsi="Verdana" w:cs="Arial"/>
          <w:sz w:val="21"/>
          <w:szCs w:val="21"/>
        </w:rPr>
        <w:t xml:space="preserve"> frente a </w:t>
      </w:r>
      <w:r w:rsidR="00A12652" w:rsidRPr="00216135">
        <w:rPr>
          <w:rFonts w:ascii="Verdana" w:hAnsi="Verdana" w:cs="Arial"/>
          <w:sz w:val="21"/>
          <w:szCs w:val="21"/>
        </w:rPr>
        <w:t>la metodología de determinación de la probabilidad de fallo de los procesos judiciales,</w:t>
      </w:r>
      <w:r w:rsidRPr="00216135">
        <w:rPr>
          <w:rFonts w:ascii="Verdana" w:hAnsi="Verdana" w:cs="Arial"/>
          <w:sz w:val="21"/>
          <w:szCs w:val="21"/>
        </w:rPr>
        <w:t xml:space="preserve"> la Entidad informa que no la tiene adoptada, por lo que n</w:t>
      </w:r>
      <w:r w:rsidR="00C6191C" w:rsidRPr="00216135">
        <w:rPr>
          <w:rFonts w:ascii="Verdana" w:hAnsi="Verdana" w:cs="Arial"/>
          <w:sz w:val="21"/>
          <w:szCs w:val="21"/>
        </w:rPr>
        <w:t>o fue posible cuantificar el ri</w:t>
      </w:r>
      <w:r w:rsidR="00A12652" w:rsidRPr="00216135">
        <w:rPr>
          <w:rFonts w:ascii="Verdana" w:hAnsi="Verdana" w:cs="Arial"/>
          <w:sz w:val="21"/>
          <w:szCs w:val="21"/>
        </w:rPr>
        <w:t>esgo financiero que ello genera</w:t>
      </w:r>
      <w:r w:rsidR="00C6191C" w:rsidRPr="00216135">
        <w:rPr>
          <w:rFonts w:ascii="Verdana" w:hAnsi="Verdana" w:cs="Arial"/>
          <w:bCs/>
          <w:sz w:val="21"/>
          <w:szCs w:val="21"/>
        </w:rPr>
        <w:t xml:space="preserve">, lo cual advierte un </w:t>
      </w:r>
      <w:r w:rsidR="00C6191C" w:rsidRPr="00216135">
        <w:rPr>
          <w:rFonts w:ascii="Verdana" w:hAnsi="Verdana" w:cs="Arial"/>
          <w:bCs/>
          <w:sz w:val="21"/>
          <w:szCs w:val="21"/>
        </w:rPr>
        <w:lastRenderedPageBreak/>
        <w:t>riesgo en cuanto a la programación de recursos para la atención de las eventuales condenas judiciales, afectando el flujo de recursos que debe programar la Entidad en el fondo de contingencias, factor que redunda en las finanzas</w:t>
      </w:r>
      <w:r w:rsidR="00D2082B">
        <w:rPr>
          <w:rFonts w:ascii="Verdana" w:hAnsi="Verdana" w:cs="Arial"/>
          <w:bCs/>
          <w:sz w:val="21"/>
          <w:szCs w:val="21"/>
        </w:rPr>
        <w:t>, lo anterior sin desconocer que la entidad presupuesta en el fondo de contingencia recursos suficientes para atender las demandas en curso.</w:t>
      </w:r>
    </w:p>
    <w:p w14:paraId="5C3AAC9E" w14:textId="77777777" w:rsidR="00C6191C" w:rsidRDefault="00C6191C" w:rsidP="00321689">
      <w:pPr>
        <w:pStyle w:val="Prrafodelista"/>
        <w:ind w:left="1080"/>
        <w:jc w:val="both"/>
        <w:rPr>
          <w:rFonts w:ascii="Verdana" w:eastAsia="Arial Narrow" w:hAnsi="Verdana" w:cs="Arial"/>
          <w:color w:val="000000" w:themeColor="text1"/>
          <w:sz w:val="21"/>
          <w:szCs w:val="21"/>
        </w:rPr>
      </w:pPr>
    </w:p>
    <w:p w14:paraId="51FD1C6A" w14:textId="77777777" w:rsidR="00A12652" w:rsidRDefault="00A12652" w:rsidP="00A12652">
      <w:pPr>
        <w:jc w:val="both"/>
        <w:rPr>
          <w:rFonts w:ascii="Verdana" w:hAnsi="Verdana" w:cs="Arial"/>
          <w:b/>
          <w:bCs/>
          <w:sz w:val="21"/>
          <w:szCs w:val="21"/>
        </w:rPr>
      </w:pPr>
      <w:r>
        <w:rPr>
          <w:rFonts w:ascii="Verdana" w:hAnsi="Verdana" w:cs="Arial"/>
          <w:b/>
          <w:bCs/>
          <w:sz w:val="21"/>
          <w:szCs w:val="21"/>
        </w:rPr>
        <w:t>EVIDENCIA</w:t>
      </w:r>
    </w:p>
    <w:p w14:paraId="7637E160" w14:textId="77777777" w:rsidR="00A12652" w:rsidRDefault="00A12652" w:rsidP="00A12652">
      <w:pPr>
        <w:jc w:val="both"/>
        <w:rPr>
          <w:rFonts w:ascii="Verdana" w:hAnsi="Verdana" w:cs="Arial"/>
          <w:sz w:val="21"/>
          <w:szCs w:val="21"/>
        </w:rPr>
      </w:pPr>
    </w:p>
    <w:p w14:paraId="58CE1C08" w14:textId="77777777" w:rsidR="00A12652" w:rsidRDefault="00A12652" w:rsidP="00A12652">
      <w:pPr>
        <w:jc w:val="both"/>
        <w:rPr>
          <w:rFonts w:ascii="Verdana" w:hAnsi="Verdana" w:cs="Calibri"/>
          <w:sz w:val="21"/>
          <w:szCs w:val="21"/>
        </w:rPr>
      </w:pPr>
      <w:r>
        <w:rPr>
          <w:rFonts w:ascii="Verdana" w:eastAsia="Arial Narrow" w:hAnsi="Verdana" w:cs="Arial"/>
          <w:color w:val="000000" w:themeColor="text1"/>
          <w:sz w:val="21"/>
          <w:szCs w:val="21"/>
        </w:rPr>
        <w:t>MATRIZ DE VERIFICACIÓN DE INFORMACIÓN</w:t>
      </w:r>
      <w:r>
        <w:rPr>
          <w:rFonts w:ascii="Verdana" w:hAnsi="Verdana" w:cs="Arial"/>
          <w:sz w:val="21"/>
          <w:szCs w:val="21"/>
        </w:rPr>
        <w:t xml:space="preserve"> </w:t>
      </w:r>
      <w:r>
        <w:rPr>
          <w:rFonts w:ascii="Verdana" w:eastAsia="Arial Narrow" w:hAnsi="Verdana" w:cs="Arial"/>
          <w:color w:val="000000" w:themeColor="text1"/>
          <w:sz w:val="21"/>
          <w:szCs w:val="21"/>
        </w:rPr>
        <w:t>REQUIMIENTO 25</w:t>
      </w:r>
      <w:r w:rsidR="0021790A">
        <w:rPr>
          <w:rFonts w:ascii="Verdana" w:eastAsia="Arial Narrow" w:hAnsi="Verdana" w:cs="Arial"/>
          <w:color w:val="000000" w:themeColor="text1"/>
          <w:sz w:val="21"/>
          <w:szCs w:val="21"/>
        </w:rPr>
        <w:t xml:space="preserve"> Y 34</w:t>
      </w:r>
      <w:r>
        <w:rPr>
          <w:rFonts w:ascii="Verdana" w:eastAsia="Arial Narrow" w:hAnsi="Verdana" w:cs="Arial"/>
          <w:color w:val="000000" w:themeColor="text1"/>
          <w:sz w:val="21"/>
          <w:szCs w:val="21"/>
        </w:rPr>
        <w:t xml:space="preserve">. </w:t>
      </w:r>
      <w:r>
        <w:rPr>
          <w:rFonts w:ascii="Verdana" w:hAnsi="Verdana" w:cs="Arial"/>
          <w:sz w:val="21"/>
          <w:szCs w:val="21"/>
        </w:rPr>
        <w:t>HISTORIAL DE SEGUIMIENTO Y CONTROL A LOS RECURSOS DEL SISTEMA GENERAL DE PARTICIPACIONES. EXPEDIENTE</w:t>
      </w:r>
      <w:r>
        <w:rPr>
          <w:rFonts w:ascii="Verdana" w:hAnsi="Verdana"/>
          <w:sz w:val="21"/>
          <w:szCs w:val="21"/>
        </w:rPr>
        <w:t xml:space="preserve"> </w:t>
      </w:r>
      <w:r>
        <w:rPr>
          <w:rFonts w:ascii="Verdana" w:hAnsi="Verdana" w:cs="Arial"/>
          <w:sz w:val="21"/>
          <w:szCs w:val="21"/>
        </w:rPr>
        <w:t>3/2023/D028-PREDI.</w:t>
      </w:r>
      <w:r>
        <w:rPr>
          <w:rFonts w:ascii="Verdana" w:eastAsia="Arial Narrow" w:hAnsi="Verdana" w:cs="Arial"/>
          <w:color w:val="000000" w:themeColor="text1"/>
          <w:sz w:val="21"/>
          <w:szCs w:val="21"/>
        </w:rPr>
        <w:t xml:space="preserve"> OFICIO CON RADICADO SIED NO</w:t>
      </w:r>
      <w:r>
        <w:rPr>
          <w:rFonts w:ascii="Verdana" w:hAnsi="Verdana" w:cs="Arial"/>
          <w:sz w:val="21"/>
          <w:szCs w:val="21"/>
        </w:rPr>
        <w:t>. 1-2023-031458</w:t>
      </w:r>
      <w:r>
        <w:rPr>
          <w:rFonts w:ascii="Verdana" w:eastAsia="Arial Narrow" w:hAnsi="Verdana" w:cs="Arial"/>
          <w:color w:val="000000" w:themeColor="text1"/>
          <w:sz w:val="21"/>
          <w:szCs w:val="21"/>
        </w:rPr>
        <w:t xml:space="preserve"> DEL 14 DE MARZO DE 2023. ENLACE: </w:t>
      </w:r>
      <w:hyperlink r:id="rId42" w:anchor="url-960061" w:history="1">
        <w:r>
          <w:rPr>
            <w:rStyle w:val="Hipervnculo"/>
            <w:rFonts w:ascii="Verdana" w:hAnsi="Verdana"/>
            <w:sz w:val="21"/>
            <w:szCs w:val="21"/>
          </w:rPr>
          <w:t>http://portalgestiondoc.minhacienda.red/PortalEmpleado/#url-960061</w:t>
        </w:r>
      </w:hyperlink>
    </w:p>
    <w:p w14:paraId="761637FE" w14:textId="77777777" w:rsidR="00C6191C" w:rsidRDefault="00C6191C" w:rsidP="00321689">
      <w:pPr>
        <w:pStyle w:val="Prrafodelista"/>
        <w:ind w:left="1080"/>
        <w:jc w:val="both"/>
        <w:rPr>
          <w:rFonts w:ascii="Verdana" w:eastAsia="Arial Narrow" w:hAnsi="Verdana" w:cs="Arial"/>
          <w:color w:val="000000" w:themeColor="text1"/>
          <w:sz w:val="21"/>
          <w:szCs w:val="21"/>
        </w:rPr>
      </w:pPr>
    </w:p>
    <w:p w14:paraId="4D6F0A5A" w14:textId="77777777" w:rsidR="00321689" w:rsidRPr="00216135" w:rsidRDefault="00321689" w:rsidP="00321689">
      <w:pPr>
        <w:jc w:val="both"/>
        <w:rPr>
          <w:rFonts w:ascii="Verdana" w:eastAsia="Calibri" w:hAnsi="Verdana" w:cs="Arial"/>
          <w:b/>
          <w:bCs/>
          <w:i/>
          <w:sz w:val="21"/>
          <w:szCs w:val="21"/>
          <w:u w:val="single"/>
        </w:rPr>
      </w:pPr>
      <w:r>
        <w:rPr>
          <w:rFonts w:ascii="Verdana" w:eastAsia="Calibri" w:hAnsi="Verdana" w:cs="Arial"/>
          <w:b/>
          <w:bCs/>
          <w:sz w:val="21"/>
          <w:szCs w:val="21"/>
        </w:rPr>
        <w:t xml:space="preserve">EVENTO DE RIESGO 9.17. </w:t>
      </w:r>
      <w:r w:rsidRPr="00216135">
        <w:rPr>
          <w:rFonts w:ascii="Verdana" w:eastAsia="Calibri" w:hAnsi="Verdana" w:cs="Arial"/>
          <w:b/>
          <w:bCs/>
          <w:i/>
          <w:sz w:val="21"/>
          <w:szCs w:val="21"/>
          <w:u w:val="single"/>
        </w:rPr>
        <w:t>“</w:t>
      </w:r>
      <w:r w:rsidR="00695E73" w:rsidRPr="00216135">
        <w:rPr>
          <w:rFonts w:ascii="Verdana" w:eastAsia="Calibri" w:hAnsi="Verdana" w:cs="Arial"/>
          <w:b/>
          <w:bCs/>
          <w:i/>
          <w:sz w:val="21"/>
          <w:szCs w:val="21"/>
          <w:u w:val="single"/>
        </w:rPr>
        <w:t>SUSCRIPCIÓN, MODIFICACIÓN O EJECUCIÓN DE CONTRATOS CUYO OBJETO O ACTIVIDADES CONTRACTUALES NO ASEGUREN LA PRESTACIÓN DEL SERVICIO EN LAS CONDICIONES DEFINIDAS POR LA NORMATIVIDAD VIGENTE, NO CUMPLAN CON LOS FINES PARA LOS CUALES ESTÁN DESTINADOS LOS RECURSOS, O NO ASEGUREN EL CUMPLIMIENTO DE METAS DE CONTINUIDAD, COBERTURA Y CALIDAD EN LOS SERVICIOS.”</w:t>
      </w:r>
    </w:p>
    <w:p w14:paraId="37ECFAEF" w14:textId="77777777" w:rsidR="00216135" w:rsidRDefault="00216135" w:rsidP="00216135">
      <w:pPr>
        <w:jc w:val="both"/>
        <w:rPr>
          <w:rFonts w:ascii="Verdana" w:eastAsia="Calibri" w:hAnsi="Verdana" w:cs="Arial"/>
          <w:b/>
          <w:bCs/>
          <w:sz w:val="21"/>
          <w:szCs w:val="21"/>
        </w:rPr>
      </w:pPr>
    </w:p>
    <w:p w14:paraId="19636D4E" w14:textId="77777777" w:rsidR="00321689" w:rsidRPr="00C30457" w:rsidRDefault="00321689" w:rsidP="00C30457">
      <w:pPr>
        <w:pStyle w:val="Prrafodelista"/>
        <w:numPr>
          <w:ilvl w:val="3"/>
          <w:numId w:val="1"/>
        </w:numPr>
        <w:ind w:left="426"/>
        <w:jc w:val="both"/>
        <w:rPr>
          <w:rFonts w:ascii="Verdana" w:eastAsiaTheme="minorHAnsi" w:hAnsi="Verdana" w:cs="Arial"/>
          <w:sz w:val="21"/>
          <w:szCs w:val="21"/>
        </w:rPr>
      </w:pPr>
      <w:r w:rsidRPr="00C30457">
        <w:rPr>
          <w:rFonts w:ascii="Verdana" w:hAnsi="Verdana" w:cs="Arial"/>
          <w:b/>
          <w:sz w:val="21"/>
          <w:szCs w:val="21"/>
        </w:rPr>
        <w:t>Metas inferiores a las dispuestas en la norma, en los contratos de Subsidio a la Oferta.</w:t>
      </w:r>
    </w:p>
    <w:p w14:paraId="166511F2" w14:textId="77777777" w:rsidR="00321689" w:rsidRDefault="00321689" w:rsidP="00321689">
      <w:pPr>
        <w:pStyle w:val="Prrafodelista"/>
        <w:ind w:left="66"/>
        <w:jc w:val="both"/>
        <w:rPr>
          <w:rFonts w:ascii="Verdana" w:hAnsi="Verdana" w:cs="Arial"/>
          <w:sz w:val="21"/>
          <w:szCs w:val="21"/>
        </w:rPr>
      </w:pPr>
    </w:p>
    <w:p w14:paraId="3E6E24C4" w14:textId="77777777" w:rsidR="00321689" w:rsidRDefault="00321689" w:rsidP="00321689">
      <w:pPr>
        <w:ind w:left="66"/>
        <w:jc w:val="both"/>
        <w:rPr>
          <w:rFonts w:ascii="Verdana" w:hAnsi="Verdana" w:cs="Arial"/>
          <w:sz w:val="21"/>
          <w:szCs w:val="21"/>
        </w:rPr>
      </w:pPr>
      <w:r>
        <w:rPr>
          <w:rFonts w:ascii="Verdana" w:hAnsi="Verdana" w:cs="Arial"/>
          <w:sz w:val="21"/>
          <w:szCs w:val="21"/>
        </w:rPr>
        <w:t>En los contratos suscritos con las entidades sujetas a subsidio a la oferta, las actividades no aseguran la prestación del servicio en las condiciones definidas por la normatividad vigente, esto frente a las metas propuestas específicamente las financieras.</w:t>
      </w:r>
    </w:p>
    <w:p w14:paraId="2285415B" w14:textId="77777777" w:rsidR="00321689" w:rsidRDefault="00321689" w:rsidP="00321689">
      <w:pPr>
        <w:ind w:left="66"/>
        <w:jc w:val="both"/>
        <w:rPr>
          <w:rFonts w:ascii="Verdana" w:hAnsi="Verdana" w:cs="Arial"/>
          <w:sz w:val="21"/>
          <w:szCs w:val="21"/>
        </w:rPr>
      </w:pPr>
    </w:p>
    <w:p w14:paraId="6D2904D7" w14:textId="77777777" w:rsidR="00321689" w:rsidRDefault="00321689" w:rsidP="00321689">
      <w:pPr>
        <w:jc w:val="center"/>
        <w:rPr>
          <w:rFonts w:ascii="Verdana" w:hAnsi="Verdana" w:cs="Arial"/>
          <w:sz w:val="21"/>
          <w:szCs w:val="21"/>
        </w:rPr>
      </w:pPr>
      <w:r>
        <w:rPr>
          <w:rFonts w:ascii="Verdana" w:hAnsi="Verdana" w:cs="Arial"/>
          <w:noProof/>
          <w:sz w:val="21"/>
          <w:szCs w:val="21"/>
          <w:lang w:val="es-CO" w:eastAsia="es-CO"/>
        </w:rPr>
        <w:lastRenderedPageBreak/>
        <w:drawing>
          <wp:inline distT="0" distB="0" distL="0" distR="0" wp14:anchorId="10580EE1" wp14:editId="1D3F7D05">
            <wp:extent cx="4756150" cy="386080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31015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6150" cy="3860800"/>
                    </a:xfrm>
                    <a:prstGeom prst="rect">
                      <a:avLst/>
                    </a:prstGeom>
                    <a:noFill/>
                    <a:ln>
                      <a:noFill/>
                    </a:ln>
                  </pic:spPr>
                </pic:pic>
              </a:graphicData>
            </a:graphic>
          </wp:inline>
        </w:drawing>
      </w:r>
    </w:p>
    <w:p w14:paraId="59ABA291" w14:textId="77777777" w:rsidR="002D7705" w:rsidRDefault="002D7705" w:rsidP="00321689">
      <w:pPr>
        <w:jc w:val="both"/>
        <w:rPr>
          <w:rFonts w:ascii="Verdana" w:hAnsi="Verdana" w:cs="Arial"/>
          <w:sz w:val="21"/>
          <w:szCs w:val="21"/>
        </w:rPr>
      </w:pPr>
    </w:p>
    <w:p w14:paraId="28887543" w14:textId="77777777" w:rsidR="00321689" w:rsidRDefault="00321689" w:rsidP="00321689">
      <w:pPr>
        <w:jc w:val="both"/>
        <w:rPr>
          <w:rFonts w:ascii="Verdana" w:hAnsi="Verdana" w:cs="Arial"/>
          <w:sz w:val="21"/>
          <w:szCs w:val="21"/>
        </w:rPr>
      </w:pPr>
      <w:r>
        <w:rPr>
          <w:rFonts w:ascii="Verdana" w:hAnsi="Verdana" w:cs="Arial"/>
          <w:sz w:val="21"/>
          <w:szCs w:val="21"/>
        </w:rPr>
        <w:t xml:space="preserve">En la imagen anterior se observa, que en los indicadores financieros la meta en recaudo corriente fue de </w:t>
      </w:r>
      <w:r w:rsidRPr="00C30457">
        <w:rPr>
          <w:rFonts w:ascii="Verdana" w:hAnsi="Verdana" w:cs="Arial"/>
          <w:b/>
          <w:sz w:val="21"/>
          <w:szCs w:val="21"/>
        </w:rPr>
        <w:t>$116.3 millones mensuales</w:t>
      </w:r>
      <w:r>
        <w:rPr>
          <w:rFonts w:ascii="Verdana" w:hAnsi="Verdana" w:cs="Arial"/>
          <w:sz w:val="21"/>
          <w:szCs w:val="21"/>
        </w:rPr>
        <w:t xml:space="preserve"> y recaudo de vigencias anteriores por $2.8 millones, valores que se identificaron en los 5 meses en los que se desarrolla el contrato. Por lo anterior, la meta financiera fue de $581.5 millones en el recaudo corriente y de $14 millones en el recaudo de vigencias anteriores, ahora el reporte de SIHO (Res 2193</w:t>
      </w:r>
      <w:r w:rsidR="00854D15">
        <w:rPr>
          <w:rFonts w:ascii="Verdana" w:hAnsi="Verdana" w:cs="Arial"/>
          <w:sz w:val="21"/>
          <w:szCs w:val="21"/>
        </w:rPr>
        <w:t xml:space="preserve"> de 2004</w:t>
      </w:r>
      <w:r>
        <w:rPr>
          <w:rFonts w:ascii="Verdana" w:hAnsi="Verdana" w:cs="Arial"/>
          <w:sz w:val="21"/>
          <w:szCs w:val="21"/>
        </w:rPr>
        <w:t>) se observa que la entidad en las últimas 3 vigencias recaudó:</w:t>
      </w:r>
    </w:p>
    <w:p w14:paraId="160743FD" w14:textId="77777777" w:rsidR="00321689" w:rsidRDefault="00321689" w:rsidP="00321689">
      <w:pPr>
        <w:autoSpaceDE w:val="0"/>
        <w:autoSpaceDN w:val="0"/>
        <w:adjustRightInd w:val="0"/>
        <w:jc w:val="center"/>
        <w:rPr>
          <w:rFonts w:ascii="Verdana" w:eastAsia="ヒラギノ角ゴ Pro W3" w:hAnsi="Verdana" w:cs="Arial"/>
          <w:b/>
          <w:color w:val="B48C41"/>
          <w:sz w:val="18"/>
          <w:szCs w:val="18"/>
        </w:rPr>
      </w:pPr>
    </w:p>
    <w:p w14:paraId="2FC800AD" w14:textId="77777777" w:rsidR="00321689" w:rsidRDefault="00762F3C" w:rsidP="00321689">
      <w:pPr>
        <w:jc w:val="center"/>
        <w:rPr>
          <w:rFonts w:ascii="Verdana" w:eastAsiaTheme="minorHAnsi" w:hAnsi="Verdana" w:cs="Arial"/>
          <w:sz w:val="21"/>
          <w:szCs w:val="21"/>
        </w:rPr>
      </w:pPr>
      <w:r>
        <w:rPr>
          <w:rFonts w:ascii="Calibri" w:eastAsiaTheme="minorHAnsi" w:hAnsi="Calibri" w:cs="Calibri"/>
          <w:noProof/>
          <w:sz w:val="22"/>
          <w:szCs w:val="22"/>
          <w:lang w:val="es-CO" w:eastAsia="es-CO"/>
        </w:rPr>
        <w:pict w14:anchorId="27ABF3E5">
          <v:shape id="Flecha abajo 1223101572" o:spid="_x0000_s2053" type="#_x0000_t67" style="position:absolute;left:0;text-align:left;margin-left:408.45pt;margin-top:103.55pt;width:29.5pt;height:46pt;rotation:90;z-index:251659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" adj="14674" fillcolor="#b48c41" strokecolor="#243f60 [1604]" strokeweight="2pt"/>
        </w:pict>
      </w:r>
      <w:r>
        <w:rPr>
          <w:rFonts w:ascii="Calibri" w:eastAsiaTheme="minorHAnsi" w:hAnsi="Calibri" w:cs="Calibri"/>
          <w:noProof/>
          <w:sz w:val="22"/>
          <w:szCs w:val="22"/>
          <w:lang w:val="es-CO" w:eastAsia="es-CO"/>
        </w:rPr>
        <w:pict w14:anchorId="0AB8722F">
          <v:shape id="Flecha abajo 1223101571" o:spid="_x0000_s2054" type="#_x0000_t67" style="position:absolute;left:0;text-align:left;margin-left:400.2pt;margin-top:3.05pt;width:29.5pt;height:47.45pt;rotation:90;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" adj="14886" fillcolor="#b48c41" strokecolor="#243f60 [1604]" strokeweight="2pt"/>
        </w:pict>
      </w:r>
      <w:r w:rsidR="00321689">
        <w:rPr>
          <w:rFonts w:ascii="Verdana" w:hAnsi="Verdana" w:cs="Arial"/>
          <w:noProof/>
          <w:sz w:val="21"/>
          <w:szCs w:val="21"/>
          <w:lang w:val="es-CO" w:eastAsia="es-CO"/>
        </w:rPr>
        <w:drawing>
          <wp:inline distT="0" distB="0" distL="0" distR="0" wp14:anchorId="61012E51" wp14:editId="055AD0F1">
            <wp:extent cx="5270500" cy="184150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31015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1841500"/>
                    </a:xfrm>
                    <a:prstGeom prst="rect">
                      <a:avLst/>
                    </a:prstGeom>
                    <a:noFill/>
                    <a:ln>
                      <a:noFill/>
                    </a:ln>
                  </pic:spPr>
                </pic:pic>
              </a:graphicData>
            </a:graphic>
          </wp:inline>
        </w:drawing>
      </w:r>
    </w:p>
    <w:p w14:paraId="26CEB66E" w14:textId="77777777" w:rsidR="00321689" w:rsidRDefault="00321689" w:rsidP="00321689">
      <w:pPr>
        <w:autoSpaceDE w:val="0"/>
        <w:autoSpaceDN w:val="0"/>
        <w:adjustRightInd w:val="0"/>
        <w:rPr>
          <w:rFonts w:ascii="Verdana" w:eastAsia="ヒラギノ角ゴ Pro W3" w:hAnsi="Verdana" w:cs="Arial"/>
          <w:sz w:val="18"/>
          <w:szCs w:val="18"/>
        </w:rPr>
      </w:pPr>
      <w:r>
        <w:rPr>
          <w:rFonts w:ascii="Verdana" w:hAnsi="Verdana" w:cs="Arial"/>
          <w:sz w:val="21"/>
          <w:szCs w:val="21"/>
        </w:rPr>
        <w:t xml:space="preserve">   </w:t>
      </w:r>
      <w:r>
        <w:rPr>
          <w:rFonts w:ascii="Verdana" w:eastAsia="ヒラギノ角ゴ Pro W3" w:hAnsi="Verdana" w:cs="Arial"/>
          <w:sz w:val="18"/>
          <w:szCs w:val="18"/>
        </w:rPr>
        <w:t>Fuente: SIHO.</w:t>
      </w:r>
    </w:p>
    <w:p w14:paraId="63395BAC" w14:textId="77777777" w:rsidR="00321689" w:rsidRDefault="00321689" w:rsidP="00321689">
      <w:pPr>
        <w:jc w:val="both"/>
        <w:rPr>
          <w:rFonts w:ascii="Verdana" w:eastAsiaTheme="minorHAnsi" w:hAnsi="Verdana" w:cs="Arial"/>
          <w:sz w:val="21"/>
          <w:szCs w:val="21"/>
        </w:rPr>
      </w:pPr>
    </w:p>
    <w:p w14:paraId="2A7EBACA" w14:textId="77777777" w:rsidR="004A37A6" w:rsidRDefault="004A37A6" w:rsidP="00321689">
      <w:pPr>
        <w:jc w:val="both"/>
        <w:rPr>
          <w:rFonts w:ascii="Verdana" w:hAnsi="Verdana" w:cs="Arial"/>
          <w:sz w:val="21"/>
          <w:szCs w:val="21"/>
        </w:rPr>
      </w:pPr>
      <w:r>
        <w:rPr>
          <w:rFonts w:ascii="Verdana" w:hAnsi="Verdana" w:cs="Arial"/>
          <w:sz w:val="21"/>
          <w:szCs w:val="21"/>
        </w:rPr>
        <w:t xml:space="preserve">De tal forma, que la entidad debió tener en cuenta para el establecimiento de las metas </w:t>
      </w:r>
      <w:r w:rsidR="00BA6FA9">
        <w:rPr>
          <w:rFonts w:ascii="Verdana" w:hAnsi="Verdana" w:cs="Arial"/>
          <w:sz w:val="21"/>
          <w:szCs w:val="21"/>
        </w:rPr>
        <w:t xml:space="preserve">del Hospital </w:t>
      </w:r>
      <w:r>
        <w:rPr>
          <w:rFonts w:ascii="Verdana" w:hAnsi="Verdana" w:cs="Arial"/>
          <w:sz w:val="21"/>
          <w:szCs w:val="21"/>
        </w:rPr>
        <w:t>el promedio de recaudo de cartera de las últimas tres vigencias</w:t>
      </w:r>
      <w:r w:rsidR="00BA6FA9">
        <w:rPr>
          <w:rFonts w:ascii="Verdana" w:hAnsi="Verdana" w:cs="Arial"/>
          <w:sz w:val="21"/>
          <w:szCs w:val="21"/>
        </w:rPr>
        <w:t xml:space="preserve">, </w:t>
      </w:r>
      <w:r w:rsidR="00BA6FA9">
        <w:rPr>
          <w:rFonts w:ascii="Verdana" w:hAnsi="Verdana" w:cs="Arial"/>
          <w:sz w:val="21"/>
          <w:szCs w:val="21"/>
        </w:rPr>
        <w:lastRenderedPageBreak/>
        <w:t>que para este caso fue de $3.383 millones</w:t>
      </w:r>
      <w:r w:rsidR="00321689">
        <w:rPr>
          <w:rStyle w:val="Refdenotaalpie"/>
          <w:rFonts w:ascii="Verdana" w:hAnsi="Verdana" w:cs="Arial"/>
          <w:sz w:val="21"/>
          <w:szCs w:val="21"/>
        </w:rPr>
        <w:footnoteReference w:id="5"/>
      </w:r>
      <w:r>
        <w:rPr>
          <w:rFonts w:ascii="Verdana" w:hAnsi="Verdana" w:cs="Arial"/>
          <w:sz w:val="21"/>
          <w:szCs w:val="21"/>
        </w:rPr>
        <w:t>. Ahora, el</w:t>
      </w:r>
      <w:r w:rsidR="00111231">
        <w:rPr>
          <w:rFonts w:ascii="Verdana" w:hAnsi="Verdana" w:cs="Arial"/>
          <w:sz w:val="21"/>
          <w:szCs w:val="21"/>
        </w:rPr>
        <w:t xml:space="preserve"> valor </w:t>
      </w:r>
      <w:r>
        <w:rPr>
          <w:rFonts w:ascii="Verdana" w:hAnsi="Verdana" w:cs="Arial"/>
          <w:sz w:val="21"/>
          <w:szCs w:val="21"/>
        </w:rPr>
        <w:t xml:space="preserve">promedio de recaudo para un periodo de </w:t>
      </w:r>
      <w:r w:rsidR="00321689">
        <w:rPr>
          <w:rFonts w:ascii="Verdana" w:hAnsi="Verdana" w:cs="Arial"/>
          <w:sz w:val="21"/>
          <w:szCs w:val="21"/>
        </w:rPr>
        <w:t>5 meses</w:t>
      </w:r>
      <w:r>
        <w:rPr>
          <w:rFonts w:ascii="Verdana" w:hAnsi="Verdana" w:cs="Arial"/>
          <w:sz w:val="21"/>
          <w:szCs w:val="21"/>
        </w:rPr>
        <w:t xml:space="preserve"> que corresponde al tiempo</w:t>
      </w:r>
      <w:r w:rsidR="00321689">
        <w:rPr>
          <w:rFonts w:ascii="Verdana" w:hAnsi="Verdana" w:cs="Arial"/>
          <w:sz w:val="21"/>
          <w:szCs w:val="21"/>
        </w:rPr>
        <w:t xml:space="preserve"> del convenio </w:t>
      </w:r>
      <w:r w:rsidR="00BA6FA9">
        <w:rPr>
          <w:rFonts w:ascii="Verdana" w:hAnsi="Verdana" w:cs="Arial"/>
          <w:sz w:val="21"/>
          <w:szCs w:val="21"/>
        </w:rPr>
        <w:t>sería</w:t>
      </w:r>
      <w:r w:rsidR="00321689">
        <w:rPr>
          <w:rFonts w:ascii="Verdana" w:hAnsi="Verdana" w:cs="Arial"/>
          <w:sz w:val="21"/>
          <w:szCs w:val="21"/>
        </w:rPr>
        <w:t xml:space="preserve"> de $1.409 millones</w:t>
      </w:r>
      <w:r w:rsidR="00BA6FA9">
        <w:rPr>
          <w:rFonts w:ascii="Verdana" w:hAnsi="Verdana" w:cs="Arial"/>
          <w:sz w:val="21"/>
          <w:szCs w:val="21"/>
        </w:rPr>
        <w:t>, valor que resulta superior a los $116 millones propuestos como meta y a los $367 millones recaudado por el Hospital</w:t>
      </w:r>
      <w:r>
        <w:rPr>
          <w:rFonts w:ascii="Verdana" w:hAnsi="Verdana" w:cs="Arial"/>
          <w:sz w:val="21"/>
          <w:szCs w:val="21"/>
        </w:rPr>
        <w:t>.</w:t>
      </w:r>
    </w:p>
    <w:p w14:paraId="5AD0A109" w14:textId="77777777" w:rsidR="00321689" w:rsidRDefault="00321689" w:rsidP="00321689">
      <w:pPr>
        <w:jc w:val="both"/>
        <w:rPr>
          <w:rFonts w:ascii="Verdana" w:hAnsi="Verdana" w:cs="Arial"/>
          <w:sz w:val="21"/>
          <w:szCs w:val="21"/>
        </w:rPr>
      </w:pPr>
    </w:p>
    <w:p w14:paraId="10BEC551" w14:textId="77777777" w:rsidR="00321689" w:rsidRDefault="00321689" w:rsidP="00321689">
      <w:pPr>
        <w:jc w:val="both"/>
        <w:rPr>
          <w:rFonts w:ascii="Verdana" w:hAnsi="Verdana" w:cs="Arial"/>
          <w:sz w:val="21"/>
          <w:szCs w:val="21"/>
          <w:shd w:val="clear" w:color="auto" w:fill="FFFFFF"/>
        </w:rPr>
      </w:pPr>
      <w:r>
        <w:rPr>
          <w:rFonts w:ascii="Verdana" w:hAnsi="Verdana" w:cs="Arial"/>
          <w:sz w:val="21"/>
          <w:szCs w:val="21"/>
        </w:rPr>
        <w:t>De lo anterior se observa que las metas financieras no son consistentes con el promedio de recaudo de la vigencia</w:t>
      </w:r>
      <w:r w:rsidR="00111231">
        <w:rPr>
          <w:rFonts w:ascii="Verdana" w:hAnsi="Verdana" w:cs="Arial"/>
          <w:sz w:val="21"/>
          <w:szCs w:val="21"/>
        </w:rPr>
        <w:t xml:space="preserve"> actual</w:t>
      </w:r>
      <w:r>
        <w:rPr>
          <w:rFonts w:ascii="Verdana" w:hAnsi="Verdana" w:cs="Arial"/>
          <w:sz w:val="21"/>
          <w:szCs w:val="21"/>
        </w:rPr>
        <w:t xml:space="preserve"> y de la</w:t>
      </w:r>
      <w:r w:rsidR="004A37A6">
        <w:rPr>
          <w:rFonts w:ascii="Verdana" w:hAnsi="Verdana" w:cs="Arial"/>
          <w:sz w:val="21"/>
          <w:szCs w:val="21"/>
        </w:rPr>
        <w:t>s</w:t>
      </w:r>
      <w:r>
        <w:rPr>
          <w:rFonts w:ascii="Verdana" w:hAnsi="Verdana" w:cs="Arial"/>
          <w:sz w:val="21"/>
          <w:szCs w:val="21"/>
        </w:rPr>
        <w:t xml:space="preserve"> vigencia anterior</w:t>
      </w:r>
      <w:r w:rsidR="004A37A6">
        <w:rPr>
          <w:rFonts w:ascii="Verdana" w:hAnsi="Verdana" w:cs="Arial"/>
          <w:sz w:val="21"/>
          <w:szCs w:val="21"/>
        </w:rPr>
        <w:t>es</w:t>
      </w:r>
      <w:r>
        <w:rPr>
          <w:rFonts w:ascii="Verdana" w:hAnsi="Verdana" w:cs="Arial"/>
          <w:sz w:val="21"/>
          <w:szCs w:val="21"/>
        </w:rPr>
        <w:t>, incumpliendo de esta forma el artículo 4 d</w:t>
      </w:r>
      <w:r>
        <w:rPr>
          <w:rFonts w:ascii="Verdana" w:hAnsi="Verdana" w:cs="Arial"/>
          <w:sz w:val="21"/>
          <w:szCs w:val="21"/>
          <w:shd w:val="clear" w:color="auto" w:fill="FFFFFF"/>
        </w:rPr>
        <w:t xml:space="preserve">e la </w:t>
      </w:r>
      <w:r w:rsidR="00AB6D03">
        <w:rPr>
          <w:rFonts w:ascii="Verdana" w:hAnsi="Verdana" w:cs="Arial"/>
          <w:sz w:val="21"/>
          <w:szCs w:val="21"/>
          <w:shd w:val="clear" w:color="auto" w:fill="FFFFFF"/>
        </w:rPr>
        <w:t>R</w:t>
      </w:r>
      <w:r>
        <w:rPr>
          <w:rFonts w:ascii="Verdana" w:hAnsi="Verdana" w:cs="Arial"/>
          <w:sz w:val="21"/>
          <w:szCs w:val="21"/>
          <w:shd w:val="clear" w:color="auto" w:fill="FFFFFF"/>
        </w:rPr>
        <w:t xml:space="preserve">esolución 857 de 2020 </w:t>
      </w:r>
      <w:r w:rsidR="00AB6D03">
        <w:rPr>
          <w:rFonts w:ascii="Verdana" w:hAnsi="Verdana" w:cs="Arial"/>
          <w:sz w:val="21"/>
          <w:szCs w:val="21"/>
          <w:shd w:val="clear" w:color="auto" w:fill="FFFFFF"/>
        </w:rPr>
        <w:t>l</w:t>
      </w:r>
      <w:r w:rsidR="00111231">
        <w:rPr>
          <w:rFonts w:ascii="Verdana" w:hAnsi="Verdana" w:cs="Arial"/>
          <w:sz w:val="21"/>
          <w:szCs w:val="21"/>
          <w:shd w:val="clear" w:color="auto" w:fill="FFFFFF"/>
        </w:rPr>
        <w:t>a</w:t>
      </w:r>
      <w:r w:rsidR="00AB6D03">
        <w:rPr>
          <w:rFonts w:ascii="Verdana" w:hAnsi="Verdana" w:cs="Arial"/>
          <w:sz w:val="21"/>
          <w:szCs w:val="21"/>
          <w:shd w:val="clear" w:color="auto" w:fill="FFFFFF"/>
        </w:rPr>
        <w:t xml:space="preserve"> cual establece</w:t>
      </w:r>
      <w:r>
        <w:rPr>
          <w:rFonts w:ascii="Verdana" w:hAnsi="Verdana" w:cs="Arial"/>
          <w:sz w:val="21"/>
          <w:szCs w:val="21"/>
          <w:shd w:val="clear" w:color="auto" w:fill="FFFFFF"/>
        </w:rPr>
        <w:t xml:space="preserve">: </w:t>
      </w:r>
    </w:p>
    <w:p w14:paraId="01A46F40" w14:textId="77777777" w:rsidR="00321689" w:rsidRDefault="00321689" w:rsidP="00321689">
      <w:pPr>
        <w:shd w:val="clear" w:color="auto" w:fill="FFFFFF"/>
        <w:jc w:val="both"/>
        <w:rPr>
          <w:rFonts w:ascii="Arial" w:hAnsi="Arial" w:cs="Arial"/>
          <w:b/>
          <w:bCs/>
          <w:color w:val="181717"/>
          <w:sz w:val="22"/>
          <w:szCs w:val="22"/>
        </w:rPr>
      </w:pPr>
    </w:p>
    <w:p w14:paraId="1C4C8DEB" w14:textId="77777777" w:rsidR="00321689" w:rsidRDefault="00321689" w:rsidP="00EF5BF4">
      <w:pPr>
        <w:shd w:val="clear" w:color="auto" w:fill="FFFFFF"/>
        <w:ind w:left="567"/>
        <w:jc w:val="both"/>
        <w:rPr>
          <w:rFonts w:ascii="Calibri" w:eastAsia="Times New Roman" w:hAnsi="Calibri" w:cs="Calibri"/>
          <w:i/>
          <w:color w:val="181717"/>
          <w:sz w:val="20"/>
          <w:szCs w:val="20"/>
          <w:lang w:eastAsia="es-CO"/>
        </w:rPr>
      </w:pPr>
      <w:r>
        <w:rPr>
          <w:rFonts w:ascii="Arial" w:hAnsi="Arial" w:cs="Arial"/>
          <w:b/>
          <w:bCs/>
          <w:color w:val="181717"/>
        </w:rPr>
        <w:t>“</w:t>
      </w:r>
      <w:r w:rsidRPr="00854D15">
        <w:rPr>
          <w:rFonts w:ascii="Arial" w:hAnsi="Arial" w:cs="Arial"/>
          <w:i/>
          <w:iCs/>
          <w:color w:val="181717"/>
        </w:rPr>
        <w:t xml:space="preserve">[…] </w:t>
      </w:r>
      <w:r>
        <w:rPr>
          <w:rFonts w:ascii="Arial" w:hAnsi="Arial" w:cs="Arial"/>
          <w:b/>
          <w:bCs/>
          <w:i/>
          <w:color w:val="181717"/>
          <w:sz w:val="20"/>
          <w:szCs w:val="20"/>
        </w:rPr>
        <w:t>4.3 </w:t>
      </w:r>
      <w:r>
        <w:rPr>
          <w:rFonts w:ascii="Arial" w:hAnsi="Arial" w:cs="Arial"/>
          <w:b/>
          <w:bCs/>
          <w:i/>
          <w:sz w:val="20"/>
          <w:szCs w:val="20"/>
        </w:rPr>
        <w:t>Gestión financiera:</w:t>
      </w:r>
    </w:p>
    <w:p w14:paraId="3FED3588" w14:textId="77777777" w:rsidR="00321689" w:rsidRDefault="00321689" w:rsidP="00EF5BF4">
      <w:pPr>
        <w:shd w:val="clear" w:color="auto" w:fill="FFFFFF"/>
        <w:ind w:left="567"/>
        <w:jc w:val="both"/>
        <w:rPr>
          <w:rFonts w:eastAsiaTheme="minorHAnsi"/>
          <w:i/>
          <w:color w:val="181717"/>
          <w:sz w:val="20"/>
          <w:szCs w:val="20"/>
          <w:lang w:eastAsia="en-US"/>
        </w:rPr>
      </w:pPr>
      <w:r>
        <w:rPr>
          <w:rFonts w:ascii="Arial" w:hAnsi="Arial" w:cs="Arial"/>
          <w:i/>
          <w:sz w:val="20"/>
          <w:szCs w:val="20"/>
        </w:rPr>
        <w:t> </w:t>
      </w:r>
    </w:p>
    <w:p w14:paraId="0A2B7A7D" w14:textId="77777777" w:rsidR="00321689" w:rsidRDefault="00321689" w:rsidP="00EF5BF4">
      <w:pPr>
        <w:shd w:val="clear" w:color="auto" w:fill="FFFFFF"/>
        <w:ind w:left="567"/>
        <w:jc w:val="both"/>
        <w:rPr>
          <w:i/>
          <w:color w:val="181717"/>
          <w:sz w:val="20"/>
          <w:szCs w:val="20"/>
        </w:rPr>
      </w:pPr>
      <w:r>
        <w:rPr>
          <w:rFonts w:ascii="Arial" w:hAnsi="Arial" w:cs="Arial"/>
          <w:i/>
          <w:color w:val="181717"/>
          <w:sz w:val="20"/>
          <w:szCs w:val="20"/>
        </w:rPr>
        <w:t>4.3.1 </w:t>
      </w:r>
      <w:r>
        <w:rPr>
          <w:rFonts w:ascii="Arial" w:hAnsi="Arial" w:cs="Arial"/>
          <w:i/>
          <w:sz w:val="20"/>
          <w:szCs w:val="20"/>
        </w:rPr>
        <w:t>Promedio del monto de los ingresos corrientes recaudados por concepto de venta de servicios de salud en las últimas tres (3) vigencias. Cuando el tiempo de operación del prestador sea inferior a tres (3) años, se tendrá en cuenta todo el período en el que haya prestado servicios de salud.</w:t>
      </w:r>
    </w:p>
    <w:p w14:paraId="4106C18F" w14:textId="77777777" w:rsidR="00321689" w:rsidRDefault="00321689" w:rsidP="00EF5BF4">
      <w:pPr>
        <w:shd w:val="clear" w:color="auto" w:fill="FFFFFF"/>
        <w:ind w:left="567"/>
        <w:jc w:val="both"/>
        <w:rPr>
          <w:i/>
          <w:color w:val="181717"/>
          <w:sz w:val="20"/>
          <w:szCs w:val="20"/>
        </w:rPr>
      </w:pPr>
      <w:r>
        <w:rPr>
          <w:rFonts w:ascii="Arial" w:hAnsi="Arial" w:cs="Arial"/>
          <w:i/>
          <w:sz w:val="20"/>
          <w:szCs w:val="20"/>
        </w:rPr>
        <w:t> </w:t>
      </w:r>
    </w:p>
    <w:p w14:paraId="3B3C74F9" w14:textId="77777777" w:rsidR="00321689" w:rsidRDefault="00321689" w:rsidP="00EF5BF4">
      <w:pPr>
        <w:shd w:val="clear" w:color="auto" w:fill="FFFFFF"/>
        <w:ind w:left="567"/>
        <w:jc w:val="both"/>
        <w:rPr>
          <w:rFonts w:ascii="Arial" w:hAnsi="Arial" w:cs="Arial"/>
          <w:b/>
          <w:bCs/>
          <w:i/>
          <w:color w:val="181717"/>
          <w:sz w:val="20"/>
          <w:szCs w:val="20"/>
        </w:rPr>
      </w:pPr>
      <w:r>
        <w:rPr>
          <w:rFonts w:ascii="Arial" w:hAnsi="Arial" w:cs="Arial"/>
          <w:i/>
          <w:color w:val="181717"/>
          <w:sz w:val="20"/>
          <w:szCs w:val="20"/>
        </w:rPr>
        <w:t>4.3.2 </w:t>
      </w:r>
      <w:r>
        <w:rPr>
          <w:rFonts w:ascii="Arial" w:hAnsi="Arial" w:cs="Arial"/>
          <w:i/>
          <w:sz w:val="20"/>
          <w:szCs w:val="20"/>
        </w:rPr>
        <w:t>Promedio del monto de recuperación de cartera por concepto de venta de servicios de salud en las tres (3) últimas vigencias. Cuando el tiempo de operación del prestador sea inferior a tres (3) años, se tendrá en cuenta todo el período en el que haya prestado servicios de salud</w:t>
      </w:r>
      <w:r>
        <w:rPr>
          <w:rFonts w:ascii="Arial" w:hAnsi="Arial" w:cs="Arial"/>
          <w:b/>
          <w:bCs/>
          <w:i/>
          <w:color w:val="181717"/>
          <w:sz w:val="20"/>
          <w:szCs w:val="20"/>
        </w:rPr>
        <w:t>.”</w:t>
      </w:r>
    </w:p>
    <w:p w14:paraId="19604F1F" w14:textId="77777777" w:rsidR="00321689" w:rsidRDefault="00321689" w:rsidP="00321689">
      <w:pPr>
        <w:jc w:val="both"/>
        <w:rPr>
          <w:rFonts w:ascii="Verdana" w:hAnsi="Verdana" w:cs="Arial"/>
          <w:sz w:val="21"/>
          <w:szCs w:val="21"/>
        </w:rPr>
      </w:pPr>
    </w:p>
    <w:p w14:paraId="1EC829DC" w14:textId="77777777" w:rsidR="00321689" w:rsidRDefault="00321689" w:rsidP="00321689">
      <w:pPr>
        <w:pStyle w:val="Sinespaciado"/>
        <w:jc w:val="both"/>
        <w:rPr>
          <w:rFonts w:ascii="Verdana" w:eastAsia="MS Mincho" w:hAnsi="Verdana" w:cs="Arial"/>
          <w:b/>
          <w:sz w:val="21"/>
          <w:szCs w:val="21"/>
          <w:lang w:val="es-ES" w:eastAsia="es-ES"/>
        </w:rPr>
      </w:pPr>
      <w:r>
        <w:rPr>
          <w:rFonts w:ascii="Verdana" w:eastAsia="MS Mincho" w:hAnsi="Verdana" w:cs="Arial"/>
          <w:b/>
          <w:sz w:val="21"/>
          <w:szCs w:val="21"/>
          <w:lang w:val="es-ES" w:eastAsia="es-ES"/>
        </w:rPr>
        <w:t xml:space="preserve">Evidencias: </w:t>
      </w:r>
    </w:p>
    <w:p w14:paraId="7FFAAF57" w14:textId="77777777" w:rsidR="00321689" w:rsidRDefault="00321689" w:rsidP="00321689">
      <w:pPr>
        <w:jc w:val="both"/>
        <w:rPr>
          <w:rFonts w:ascii="Verdana" w:eastAsia="Arial Narrow" w:hAnsi="Verdana" w:cs="Arial"/>
          <w:color w:val="000000" w:themeColor="text1"/>
          <w:sz w:val="21"/>
          <w:szCs w:val="21"/>
          <w:lang w:val="es-CO" w:eastAsia="en-US"/>
        </w:rPr>
      </w:pPr>
    </w:p>
    <w:p w14:paraId="4F259550" w14:textId="77777777" w:rsidR="00321689" w:rsidRDefault="00321689" w:rsidP="00321689">
      <w:pPr>
        <w:jc w:val="both"/>
        <w:rPr>
          <w:rFonts w:ascii="Verdana" w:eastAsiaTheme="minorHAnsi" w:hAnsi="Verdana" w:cs="Calibri"/>
          <w:sz w:val="20"/>
          <w:szCs w:val="20"/>
        </w:rPr>
      </w:pPr>
      <w:r>
        <w:rPr>
          <w:rFonts w:ascii="Verdana" w:eastAsia="Arial Narrow" w:hAnsi="Verdana" w:cs="Arial"/>
          <w:color w:val="000000" w:themeColor="text1"/>
          <w:sz w:val="21"/>
          <w:szCs w:val="21"/>
        </w:rPr>
        <w:t>MATRIZ DE VERIFICACIÓN DE INFORMACIÓN</w:t>
      </w:r>
      <w:r>
        <w:rPr>
          <w:rFonts w:ascii="Verdana" w:hAnsi="Verdana" w:cs="Arial"/>
          <w:sz w:val="20"/>
          <w:szCs w:val="20"/>
        </w:rPr>
        <w:t xml:space="preserve"> </w:t>
      </w:r>
      <w:r>
        <w:rPr>
          <w:rFonts w:ascii="Verdana" w:eastAsia="Arial Narrow" w:hAnsi="Verdana" w:cs="Arial"/>
          <w:color w:val="000000" w:themeColor="text1"/>
          <w:sz w:val="21"/>
          <w:szCs w:val="21"/>
        </w:rPr>
        <w:t xml:space="preserve">REQUIMIENTO 32 de 2021 y 2022. </w:t>
      </w:r>
      <w:r>
        <w:rPr>
          <w:rFonts w:ascii="Verdana" w:hAnsi="Verdana" w:cs="Arial"/>
          <w:sz w:val="21"/>
          <w:szCs w:val="21"/>
        </w:rPr>
        <w:t xml:space="preserve">HISTORIAL DE SEGUIMIENTO Y CONTROL A LOS RECURSOS DEL SISTEMA GENERAL DE PARTICIPACIONES. </w:t>
      </w:r>
      <w:r>
        <w:rPr>
          <w:rFonts w:ascii="Verdana" w:hAnsi="Verdana" w:cs="Arial"/>
          <w:sz w:val="20"/>
          <w:szCs w:val="20"/>
        </w:rPr>
        <w:t>EXPEDIENTE</w:t>
      </w:r>
      <w:r>
        <w:t xml:space="preserve"> </w:t>
      </w:r>
      <w:r>
        <w:rPr>
          <w:rFonts w:ascii="Verdana" w:hAnsi="Verdana" w:cs="Arial"/>
          <w:sz w:val="21"/>
          <w:szCs w:val="21"/>
        </w:rPr>
        <w:t>3/2023/D028-PREDI.</w:t>
      </w:r>
      <w:r>
        <w:rPr>
          <w:rFonts w:ascii="Verdana" w:eastAsia="Arial Narrow" w:hAnsi="Verdana" w:cs="Arial"/>
          <w:color w:val="000000" w:themeColor="text1"/>
          <w:sz w:val="20"/>
          <w:szCs w:val="20"/>
        </w:rPr>
        <w:t xml:space="preserve"> OFICIO CON RADICADO SIED NO</w:t>
      </w:r>
      <w:r>
        <w:rPr>
          <w:rFonts w:ascii="Verdana" w:hAnsi="Verdana" w:cs="Arial"/>
          <w:sz w:val="20"/>
          <w:szCs w:val="20"/>
        </w:rPr>
        <w:t>. 1-2023-031458</w:t>
      </w:r>
      <w:r>
        <w:rPr>
          <w:rFonts w:ascii="Verdana" w:eastAsia="Arial Narrow" w:hAnsi="Verdana" w:cs="Arial"/>
          <w:color w:val="000000" w:themeColor="text1"/>
          <w:sz w:val="20"/>
          <w:szCs w:val="20"/>
        </w:rPr>
        <w:t xml:space="preserve"> DEL 14 DE MARZO DE 2023. </w:t>
      </w:r>
      <w:r>
        <w:rPr>
          <w:rFonts w:ascii="Verdana" w:eastAsia="Arial Narrow" w:hAnsi="Verdana" w:cs="Arial"/>
          <w:color w:val="000000" w:themeColor="text1"/>
          <w:sz w:val="21"/>
          <w:szCs w:val="21"/>
        </w:rPr>
        <w:t xml:space="preserve">ENLACE: </w:t>
      </w:r>
      <w:hyperlink r:id="rId43" w:anchor="url-960061" w:history="1">
        <w:r>
          <w:rPr>
            <w:rStyle w:val="Hipervnculo"/>
            <w:rFonts w:ascii="Verdana" w:hAnsi="Verdana"/>
            <w:sz w:val="20"/>
            <w:szCs w:val="20"/>
          </w:rPr>
          <w:t>http://portalgestiondoc.minhacienda.red/PortalEmpleado/#url-960061</w:t>
        </w:r>
      </w:hyperlink>
    </w:p>
    <w:p w14:paraId="6FDE0FE0" w14:textId="77777777" w:rsidR="002C2082" w:rsidRDefault="002C2082" w:rsidP="00321689">
      <w:pPr>
        <w:jc w:val="both"/>
        <w:rPr>
          <w:rFonts w:ascii="Verdana" w:hAnsi="Verdana"/>
          <w:sz w:val="20"/>
          <w:szCs w:val="20"/>
        </w:rPr>
      </w:pPr>
    </w:p>
    <w:p w14:paraId="35140135" w14:textId="77777777" w:rsidR="00375292" w:rsidRPr="00375292" w:rsidDel="002C2082" w:rsidRDefault="00375292" w:rsidP="00375292">
      <w:pPr>
        <w:pStyle w:val="Prrafodelista"/>
        <w:numPr>
          <w:ilvl w:val="3"/>
          <w:numId w:val="1"/>
        </w:numPr>
        <w:jc w:val="both"/>
        <w:rPr>
          <w:rFonts w:ascii="Verdana" w:eastAsia="Arial Narrow" w:hAnsi="Verdana" w:cs="Arial"/>
          <w:b/>
          <w:bCs/>
          <w:sz w:val="21"/>
          <w:szCs w:val="21"/>
        </w:rPr>
      </w:pPr>
      <w:r w:rsidRPr="00375292" w:rsidDel="002C2082">
        <w:rPr>
          <w:rFonts w:ascii="Verdana" w:eastAsia="Arial Narrow" w:hAnsi="Verdana" w:cs="Arial"/>
          <w:b/>
          <w:bCs/>
          <w:sz w:val="21"/>
          <w:szCs w:val="21"/>
        </w:rPr>
        <w:t>Falta de oportunidad contractual.</w:t>
      </w:r>
    </w:p>
    <w:p w14:paraId="5B7F1968" w14:textId="77777777" w:rsidR="00375292" w:rsidDel="002C2082" w:rsidRDefault="00375292" w:rsidP="00375292">
      <w:pPr>
        <w:jc w:val="both"/>
        <w:rPr>
          <w:rFonts w:ascii="Verdana" w:eastAsia="Arial Narrow" w:hAnsi="Verdana" w:cs="Arial"/>
          <w:b/>
          <w:bCs/>
          <w:color w:val="000000" w:themeColor="text1"/>
          <w:sz w:val="21"/>
          <w:szCs w:val="21"/>
        </w:rPr>
      </w:pPr>
    </w:p>
    <w:p w14:paraId="35FE8BBD" w14:textId="77777777" w:rsidR="00375292" w:rsidDel="002C2082" w:rsidRDefault="00375292" w:rsidP="00375292">
      <w:pPr>
        <w:jc w:val="both"/>
        <w:rPr>
          <w:rFonts w:ascii="Verdana" w:eastAsia="Arial Narrow" w:hAnsi="Verdana" w:cs="Arial"/>
          <w:b/>
          <w:bCs/>
          <w:color w:val="000000" w:themeColor="text1"/>
          <w:sz w:val="21"/>
          <w:szCs w:val="21"/>
        </w:rPr>
      </w:pPr>
      <w:r w:rsidDel="002C2082">
        <w:rPr>
          <w:rFonts w:ascii="Verdana" w:eastAsia="Arial Narrow" w:hAnsi="Verdana" w:cs="Arial"/>
          <w:b/>
          <w:bCs/>
          <w:color w:val="000000" w:themeColor="text1"/>
          <w:sz w:val="21"/>
          <w:szCs w:val="21"/>
        </w:rPr>
        <w:t>Contratación Salud Pública PIC.</w:t>
      </w:r>
    </w:p>
    <w:p w14:paraId="0143AD27" w14:textId="77777777" w:rsidR="00375292" w:rsidDel="002C2082" w:rsidRDefault="00375292" w:rsidP="00375292">
      <w:pPr>
        <w:jc w:val="both"/>
        <w:rPr>
          <w:rFonts w:ascii="Verdana" w:eastAsiaTheme="minorHAnsi" w:hAnsi="Verdana" w:cs="Arial"/>
          <w:sz w:val="21"/>
          <w:szCs w:val="21"/>
        </w:rPr>
      </w:pPr>
    </w:p>
    <w:p w14:paraId="1C565C54" w14:textId="77777777" w:rsidR="00375292" w:rsidDel="002C2082" w:rsidRDefault="00375292" w:rsidP="00375292">
      <w:pPr>
        <w:jc w:val="both"/>
        <w:rPr>
          <w:rFonts w:ascii="Verdana" w:hAnsi="Verdana" w:cs="Arial"/>
          <w:sz w:val="21"/>
          <w:szCs w:val="21"/>
        </w:rPr>
      </w:pPr>
      <w:r w:rsidDel="002C2082">
        <w:rPr>
          <w:rFonts w:ascii="Verdana" w:hAnsi="Verdana" w:cs="Arial"/>
          <w:sz w:val="21"/>
          <w:szCs w:val="21"/>
        </w:rPr>
        <w:t>De conformidad con lo establecido en el artículo 16 de la Resolución 518 de 2015, que determina: “</w:t>
      </w:r>
      <w:r w:rsidDel="002C2082">
        <w:rPr>
          <w:rFonts w:ascii="Verdana" w:hAnsi="Verdana" w:cs="Arial"/>
          <w:i/>
          <w:iCs/>
          <w:sz w:val="21"/>
          <w:szCs w:val="21"/>
        </w:rPr>
        <w:t>Oportunidad en la contratación</w:t>
      </w:r>
      <w:r w:rsidDel="002C2082">
        <w:rPr>
          <w:rFonts w:ascii="Verdana" w:hAnsi="Verdana" w:cs="Arial"/>
          <w:b/>
          <w:bCs/>
          <w:sz w:val="21"/>
          <w:szCs w:val="21"/>
        </w:rPr>
        <w:t xml:space="preserve">. </w:t>
      </w:r>
      <w:r w:rsidDel="002C2082">
        <w:rPr>
          <w:rFonts w:ascii="Verdana" w:hAnsi="Verdana" w:cs="Arial"/>
          <w:i/>
          <w:sz w:val="21"/>
          <w:szCs w:val="21"/>
        </w:rPr>
        <w:t>En el marco del plan financiero territorial de salud, las entidades territoriales deberán garantizar la continuidad de las intervenciones, procedimientos, actividades e insumos del plan de salud pública de intervenciones colectivas, mediante la contratación oportuna del mismo”,</w:t>
      </w:r>
      <w:r w:rsidDel="002C2082">
        <w:rPr>
          <w:rFonts w:ascii="Verdana" w:hAnsi="Verdana" w:cs="Arial"/>
          <w:sz w:val="21"/>
          <w:szCs w:val="21"/>
        </w:rPr>
        <w:t xml:space="preserve"> las entidades territoriales deben efectuar la contratación del Plan de Intervenciones Colectivas de manera oportuna, con la finalidad de garantizar la prestación del servicio de manera continua durante toda la vigencia fiscal.</w:t>
      </w:r>
    </w:p>
    <w:p w14:paraId="3820CDF8" w14:textId="77777777" w:rsidR="00375292" w:rsidDel="002C2082" w:rsidRDefault="00375292" w:rsidP="00375292">
      <w:pPr>
        <w:jc w:val="both"/>
        <w:rPr>
          <w:rFonts w:ascii="Verdana" w:hAnsi="Verdana" w:cs="Arial"/>
          <w:sz w:val="21"/>
          <w:szCs w:val="21"/>
        </w:rPr>
      </w:pPr>
    </w:p>
    <w:p w14:paraId="5D8A8510" w14:textId="77777777" w:rsidR="00375292" w:rsidDel="002C2082" w:rsidRDefault="00375292" w:rsidP="00375292">
      <w:pPr>
        <w:jc w:val="both"/>
        <w:rPr>
          <w:rFonts w:ascii="Verdana" w:hAnsi="Verdana" w:cs="Arial"/>
          <w:bCs/>
          <w:sz w:val="21"/>
          <w:szCs w:val="21"/>
        </w:rPr>
      </w:pPr>
      <w:r w:rsidDel="002C2082">
        <w:rPr>
          <w:rFonts w:ascii="Verdana" w:hAnsi="Verdana" w:cs="Arial"/>
          <w:sz w:val="21"/>
          <w:szCs w:val="21"/>
        </w:rPr>
        <w:t xml:space="preserve">No obstante, lo anterior, se identificó que el Departamento del Cesar, suscribió los contratos con las ESE en los meses de septiembre y octubre de 2021 y 2022. </w:t>
      </w:r>
      <w:r w:rsidDel="002C2082">
        <w:rPr>
          <w:rFonts w:ascii="Verdana" w:hAnsi="Verdana" w:cs="Arial"/>
          <w:bCs/>
          <w:sz w:val="21"/>
          <w:szCs w:val="21"/>
        </w:rPr>
        <w:t xml:space="preserve">Por lo anterior, al verificar los </w:t>
      </w:r>
      <w:r w:rsidDel="002C2082">
        <w:rPr>
          <w:rFonts w:ascii="Verdana" w:hAnsi="Verdana" w:cs="Arial"/>
          <w:sz w:val="21"/>
          <w:szCs w:val="21"/>
        </w:rPr>
        <w:t>parámetros de contratación establecidos en las Resoluciones 518 de 2015, y 3280 de 2018 para las intervenciones colectivas</w:t>
      </w:r>
      <w:r w:rsidDel="002C2082">
        <w:rPr>
          <w:rFonts w:ascii="Verdana" w:hAnsi="Verdana" w:cs="Arial"/>
          <w:bCs/>
          <w:sz w:val="21"/>
          <w:szCs w:val="21"/>
        </w:rPr>
        <w:t xml:space="preserve"> con la fecha en la que la Entidad inició la contratación del PIC (último trimestre del año), se identifica </w:t>
      </w:r>
      <w:r w:rsidDel="002C2082">
        <w:rPr>
          <w:rFonts w:ascii="Verdana" w:hAnsi="Verdana" w:cs="Arial"/>
          <w:bCs/>
          <w:sz w:val="21"/>
          <w:szCs w:val="21"/>
        </w:rPr>
        <w:lastRenderedPageBreak/>
        <w:t>falta de oportunidad en la contratación como en el giro de los recursos, debiéndose realizar en el primer trimestre, esto conforme con lo dispuesto en el artículo 5 de la Resolución 857 de 2020.</w:t>
      </w:r>
    </w:p>
    <w:p w14:paraId="261F906E" w14:textId="77777777" w:rsidR="00375292" w:rsidDel="002C2082" w:rsidRDefault="00375292" w:rsidP="00375292">
      <w:pPr>
        <w:jc w:val="both"/>
        <w:rPr>
          <w:rFonts w:ascii="Verdana" w:hAnsi="Verdana" w:cs="Arial"/>
          <w:bCs/>
          <w:sz w:val="21"/>
          <w:szCs w:val="21"/>
        </w:rPr>
      </w:pPr>
    </w:p>
    <w:p w14:paraId="23F488BB" w14:textId="77777777" w:rsidR="00375292" w:rsidDel="002C2082" w:rsidRDefault="00375292" w:rsidP="00375292">
      <w:pPr>
        <w:jc w:val="center"/>
        <w:rPr>
          <w:rFonts w:ascii="Verdana" w:hAnsi="Verdana" w:cs="Arial"/>
          <w:bCs/>
          <w:sz w:val="21"/>
          <w:szCs w:val="21"/>
        </w:rPr>
      </w:pPr>
      <w:r w:rsidDel="002C2082">
        <w:rPr>
          <w:rFonts w:ascii="Verdana" w:hAnsi="Verdana" w:cs="Arial"/>
          <w:bCs/>
          <w:sz w:val="21"/>
          <w:szCs w:val="21"/>
        </w:rPr>
        <w:t>Vigencia 2021</w:t>
      </w:r>
    </w:p>
    <w:p w14:paraId="772E2D52" w14:textId="77777777" w:rsidR="00375292" w:rsidDel="002C2082" w:rsidRDefault="00762F3C" w:rsidP="00375292">
      <w:pPr>
        <w:jc w:val="both"/>
        <w:rPr>
          <w:rFonts w:ascii="Verdana" w:hAnsi="Verdana" w:cs="Arial"/>
          <w:sz w:val="21"/>
          <w:szCs w:val="21"/>
        </w:rPr>
      </w:pPr>
      <w:r>
        <w:rPr>
          <w:rFonts w:ascii="Calibri" w:hAnsi="Calibri" w:cs="Calibri"/>
          <w:noProof/>
          <w:sz w:val="22"/>
          <w:szCs w:val="22"/>
          <w:lang w:val="es-CO" w:eastAsia="es-CO"/>
        </w:rPr>
        <w:pict w14:anchorId="080E562A">
          <v:shape id="Flecha abajo 36" o:spid="_x0000_s2060" type="#_x0000_t67" style="position:absolute;left:0;text-align:left;margin-left:70.95pt;margin-top:3.5pt;width:38.15pt;height:2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" adj="10800" fillcolor="#4f81bd [3204]" strokecolor="#243f60 [1604]" strokeweight="2pt"/>
        </w:pict>
      </w:r>
      <w:r w:rsidR="00375292" w:rsidDel="002C2082">
        <w:rPr>
          <w:noProof/>
          <w:lang w:val="es-CO" w:eastAsia="es-CO"/>
        </w:rPr>
        <w:drawing>
          <wp:inline distT="0" distB="0" distL="0" distR="0" wp14:anchorId="290C4DF8" wp14:editId="5817EC39">
            <wp:extent cx="5607050" cy="1682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31015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7050" cy="1682750"/>
                    </a:xfrm>
                    <a:prstGeom prst="rect">
                      <a:avLst/>
                    </a:prstGeom>
                    <a:noFill/>
                    <a:ln>
                      <a:noFill/>
                    </a:ln>
                  </pic:spPr>
                </pic:pic>
              </a:graphicData>
            </a:graphic>
          </wp:inline>
        </w:drawing>
      </w:r>
    </w:p>
    <w:p w14:paraId="418D9641" w14:textId="77777777" w:rsidR="00375292" w:rsidDel="002C2082" w:rsidRDefault="00375292" w:rsidP="00375292">
      <w:pPr>
        <w:rPr>
          <w:rFonts w:ascii="Verdana" w:eastAsia="Times New Roman" w:hAnsi="Verdana" w:cs="Arial"/>
          <w:bCs/>
          <w:color w:val="000000" w:themeColor="text1"/>
          <w:sz w:val="16"/>
          <w:szCs w:val="16"/>
        </w:rPr>
      </w:pPr>
      <w:r w:rsidDel="002C2082">
        <w:rPr>
          <w:rFonts w:ascii="Verdana" w:eastAsia="Times New Roman" w:hAnsi="Verdana" w:cs="Arial"/>
          <w:bCs/>
          <w:color w:val="000000" w:themeColor="text1"/>
          <w:sz w:val="16"/>
          <w:szCs w:val="16"/>
        </w:rPr>
        <w:t>Fuente: Entidad Territorial</w:t>
      </w:r>
    </w:p>
    <w:p w14:paraId="6FCA1201" w14:textId="77777777" w:rsidR="00375292" w:rsidDel="002C2082" w:rsidRDefault="00762F3C" w:rsidP="00375292">
      <w:pPr>
        <w:jc w:val="center"/>
        <w:rPr>
          <w:rFonts w:ascii="Verdana" w:eastAsiaTheme="minorHAnsi" w:hAnsi="Verdana" w:cs="Arial"/>
          <w:bCs/>
          <w:sz w:val="21"/>
          <w:szCs w:val="21"/>
        </w:rPr>
      </w:pPr>
      <w:r>
        <w:rPr>
          <w:rFonts w:ascii="Calibri" w:eastAsiaTheme="minorHAnsi" w:hAnsi="Calibri" w:cs="Calibri"/>
          <w:noProof/>
          <w:sz w:val="22"/>
          <w:szCs w:val="22"/>
          <w:lang w:val="es-CO" w:eastAsia="es-CO"/>
        </w:rPr>
        <w:pict w14:anchorId="28CE2B56">
          <v:shape id="Flecha abajo 11" o:spid="_x0000_s2059" type="#_x0000_t67" style="position:absolute;left:0;text-align:left;margin-left:64.45pt;margin-top:12.65pt;width:38.15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" adj="10800" fillcolor="#4f81bd [3204]" strokecolor="#243f60 [1604]" strokeweight="2pt"/>
        </w:pict>
      </w:r>
      <w:r w:rsidR="00375292" w:rsidDel="002C2082">
        <w:rPr>
          <w:rFonts w:ascii="Verdana" w:hAnsi="Verdana" w:cs="Arial"/>
          <w:bCs/>
          <w:sz w:val="21"/>
          <w:szCs w:val="21"/>
        </w:rPr>
        <w:t>Vigencia 2022</w:t>
      </w:r>
    </w:p>
    <w:p w14:paraId="36219AC3" w14:textId="77777777" w:rsidR="00375292" w:rsidDel="002C2082" w:rsidRDefault="00375292" w:rsidP="00375292">
      <w:pPr>
        <w:jc w:val="both"/>
        <w:rPr>
          <w:rFonts w:ascii="Verdana" w:hAnsi="Verdana" w:cs="Arial"/>
          <w:sz w:val="21"/>
          <w:szCs w:val="21"/>
        </w:rPr>
      </w:pPr>
      <w:r w:rsidDel="002C2082">
        <w:rPr>
          <w:noProof/>
          <w:lang w:val="es-CO" w:eastAsia="es-CO"/>
        </w:rPr>
        <w:drawing>
          <wp:inline distT="0" distB="0" distL="0" distR="0" wp14:anchorId="086159E9" wp14:editId="19C3070E">
            <wp:extent cx="5607050" cy="22796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31015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07050" cy="2279650"/>
                    </a:xfrm>
                    <a:prstGeom prst="rect">
                      <a:avLst/>
                    </a:prstGeom>
                    <a:noFill/>
                    <a:ln>
                      <a:noFill/>
                    </a:ln>
                  </pic:spPr>
                </pic:pic>
              </a:graphicData>
            </a:graphic>
          </wp:inline>
        </w:drawing>
      </w:r>
    </w:p>
    <w:p w14:paraId="423B01FB" w14:textId="77777777" w:rsidR="00375292" w:rsidDel="002C2082" w:rsidRDefault="00375292" w:rsidP="00375292">
      <w:pPr>
        <w:rPr>
          <w:rFonts w:ascii="Verdana" w:hAnsi="Verdana" w:cs="Arial"/>
          <w:bCs/>
          <w:color w:val="000000" w:themeColor="text1"/>
          <w:sz w:val="16"/>
          <w:szCs w:val="16"/>
        </w:rPr>
      </w:pPr>
      <w:r w:rsidDel="002C2082">
        <w:rPr>
          <w:rFonts w:ascii="Verdana" w:eastAsia="Times New Roman" w:hAnsi="Verdana" w:cs="Arial"/>
          <w:bCs/>
          <w:color w:val="000000" w:themeColor="text1"/>
          <w:sz w:val="16"/>
          <w:szCs w:val="16"/>
        </w:rPr>
        <w:t>Fuente: Entidad Territorial</w:t>
      </w:r>
    </w:p>
    <w:p w14:paraId="6CC7DD89" w14:textId="77777777" w:rsidR="00375292" w:rsidDel="002C2082" w:rsidRDefault="00375292" w:rsidP="00375292">
      <w:pPr>
        <w:rPr>
          <w:rFonts w:ascii="Verdana" w:hAnsi="Verdana" w:cs="Arial"/>
          <w:bCs/>
          <w:color w:val="000000" w:themeColor="text1"/>
          <w:sz w:val="16"/>
          <w:szCs w:val="16"/>
        </w:rPr>
      </w:pPr>
    </w:p>
    <w:p w14:paraId="4A8ACB6D" w14:textId="77777777" w:rsidR="00375292" w:rsidDel="002C2082" w:rsidRDefault="00375292" w:rsidP="00375292">
      <w:pPr>
        <w:jc w:val="both"/>
        <w:rPr>
          <w:rFonts w:ascii="Verdana" w:hAnsi="Verdana" w:cs="Arial"/>
          <w:sz w:val="21"/>
          <w:szCs w:val="21"/>
        </w:rPr>
      </w:pPr>
      <w:r w:rsidDel="002C2082">
        <w:rPr>
          <w:rFonts w:ascii="Verdana" w:hAnsi="Verdana" w:cs="Arial"/>
          <w:sz w:val="21"/>
          <w:szCs w:val="21"/>
        </w:rPr>
        <w:t>En este sentido, no se cumplió con la oportunidad en la contratación de las citadas acciones, poniendo en riesgo la prestación del servicio a cargo de la Entidad Territorial, así como la eficiente y debida ejecución de los recursos del Sistema General de Participaciones del Sector Salud.</w:t>
      </w:r>
    </w:p>
    <w:p w14:paraId="49AAFBC6" w14:textId="77777777" w:rsidR="00375292" w:rsidDel="002C2082" w:rsidRDefault="00375292" w:rsidP="00375292">
      <w:pPr>
        <w:jc w:val="both"/>
        <w:rPr>
          <w:rFonts w:ascii="Verdana" w:hAnsi="Verdana" w:cs="Arial"/>
          <w:sz w:val="21"/>
          <w:szCs w:val="21"/>
        </w:rPr>
      </w:pPr>
    </w:p>
    <w:p w14:paraId="3F89B957" w14:textId="77777777" w:rsidR="00375292" w:rsidDel="002C2082" w:rsidRDefault="00375292" w:rsidP="00375292">
      <w:pPr>
        <w:pStyle w:val="Sinespaciado"/>
        <w:jc w:val="both"/>
        <w:rPr>
          <w:rFonts w:ascii="Verdana" w:eastAsia="MS Mincho" w:hAnsi="Verdana" w:cs="Arial"/>
          <w:b/>
          <w:sz w:val="21"/>
          <w:szCs w:val="21"/>
          <w:lang w:val="es-ES" w:eastAsia="es-ES"/>
        </w:rPr>
      </w:pPr>
      <w:r w:rsidDel="002C2082">
        <w:rPr>
          <w:rFonts w:ascii="Verdana" w:eastAsia="MS Mincho" w:hAnsi="Verdana" w:cs="Arial"/>
          <w:b/>
          <w:sz w:val="21"/>
          <w:szCs w:val="21"/>
          <w:lang w:val="es-ES" w:eastAsia="es-ES"/>
        </w:rPr>
        <w:t xml:space="preserve">Evidencias: </w:t>
      </w:r>
    </w:p>
    <w:p w14:paraId="2198135A" w14:textId="77777777" w:rsidR="00375292" w:rsidDel="002C2082" w:rsidRDefault="00375292" w:rsidP="00375292">
      <w:pPr>
        <w:jc w:val="both"/>
        <w:rPr>
          <w:rFonts w:ascii="Verdana" w:eastAsia="Arial Narrow" w:hAnsi="Verdana" w:cs="Arial"/>
          <w:color w:val="000000" w:themeColor="text1"/>
          <w:sz w:val="21"/>
          <w:szCs w:val="21"/>
          <w:lang w:val="es-CO" w:eastAsia="en-US"/>
        </w:rPr>
      </w:pPr>
    </w:p>
    <w:p w14:paraId="622B27E1" w14:textId="77777777" w:rsidR="00375292" w:rsidDel="002C2082" w:rsidRDefault="00375292" w:rsidP="00375292">
      <w:pPr>
        <w:jc w:val="both"/>
        <w:rPr>
          <w:rFonts w:ascii="Verdana" w:eastAsiaTheme="minorHAnsi" w:hAnsi="Verdana" w:cs="Calibri"/>
          <w:sz w:val="20"/>
          <w:szCs w:val="20"/>
        </w:rPr>
      </w:pPr>
      <w:r w:rsidDel="002C2082">
        <w:rPr>
          <w:rFonts w:ascii="Verdana" w:eastAsia="Arial Narrow" w:hAnsi="Verdana" w:cs="Arial"/>
          <w:color w:val="000000" w:themeColor="text1"/>
          <w:sz w:val="21"/>
          <w:szCs w:val="21"/>
        </w:rPr>
        <w:t>MATRIZ DE VERIFICACIÓN DE INFORMACIÓN</w:t>
      </w:r>
      <w:r w:rsidDel="002C2082">
        <w:rPr>
          <w:rFonts w:ascii="Verdana" w:hAnsi="Verdana" w:cs="Arial"/>
          <w:sz w:val="20"/>
          <w:szCs w:val="20"/>
        </w:rPr>
        <w:t xml:space="preserve"> </w:t>
      </w:r>
      <w:r w:rsidDel="002C2082">
        <w:rPr>
          <w:rFonts w:ascii="Verdana" w:eastAsia="Arial Narrow" w:hAnsi="Verdana" w:cs="Arial"/>
          <w:color w:val="000000" w:themeColor="text1"/>
          <w:sz w:val="21"/>
          <w:szCs w:val="21"/>
        </w:rPr>
        <w:t xml:space="preserve">REQUIMIENTO 19A y 19B de 2021 y 2022. </w:t>
      </w:r>
      <w:r w:rsidDel="002C2082">
        <w:rPr>
          <w:rFonts w:ascii="Verdana" w:hAnsi="Verdana" w:cs="Arial"/>
          <w:sz w:val="21"/>
          <w:szCs w:val="21"/>
        </w:rPr>
        <w:t xml:space="preserve">HISTORIAL DE SEGUIMIENTO Y CONTROL A LOS RECURSOS DEL SISTEMA GENERAL DE PARTICIPACIONES. </w:t>
      </w:r>
      <w:r w:rsidDel="002C2082">
        <w:rPr>
          <w:rFonts w:ascii="Verdana" w:hAnsi="Verdana" w:cs="Arial"/>
          <w:sz w:val="20"/>
          <w:szCs w:val="20"/>
        </w:rPr>
        <w:t>EXPEDIENTE</w:t>
      </w:r>
      <w:r w:rsidDel="002C2082">
        <w:t xml:space="preserve"> </w:t>
      </w:r>
      <w:r w:rsidDel="002C2082">
        <w:rPr>
          <w:rFonts w:ascii="Verdana" w:hAnsi="Verdana" w:cs="Arial"/>
          <w:sz w:val="21"/>
          <w:szCs w:val="21"/>
        </w:rPr>
        <w:t>3/2023/D028-PREDI.</w:t>
      </w:r>
      <w:r w:rsidDel="002C2082">
        <w:rPr>
          <w:rFonts w:ascii="Verdana" w:eastAsia="Arial Narrow" w:hAnsi="Verdana" w:cs="Arial"/>
          <w:color w:val="000000" w:themeColor="text1"/>
          <w:sz w:val="20"/>
          <w:szCs w:val="20"/>
        </w:rPr>
        <w:t xml:space="preserve"> OFICIO CON RADICADO SIED NO</w:t>
      </w:r>
      <w:r w:rsidDel="002C2082">
        <w:rPr>
          <w:rFonts w:ascii="Verdana" w:hAnsi="Verdana" w:cs="Arial"/>
          <w:sz w:val="20"/>
          <w:szCs w:val="20"/>
        </w:rPr>
        <w:t>. 1-2023-031458</w:t>
      </w:r>
      <w:r w:rsidDel="002C2082">
        <w:rPr>
          <w:rFonts w:ascii="Verdana" w:eastAsia="Arial Narrow" w:hAnsi="Verdana" w:cs="Arial"/>
          <w:color w:val="000000" w:themeColor="text1"/>
          <w:sz w:val="20"/>
          <w:szCs w:val="20"/>
        </w:rPr>
        <w:t xml:space="preserve"> DEL 14 DE MARZO DE 2023. </w:t>
      </w:r>
      <w:r w:rsidDel="002C2082">
        <w:rPr>
          <w:rFonts w:ascii="Verdana" w:eastAsia="Arial Narrow" w:hAnsi="Verdana" w:cs="Arial"/>
          <w:color w:val="000000" w:themeColor="text1"/>
          <w:sz w:val="21"/>
          <w:szCs w:val="21"/>
        </w:rPr>
        <w:t xml:space="preserve">ENLACE: </w:t>
      </w:r>
      <w:hyperlink r:id="rId44" w:anchor="url-960061" w:history="1">
        <w:r w:rsidDel="002C2082">
          <w:rPr>
            <w:rStyle w:val="Hipervnculo"/>
            <w:rFonts w:ascii="Verdana" w:hAnsi="Verdana"/>
            <w:sz w:val="20"/>
            <w:szCs w:val="20"/>
          </w:rPr>
          <w:t>http://portalgestiondoc.minhacienda.red/PortalEmpleado/#url-960061</w:t>
        </w:r>
      </w:hyperlink>
    </w:p>
    <w:p w14:paraId="2CA5C7D1" w14:textId="77777777" w:rsidR="00375292" w:rsidRDefault="00375292" w:rsidP="00321689">
      <w:pPr>
        <w:jc w:val="both"/>
        <w:rPr>
          <w:rFonts w:ascii="Verdana" w:eastAsia="Calibri" w:hAnsi="Verdana" w:cs="Arial"/>
          <w:b/>
          <w:bCs/>
          <w:sz w:val="21"/>
          <w:szCs w:val="21"/>
        </w:rPr>
      </w:pPr>
    </w:p>
    <w:p w14:paraId="6EEF7809" w14:textId="77777777" w:rsidR="00375292" w:rsidRDefault="00375292" w:rsidP="00321689">
      <w:pPr>
        <w:jc w:val="both"/>
        <w:rPr>
          <w:rFonts w:ascii="Verdana" w:eastAsia="Calibri" w:hAnsi="Verdana" w:cs="Arial"/>
          <w:b/>
          <w:bCs/>
          <w:sz w:val="21"/>
          <w:szCs w:val="21"/>
        </w:rPr>
      </w:pPr>
    </w:p>
    <w:p w14:paraId="73DCECAC" w14:textId="77777777" w:rsidR="00375292" w:rsidRDefault="00375292" w:rsidP="00321689">
      <w:pPr>
        <w:jc w:val="both"/>
        <w:rPr>
          <w:rFonts w:ascii="Verdana" w:eastAsia="Calibri" w:hAnsi="Verdana" w:cs="Arial"/>
          <w:b/>
          <w:bCs/>
          <w:sz w:val="21"/>
          <w:szCs w:val="21"/>
        </w:rPr>
      </w:pPr>
    </w:p>
    <w:p w14:paraId="7D7088FA" w14:textId="77777777" w:rsidR="00321689" w:rsidRDefault="00321689" w:rsidP="00321689">
      <w:pPr>
        <w:jc w:val="both"/>
        <w:rPr>
          <w:rFonts w:ascii="Verdana" w:hAnsi="Verdana" w:cs="Arial"/>
          <w:b/>
          <w:bCs/>
          <w:sz w:val="21"/>
          <w:szCs w:val="21"/>
          <w:u w:val="single"/>
        </w:rPr>
      </w:pPr>
      <w:r>
        <w:rPr>
          <w:rFonts w:ascii="Verdana" w:eastAsia="Calibri" w:hAnsi="Verdana" w:cs="Arial"/>
          <w:b/>
          <w:bCs/>
          <w:sz w:val="21"/>
          <w:szCs w:val="21"/>
        </w:rPr>
        <w:lastRenderedPageBreak/>
        <w:t>EVENTO DE RIESGO</w:t>
      </w:r>
      <w:r>
        <w:rPr>
          <w:rFonts w:ascii="Verdana" w:hAnsi="Verdana" w:cs="Arial"/>
          <w:b/>
          <w:bCs/>
          <w:sz w:val="21"/>
          <w:szCs w:val="21"/>
        </w:rPr>
        <w:t xml:space="preserve"> 9.18</w:t>
      </w:r>
      <w:r w:rsidRPr="00216135">
        <w:rPr>
          <w:rFonts w:ascii="Verdana" w:hAnsi="Verdana" w:cs="Arial"/>
          <w:b/>
          <w:bCs/>
          <w:sz w:val="21"/>
          <w:szCs w:val="21"/>
          <w:u w:val="single"/>
        </w:rPr>
        <w:t xml:space="preserve">. </w:t>
      </w:r>
      <w:r w:rsidR="00695E73" w:rsidRPr="00216135">
        <w:rPr>
          <w:rFonts w:ascii="Verdana" w:hAnsi="Verdana" w:cs="Arial"/>
          <w:b/>
          <w:bCs/>
          <w:sz w:val="21"/>
          <w:szCs w:val="21"/>
          <w:u w:val="single"/>
        </w:rPr>
        <w:t>“</w:t>
      </w:r>
      <w:r w:rsidR="00695E73" w:rsidRPr="00216135">
        <w:rPr>
          <w:rFonts w:ascii="Verdana" w:hAnsi="Verdana" w:cs="Arial"/>
          <w:b/>
          <w:bCs/>
          <w:i/>
          <w:iCs/>
          <w:sz w:val="21"/>
          <w:szCs w:val="21"/>
          <w:u w:val="single"/>
        </w:rPr>
        <w:t>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r w:rsidR="00695E73" w:rsidRPr="00216135">
        <w:rPr>
          <w:rFonts w:ascii="Verdana" w:hAnsi="Verdana" w:cs="Arial"/>
          <w:b/>
          <w:bCs/>
          <w:sz w:val="21"/>
          <w:szCs w:val="21"/>
          <w:u w:val="single"/>
        </w:rPr>
        <w:t>”.</w:t>
      </w:r>
    </w:p>
    <w:p w14:paraId="6143E0D2" w14:textId="77777777" w:rsidR="006A2FFD" w:rsidRPr="00216135" w:rsidRDefault="006A2FFD" w:rsidP="00321689">
      <w:pPr>
        <w:jc w:val="both"/>
        <w:rPr>
          <w:rFonts w:ascii="Verdana" w:hAnsi="Verdana" w:cs="Arial"/>
          <w:b/>
          <w:bCs/>
          <w:sz w:val="21"/>
          <w:szCs w:val="21"/>
          <w:u w:val="single"/>
        </w:rPr>
      </w:pPr>
    </w:p>
    <w:p w14:paraId="0414B7D4" w14:textId="77777777" w:rsidR="00321689" w:rsidRDefault="004E729B" w:rsidP="00C30457">
      <w:pPr>
        <w:pStyle w:val="Sinespaciado"/>
        <w:jc w:val="both"/>
        <w:rPr>
          <w:rFonts w:ascii="Verdana" w:eastAsia="Arial Narrow" w:hAnsi="Verdana" w:cs="Arial"/>
          <w:b/>
          <w:bCs/>
          <w:color w:val="000000" w:themeColor="text1"/>
          <w:sz w:val="21"/>
          <w:szCs w:val="21"/>
        </w:rPr>
      </w:pPr>
      <w:r>
        <w:rPr>
          <w:rFonts w:ascii="Verdana" w:eastAsia="Arial Narrow" w:hAnsi="Verdana" w:cs="Arial"/>
          <w:b/>
          <w:bCs/>
          <w:color w:val="000000" w:themeColor="text1"/>
          <w:sz w:val="21"/>
          <w:szCs w:val="21"/>
        </w:rPr>
        <w:t xml:space="preserve">1. </w:t>
      </w:r>
      <w:r w:rsidR="00321689">
        <w:rPr>
          <w:rFonts w:ascii="Verdana" w:eastAsia="Arial Narrow" w:hAnsi="Verdana" w:cs="Arial"/>
          <w:b/>
          <w:bCs/>
          <w:color w:val="000000" w:themeColor="text1"/>
          <w:sz w:val="21"/>
          <w:szCs w:val="21"/>
        </w:rPr>
        <w:t>Baja ejecución en los recursos de la subcuenta salud pública.</w:t>
      </w:r>
    </w:p>
    <w:p w14:paraId="29DCE3D5" w14:textId="77777777" w:rsidR="00321689" w:rsidRDefault="00321689" w:rsidP="00321689">
      <w:pPr>
        <w:pStyle w:val="Sinespaciado"/>
        <w:ind w:left="66"/>
        <w:jc w:val="both"/>
        <w:rPr>
          <w:rFonts w:ascii="Verdana" w:eastAsia="Arial Narrow" w:hAnsi="Verdana" w:cs="Arial"/>
          <w:b/>
          <w:bCs/>
          <w:color w:val="000000" w:themeColor="text1"/>
          <w:sz w:val="21"/>
          <w:szCs w:val="21"/>
        </w:rPr>
      </w:pPr>
    </w:p>
    <w:p w14:paraId="1A1D357A" w14:textId="77777777" w:rsidR="00321689" w:rsidRDefault="00321689" w:rsidP="00321689">
      <w:pPr>
        <w:pStyle w:val="Sinespaciado"/>
        <w:ind w:left="66"/>
        <w:jc w:val="both"/>
        <w:rPr>
          <w:rFonts w:ascii="Verdana" w:hAnsi="Verdana" w:cs="Arial"/>
          <w:sz w:val="21"/>
          <w:szCs w:val="21"/>
        </w:rPr>
      </w:pPr>
      <w:r>
        <w:rPr>
          <w:rFonts w:ascii="Verdana" w:hAnsi="Verdana" w:cs="Arial"/>
          <w:sz w:val="21"/>
          <w:szCs w:val="21"/>
        </w:rPr>
        <w:t>En relación con el componente de Salud Pública para las vigencias 2021 y 2022, se evidencia baja ejecución. Para la vigencia 2021, se programaron recursos por $16.486 millones y se comprometieron $11.367 millones correspondientes al 69%; ahora bien, si se revisan los pagos efectivos ($9.115 millones), el porcentaje se reduce al 55%. De igual forma, en la vigencia 2022 el porcentaje de ejecución fue de 82%, 13 puntos porcentuales superior al de la vigencia anterior</w:t>
      </w:r>
      <w:r w:rsidR="00BA6FA9">
        <w:rPr>
          <w:rFonts w:ascii="Verdana" w:hAnsi="Verdana" w:cs="Arial"/>
          <w:sz w:val="21"/>
          <w:szCs w:val="21"/>
        </w:rPr>
        <w:t>, sin embargo</w:t>
      </w:r>
      <w:r w:rsidR="00674702">
        <w:rPr>
          <w:rFonts w:ascii="Verdana" w:hAnsi="Verdana" w:cs="Arial"/>
          <w:sz w:val="21"/>
          <w:szCs w:val="21"/>
        </w:rPr>
        <w:t>,</w:t>
      </w:r>
      <w:r w:rsidR="00BA6FA9">
        <w:rPr>
          <w:rFonts w:ascii="Verdana" w:hAnsi="Verdana" w:cs="Arial"/>
          <w:sz w:val="21"/>
          <w:szCs w:val="21"/>
        </w:rPr>
        <w:t xml:space="preserve"> resulta insuficiente para dar cumplimiento con las metas del plan de acci</w:t>
      </w:r>
      <w:r w:rsidR="00D2082B">
        <w:rPr>
          <w:rFonts w:ascii="Verdana" w:hAnsi="Verdana" w:cs="Arial"/>
          <w:sz w:val="21"/>
          <w:szCs w:val="21"/>
        </w:rPr>
        <w:t>ón en salud.</w:t>
      </w:r>
    </w:p>
    <w:p w14:paraId="6D994DA7" w14:textId="77777777" w:rsidR="00321689" w:rsidRDefault="00321689" w:rsidP="00321689">
      <w:pPr>
        <w:pStyle w:val="Sinespaciado"/>
        <w:ind w:left="66"/>
        <w:jc w:val="both"/>
        <w:rPr>
          <w:rFonts w:ascii="Verdana" w:hAnsi="Verdana" w:cs="Arial"/>
        </w:rPr>
      </w:pPr>
    </w:p>
    <w:p w14:paraId="2D44F2AF" w14:textId="77777777" w:rsidR="00321689" w:rsidRDefault="00321689" w:rsidP="00321689">
      <w:pPr>
        <w:pStyle w:val="Sinespaciado"/>
        <w:jc w:val="both"/>
        <w:rPr>
          <w:rFonts w:ascii="Verdana" w:hAnsi="Verdana" w:cs="Arial"/>
        </w:rPr>
      </w:pPr>
      <w:r>
        <w:rPr>
          <w:noProof/>
          <w:lang w:eastAsia="es-CO"/>
        </w:rPr>
        <w:drawing>
          <wp:inline distT="0" distB="0" distL="0" distR="0" wp14:anchorId="69F25B88" wp14:editId="11AE5A22">
            <wp:extent cx="5607050" cy="1047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31015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7050" cy="1047750"/>
                    </a:xfrm>
                    <a:prstGeom prst="rect">
                      <a:avLst/>
                    </a:prstGeom>
                    <a:noFill/>
                    <a:ln>
                      <a:noFill/>
                    </a:ln>
                  </pic:spPr>
                </pic:pic>
              </a:graphicData>
            </a:graphic>
          </wp:inline>
        </w:drawing>
      </w:r>
    </w:p>
    <w:p w14:paraId="491EF685" w14:textId="77777777" w:rsidR="00321689" w:rsidRDefault="00321689" w:rsidP="001D3EF7">
      <w:pPr>
        <w:pStyle w:val="Sinespaciado"/>
        <w:jc w:val="center"/>
        <w:rPr>
          <w:rFonts w:ascii="Verdana" w:eastAsia="Times New Roman" w:hAnsi="Verdana" w:cs="Arial"/>
          <w:color w:val="000000"/>
          <w:sz w:val="18"/>
          <w:szCs w:val="18"/>
          <w:lang w:eastAsia="es-CO"/>
        </w:rPr>
      </w:pPr>
      <w:r>
        <w:rPr>
          <w:rFonts w:ascii="Verdana" w:eastAsia="Times New Roman" w:hAnsi="Verdana" w:cs="Arial"/>
          <w:color w:val="000000"/>
          <w:sz w:val="18"/>
          <w:szCs w:val="18"/>
          <w:lang w:eastAsia="es-CO"/>
        </w:rPr>
        <w:t>Fuente: Elaboración DAF con información -  Entidad territorial.</w:t>
      </w:r>
    </w:p>
    <w:p w14:paraId="43E42914" w14:textId="77777777" w:rsidR="00321689" w:rsidRDefault="00321689" w:rsidP="00321689">
      <w:pPr>
        <w:pStyle w:val="Sinespaciado"/>
        <w:jc w:val="both"/>
        <w:rPr>
          <w:rFonts w:ascii="Verdana" w:hAnsi="Verdana" w:cs="Arial"/>
        </w:rPr>
      </w:pPr>
    </w:p>
    <w:p w14:paraId="2308B929" w14:textId="77777777" w:rsidR="00321689" w:rsidRDefault="00321689" w:rsidP="00321689">
      <w:pPr>
        <w:pStyle w:val="Sinespaciado"/>
        <w:jc w:val="both"/>
        <w:rPr>
          <w:rFonts w:ascii="Verdana" w:hAnsi="Verdana" w:cs="Arial"/>
          <w:sz w:val="21"/>
          <w:szCs w:val="21"/>
        </w:rPr>
      </w:pPr>
      <w:r>
        <w:rPr>
          <w:rFonts w:ascii="Verdana" w:hAnsi="Verdana" w:cs="Arial"/>
          <w:sz w:val="21"/>
          <w:szCs w:val="21"/>
        </w:rPr>
        <w:t xml:space="preserve">Por su parte, al revisar los rubros y las fuentes que generan el mayor impacto en la baja ejecución, se identificó la recurrencia en la generación de recursos del balance, en las </w:t>
      </w:r>
      <w:r w:rsidR="00B879C0">
        <w:rPr>
          <w:rFonts w:ascii="Verdana" w:hAnsi="Verdana" w:cs="Arial"/>
          <w:sz w:val="21"/>
          <w:szCs w:val="21"/>
        </w:rPr>
        <w:t>ú</w:t>
      </w:r>
      <w:r>
        <w:rPr>
          <w:rFonts w:ascii="Verdana" w:hAnsi="Verdana" w:cs="Arial"/>
          <w:sz w:val="21"/>
          <w:szCs w:val="21"/>
        </w:rPr>
        <w:t>ltimas vigencias, afectando de esta forma el cumplimiento de las metas planteadas en los diferentes programas de la Salud Pública enmarcadas en el Plan Territorial de salud.</w:t>
      </w:r>
    </w:p>
    <w:p w14:paraId="20B42C05" w14:textId="77777777" w:rsidR="00321689" w:rsidRDefault="00321689" w:rsidP="00321689">
      <w:pPr>
        <w:pStyle w:val="Sinespaciado"/>
        <w:jc w:val="both"/>
        <w:rPr>
          <w:rFonts w:ascii="Verdana" w:hAnsi="Verdana" w:cs="Arial"/>
          <w:sz w:val="21"/>
          <w:szCs w:val="21"/>
        </w:rPr>
      </w:pPr>
      <w:r>
        <w:rPr>
          <w:rFonts w:ascii="Verdana" w:hAnsi="Verdana" w:cs="Arial"/>
          <w:sz w:val="21"/>
          <w:szCs w:val="21"/>
        </w:rPr>
        <w:t xml:space="preserve"> </w:t>
      </w:r>
    </w:p>
    <w:p w14:paraId="3B09724A" w14:textId="77777777" w:rsidR="00321689" w:rsidRDefault="00321689" w:rsidP="00321689">
      <w:pPr>
        <w:jc w:val="both"/>
        <w:rPr>
          <w:rFonts w:ascii="Verdana" w:eastAsia="Calibri" w:hAnsi="Verdana" w:cs="Arial"/>
          <w:b/>
          <w:sz w:val="21"/>
          <w:szCs w:val="21"/>
        </w:rPr>
      </w:pPr>
      <w:r>
        <w:rPr>
          <w:rFonts w:ascii="Verdana" w:eastAsia="Calibri" w:hAnsi="Verdana" w:cs="Arial"/>
          <w:b/>
          <w:sz w:val="21"/>
          <w:szCs w:val="21"/>
        </w:rPr>
        <w:t>Evidencias:</w:t>
      </w:r>
    </w:p>
    <w:p w14:paraId="74725CBE" w14:textId="77777777" w:rsidR="00321689" w:rsidRDefault="00321689" w:rsidP="00321689">
      <w:pPr>
        <w:jc w:val="both"/>
        <w:rPr>
          <w:rFonts w:ascii="Verdana" w:eastAsia="Arial Narrow" w:hAnsi="Verdana" w:cs="Arial"/>
          <w:b/>
          <w:bCs/>
          <w:color w:val="000000" w:themeColor="text1"/>
          <w:sz w:val="21"/>
          <w:szCs w:val="21"/>
        </w:rPr>
      </w:pPr>
    </w:p>
    <w:p w14:paraId="625CD963" w14:textId="77777777" w:rsidR="00321689" w:rsidRDefault="00321689" w:rsidP="00321689">
      <w:pPr>
        <w:jc w:val="both"/>
        <w:rPr>
          <w:rFonts w:ascii="Verdana" w:eastAsiaTheme="minorHAnsi" w:hAnsi="Verdana" w:cs="Calibri"/>
          <w:sz w:val="20"/>
          <w:szCs w:val="20"/>
        </w:rPr>
      </w:pPr>
      <w:r>
        <w:rPr>
          <w:rFonts w:ascii="Verdana" w:eastAsia="Arial Narrow" w:hAnsi="Verdana" w:cs="Arial"/>
          <w:color w:val="000000" w:themeColor="text1"/>
          <w:sz w:val="21"/>
          <w:szCs w:val="21"/>
        </w:rPr>
        <w:t>MATRIZ DE VERIFICACIÓN DE INFORMACIÓN</w:t>
      </w:r>
      <w:r>
        <w:rPr>
          <w:rFonts w:ascii="Verdana" w:hAnsi="Verdana" w:cs="Arial"/>
          <w:sz w:val="20"/>
          <w:szCs w:val="20"/>
        </w:rPr>
        <w:t xml:space="preserve"> </w:t>
      </w:r>
      <w:r>
        <w:rPr>
          <w:rFonts w:ascii="Verdana" w:eastAsia="Arial Narrow" w:hAnsi="Verdana" w:cs="Arial"/>
          <w:color w:val="000000" w:themeColor="text1"/>
          <w:sz w:val="21"/>
          <w:szCs w:val="21"/>
        </w:rPr>
        <w:t xml:space="preserve">REQUIMIENTO 2 y 3 de 2021 y 2022. </w:t>
      </w:r>
      <w:r>
        <w:rPr>
          <w:rFonts w:ascii="Verdana" w:hAnsi="Verdana" w:cs="Arial"/>
          <w:sz w:val="21"/>
          <w:szCs w:val="21"/>
        </w:rPr>
        <w:t xml:space="preserve">HISTORIAL DE SEGUIMIENTO Y CONTROL A LOS RECURSOS DEL SISTEMA GENERAL DE PARTICIPACIONES. </w:t>
      </w:r>
      <w:r>
        <w:rPr>
          <w:rFonts w:ascii="Verdana" w:hAnsi="Verdana" w:cs="Arial"/>
          <w:sz w:val="20"/>
          <w:szCs w:val="20"/>
        </w:rPr>
        <w:t>EXPEDIENTE</w:t>
      </w:r>
      <w:r>
        <w:t xml:space="preserve"> </w:t>
      </w:r>
      <w:r>
        <w:rPr>
          <w:rFonts w:ascii="Verdana" w:hAnsi="Verdana" w:cs="Arial"/>
          <w:sz w:val="21"/>
          <w:szCs w:val="21"/>
        </w:rPr>
        <w:t>3/2023/D028-PREDI.</w:t>
      </w:r>
      <w:r>
        <w:rPr>
          <w:rFonts w:ascii="Verdana" w:eastAsia="Arial Narrow" w:hAnsi="Verdana" w:cs="Arial"/>
          <w:color w:val="000000" w:themeColor="text1"/>
          <w:sz w:val="20"/>
          <w:szCs w:val="20"/>
        </w:rPr>
        <w:t xml:space="preserve"> OFICIO CON RADICADO SIED NO</w:t>
      </w:r>
      <w:r>
        <w:rPr>
          <w:rFonts w:ascii="Verdana" w:hAnsi="Verdana" w:cs="Arial"/>
          <w:sz w:val="20"/>
          <w:szCs w:val="20"/>
        </w:rPr>
        <w:t>. 1-2023-031458</w:t>
      </w:r>
      <w:r>
        <w:rPr>
          <w:rFonts w:ascii="Verdana" w:eastAsia="Arial Narrow" w:hAnsi="Verdana" w:cs="Arial"/>
          <w:color w:val="000000" w:themeColor="text1"/>
          <w:sz w:val="20"/>
          <w:szCs w:val="20"/>
        </w:rPr>
        <w:t xml:space="preserve"> DEL 14 DE MARZO DE 2023. </w:t>
      </w:r>
      <w:r>
        <w:rPr>
          <w:rFonts w:ascii="Verdana" w:eastAsia="Arial Narrow" w:hAnsi="Verdana" w:cs="Arial"/>
          <w:color w:val="000000" w:themeColor="text1"/>
          <w:sz w:val="21"/>
          <w:szCs w:val="21"/>
        </w:rPr>
        <w:t xml:space="preserve">ENLACE: </w:t>
      </w:r>
      <w:hyperlink r:id="rId46" w:anchor="url-960061" w:history="1">
        <w:r>
          <w:rPr>
            <w:rStyle w:val="Hipervnculo"/>
            <w:rFonts w:ascii="Verdana" w:hAnsi="Verdana"/>
            <w:sz w:val="20"/>
            <w:szCs w:val="20"/>
          </w:rPr>
          <w:t>http://portalgestiondoc.minhacienda.red/PortalEmpleado/#url-960061</w:t>
        </w:r>
      </w:hyperlink>
    </w:p>
    <w:p w14:paraId="1F0C8841" w14:textId="77777777" w:rsidR="00321689" w:rsidRDefault="00321689" w:rsidP="00321689">
      <w:pPr>
        <w:jc w:val="both"/>
        <w:rPr>
          <w:rFonts w:ascii="Verdana" w:hAnsi="Verdana"/>
          <w:sz w:val="20"/>
          <w:szCs w:val="20"/>
        </w:rPr>
      </w:pPr>
    </w:p>
    <w:p w14:paraId="3ED3DE8F" w14:textId="77777777" w:rsidR="00321689" w:rsidRPr="00C30457" w:rsidRDefault="004E729B" w:rsidP="00C30457">
      <w:pPr>
        <w:jc w:val="both"/>
        <w:rPr>
          <w:rFonts w:ascii="Verdana" w:hAnsi="Verdana" w:cs="Arial"/>
          <w:b/>
          <w:sz w:val="21"/>
          <w:szCs w:val="21"/>
        </w:rPr>
      </w:pPr>
      <w:r>
        <w:rPr>
          <w:rFonts w:ascii="Verdana" w:hAnsi="Verdana" w:cs="Arial"/>
          <w:b/>
          <w:sz w:val="21"/>
          <w:szCs w:val="21"/>
        </w:rPr>
        <w:t xml:space="preserve">2. </w:t>
      </w:r>
      <w:r w:rsidR="00321689" w:rsidRPr="00C30457">
        <w:rPr>
          <w:rFonts w:ascii="Verdana" w:hAnsi="Verdana" w:cs="Arial"/>
          <w:b/>
          <w:sz w:val="21"/>
          <w:szCs w:val="21"/>
        </w:rPr>
        <w:t>Incumplimiento de los estándares de calidad, componentes misionales y capacidades básicas del Laboratorio de Salud Pública del Departamento del Cesar.</w:t>
      </w:r>
    </w:p>
    <w:p w14:paraId="610DEF96" w14:textId="77777777" w:rsidR="00321689" w:rsidRPr="00DD3852" w:rsidRDefault="00321689" w:rsidP="00321689">
      <w:pPr>
        <w:jc w:val="both"/>
        <w:rPr>
          <w:rFonts w:ascii="Verdana" w:hAnsi="Verdana" w:cs="Arial"/>
          <w:sz w:val="21"/>
          <w:szCs w:val="21"/>
        </w:rPr>
      </w:pPr>
    </w:p>
    <w:p w14:paraId="6EAD2CF3" w14:textId="77777777" w:rsidR="00321689" w:rsidRPr="00DD3852" w:rsidRDefault="00321689" w:rsidP="00321689">
      <w:pPr>
        <w:jc w:val="both"/>
        <w:rPr>
          <w:rFonts w:ascii="Verdana" w:hAnsi="Verdana" w:cs="Arial"/>
          <w:sz w:val="21"/>
          <w:szCs w:val="21"/>
        </w:rPr>
      </w:pPr>
      <w:r w:rsidRPr="00DD3852">
        <w:rPr>
          <w:rFonts w:ascii="Verdana" w:hAnsi="Verdana" w:cs="Arial"/>
          <w:sz w:val="21"/>
          <w:szCs w:val="21"/>
        </w:rPr>
        <w:t>De conformidad con lo establecido en el artículo 15 del Decreto 2323 de 2006 “</w:t>
      </w:r>
      <w:r w:rsidRPr="00854D15">
        <w:rPr>
          <w:rFonts w:ascii="Verdana" w:hAnsi="Verdana" w:cs="Arial"/>
          <w:i/>
          <w:iCs/>
          <w:sz w:val="21"/>
          <w:szCs w:val="21"/>
        </w:rPr>
        <w:t>por el cual se reglamenta parcialmente la Ley 9ª de 1979 en relación con la Red Nacional de Laboratorios y se dictan otras disposiciones</w:t>
      </w:r>
      <w:r w:rsidRPr="00DD3852">
        <w:rPr>
          <w:rFonts w:ascii="Verdana" w:hAnsi="Verdana" w:cs="Arial"/>
          <w:sz w:val="21"/>
          <w:szCs w:val="21"/>
        </w:rPr>
        <w:t xml:space="preserve">” la </w:t>
      </w:r>
      <w:r w:rsidR="00A4470B">
        <w:rPr>
          <w:rFonts w:ascii="Verdana" w:hAnsi="Verdana" w:cs="Arial"/>
          <w:sz w:val="21"/>
          <w:szCs w:val="21"/>
        </w:rPr>
        <w:t>D</w:t>
      </w:r>
      <w:r w:rsidRPr="00DD3852">
        <w:rPr>
          <w:rFonts w:ascii="Verdana" w:hAnsi="Verdana" w:cs="Arial"/>
          <w:sz w:val="21"/>
          <w:szCs w:val="21"/>
        </w:rPr>
        <w:t xml:space="preserve">irección de los Laboratorios de Salud Pública </w:t>
      </w:r>
      <w:r w:rsidR="00A4470B">
        <w:rPr>
          <w:rFonts w:ascii="Verdana" w:hAnsi="Verdana" w:cs="Arial"/>
          <w:sz w:val="21"/>
          <w:szCs w:val="21"/>
        </w:rPr>
        <w:t>D</w:t>
      </w:r>
      <w:r w:rsidRPr="00DD3852">
        <w:rPr>
          <w:rFonts w:ascii="Verdana" w:hAnsi="Verdana" w:cs="Arial"/>
          <w:sz w:val="21"/>
          <w:szCs w:val="21"/>
        </w:rPr>
        <w:t xml:space="preserve">epartamentales y del Distrito Capital estará a cargo de las </w:t>
      </w:r>
      <w:r w:rsidRPr="00DD3852">
        <w:rPr>
          <w:rFonts w:ascii="Verdana" w:hAnsi="Verdana" w:cs="Arial"/>
          <w:sz w:val="21"/>
          <w:szCs w:val="21"/>
        </w:rPr>
        <w:lastRenderedPageBreak/>
        <w:t xml:space="preserve">correspondientes direcciones territoriales de salud, las cuales deberán garantizar el cumplimiento de las competencias en materia de vigilancia en Salud Pública, vigilancia y control sanitario. Adicionalmente, el parágrafo del artículo 20 establece: </w:t>
      </w:r>
      <w:r w:rsidRPr="00854D15">
        <w:rPr>
          <w:rFonts w:ascii="Verdana" w:hAnsi="Verdana" w:cs="Arial"/>
          <w:i/>
          <w:iCs/>
          <w:sz w:val="21"/>
          <w:szCs w:val="21"/>
        </w:rPr>
        <w:t>“[…] Los Laboratorios Nacionales de Referencia y los laboratorios de salud pública departamentales y del distrito capital deberán orientar su gestión para el cumplimiento progresivo de los estándares de calidad requeridos para su acreditación</w:t>
      </w:r>
      <w:r w:rsidRPr="00DD3852">
        <w:rPr>
          <w:rFonts w:ascii="Verdana" w:hAnsi="Verdana" w:cs="Arial"/>
          <w:sz w:val="21"/>
          <w:szCs w:val="21"/>
        </w:rPr>
        <w:t>”.</w:t>
      </w:r>
    </w:p>
    <w:p w14:paraId="04A24FDB" w14:textId="77777777" w:rsidR="00321689" w:rsidRPr="00DD3852" w:rsidRDefault="00321689" w:rsidP="00DD3852">
      <w:pPr>
        <w:jc w:val="both"/>
        <w:rPr>
          <w:rFonts w:ascii="Verdana" w:hAnsi="Verdana" w:cs="Arial"/>
          <w:sz w:val="21"/>
          <w:szCs w:val="21"/>
        </w:rPr>
      </w:pPr>
    </w:p>
    <w:p w14:paraId="61DE357C" w14:textId="77777777" w:rsidR="00321689" w:rsidRPr="00DD3852" w:rsidRDefault="00321689" w:rsidP="00321689">
      <w:pPr>
        <w:jc w:val="both"/>
        <w:rPr>
          <w:rFonts w:ascii="Verdana" w:hAnsi="Verdana" w:cs="Arial"/>
          <w:sz w:val="21"/>
          <w:szCs w:val="21"/>
        </w:rPr>
      </w:pPr>
      <w:r w:rsidRPr="00DD3852">
        <w:rPr>
          <w:rFonts w:ascii="Verdana" w:hAnsi="Verdana" w:cs="Arial"/>
          <w:sz w:val="21"/>
          <w:szCs w:val="21"/>
        </w:rPr>
        <w:t>Por su parte, el artículo 14 de la Resolución 1619 de 2015 dispone: “</w:t>
      </w:r>
      <w:r w:rsidRPr="00854D15">
        <w:rPr>
          <w:rFonts w:ascii="Verdana" w:hAnsi="Verdana" w:cs="Arial"/>
          <w:i/>
          <w:iCs/>
          <w:sz w:val="21"/>
          <w:szCs w:val="21"/>
        </w:rPr>
        <w:t>Las Entidades Territoriales de Salud, para ejercer las acciones de inspección, vigilancia y control en el marco de su competencia, adoptarán los procesos y procedimientos definidos por el Instituto Nacional de Vigilancia de Medicamentos y Alimentos - INVIMA y el Instituto Nacional de Salud – INS</w:t>
      </w:r>
      <w:r w:rsidRPr="00DD3852">
        <w:rPr>
          <w:rFonts w:ascii="Verdana" w:hAnsi="Verdana" w:cs="Arial"/>
          <w:sz w:val="21"/>
          <w:szCs w:val="21"/>
        </w:rPr>
        <w:t>”.</w:t>
      </w:r>
    </w:p>
    <w:p w14:paraId="24B6C757" w14:textId="77777777" w:rsidR="00321689" w:rsidRPr="00DD3852" w:rsidRDefault="00321689" w:rsidP="00321689">
      <w:pPr>
        <w:jc w:val="both"/>
        <w:rPr>
          <w:rFonts w:ascii="Verdana" w:hAnsi="Verdana" w:cs="Arial"/>
          <w:sz w:val="21"/>
          <w:szCs w:val="21"/>
        </w:rPr>
      </w:pPr>
    </w:p>
    <w:p w14:paraId="130A20A9" w14:textId="77777777" w:rsidR="00321689" w:rsidRPr="00DD3852" w:rsidRDefault="00321689" w:rsidP="00321689">
      <w:pPr>
        <w:jc w:val="both"/>
        <w:rPr>
          <w:rFonts w:ascii="Verdana" w:hAnsi="Verdana" w:cs="Arial"/>
          <w:sz w:val="21"/>
          <w:szCs w:val="21"/>
        </w:rPr>
      </w:pPr>
      <w:r w:rsidRPr="00DD3852">
        <w:rPr>
          <w:rFonts w:ascii="Verdana" w:hAnsi="Verdana" w:cs="Arial"/>
          <w:noProof/>
          <w:sz w:val="21"/>
          <w:szCs w:val="21"/>
          <w:lang w:val="es-CO" w:eastAsia="es-CO"/>
        </w:rPr>
        <w:drawing>
          <wp:inline distT="0" distB="0" distL="0" distR="0" wp14:anchorId="68C48924" wp14:editId="56CE0C28">
            <wp:extent cx="5607050" cy="1282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31015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07050" cy="1282700"/>
                    </a:xfrm>
                    <a:prstGeom prst="rect">
                      <a:avLst/>
                    </a:prstGeom>
                    <a:noFill/>
                    <a:ln>
                      <a:noFill/>
                    </a:ln>
                  </pic:spPr>
                </pic:pic>
              </a:graphicData>
            </a:graphic>
          </wp:inline>
        </w:drawing>
      </w:r>
    </w:p>
    <w:p w14:paraId="0693B4E3" w14:textId="77777777" w:rsidR="00321689" w:rsidRPr="00DD3852" w:rsidRDefault="00321689" w:rsidP="00321689">
      <w:pPr>
        <w:jc w:val="both"/>
        <w:rPr>
          <w:rFonts w:ascii="Verdana" w:hAnsi="Verdana" w:cs="Arial"/>
          <w:sz w:val="21"/>
          <w:szCs w:val="21"/>
        </w:rPr>
      </w:pPr>
    </w:p>
    <w:p w14:paraId="6B8F127F" w14:textId="77777777" w:rsidR="00321689" w:rsidRPr="00DD3852" w:rsidRDefault="00321689" w:rsidP="00321689">
      <w:pPr>
        <w:jc w:val="both"/>
        <w:rPr>
          <w:rFonts w:ascii="Verdana" w:hAnsi="Verdana" w:cs="Arial"/>
          <w:sz w:val="21"/>
          <w:szCs w:val="21"/>
        </w:rPr>
      </w:pPr>
      <w:r w:rsidRPr="00DD3852">
        <w:rPr>
          <w:rFonts w:ascii="Verdana" w:hAnsi="Verdana" w:cs="Arial"/>
          <w:sz w:val="21"/>
          <w:szCs w:val="21"/>
        </w:rPr>
        <w:t>Ahora bien, de acuerdo al Informe de la situación del Laboratorio de Salud Pública del Departamento del Cesar al cierre de la vigencia 2022, remitido por el Ministerio de Salud y Protección Social mediante radicado No. 1-2023-037865 se evidencia que el LSP del Departamento según el Instituto Nacional de Salud continúa en seguimiento</w:t>
      </w:r>
      <w:r w:rsidRPr="00854D15">
        <w:rPr>
          <w:rFonts w:ascii="Verdana" w:hAnsi="Verdana" w:cs="Arial"/>
          <w:i/>
          <w:iCs/>
          <w:sz w:val="21"/>
          <w:szCs w:val="21"/>
        </w:rPr>
        <w:t>: “[…] El INS reporta en su informe de cierre para el 2022 que el LSP  de Cesar  se encuentra en plan de mejoramiento con visita de seguimiento virtual, fue asignado para realización de detección del virus de Monkey Pox (Viruela Símica . El porcentaje de cumplimiento de estándar de calidad es de63,1%”</w:t>
      </w:r>
      <w:r w:rsidRPr="00DD3852">
        <w:rPr>
          <w:rFonts w:ascii="Verdana" w:hAnsi="Verdana" w:cs="Arial"/>
          <w:sz w:val="21"/>
          <w:szCs w:val="21"/>
        </w:rPr>
        <w:t xml:space="preserve"> </w:t>
      </w:r>
    </w:p>
    <w:p w14:paraId="6AC58E84" w14:textId="77777777" w:rsidR="00321689" w:rsidRPr="00DD3852" w:rsidRDefault="00321689" w:rsidP="00321689">
      <w:pPr>
        <w:jc w:val="both"/>
        <w:rPr>
          <w:rFonts w:ascii="Verdana" w:hAnsi="Verdana" w:cs="Arial"/>
          <w:sz w:val="21"/>
          <w:szCs w:val="21"/>
        </w:rPr>
      </w:pPr>
    </w:p>
    <w:p w14:paraId="37F94BE0" w14:textId="77777777" w:rsidR="00321689" w:rsidRPr="00DD3852" w:rsidRDefault="00321689" w:rsidP="00321689">
      <w:pPr>
        <w:jc w:val="both"/>
        <w:rPr>
          <w:rFonts w:ascii="Verdana" w:hAnsi="Verdana" w:cs="Arial"/>
          <w:sz w:val="21"/>
          <w:szCs w:val="21"/>
        </w:rPr>
      </w:pPr>
      <w:r w:rsidRPr="00DD3852">
        <w:rPr>
          <w:rFonts w:ascii="Verdana" w:hAnsi="Verdana" w:cs="Arial"/>
          <w:sz w:val="21"/>
          <w:szCs w:val="21"/>
        </w:rPr>
        <w:t>Por su parte el INVIMA emitió el siguiente concepto:</w:t>
      </w:r>
    </w:p>
    <w:p w14:paraId="71E095D5" w14:textId="77777777" w:rsidR="00321689" w:rsidRPr="00DD3852" w:rsidRDefault="00321689" w:rsidP="00321689">
      <w:pPr>
        <w:jc w:val="both"/>
        <w:rPr>
          <w:rFonts w:ascii="Verdana" w:hAnsi="Verdana" w:cs="Arial"/>
          <w:sz w:val="21"/>
          <w:szCs w:val="21"/>
        </w:rPr>
      </w:pPr>
    </w:p>
    <w:p w14:paraId="4FE0F4D4" w14:textId="77777777" w:rsidR="00321689" w:rsidRPr="001D3EF7" w:rsidRDefault="00321689" w:rsidP="001D3EF7">
      <w:pPr>
        <w:ind w:left="567"/>
        <w:jc w:val="both"/>
        <w:rPr>
          <w:rFonts w:ascii="Verdana" w:hAnsi="Verdana" w:cs="Arial"/>
          <w:i/>
          <w:iCs/>
          <w:sz w:val="18"/>
          <w:szCs w:val="18"/>
        </w:rPr>
      </w:pPr>
      <w:r w:rsidRPr="001D3EF7">
        <w:rPr>
          <w:rFonts w:ascii="Verdana" w:hAnsi="Verdana" w:cs="Arial"/>
          <w:i/>
          <w:iCs/>
          <w:sz w:val="18"/>
          <w:szCs w:val="18"/>
        </w:rPr>
        <w:t>“[…</w:t>
      </w:r>
      <w:r w:rsidR="00AE2FEE" w:rsidRPr="001D3EF7">
        <w:rPr>
          <w:rFonts w:ascii="Verdana" w:hAnsi="Verdana" w:cs="Arial"/>
          <w:i/>
          <w:iCs/>
          <w:sz w:val="18"/>
          <w:szCs w:val="18"/>
        </w:rPr>
        <w:t xml:space="preserve">] </w:t>
      </w:r>
      <w:r w:rsidRPr="001D3EF7">
        <w:rPr>
          <w:rFonts w:ascii="Verdana" w:hAnsi="Verdana" w:cs="Arial"/>
          <w:i/>
          <w:iCs/>
          <w:sz w:val="18"/>
          <w:szCs w:val="18"/>
        </w:rPr>
        <w:t>El Invima reporta que persiste el bajo desempeño del Laboratorio de Salud Pública del Departamento del Cesar frente al reporte de los resultados de análisis de muestras de alimentos y bebidas que se deberían realizar por parte del laboratorio en virtud de sus funciones de apoyo a las actividades de Inspección, Vigilancia y Control de los productos de uso y consumo humano enmarcados en el contexto normativo de la Resolución 1229 de 2013, conforme a sus competencias.”</w:t>
      </w:r>
    </w:p>
    <w:p w14:paraId="041D4AF3" w14:textId="77777777" w:rsidR="00321689" w:rsidRPr="00DD3852" w:rsidRDefault="00321689" w:rsidP="00321689">
      <w:pPr>
        <w:jc w:val="both"/>
        <w:rPr>
          <w:rFonts w:ascii="Verdana" w:hAnsi="Verdana" w:cs="Arial"/>
          <w:sz w:val="21"/>
          <w:szCs w:val="21"/>
        </w:rPr>
      </w:pPr>
    </w:p>
    <w:p w14:paraId="72D10F43" w14:textId="77777777" w:rsidR="00321689" w:rsidRPr="00DD3852" w:rsidRDefault="00321689" w:rsidP="00321689">
      <w:pPr>
        <w:jc w:val="both"/>
        <w:rPr>
          <w:rFonts w:ascii="Verdana" w:hAnsi="Verdana" w:cs="Arial"/>
          <w:sz w:val="21"/>
          <w:szCs w:val="21"/>
        </w:rPr>
      </w:pPr>
      <w:r w:rsidRPr="00DD3852">
        <w:rPr>
          <w:rFonts w:ascii="Verdana" w:hAnsi="Verdana" w:cs="Arial"/>
          <w:sz w:val="21"/>
          <w:szCs w:val="21"/>
        </w:rPr>
        <w:t>Lo anterior, evidencia  incumplimiento a los requisitos indispensables para desarrollar las funciones esenciales en Salud Pública en el territorio, la afectación del correcto funcionamiento del Laboratorio de Salud Pública Departamental, de su adecuada incorporación a la Red Nacional de Laboratorios de Salud Pública incidiendo en el desarrollo de actividades de vigilancia en Salud Pública, prestación de servicios, gestión de la calidad e investigación, así como también de su efectivo desarrollo de acciones técnico administrativas realizadas frente a la atención de las personas y el medio ambiente.</w:t>
      </w:r>
    </w:p>
    <w:p w14:paraId="59436603" w14:textId="77777777" w:rsidR="00560C52" w:rsidRDefault="00560C52" w:rsidP="00560C52">
      <w:pPr>
        <w:jc w:val="both"/>
        <w:rPr>
          <w:rFonts w:ascii="Verdana" w:hAnsi="Verdana" w:cs="Arial"/>
          <w:sz w:val="21"/>
          <w:szCs w:val="21"/>
        </w:rPr>
      </w:pPr>
    </w:p>
    <w:p w14:paraId="09AD77DB" w14:textId="77777777" w:rsidR="00375292" w:rsidRDefault="00375292" w:rsidP="00560C52">
      <w:pPr>
        <w:jc w:val="both"/>
        <w:rPr>
          <w:rFonts w:ascii="Verdana" w:hAnsi="Verdana" w:cs="Arial"/>
          <w:sz w:val="21"/>
          <w:szCs w:val="21"/>
        </w:rPr>
      </w:pPr>
    </w:p>
    <w:p w14:paraId="5EDBBC36" w14:textId="77777777" w:rsidR="00560C52" w:rsidRDefault="00560C52" w:rsidP="00560C52">
      <w:pPr>
        <w:pStyle w:val="Sinespaciado"/>
        <w:jc w:val="both"/>
        <w:rPr>
          <w:rFonts w:ascii="Verdana" w:eastAsia="MS Mincho" w:hAnsi="Verdana" w:cs="Arial"/>
          <w:b/>
          <w:sz w:val="21"/>
          <w:szCs w:val="21"/>
          <w:lang w:val="es-ES" w:eastAsia="es-ES"/>
        </w:rPr>
      </w:pPr>
      <w:r>
        <w:rPr>
          <w:rFonts w:ascii="Verdana" w:eastAsia="MS Mincho" w:hAnsi="Verdana" w:cs="Arial"/>
          <w:b/>
          <w:sz w:val="21"/>
          <w:szCs w:val="21"/>
          <w:lang w:val="es-ES" w:eastAsia="es-ES"/>
        </w:rPr>
        <w:t xml:space="preserve">Evidencias: </w:t>
      </w:r>
    </w:p>
    <w:p w14:paraId="2ED0518A" w14:textId="77777777" w:rsidR="00321689" w:rsidRPr="00DD3852" w:rsidRDefault="00321689" w:rsidP="00321689">
      <w:pPr>
        <w:jc w:val="both"/>
        <w:rPr>
          <w:rFonts w:ascii="Verdana" w:hAnsi="Verdana" w:cs="Arial"/>
          <w:sz w:val="21"/>
          <w:szCs w:val="21"/>
        </w:rPr>
      </w:pPr>
    </w:p>
    <w:p w14:paraId="08D4E085" w14:textId="77777777" w:rsidR="000E1A69" w:rsidRDefault="00321689" w:rsidP="00DD3852">
      <w:pPr>
        <w:jc w:val="both"/>
        <w:rPr>
          <w:rFonts w:ascii="Verdana" w:hAnsi="Verdana" w:cs="Arial"/>
          <w:sz w:val="21"/>
          <w:szCs w:val="21"/>
        </w:rPr>
      </w:pPr>
      <w:r w:rsidRPr="00DD3852">
        <w:rPr>
          <w:rFonts w:ascii="Verdana" w:hAnsi="Verdana" w:cs="Arial"/>
          <w:sz w:val="21"/>
          <w:szCs w:val="21"/>
        </w:rPr>
        <w:t xml:space="preserve">INFORME_LSP_2022.XLSX DEPARTAMENTO DEL CESAR /HISTORIAL DE SEGUIMIENTO Y CONTROL A LOS RECURSOS DEL SISTEMA GENERAL DE PARTICIPACIONES EXPEDIENTE DIGITAL 3/2023/D028-PREDI. </w:t>
      </w:r>
    </w:p>
    <w:p w14:paraId="69B6096F" w14:textId="77777777" w:rsidR="00321689" w:rsidRPr="00DD3852" w:rsidRDefault="00321689" w:rsidP="00DD3852">
      <w:pPr>
        <w:jc w:val="both"/>
        <w:rPr>
          <w:rFonts w:ascii="Verdana" w:hAnsi="Verdana" w:cs="Arial"/>
          <w:sz w:val="21"/>
          <w:szCs w:val="21"/>
        </w:rPr>
      </w:pPr>
      <w:r w:rsidRPr="00DD3852">
        <w:rPr>
          <w:rFonts w:ascii="Verdana" w:hAnsi="Verdana" w:cs="Arial"/>
          <w:sz w:val="21"/>
          <w:szCs w:val="21"/>
        </w:rPr>
        <w:t xml:space="preserve">Enlace :  </w:t>
      </w:r>
      <w:hyperlink r:id="rId47" w:tgtFrame="_blank" w:history="1">
        <w:r w:rsidRPr="00DD3852">
          <w:rPr>
            <w:rFonts w:ascii="Verdana" w:hAnsi="Verdana" w:cs="Arial"/>
            <w:sz w:val="21"/>
            <w:szCs w:val="21"/>
          </w:rPr>
          <w:t>bit.ly/47QMplR</w:t>
        </w:r>
      </w:hyperlink>
    </w:p>
    <w:p w14:paraId="0794CD3B" w14:textId="77777777" w:rsidR="00321689" w:rsidRPr="00DD3852" w:rsidRDefault="00321689" w:rsidP="00321689">
      <w:pPr>
        <w:jc w:val="both"/>
        <w:rPr>
          <w:rFonts w:ascii="Verdana" w:hAnsi="Verdana" w:cs="Arial"/>
          <w:sz w:val="21"/>
          <w:szCs w:val="21"/>
        </w:rPr>
      </w:pPr>
    </w:p>
    <w:p w14:paraId="7292051B" w14:textId="77777777" w:rsidR="00321689" w:rsidRDefault="00321689" w:rsidP="00375292">
      <w:pPr>
        <w:pStyle w:val="Ttulo1"/>
        <w:numPr>
          <w:ilvl w:val="0"/>
          <w:numId w:val="1"/>
        </w:numPr>
        <w:spacing w:before="0"/>
        <w:jc w:val="both"/>
        <w:rPr>
          <w:rFonts w:ascii="Verdana" w:hAnsi="Verdana" w:cs="Arial"/>
          <w:b/>
          <w:color w:val="auto"/>
          <w:sz w:val="22"/>
          <w:szCs w:val="22"/>
        </w:rPr>
      </w:pPr>
      <w:r>
        <w:rPr>
          <w:rFonts w:ascii="Verdana" w:hAnsi="Verdana" w:cs="Arial"/>
          <w:b/>
          <w:color w:val="auto"/>
          <w:sz w:val="22"/>
          <w:szCs w:val="22"/>
        </w:rPr>
        <w:t>CONCLUSIONES Y RECOMENDACIONES.</w:t>
      </w:r>
    </w:p>
    <w:p w14:paraId="66DAD13F" w14:textId="77777777" w:rsidR="00321689" w:rsidRDefault="00321689" w:rsidP="00321689">
      <w:pPr>
        <w:rPr>
          <w:rFonts w:ascii="Verdana" w:hAnsi="Verdana" w:cs="Arial"/>
          <w:sz w:val="22"/>
          <w:szCs w:val="22"/>
        </w:rPr>
      </w:pPr>
    </w:p>
    <w:p w14:paraId="739A4236" w14:textId="77777777" w:rsidR="001D3EF7" w:rsidRDefault="00321689" w:rsidP="00321689">
      <w:pPr>
        <w:jc w:val="both"/>
        <w:rPr>
          <w:rFonts w:ascii="Verdana" w:hAnsi="Verdana"/>
          <w:sz w:val="21"/>
          <w:szCs w:val="21"/>
        </w:rPr>
      </w:pPr>
      <w:r>
        <w:rPr>
          <w:rFonts w:ascii="Verdana" w:hAnsi="Verdana"/>
          <w:sz w:val="21"/>
          <w:szCs w:val="21"/>
        </w:rPr>
        <w:t>A partir del análisis de la información remitida por el Departamento del Cesar, se evidenció la existencia de los siguientes eventos de riesgo, definidos en el artículo 9 del Decreto 028 de 2009, en relación con el uso de los recursos del Sistema en General de Participaciones el Sector Salud:</w:t>
      </w:r>
      <w:r w:rsidR="00625D69">
        <w:rPr>
          <w:rFonts w:ascii="Verdana" w:hAnsi="Verdana"/>
          <w:sz w:val="21"/>
          <w:szCs w:val="21"/>
        </w:rPr>
        <w:t>9.1</w:t>
      </w:r>
      <w:r w:rsidR="00625D69" w:rsidRPr="00625D69">
        <w:rPr>
          <w:rFonts w:ascii="Verdana" w:hAnsi="Verdana"/>
          <w:sz w:val="21"/>
          <w:szCs w:val="21"/>
        </w:rPr>
        <w:t>. No envío de información conforme a los plazos, condiciones y formatos indicados por el gobierno nacional, y/o haber remitido o entregado información incompleta o errónea</w:t>
      </w:r>
      <w:r w:rsidR="00625D69">
        <w:rPr>
          <w:rFonts w:ascii="Verdana" w:hAnsi="Verdana"/>
          <w:sz w:val="21"/>
          <w:szCs w:val="21"/>
        </w:rPr>
        <w:t>,</w:t>
      </w:r>
      <w:r w:rsidR="00625D69" w:rsidRPr="00625D69">
        <w:rPr>
          <w:rFonts w:ascii="Verdana" w:eastAsia="Calibri" w:hAnsi="Verdana" w:cs="Arial"/>
          <w:b/>
          <w:bCs/>
          <w:sz w:val="21"/>
          <w:szCs w:val="21"/>
        </w:rPr>
        <w:t xml:space="preserve"> </w:t>
      </w:r>
      <w:r w:rsidR="00625D69" w:rsidRPr="00625D69">
        <w:rPr>
          <w:rFonts w:ascii="Verdana" w:hAnsi="Verdana"/>
          <w:sz w:val="21"/>
          <w:szCs w:val="21"/>
        </w:rPr>
        <w:t>9.17.suscripción, modificación o ejecución de contratos cuyo objeto o actividades contractuales no aseguren la prestación del servicio en las condiciones definidas por la normatividad vigente, no cumplan con los fines para los cuales están destinados los recursos, o no aseguren el cumplimiento de metas de continuidad, cobertura y calidad en los servicios.</w:t>
      </w:r>
      <w:r w:rsidR="00625D69" w:rsidDel="00625D69">
        <w:rPr>
          <w:rFonts w:ascii="Verdana" w:hAnsi="Verdana" w:cs="Arial"/>
          <w:i/>
          <w:color w:val="000000"/>
          <w:sz w:val="21"/>
          <w:szCs w:val="21"/>
        </w:rPr>
        <w:t xml:space="preserve"> </w:t>
      </w:r>
      <w:r w:rsidR="00625D69" w:rsidRPr="00625D69">
        <w:rPr>
          <w:rFonts w:ascii="Verdana" w:hAnsi="Verdana"/>
          <w:sz w:val="21"/>
          <w:szCs w:val="21"/>
        </w:rPr>
        <w:t>9.18. 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p>
    <w:p w14:paraId="7FEB1A22" w14:textId="77777777" w:rsidR="001D3EF7" w:rsidRDefault="001D3EF7" w:rsidP="00321689">
      <w:pPr>
        <w:jc w:val="both"/>
        <w:rPr>
          <w:rFonts w:ascii="Verdana" w:hAnsi="Verdana"/>
          <w:sz w:val="21"/>
          <w:szCs w:val="21"/>
        </w:rPr>
      </w:pPr>
    </w:p>
    <w:p w14:paraId="795688C1" w14:textId="77777777" w:rsidR="00DD3852" w:rsidRDefault="00321689" w:rsidP="00321689">
      <w:pPr>
        <w:jc w:val="both"/>
        <w:rPr>
          <w:rFonts w:ascii="Verdana" w:hAnsi="Verdana" w:cs="Arial"/>
          <w:sz w:val="21"/>
          <w:szCs w:val="21"/>
        </w:rPr>
      </w:pPr>
      <w:r>
        <w:rPr>
          <w:rFonts w:ascii="Verdana" w:hAnsi="Verdana" w:cs="Arial"/>
          <w:sz w:val="21"/>
          <w:szCs w:val="21"/>
        </w:rPr>
        <w:t xml:space="preserve">Con base en los riesgos identificados y en el marco de las funciones asignadas en los Decretos 028 de 2008 y 1068 de 2015, relacionadas con la coordinación de la ejecución de las actividades de monitoreo, seguimiento y control al uso de recursos del SGP, se recomienda la adopción de la Medida Preventiva de Plan de Desempeño en el Sector Salud, encaminada a; </w:t>
      </w:r>
    </w:p>
    <w:p w14:paraId="07C93E71" w14:textId="77777777" w:rsidR="00951562" w:rsidRDefault="00951562" w:rsidP="00321689">
      <w:pPr>
        <w:jc w:val="both"/>
        <w:rPr>
          <w:rFonts w:ascii="Verdana" w:hAnsi="Verdana" w:cs="Arial"/>
          <w:sz w:val="21"/>
          <w:szCs w:val="21"/>
        </w:rPr>
      </w:pPr>
    </w:p>
    <w:p w14:paraId="4E6D1EEF" w14:textId="77777777" w:rsidR="00DD3852" w:rsidRDefault="00321689" w:rsidP="00321689">
      <w:pPr>
        <w:jc w:val="both"/>
        <w:rPr>
          <w:rFonts w:ascii="Verdana" w:hAnsi="Verdana" w:cs="Arial"/>
          <w:sz w:val="21"/>
          <w:szCs w:val="21"/>
        </w:rPr>
      </w:pPr>
      <w:r>
        <w:rPr>
          <w:rFonts w:ascii="Verdana" w:hAnsi="Verdana" w:cs="Arial"/>
          <w:sz w:val="21"/>
          <w:szCs w:val="21"/>
        </w:rPr>
        <w:t>1</w:t>
      </w:r>
      <w:r w:rsidR="00DD3852">
        <w:rPr>
          <w:rFonts w:ascii="Verdana" w:hAnsi="Verdana" w:cs="Arial"/>
          <w:sz w:val="21"/>
          <w:szCs w:val="21"/>
        </w:rPr>
        <w:t>) L</w:t>
      </w:r>
      <w:r>
        <w:rPr>
          <w:rFonts w:ascii="Verdana" w:hAnsi="Verdana" w:cs="Arial"/>
          <w:sz w:val="21"/>
          <w:szCs w:val="21"/>
        </w:rPr>
        <w:t>ograr la correcta administración del Fondo Local de Salud de acuerdo con las directrices normativas vigentes, desde el ámbito presupuestal, contable y de tesorería, alcanzar niveles más eficientes en la ejecución de los recursos del Sector</w:t>
      </w:r>
      <w:r w:rsidR="00DD3852">
        <w:rPr>
          <w:rFonts w:ascii="Verdana" w:hAnsi="Verdana" w:cs="Arial"/>
          <w:sz w:val="21"/>
          <w:szCs w:val="21"/>
        </w:rPr>
        <w:t>, por lo que además corresponderá efectuar la actualización normativa del acto administrativo de constitución del fondo local de salud</w:t>
      </w:r>
      <w:r>
        <w:rPr>
          <w:rFonts w:ascii="Verdana" w:hAnsi="Verdana" w:cs="Arial"/>
          <w:sz w:val="21"/>
          <w:szCs w:val="21"/>
        </w:rPr>
        <w:t>;</w:t>
      </w:r>
    </w:p>
    <w:p w14:paraId="4B48A545" w14:textId="77777777" w:rsidR="00DD3852" w:rsidRDefault="00321689" w:rsidP="00321689">
      <w:pPr>
        <w:jc w:val="both"/>
        <w:rPr>
          <w:rFonts w:ascii="Verdana" w:hAnsi="Verdana" w:cs="Arial"/>
          <w:sz w:val="21"/>
          <w:szCs w:val="21"/>
        </w:rPr>
      </w:pPr>
      <w:r>
        <w:rPr>
          <w:rFonts w:ascii="Verdana" w:hAnsi="Verdana" w:cs="Arial"/>
          <w:sz w:val="21"/>
          <w:szCs w:val="21"/>
        </w:rPr>
        <w:t xml:space="preserve">2) </w:t>
      </w:r>
      <w:r w:rsidR="00DD3852">
        <w:rPr>
          <w:rFonts w:ascii="Verdana" w:hAnsi="Verdana" w:cs="Arial"/>
          <w:sz w:val="21"/>
          <w:szCs w:val="21"/>
        </w:rPr>
        <w:t>F</w:t>
      </w:r>
      <w:r>
        <w:rPr>
          <w:rFonts w:ascii="Verdana" w:hAnsi="Verdana" w:cs="Arial"/>
          <w:sz w:val="21"/>
          <w:szCs w:val="21"/>
        </w:rPr>
        <w:t xml:space="preserve">ortalecer las capacidades institucionales para mejorar la calidad del reporte en el CUIPO; </w:t>
      </w:r>
    </w:p>
    <w:p w14:paraId="3CF917DE" w14:textId="77777777" w:rsidR="00DD3852" w:rsidRDefault="00DD3852" w:rsidP="00321689">
      <w:pPr>
        <w:jc w:val="both"/>
        <w:rPr>
          <w:rFonts w:ascii="Verdana" w:hAnsi="Verdana" w:cs="Arial"/>
          <w:sz w:val="21"/>
          <w:szCs w:val="21"/>
        </w:rPr>
      </w:pPr>
      <w:r>
        <w:rPr>
          <w:rFonts w:ascii="Verdana" w:hAnsi="Verdana" w:cs="Arial"/>
          <w:sz w:val="21"/>
          <w:szCs w:val="21"/>
        </w:rPr>
        <w:t>3) M</w:t>
      </w:r>
      <w:r w:rsidR="00321689">
        <w:rPr>
          <w:rFonts w:ascii="Verdana" w:hAnsi="Verdana" w:cs="Arial"/>
          <w:sz w:val="21"/>
          <w:szCs w:val="21"/>
        </w:rPr>
        <w:t xml:space="preserve">itigar el riesgo de afectación sobre los recursos del Sector derivado de actuaciones judiciales, </w:t>
      </w:r>
    </w:p>
    <w:p w14:paraId="3B156449" w14:textId="77777777" w:rsidR="00DD3852" w:rsidRDefault="00321689" w:rsidP="00321689">
      <w:pPr>
        <w:jc w:val="both"/>
        <w:rPr>
          <w:rFonts w:ascii="Verdana" w:hAnsi="Verdana" w:cs="Arial"/>
          <w:sz w:val="21"/>
          <w:szCs w:val="21"/>
        </w:rPr>
      </w:pPr>
      <w:r>
        <w:rPr>
          <w:rFonts w:ascii="Verdana" w:hAnsi="Verdana" w:cs="Arial"/>
          <w:sz w:val="21"/>
          <w:szCs w:val="21"/>
        </w:rPr>
        <w:t xml:space="preserve">4) </w:t>
      </w:r>
      <w:r w:rsidR="00DD3852">
        <w:rPr>
          <w:rFonts w:ascii="Verdana" w:hAnsi="Verdana" w:cs="Arial"/>
          <w:sz w:val="21"/>
          <w:szCs w:val="21"/>
        </w:rPr>
        <w:t>M</w:t>
      </w:r>
      <w:r>
        <w:rPr>
          <w:rFonts w:ascii="Verdana" w:hAnsi="Verdana" w:cs="Arial"/>
          <w:sz w:val="21"/>
          <w:szCs w:val="21"/>
        </w:rPr>
        <w:t xml:space="preserve">ejorar los procesos de planeación financiera y ejecutar las actuaciones necesarias para corregir conductas en las etapas precontractuales, contractuales y poscontractuales que contribuyan en la mitigación de situaciones asociadas, conforme lo prevé la normatividad vigente; </w:t>
      </w:r>
    </w:p>
    <w:p w14:paraId="3EB506AE" w14:textId="77777777" w:rsidR="00DD3852" w:rsidRDefault="00321689" w:rsidP="00321689">
      <w:pPr>
        <w:jc w:val="both"/>
        <w:rPr>
          <w:rFonts w:ascii="Verdana" w:hAnsi="Verdana" w:cs="Arial"/>
          <w:sz w:val="21"/>
          <w:szCs w:val="21"/>
        </w:rPr>
      </w:pPr>
      <w:r>
        <w:rPr>
          <w:rFonts w:ascii="Verdana" w:hAnsi="Verdana" w:cs="Arial"/>
          <w:sz w:val="21"/>
          <w:szCs w:val="21"/>
        </w:rPr>
        <w:t xml:space="preserve">5) Mejorar la </w:t>
      </w:r>
      <w:r w:rsidR="00951562">
        <w:rPr>
          <w:rFonts w:ascii="Verdana" w:hAnsi="Verdana" w:cs="Arial"/>
          <w:iCs/>
          <w:sz w:val="21"/>
          <w:szCs w:val="21"/>
        </w:rPr>
        <w:t>o</w:t>
      </w:r>
      <w:r>
        <w:rPr>
          <w:rFonts w:ascii="Verdana" w:hAnsi="Verdana" w:cs="Arial"/>
          <w:iCs/>
          <w:sz w:val="21"/>
          <w:szCs w:val="21"/>
        </w:rPr>
        <w:t>portunidad en la contratación</w:t>
      </w:r>
      <w:r>
        <w:rPr>
          <w:rFonts w:ascii="Verdana" w:hAnsi="Verdana" w:cs="Arial"/>
          <w:b/>
          <w:bCs/>
          <w:sz w:val="21"/>
          <w:szCs w:val="21"/>
        </w:rPr>
        <w:t>,</w:t>
      </w:r>
      <w:r>
        <w:rPr>
          <w:rFonts w:ascii="Verdana" w:hAnsi="Verdana" w:cs="Arial"/>
          <w:sz w:val="21"/>
          <w:szCs w:val="21"/>
        </w:rPr>
        <w:t xml:space="preserve"> garantizando la continuidad de las intervenciones, procedimientos, actividades e insumos del plan de salud pública de intervenciones colectivas</w:t>
      </w:r>
      <w:r w:rsidR="00DD3852">
        <w:rPr>
          <w:rFonts w:ascii="Verdana" w:hAnsi="Verdana" w:cs="Arial"/>
          <w:sz w:val="21"/>
          <w:szCs w:val="21"/>
        </w:rPr>
        <w:t xml:space="preserve"> y el cumplimiento de metas</w:t>
      </w:r>
      <w:r>
        <w:rPr>
          <w:rFonts w:ascii="Verdana" w:hAnsi="Verdana" w:cs="Arial"/>
          <w:sz w:val="21"/>
          <w:szCs w:val="21"/>
        </w:rPr>
        <w:t xml:space="preserve">, mediante la contratación oportuna del mismo; </w:t>
      </w:r>
    </w:p>
    <w:p w14:paraId="41CE29F6" w14:textId="77777777" w:rsidR="00321689" w:rsidRDefault="00321689" w:rsidP="00321689">
      <w:pPr>
        <w:jc w:val="both"/>
        <w:rPr>
          <w:rFonts w:ascii="Verdana" w:hAnsi="Verdana" w:cs="Arial"/>
          <w:bCs/>
          <w:sz w:val="21"/>
          <w:szCs w:val="21"/>
        </w:rPr>
      </w:pPr>
      <w:r>
        <w:rPr>
          <w:rFonts w:ascii="Verdana" w:hAnsi="Verdana" w:cs="Arial"/>
          <w:sz w:val="21"/>
          <w:szCs w:val="21"/>
        </w:rPr>
        <w:lastRenderedPageBreak/>
        <w:t xml:space="preserve">6) </w:t>
      </w:r>
      <w:r w:rsidR="00DD3852">
        <w:rPr>
          <w:rFonts w:ascii="Verdana" w:hAnsi="Verdana" w:cs="Arial"/>
          <w:sz w:val="21"/>
          <w:szCs w:val="21"/>
        </w:rPr>
        <w:t>D</w:t>
      </w:r>
      <w:r>
        <w:rPr>
          <w:rFonts w:ascii="Verdana" w:hAnsi="Verdana" w:cs="Arial"/>
          <w:sz w:val="21"/>
          <w:szCs w:val="21"/>
        </w:rPr>
        <w:t>ar cumplimiento con las metas</w:t>
      </w:r>
      <w:r>
        <w:rPr>
          <w:rFonts w:ascii="Verdana" w:hAnsi="Verdana" w:cs="Arial"/>
          <w:bCs/>
          <w:sz w:val="21"/>
          <w:szCs w:val="21"/>
        </w:rPr>
        <w:t xml:space="preserve"> incorporadas en los planes de mejoramiento del laboratorio de salud pública con el INS y el INVIMA.</w:t>
      </w:r>
    </w:p>
    <w:p w14:paraId="1D2C99A9" w14:textId="77777777" w:rsidR="004F0A54" w:rsidRDefault="004F0A54" w:rsidP="00321689">
      <w:pPr>
        <w:jc w:val="both"/>
        <w:rPr>
          <w:rFonts w:ascii="Verdana" w:hAnsi="Verdana" w:cs="Arial"/>
          <w:sz w:val="21"/>
          <w:szCs w:val="21"/>
        </w:rPr>
      </w:pPr>
      <w:r>
        <w:rPr>
          <w:rFonts w:ascii="Verdana" w:hAnsi="Verdana" w:cs="Arial"/>
          <w:bCs/>
          <w:sz w:val="21"/>
          <w:szCs w:val="21"/>
        </w:rPr>
        <w:t xml:space="preserve">7) Contar con una metodología, para determinar la probabilidad de fallo de las demandas judiciales. </w:t>
      </w:r>
    </w:p>
    <w:p w14:paraId="530FB352" w14:textId="77777777" w:rsidR="00321689" w:rsidRDefault="00321689" w:rsidP="00321689">
      <w:pPr>
        <w:rPr>
          <w:rFonts w:ascii="Verdana" w:hAnsi="Verdana" w:cs="Arial"/>
          <w:sz w:val="16"/>
          <w:szCs w:val="16"/>
        </w:rPr>
      </w:pPr>
    </w:p>
    <w:p w14:paraId="1C5F4335" w14:textId="77777777" w:rsidR="00321689" w:rsidRDefault="00321689" w:rsidP="00321689">
      <w:pPr>
        <w:rPr>
          <w:rFonts w:ascii="Verdana" w:hAnsi="Verdana" w:cs="Arial"/>
          <w:sz w:val="16"/>
          <w:szCs w:val="16"/>
        </w:rPr>
      </w:pPr>
    </w:p>
    <w:p w14:paraId="0DA209BF" w14:textId="77777777" w:rsidR="00321689" w:rsidRDefault="00321689" w:rsidP="00321689">
      <w:pPr>
        <w:rPr>
          <w:rFonts w:ascii="Verdana" w:hAnsi="Verdana" w:cs="Arial"/>
          <w:sz w:val="16"/>
          <w:szCs w:val="16"/>
        </w:rPr>
      </w:pPr>
    </w:p>
    <w:p w14:paraId="1C5C8E6D" w14:textId="77777777" w:rsidR="00321689" w:rsidRDefault="00321689" w:rsidP="00321689">
      <w:pPr>
        <w:jc w:val="both"/>
        <w:rPr>
          <w:rFonts w:ascii="Verdana" w:eastAsia="Times New Roman" w:hAnsi="Verdana" w:cs="Arial"/>
          <w:color w:val="000000" w:themeColor="text1"/>
          <w:sz w:val="16"/>
          <w:szCs w:val="16"/>
        </w:rPr>
      </w:pPr>
      <w:r>
        <w:rPr>
          <w:rFonts w:ascii="Verdana" w:eastAsia="Times New Roman" w:hAnsi="Verdana" w:cs="Arial"/>
          <w:b/>
          <w:color w:val="000000" w:themeColor="text1"/>
          <w:sz w:val="16"/>
          <w:szCs w:val="16"/>
        </w:rPr>
        <w:t>Aprobó</w:t>
      </w:r>
      <w:r>
        <w:rPr>
          <w:rFonts w:ascii="Verdana" w:eastAsia="Times New Roman" w:hAnsi="Verdana" w:cs="Arial"/>
          <w:color w:val="000000" w:themeColor="text1"/>
          <w:sz w:val="16"/>
          <w:szCs w:val="16"/>
        </w:rPr>
        <w:t xml:space="preserve">: Fernando Olivera </w:t>
      </w:r>
    </w:p>
    <w:p w14:paraId="25D09B41" w14:textId="77777777" w:rsidR="00321689" w:rsidRDefault="00321689" w:rsidP="00321689">
      <w:pPr>
        <w:jc w:val="both"/>
        <w:rPr>
          <w:rFonts w:ascii="Verdana" w:eastAsia="Times New Roman" w:hAnsi="Verdana" w:cs="Arial"/>
          <w:color w:val="000000" w:themeColor="text1"/>
          <w:sz w:val="16"/>
          <w:szCs w:val="16"/>
        </w:rPr>
      </w:pPr>
      <w:r>
        <w:rPr>
          <w:rFonts w:ascii="Verdana" w:eastAsia="Times New Roman" w:hAnsi="Verdana" w:cs="Arial"/>
          <w:b/>
          <w:color w:val="000000" w:themeColor="text1"/>
          <w:sz w:val="16"/>
          <w:szCs w:val="16"/>
        </w:rPr>
        <w:t>Revisión Técnica</w:t>
      </w:r>
      <w:r>
        <w:rPr>
          <w:rFonts w:ascii="Verdana" w:eastAsia="Times New Roman" w:hAnsi="Verdana" w:cs="Arial"/>
          <w:color w:val="000000" w:themeColor="text1"/>
          <w:sz w:val="16"/>
          <w:szCs w:val="16"/>
        </w:rPr>
        <w:t>: Patricia Peña</w:t>
      </w:r>
    </w:p>
    <w:p w14:paraId="4EE0D42B" w14:textId="77777777" w:rsidR="00321689" w:rsidRDefault="00321689" w:rsidP="00321689">
      <w:pPr>
        <w:jc w:val="both"/>
        <w:rPr>
          <w:rFonts w:ascii="Verdana" w:eastAsia="Times New Roman" w:hAnsi="Verdana" w:cs="Arial"/>
          <w:color w:val="000000" w:themeColor="text1"/>
          <w:sz w:val="16"/>
          <w:szCs w:val="16"/>
        </w:rPr>
      </w:pPr>
      <w:r>
        <w:rPr>
          <w:rFonts w:ascii="Verdana" w:eastAsia="Times New Roman" w:hAnsi="Verdana" w:cs="Arial"/>
          <w:b/>
          <w:bCs/>
          <w:color w:val="000000" w:themeColor="text1"/>
          <w:sz w:val="16"/>
          <w:szCs w:val="16"/>
        </w:rPr>
        <w:t xml:space="preserve">Revisión Jurídica: </w:t>
      </w:r>
      <w:r>
        <w:rPr>
          <w:rFonts w:ascii="Verdana" w:eastAsia="Times New Roman" w:hAnsi="Verdana" w:cs="Arial"/>
          <w:color w:val="000000" w:themeColor="text1"/>
          <w:sz w:val="16"/>
          <w:szCs w:val="16"/>
        </w:rPr>
        <w:t>Adelaida Berdugo</w:t>
      </w:r>
    </w:p>
    <w:p w14:paraId="2238615F" w14:textId="77777777" w:rsidR="00D92691" w:rsidRPr="00321689" w:rsidRDefault="00321689" w:rsidP="00216135">
      <w:pPr>
        <w:jc w:val="both"/>
      </w:pPr>
      <w:r>
        <w:rPr>
          <w:rFonts w:ascii="Verdana" w:eastAsia="Times New Roman" w:hAnsi="Verdana" w:cs="Arial"/>
          <w:b/>
          <w:color w:val="000000" w:themeColor="text1"/>
          <w:sz w:val="16"/>
          <w:szCs w:val="16"/>
        </w:rPr>
        <w:t>Elaboró</w:t>
      </w:r>
      <w:r>
        <w:rPr>
          <w:rFonts w:ascii="Verdana" w:eastAsia="Times New Roman" w:hAnsi="Verdana" w:cs="Arial"/>
          <w:color w:val="000000" w:themeColor="text1"/>
          <w:sz w:val="16"/>
          <w:szCs w:val="16"/>
        </w:rPr>
        <w:t>: Óscar Giraldo</w:t>
      </w:r>
    </w:p>
    <w:sectPr w:rsidR="00D92691" w:rsidRPr="00321689" w:rsidSect="00321689">
      <w:headerReference w:type="default" r:id="rId48"/>
      <w:footerReference w:type="default" r:id="rId49"/>
      <w:headerReference w:type="first" r:id="rId50"/>
      <w:footerReference w:type="first" r:id="rId51"/>
      <w:pgSz w:w="12240" w:h="15840" w:code="1"/>
      <w:pgMar w:top="-1702" w:right="1701" w:bottom="1560" w:left="1701" w:header="4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EBEF8" w14:textId="77777777" w:rsidR="009E2262" w:rsidRDefault="009E2262" w:rsidP="00F71345">
      <w:r>
        <w:separator/>
      </w:r>
    </w:p>
  </w:endnote>
  <w:endnote w:type="continuationSeparator" w:id="0">
    <w:p w14:paraId="2FCBCF97" w14:textId="77777777" w:rsidR="009E2262" w:rsidRDefault="009E2262"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Futura Std Book">
    <w:altName w:val="Gadugi"/>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Verdana Pro">
    <w:altName w:val="Arial"/>
    <w:charset w:val="00"/>
    <w:family w:val="swiss"/>
    <w:pitch w:val="variable"/>
    <w:sig w:usb0="80000287" w:usb1="00000043"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816E" w14:textId="77777777" w:rsidR="00375292" w:rsidRPr="00F01F75" w:rsidRDefault="00375292" w:rsidP="002F2BCC">
    <w:pPr>
      <w:pStyle w:val="Piedepgina"/>
    </w:pPr>
    <w:r>
      <w:rPr>
        <w:noProof/>
        <w:lang w:eastAsia="es-CO"/>
      </w:rPr>
      <w:drawing>
        <wp:anchor distT="0" distB="0" distL="114300" distR="114300" simplePos="0" relativeHeight="251659264" behindDoc="0" locked="0" layoutInCell="1" allowOverlap="1" wp14:anchorId="76EB5136" wp14:editId="3C977981">
          <wp:simplePos x="0" y="0"/>
          <wp:positionH relativeFrom="margin">
            <wp:align>left</wp:align>
          </wp:positionH>
          <wp:positionV relativeFrom="paragraph">
            <wp:posOffset>-628650</wp:posOffset>
          </wp:positionV>
          <wp:extent cx="3150870" cy="869950"/>
          <wp:effectExtent l="0" t="0" r="0" b="6350"/>
          <wp:wrapSquare wrapText="bothSides"/>
          <wp:docPr id="1223101904" name="Imagen 122310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50870" cy="86995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47BA" w14:textId="77777777" w:rsidR="00375292" w:rsidRPr="00F01F75" w:rsidRDefault="00375292" w:rsidP="002F2BCC">
    <w:pPr>
      <w:pStyle w:val="Piedepgina"/>
    </w:pPr>
    <w:r>
      <w:rPr>
        <w:noProof/>
        <w:lang w:eastAsia="es-CO"/>
      </w:rPr>
      <w:drawing>
        <wp:anchor distT="0" distB="0" distL="114300" distR="114300" simplePos="0" relativeHeight="251661312" behindDoc="0" locked="0" layoutInCell="1" allowOverlap="1" wp14:anchorId="43F99516" wp14:editId="58D93380">
          <wp:simplePos x="0" y="0"/>
          <wp:positionH relativeFrom="margin">
            <wp:posOffset>0</wp:posOffset>
          </wp:positionH>
          <wp:positionV relativeFrom="paragraph">
            <wp:posOffset>-628650</wp:posOffset>
          </wp:positionV>
          <wp:extent cx="3150870" cy="869950"/>
          <wp:effectExtent l="0" t="0" r="0" b="6350"/>
          <wp:wrapSquare wrapText="bothSides"/>
          <wp:docPr id="1223101906" name="Imagen 122310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50870" cy="8699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09F5B" w14:textId="77777777" w:rsidR="009E2262" w:rsidRDefault="009E2262" w:rsidP="00F71345">
      <w:r>
        <w:separator/>
      </w:r>
    </w:p>
  </w:footnote>
  <w:footnote w:type="continuationSeparator" w:id="0">
    <w:p w14:paraId="3615994B" w14:textId="77777777" w:rsidR="009E2262" w:rsidRDefault="009E2262" w:rsidP="00F71345">
      <w:r>
        <w:continuationSeparator/>
      </w:r>
    </w:p>
  </w:footnote>
  <w:footnote w:id="1">
    <w:p w14:paraId="1F998C6B" w14:textId="77777777" w:rsidR="00375292" w:rsidRDefault="00375292" w:rsidP="00321689">
      <w:pPr>
        <w:pStyle w:val="Textonotapie"/>
      </w:pPr>
      <w:r>
        <w:rPr>
          <w:rStyle w:val="Refdenotaalpie"/>
        </w:rPr>
        <w:footnoteRef/>
      </w:r>
      <w:r>
        <w:t xml:space="preserve"> </w:t>
      </w:r>
      <w:r>
        <w:rPr>
          <w:rFonts w:ascii="Arial Narrow" w:hAnsi="Arial Narrow"/>
          <w:sz w:val="16"/>
          <w:szCs w:val="16"/>
        </w:rPr>
        <w:t>Información tomada del Informe de Viabilidad Fiscal del Departamento del Magdalena a diciembre de 2021 de la DAF/MHCP.</w:t>
      </w:r>
    </w:p>
  </w:footnote>
  <w:footnote w:id="2">
    <w:p w14:paraId="60ACB352" w14:textId="77777777" w:rsidR="00375292" w:rsidRDefault="00375292" w:rsidP="00321689">
      <w:pPr>
        <w:pStyle w:val="Textonotapie"/>
      </w:pPr>
      <w:r>
        <w:rPr>
          <w:rStyle w:val="Refdenotaalpie"/>
        </w:rPr>
        <w:footnoteRef/>
      </w:r>
      <w:r>
        <w:t xml:space="preserve"> Valores en términos nominales.</w:t>
      </w:r>
    </w:p>
  </w:footnote>
  <w:footnote w:id="3">
    <w:p w14:paraId="5C683172" w14:textId="77777777" w:rsidR="00375292" w:rsidRDefault="00375292" w:rsidP="00321689">
      <w:pPr>
        <w:pStyle w:val="Textonotapie"/>
      </w:pPr>
      <w:r>
        <w:rPr>
          <w:rStyle w:val="Refdenotaalpie"/>
        </w:rPr>
        <w:footnoteRef/>
      </w:r>
      <w:r>
        <w:t xml:space="preserve"> Valor promedio de las Vigencias 2019 a 2021, se excluye el 2022 por ser la vigencia en la que se suscribe el contrato.</w:t>
      </w:r>
    </w:p>
  </w:footnote>
  <w:footnote w:id="4">
    <w:p w14:paraId="243DC865" w14:textId="77777777" w:rsidR="00375292" w:rsidRDefault="00375292" w:rsidP="00321689">
      <w:pPr>
        <w:pStyle w:val="Textonotapie"/>
      </w:pPr>
      <w:r>
        <w:rPr>
          <w:rStyle w:val="Refdenotaalpie"/>
        </w:rPr>
        <w:footnoteRef/>
      </w:r>
      <w:r>
        <w:t xml:space="preserve">  35 entidades a la fecha de presentación del documento de la RED, a la fecha se tienen 28 ESE.</w:t>
      </w:r>
    </w:p>
  </w:footnote>
  <w:footnote w:id="5">
    <w:p w14:paraId="713D8655" w14:textId="77777777" w:rsidR="00375292" w:rsidRDefault="00375292" w:rsidP="00321689">
      <w:pPr>
        <w:pStyle w:val="Textonotapie"/>
      </w:pPr>
      <w:r>
        <w:rPr>
          <w:rStyle w:val="Refdenotaalpie"/>
        </w:rPr>
        <w:footnoteRef/>
      </w:r>
      <w:r>
        <w:t xml:space="preserve"> Valor promedio de las Vigencias 2019 a 2021, se excluye el 2022 por ser la vigencia en la que se suscribe el contrato.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066A" w14:textId="77777777" w:rsidR="00375292" w:rsidRDefault="00375292" w:rsidP="00A82889">
    <w:pPr>
      <w:jc w:val="right"/>
      <w:rPr>
        <w:rFonts w:ascii="Arial" w:hAnsi="Arial" w:cs="Arial"/>
        <w:sz w:val="16"/>
        <w:szCs w:val="16"/>
      </w:rPr>
    </w:pPr>
  </w:p>
  <w:p w14:paraId="54A7C76E" w14:textId="77777777" w:rsidR="00375292" w:rsidRDefault="00375292" w:rsidP="00137CCA">
    <w:pPr>
      <w:rPr>
        <w:rFonts w:ascii="Arial" w:hAnsi="Arial" w:cs="Arial"/>
        <w:sz w:val="16"/>
        <w:szCs w:val="16"/>
      </w:rPr>
    </w:pPr>
    <w:r>
      <w:rPr>
        <w:noProof/>
        <w:lang w:val="es-CO" w:eastAsia="es-CO"/>
      </w:rPr>
      <w:drawing>
        <wp:inline distT="0" distB="0" distL="0" distR="0" wp14:anchorId="00A7AB4F" wp14:editId="3B6398D7">
          <wp:extent cx="5612130" cy="9334500"/>
          <wp:effectExtent l="0" t="0" r="0" b="0"/>
          <wp:docPr id="1223101903" name="Imagen 1223101903"/>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612130" cy="9334500"/>
                  </a:xfrm>
                  <a:prstGeom prst="rect">
                    <a:avLst/>
                  </a:prstGeom>
                  <a:noFill/>
                  <a:ln>
                    <a:noFill/>
                  </a:ln>
                </pic:spPr>
              </pic:pic>
            </a:graphicData>
          </a:graphic>
        </wp:inline>
      </w:drawing>
    </w:r>
  </w:p>
  <w:p w14:paraId="439AA645" w14:textId="77777777" w:rsidR="00375292" w:rsidRDefault="00375292" w:rsidP="00137CCA">
    <w:pPr>
      <w:rPr>
        <w:rFonts w:ascii="Arial" w:hAnsi="Arial" w:cs="Arial"/>
        <w:sz w:val="16"/>
        <w:szCs w:val="16"/>
      </w:rPr>
    </w:pPr>
  </w:p>
  <w:p w14:paraId="1EE980B5" w14:textId="77777777" w:rsidR="00375292" w:rsidRDefault="00375292" w:rsidP="00F01F75">
    <w:pPr>
      <w:pStyle w:val="Encabezado"/>
      <w:rPr>
        <w:rFonts w:ascii="Arial" w:hAnsi="Arial" w:cs="Arial"/>
        <w:sz w:val="16"/>
        <w:szCs w:val="16"/>
      </w:rPr>
    </w:pPr>
  </w:p>
  <w:p w14:paraId="7EFB58D9" w14:textId="77777777" w:rsidR="00375292" w:rsidRDefault="00375292" w:rsidP="00F01F75">
    <w:pPr>
      <w:pStyle w:val="Encabezado"/>
      <w:rPr>
        <w:rFonts w:ascii="Arial" w:hAnsi="Arial" w:cs="Arial"/>
        <w:sz w:val="16"/>
        <w:szCs w:val="16"/>
      </w:rPr>
    </w:pPr>
  </w:p>
  <w:p w14:paraId="0B8C6669" w14:textId="77777777" w:rsidR="00375292" w:rsidRPr="00F01F75" w:rsidRDefault="00375292" w:rsidP="00F01F75">
    <w:pPr>
      <w:pStyle w:val="Encabezado"/>
      <w:rPr>
        <w:rFonts w:ascii="Arial" w:hAnsi="Arial" w:cs="Arial"/>
        <w:sz w:val="16"/>
        <w:szCs w:val="16"/>
      </w:rPr>
    </w:pPr>
    <w:r w:rsidRPr="00F01F75">
      <w:rPr>
        <w:rFonts w:ascii="Arial" w:hAnsi="Arial" w:cs="Arial"/>
        <w:sz w:val="16"/>
        <w:szCs w:val="16"/>
      </w:rPr>
      <w:t xml:space="preserve">Continuación </w:t>
    </w:r>
    <w:r>
      <w:rPr>
        <w:rFonts w:ascii="Arial" w:hAnsi="Arial" w:cs="Arial"/>
        <w:sz w:val="16"/>
        <w:szCs w:val="16"/>
      </w:rPr>
      <w:t xml:space="preserve">informe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0E1A69">
      <w:rPr>
        <w:rStyle w:val="Nmerodepgina"/>
        <w:rFonts w:ascii="Arial" w:hAnsi="Arial" w:cs="Arial"/>
        <w:noProof/>
        <w:sz w:val="16"/>
        <w:szCs w:val="16"/>
      </w:rPr>
      <w:t>40</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0E1A69">
      <w:rPr>
        <w:rStyle w:val="Nmerodepgina"/>
        <w:rFonts w:ascii="Arial" w:hAnsi="Arial" w:cs="Arial"/>
        <w:noProof/>
        <w:sz w:val="16"/>
        <w:szCs w:val="16"/>
      </w:rPr>
      <w:t>42</w:t>
    </w:r>
    <w:r w:rsidRPr="00F01F75">
      <w:rPr>
        <w:rStyle w:val="Nmerodepgina"/>
        <w:rFonts w:ascii="Arial" w:hAnsi="Arial" w:cs="Arial"/>
        <w:sz w:val="16"/>
        <w:szCs w:val="16"/>
      </w:rPr>
      <w:fldChar w:fldCharType="end"/>
    </w:r>
  </w:p>
  <w:p w14:paraId="24417B13" w14:textId="77777777" w:rsidR="00375292" w:rsidRPr="00F01F75" w:rsidRDefault="00375292">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D1BD5" w14:textId="77777777" w:rsidR="00375292" w:rsidRDefault="00375292" w:rsidP="00137CCA">
    <w:pPr>
      <w:pStyle w:val="Encabezado"/>
    </w:pPr>
    <w:r>
      <w:rPr>
        <w:noProof/>
        <w:lang w:eastAsia="es-CO"/>
      </w:rPr>
      <w:drawing>
        <wp:inline distT="0" distB="0" distL="0" distR="0" wp14:anchorId="1A1D317E" wp14:editId="6D006A44">
          <wp:extent cx="5554980" cy="7259955"/>
          <wp:effectExtent l="0" t="0" r="0" b="0"/>
          <wp:docPr id="1223101905" name="Imagen 1223101905"/>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554980" cy="72599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10200"/>
    <w:multiLevelType w:val="hybridMultilevel"/>
    <w:tmpl w:val="F1DE7116"/>
    <w:lvl w:ilvl="0" w:tplc="C1D8F4D0">
      <w:start w:val="1"/>
      <w:numFmt w:val="upperLetter"/>
      <w:lvlText w:val="%1."/>
      <w:lvlJc w:val="left"/>
      <w:pPr>
        <w:ind w:left="720" w:hanging="360"/>
      </w:pPr>
      <w:rPr>
        <w:rFonts w:hint="default"/>
        <w:sz w:val="21"/>
        <w:szCs w:val="2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88239F1"/>
    <w:multiLevelType w:val="hybridMultilevel"/>
    <w:tmpl w:val="E6886F3E"/>
    <w:lvl w:ilvl="0" w:tplc="48707452">
      <w:start w:val="1"/>
      <w:numFmt w:val="upperLetter"/>
      <w:lvlText w:val="%1)"/>
      <w:lvlJc w:val="left"/>
      <w:pPr>
        <w:ind w:left="720" w:hanging="360"/>
      </w:pPr>
      <w:rPr>
        <w:rFonts w:eastAsia="MS Mincho"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8AD1E04"/>
    <w:multiLevelType w:val="hybridMultilevel"/>
    <w:tmpl w:val="34A025F8"/>
    <w:lvl w:ilvl="0" w:tplc="B94E565A">
      <w:start w:val="1"/>
      <w:numFmt w:val="decimal"/>
      <w:lvlText w:val="%1"/>
      <w:lvlJc w:val="left"/>
      <w:pPr>
        <w:ind w:left="2880" w:hanging="360"/>
      </w:pPr>
    </w:lvl>
    <w:lvl w:ilvl="1" w:tplc="240A0019">
      <w:start w:val="1"/>
      <w:numFmt w:val="lowerLetter"/>
      <w:lvlText w:val="%2."/>
      <w:lvlJc w:val="left"/>
      <w:pPr>
        <w:ind w:left="3600" w:hanging="360"/>
      </w:pPr>
    </w:lvl>
    <w:lvl w:ilvl="2" w:tplc="240A001B">
      <w:start w:val="1"/>
      <w:numFmt w:val="lowerRoman"/>
      <w:lvlText w:val="%3."/>
      <w:lvlJc w:val="right"/>
      <w:pPr>
        <w:ind w:left="4320" w:hanging="180"/>
      </w:pPr>
    </w:lvl>
    <w:lvl w:ilvl="3" w:tplc="240A000F">
      <w:start w:val="1"/>
      <w:numFmt w:val="decimal"/>
      <w:lvlText w:val="%4."/>
      <w:lvlJc w:val="left"/>
      <w:pPr>
        <w:ind w:left="5040" w:hanging="360"/>
      </w:pPr>
    </w:lvl>
    <w:lvl w:ilvl="4" w:tplc="240A0019">
      <w:start w:val="1"/>
      <w:numFmt w:val="lowerLetter"/>
      <w:lvlText w:val="%5."/>
      <w:lvlJc w:val="left"/>
      <w:pPr>
        <w:ind w:left="5760" w:hanging="360"/>
      </w:pPr>
    </w:lvl>
    <w:lvl w:ilvl="5" w:tplc="240A001B">
      <w:start w:val="1"/>
      <w:numFmt w:val="lowerRoman"/>
      <w:lvlText w:val="%6."/>
      <w:lvlJc w:val="right"/>
      <w:pPr>
        <w:ind w:left="6480" w:hanging="180"/>
      </w:pPr>
    </w:lvl>
    <w:lvl w:ilvl="6" w:tplc="240A000F">
      <w:start w:val="1"/>
      <w:numFmt w:val="decimal"/>
      <w:lvlText w:val="%7."/>
      <w:lvlJc w:val="left"/>
      <w:pPr>
        <w:ind w:left="7200" w:hanging="360"/>
      </w:pPr>
    </w:lvl>
    <w:lvl w:ilvl="7" w:tplc="240A0019">
      <w:start w:val="1"/>
      <w:numFmt w:val="lowerLetter"/>
      <w:lvlText w:val="%8."/>
      <w:lvlJc w:val="left"/>
      <w:pPr>
        <w:ind w:left="7920" w:hanging="360"/>
      </w:pPr>
    </w:lvl>
    <w:lvl w:ilvl="8" w:tplc="240A001B">
      <w:start w:val="1"/>
      <w:numFmt w:val="lowerRoman"/>
      <w:lvlText w:val="%9."/>
      <w:lvlJc w:val="right"/>
      <w:pPr>
        <w:ind w:left="8640" w:hanging="180"/>
      </w:pPr>
    </w:lvl>
  </w:abstractNum>
  <w:abstractNum w:abstractNumId="3" w15:restartNumberingAfterBreak="0">
    <w:nsid w:val="2D9E4BCD"/>
    <w:multiLevelType w:val="hybridMultilevel"/>
    <w:tmpl w:val="8732E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2F514FC"/>
    <w:multiLevelType w:val="hybridMultilevel"/>
    <w:tmpl w:val="7070E5F6"/>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3381839"/>
    <w:multiLevelType w:val="hybridMultilevel"/>
    <w:tmpl w:val="16147932"/>
    <w:lvl w:ilvl="0" w:tplc="5DF62690">
      <w:start w:val="1"/>
      <w:numFmt w:val="upp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B1012EB"/>
    <w:multiLevelType w:val="hybridMultilevel"/>
    <w:tmpl w:val="E34EAF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795584"/>
    <w:multiLevelType w:val="hybridMultilevel"/>
    <w:tmpl w:val="0150D22E"/>
    <w:lvl w:ilvl="0" w:tplc="0409000F">
      <w:start w:val="1"/>
      <w:numFmt w:val="decimal"/>
      <w:lvlText w:val="%1."/>
      <w:lvlJc w:val="left"/>
      <w:pPr>
        <w:ind w:left="288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BDF7F6E"/>
    <w:multiLevelType w:val="hybridMultilevel"/>
    <w:tmpl w:val="825218D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4CEB0D86"/>
    <w:multiLevelType w:val="hybridMultilevel"/>
    <w:tmpl w:val="F3940246"/>
    <w:lvl w:ilvl="0" w:tplc="4FEEE634">
      <w:start w:val="6"/>
      <w:numFmt w:val="upperLetter"/>
      <w:lvlText w:val="%1."/>
      <w:lvlJc w:val="left"/>
      <w:pPr>
        <w:ind w:left="720" w:hanging="360"/>
      </w:pPr>
      <w:rPr>
        <w:rFonts w:ascii="Arial Narrow" w:eastAsia="Calibri" w:hAnsi="Arial Narrow" w:cs="Arial" w:hint="default"/>
        <w:b/>
        <w:sz w:val="22"/>
      </w:rPr>
    </w:lvl>
    <w:lvl w:ilvl="1" w:tplc="0E1E1B86">
      <w:start w:val="1"/>
      <w:numFmt w:val="lowerLetter"/>
      <w:lvlText w:val="%2."/>
      <w:lvlJc w:val="left"/>
      <w:pPr>
        <w:ind w:left="1440" w:hanging="360"/>
      </w:pPr>
    </w:lvl>
    <w:lvl w:ilvl="2" w:tplc="38EC1838">
      <w:start w:val="1"/>
      <w:numFmt w:val="lowerRoman"/>
      <w:lvlText w:val="%3."/>
      <w:lvlJc w:val="right"/>
      <w:pPr>
        <w:ind w:left="2160" w:hanging="180"/>
      </w:pPr>
    </w:lvl>
    <w:lvl w:ilvl="3" w:tplc="992EF440">
      <w:start w:val="1"/>
      <w:numFmt w:val="decimal"/>
      <w:lvlText w:val="%4."/>
      <w:lvlJc w:val="left"/>
      <w:pPr>
        <w:ind w:left="2880" w:hanging="360"/>
      </w:pPr>
    </w:lvl>
    <w:lvl w:ilvl="4" w:tplc="FA6828CA">
      <w:start w:val="1"/>
      <w:numFmt w:val="lowerLetter"/>
      <w:lvlText w:val="%5."/>
      <w:lvlJc w:val="left"/>
      <w:pPr>
        <w:ind w:left="3600" w:hanging="360"/>
      </w:pPr>
    </w:lvl>
    <w:lvl w:ilvl="5" w:tplc="4E7ECC28">
      <w:start w:val="1"/>
      <w:numFmt w:val="lowerRoman"/>
      <w:lvlText w:val="%6."/>
      <w:lvlJc w:val="right"/>
      <w:pPr>
        <w:ind w:left="4320" w:hanging="180"/>
      </w:pPr>
    </w:lvl>
    <w:lvl w:ilvl="6" w:tplc="AD8663F8">
      <w:start w:val="1"/>
      <w:numFmt w:val="decimal"/>
      <w:lvlText w:val="%7."/>
      <w:lvlJc w:val="left"/>
      <w:pPr>
        <w:ind w:left="5040" w:hanging="360"/>
      </w:pPr>
    </w:lvl>
    <w:lvl w:ilvl="7" w:tplc="9738B084">
      <w:start w:val="1"/>
      <w:numFmt w:val="lowerLetter"/>
      <w:lvlText w:val="%8."/>
      <w:lvlJc w:val="left"/>
      <w:pPr>
        <w:ind w:left="5760" w:hanging="360"/>
      </w:pPr>
    </w:lvl>
    <w:lvl w:ilvl="8" w:tplc="4E22BD74">
      <w:start w:val="1"/>
      <w:numFmt w:val="lowerRoman"/>
      <w:lvlText w:val="%9."/>
      <w:lvlJc w:val="right"/>
      <w:pPr>
        <w:ind w:left="6480" w:hanging="180"/>
      </w:pPr>
    </w:lvl>
  </w:abstractNum>
  <w:abstractNum w:abstractNumId="10" w15:restartNumberingAfterBreak="0">
    <w:nsid w:val="507317F4"/>
    <w:multiLevelType w:val="hybridMultilevel"/>
    <w:tmpl w:val="16147932"/>
    <w:lvl w:ilvl="0" w:tplc="5DF62690">
      <w:start w:val="1"/>
      <w:numFmt w:val="upp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6E5329C"/>
    <w:multiLevelType w:val="hybridMultilevel"/>
    <w:tmpl w:val="9E047910"/>
    <w:lvl w:ilvl="0" w:tplc="59162764">
      <w:start w:val="1"/>
      <w:numFmt w:val="upperLetter"/>
      <w:lvlText w:val="%1)"/>
      <w:lvlJc w:val="left"/>
      <w:pPr>
        <w:ind w:left="720" w:hanging="360"/>
      </w:pPr>
      <w:rPr>
        <w:rFonts w:eastAsia="Calibri"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9884139"/>
    <w:multiLevelType w:val="hybridMultilevel"/>
    <w:tmpl w:val="C39A5FC6"/>
    <w:lvl w:ilvl="0" w:tplc="240A000F">
      <w:start w:val="1"/>
      <w:numFmt w:val="decimal"/>
      <w:lvlText w:val="%1."/>
      <w:lvlJc w:val="left"/>
      <w:pPr>
        <w:ind w:left="720" w:hanging="360"/>
      </w:pPr>
      <w:rPr>
        <w:b/>
        <w:sz w:val="22"/>
      </w:rPr>
    </w:lvl>
    <w:lvl w:ilvl="1" w:tplc="762873E8">
      <w:start w:val="1"/>
      <w:numFmt w:val="lowerLetter"/>
      <w:lvlText w:val="%2."/>
      <w:lvlJc w:val="left"/>
      <w:pPr>
        <w:ind w:left="1440" w:hanging="360"/>
      </w:pPr>
    </w:lvl>
    <w:lvl w:ilvl="2" w:tplc="0D1EB44E">
      <w:start w:val="1"/>
      <w:numFmt w:val="lowerRoman"/>
      <w:lvlText w:val="%3."/>
      <w:lvlJc w:val="right"/>
      <w:pPr>
        <w:ind w:left="2160" w:hanging="180"/>
      </w:pPr>
    </w:lvl>
    <w:lvl w:ilvl="3" w:tplc="82A462EE">
      <w:start w:val="1"/>
      <w:numFmt w:val="decimal"/>
      <w:lvlText w:val="%4."/>
      <w:lvlJc w:val="left"/>
      <w:pPr>
        <w:ind w:left="2880" w:hanging="360"/>
      </w:pPr>
    </w:lvl>
    <w:lvl w:ilvl="4" w:tplc="C05AEC3A">
      <w:start w:val="1"/>
      <w:numFmt w:val="lowerLetter"/>
      <w:lvlText w:val="%5."/>
      <w:lvlJc w:val="left"/>
      <w:pPr>
        <w:ind w:left="3600" w:hanging="360"/>
      </w:pPr>
    </w:lvl>
    <w:lvl w:ilvl="5" w:tplc="1B3C20F4">
      <w:start w:val="1"/>
      <w:numFmt w:val="lowerRoman"/>
      <w:lvlText w:val="%6."/>
      <w:lvlJc w:val="right"/>
      <w:pPr>
        <w:ind w:left="4320" w:hanging="180"/>
      </w:pPr>
    </w:lvl>
    <w:lvl w:ilvl="6" w:tplc="94144166">
      <w:start w:val="1"/>
      <w:numFmt w:val="decimal"/>
      <w:lvlText w:val="%7."/>
      <w:lvlJc w:val="left"/>
      <w:pPr>
        <w:ind w:left="5040" w:hanging="360"/>
      </w:pPr>
    </w:lvl>
    <w:lvl w:ilvl="7" w:tplc="62783396">
      <w:start w:val="1"/>
      <w:numFmt w:val="lowerLetter"/>
      <w:lvlText w:val="%8."/>
      <w:lvlJc w:val="left"/>
      <w:pPr>
        <w:ind w:left="5760" w:hanging="360"/>
      </w:pPr>
    </w:lvl>
    <w:lvl w:ilvl="8" w:tplc="7FEC2614">
      <w:start w:val="1"/>
      <w:numFmt w:val="lowerRoman"/>
      <w:lvlText w:val="%9."/>
      <w:lvlJc w:val="right"/>
      <w:pPr>
        <w:ind w:left="6480" w:hanging="180"/>
      </w:pPr>
    </w:lvl>
  </w:abstractNum>
  <w:abstractNum w:abstractNumId="13" w15:restartNumberingAfterBreak="0">
    <w:nsid w:val="6B3937A9"/>
    <w:multiLevelType w:val="hybridMultilevel"/>
    <w:tmpl w:val="30B4B7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FCF3266"/>
    <w:multiLevelType w:val="hybridMultilevel"/>
    <w:tmpl w:val="57D635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1051B3F"/>
    <w:multiLevelType w:val="hybridMultilevel"/>
    <w:tmpl w:val="7572F6FC"/>
    <w:lvl w:ilvl="0" w:tplc="240A0019">
      <w:start w:val="1"/>
      <w:numFmt w:val="lowerLetter"/>
      <w:lvlText w:val="%1."/>
      <w:lvlJc w:val="left"/>
      <w:pPr>
        <w:ind w:left="360" w:hanging="360"/>
      </w:pPr>
      <w:rPr>
        <w:rFonts w:cs="Times New Roman"/>
      </w:rPr>
    </w:lvl>
    <w:lvl w:ilvl="1" w:tplc="240A0019">
      <w:start w:val="1"/>
      <w:numFmt w:val="lowerLetter"/>
      <w:lvlText w:val="%2."/>
      <w:lvlJc w:val="left"/>
      <w:pPr>
        <w:ind w:left="1080" w:hanging="360"/>
      </w:pPr>
      <w:rPr>
        <w:rFonts w:cs="Times New Roman"/>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16" w15:restartNumberingAfterBreak="0">
    <w:nsid w:val="71C0304B"/>
    <w:multiLevelType w:val="hybridMultilevel"/>
    <w:tmpl w:val="A8A8CF2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2D520A3"/>
    <w:multiLevelType w:val="hybridMultilevel"/>
    <w:tmpl w:val="A46440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87E59EB"/>
    <w:multiLevelType w:val="hybridMultilevel"/>
    <w:tmpl w:val="C7F6B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192755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82687605">
    <w:abstractNumId w:val="16"/>
  </w:num>
  <w:num w:numId="3" w16cid:durableId="514732035">
    <w:abstractNumId w:val="0"/>
  </w:num>
  <w:num w:numId="4" w16cid:durableId="644820559">
    <w:abstractNumId w:val="5"/>
  </w:num>
  <w:num w:numId="5" w16cid:durableId="67133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50274861">
    <w:abstractNumId w:val="12"/>
  </w:num>
  <w:num w:numId="7" w16cid:durableId="13178803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347757">
    <w:abstractNumId w:val="12"/>
  </w:num>
  <w:num w:numId="9" w16cid:durableId="429397772">
    <w:abstractNumId w:val="9"/>
  </w:num>
  <w:num w:numId="10" w16cid:durableId="2005743461">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689285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382450">
    <w:abstractNumId w:val="8"/>
  </w:num>
  <w:num w:numId="13" w16cid:durableId="15410442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2435346">
    <w:abstractNumId w:val="15"/>
  </w:num>
  <w:num w:numId="15" w16cid:durableId="12260643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67425383">
    <w:abstractNumId w:val="2"/>
  </w:num>
  <w:num w:numId="17" w16cid:durableId="3867294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9576887">
    <w:abstractNumId w:val="4"/>
  </w:num>
  <w:num w:numId="19" w16cid:durableId="2005623682">
    <w:abstractNumId w:val="14"/>
  </w:num>
  <w:num w:numId="20" w16cid:durableId="654796620">
    <w:abstractNumId w:val="6"/>
  </w:num>
  <w:num w:numId="21" w16cid:durableId="1007752649">
    <w:abstractNumId w:val="3"/>
  </w:num>
  <w:num w:numId="22" w16cid:durableId="1575314142">
    <w:abstractNumId w:val="13"/>
  </w:num>
  <w:num w:numId="23" w16cid:durableId="1302535275">
    <w:abstractNumId w:val="17"/>
  </w:num>
  <w:num w:numId="24" w16cid:durableId="2003851903">
    <w:abstractNumId w:val="18"/>
  </w:num>
  <w:num w:numId="25" w16cid:durableId="540826663">
    <w:abstractNumId w:val="1"/>
  </w:num>
  <w:num w:numId="26" w16cid:durableId="588543512">
    <w:abstractNumId w:val="11"/>
  </w:num>
  <w:num w:numId="27" w16cid:durableId="1077751790">
    <w:abstractNumId w:val="7"/>
  </w:num>
  <w:num w:numId="28" w16cid:durableId="2109807649">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5"/>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999"/>
    <w:rsid w:val="0000363C"/>
    <w:rsid w:val="00006023"/>
    <w:rsid w:val="00011854"/>
    <w:rsid w:val="00015D8E"/>
    <w:rsid w:val="000219D4"/>
    <w:rsid w:val="00023A69"/>
    <w:rsid w:val="00025168"/>
    <w:rsid w:val="000322E3"/>
    <w:rsid w:val="0004136B"/>
    <w:rsid w:val="00042D32"/>
    <w:rsid w:val="00043DE6"/>
    <w:rsid w:val="000460D9"/>
    <w:rsid w:val="000463D3"/>
    <w:rsid w:val="0005197E"/>
    <w:rsid w:val="000533EF"/>
    <w:rsid w:val="000571C4"/>
    <w:rsid w:val="00057AF8"/>
    <w:rsid w:val="00057CB6"/>
    <w:rsid w:val="00057DC8"/>
    <w:rsid w:val="000643E9"/>
    <w:rsid w:val="0006471E"/>
    <w:rsid w:val="00065034"/>
    <w:rsid w:val="00066D3A"/>
    <w:rsid w:val="00070C78"/>
    <w:rsid w:val="00073A1F"/>
    <w:rsid w:val="00074AC7"/>
    <w:rsid w:val="00075AD5"/>
    <w:rsid w:val="00077AA2"/>
    <w:rsid w:val="0008210A"/>
    <w:rsid w:val="0008330B"/>
    <w:rsid w:val="0008507C"/>
    <w:rsid w:val="0008751B"/>
    <w:rsid w:val="000877D1"/>
    <w:rsid w:val="00087B7F"/>
    <w:rsid w:val="00093EB8"/>
    <w:rsid w:val="00094E83"/>
    <w:rsid w:val="00096CD2"/>
    <w:rsid w:val="000A02B3"/>
    <w:rsid w:val="000A07D3"/>
    <w:rsid w:val="000A1163"/>
    <w:rsid w:val="000A2FC8"/>
    <w:rsid w:val="000A31BA"/>
    <w:rsid w:val="000A4383"/>
    <w:rsid w:val="000A71F1"/>
    <w:rsid w:val="000A791C"/>
    <w:rsid w:val="000B1E4E"/>
    <w:rsid w:val="000B20AE"/>
    <w:rsid w:val="000C2C96"/>
    <w:rsid w:val="000C4465"/>
    <w:rsid w:val="000D09AB"/>
    <w:rsid w:val="000D466B"/>
    <w:rsid w:val="000D56DC"/>
    <w:rsid w:val="000D6114"/>
    <w:rsid w:val="000E1037"/>
    <w:rsid w:val="000E15EE"/>
    <w:rsid w:val="000E1A69"/>
    <w:rsid w:val="000E1ECA"/>
    <w:rsid w:val="000E1F3C"/>
    <w:rsid w:val="000E42D0"/>
    <w:rsid w:val="000E4714"/>
    <w:rsid w:val="000E5163"/>
    <w:rsid w:val="000E5748"/>
    <w:rsid w:val="000E6513"/>
    <w:rsid w:val="000F0372"/>
    <w:rsid w:val="000F0EAD"/>
    <w:rsid w:val="000F1CBA"/>
    <w:rsid w:val="000F3807"/>
    <w:rsid w:val="000F4D2E"/>
    <w:rsid w:val="000F6620"/>
    <w:rsid w:val="00101484"/>
    <w:rsid w:val="00102684"/>
    <w:rsid w:val="00103AE9"/>
    <w:rsid w:val="0010497F"/>
    <w:rsid w:val="001067F4"/>
    <w:rsid w:val="001100A5"/>
    <w:rsid w:val="001105BE"/>
    <w:rsid w:val="001107D5"/>
    <w:rsid w:val="00111231"/>
    <w:rsid w:val="0011263A"/>
    <w:rsid w:val="0011350E"/>
    <w:rsid w:val="00113CC1"/>
    <w:rsid w:val="00114AE3"/>
    <w:rsid w:val="00116F54"/>
    <w:rsid w:val="00117B7B"/>
    <w:rsid w:val="00120EEB"/>
    <w:rsid w:val="00122182"/>
    <w:rsid w:val="001258D6"/>
    <w:rsid w:val="00127CD2"/>
    <w:rsid w:val="00130944"/>
    <w:rsid w:val="00132E49"/>
    <w:rsid w:val="001339E2"/>
    <w:rsid w:val="0013472A"/>
    <w:rsid w:val="00137CCA"/>
    <w:rsid w:val="001419E5"/>
    <w:rsid w:val="00144777"/>
    <w:rsid w:val="001448E3"/>
    <w:rsid w:val="001454CA"/>
    <w:rsid w:val="00146445"/>
    <w:rsid w:val="00147E82"/>
    <w:rsid w:val="001515F9"/>
    <w:rsid w:val="001518F2"/>
    <w:rsid w:val="00153869"/>
    <w:rsid w:val="00153C65"/>
    <w:rsid w:val="00155650"/>
    <w:rsid w:val="00156301"/>
    <w:rsid w:val="00162B69"/>
    <w:rsid w:val="00165020"/>
    <w:rsid w:val="00166790"/>
    <w:rsid w:val="00167BE4"/>
    <w:rsid w:val="0017111C"/>
    <w:rsid w:val="001741BB"/>
    <w:rsid w:val="0017545B"/>
    <w:rsid w:val="00182DEA"/>
    <w:rsid w:val="001839DF"/>
    <w:rsid w:val="0019035D"/>
    <w:rsid w:val="00191CE9"/>
    <w:rsid w:val="00191D96"/>
    <w:rsid w:val="00191E93"/>
    <w:rsid w:val="00191EBC"/>
    <w:rsid w:val="00193284"/>
    <w:rsid w:val="0019444E"/>
    <w:rsid w:val="001971ED"/>
    <w:rsid w:val="001972B2"/>
    <w:rsid w:val="001A1ABA"/>
    <w:rsid w:val="001A2147"/>
    <w:rsid w:val="001A3C56"/>
    <w:rsid w:val="001B0799"/>
    <w:rsid w:val="001B3240"/>
    <w:rsid w:val="001B489C"/>
    <w:rsid w:val="001C1229"/>
    <w:rsid w:val="001C40E5"/>
    <w:rsid w:val="001D085D"/>
    <w:rsid w:val="001D104A"/>
    <w:rsid w:val="001D13E2"/>
    <w:rsid w:val="001D1F25"/>
    <w:rsid w:val="001D36C0"/>
    <w:rsid w:val="001D3D6B"/>
    <w:rsid w:val="001D3EF7"/>
    <w:rsid w:val="001D7796"/>
    <w:rsid w:val="001E3E05"/>
    <w:rsid w:val="001E50F4"/>
    <w:rsid w:val="001E5520"/>
    <w:rsid w:val="001E55D9"/>
    <w:rsid w:val="001E60E2"/>
    <w:rsid w:val="001E6521"/>
    <w:rsid w:val="001F0127"/>
    <w:rsid w:val="001F0B1A"/>
    <w:rsid w:val="001F4D1B"/>
    <w:rsid w:val="001F4ED2"/>
    <w:rsid w:val="001F6014"/>
    <w:rsid w:val="001F7009"/>
    <w:rsid w:val="001F72C4"/>
    <w:rsid w:val="002047B0"/>
    <w:rsid w:val="0020773D"/>
    <w:rsid w:val="0021375B"/>
    <w:rsid w:val="00216135"/>
    <w:rsid w:val="002176E6"/>
    <w:rsid w:val="0021790A"/>
    <w:rsid w:val="002211EF"/>
    <w:rsid w:val="00221EF1"/>
    <w:rsid w:val="0022264A"/>
    <w:rsid w:val="0022631D"/>
    <w:rsid w:val="00226B16"/>
    <w:rsid w:val="002335A5"/>
    <w:rsid w:val="0023633F"/>
    <w:rsid w:val="00237795"/>
    <w:rsid w:val="00237DFE"/>
    <w:rsid w:val="00237EFE"/>
    <w:rsid w:val="002414B0"/>
    <w:rsid w:val="00242ECE"/>
    <w:rsid w:val="0024487B"/>
    <w:rsid w:val="002458E9"/>
    <w:rsid w:val="00251020"/>
    <w:rsid w:val="002511A6"/>
    <w:rsid w:val="00253CF2"/>
    <w:rsid w:val="002567A2"/>
    <w:rsid w:val="00257AAF"/>
    <w:rsid w:val="002658A7"/>
    <w:rsid w:val="00271E28"/>
    <w:rsid w:val="0027413A"/>
    <w:rsid w:val="0027421A"/>
    <w:rsid w:val="00280A31"/>
    <w:rsid w:val="00283D9E"/>
    <w:rsid w:val="002850DB"/>
    <w:rsid w:val="002919CE"/>
    <w:rsid w:val="002962FA"/>
    <w:rsid w:val="002A13EA"/>
    <w:rsid w:val="002A2626"/>
    <w:rsid w:val="002A6351"/>
    <w:rsid w:val="002A730B"/>
    <w:rsid w:val="002B2812"/>
    <w:rsid w:val="002B2E03"/>
    <w:rsid w:val="002B3410"/>
    <w:rsid w:val="002B4C0B"/>
    <w:rsid w:val="002B4E93"/>
    <w:rsid w:val="002C2082"/>
    <w:rsid w:val="002C45F1"/>
    <w:rsid w:val="002C64C1"/>
    <w:rsid w:val="002C6BBE"/>
    <w:rsid w:val="002D1151"/>
    <w:rsid w:val="002D301B"/>
    <w:rsid w:val="002D3CF8"/>
    <w:rsid w:val="002D4B67"/>
    <w:rsid w:val="002D4F09"/>
    <w:rsid w:val="002D6C5F"/>
    <w:rsid w:val="002D7705"/>
    <w:rsid w:val="002E1F1F"/>
    <w:rsid w:val="002E3E8B"/>
    <w:rsid w:val="002E54FE"/>
    <w:rsid w:val="002E6BE9"/>
    <w:rsid w:val="002E72FA"/>
    <w:rsid w:val="002E7640"/>
    <w:rsid w:val="002E7778"/>
    <w:rsid w:val="002F01D9"/>
    <w:rsid w:val="002F2BCC"/>
    <w:rsid w:val="002F3621"/>
    <w:rsid w:val="002F629D"/>
    <w:rsid w:val="0030112E"/>
    <w:rsid w:val="00301846"/>
    <w:rsid w:val="0030295A"/>
    <w:rsid w:val="003037EC"/>
    <w:rsid w:val="003057C9"/>
    <w:rsid w:val="00307AFB"/>
    <w:rsid w:val="00311F3F"/>
    <w:rsid w:val="00312A95"/>
    <w:rsid w:val="00321689"/>
    <w:rsid w:val="00321BAA"/>
    <w:rsid w:val="003226AB"/>
    <w:rsid w:val="00323CBF"/>
    <w:rsid w:val="0032474D"/>
    <w:rsid w:val="003300CE"/>
    <w:rsid w:val="00330AC6"/>
    <w:rsid w:val="0033289D"/>
    <w:rsid w:val="003334C8"/>
    <w:rsid w:val="0033489C"/>
    <w:rsid w:val="00336BAB"/>
    <w:rsid w:val="00337229"/>
    <w:rsid w:val="00340279"/>
    <w:rsid w:val="003411EE"/>
    <w:rsid w:val="00341877"/>
    <w:rsid w:val="003419D9"/>
    <w:rsid w:val="0034312A"/>
    <w:rsid w:val="00343F87"/>
    <w:rsid w:val="00345E62"/>
    <w:rsid w:val="00346D99"/>
    <w:rsid w:val="00350C08"/>
    <w:rsid w:val="0035116E"/>
    <w:rsid w:val="003560AE"/>
    <w:rsid w:val="00357325"/>
    <w:rsid w:val="0036144E"/>
    <w:rsid w:val="00364164"/>
    <w:rsid w:val="00364608"/>
    <w:rsid w:val="00370540"/>
    <w:rsid w:val="00371595"/>
    <w:rsid w:val="00372895"/>
    <w:rsid w:val="00375292"/>
    <w:rsid w:val="003763AC"/>
    <w:rsid w:val="003774E3"/>
    <w:rsid w:val="0038265A"/>
    <w:rsid w:val="00383A3E"/>
    <w:rsid w:val="00384066"/>
    <w:rsid w:val="0038767D"/>
    <w:rsid w:val="00387857"/>
    <w:rsid w:val="00391021"/>
    <w:rsid w:val="0039201F"/>
    <w:rsid w:val="00395375"/>
    <w:rsid w:val="003A1CB0"/>
    <w:rsid w:val="003A4D61"/>
    <w:rsid w:val="003A520B"/>
    <w:rsid w:val="003A759E"/>
    <w:rsid w:val="003B1D05"/>
    <w:rsid w:val="003B366A"/>
    <w:rsid w:val="003B7FE6"/>
    <w:rsid w:val="003C01C0"/>
    <w:rsid w:val="003C102D"/>
    <w:rsid w:val="003C2E21"/>
    <w:rsid w:val="003C6D25"/>
    <w:rsid w:val="003D00E0"/>
    <w:rsid w:val="003D10E7"/>
    <w:rsid w:val="003D2A48"/>
    <w:rsid w:val="003D4DD3"/>
    <w:rsid w:val="003D7FD2"/>
    <w:rsid w:val="003E221C"/>
    <w:rsid w:val="003E2EB7"/>
    <w:rsid w:val="003E31A7"/>
    <w:rsid w:val="003E35C5"/>
    <w:rsid w:val="003E38D1"/>
    <w:rsid w:val="003E59CF"/>
    <w:rsid w:val="003E632D"/>
    <w:rsid w:val="003E77FC"/>
    <w:rsid w:val="003F07EB"/>
    <w:rsid w:val="003F59D9"/>
    <w:rsid w:val="003F5C1B"/>
    <w:rsid w:val="003F617A"/>
    <w:rsid w:val="003F6A30"/>
    <w:rsid w:val="003F788E"/>
    <w:rsid w:val="003F7900"/>
    <w:rsid w:val="004057C1"/>
    <w:rsid w:val="00410445"/>
    <w:rsid w:val="00410C94"/>
    <w:rsid w:val="00412976"/>
    <w:rsid w:val="0041494D"/>
    <w:rsid w:val="00415C21"/>
    <w:rsid w:val="00417D74"/>
    <w:rsid w:val="004217FA"/>
    <w:rsid w:val="00430693"/>
    <w:rsid w:val="0043107F"/>
    <w:rsid w:val="004315F2"/>
    <w:rsid w:val="0043211A"/>
    <w:rsid w:val="00434B41"/>
    <w:rsid w:val="00437A6B"/>
    <w:rsid w:val="004412E9"/>
    <w:rsid w:val="0044344C"/>
    <w:rsid w:val="004448B7"/>
    <w:rsid w:val="00444FC4"/>
    <w:rsid w:val="00447D2A"/>
    <w:rsid w:val="00450D48"/>
    <w:rsid w:val="00453CE2"/>
    <w:rsid w:val="00457E21"/>
    <w:rsid w:val="004607BE"/>
    <w:rsid w:val="00467143"/>
    <w:rsid w:val="00467ACD"/>
    <w:rsid w:val="004700D0"/>
    <w:rsid w:val="00472DB8"/>
    <w:rsid w:val="00472DE8"/>
    <w:rsid w:val="00473B82"/>
    <w:rsid w:val="00473F70"/>
    <w:rsid w:val="00474633"/>
    <w:rsid w:val="00483386"/>
    <w:rsid w:val="00483533"/>
    <w:rsid w:val="00487AEE"/>
    <w:rsid w:val="0049010D"/>
    <w:rsid w:val="004940D4"/>
    <w:rsid w:val="004964E0"/>
    <w:rsid w:val="004A140A"/>
    <w:rsid w:val="004A37A6"/>
    <w:rsid w:val="004A5B21"/>
    <w:rsid w:val="004A7F07"/>
    <w:rsid w:val="004A7F0D"/>
    <w:rsid w:val="004B267F"/>
    <w:rsid w:val="004B299B"/>
    <w:rsid w:val="004C3700"/>
    <w:rsid w:val="004D11E5"/>
    <w:rsid w:val="004D3AB8"/>
    <w:rsid w:val="004D4EE2"/>
    <w:rsid w:val="004D66AD"/>
    <w:rsid w:val="004E13DA"/>
    <w:rsid w:val="004E432F"/>
    <w:rsid w:val="004E4D21"/>
    <w:rsid w:val="004E6B93"/>
    <w:rsid w:val="004E729B"/>
    <w:rsid w:val="004E7B18"/>
    <w:rsid w:val="004F093C"/>
    <w:rsid w:val="004F0A54"/>
    <w:rsid w:val="004F2BB0"/>
    <w:rsid w:val="004F48F3"/>
    <w:rsid w:val="004F5D8E"/>
    <w:rsid w:val="004F7BEA"/>
    <w:rsid w:val="005022E4"/>
    <w:rsid w:val="005039EC"/>
    <w:rsid w:val="005125B0"/>
    <w:rsid w:val="00514804"/>
    <w:rsid w:val="00514FBE"/>
    <w:rsid w:val="0052149D"/>
    <w:rsid w:val="0052323E"/>
    <w:rsid w:val="00526464"/>
    <w:rsid w:val="0053089E"/>
    <w:rsid w:val="00531EA9"/>
    <w:rsid w:val="00534DC0"/>
    <w:rsid w:val="005368CD"/>
    <w:rsid w:val="00536BB6"/>
    <w:rsid w:val="00537794"/>
    <w:rsid w:val="0053783B"/>
    <w:rsid w:val="00537AEC"/>
    <w:rsid w:val="00540821"/>
    <w:rsid w:val="00542591"/>
    <w:rsid w:val="00542618"/>
    <w:rsid w:val="00542EB8"/>
    <w:rsid w:val="00542F4B"/>
    <w:rsid w:val="00543C89"/>
    <w:rsid w:val="005445CE"/>
    <w:rsid w:val="0054628A"/>
    <w:rsid w:val="0055059C"/>
    <w:rsid w:val="00550636"/>
    <w:rsid w:val="005506C6"/>
    <w:rsid w:val="0055135E"/>
    <w:rsid w:val="00552AE0"/>
    <w:rsid w:val="00553C66"/>
    <w:rsid w:val="0055424A"/>
    <w:rsid w:val="00560C52"/>
    <w:rsid w:val="00561999"/>
    <w:rsid w:val="00561CC5"/>
    <w:rsid w:val="00562716"/>
    <w:rsid w:val="00562A8F"/>
    <w:rsid w:val="00562C85"/>
    <w:rsid w:val="00562FCA"/>
    <w:rsid w:val="0056426C"/>
    <w:rsid w:val="00565042"/>
    <w:rsid w:val="00565A21"/>
    <w:rsid w:val="00567E5C"/>
    <w:rsid w:val="00570943"/>
    <w:rsid w:val="00571ED1"/>
    <w:rsid w:val="0057200A"/>
    <w:rsid w:val="00576F0C"/>
    <w:rsid w:val="00577720"/>
    <w:rsid w:val="00577DFC"/>
    <w:rsid w:val="0058232E"/>
    <w:rsid w:val="005833C7"/>
    <w:rsid w:val="00590228"/>
    <w:rsid w:val="00590F1A"/>
    <w:rsid w:val="00593364"/>
    <w:rsid w:val="005A1A5A"/>
    <w:rsid w:val="005A22D2"/>
    <w:rsid w:val="005A27D0"/>
    <w:rsid w:val="005A34AD"/>
    <w:rsid w:val="005A3BD8"/>
    <w:rsid w:val="005B137A"/>
    <w:rsid w:val="005B33C1"/>
    <w:rsid w:val="005C5817"/>
    <w:rsid w:val="005C61AC"/>
    <w:rsid w:val="005C6301"/>
    <w:rsid w:val="005C7523"/>
    <w:rsid w:val="005D214D"/>
    <w:rsid w:val="005D4DC9"/>
    <w:rsid w:val="005E04F5"/>
    <w:rsid w:val="005E1133"/>
    <w:rsid w:val="005E5CBD"/>
    <w:rsid w:val="005F2435"/>
    <w:rsid w:val="005F245D"/>
    <w:rsid w:val="005F60FA"/>
    <w:rsid w:val="005F726F"/>
    <w:rsid w:val="005F77DF"/>
    <w:rsid w:val="0060069D"/>
    <w:rsid w:val="00602424"/>
    <w:rsid w:val="00604180"/>
    <w:rsid w:val="00604613"/>
    <w:rsid w:val="00605557"/>
    <w:rsid w:val="00607830"/>
    <w:rsid w:val="00607C2F"/>
    <w:rsid w:val="006100DD"/>
    <w:rsid w:val="00611CFE"/>
    <w:rsid w:val="00612649"/>
    <w:rsid w:val="00614627"/>
    <w:rsid w:val="00616130"/>
    <w:rsid w:val="006161E0"/>
    <w:rsid w:val="00616856"/>
    <w:rsid w:val="006170E3"/>
    <w:rsid w:val="006206EE"/>
    <w:rsid w:val="00622789"/>
    <w:rsid w:val="00622A1E"/>
    <w:rsid w:val="00622C55"/>
    <w:rsid w:val="00622DE5"/>
    <w:rsid w:val="00624375"/>
    <w:rsid w:val="006252FE"/>
    <w:rsid w:val="00625968"/>
    <w:rsid w:val="00625D69"/>
    <w:rsid w:val="00625FC7"/>
    <w:rsid w:val="00627337"/>
    <w:rsid w:val="00630C7D"/>
    <w:rsid w:val="00630EA6"/>
    <w:rsid w:val="0063188F"/>
    <w:rsid w:val="00635021"/>
    <w:rsid w:val="00635482"/>
    <w:rsid w:val="00636431"/>
    <w:rsid w:val="00641321"/>
    <w:rsid w:val="006422E9"/>
    <w:rsid w:val="00642DF2"/>
    <w:rsid w:val="00643444"/>
    <w:rsid w:val="006473B9"/>
    <w:rsid w:val="00653249"/>
    <w:rsid w:val="00653965"/>
    <w:rsid w:val="00656F39"/>
    <w:rsid w:val="00666526"/>
    <w:rsid w:val="00667309"/>
    <w:rsid w:val="00674702"/>
    <w:rsid w:val="00675B68"/>
    <w:rsid w:val="006771CF"/>
    <w:rsid w:val="00681239"/>
    <w:rsid w:val="00684340"/>
    <w:rsid w:val="006845A4"/>
    <w:rsid w:val="00687E2A"/>
    <w:rsid w:val="00687E5C"/>
    <w:rsid w:val="00693FF1"/>
    <w:rsid w:val="0069486D"/>
    <w:rsid w:val="00695434"/>
    <w:rsid w:val="00695B4E"/>
    <w:rsid w:val="00695E73"/>
    <w:rsid w:val="00695F10"/>
    <w:rsid w:val="00697651"/>
    <w:rsid w:val="006A042D"/>
    <w:rsid w:val="006A04BF"/>
    <w:rsid w:val="006A05E2"/>
    <w:rsid w:val="006A18EF"/>
    <w:rsid w:val="006A29E0"/>
    <w:rsid w:val="006A2FFD"/>
    <w:rsid w:val="006A7F83"/>
    <w:rsid w:val="006B16FC"/>
    <w:rsid w:val="006B67C9"/>
    <w:rsid w:val="006C2B4A"/>
    <w:rsid w:val="006C2D70"/>
    <w:rsid w:val="006C3264"/>
    <w:rsid w:val="006C509B"/>
    <w:rsid w:val="006C54CE"/>
    <w:rsid w:val="006D1FB5"/>
    <w:rsid w:val="006D325F"/>
    <w:rsid w:val="006D5525"/>
    <w:rsid w:val="006D63DF"/>
    <w:rsid w:val="006E0791"/>
    <w:rsid w:val="006E137B"/>
    <w:rsid w:val="006E247D"/>
    <w:rsid w:val="006E358F"/>
    <w:rsid w:val="006E592C"/>
    <w:rsid w:val="006E6B01"/>
    <w:rsid w:val="006E6E29"/>
    <w:rsid w:val="00702037"/>
    <w:rsid w:val="00703894"/>
    <w:rsid w:val="00705EA4"/>
    <w:rsid w:val="00711742"/>
    <w:rsid w:val="00717596"/>
    <w:rsid w:val="007178FE"/>
    <w:rsid w:val="00717F9F"/>
    <w:rsid w:val="0072153B"/>
    <w:rsid w:val="0072156C"/>
    <w:rsid w:val="00721671"/>
    <w:rsid w:val="00724108"/>
    <w:rsid w:val="00724A15"/>
    <w:rsid w:val="007326C6"/>
    <w:rsid w:val="0073502A"/>
    <w:rsid w:val="00736096"/>
    <w:rsid w:val="007364A7"/>
    <w:rsid w:val="0074047A"/>
    <w:rsid w:val="00741E0C"/>
    <w:rsid w:val="00743EA2"/>
    <w:rsid w:val="0074453A"/>
    <w:rsid w:val="0074522E"/>
    <w:rsid w:val="00746519"/>
    <w:rsid w:val="00751CA6"/>
    <w:rsid w:val="00752767"/>
    <w:rsid w:val="007527CD"/>
    <w:rsid w:val="00756840"/>
    <w:rsid w:val="0076104D"/>
    <w:rsid w:val="007616AB"/>
    <w:rsid w:val="00761DA0"/>
    <w:rsid w:val="00762F3C"/>
    <w:rsid w:val="007649A3"/>
    <w:rsid w:val="00772099"/>
    <w:rsid w:val="00774648"/>
    <w:rsid w:val="007760F2"/>
    <w:rsid w:val="0077677C"/>
    <w:rsid w:val="007808EB"/>
    <w:rsid w:val="007810B5"/>
    <w:rsid w:val="00784F49"/>
    <w:rsid w:val="007854AF"/>
    <w:rsid w:val="007902C2"/>
    <w:rsid w:val="0079650C"/>
    <w:rsid w:val="00797B07"/>
    <w:rsid w:val="00797DA6"/>
    <w:rsid w:val="007A240F"/>
    <w:rsid w:val="007A25C5"/>
    <w:rsid w:val="007A2F67"/>
    <w:rsid w:val="007B1D31"/>
    <w:rsid w:val="007C1614"/>
    <w:rsid w:val="007C3BDB"/>
    <w:rsid w:val="007C3FC6"/>
    <w:rsid w:val="007D55D3"/>
    <w:rsid w:val="007D5B96"/>
    <w:rsid w:val="007D6F1E"/>
    <w:rsid w:val="007D70FC"/>
    <w:rsid w:val="007E00A3"/>
    <w:rsid w:val="007E0BF0"/>
    <w:rsid w:val="007E18D5"/>
    <w:rsid w:val="007E2C10"/>
    <w:rsid w:val="007E55C0"/>
    <w:rsid w:val="007E5FCF"/>
    <w:rsid w:val="007E7102"/>
    <w:rsid w:val="007E7756"/>
    <w:rsid w:val="007E7A41"/>
    <w:rsid w:val="0080212F"/>
    <w:rsid w:val="00804184"/>
    <w:rsid w:val="008054FF"/>
    <w:rsid w:val="00806BFD"/>
    <w:rsid w:val="00807524"/>
    <w:rsid w:val="00807A0D"/>
    <w:rsid w:val="0081002E"/>
    <w:rsid w:val="008105F5"/>
    <w:rsid w:val="00811F04"/>
    <w:rsid w:val="00823102"/>
    <w:rsid w:val="00823ABF"/>
    <w:rsid w:val="008240C6"/>
    <w:rsid w:val="00831880"/>
    <w:rsid w:val="0083358B"/>
    <w:rsid w:val="008341CE"/>
    <w:rsid w:val="008363B6"/>
    <w:rsid w:val="00836626"/>
    <w:rsid w:val="00837C4D"/>
    <w:rsid w:val="00842933"/>
    <w:rsid w:val="00843519"/>
    <w:rsid w:val="00843527"/>
    <w:rsid w:val="00844E5C"/>
    <w:rsid w:val="00851356"/>
    <w:rsid w:val="008540DC"/>
    <w:rsid w:val="00854C45"/>
    <w:rsid w:val="00854D15"/>
    <w:rsid w:val="00862A45"/>
    <w:rsid w:val="008630CA"/>
    <w:rsid w:val="008663CA"/>
    <w:rsid w:val="008674EE"/>
    <w:rsid w:val="00870E09"/>
    <w:rsid w:val="00874628"/>
    <w:rsid w:val="00876917"/>
    <w:rsid w:val="008818EB"/>
    <w:rsid w:val="008840C6"/>
    <w:rsid w:val="00884E4A"/>
    <w:rsid w:val="00891CEC"/>
    <w:rsid w:val="00894E28"/>
    <w:rsid w:val="008958DB"/>
    <w:rsid w:val="008A0662"/>
    <w:rsid w:val="008A1BA2"/>
    <w:rsid w:val="008A2D0E"/>
    <w:rsid w:val="008A2D15"/>
    <w:rsid w:val="008A4DC4"/>
    <w:rsid w:val="008A73E0"/>
    <w:rsid w:val="008B117B"/>
    <w:rsid w:val="008B3DEC"/>
    <w:rsid w:val="008B681E"/>
    <w:rsid w:val="008B7EE3"/>
    <w:rsid w:val="008C0898"/>
    <w:rsid w:val="008C1DD1"/>
    <w:rsid w:val="008C22DE"/>
    <w:rsid w:val="008C49F3"/>
    <w:rsid w:val="008C4EF3"/>
    <w:rsid w:val="008C66C6"/>
    <w:rsid w:val="008C705B"/>
    <w:rsid w:val="008C7989"/>
    <w:rsid w:val="008D1E68"/>
    <w:rsid w:val="008D4001"/>
    <w:rsid w:val="008D6672"/>
    <w:rsid w:val="008D7E24"/>
    <w:rsid w:val="008E33A2"/>
    <w:rsid w:val="008E6BC1"/>
    <w:rsid w:val="00902163"/>
    <w:rsid w:val="0090268D"/>
    <w:rsid w:val="0090467A"/>
    <w:rsid w:val="00911020"/>
    <w:rsid w:val="00911C9F"/>
    <w:rsid w:val="00912562"/>
    <w:rsid w:val="009132DF"/>
    <w:rsid w:val="0092035F"/>
    <w:rsid w:val="009271C8"/>
    <w:rsid w:val="00931D87"/>
    <w:rsid w:val="009436F2"/>
    <w:rsid w:val="00944394"/>
    <w:rsid w:val="00944CEA"/>
    <w:rsid w:val="00945819"/>
    <w:rsid w:val="00951562"/>
    <w:rsid w:val="0095171F"/>
    <w:rsid w:val="00951B76"/>
    <w:rsid w:val="009527D9"/>
    <w:rsid w:val="00952CD2"/>
    <w:rsid w:val="00955635"/>
    <w:rsid w:val="009565E0"/>
    <w:rsid w:val="009600C8"/>
    <w:rsid w:val="0096240B"/>
    <w:rsid w:val="009677C0"/>
    <w:rsid w:val="00967DB2"/>
    <w:rsid w:val="00974CDD"/>
    <w:rsid w:val="00982AC4"/>
    <w:rsid w:val="00992748"/>
    <w:rsid w:val="0099421E"/>
    <w:rsid w:val="00996E42"/>
    <w:rsid w:val="00996E4F"/>
    <w:rsid w:val="0099728C"/>
    <w:rsid w:val="00997A66"/>
    <w:rsid w:val="009A00D8"/>
    <w:rsid w:val="009A0260"/>
    <w:rsid w:val="009A1CDC"/>
    <w:rsid w:val="009A245A"/>
    <w:rsid w:val="009A34A5"/>
    <w:rsid w:val="009A5550"/>
    <w:rsid w:val="009B06E4"/>
    <w:rsid w:val="009B3C7A"/>
    <w:rsid w:val="009B4F70"/>
    <w:rsid w:val="009B62ED"/>
    <w:rsid w:val="009C1E4E"/>
    <w:rsid w:val="009C49C7"/>
    <w:rsid w:val="009C541E"/>
    <w:rsid w:val="009C66E3"/>
    <w:rsid w:val="009C6FEB"/>
    <w:rsid w:val="009D1CFE"/>
    <w:rsid w:val="009D2198"/>
    <w:rsid w:val="009D3916"/>
    <w:rsid w:val="009D6F03"/>
    <w:rsid w:val="009D7444"/>
    <w:rsid w:val="009E0515"/>
    <w:rsid w:val="009E2262"/>
    <w:rsid w:val="009E36F1"/>
    <w:rsid w:val="009E6F2A"/>
    <w:rsid w:val="009F0FAB"/>
    <w:rsid w:val="009F1065"/>
    <w:rsid w:val="009F6BD3"/>
    <w:rsid w:val="00A00B26"/>
    <w:rsid w:val="00A034A0"/>
    <w:rsid w:val="00A04079"/>
    <w:rsid w:val="00A05BAD"/>
    <w:rsid w:val="00A117D7"/>
    <w:rsid w:val="00A11BF2"/>
    <w:rsid w:val="00A12652"/>
    <w:rsid w:val="00A13B04"/>
    <w:rsid w:val="00A148C1"/>
    <w:rsid w:val="00A21993"/>
    <w:rsid w:val="00A240A7"/>
    <w:rsid w:val="00A25DEC"/>
    <w:rsid w:val="00A324C6"/>
    <w:rsid w:val="00A36102"/>
    <w:rsid w:val="00A36875"/>
    <w:rsid w:val="00A405D3"/>
    <w:rsid w:val="00A4470B"/>
    <w:rsid w:val="00A45C91"/>
    <w:rsid w:val="00A47188"/>
    <w:rsid w:val="00A50048"/>
    <w:rsid w:val="00A50365"/>
    <w:rsid w:val="00A51C35"/>
    <w:rsid w:val="00A545F9"/>
    <w:rsid w:val="00A62964"/>
    <w:rsid w:val="00A62B42"/>
    <w:rsid w:val="00A63200"/>
    <w:rsid w:val="00A646FC"/>
    <w:rsid w:val="00A65BBE"/>
    <w:rsid w:val="00A65FDF"/>
    <w:rsid w:val="00A71316"/>
    <w:rsid w:val="00A74D82"/>
    <w:rsid w:val="00A77A34"/>
    <w:rsid w:val="00A80D6F"/>
    <w:rsid w:val="00A82889"/>
    <w:rsid w:val="00A8367C"/>
    <w:rsid w:val="00A86417"/>
    <w:rsid w:val="00A9281B"/>
    <w:rsid w:val="00A961F0"/>
    <w:rsid w:val="00A963CA"/>
    <w:rsid w:val="00A978EA"/>
    <w:rsid w:val="00AA0DED"/>
    <w:rsid w:val="00AA3408"/>
    <w:rsid w:val="00AA56AC"/>
    <w:rsid w:val="00AA64DC"/>
    <w:rsid w:val="00AB0C16"/>
    <w:rsid w:val="00AB17DD"/>
    <w:rsid w:val="00AB2DF2"/>
    <w:rsid w:val="00AB3160"/>
    <w:rsid w:val="00AB6D03"/>
    <w:rsid w:val="00AC150F"/>
    <w:rsid w:val="00AC3017"/>
    <w:rsid w:val="00AC47A2"/>
    <w:rsid w:val="00AD0830"/>
    <w:rsid w:val="00AD3D48"/>
    <w:rsid w:val="00AD46E2"/>
    <w:rsid w:val="00AD5175"/>
    <w:rsid w:val="00AD565F"/>
    <w:rsid w:val="00AD6E04"/>
    <w:rsid w:val="00AD6FC7"/>
    <w:rsid w:val="00AE2750"/>
    <w:rsid w:val="00AE2FEE"/>
    <w:rsid w:val="00AE3C12"/>
    <w:rsid w:val="00AE40AC"/>
    <w:rsid w:val="00AE60FB"/>
    <w:rsid w:val="00AE7ABF"/>
    <w:rsid w:val="00AF5DE1"/>
    <w:rsid w:val="00AF67C5"/>
    <w:rsid w:val="00B01DA2"/>
    <w:rsid w:val="00B022F5"/>
    <w:rsid w:val="00B04F94"/>
    <w:rsid w:val="00B11476"/>
    <w:rsid w:val="00B11937"/>
    <w:rsid w:val="00B11B48"/>
    <w:rsid w:val="00B13B7F"/>
    <w:rsid w:val="00B15D52"/>
    <w:rsid w:val="00B165CB"/>
    <w:rsid w:val="00B16A12"/>
    <w:rsid w:val="00B22F0D"/>
    <w:rsid w:val="00B23027"/>
    <w:rsid w:val="00B2480E"/>
    <w:rsid w:val="00B260C3"/>
    <w:rsid w:val="00B268C2"/>
    <w:rsid w:val="00B26A68"/>
    <w:rsid w:val="00B3089A"/>
    <w:rsid w:val="00B32956"/>
    <w:rsid w:val="00B32F87"/>
    <w:rsid w:val="00B35263"/>
    <w:rsid w:val="00B35D69"/>
    <w:rsid w:val="00B361B3"/>
    <w:rsid w:val="00B366E5"/>
    <w:rsid w:val="00B410AE"/>
    <w:rsid w:val="00B41AE8"/>
    <w:rsid w:val="00B42B54"/>
    <w:rsid w:val="00B43896"/>
    <w:rsid w:val="00B44184"/>
    <w:rsid w:val="00B50692"/>
    <w:rsid w:val="00B51957"/>
    <w:rsid w:val="00B55762"/>
    <w:rsid w:val="00B55812"/>
    <w:rsid w:val="00B56A74"/>
    <w:rsid w:val="00B6126A"/>
    <w:rsid w:val="00B619A1"/>
    <w:rsid w:val="00B62D9B"/>
    <w:rsid w:val="00B62FD1"/>
    <w:rsid w:val="00B66236"/>
    <w:rsid w:val="00B667E4"/>
    <w:rsid w:val="00B703F6"/>
    <w:rsid w:val="00B721CC"/>
    <w:rsid w:val="00B73CE0"/>
    <w:rsid w:val="00B74688"/>
    <w:rsid w:val="00B74A64"/>
    <w:rsid w:val="00B76CB3"/>
    <w:rsid w:val="00B81971"/>
    <w:rsid w:val="00B824AA"/>
    <w:rsid w:val="00B84C81"/>
    <w:rsid w:val="00B85E1C"/>
    <w:rsid w:val="00B8704C"/>
    <w:rsid w:val="00B879C0"/>
    <w:rsid w:val="00B87B79"/>
    <w:rsid w:val="00B90B4B"/>
    <w:rsid w:val="00B91C16"/>
    <w:rsid w:val="00B9309E"/>
    <w:rsid w:val="00B938C0"/>
    <w:rsid w:val="00BA08A8"/>
    <w:rsid w:val="00BA1ABA"/>
    <w:rsid w:val="00BA220A"/>
    <w:rsid w:val="00BA2D30"/>
    <w:rsid w:val="00BA46B9"/>
    <w:rsid w:val="00BA6FA9"/>
    <w:rsid w:val="00BB23F6"/>
    <w:rsid w:val="00BB2B65"/>
    <w:rsid w:val="00BB3FEA"/>
    <w:rsid w:val="00BB40CD"/>
    <w:rsid w:val="00BB5205"/>
    <w:rsid w:val="00BB5CAC"/>
    <w:rsid w:val="00BB76D5"/>
    <w:rsid w:val="00BC14DC"/>
    <w:rsid w:val="00BC1762"/>
    <w:rsid w:val="00BC6847"/>
    <w:rsid w:val="00BC6ABE"/>
    <w:rsid w:val="00BD1DDC"/>
    <w:rsid w:val="00BD78C2"/>
    <w:rsid w:val="00BE2D78"/>
    <w:rsid w:val="00BE5DD3"/>
    <w:rsid w:val="00BE6CB4"/>
    <w:rsid w:val="00BF17C4"/>
    <w:rsid w:val="00BF42F6"/>
    <w:rsid w:val="00BF7E7E"/>
    <w:rsid w:val="00C01D97"/>
    <w:rsid w:val="00C0298B"/>
    <w:rsid w:val="00C02F39"/>
    <w:rsid w:val="00C03DF1"/>
    <w:rsid w:val="00C057ED"/>
    <w:rsid w:val="00C06A06"/>
    <w:rsid w:val="00C0734E"/>
    <w:rsid w:val="00C07A50"/>
    <w:rsid w:val="00C10D22"/>
    <w:rsid w:val="00C11141"/>
    <w:rsid w:val="00C133CF"/>
    <w:rsid w:val="00C15484"/>
    <w:rsid w:val="00C246B9"/>
    <w:rsid w:val="00C250C6"/>
    <w:rsid w:val="00C27CC8"/>
    <w:rsid w:val="00C30457"/>
    <w:rsid w:val="00C32D7F"/>
    <w:rsid w:val="00C33C8C"/>
    <w:rsid w:val="00C427C0"/>
    <w:rsid w:val="00C447A9"/>
    <w:rsid w:val="00C453E3"/>
    <w:rsid w:val="00C45AFC"/>
    <w:rsid w:val="00C47352"/>
    <w:rsid w:val="00C47B90"/>
    <w:rsid w:val="00C52A22"/>
    <w:rsid w:val="00C539EB"/>
    <w:rsid w:val="00C56078"/>
    <w:rsid w:val="00C577BD"/>
    <w:rsid w:val="00C57E5C"/>
    <w:rsid w:val="00C6191C"/>
    <w:rsid w:val="00C63C0E"/>
    <w:rsid w:val="00C63D66"/>
    <w:rsid w:val="00C6415B"/>
    <w:rsid w:val="00C65B1C"/>
    <w:rsid w:val="00C668DD"/>
    <w:rsid w:val="00C67A77"/>
    <w:rsid w:val="00C731EE"/>
    <w:rsid w:val="00C742A8"/>
    <w:rsid w:val="00C75DA9"/>
    <w:rsid w:val="00C77312"/>
    <w:rsid w:val="00C7760A"/>
    <w:rsid w:val="00C77C56"/>
    <w:rsid w:val="00C82D58"/>
    <w:rsid w:val="00C859A0"/>
    <w:rsid w:val="00C90BA5"/>
    <w:rsid w:val="00C9264B"/>
    <w:rsid w:val="00C92E27"/>
    <w:rsid w:val="00C943ED"/>
    <w:rsid w:val="00C946CC"/>
    <w:rsid w:val="00C94DE4"/>
    <w:rsid w:val="00CA0D07"/>
    <w:rsid w:val="00CA4364"/>
    <w:rsid w:val="00CA4476"/>
    <w:rsid w:val="00CA4EF8"/>
    <w:rsid w:val="00CA5028"/>
    <w:rsid w:val="00CB06B5"/>
    <w:rsid w:val="00CB2402"/>
    <w:rsid w:val="00CB6B23"/>
    <w:rsid w:val="00CB70F7"/>
    <w:rsid w:val="00CD1C0F"/>
    <w:rsid w:val="00CD2418"/>
    <w:rsid w:val="00CD2B33"/>
    <w:rsid w:val="00CD5E28"/>
    <w:rsid w:val="00CE7065"/>
    <w:rsid w:val="00CF5704"/>
    <w:rsid w:val="00CF697F"/>
    <w:rsid w:val="00D0144F"/>
    <w:rsid w:val="00D01B6E"/>
    <w:rsid w:val="00D06885"/>
    <w:rsid w:val="00D10AAF"/>
    <w:rsid w:val="00D12651"/>
    <w:rsid w:val="00D12FFB"/>
    <w:rsid w:val="00D14983"/>
    <w:rsid w:val="00D153EA"/>
    <w:rsid w:val="00D20722"/>
    <w:rsid w:val="00D2082B"/>
    <w:rsid w:val="00D210E1"/>
    <w:rsid w:val="00D2162C"/>
    <w:rsid w:val="00D27A6F"/>
    <w:rsid w:val="00D32C60"/>
    <w:rsid w:val="00D35EDA"/>
    <w:rsid w:val="00D45F04"/>
    <w:rsid w:val="00D479E1"/>
    <w:rsid w:val="00D52E85"/>
    <w:rsid w:val="00D54781"/>
    <w:rsid w:val="00D55234"/>
    <w:rsid w:val="00D5628C"/>
    <w:rsid w:val="00D56FE3"/>
    <w:rsid w:val="00D57989"/>
    <w:rsid w:val="00D61C2E"/>
    <w:rsid w:val="00D63A31"/>
    <w:rsid w:val="00D674F6"/>
    <w:rsid w:val="00D779F9"/>
    <w:rsid w:val="00D8162B"/>
    <w:rsid w:val="00D81F18"/>
    <w:rsid w:val="00D85863"/>
    <w:rsid w:val="00D90014"/>
    <w:rsid w:val="00D91956"/>
    <w:rsid w:val="00D91E61"/>
    <w:rsid w:val="00D92691"/>
    <w:rsid w:val="00D92D5B"/>
    <w:rsid w:val="00D938CA"/>
    <w:rsid w:val="00D952A9"/>
    <w:rsid w:val="00D96A3E"/>
    <w:rsid w:val="00DB1A70"/>
    <w:rsid w:val="00DB1B9A"/>
    <w:rsid w:val="00DB264B"/>
    <w:rsid w:val="00DB4A24"/>
    <w:rsid w:val="00DB59AE"/>
    <w:rsid w:val="00DC04CF"/>
    <w:rsid w:val="00DC25D3"/>
    <w:rsid w:val="00DC2787"/>
    <w:rsid w:val="00DC4423"/>
    <w:rsid w:val="00DC60BE"/>
    <w:rsid w:val="00DC7BBB"/>
    <w:rsid w:val="00DD3852"/>
    <w:rsid w:val="00DD3C3F"/>
    <w:rsid w:val="00DD4C14"/>
    <w:rsid w:val="00DE071F"/>
    <w:rsid w:val="00DF13EB"/>
    <w:rsid w:val="00DF1791"/>
    <w:rsid w:val="00DF4CC1"/>
    <w:rsid w:val="00DF5C1A"/>
    <w:rsid w:val="00DF6348"/>
    <w:rsid w:val="00DF6E27"/>
    <w:rsid w:val="00E01216"/>
    <w:rsid w:val="00E02036"/>
    <w:rsid w:val="00E02276"/>
    <w:rsid w:val="00E045EA"/>
    <w:rsid w:val="00E0759D"/>
    <w:rsid w:val="00E113E5"/>
    <w:rsid w:val="00E11760"/>
    <w:rsid w:val="00E14B50"/>
    <w:rsid w:val="00E15BE8"/>
    <w:rsid w:val="00E20CD5"/>
    <w:rsid w:val="00E22584"/>
    <w:rsid w:val="00E25D67"/>
    <w:rsid w:val="00E30903"/>
    <w:rsid w:val="00E33180"/>
    <w:rsid w:val="00E35077"/>
    <w:rsid w:val="00E35715"/>
    <w:rsid w:val="00E35E3F"/>
    <w:rsid w:val="00E40750"/>
    <w:rsid w:val="00E411A0"/>
    <w:rsid w:val="00E44562"/>
    <w:rsid w:val="00E45087"/>
    <w:rsid w:val="00E51330"/>
    <w:rsid w:val="00E51E4A"/>
    <w:rsid w:val="00E543C2"/>
    <w:rsid w:val="00E5464B"/>
    <w:rsid w:val="00E5534B"/>
    <w:rsid w:val="00E55716"/>
    <w:rsid w:val="00E603F8"/>
    <w:rsid w:val="00E61E67"/>
    <w:rsid w:val="00E62ACB"/>
    <w:rsid w:val="00E63E52"/>
    <w:rsid w:val="00E63F76"/>
    <w:rsid w:val="00E674BE"/>
    <w:rsid w:val="00E678D9"/>
    <w:rsid w:val="00E70CF7"/>
    <w:rsid w:val="00E71A3E"/>
    <w:rsid w:val="00E71C4E"/>
    <w:rsid w:val="00E72535"/>
    <w:rsid w:val="00E737BD"/>
    <w:rsid w:val="00E74AD8"/>
    <w:rsid w:val="00E84405"/>
    <w:rsid w:val="00E84A33"/>
    <w:rsid w:val="00E97335"/>
    <w:rsid w:val="00E97BFD"/>
    <w:rsid w:val="00EA09E2"/>
    <w:rsid w:val="00EA1AF5"/>
    <w:rsid w:val="00EA4B94"/>
    <w:rsid w:val="00EB1709"/>
    <w:rsid w:val="00EB2676"/>
    <w:rsid w:val="00EB2BC9"/>
    <w:rsid w:val="00EB3399"/>
    <w:rsid w:val="00EB3AAB"/>
    <w:rsid w:val="00EB655D"/>
    <w:rsid w:val="00EC0552"/>
    <w:rsid w:val="00EC40EF"/>
    <w:rsid w:val="00EC55C1"/>
    <w:rsid w:val="00EC679C"/>
    <w:rsid w:val="00ED0A2B"/>
    <w:rsid w:val="00ED1EE3"/>
    <w:rsid w:val="00ED2360"/>
    <w:rsid w:val="00ED3344"/>
    <w:rsid w:val="00ED42E5"/>
    <w:rsid w:val="00ED67E0"/>
    <w:rsid w:val="00ED6BBF"/>
    <w:rsid w:val="00EE10E1"/>
    <w:rsid w:val="00EE231F"/>
    <w:rsid w:val="00EE3936"/>
    <w:rsid w:val="00EE441E"/>
    <w:rsid w:val="00EF0321"/>
    <w:rsid w:val="00EF04A8"/>
    <w:rsid w:val="00EF27B9"/>
    <w:rsid w:val="00EF3D14"/>
    <w:rsid w:val="00EF523B"/>
    <w:rsid w:val="00EF55FD"/>
    <w:rsid w:val="00EF5BF4"/>
    <w:rsid w:val="00EF5D6B"/>
    <w:rsid w:val="00EF6C25"/>
    <w:rsid w:val="00EF71C9"/>
    <w:rsid w:val="00F00EEA"/>
    <w:rsid w:val="00F018CF"/>
    <w:rsid w:val="00F01F75"/>
    <w:rsid w:val="00F02B45"/>
    <w:rsid w:val="00F02E2D"/>
    <w:rsid w:val="00F04D0A"/>
    <w:rsid w:val="00F10C44"/>
    <w:rsid w:val="00F140E1"/>
    <w:rsid w:val="00F14F05"/>
    <w:rsid w:val="00F16C6E"/>
    <w:rsid w:val="00F17232"/>
    <w:rsid w:val="00F22067"/>
    <w:rsid w:val="00F2208E"/>
    <w:rsid w:val="00F231A6"/>
    <w:rsid w:val="00F24094"/>
    <w:rsid w:val="00F2417D"/>
    <w:rsid w:val="00F2648A"/>
    <w:rsid w:val="00F267FC"/>
    <w:rsid w:val="00F310FC"/>
    <w:rsid w:val="00F31A73"/>
    <w:rsid w:val="00F31A94"/>
    <w:rsid w:val="00F31BF9"/>
    <w:rsid w:val="00F32929"/>
    <w:rsid w:val="00F34DFC"/>
    <w:rsid w:val="00F4019A"/>
    <w:rsid w:val="00F40D49"/>
    <w:rsid w:val="00F418EA"/>
    <w:rsid w:val="00F436BA"/>
    <w:rsid w:val="00F44B08"/>
    <w:rsid w:val="00F46181"/>
    <w:rsid w:val="00F519FC"/>
    <w:rsid w:val="00F544E1"/>
    <w:rsid w:val="00F54663"/>
    <w:rsid w:val="00F54921"/>
    <w:rsid w:val="00F565B6"/>
    <w:rsid w:val="00F62A45"/>
    <w:rsid w:val="00F65748"/>
    <w:rsid w:val="00F71345"/>
    <w:rsid w:val="00F71655"/>
    <w:rsid w:val="00F71A41"/>
    <w:rsid w:val="00F71A75"/>
    <w:rsid w:val="00F77458"/>
    <w:rsid w:val="00F77A5D"/>
    <w:rsid w:val="00F80CAD"/>
    <w:rsid w:val="00F8205B"/>
    <w:rsid w:val="00F82BD2"/>
    <w:rsid w:val="00F85D83"/>
    <w:rsid w:val="00F86FB3"/>
    <w:rsid w:val="00F87245"/>
    <w:rsid w:val="00F93451"/>
    <w:rsid w:val="00F935C0"/>
    <w:rsid w:val="00F93F04"/>
    <w:rsid w:val="00F942A6"/>
    <w:rsid w:val="00F970D0"/>
    <w:rsid w:val="00F97132"/>
    <w:rsid w:val="00FA0D2B"/>
    <w:rsid w:val="00FA3A7D"/>
    <w:rsid w:val="00FB18D7"/>
    <w:rsid w:val="00FB20F6"/>
    <w:rsid w:val="00FB4415"/>
    <w:rsid w:val="00FB4FD3"/>
    <w:rsid w:val="00FB58C7"/>
    <w:rsid w:val="00FC1153"/>
    <w:rsid w:val="00FC1BF5"/>
    <w:rsid w:val="00FC3313"/>
    <w:rsid w:val="00FC3CC7"/>
    <w:rsid w:val="00FC45B5"/>
    <w:rsid w:val="00FC4A32"/>
    <w:rsid w:val="00FC794A"/>
    <w:rsid w:val="00FD2584"/>
    <w:rsid w:val="00FD393F"/>
    <w:rsid w:val="00FD4185"/>
    <w:rsid w:val="00FD4248"/>
    <w:rsid w:val="00FD50B5"/>
    <w:rsid w:val="00FD6239"/>
    <w:rsid w:val="00FD6D86"/>
    <w:rsid w:val="00FE1D35"/>
    <w:rsid w:val="00FE3832"/>
    <w:rsid w:val="00FF0B33"/>
    <w:rsid w:val="00FF40D6"/>
    <w:rsid w:val="00FF4B12"/>
    <w:rsid w:val="00FF6628"/>
    <w:rsid w:val="00FF7D8A"/>
    <w:rsid w:val="1009C638"/>
    <w:rsid w:val="692DB43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AD3FB35"/>
  <w15:docId w15:val="{ACB0253F-C614-4ED7-8BE7-166CF8384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652"/>
    <w:rPr>
      <w:rFonts w:ascii="Times New Roman" w:eastAsia="MS Mincho" w:hAnsi="Times New Roman" w:cs="Times New Roman"/>
      <w:sz w:val="24"/>
      <w:szCs w:val="24"/>
      <w:lang w:val="es-ES" w:eastAsia="es-ES"/>
    </w:rPr>
  </w:style>
  <w:style w:type="paragraph" w:styleId="Ttulo1">
    <w:name w:val="heading 1"/>
    <w:aliases w:val="TituloPrincipal"/>
    <w:basedOn w:val="Normal"/>
    <w:next w:val="Normal"/>
    <w:link w:val="Ttulo1Car"/>
    <w:uiPriority w:val="9"/>
    <w:qFormat/>
    <w:rsid w:val="002F2BC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2F2BC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2F2BCC"/>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3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aliases w:val="List,Normal. Viñetas,titulo 3,Ha,Bullets,Lista vistosa - Énfasis 11,Cuadrícula clara - Énfasis 31,List Paragraph_0,List Paragraph_1,List Paragraph"/>
    <w:basedOn w:val="Normal"/>
    <w:link w:val="PrrafodelistaCar"/>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uiPriority w:val="99"/>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uiPriority w:val="99"/>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uiPriority w:val="99"/>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uiPriority w:val="99"/>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aliases w:val="Subtitulo"/>
    <w:link w:val="SinespaciadoCar"/>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unhideWhenUsed/>
    <w:rsid w:val="00CB6B23"/>
    <w:rPr>
      <w:sz w:val="20"/>
      <w:szCs w:val="20"/>
    </w:rPr>
  </w:style>
  <w:style w:type="character" w:customStyle="1" w:styleId="TextocomentarioCar">
    <w:name w:val="Texto comentario Car"/>
    <w:basedOn w:val="Fuentedeprrafopredeter"/>
    <w:link w:val="Textocomentario"/>
    <w:uiPriority w:val="99"/>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0D6114"/>
    <w:pPr>
      <w:spacing w:before="100" w:beforeAutospacing="1" w:after="119"/>
    </w:pPr>
    <w:rPr>
      <w:rFonts w:eastAsia="Calibri"/>
    </w:rPr>
  </w:style>
  <w:style w:type="character" w:customStyle="1" w:styleId="Ttulo1Car">
    <w:name w:val="Título 1 Car"/>
    <w:aliases w:val="TituloPrincipal Car"/>
    <w:basedOn w:val="Fuentedeprrafopredeter"/>
    <w:link w:val="Ttulo1"/>
    <w:uiPriority w:val="9"/>
    <w:rsid w:val="002F2BCC"/>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uiPriority w:val="9"/>
    <w:rsid w:val="002F2BCC"/>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uiPriority w:val="9"/>
    <w:rsid w:val="002F2BCC"/>
    <w:rPr>
      <w:rFonts w:asciiTheme="majorHAnsi" w:eastAsiaTheme="majorEastAsia" w:hAnsiTheme="majorHAnsi" w:cstheme="majorBidi"/>
      <w:color w:val="243F60" w:themeColor="accent1" w:themeShade="7F"/>
      <w:sz w:val="24"/>
      <w:szCs w:val="24"/>
      <w:lang w:val="es-ES" w:eastAsia="es-ES"/>
    </w:rPr>
  </w:style>
  <w:style w:type="character" w:styleId="Hipervnculovisitado">
    <w:name w:val="FollowedHyperlink"/>
    <w:basedOn w:val="Fuentedeprrafopredeter"/>
    <w:uiPriority w:val="99"/>
    <w:semiHidden/>
    <w:unhideWhenUsed/>
    <w:rsid w:val="002F2BCC"/>
    <w:rPr>
      <w:color w:val="800080" w:themeColor="followedHyperlink"/>
      <w:u w:val="single"/>
    </w:rPr>
  </w:style>
  <w:style w:type="character" w:customStyle="1" w:styleId="Ttulo1Car1">
    <w:name w:val="Título 1 Car1"/>
    <w:aliases w:val="TituloPrincipal Car1"/>
    <w:basedOn w:val="Fuentedeprrafopredeter"/>
    <w:uiPriority w:val="9"/>
    <w:rsid w:val="002F2BCC"/>
    <w:rPr>
      <w:rFonts w:asciiTheme="majorHAnsi" w:eastAsiaTheme="majorEastAsia" w:hAnsiTheme="majorHAnsi" w:cstheme="majorBidi"/>
      <w:color w:val="365F91" w:themeColor="accent1" w:themeShade="BF"/>
      <w:sz w:val="32"/>
      <w:szCs w:val="32"/>
      <w:lang w:val="es-ES" w:eastAsia="es-ES"/>
    </w:rPr>
  </w:style>
  <w:style w:type="paragraph" w:customStyle="1" w:styleId="msonormal0">
    <w:name w:val="msonormal"/>
    <w:basedOn w:val="Normal"/>
    <w:uiPriority w:val="99"/>
    <w:rsid w:val="002F2BCC"/>
    <w:pPr>
      <w:spacing w:before="100" w:beforeAutospacing="1" w:after="119"/>
    </w:pPr>
    <w:rPr>
      <w:rFonts w:eastAsia="Calibri"/>
    </w:rPr>
  </w:style>
  <w:style w:type="character" w:customStyle="1" w:styleId="TextonotapieCar">
    <w:name w:val="Texto nota pie Car"/>
    <w:aliases w:val="Ref. de nota al pie1 Car,Footnote Text Char Car,Footnote Text Char Char Char Char Car,Footnote Text Char Char Char Char Char Char Char Char Car,FA Fu Car,ft Car Car Car Car,texto de nota al pie Car,Nota a pie/Bibliog Car"/>
    <w:basedOn w:val="Fuentedeprrafopredeter"/>
    <w:link w:val="Textonotapie"/>
    <w:uiPriority w:val="99"/>
    <w:locked/>
    <w:rsid w:val="002F2BCC"/>
    <w:rPr>
      <w:sz w:val="20"/>
      <w:szCs w:val="20"/>
    </w:rPr>
  </w:style>
  <w:style w:type="paragraph" w:styleId="Textonotapie">
    <w:name w:val="footnote text"/>
    <w:aliases w:val="Ref. de nota al pie1,Footnote Text Char,Footnote Text Char Char Char Char,Footnote Text Char Char Char Char Char Char Char Char,FA Fu,ft Car Car Car,texto de nota al pie,Nota a pie/Bibliog,Texto nota pie Car Car"/>
    <w:basedOn w:val="Normal"/>
    <w:link w:val="TextonotapieCar"/>
    <w:uiPriority w:val="99"/>
    <w:unhideWhenUsed/>
    <w:qFormat/>
    <w:rsid w:val="002F2BCC"/>
    <w:rPr>
      <w:rFonts w:asciiTheme="minorHAnsi" w:eastAsiaTheme="minorHAnsi" w:hAnsiTheme="minorHAnsi" w:cstheme="minorBidi"/>
      <w:sz w:val="20"/>
      <w:szCs w:val="20"/>
      <w:lang w:val="es-CO" w:eastAsia="en-US"/>
    </w:rPr>
  </w:style>
  <w:style w:type="character" w:customStyle="1" w:styleId="TextonotapieCar1">
    <w:name w:val="Texto nota pie Car1"/>
    <w:aliases w:val="Ref. de nota al pie1 Car1,Footnote Text Char Car1,Footnote Text Char Char Char Char Car1,Footnote Text Char Char Char Char Char Char Char Char Car1,FA Fu Car1,ft Car Car Car Car1,texto de nota al pie Car1,Nota a pie/Bibliog Car1"/>
    <w:basedOn w:val="Fuentedeprrafopredeter"/>
    <w:uiPriority w:val="99"/>
    <w:semiHidden/>
    <w:rsid w:val="002F2BCC"/>
    <w:rPr>
      <w:rFonts w:ascii="Times New Roman" w:eastAsia="MS Mincho" w:hAnsi="Times New Roman" w:cs="Times New Roman"/>
      <w:sz w:val="20"/>
      <w:szCs w:val="20"/>
      <w:lang w:val="es-ES" w:eastAsia="es-ES"/>
    </w:rPr>
  </w:style>
  <w:style w:type="character" w:customStyle="1" w:styleId="SubttuloCar">
    <w:name w:val="Subtítulo Car"/>
    <w:aliases w:val="Tablas Car"/>
    <w:basedOn w:val="Fuentedeprrafopredeter"/>
    <w:link w:val="Subttulo"/>
    <w:uiPriority w:val="11"/>
    <w:locked/>
    <w:rsid w:val="002F2BCC"/>
    <w:rPr>
      <w:rFonts w:ascii="Arial" w:eastAsiaTheme="majorEastAsia" w:hAnsi="Arial" w:cstheme="majorBidi"/>
      <w:iCs/>
      <w:spacing w:val="15"/>
      <w:sz w:val="16"/>
      <w:szCs w:val="24"/>
      <w:lang w:val="es-ES" w:eastAsia="es-ES"/>
    </w:rPr>
  </w:style>
  <w:style w:type="paragraph" w:styleId="Subttulo">
    <w:name w:val="Subtitle"/>
    <w:aliases w:val="Tablas"/>
    <w:basedOn w:val="Normal"/>
    <w:next w:val="Normal"/>
    <w:link w:val="SubttuloCar"/>
    <w:uiPriority w:val="11"/>
    <w:qFormat/>
    <w:rsid w:val="002F2BCC"/>
    <w:pPr>
      <w:jc w:val="both"/>
    </w:pPr>
    <w:rPr>
      <w:rFonts w:ascii="Arial" w:eastAsiaTheme="majorEastAsia" w:hAnsi="Arial" w:cstheme="majorBidi"/>
      <w:iCs/>
      <w:spacing w:val="15"/>
      <w:sz w:val="16"/>
    </w:rPr>
  </w:style>
  <w:style w:type="character" w:customStyle="1" w:styleId="SubttuloCar1">
    <w:name w:val="Subtítulo Car1"/>
    <w:aliases w:val="Tablas Car1"/>
    <w:basedOn w:val="Fuentedeprrafopredeter"/>
    <w:uiPriority w:val="11"/>
    <w:rsid w:val="002F2BCC"/>
    <w:rPr>
      <w:rFonts w:eastAsiaTheme="minorEastAsia"/>
      <w:color w:val="5A5A5A" w:themeColor="text1" w:themeTint="A5"/>
      <w:spacing w:val="15"/>
      <w:lang w:val="es-ES" w:eastAsia="es-ES"/>
    </w:rPr>
  </w:style>
  <w:style w:type="paragraph" w:styleId="Textoindependiente2">
    <w:name w:val="Body Text 2"/>
    <w:basedOn w:val="Normal"/>
    <w:link w:val="Textoindependiente2Car"/>
    <w:uiPriority w:val="99"/>
    <w:semiHidden/>
    <w:unhideWhenUsed/>
    <w:rsid w:val="002F2BCC"/>
    <w:pPr>
      <w:jc w:val="both"/>
    </w:pPr>
    <w:rPr>
      <w:rFonts w:ascii="Arial" w:eastAsia="Times New Roman" w:hAnsi="Arial"/>
      <w:sz w:val="20"/>
      <w:szCs w:val="20"/>
      <w:lang w:val="es-ES_tradnl"/>
    </w:rPr>
  </w:style>
  <w:style w:type="character" w:customStyle="1" w:styleId="Textoindependiente2Car">
    <w:name w:val="Texto independiente 2 Car"/>
    <w:basedOn w:val="Fuentedeprrafopredeter"/>
    <w:link w:val="Textoindependiente2"/>
    <w:uiPriority w:val="99"/>
    <w:semiHidden/>
    <w:rsid w:val="002F2BCC"/>
    <w:rPr>
      <w:rFonts w:ascii="Arial" w:eastAsia="Times New Roman" w:hAnsi="Arial" w:cs="Times New Roman"/>
      <w:sz w:val="20"/>
      <w:szCs w:val="20"/>
      <w:lang w:val="es-ES_tradnl" w:eastAsia="es-ES"/>
    </w:rPr>
  </w:style>
  <w:style w:type="character" w:customStyle="1" w:styleId="SinespaciadoCar">
    <w:name w:val="Sin espaciado Car"/>
    <w:aliases w:val="Subtitulo Car"/>
    <w:basedOn w:val="Fuentedeprrafopredeter"/>
    <w:link w:val="Sinespaciado"/>
    <w:uiPriority w:val="1"/>
    <w:locked/>
    <w:rsid w:val="002F2BCC"/>
  </w:style>
  <w:style w:type="character" w:customStyle="1" w:styleId="PrrafodelistaCar">
    <w:name w:val="Párrafo de lista Car"/>
    <w:aliases w:val="List Car,Normal. Viñetas Car,titulo 3 Car,Ha Car,Bullets Car,Lista vistosa - Énfasis 11 Car,Cuadrícula clara - Énfasis 31 Car,List Paragraph_0 Car,List Paragraph_1 Car,List Paragraph Car"/>
    <w:link w:val="Prrafodelista"/>
    <w:uiPriority w:val="34"/>
    <w:locked/>
    <w:rsid w:val="002F2BCC"/>
    <w:rPr>
      <w:rFonts w:ascii="Times New Roman" w:eastAsia="MS Mincho" w:hAnsi="Times New Roman" w:cs="Times New Roman"/>
      <w:sz w:val="24"/>
      <w:szCs w:val="24"/>
      <w:lang w:val="es-ES" w:eastAsia="es-ES"/>
    </w:rPr>
  </w:style>
  <w:style w:type="paragraph" w:customStyle="1" w:styleId="Default">
    <w:name w:val="Default"/>
    <w:uiPriority w:val="99"/>
    <w:rsid w:val="002F2BCC"/>
    <w:pPr>
      <w:autoSpaceDE w:val="0"/>
      <w:autoSpaceDN w:val="0"/>
      <w:adjustRightInd w:val="0"/>
    </w:pPr>
    <w:rPr>
      <w:rFonts w:ascii="Arial" w:hAnsi="Arial" w:cs="Arial"/>
      <w:color w:val="000000"/>
      <w:sz w:val="24"/>
      <w:szCs w:val="24"/>
      <w:lang w:val="en-US"/>
    </w:rPr>
  </w:style>
  <w:style w:type="paragraph" w:customStyle="1" w:styleId="CONPESTexto">
    <w:name w:val="CONPES Texto"/>
    <w:basedOn w:val="Normal"/>
    <w:uiPriority w:val="99"/>
    <w:qFormat/>
    <w:rsid w:val="002F2BCC"/>
    <w:pPr>
      <w:spacing w:before="120" w:after="120" w:line="276" w:lineRule="auto"/>
      <w:ind w:firstLine="567"/>
      <w:jc w:val="both"/>
    </w:pPr>
    <w:rPr>
      <w:rFonts w:ascii="Futura Std Book" w:eastAsia="Calibri" w:hAnsi="Futura Std Book"/>
      <w:color w:val="000000"/>
      <w:sz w:val="22"/>
      <w:lang w:val="es-CO" w:eastAsia="en-US"/>
    </w:rPr>
  </w:style>
  <w:style w:type="paragraph" w:customStyle="1" w:styleId="xmsonormal">
    <w:name w:val="x_msonormal"/>
    <w:basedOn w:val="Normal"/>
    <w:uiPriority w:val="99"/>
    <w:rsid w:val="002F2BCC"/>
    <w:pPr>
      <w:spacing w:before="100" w:beforeAutospacing="1" w:after="100" w:afterAutospacing="1"/>
    </w:pPr>
    <w:rPr>
      <w:rFonts w:eastAsia="Times New Roman"/>
      <w:lang w:val="es-CO" w:eastAsia="es-CO"/>
    </w:rPr>
  </w:style>
  <w:style w:type="character" w:styleId="Refdenotaalpie">
    <w:name w:val="footnote reference"/>
    <w:aliases w:val="Ref. de nota al pie 2,Texto de nota al pie,Pie de Página,FC,Texto de nota al pi,Appel note de bas de page,Footnotes refss,Footnote number,referencia nota al pie,BVI fnr,f,4_G,16 Point,Superscript 6 Point,Texto nota al pie,F,Footnote"/>
    <w:basedOn w:val="Fuentedeprrafopredeter"/>
    <w:uiPriority w:val="99"/>
    <w:unhideWhenUsed/>
    <w:qFormat/>
    <w:rsid w:val="002F2BCC"/>
    <w:rPr>
      <w:vertAlign w:val="superscript"/>
    </w:rPr>
  </w:style>
  <w:style w:type="character" w:styleId="nfasissutil">
    <w:name w:val="Subtle Emphasis"/>
    <w:aliases w:val="Notas al pie"/>
    <w:basedOn w:val="Fuentedeprrafopredeter"/>
    <w:uiPriority w:val="19"/>
    <w:qFormat/>
    <w:rsid w:val="002F2BCC"/>
    <w:rPr>
      <w:rFonts w:ascii="Arial" w:hAnsi="Arial" w:cs="Arial" w:hint="default"/>
      <w:i w:val="0"/>
      <w:iCs/>
      <w:color w:val="auto"/>
      <w:sz w:val="16"/>
    </w:rPr>
  </w:style>
  <w:style w:type="table" w:styleId="Tabladecuadrcula4">
    <w:name w:val="Grid Table 4"/>
    <w:basedOn w:val="Tablanormal"/>
    <w:uiPriority w:val="49"/>
    <w:rsid w:val="002F2BCC"/>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2F2BCC"/>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4">
    <w:name w:val="Grid Table 4 Accent 4"/>
    <w:basedOn w:val="Tablanormal"/>
    <w:uiPriority w:val="49"/>
    <w:rsid w:val="002F2BCC"/>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aj">
    <w:name w:val="b_aj"/>
    <w:basedOn w:val="Fuentedeprrafopredeter"/>
    <w:rsid w:val="00011854"/>
  </w:style>
  <w:style w:type="paragraph" w:customStyle="1" w:styleId="Cuerpo">
    <w:name w:val="Cuerpo"/>
    <w:uiPriority w:val="99"/>
    <w:rsid w:val="00A50365"/>
    <w:rPr>
      <w:rFonts w:ascii="Times New Roman" w:eastAsia="Arial Unicode MS" w:hAnsi="Arial Unicode MS" w:cs="Arial Unicode MS"/>
      <w:color w:val="000000"/>
      <w:sz w:val="24"/>
      <w:szCs w:val="24"/>
      <w:u w:color="000000"/>
      <w:lang w:eastAsia="es-CO"/>
    </w:rPr>
  </w:style>
  <w:style w:type="paragraph" w:styleId="Textoindependiente">
    <w:name w:val="Body Text"/>
    <w:basedOn w:val="Normal"/>
    <w:link w:val="TextoindependienteCar"/>
    <w:uiPriority w:val="99"/>
    <w:semiHidden/>
    <w:unhideWhenUsed/>
    <w:rsid w:val="00321689"/>
    <w:pPr>
      <w:spacing w:after="120"/>
    </w:pPr>
    <w:rPr>
      <w:rFonts w:ascii="Calibri" w:eastAsiaTheme="minorHAnsi" w:hAnsi="Calibri" w:cs="Calibri"/>
      <w:sz w:val="22"/>
      <w:szCs w:val="22"/>
      <w:lang w:val="es-CO" w:eastAsia="en-US"/>
    </w:rPr>
  </w:style>
  <w:style w:type="character" w:customStyle="1" w:styleId="TextoindependienteCar">
    <w:name w:val="Texto independiente Car"/>
    <w:basedOn w:val="Fuentedeprrafopredeter"/>
    <w:link w:val="Textoindependiente"/>
    <w:uiPriority w:val="99"/>
    <w:semiHidden/>
    <w:rsid w:val="00321689"/>
    <w:rPr>
      <w:rFonts w:ascii="Calibri" w:hAnsi="Calibri" w:cs="Calibri"/>
    </w:rPr>
  </w:style>
  <w:style w:type="paragraph" w:styleId="Textosinformato">
    <w:name w:val="Plain Text"/>
    <w:basedOn w:val="Normal"/>
    <w:link w:val="TextosinformatoCar"/>
    <w:uiPriority w:val="99"/>
    <w:semiHidden/>
    <w:unhideWhenUsed/>
    <w:rsid w:val="00321689"/>
    <w:rPr>
      <w:rFonts w:ascii="Calibri" w:eastAsiaTheme="minorHAnsi" w:hAnsi="Calibri" w:cstheme="minorBidi"/>
      <w:sz w:val="22"/>
      <w:szCs w:val="21"/>
      <w:lang w:val="es-CO" w:eastAsia="en-US"/>
    </w:rPr>
  </w:style>
  <w:style w:type="character" w:customStyle="1" w:styleId="TextosinformatoCar">
    <w:name w:val="Texto sin formato Car"/>
    <w:basedOn w:val="Fuentedeprrafopredeter"/>
    <w:link w:val="Textosinformato"/>
    <w:uiPriority w:val="99"/>
    <w:semiHidden/>
    <w:rsid w:val="00321689"/>
    <w:rPr>
      <w:rFonts w:ascii="Calibri" w:hAnsi="Calibri"/>
      <w:szCs w:val="21"/>
    </w:rPr>
  </w:style>
  <w:style w:type="paragraph" w:customStyle="1" w:styleId="TableParagraph">
    <w:name w:val="Table Paragraph"/>
    <w:basedOn w:val="Normal"/>
    <w:uiPriority w:val="1"/>
    <w:qFormat/>
    <w:rsid w:val="00321689"/>
    <w:pPr>
      <w:widowControl w:val="0"/>
    </w:pPr>
    <w:rPr>
      <w:rFonts w:asciiTheme="minorHAnsi" w:eastAsiaTheme="minorHAnsi" w:hAnsiTheme="minorHAnsi" w:cstheme="minorBidi"/>
      <w:sz w:val="22"/>
      <w:szCs w:val="22"/>
      <w:lang w:val="en-US" w:eastAsia="en-US"/>
    </w:rPr>
  </w:style>
  <w:style w:type="paragraph" w:customStyle="1" w:styleId="tex">
    <w:name w:val="tex"/>
    <w:basedOn w:val="Normal"/>
    <w:uiPriority w:val="99"/>
    <w:qFormat/>
    <w:rsid w:val="00321689"/>
    <w:pPr>
      <w:spacing w:line="360" w:lineRule="auto"/>
      <w:ind w:firstLine="567"/>
      <w:jc w:val="both"/>
    </w:pPr>
    <w:rPr>
      <w:rFonts w:ascii="Verdana Pro" w:eastAsiaTheme="minorEastAsia" w:hAnsi="Verdana Pro" w:cs="Arial"/>
      <w:bCs/>
      <w:color w:val="595959" w:themeColor="text1" w:themeTint="A6"/>
      <w:sz w:val="20"/>
      <w:szCs w:val="20"/>
      <w:lang w:val="es-CO" w:eastAsia="zh-CN"/>
    </w:rPr>
  </w:style>
  <w:style w:type="character" w:customStyle="1" w:styleId="contentpasted0">
    <w:name w:val="contentpasted0"/>
    <w:basedOn w:val="Fuentedeprrafopredeter"/>
    <w:rsid w:val="00321689"/>
  </w:style>
  <w:style w:type="character" w:customStyle="1" w:styleId="vortaltextbox">
    <w:name w:val="vortaltextbox"/>
    <w:basedOn w:val="Fuentedeprrafopredeter"/>
    <w:rsid w:val="00321689"/>
  </w:style>
  <w:style w:type="character" w:customStyle="1" w:styleId="highlight">
    <w:name w:val="highlight"/>
    <w:basedOn w:val="Fuentedeprrafopredeter"/>
    <w:rsid w:val="00321689"/>
  </w:style>
  <w:style w:type="table" w:styleId="Tablanormal2">
    <w:name w:val="Plain Table 2"/>
    <w:basedOn w:val="Tablanormal"/>
    <w:uiPriority w:val="42"/>
    <w:rsid w:val="00321689"/>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4-nfasis5">
    <w:name w:val="Grid Table 4 Accent 5"/>
    <w:basedOn w:val="Tablanormal"/>
    <w:uiPriority w:val="49"/>
    <w:rsid w:val="00321689"/>
    <w:rPr>
      <w:rFonts w:eastAsiaTheme="minorEastAsia"/>
      <w:sz w:val="21"/>
      <w:szCs w:val="21"/>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sin">
    <w:name w:val="Revision"/>
    <w:hidden/>
    <w:uiPriority w:val="99"/>
    <w:semiHidden/>
    <w:rsid w:val="001A3C56"/>
    <w:rPr>
      <w:rFonts w:ascii="Times New Roman" w:eastAsia="MS Mincho"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64011">
      <w:bodyDiv w:val="1"/>
      <w:marLeft w:val="0"/>
      <w:marRight w:val="0"/>
      <w:marTop w:val="0"/>
      <w:marBottom w:val="0"/>
      <w:divBdr>
        <w:top w:val="none" w:sz="0" w:space="0" w:color="auto"/>
        <w:left w:val="none" w:sz="0" w:space="0" w:color="auto"/>
        <w:bottom w:val="none" w:sz="0" w:space="0" w:color="auto"/>
        <w:right w:val="none" w:sz="0" w:space="0" w:color="auto"/>
      </w:divBdr>
    </w:div>
    <w:div w:id="200748523">
      <w:bodyDiv w:val="1"/>
      <w:marLeft w:val="0"/>
      <w:marRight w:val="0"/>
      <w:marTop w:val="0"/>
      <w:marBottom w:val="0"/>
      <w:divBdr>
        <w:top w:val="none" w:sz="0" w:space="0" w:color="auto"/>
        <w:left w:val="none" w:sz="0" w:space="0" w:color="auto"/>
        <w:bottom w:val="none" w:sz="0" w:space="0" w:color="auto"/>
        <w:right w:val="none" w:sz="0" w:space="0" w:color="auto"/>
      </w:divBdr>
    </w:div>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272980380">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312295270">
      <w:bodyDiv w:val="1"/>
      <w:marLeft w:val="0"/>
      <w:marRight w:val="0"/>
      <w:marTop w:val="0"/>
      <w:marBottom w:val="0"/>
      <w:divBdr>
        <w:top w:val="none" w:sz="0" w:space="0" w:color="auto"/>
        <w:left w:val="none" w:sz="0" w:space="0" w:color="auto"/>
        <w:bottom w:val="none" w:sz="0" w:space="0" w:color="auto"/>
        <w:right w:val="none" w:sz="0" w:space="0" w:color="auto"/>
      </w:divBdr>
    </w:div>
    <w:div w:id="540433644">
      <w:bodyDiv w:val="1"/>
      <w:marLeft w:val="0"/>
      <w:marRight w:val="0"/>
      <w:marTop w:val="0"/>
      <w:marBottom w:val="0"/>
      <w:divBdr>
        <w:top w:val="none" w:sz="0" w:space="0" w:color="auto"/>
        <w:left w:val="none" w:sz="0" w:space="0" w:color="auto"/>
        <w:bottom w:val="none" w:sz="0" w:space="0" w:color="auto"/>
        <w:right w:val="none" w:sz="0" w:space="0" w:color="auto"/>
      </w:divBdr>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770513170">
      <w:bodyDiv w:val="1"/>
      <w:marLeft w:val="0"/>
      <w:marRight w:val="0"/>
      <w:marTop w:val="0"/>
      <w:marBottom w:val="0"/>
      <w:divBdr>
        <w:top w:val="none" w:sz="0" w:space="0" w:color="auto"/>
        <w:left w:val="none" w:sz="0" w:space="0" w:color="auto"/>
        <w:bottom w:val="none" w:sz="0" w:space="0" w:color="auto"/>
        <w:right w:val="none" w:sz="0" w:space="0" w:color="auto"/>
      </w:divBdr>
      <w:divsChild>
        <w:div w:id="767576447">
          <w:marLeft w:val="0"/>
          <w:marRight w:val="0"/>
          <w:marTop w:val="0"/>
          <w:marBottom w:val="0"/>
          <w:divBdr>
            <w:top w:val="none" w:sz="0" w:space="0" w:color="auto"/>
            <w:left w:val="none" w:sz="0" w:space="0" w:color="auto"/>
            <w:bottom w:val="none" w:sz="0" w:space="0" w:color="auto"/>
            <w:right w:val="none" w:sz="0" w:space="0" w:color="auto"/>
          </w:divBdr>
          <w:divsChild>
            <w:div w:id="1829831655">
              <w:marLeft w:val="0"/>
              <w:marRight w:val="0"/>
              <w:marTop w:val="0"/>
              <w:marBottom w:val="0"/>
              <w:divBdr>
                <w:top w:val="none" w:sz="0" w:space="0" w:color="auto"/>
                <w:left w:val="none" w:sz="0" w:space="0" w:color="auto"/>
                <w:bottom w:val="none" w:sz="0" w:space="0" w:color="auto"/>
                <w:right w:val="none" w:sz="0" w:space="0" w:color="auto"/>
              </w:divBdr>
            </w:div>
          </w:divsChild>
        </w:div>
        <w:div w:id="2077123719">
          <w:marLeft w:val="0"/>
          <w:marRight w:val="0"/>
          <w:marTop w:val="0"/>
          <w:marBottom w:val="0"/>
          <w:divBdr>
            <w:top w:val="none" w:sz="0" w:space="0" w:color="auto"/>
            <w:left w:val="none" w:sz="0" w:space="0" w:color="auto"/>
            <w:bottom w:val="none" w:sz="0" w:space="0" w:color="auto"/>
            <w:right w:val="none" w:sz="0" w:space="0" w:color="auto"/>
          </w:divBdr>
          <w:divsChild>
            <w:div w:id="43332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73402">
      <w:bodyDiv w:val="1"/>
      <w:marLeft w:val="0"/>
      <w:marRight w:val="0"/>
      <w:marTop w:val="0"/>
      <w:marBottom w:val="0"/>
      <w:divBdr>
        <w:top w:val="none" w:sz="0" w:space="0" w:color="auto"/>
        <w:left w:val="none" w:sz="0" w:space="0" w:color="auto"/>
        <w:bottom w:val="none" w:sz="0" w:space="0" w:color="auto"/>
        <w:right w:val="none" w:sz="0" w:space="0" w:color="auto"/>
      </w:divBdr>
    </w:div>
    <w:div w:id="865412053">
      <w:bodyDiv w:val="1"/>
      <w:marLeft w:val="0"/>
      <w:marRight w:val="0"/>
      <w:marTop w:val="0"/>
      <w:marBottom w:val="0"/>
      <w:divBdr>
        <w:top w:val="none" w:sz="0" w:space="0" w:color="auto"/>
        <w:left w:val="none" w:sz="0" w:space="0" w:color="auto"/>
        <w:bottom w:val="none" w:sz="0" w:space="0" w:color="auto"/>
        <w:right w:val="none" w:sz="0" w:space="0" w:color="auto"/>
      </w:divBdr>
    </w:div>
    <w:div w:id="917325083">
      <w:bodyDiv w:val="1"/>
      <w:marLeft w:val="0"/>
      <w:marRight w:val="0"/>
      <w:marTop w:val="0"/>
      <w:marBottom w:val="0"/>
      <w:divBdr>
        <w:top w:val="none" w:sz="0" w:space="0" w:color="auto"/>
        <w:left w:val="none" w:sz="0" w:space="0" w:color="auto"/>
        <w:bottom w:val="none" w:sz="0" w:space="0" w:color="auto"/>
        <w:right w:val="none" w:sz="0" w:space="0" w:color="auto"/>
      </w:divBdr>
    </w:div>
    <w:div w:id="960305640">
      <w:bodyDiv w:val="1"/>
      <w:marLeft w:val="0"/>
      <w:marRight w:val="0"/>
      <w:marTop w:val="0"/>
      <w:marBottom w:val="0"/>
      <w:divBdr>
        <w:top w:val="none" w:sz="0" w:space="0" w:color="auto"/>
        <w:left w:val="none" w:sz="0" w:space="0" w:color="auto"/>
        <w:bottom w:val="none" w:sz="0" w:space="0" w:color="auto"/>
        <w:right w:val="none" w:sz="0" w:space="0" w:color="auto"/>
      </w:divBdr>
    </w:div>
    <w:div w:id="985279400">
      <w:bodyDiv w:val="1"/>
      <w:marLeft w:val="0"/>
      <w:marRight w:val="0"/>
      <w:marTop w:val="0"/>
      <w:marBottom w:val="0"/>
      <w:divBdr>
        <w:top w:val="none" w:sz="0" w:space="0" w:color="auto"/>
        <w:left w:val="none" w:sz="0" w:space="0" w:color="auto"/>
        <w:bottom w:val="none" w:sz="0" w:space="0" w:color="auto"/>
        <w:right w:val="none" w:sz="0" w:space="0" w:color="auto"/>
      </w:divBdr>
    </w:div>
    <w:div w:id="1146311995">
      <w:bodyDiv w:val="1"/>
      <w:marLeft w:val="0"/>
      <w:marRight w:val="0"/>
      <w:marTop w:val="0"/>
      <w:marBottom w:val="0"/>
      <w:divBdr>
        <w:top w:val="none" w:sz="0" w:space="0" w:color="auto"/>
        <w:left w:val="none" w:sz="0" w:space="0" w:color="auto"/>
        <w:bottom w:val="none" w:sz="0" w:space="0" w:color="auto"/>
        <w:right w:val="none" w:sz="0" w:space="0" w:color="auto"/>
      </w:divBdr>
    </w:div>
    <w:div w:id="1155952985">
      <w:bodyDiv w:val="1"/>
      <w:marLeft w:val="0"/>
      <w:marRight w:val="0"/>
      <w:marTop w:val="0"/>
      <w:marBottom w:val="0"/>
      <w:divBdr>
        <w:top w:val="none" w:sz="0" w:space="0" w:color="auto"/>
        <w:left w:val="none" w:sz="0" w:space="0" w:color="auto"/>
        <w:bottom w:val="none" w:sz="0" w:space="0" w:color="auto"/>
        <w:right w:val="none" w:sz="0" w:space="0" w:color="auto"/>
      </w:divBdr>
      <w:divsChild>
        <w:div w:id="279145835">
          <w:marLeft w:val="0"/>
          <w:marRight w:val="0"/>
          <w:marTop w:val="0"/>
          <w:marBottom w:val="0"/>
          <w:divBdr>
            <w:top w:val="none" w:sz="0" w:space="0" w:color="auto"/>
            <w:left w:val="none" w:sz="0" w:space="0" w:color="auto"/>
            <w:bottom w:val="none" w:sz="0" w:space="0" w:color="auto"/>
            <w:right w:val="none" w:sz="0" w:space="0" w:color="auto"/>
          </w:divBdr>
        </w:div>
      </w:divsChild>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533150137">
      <w:bodyDiv w:val="1"/>
      <w:marLeft w:val="0"/>
      <w:marRight w:val="0"/>
      <w:marTop w:val="0"/>
      <w:marBottom w:val="0"/>
      <w:divBdr>
        <w:top w:val="none" w:sz="0" w:space="0" w:color="auto"/>
        <w:left w:val="none" w:sz="0" w:space="0" w:color="auto"/>
        <w:bottom w:val="none" w:sz="0" w:space="0" w:color="auto"/>
        <w:right w:val="none" w:sz="0" w:space="0" w:color="auto"/>
      </w:divBdr>
    </w:div>
    <w:div w:id="1552379147">
      <w:bodyDiv w:val="1"/>
      <w:marLeft w:val="0"/>
      <w:marRight w:val="0"/>
      <w:marTop w:val="0"/>
      <w:marBottom w:val="0"/>
      <w:divBdr>
        <w:top w:val="none" w:sz="0" w:space="0" w:color="auto"/>
        <w:left w:val="none" w:sz="0" w:space="0" w:color="auto"/>
        <w:bottom w:val="none" w:sz="0" w:space="0" w:color="auto"/>
        <w:right w:val="none" w:sz="0" w:space="0" w:color="auto"/>
      </w:divBdr>
    </w:div>
    <w:div w:id="1683435621">
      <w:bodyDiv w:val="1"/>
      <w:marLeft w:val="0"/>
      <w:marRight w:val="0"/>
      <w:marTop w:val="0"/>
      <w:marBottom w:val="0"/>
      <w:divBdr>
        <w:top w:val="none" w:sz="0" w:space="0" w:color="auto"/>
        <w:left w:val="none" w:sz="0" w:space="0" w:color="auto"/>
        <w:bottom w:val="none" w:sz="0" w:space="0" w:color="auto"/>
        <w:right w:val="none" w:sz="0" w:space="0" w:color="auto"/>
      </w:divBdr>
    </w:div>
    <w:div w:id="1709839905">
      <w:bodyDiv w:val="1"/>
      <w:marLeft w:val="0"/>
      <w:marRight w:val="0"/>
      <w:marTop w:val="0"/>
      <w:marBottom w:val="0"/>
      <w:divBdr>
        <w:top w:val="none" w:sz="0" w:space="0" w:color="auto"/>
        <w:left w:val="none" w:sz="0" w:space="0" w:color="auto"/>
        <w:bottom w:val="none" w:sz="0" w:space="0" w:color="auto"/>
        <w:right w:val="none" w:sz="0" w:space="0" w:color="auto"/>
      </w:divBdr>
    </w:div>
    <w:div w:id="1808351737">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1928221918">
      <w:bodyDiv w:val="1"/>
      <w:marLeft w:val="0"/>
      <w:marRight w:val="0"/>
      <w:marTop w:val="0"/>
      <w:marBottom w:val="0"/>
      <w:divBdr>
        <w:top w:val="none" w:sz="0" w:space="0" w:color="auto"/>
        <w:left w:val="none" w:sz="0" w:space="0" w:color="auto"/>
        <w:bottom w:val="none" w:sz="0" w:space="0" w:color="auto"/>
        <w:right w:val="none" w:sz="0" w:space="0" w:color="auto"/>
      </w:divBdr>
    </w:div>
    <w:div w:id="2073969081">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emf"/><Relationship Id="rId26" Type="http://schemas.openxmlformats.org/officeDocument/2006/relationships/hyperlink" Target="https://www.minsalud.gov.co/proteccionsocial/Financiamiento/Paginas/Sistema-General-de-Participaciones---Prestacion-de-servicios.aspx" TargetMode="External"/><Relationship Id="rId39" Type="http://schemas.openxmlformats.org/officeDocument/2006/relationships/image" Target="media/image24.emf"/><Relationship Id="rId21" Type="http://schemas.openxmlformats.org/officeDocument/2006/relationships/image" Target="media/image10.emf"/><Relationship Id="rId34" Type="http://schemas.openxmlformats.org/officeDocument/2006/relationships/image" Target="media/image19.png"/><Relationship Id="rId42" Type="http://schemas.openxmlformats.org/officeDocument/2006/relationships/hyperlink" Target="http://portalgestiondoc.minhacienda.red/PortalEmpleado/" TargetMode="External"/><Relationship Id="rId47" Type="http://schemas.openxmlformats.org/officeDocument/2006/relationships/hyperlink" Target="http://portalgestiondoc.minhacienda.red/PortalEmpleado/viewer.jsp?config=s2Gv+o7rg5NKfPzaGJIQBEhx1ZJjh5AMJLeh1wpMpGZH0CIWynhWmP1XAUJwfArVkqxZU4IaX9BCSqB51kLzvo8FqjaJy9ktBaoAp6FcGQ+/wAv+XfmXuedF3338ubkd0DBAUDuEshX55O1R4oPq7TD+KgBFrg7RiYiBA+jwyH7sd0vJMDnAhfUiyzlOKbmb" TargetMode="External"/><Relationship Id="rId50"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7.png"/><Relationship Id="rId11" Type="http://schemas.openxmlformats.org/officeDocument/2006/relationships/image" Target="cid:image001.png@01DA010C.32025560" TargetMode="External"/><Relationship Id="rId24" Type="http://schemas.openxmlformats.org/officeDocument/2006/relationships/image" Target="media/image13.png"/><Relationship Id="rId32" Type="http://schemas.openxmlformats.org/officeDocument/2006/relationships/chart" Target="charts/chart4.xml"/><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27.emf"/><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chart" Target="charts/chart3.xml"/><Relationship Id="rId44" Type="http://schemas.openxmlformats.org/officeDocument/2006/relationships/hyperlink" Target="http://portalgestiondoc.minhacienda.red/PortalEmpleado/"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chart" Target="charts/chart2.xml"/><Relationship Id="rId35" Type="http://schemas.openxmlformats.org/officeDocument/2006/relationships/image" Target="media/image20.emf"/><Relationship Id="rId43" Type="http://schemas.openxmlformats.org/officeDocument/2006/relationships/hyperlink" Target="http://portalgestiondoc.minhacienda.red/PortalEmpleado/" TargetMode="External"/><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hyperlink" Target="http://portalgestiondoc.minhacienda.red/PortalEmpleado/" TargetMode="External"/><Relationship Id="rId20" Type="http://schemas.openxmlformats.org/officeDocument/2006/relationships/image" Target="media/image9.emf"/><Relationship Id="rId41" Type="http://schemas.openxmlformats.org/officeDocument/2006/relationships/image" Target="media/image26.emf"/><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emf"/><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image001.png@01D8AB18.C262CF90" TargetMode="External"/><Relationship Id="rId1" Type="http://schemas.openxmlformats.org/officeDocument/2006/relationships/image" Target="media/image29.png"/></Relationships>
</file>

<file path=word/_rels/footer2.xml.rels><?xml version="1.0" encoding="UTF-8" standalone="yes"?>
<Relationships xmlns="http://schemas.openxmlformats.org/package/2006/relationships"><Relationship Id="rId2" Type="http://schemas.openxmlformats.org/officeDocument/2006/relationships/image" Target="cid:image001.png@01D8AB18.C262CF90" TargetMode="External"/><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BK%20Oscar\DECRETO_028\SANTA%20MARTA\INFOGRAFIA_SANTA_MAR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OGIRALDO\AppData\Local\Microsoft\Windows\INetCache\Content.Outlook\CWG2AMLO\Metas%20PDD%20Salud%20publica%20Minhaciend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OGIRALDO\AppData\Local\Microsoft\Windows\INetCache\Content.Outlook\CWG2AMLO\Metas%20PDD%20Salud%20publica%20Minhaciend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OGIRALDO\AppData\Local\Microsoft\Windows\INetCache\Content.Outlook\CWG2AMLO\Metas%20PDD%20Salud%20publica%20Minhaciend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CO" sz="1100">
                <a:solidFill>
                  <a:srgbClr val="B48C41"/>
                </a:solidFill>
              </a:rPr>
              <a:t>ESE CATEGORIZADAS EN RIESGO MEDIO - ALTO</a:t>
            </a:r>
            <a:endParaRPr lang="es-CO">
              <a:solidFill>
                <a:srgbClr val="B48C41"/>
              </a:solidFill>
            </a:endParaRPr>
          </a:p>
          <a:p>
            <a:pPr>
              <a:defRPr/>
            </a:pPr>
            <a:r>
              <a:rPr lang="es-CO" sz="1100">
                <a:solidFill>
                  <a:srgbClr val="B48C41"/>
                </a:solidFill>
              </a:rPr>
              <a:t>NÚMERO DE ESE</a:t>
            </a:r>
          </a:p>
        </c:rich>
      </c:tx>
      <c:layout>
        <c:manualLayout>
          <c:xMode val="edge"/>
          <c:yMode val="edge"/>
          <c:x val="0.25694718404598615"/>
          <c:y val="2.56355479598376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Datos!$Q$60</c:f>
              <c:strCache>
                <c:ptCount val="1"/>
                <c:pt idx="0">
                  <c:v>RIESGO 
ALTO</c:v>
                </c:pt>
              </c:strCache>
            </c:strRef>
          </c:tx>
          <c:spPr>
            <a:solidFill>
              <a:srgbClr val="B48C41"/>
            </a:solidFill>
            <a:ln>
              <a:noFill/>
            </a:ln>
            <a:effectLst/>
          </c:spPr>
          <c:invertIfNegative val="0"/>
          <c:cat>
            <c:strRef>
              <c:f>Datos!$P$61:$P$69</c:f>
              <c:strCache>
                <c:ptCount val="9"/>
                <c:pt idx="0">
                  <c:v>Año 2012 
Resol.2509</c:v>
                </c:pt>
                <c:pt idx="1">
                  <c:v>Año 2013
Resol.1877</c:v>
                </c:pt>
                <c:pt idx="2">
                  <c:v>Año 2014
Resol.2090</c:v>
                </c:pt>
                <c:pt idx="3">
                  <c:v>Año 2015
Resol.1893/5597</c:v>
                </c:pt>
                <c:pt idx="4">
                  <c:v>Año 2016
Resol.2184/3916</c:v>
                </c:pt>
                <c:pt idx="5">
                  <c:v>Año 2017
Resol.1755</c:v>
                </c:pt>
                <c:pt idx="6">
                  <c:v>Año 2018
Resol.2249</c:v>
                </c:pt>
                <c:pt idx="7">
                  <c:v>Año 2019
Resol.1342</c:v>
                </c:pt>
                <c:pt idx="8">
                  <c:v>Año 2023
Resol.851</c:v>
                </c:pt>
              </c:strCache>
            </c:strRef>
          </c:cat>
          <c:val>
            <c:numRef>
              <c:f>Datos!$Q$61:$Q$69</c:f>
              <c:numCache>
                <c:formatCode>_(* #,##0_);_(* \(#,##0\);_(* "-"_);_(@_)</c:formatCode>
                <c:ptCount val="9"/>
                <c:pt idx="1">
                  <c:v>1</c:v>
                </c:pt>
                <c:pt idx="2">
                  <c:v>1</c:v>
                </c:pt>
                <c:pt idx="3">
                  <c:v>1</c:v>
                </c:pt>
                <c:pt idx="5">
                  <c:v>1</c:v>
                </c:pt>
                <c:pt idx="6">
                  <c:v>1</c:v>
                </c:pt>
                <c:pt idx="7">
                  <c:v>1</c:v>
                </c:pt>
                <c:pt idx="8">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FCE0-40F2-B7DD-DDB02D0759EB}"/>
            </c:ext>
          </c:extLst>
        </c:ser>
        <c:ser>
          <c:idx val="1"/>
          <c:order val="1"/>
          <c:tx>
            <c:strRef>
              <c:f>Datos!$R$60</c:f>
              <c:strCache>
                <c:ptCount val="1"/>
                <c:pt idx="0">
                  <c:v>RIESGO 
MEDIO</c:v>
                </c:pt>
              </c:strCache>
            </c:strRef>
          </c:tx>
          <c:spPr>
            <a:solidFill>
              <a:srgbClr val="92D050"/>
            </a:solidFill>
            <a:ln>
              <a:noFill/>
            </a:ln>
            <a:effectLst/>
          </c:spPr>
          <c:invertIfNegative val="0"/>
          <c:cat>
            <c:strRef>
              <c:f>Datos!$P$61:$P$69</c:f>
              <c:strCache>
                <c:ptCount val="9"/>
                <c:pt idx="0">
                  <c:v>Año 2012 
Resol.2509</c:v>
                </c:pt>
                <c:pt idx="1">
                  <c:v>Año 2013
Resol.1877</c:v>
                </c:pt>
                <c:pt idx="2">
                  <c:v>Año 2014
Resol.2090</c:v>
                </c:pt>
                <c:pt idx="3">
                  <c:v>Año 2015
Resol.1893/5597</c:v>
                </c:pt>
                <c:pt idx="4">
                  <c:v>Año 2016
Resol.2184/3916</c:v>
                </c:pt>
                <c:pt idx="5">
                  <c:v>Año 2017
Resol.1755</c:v>
                </c:pt>
                <c:pt idx="6">
                  <c:v>Año 2018
Resol.2249</c:v>
                </c:pt>
                <c:pt idx="7">
                  <c:v>Año 2019
Resol.1342</c:v>
                </c:pt>
                <c:pt idx="8">
                  <c:v>Año 2023
Resol.851</c:v>
                </c:pt>
              </c:strCache>
            </c:strRef>
          </c:cat>
          <c:val>
            <c:numRef>
              <c:f>Datos!$R$61:$R$69</c:f>
              <c:numCache>
                <c:formatCode>General</c:formatCode>
                <c:ptCount val="9"/>
                <c:pt idx="3" formatCode="_(* #,##0_);_(* \(#,##0\);_(* &quot;-&quot;_);_(@_)">
                  <c:v>1</c:v>
                </c:pt>
                <c:pt idx="5" formatCode="_(* #,##0_);_(* \(#,##0\);_(* &quot;-&quot;_);_(@_)">
                  <c:v>1</c:v>
                </c:pt>
                <c:pt idx="6" formatCode="_(* #,##0_);_(* \(#,##0\);_(* &quot;-&quot;_);_(@_)">
                  <c:v>1</c:v>
                </c:pt>
                <c:pt idx="7" formatCode="_(* #,##0_);_(* \(#,##0\);_(* &quot;-&quot;_);_(@_)">
                  <c:v>1</c:v>
                </c:pt>
                <c:pt idx="8" formatCode="_(* #,##0_);_(* \(#,##0\);_(* &quot;-&quot;_);_(@_)">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FCE0-40F2-B7DD-DDB02D0759EB}"/>
            </c:ext>
          </c:extLst>
        </c:ser>
        <c:dLbls>
          <c:showLegendKey val="0"/>
          <c:showVal val="0"/>
          <c:showCatName val="0"/>
          <c:showSerName val="0"/>
          <c:showPercent val="0"/>
          <c:showBubbleSize val="0"/>
        </c:dLbls>
        <c:gapWidth val="219"/>
        <c:overlap val="-27"/>
        <c:axId val="1762039087"/>
        <c:axId val="1762042415"/>
      </c:barChart>
      <c:lineChart>
        <c:grouping val="standard"/>
        <c:varyColors val="0"/>
        <c:ser>
          <c:idx val="2"/>
          <c:order val="2"/>
          <c:tx>
            <c:strRef>
              <c:f>Datos!$S$60</c:f>
              <c:strCache>
                <c:ptCount val="1"/>
                <c:pt idx="0">
                  <c:v>TOTAL ESE EN RIESGO </c:v>
                </c:pt>
              </c:strCache>
            </c:strRef>
          </c:tx>
          <c:spPr>
            <a:ln w="28575" cap="rnd">
              <a:solidFill>
                <a:schemeClr val="accent3"/>
              </a:solidFill>
              <a:round/>
            </a:ln>
            <a:effectLst/>
          </c:spPr>
          <c:marker>
            <c:symbol val="none"/>
          </c:marker>
          <c:cat>
            <c:strRef>
              <c:f>Datos!$P$61:$P$69</c:f>
              <c:strCache>
                <c:ptCount val="9"/>
                <c:pt idx="0">
                  <c:v>Año 2012 
Resol.2509</c:v>
                </c:pt>
                <c:pt idx="1">
                  <c:v>Año 2013
Resol.1877</c:v>
                </c:pt>
                <c:pt idx="2">
                  <c:v>Año 2014
Resol.2090</c:v>
                </c:pt>
                <c:pt idx="3">
                  <c:v>Año 2015
Resol.1893/5597</c:v>
                </c:pt>
                <c:pt idx="4">
                  <c:v>Año 2016
Resol.2184/3916</c:v>
                </c:pt>
                <c:pt idx="5">
                  <c:v>Año 2017
Resol.1755</c:v>
                </c:pt>
                <c:pt idx="6">
                  <c:v>Año 2018
Resol.2249</c:v>
                </c:pt>
                <c:pt idx="7">
                  <c:v>Año 2019
Resol.1342</c:v>
                </c:pt>
                <c:pt idx="8">
                  <c:v>Año 2023
Resol.851</c:v>
                </c:pt>
              </c:strCache>
            </c:strRef>
          </c:cat>
          <c:val>
            <c:numRef>
              <c:f>Datos!$S$61:$S$69</c:f>
              <c:numCache>
                <c:formatCode>_(* #,##0_);_(* \(#,##0\);_(* "-"_);_(@_)</c:formatCode>
                <c:ptCount val="9"/>
                <c:pt idx="0">
                  <c:v>0</c:v>
                </c:pt>
                <c:pt idx="1">
                  <c:v>1</c:v>
                </c:pt>
                <c:pt idx="2">
                  <c:v>1</c:v>
                </c:pt>
                <c:pt idx="3">
                  <c:v>2</c:v>
                </c:pt>
                <c:pt idx="4">
                  <c:v>0</c:v>
                </c:pt>
                <c:pt idx="5">
                  <c:v>1</c:v>
                </c:pt>
                <c:pt idx="6">
                  <c:v>1</c:v>
                </c:pt>
                <c:pt idx="7">
                  <c:v>2</c:v>
                </c:pt>
                <c:pt idx="8">
                  <c:v>0</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FCE0-40F2-B7DD-DDB02D0759EB}"/>
            </c:ext>
          </c:extLst>
        </c:ser>
        <c:ser>
          <c:idx val="3"/>
          <c:order val="3"/>
          <c:tx>
            <c:strRef>
              <c:f>Datos!$T$60</c:f>
              <c:strCache>
                <c:ptCount val="1"/>
                <c:pt idx="0">
                  <c:v>TOTAL ESE
</c:v>
                </c:pt>
              </c:strCache>
            </c:strRef>
          </c:tx>
          <c:spPr>
            <a:ln w="28575" cap="rnd">
              <a:solidFill>
                <a:schemeClr val="accent4"/>
              </a:solidFill>
              <a:round/>
            </a:ln>
            <a:effectLst/>
          </c:spPr>
          <c:marker>
            <c:symbol val="none"/>
          </c:marker>
          <c:dPt>
            <c:idx val="0"/>
            <c:marker>
              <c:symbol val="none"/>
            </c:marker>
            <c:bubble3D val="0"/>
            <c:spPr>
              <a:ln w="28575" cap="rnd">
                <a:solidFill>
                  <a:srgbClr val="B48C41"/>
                </a:solidFill>
                <a:round/>
              </a:ln>
              <a:effectLst/>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4-FCE0-40F2-B7DD-DDB02D0759EB}"/>
              </c:ext>
            </c:extLst>
          </c:dPt>
          <c:dPt>
            <c:idx val="1"/>
            <c:marker>
              <c:symbol val="none"/>
            </c:marker>
            <c:bubble3D val="0"/>
            <c:spPr>
              <a:ln w="28575" cap="rnd">
                <a:solidFill>
                  <a:srgbClr val="B48C41"/>
                </a:solidFill>
                <a:round/>
              </a:ln>
              <a:effectLst/>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6-FCE0-40F2-B7DD-DDB02D0759EB}"/>
              </c:ext>
            </c:extLst>
          </c:dPt>
          <c:dPt>
            <c:idx val="2"/>
            <c:marker>
              <c:symbol val="none"/>
            </c:marker>
            <c:bubble3D val="0"/>
            <c:spPr>
              <a:ln w="28575" cap="rnd">
                <a:solidFill>
                  <a:srgbClr val="B48C41"/>
                </a:solidFill>
                <a:round/>
              </a:ln>
              <a:effectLst/>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8-FCE0-40F2-B7DD-DDB02D0759EB}"/>
              </c:ext>
            </c:extLst>
          </c:dPt>
          <c:dPt>
            <c:idx val="3"/>
            <c:marker>
              <c:symbol val="none"/>
            </c:marker>
            <c:bubble3D val="0"/>
            <c:spPr>
              <a:ln w="28575" cap="rnd">
                <a:solidFill>
                  <a:srgbClr val="B48C41"/>
                </a:solidFill>
                <a:round/>
              </a:ln>
              <a:effectLst/>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A-FCE0-40F2-B7DD-DDB02D0759EB}"/>
              </c:ext>
            </c:extLst>
          </c:dPt>
          <c:dPt>
            <c:idx val="4"/>
            <c:marker>
              <c:symbol val="none"/>
            </c:marker>
            <c:bubble3D val="0"/>
            <c:spPr>
              <a:ln w="28575" cap="rnd">
                <a:solidFill>
                  <a:srgbClr val="B48C41"/>
                </a:solidFill>
                <a:round/>
              </a:ln>
              <a:effectLst/>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C-FCE0-40F2-B7DD-DDB02D0759EB}"/>
              </c:ext>
            </c:extLst>
          </c:dPt>
          <c:dPt>
            <c:idx val="5"/>
            <c:marker>
              <c:symbol val="none"/>
            </c:marker>
            <c:bubble3D val="0"/>
            <c:spPr>
              <a:ln w="28575" cap="rnd">
                <a:solidFill>
                  <a:srgbClr val="B48C41"/>
                </a:solidFill>
                <a:round/>
              </a:ln>
              <a:effectLst/>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E-FCE0-40F2-B7DD-DDB02D0759EB}"/>
              </c:ext>
            </c:extLst>
          </c:dPt>
          <c:dPt>
            <c:idx val="6"/>
            <c:marker>
              <c:symbol val="none"/>
            </c:marker>
            <c:bubble3D val="0"/>
            <c:spPr>
              <a:ln w="28575" cap="rnd">
                <a:solidFill>
                  <a:srgbClr val="B48C41"/>
                </a:solidFill>
                <a:round/>
              </a:ln>
              <a:effectLst/>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0-FCE0-40F2-B7DD-DDB02D0759EB}"/>
              </c:ext>
            </c:extLst>
          </c:dPt>
          <c:dPt>
            <c:idx val="7"/>
            <c:marker>
              <c:symbol val="none"/>
            </c:marker>
            <c:bubble3D val="0"/>
            <c:spPr>
              <a:ln w="28575" cap="rnd">
                <a:solidFill>
                  <a:srgbClr val="B48C41"/>
                </a:solidFill>
                <a:round/>
              </a:ln>
              <a:effectLst/>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2-FCE0-40F2-B7DD-DDB02D0759EB}"/>
              </c:ext>
            </c:extLst>
          </c:dPt>
          <c:dPt>
            <c:idx val="8"/>
            <c:marker>
              <c:symbol val="none"/>
            </c:marker>
            <c:bubble3D val="0"/>
            <c:spPr>
              <a:ln w="28575" cap="rnd">
                <a:solidFill>
                  <a:srgbClr val="B48C41"/>
                </a:solidFill>
                <a:round/>
              </a:ln>
              <a:effectLst/>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4-FCE0-40F2-B7DD-DDB02D0759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LeaderLines val="0"/>
              </c:ext>
            </c:extLst>
          </c:dLbls>
          <c:cat>
            <c:strRef>
              <c:f>Datos!$P$61:$P$69</c:f>
              <c:strCache>
                <c:ptCount val="9"/>
                <c:pt idx="0">
                  <c:v>Año 2012 
Resol.2509</c:v>
                </c:pt>
                <c:pt idx="1">
                  <c:v>Año 2013
Resol.1877</c:v>
                </c:pt>
                <c:pt idx="2">
                  <c:v>Año 2014
Resol.2090</c:v>
                </c:pt>
                <c:pt idx="3">
                  <c:v>Año 2015
Resol.1893/5597</c:v>
                </c:pt>
                <c:pt idx="4">
                  <c:v>Año 2016
Resol.2184/3916</c:v>
                </c:pt>
                <c:pt idx="5">
                  <c:v>Año 2017
Resol.1755</c:v>
                </c:pt>
                <c:pt idx="6">
                  <c:v>Año 2018
Resol.2249</c:v>
                </c:pt>
                <c:pt idx="7">
                  <c:v>Año 2019
Resol.1342</c:v>
                </c:pt>
                <c:pt idx="8">
                  <c:v>Año 2023
Resol.851</c:v>
                </c:pt>
              </c:strCache>
            </c:strRef>
          </c:cat>
          <c:val>
            <c:numRef>
              <c:f>Datos!$T$61:$T$69</c:f>
              <c:numCache>
                <c:formatCode>_(* #,##0_);_(* \(#,##0\);_(* "-"_);_(@_)</c:formatCode>
                <c:ptCount val="9"/>
                <c:pt idx="0">
                  <c:v>2</c:v>
                </c:pt>
                <c:pt idx="1">
                  <c:v>2</c:v>
                </c:pt>
                <c:pt idx="2">
                  <c:v>2</c:v>
                </c:pt>
                <c:pt idx="3">
                  <c:v>2</c:v>
                </c:pt>
                <c:pt idx="4">
                  <c:v>2</c:v>
                </c:pt>
                <c:pt idx="5">
                  <c:v>2</c:v>
                </c:pt>
                <c:pt idx="6">
                  <c:v>2</c:v>
                </c:pt>
                <c:pt idx="7">
                  <c:v>2</c:v>
                </c:pt>
                <c:pt idx="8">
                  <c:v>2</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5-FCE0-40F2-B7DD-DDB02D0759EB}"/>
            </c:ext>
          </c:extLst>
        </c:ser>
        <c:dLbls>
          <c:showLegendKey val="0"/>
          <c:showVal val="0"/>
          <c:showCatName val="0"/>
          <c:showSerName val="0"/>
          <c:showPercent val="0"/>
          <c:showBubbleSize val="0"/>
        </c:dLbls>
        <c:marker val="1"/>
        <c:smooth val="0"/>
        <c:axId val="1762039087"/>
        <c:axId val="1762042415"/>
      </c:lineChart>
      <c:catAx>
        <c:axId val="1762039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ysClr val="windowText" lastClr="000000"/>
                </a:solidFill>
                <a:latin typeface="+mn-lt"/>
                <a:ea typeface="+mn-ea"/>
                <a:cs typeface="+mn-cs"/>
              </a:defRPr>
            </a:pPr>
            <a:endParaRPr lang="es-CO"/>
          </a:p>
        </c:txPr>
        <c:crossAx val="1762042415"/>
        <c:crosses val="autoZero"/>
        <c:auto val="1"/>
        <c:lblAlgn val="ctr"/>
        <c:lblOffset val="100"/>
        <c:noMultiLvlLbl val="0"/>
      </c:catAx>
      <c:valAx>
        <c:axId val="1762042415"/>
        <c:scaling>
          <c:orientation val="minMax"/>
        </c:scaling>
        <c:delete val="0"/>
        <c:axPos val="l"/>
        <c:majorGridlines>
          <c:spPr>
            <a:ln w="9525" cap="flat" cmpd="sng" algn="ctr">
              <a:solidFill>
                <a:srgbClr val="B48C41"/>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762039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mn-lt"/>
                <a:ea typeface="+mn-ea"/>
                <a:cs typeface="+mn-cs"/>
              </a:defRPr>
            </a:pPr>
            <a:r>
              <a:rPr lang="en-US" sz="800"/>
              <a:t>Realizar anualmente monitoreo a las EAPB en las acciones de gestión del riesgo de las enfermedades precursoras (Hipertensión, Diabetes y obesidad) para enfermedades cardiovasculares)</a:t>
            </a:r>
          </a:p>
        </c:rich>
      </c:tx>
      <c:layout>
        <c:manualLayout>
          <c:xMode val="edge"/>
          <c:yMode val="edge"/>
          <c:x val="0.2053744060298214"/>
          <c:y val="0"/>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'[Metas PDD Salud publica Minhacienda.xlsx]Metas de Producto'!$B$19</c:f>
              <c:strCache>
                <c:ptCount val="1"/>
                <c:pt idx="0">
                  <c:v>Realizar anualmente monitoreo a las EAPB en las acciones de gestión del riesgo de las enfermedades precursoras (Hipertensión, Diabetes y obesidad) para enfermedades cardiovasculares)</c:v>
                </c:pt>
              </c:strCache>
            </c:strRef>
          </c:tx>
          <c:spPr>
            <a:solidFill>
              <a:srgbClr val="B48C41"/>
            </a:solidFill>
            <a:ln>
              <a:noFill/>
            </a:ln>
            <a:effectLst/>
            <a:sp3d/>
          </c:spPr>
          <c:invertIfNegative val="0"/>
          <c:dPt>
            <c:idx val="0"/>
            <c:invertIfNegative val="0"/>
            <c:bubble3D val="0"/>
            <c:spPr>
              <a:solidFill>
                <a:srgbClr val="B48C41"/>
              </a:solidFill>
              <a:ln>
                <a:noFill/>
              </a:ln>
              <a:effectLst/>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05D2-413A-B42B-ACF13E472F3B}"/>
              </c:ext>
            </c:extLst>
          </c:dPt>
          <c:dPt>
            <c:idx val="1"/>
            <c:invertIfNegative val="0"/>
            <c:bubble3D val="0"/>
            <c:spPr>
              <a:solidFill>
                <a:srgbClr val="B48C41"/>
              </a:solidFill>
              <a:ln>
                <a:noFill/>
              </a:ln>
              <a:effectLst/>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05D2-413A-B42B-ACF13E472F3B}"/>
              </c:ext>
            </c:extLst>
          </c:dPt>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LeaderLines val="0"/>
              </c:ext>
            </c:extLst>
          </c:dLbls>
          <c:cat>
            <c:strRef>
              <c:f>'[Metas PDD Salud publica Minhacienda.xlsx]Metas de Producto'!$H$18:$I$18</c:f>
              <c:strCache>
                <c:ptCount val="2"/>
                <c:pt idx="0">
                  <c:v>%FISICO</c:v>
                </c:pt>
                <c:pt idx="1">
                  <c:v>%FINANCIERO</c:v>
                </c:pt>
              </c:strCache>
            </c:strRef>
          </c:cat>
          <c:val>
            <c:numRef>
              <c:f>'[Metas PDD Salud publica Minhacienda.xlsx]Metas de Producto'!$H$19:$I$19</c:f>
              <c:numCache>
                <c:formatCode>0.0</c:formatCode>
                <c:ptCount val="2"/>
                <c:pt idx="0">
                  <c:v>68.89</c:v>
                </c:pt>
                <c:pt idx="1">
                  <c:v>39.07</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4-05D2-413A-B42B-ACF13E472F3B}"/>
            </c:ext>
          </c:extLst>
        </c:ser>
        <c:dLbls>
          <c:showLegendKey val="0"/>
          <c:showVal val="1"/>
          <c:showCatName val="0"/>
          <c:showSerName val="0"/>
          <c:showPercent val="0"/>
          <c:showBubbleSize val="0"/>
        </c:dLbls>
        <c:gapWidth val="150"/>
        <c:shape val="box"/>
        <c:axId val="1971307439"/>
        <c:axId val="1708153343"/>
        <c:axId val="0"/>
      </c:bar3DChart>
      <c:catAx>
        <c:axId val="19713074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CO"/>
          </a:p>
        </c:txPr>
        <c:crossAx val="1708153343"/>
        <c:crosses val="autoZero"/>
        <c:auto val="1"/>
        <c:lblAlgn val="ctr"/>
        <c:lblOffset val="100"/>
        <c:noMultiLvlLbl val="0"/>
      </c:catAx>
      <c:valAx>
        <c:axId val="170815334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CO"/>
          </a:p>
        </c:txPr>
        <c:crossAx val="1971307439"/>
        <c:crosses val="autoZero"/>
        <c:crossBetween val="between"/>
      </c:valAx>
      <c:spPr>
        <a:noFill/>
        <a:ln>
          <a:noFill/>
        </a:ln>
        <a:effectLst/>
      </c:spPr>
    </c:plotArea>
    <c:plotVisOnly val="1"/>
    <c:dispBlanksAs val="gap"/>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mn-lt"/>
                <a:ea typeface="+mn-ea"/>
                <a:cs typeface="+mn-cs"/>
              </a:defRPr>
            </a:pPr>
            <a:r>
              <a:rPr lang="en-US" sz="800"/>
              <a:t>Fortalecer la capacidad técnica para la vigilancia, prestación de  servicios, implementación de los procesos de calidad e investigación  del Laboratorio de Salud Pública para lograr la acreditación basada en  la norma ISO 17025 posicionándolo como referen</a:t>
            </a:r>
          </a:p>
        </c:rich>
      </c:tx>
      <c:layout>
        <c:manualLayout>
          <c:xMode val="edge"/>
          <c:yMode val="edge"/>
          <c:x val="0.11190507580751483"/>
          <c:y val="0"/>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333813806061125E-2"/>
          <c:y val="0.29513177185103262"/>
          <c:w val="0.73651682371670768"/>
          <c:h val="0.54604033893815795"/>
        </c:manualLayout>
      </c:layout>
      <c:bar3DChart>
        <c:barDir val="col"/>
        <c:grouping val="stacked"/>
        <c:varyColors val="0"/>
        <c:ser>
          <c:idx val="0"/>
          <c:order val="0"/>
          <c:tx>
            <c:strRef>
              <c:f>'[Metas PDD Salud publica Minhacienda.xlsx]Metas de Producto'!$B$102</c:f>
              <c:strCache>
                <c:ptCount val="1"/>
                <c:pt idx="0">
                  <c:v>Fortalecer la capacidad técnica para la vigilancia, prestación de  servicios, implementación de los procesos de calidad e investigación  del Laboratorio de Salud Pública para lograr la acreditación basada en  la norma ISO 17025 posicionándolo como referen</c:v>
                </c:pt>
              </c:strCache>
            </c:strRef>
          </c:tx>
          <c:spPr>
            <a:solidFill>
              <a:srgbClr val="B48C41"/>
            </a:solidFill>
            <a:ln>
              <a:noFill/>
            </a:ln>
            <a:effectLst/>
            <a:sp3d/>
          </c:spPr>
          <c:invertIfNegative val="0"/>
          <c:dPt>
            <c:idx val="0"/>
            <c:invertIfNegative val="0"/>
            <c:bubble3D val="0"/>
            <c:spPr>
              <a:solidFill>
                <a:srgbClr val="B48C41"/>
              </a:solidFill>
              <a:ln>
                <a:noFill/>
              </a:ln>
              <a:effectLst/>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C6B9-479B-BD6E-2A3FCFFB16B4}"/>
              </c:ext>
            </c:extLst>
          </c:dPt>
          <c:dPt>
            <c:idx val="1"/>
            <c:invertIfNegative val="0"/>
            <c:bubble3D val="0"/>
            <c:spPr>
              <a:solidFill>
                <a:srgbClr val="B48C41"/>
              </a:solidFill>
              <a:ln>
                <a:noFill/>
              </a:ln>
              <a:effectLst/>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C6B9-479B-BD6E-2A3FCFFB16B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LeaderLines val="0"/>
              </c:ext>
            </c:extLst>
          </c:dLbls>
          <c:cat>
            <c:strRef>
              <c:f>'[Metas PDD Salud publica Minhacienda.xlsx]Metas de Producto'!$H$101:$I$101</c:f>
              <c:strCache>
                <c:ptCount val="2"/>
                <c:pt idx="0">
                  <c:v>%FISICO</c:v>
                </c:pt>
                <c:pt idx="1">
                  <c:v>%FINANCIERO</c:v>
                </c:pt>
              </c:strCache>
            </c:strRef>
          </c:cat>
          <c:val>
            <c:numRef>
              <c:f>'[Metas PDD Salud publica Minhacienda.xlsx]Metas de Producto'!$H$102:$I$102</c:f>
              <c:numCache>
                <c:formatCode>0%</c:formatCode>
                <c:ptCount val="2"/>
                <c:pt idx="0">
                  <c:v>0.76249999999999996</c:v>
                </c:pt>
                <c:pt idx="1">
                  <c:v>0.64</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4-C6B9-479B-BD6E-2A3FCFFB16B4}"/>
            </c:ext>
          </c:extLst>
        </c:ser>
        <c:dLbls>
          <c:showLegendKey val="0"/>
          <c:showVal val="1"/>
          <c:showCatName val="0"/>
          <c:showSerName val="0"/>
          <c:showPercent val="0"/>
          <c:showBubbleSize val="0"/>
        </c:dLbls>
        <c:gapWidth val="150"/>
        <c:shape val="box"/>
        <c:axId val="226772863"/>
        <c:axId val="65146415"/>
        <c:axId val="0"/>
      </c:bar3DChart>
      <c:catAx>
        <c:axId val="2267728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CO"/>
          </a:p>
        </c:txPr>
        <c:crossAx val="65146415"/>
        <c:crosses val="autoZero"/>
        <c:auto val="1"/>
        <c:lblAlgn val="ctr"/>
        <c:lblOffset val="100"/>
        <c:noMultiLvlLbl val="0"/>
      </c:catAx>
      <c:valAx>
        <c:axId val="651464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CO"/>
          </a:p>
        </c:txPr>
        <c:crossAx val="226772863"/>
        <c:crosses val="autoZero"/>
        <c:crossBetween val="between"/>
      </c:valAx>
      <c:spPr>
        <a:noFill/>
        <a:ln>
          <a:noFill/>
        </a:ln>
        <a:effectLst/>
      </c:spPr>
    </c:plotArea>
    <c:plotVisOnly val="1"/>
    <c:dispBlanksAs val="gap"/>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'[Metas PDD Salud publica Minhacienda.xlsx]Metas de Producto'!$B$79</c:f>
              <c:strCache>
                <c:ptCount val="1"/>
                <c:pt idx="0">
                  <c:v>Mantener las coberturas útiles de vacunación canina y felina en los municipios de departamento</c:v>
                </c:pt>
              </c:strCache>
            </c:strRef>
          </c:tx>
          <c:spPr>
            <a:solidFill>
              <a:srgbClr val="B48C41"/>
            </a:solidFill>
            <a:ln>
              <a:noFill/>
            </a:ln>
            <a:effectLst/>
            <a:sp3d/>
          </c:spPr>
          <c:invertIfNegative val="0"/>
          <c:dPt>
            <c:idx val="0"/>
            <c:invertIfNegative val="0"/>
            <c:bubble3D val="0"/>
            <c:spPr>
              <a:solidFill>
                <a:srgbClr val="B48C41"/>
              </a:solidFill>
              <a:ln>
                <a:noFill/>
              </a:ln>
              <a:effectLst/>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3D3D-4D54-8819-0AD2ADBEBC3A}"/>
              </c:ext>
            </c:extLst>
          </c:dPt>
          <c:dPt>
            <c:idx val="1"/>
            <c:invertIfNegative val="0"/>
            <c:bubble3D val="0"/>
            <c:spPr>
              <a:solidFill>
                <a:srgbClr val="B48C41"/>
              </a:solidFill>
              <a:ln>
                <a:noFill/>
              </a:ln>
              <a:effectLst/>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3D3D-4D54-8819-0AD2ADBEBC3A}"/>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LeaderLines val="0"/>
              </c:ext>
            </c:extLst>
          </c:dLbls>
          <c:cat>
            <c:strRef>
              <c:f>'[Metas PDD Salud publica Minhacienda.xlsx]Metas de Producto'!$H$77:$I$77</c:f>
              <c:strCache>
                <c:ptCount val="2"/>
                <c:pt idx="0">
                  <c:v>%FISICO</c:v>
                </c:pt>
                <c:pt idx="1">
                  <c:v>%FINANCIERO</c:v>
                </c:pt>
              </c:strCache>
            </c:strRef>
          </c:cat>
          <c:val>
            <c:numRef>
              <c:f>'[Metas PDD Salud publica Minhacienda.xlsx]Metas de Producto'!$H$79:$I$79</c:f>
              <c:numCache>
                <c:formatCode>0%</c:formatCode>
                <c:ptCount val="2"/>
                <c:pt idx="0">
                  <c:v>0.57999999999999996</c:v>
                </c:pt>
                <c:pt idx="1">
                  <c:v>0.66</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4-3D3D-4D54-8819-0AD2ADBEBC3A}"/>
            </c:ext>
          </c:extLst>
        </c:ser>
        <c:dLbls>
          <c:showLegendKey val="0"/>
          <c:showVal val="1"/>
          <c:showCatName val="0"/>
          <c:showSerName val="0"/>
          <c:showPercent val="0"/>
          <c:showBubbleSize val="0"/>
        </c:dLbls>
        <c:gapWidth val="150"/>
        <c:shape val="box"/>
        <c:axId val="226756159"/>
        <c:axId val="176762815"/>
        <c:axId val="0"/>
      </c:bar3DChart>
      <c:catAx>
        <c:axId val="2267561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CO"/>
          </a:p>
        </c:txPr>
        <c:crossAx val="176762815"/>
        <c:crosses val="autoZero"/>
        <c:auto val="1"/>
        <c:lblAlgn val="ctr"/>
        <c:lblOffset val="100"/>
        <c:noMultiLvlLbl val="0"/>
      </c:catAx>
      <c:valAx>
        <c:axId val="176762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CO"/>
          </a:p>
        </c:txPr>
        <c:crossAx val="226756159"/>
        <c:crosses val="autoZero"/>
        <c:crossBetween val="between"/>
      </c:valAx>
      <c:spPr>
        <a:noFill/>
        <a:ln>
          <a:noFill/>
        </a:ln>
        <a:effectLst/>
      </c:spPr>
    </c:plotArea>
    <c:plotVisOnly val="1"/>
    <c:dispBlanksAs val="gap"/>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1" ma:contentTypeDescription="Crear nuevo documento." ma:contentTypeScope="" ma:versionID="95c742ab715e99821918e1f63b0b25f8">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d5835e5f055d4bd16bc0795399cb00c2"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2513E707-16F1-4BB0-9A99-5BAED07AA547}"/>
</file>

<file path=customXml/itemProps2.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3.xml><?xml version="1.0" encoding="utf-8"?>
<ds:datastoreItem xmlns:ds="http://schemas.openxmlformats.org/officeDocument/2006/customXml" ds:itemID="{345617D6-5A27-4B9C-944F-8B5686E77E12}">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6C0CA68B-E77B-4B08-9E6C-2E192F16269F}"/>
</file>

<file path=docProps/app.xml><?xml version="1.0" encoding="utf-8"?>
<Properties xmlns="http://schemas.openxmlformats.org/officeDocument/2006/extended-properties" xmlns:vt="http://schemas.openxmlformats.org/officeDocument/2006/docPropsVTypes">
  <Template>Plantilla_Oficio_Comunicación_Oficial_Enviada</Template>
  <TotalTime>1</TotalTime>
  <Pages>42</Pages>
  <Words>12264</Words>
  <Characters>67452</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79557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cp:keywords/>
  <dc:description/>
  <cp:lastModifiedBy>Pablo Andres Parra Cubides</cp:lastModifiedBy>
  <cp:revision>2</cp:revision>
  <cp:lastPrinted>2015-12-16T15:04:00Z</cp:lastPrinted>
  <dcterms:created xsi:type="dcterms:W3CDTF">2023-12-14T21:40:00Z</dcterms:created>
  <dcterms:modified xsi:type="dcterms:W3CDTF">2023-12-14T21:40:00Z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