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E67C" w14:textId="77777777" w:rsidR="005A730B" w:rsidRDefault="005A730B" w:rsidP="005A730B">
      <w:pPr>
        <w:jc w:val="center"/>
        <w:rPr>
          <w:rFonts w:ascii="Arial" w:hAnsi="Arial" w:cs="Arial"/>
          <w:b/>
          <w:sz w:val="21"/>
          <w:szCs w:val="21"/>
        </w:rPr>
      </w:pPr>
      <w:r>
        <w:rPr>
          <w:rFonts w:ascii="Arial" w:hAnsi="Arial" w:cs="Arial"/>
          <w:b/>
          <w:sz w:val="21"/>
          <w:szCs w:val="21"/>
        </w:rPr>
        <w:t>DEPARTAMENTO DE CAQUETÁ</w:t>
      </w:r>
    </w:p>
    <w:p w14:paraId="6D76EC8D" w14:textId="77777777" w:rsidR="005A730B" w:rsidRDefault="005A730B" w:rsidP="005A730B">
      <w:pPr>
        <w:pStyle w:val="Sinespaciado"/>
        <w:jc w:val="center"/>
        <w:rPr>
          <w:rFonts w:ascii="Arial" w:hAnsi="Arial" w:cs="Arial"/>
          <w:b/>
          <w:sz w:val="21"/>
          <w:szCs w:val="21"/>
        </w:rPr>
      </w:pPr>
      <w:r>
        <w:rPr>
          <w:rFonts w:ascii="Arial" w:hAnsi="Arial" w:cs="Arial"/>
          <w:b/>
          <w:sz w:val="21"/>
          <w:szCs w:val="21"/>
        </w:rPr>
        <w:t>INFORME DE RECONOCIMIENTO INSTITUCIONAL</w:t>
      </w:r>
    </w:p>
    <w:p w14:paraId="065DBE55" w14:textId="77777777" w:rsidR="005A730B" w:rsidRDefault="005A730B" w:rsidP="005A730B">
      <w:pPr>
        <w:pStyle w:val="Sinespaciado"/>
        <w:jc w:val="center"/>
        <w:rPr>
          <w:rFonts w:ascii="Arial" w:hAnsi="Arial" w:cs="Arial"/>
          <w:b/>
          <w:sz w:val="21"/>
          <w:szCs w:val="21"/>
        </w:rPr>
      </w:pPr>
      <w:r>
        <w:rPr>
          <w:rFonts w:ascii="Arial" w:hAnsi="Arial" w:cs="Arial"/>
          <w:b/>
          <w:sz w:val="21"/>
          <w:szCs w:val="21"/>
        </w:rPr>
        <w:t>SECTOR SALUD</w:t>
      </w:r>
    </w:p>
    <w:p w14:paraId="555B85F0" w14:textId="77777777" w:rsidR="005A730B" w:rsidRDefault="005A730B" w:rsidP="005A730B">
      <w:pPr>
        <w:pStyle w:val="Sinespaciado"/>
        <w:jc w:val="center"/>
        <w:rPr>
          <w:rFonts w:ascii="Arial" w:hAnsi="Arial" w:cs="Arial"/>
          <w:b/>
          <w:bCs/>
          <w:sz w:val="21"/>
          <w:szCs w:val="21"/>
        </w:rPr>
      </w:pPr>
      <w:r>
        <w:rPr>
          <w:rFonts w:ascii="Arial" w:hAnsi="Arial" w:cs="Arial"/>
          <w:b/>
          <w:sz w:val="21"/>
          <w:szCs w:val="21"/>
        </w:rPr>
        <w:t>MAYO 2022</w:t>
      </w:r>
    </w:p>
    <w:p w14:paraId="332E37D5" w14:textId="77777777" w:rsidR="005A730B" w:rsidRDefault="005A730B" w:rsidP="005A730B">
      <w:pPr>
        <w:pStyle w:val="Sinespaciado"/>
        <w:rPr>
          <w:rFonts w:ascii="Arial" w:hAnsi="Arial" w:cs="Arial"/>
          <w:b/>
          <w:sz w:val="21"/>
          <w:szCs w:val="21"/>
        </w:rPr>
      </w:pPr>
    </w:p>
    <w:tbl>
      <w:tblPr>
        <w:tblStyle w:val="Tablaconcuadrcula"/>
        <w:tblW w:w="8926" w:type="dxa"/>
        <w:jc w:val="center"/>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72"/>
        <w:gridCol w:w="5954"/>
      </w:tblGrid>
      <w:tr w:rsidR="005A730B" w14:paraId="002D88BF" w14:textId="77777777" w:rsidTr="005A730B">
        <w:trPr>
          <w:jc w:val="center"/>
        </w:trPr>
        <w:tc>
          <w:tcPr>
            <w:tcW w:w="2972"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0F20B296" w14:textId="77777777" w:rsidR="005A730B" w:rsidRDefault="005A730B">
            <w:pPr>
              <w:pStyle w:val="NormalWeb"/>
              <w:spacing w:before="0" w:beforeAutospacing="0" w:after="0"/>
              <w:contextualSpacing/>
              <w:rPr>
                <w:rFonts w:ascii="Arial" w:hAnsi="Arial" w:cs="Arial"/>
                <w:i/>
                <w:sz w:val="21"/>
                <w:szCs w:val="21"/>
              </w:rPr>
            </w:pPr>
            <w:r>
              <w:rPr>
                <w:rFonts w:ascii="Arial" w:hAnsi="Arial" w:cs="Arial"/>
                <w:bCs/>
                <w:i/>
                <w:sz w:val="21"/>
                <w:szCs w:val="21"/>
              </w:rPr>
              <w:t>Número de Expediente</w:t>
            </w:r>
          </w:p>
        </w:tc>
        <w:tc>
          <w:tcPr>
            <w:tcW w:w="5954"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746FCD8D" w14:textId="77777777" w:rsidR="005A730B" w:rsidRDefault="005A730B">
            <w:pPr>
              <w:jc w:val="both"/>
              <w:rPr>
                <w:rFonts w:ascii="Arial" w:hAnsi="Arial" w:cs="Arial"/>
                <w:b/>
                <w:bCs/>
                <w:sz w:val="21"/>
                <w:szCs w:val="21"/>
              </w:rPr>
            </w:pPr>
            <w:r>
              <w:rPr>
                <w:rFonts w:ascii="Arial" w:hAnsi="Arial" w:cs="Arial"/>
                <w:sz w:val="21"/>
                <w:szCs w:val="21"/>
              </w:rPr>
              <w:t>27/2021/D028-PREDI</w:t>
            </w:r>
          </w:p>
        </w:tc>
      </w:tr>
      <w:tr w:rsidR="005A730B" w14:paraId="3F79F027" w14:textId="77777777" w:rsidTr="005A730B">
        <w:trPr>
          <w:jc w:val="center"/>
        </w:trPr>
        <w:tc>
          <w:tcPr>
            <w:tcW w:w="2972"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6DE3B7DD" w14:textId="77777777" w:rsidR="005A730B" w:rsidRDefault="005A730B">
            <w:pPr>
              <w:pStyle w:val="NormalWeb"/>
              <w:spacing w:before="0" w:beforeAutospacing="0" w:after="0"/>
              <w:contextualSpacing/>
              <w:rPr>
                <w:rFonts w:ascii="Arial" w:hAnsi="Arial" w:cs="Arial"/>
                <w:bCs/>
                <w:i/>
                <w:sz w:val="21"/>
                <w:szCs w:val="21"/>
              </w:rPr>
            </w:pPr>
            <w:r>
              <w:rPr>
                <w:rFonts w:ascii="Arial" w:hAnsi="Arial" w:cs="Arial"/>
                <w:bCs/>
                <w:i/>
                <w:sz w:val="21"/>
                <w:szCs w:val="21"/>
              </w:rPr>
              <w:t>Sector</w:t>
            </w:r>
          </w:p>
        </w:tc>
        <w:tc>
          <w:tcPr>
            <w:tcW w:w="5954"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54118721" w14:textId="77777777" w:rsidR="005A730B" w:rsidRDefault="005A730B">
            <w:pPr>
              <w:pStyle w:val="NormalWeb"/>
              <w:spacing w:before="0" w:beforeAutospacing="0" w:after="0"/>
              <w:contextualSpacing/>
              <w:rPr>
                <w:rFonts w:ascii="Arial" w:hAnsi="Arial" w:cs="Arial"/>
                <w:b/>
                <w:bCs/>
                <w:sz w:val="21"/>
                <w:szCs w:val="21"/>
              </w:rPr>
            </w:pPr>
            <w:r>
              <w:rPr>
                <w:rFonts w:ascii="Arial" w:hAnsi="Arial" w:cs="Arial"/>
                <w:b/>
                <w:bCs/>
                <w:sz w:val="21"/>
                <w:szCs w:val="21"/>
              </w:rPr>
              <w:t xml:space="preserve">Salud </w:t>
            </w:r>
          </w:p>
        </w:tc>
      </w:tr>
      <w:tr w:rsidR="005A730B" w14:paraId="1EE1F247" w14:textId="77777777" w:rsidTr="005A730B">
        <w:trPr>
          <w:jc w:val="center"/>
        </w:trPr>
        <w:tc>
          <w:tcPr>
            <w:tcW w:w="2972"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43FEE8FA" w14:textId="77777777" w:rsidR="005A730B" w:rsidRDefault="005A730B">
            <w:pPr>
              <w:pStyle w:val="NormalWeb"/>
              <w:spacing w:before="0" w:beforeAutospacing="0" w:after="0"/>
              <w:contextualSpacing/>
              <w:rPr>
                <w:rFonts w:ascii="Arial" w:hAnsi="Arial" w:cs="Arial"/>
                <w:bCs/>
                <w:i/>
                <w:sz w:val="21"/>
                <w:szCs w:val="21"/>
              </w:rPr>
            </w:pPr>
            <w:r>
              <w:rPr>
                <w:rFonts w:ascii="Arial" w:hAnsi="Arial" w:cs="Arial"/>
                <w:bCs/>
                <w:i/>
                <w:sz w:val="21"/>
                <w:szCs w:val="21"/>
              </w:rPr>
              <w:t>Tipo de Entidad</w:t>
            </w:r>
          </w:p>
        </w:tc>
        <w:tc>
          <w:tcPr>
            <w:tcW w:w="5954"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253C8C60" w14:textId="77777777" w:rsidR="005A730B" w:rsidRDefault="005A730B">
            <w:pPr>
              <w:jc w:val="both"/>
              <w:rPr>
                <w:rFonts w:ascii="Arial" w:hAnsi="Arial" w:cs="Arial"/>
                <w:sz w:val="21"/>
                <w:szCs w:val="21"/>
              </w:rPr>
            </w:pPr>
            <w:r>
              <w:rPr>
                <w:rFonts w:ascii="Arial" w:hAnsi="Arial" w:cs="Arial"/>
                <w:sz w:val="21"/>
                <w:szCs w:val="21"/>
              </w:rPr>
              <w:t>Departamento</w:t>
            </w:r>
          </w:p>
        </w:tc>
      </w:tr>
      <w:tr w:rsidR="005A730B" w14:paraId="6ACEF727" w14:textId="77777777" w:rsidTr="005A730B">
        <w:trPr>
          <w:trHeight w:val="65"/>
          <w:jc w:val="center"/>
        </w:trPr>
        <w:tc>
          <w:tcPr>
            <w:tcW w:w="2972"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5D18587F" w14:textId="77777777" w:rsidR="005A730B" w:rsidRDefault="005A730B">
            <w:pPr>
              <w:pStyle w:val="NormalWeb"/>
              <w:spacing w:before="0" w:beforeAutospacing="0" w:after="0"/>
              <w:contextualSpacing/>
              <w:rPr>
                <w:rFonts w:ascii="Arial" w:hAnsi="Arial" w:cs="Arial"/>
                <w:bCs/>
                <w:i/>
                <w:sz w:val="21"/>
                <w:szCs w:val="21"/>
              </w:rPr>
            </w:pPr>
            <w:r>
              <w:rPr>
                <w:rFonts w:ascii="Arial" w:hAnsi="Arial" w:cs="Arial"/>
                <w:bCs/>
                <w:i/>
                <w:sz w:val="21"/>
                <w:szCs w:val="21"/>
              </w:rPr>
              <w:t>Entidad</w:t>
            </w:r>
          </w:p>
        </w:tc>
        <w:tc>
          <w:tcPr>
            <w:tcW w:w="5954"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0A07DDA7" w14:textId="77777777" w:rsidR="005A730B" w:rsidRDefault="005A730B">
            <w:pPr>
              <w:jc w:val="both"/>
              <w:rPr>
                <w:rFonts w:ascii="Arial" w:hAnsi="Arial" w:cs="Arial"/>
                <w:sz w:val="21"/>
                <w:szCs w:val="21"/>
              </w:rPr>
            </w:pPr>
            <w:bookmarkStart w:id="0" w:name="deptoymuni"/>
            <w:bookmarkEnd w:id="0"/>
            <w:r>
              <w:rPr>
                <w:rFonts w:ascii="Arial" w:hAnsi="Arial" w:cs="Arial"/>
                <w:sz w:val="21"/>
                <w:szCs w:val="21"/>
              </w:rPr>
              <w:t>Caquetá</w:t>
            </w:r>
          </w:p>
        </w:tc>
      </w:tr>
    </w:tbl>
    <w:p w14:paraId="20EC88CF" w14:textId="77777777" w:rsidR="005A730B" w:rsidRDefault="005A730B" w:rsidP="005A730B">
      <w:pPr>
        <w:jc w:val="both"/>
        <w:rPr>
          <w:rFonts w:ascii="Arial" w:hAnsi="Arial" w:cs="Arial"/>
          <w:sz w:val="21"/>
          <w:szCs w:val="21"/>
        </w:rPr>
      </w:pPr>
    </w:p>
    <w:p w14:paraId="2D492792" w14:textId="77777777" w:rsidR="005A730B" w:rsidRDefault="005A730B" w:rsidP="005A730B">
      <w:pPr>
        <w:pStyle w:val="Prrafodelista"/>
        <w:numPr>
          <w:ilvl w:val="0"/>
          <w:numId w:val="16"/>
        </w:numPr>
        <w:jc w:val="both"/>
        <w:rPr>
          <w:rFonts w:ascii="Arial" w:eastAsia="Calibri" w:hAnsi="Arial" w:cs="Arial"/>
          <w:b/>
          <w:sz w:val="21"/>
          <w:szCs w:val="21"/>
          <w:lang w:eastAsia="en-US"/>
        </w:rPr>
      </w:pPr>
      <w:r>
        <w:rPr>
          <w:rFonts w:ascii="Arial" w:eastAsia="Calibri" w:hAnsi="Arial" w:cs="Arial"/>
          <w:b/>
          <w:sz w:val="21"/>
          <w:szCs w:val="21"/>
          <w:lang w:eastAsia="en-US"/>
        </w:rPr>
        <w:t>ANTECEDENTES.</w:t>
      </w:r>
    </w:p>
    <w:p w14:paraId="6A7FD29F" w14:textId="77777777" w:rsidR="005A730B" w:rsidRDefault="005A730B" w:rsidP="005A730B">
      <w:pPr>
        <w:pStyle w:val="Prrafodelista"/>
        <w:ind w:left="0"/>
        <w:jc w:val="both"/>
        <w:rPr>
          <w:rFonts w:ascii="Arial" w:eastAsia="Calibri" w:hAnsi="Arial" w:cs="Arial"/>
          <w:b/>
          <w:sz w:val="21"/>
          <w:szCs w:val="21"/>
          <w:highlight w:val="yellow"/>
          <w:lang w:eastAsia="en-US"/>
        </w:rPr>
      </w:pPr>
    </w:p>
    <w:p w14:paraId="44BFFBA6" w14:textId="77777777" w:rsidR="005A730B" w:rsidRDefault="005A730B" w:rsidP="005A730B">
      <w:pPr>
        <w:jc w:val="both"/>
        <w:rPr>
          <w:rFonts w:ascii="Arial" w:eastAsia="Calibri" w:hAnsi="Arial" w:cs="Arial"/>
          <w:sz w:val="21"/>
          <w:szCs w:val="21"/>
          <w:lang w:eastAsia="en-US"/>
        </w:rPr>
      </w:pPr>
      <w:r>
        <w:rPr>
          <w:rFonts w:ascii="Arial" w:eastAsia="Calibri" w:hAnsi="Arial" w:cs="Arial"/>
          <w:sz w:val="21"/>
          <w:szCs w:val="21"/>
          <w:lang w:eastAsia="en-US"/>
        </w:rPr>
        <w:t>El Decreto 028 de 2008 fijó los objetivos de la Estrategia de Monitoreo, Seguimiento y Control integral al gasto que se realice con cargo a los recursos del Sistema General de Participaciones, los sectores sobre los cuales recae su ejercicio, el contenido de cada una de las actividades que la integran, así como sus responsables institucionales; esto, con el propósito de asegurar el cumplimiento de las metas de continuidad, cobertura y calidad en los servicios financiados con cargo a tales recursos.</w:t>
      </w:r>
    </w:p>
    <w:p w14:paraId="1425D9A3" w14:textId="77777777" w:rsidR="005A730B" w:rsidRDefault="005A730B" w:rsidP="005A730B">
      <w:pPr>
        <w:jc w:val="both"/>
        <w:rPr>
          <w:rFonts w:ascii="Arial" w:eastAsia="Calibri" w:hAnsi="Arial" w:cs="Arial"/>
          <w:sz w:val="21"/>
          <w:szCs w:val="21"/>
          <w:highlight w:val="yellow"/>
          <w:lang w:eastAsia="en-US"/>
        </w:rPr>
      </w:pPr>
    </w:p>
    <w:p w14:paraId="0B1AFCE3" w14:textId="77777777" w:rsidR="005A730B" w:rsidRDefault="005A730B" w:rsidP="005A730B">
      <w:pPr>
        <w:jc w:val="both"/>
        <w:rPr>
          <w:rFonts w:ascii="Arial" w:eastAsia="Calibri" w:hAnsi="Arial" w:cs="Arial"/>
          <w:sz w:val="21"/>
          <w:szCs w:val="21"/>
          <w:lang w:eastAsia="en-US"/>
        </w:rPr>
      </w:pPr>
      <w:r>
        <w:rPr>
          <w:rFonts w:ascii="Arial" w:eastAsia="Calibri" w:hAnsi="Arial" w:cs="Arial"/>
          <w:sz w:val="21"/>
          <w:szCs w:val="21"/>
          <w:lang w:eastAsia="en-US"/>
        </w:rPr>
        <w:t>En ese sentido, en aplicación de la Estrategia, en 2021 se recibió del Ministerio de Salud y Protección Social un informe de monitoreo de la vigencia 2020, indicando para el Departamento un alto riesgo en el Sector Salud respecto al componente de Salud Pública y prestación de Servicios. Con relación al componente de Salud pública, el alto riesgo se fundamenta en los bajos resultados en la ejecución de recursos SGP - SP para la vigencia 2020 del 81</w:t>
      </w:r>
      <w:r w:rsidR="00A57834">
        <w:rPr>
          <w:rFonts w:ascii="Arial" w:eastAsia="Calibri" w:hAnsi="Arial" w:cs="Arial"/>
          <w:sz w:val="21"/>
          <w:szCs w:val="21"/>
          <w:lang w:eastAsia="en-US"/>
        </w:rPr>
        <w:t>%</w:t>
      </w:r>
      <w:r>
        <w:rPr>
          <w:rFonts w:ascii="Arial" w:eastAsia="Calibri" w:hAnsi="Arial" w:cs="Arial"/>
          <w:sz w:val="21"/>
          <w:szCs w:val="21"/>
          <w:lang w:eastAsia="en-US"/>
        </w:rPr>
        <w:t xml:space="preserve"> y en cuanto a prestación de servicios la ejecución fue de 82</w:t>
      </w:r>
      <w:r w:rsidR="00A57834">
        <w:rPr>
          <w:rFonts w:ascii="Arial" w:eastAsia="Calibri" w:hAnsi="Arial" w:cs="Arial"/>
          <w:sz w:val="21"/>
          <w:szCs w:val="21"/>
          <w:lang w:eastAsia="en-US"/>
        </w:rPr>
        <w:t>%</w:t>
      </w:r>
      <w:r>
        <w:rPr>
          <w:rFonts w:ascii="Arial" w:eastAsia="Calibri" w:hAnsi="Arial" w:cs="Arial"/>
          <w:sz w:val="21"/>
          <w:szCs w:val="21"/>
          <w:lang w:eastAsia="en-US"/>
        </w:rPr>
        <w:t>.</w:t>
      </w:r>
    </w:p>
    <w:p w14:paraId="25644C8F" w14:textId="77777777" w:rsidR="005A730B" w:rsidRDefault="005A730B" w:rsidP="005A730B">
      <w:pPr>
        <w:jc w:val="both"/>
        <w:rPr>
          <w:rFonts w:ascii="Arial" w:hAnsi="Arial" w:cs="Arial"/>
          <w:sz w:val="21"/>
          <w:szCs w:val="21"/>
        </w:rPr>
      </w:pPr>
    </w:p>
    <w:p w14:paraId="13D9D75A" w14:textId="77777777" w:rsidR="005A730B" w:rsidRDefault="005A730B" w:rsidP="005A730B">
      <w:pPr>
        <w:jc w:val="both"/>
        <w:rPr>
          <w:rFonts w:ascii="Arial" w:eastAsia="Calibri" w:hAnsi="Arial" w:cs="Arial"/>
          <w:sz w:val="21"/>
          <w:szCs w:val="21"/>
        </w:rPr>
      </w:pPr>
      <w:r>
        <w:rPr>
          <w:rFonts w:ascii="Arial" w:eastAsia="Calibri" w:hAnsi="Arial" w:cs="Arial"/>
          <w:sz w:val="21"/>
          <w:szCs w:val="21"/>
        </w:rPr>
        <w:t xml:space="preserve">En consecuencia, conforme a lo definido en el Acto Legislativo 04 de 2007 y el mencionado Decreto 028 de 2008, cuya reglamentación está contenida en el Decreto 1068 de 2015, siendo el Ministerio de Hacienda y Crédito Público el responsable de llevar a cabo la coordinación de la Estrategia de Monitoreo, Seguimiento y Control Integral al gasto ejecutado por las entidades territoriales con recursos del Sistema General de Participaciones, la Dirección General de Apoyo Fiscal solicitó información a la Entidad Territorial mediante el oficio con radicado </w:t>
      </w:r>
      <w:r>
        <w:rPr>
          <w:rFonts w:ascii="Arial" w:eastAsiaTheme="minorHAnsi" w:hAnsi="Arial" w:cs="Arial"/>
          <w:sz w:val="21"/>
          <w:szCs w:val="21"/>
          <w:lang w:val="es-CO" w:eastAsia="en-US"/>
        </w:rPr>
        <w:t>2-2022-005863</w:t>
      </w:r>
      <w:r>
        <w:rPr>
          <w:rFonts w:ascii="Arial" w:eastAsia="Calibri" w:hAnsi="Arial" w:cs="Arial"/>
          <w:sz w:val="21"/>
          <w:szCs w:val="21"/>
        </w:rPr>
        <w:t xml:space="preserve"> del 11 de febrero de 2022 e informó que se llevaría a cabo el reconocimiento institucional de manera virtual durante los días 28 de febrero al 2 de marzo de 2022, con el fin de establecer si existen posibles situaciones riesgo en la prestación del Servicio. Los resultados se presentan a continuación.</w:t>
      </w:r>
    </w:p>
    <w:p w14:paraId="27276386" w14:textId="77777777" w:rsidR="005A730B" w:rsidRDefault="005A730B" w:rsidP="005A730B">
      <w:pPr>
        <w:jc w:val="both"/>
        <w:rPr>
          <w:rFonts w:ascii="Arial" w:eastAsia="Calibri" w:hAnsi="Arial" w:cs="Arial"/>
          <w:sz w:val="21"/>
          <w:szCs w:val="21"/>
          <w:highlight w:val="yellow"/>
          <w:lang w:eastAsia="en-US"/>
        </w:rPr>
      </w:pPr>
    </w:p>
    <w:p w14:paraId="2D21DEA0" w14:textId="77777777" w:rsidR="005A730B" w:rsidRDefault="005A730B" w:rsidP="005A730B">
      <w:pPr>
        <w:jc w:val="both"/>
        <w:rPr>
          <w:rFonts w:ascii="Arial" w:eastAsia="Calibri" w:hAnsi="Arial" w:cs="Arial"/>
          <w:sz w:val="21"/>
          <w:szCs w:val="21"/>
          <w:lang w:eastAsia="en-US"/>
        </w:rPr>
      </w:pPr>
      <w:r>
        <w:rPr>
          <w:rFonts w:ascii="Arial" w:eastAsia="Calibri" w:hAnsi="Arial" w:cs="Arial"/>
          <w:sz w:val="21"/>
          <w:szCs w:val="21"/>
          <w:lang w:eastAsia="en-US"/>
        </w:rPr>
        <w:t>Es preciso indicar que para la elaboración del presente informe se dispuso de información institucional completa aportada por las autoridades departamentales y sectoriales, así como fuentes de información consistentes en documentos o publicaciones de carácter oficial, disposiciones normativas y publicaciones particulares, cada una de las cuales es citada cuando ello es requerido.</w:t>
      </w:r>
    </w:p>
    <w:p w14:paraId="07667CE4" w14:textId="77777777" w:rsidR="005A730B" w:rsidRDefault="005A730B" w:rsidP="005A730B">
      <w:pPr>
        <w:rPr>
          <w:rFonts w:ascii="Arial" w:eastAsia="Calibri" w:hAnsi="Arial" w:cs="Arial"/>
          <w:sz w:val="21"/>
          <w:szCs w:val="21"/>
          <w:lang w:eastAsia="en-US"/>
        </w:rPr>
      </w:pPr>
      <w:r>
        <w:rPr>
          <w:rFonts w:ascii="Arial" w:eastAsia="Calibri" w:hAnsi="Arial" w:cs="Arial"/>
          <w:sz w:val="21"/>
          <w:szCs w:val="21"/>
          <w:lang w:eastAsia="en-US"/>
        </w:rPr>
        <w:br w:type="page"/>
      </w:r>
    </w:p>
    <w:p w14:paraId="01D1E55D" w14:textId="77777777" w:rsidR="005A730B" w:rsidRDefault="005A730B" w:rsidP="005A730B">
      <w:pPr>
        <w:pStyle w:val="Prrafodelista"/>
        <w:numPr>
          <w:ilvl w:val="0"/>
          <w:numId w:val="16"/>
        </w:numPr>
        <w:jc w:val="both"/>
        <w:rPr>
          <w:rFonts w:ascii="Arial" w:eastAsia="Calibri" w:hAnsi="Arial" w:cs="Arial"/>
          <w:b/>
          <w:sz w:val="21"/>
          <w:szCs w:val="21"/>
          <w:lang w:eastAsia="en-US"/>
        </w:rPr>
      </w:pPr>
      <w:r>
        <w:rPr>
          <w:rFonts w:ascii="Arial" w:eastAsia="Calibri" w:hAnsi="Arial" w:cs="Arial"/>
          <w:b/>
          <w:sz w:val="21"/>
          <w:szCs w:val="21"/>
          <w:lang w:eastAsia="en-US"/>
        </w:rPr>
        <w:lastRenderedPageBreak/>
        <w:t>CARACTERIZACIÓN.</w:t>
      </w:r>
    </w:p>
    <w:p w14:paraId="6C58CC8A" w14:textId="77777777" w:rsidR="005A730B" w:rsidRDefault="005A730B" w:rsidP="005A730B">
      <w:pPr>
        <w:jc w:val="both"/>
        <w:rPr>
          <w:rFonts w:ascii="Arial" w:eastAsia="Calibri" w:hAnsi="Arial" w:cs="Arial"/>
          <w:b/>
          <w:sz w:val="21"/>
          <w:szCs w:val="21"/>
          <w:lang w:eastAsia="en-US"/>
        </w:rPr>
      </w:pPr>
    </w:p>
    <w:p w14:paraId="25ABCD56" w14:textId="77777777" w:rsidR="005A730B" w:rsidRDefault="005A730B" w:rsidP="005A730B">
      <w:pPr>
        <w:pStyle w:val="Prrafodelista"/>
        <w:numPr>
          <w:ilvl w:val="0"/>
          <w:numId w:val="17"/>
        </w:numPr>
        <w:rPr>
          <w:rFonts w:ascii="Arial" w:hAnsi="Arial" w:cs="Arial"/>
          <w:noProof/>
          <w:sz w:val="21"/>
          <w:szCs w:val="21"/>
          <w:lang w:val="es-CO" w:eastAsia="es-CO"/>
        </w:rPr>
      </w:pPr>
      <w:r>
        <w:rPr>
          <w:rFonts w:ascii="Arial" w:eastAsia="Calibri" w:hAnsi="Arial" w:cs="Arial"/>
          <w:b/>
          <w:sz w:val="21"/>
          <w:szCs w:val="21"/>
          <w:lang w:eastAsia="en-US"/>
        </w:rPr>
        <w:t>Infografía.</w:t>
      </w:r>
    </w:p>
    <w:p w14:paraId="4AF128BE" w14:textId="77777777" w:rsidR="005A730B" w:rsidRDefault="005A730B" w:rsidP="005A730B">
      <w:pPr>
        <w:rPr>
          <w:rFonts w:ascii="Arial" w:hAnsi="Arial" w:cs="Arial"/>
          <w:noProof/>
          <w:sz w:val="21"/>
          <w:szCs w:val="21"/>
          <w:lang w:val="es-CO" w:eastAsia="es-CO"/>
        </w:rPr>
      </w:pPr>
    </w:p>
    <w:p w14:paraId="20B4EC53" w14:textId="77777777" w:rsidR="005A730B" w:rsidRDefault="005A730B" w:rsidP="005A730B">
      <w:pPr>
        <w:rPr>
          <w:rFonts w:ascii="Arial" w:hAnsi="Arial" w:cs="Arial"/>
          <w:noProof/>
          <w:sz w:val="21"/>
          <w:szCs w:val="21"/>
          <w:lang w:val="es-CO" w:eastAsia="es-CO"/>
        </w:rPr>
      </w:pPr>
      <w:r>
        <w:rPr>
          <w:noProof/>
          <w:lang w:val="es-CO" w:eastAsia="es-CO"/>
        </w:rPr>
        <w:drawing>
          <wp:inline distT="0" distB="0" distL="0" distR="0" wp14:anchorId="553D8E9D" wp14:editId="359506FC">
            <wp:extent cx="5610225" cy="70485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7048500"/>
                    </a:xfrm>
                    <a:prstGeom prst="rect">
                      <a:avLst/>
                    </a:prstGeom>
                    <a:noFill/>
                    <a:ln>
                      <a:noFill/>
                    </a:ln>
                  </pic:spPr>
                </pic:pic>
              </a:graphicData>
            </a:graphic>
          </wp:inline>
        </w:drawing>
      </w:r>
    </w:p>
    <w:p w14:paraId="57DAE3D3" w14:textId="77777777" w:rsidR="007E6627" w:rsidRDefault="007E6627" w:rsidP="007E6627">
      <w:pPr>
        <w:pStyle w:val="Prrafodelista"/>
        <w:jc w:val="both"/>
        <w:rPr>
          <w:rFonts w:ascii="Arial" w:eastAsia="Calibri" w:hAnsi="Arial" w:cs="Arial"/>
          <w:b/>
          <w:sz w:val="21"/>
          <w:szCs w:val="21"/>
          <w:lang w:eastAsia="en-US"/>
        </w:rPr>
      </w:pPr>
    </w:p>
    <w:p w14:paraId="0362EDEC" w14:textId="77777777" w:rsidR="005A730B" w:rsidRDefault="005A730B" w:rsidP="005A730B">
      <w:pPr>
        <w:pStyle w:val="Prrafodelista"/>
        <w:numPr>
          <w:ilvl w:val="0"/>
          <w:numId w:val="17"/>
        </w:numPr>
        <w:jc w:val="both"/>
        <w:rPr>
          <w:rFonts w:ascii="Arial" w:eastAsia="Calibri" w:hAnsi="Arial" w:cs="Arial"/>
          <w:b/>
          <w:sz w:val="21"/>
          <w:szCs w:val="21"/>
          <w:lang w:eastAsia="en-US"/>
        </w:rPr>
      </w:pPr>
      <w:r>
        <w:rPr>
          <w:rFonts w:ascii="Arial" w:eastAsia="Calibri" w:hAnsi="Arial" w:cs="Arial"/>
          <w:b/>
          <w:sz w:val="21"/>
          <w:szCs w:val="21"/>
          <w:lang w:eastAsia="en-US"/>
        </w:rPr>
        <w:lastRenderedPageBreak/>
        <w:t>Contexto Regional</w:t>
      </w:r>
    </w:p>
    <w:p w14:paraId="054E292A" w14:textId="77777777" w:rsidR="005A730B" w:rsidRDefault="005A730B" w:rsidP="005A730B">
      <w:pPr>
        <w:jc w:val="both"/>
        <w:rPr>
          <w:rFonts w:ascii="Arial" w:eastAsia="Calibri" w:hAnsi="Arial" w:cs="Arial"/>
          <w:sz w:val="21"/>
          <w:szCs w:val="21"/>
          <w:lang w:eastAsia="en-US"/>
        </w:rPr>
      </w:pPr>
    </w:p>
    <w:p w14:paraId="228DED1A" w14:textId="77777777" w:rsidR="005A730B" w:rsidRDefault="005A730B" w:rsidP="005A730B">
      <w:pPr>
        <w:pStyle w:val="Prrafodelista"/>
        <w:ind w:left="0"/>
        <w:jc w:val="both"/>
        <w:rPr>
          <w:rFonts w:ascii="Arial" w:hAnsi="Arial" w:cs="Arial"/>
          <w:sz w:val="21"/>
          <w:szCs w:val="21"/>
        </w:rPr>
      </w:pPr>
      <w:r>
        <w:rPr>
          <w:rFonts w:ascii="Arial" w:hAnsi="Arial" w:cs="Arial"/>
          <w:sz w:val="21"/>
          <w:szCs w:val="21"/>
        </w:rPr>
        <w:t xml:space="preserve">El </w:t>
      </w:r>
      <w:r>
        <w:rPr>
          <w:rFonts w:ascii="Arial" w:hAnsi="Arial" w:cs="Arial"/>
          <w:bCs/>
          <w:sz w:val="21"/>
          <w:szCs w:val="21"/>
        </w:rPr>
        <w:t>Departamento de Caquetá</w:t>
      </w:r>
      <w:r>
        <w:rPr>
          <w:rFonts w:ascii="Arial" w:hAnsi="Arial" w:cs="Arial"/>
          <w:sz w:val="21"/>
          <w:szCs w:val="21"/>
        </w:rPr>
        <w:t xml:space="preserve"> está situado en el noroeste de la región de la Amazonia; localizado entre los </w:t>
      </w:r>
      <w:r>
        <w:rPr>
          <w:rFonts w:ascii="Arial" w:hAnsi="Arial" w:cs="Arial"/>
          <w:bCs/>
          <w:sz w:val="21"/>
          <w:szCs w:val="21"/>
        </w:rPr>
        <w:t>00º42’17’’</w:t>
      </w:r>
      <w:r>
        <w:rPr>
          <w:rFonts w:ascii="Arial" w:hAnsi="Arial" w:cs="Arial"/>
          <w:sz w:val="21"/>
          <w:szCs w:val="21"/>
        </w:rPr>
        <w:t xml:space="preserve"> de latitud sur y </w:t>
      </w:r>
      <w:r>
        <w:rPr>
          <w:rFonts w:ascii="Arial" w:hAnsi="Arial" w:cs="Arial"/>
          <w:bCs/>
          <w:sz w:val="21"/>
          <w:szCs w:val="21"/>
        </w:rPr>
        <w:t>02º04’13’’</w:t>
      </w:r>
      <w:r>
        <w:rPr>
          <w:rFonts w:ascii="Arial" w:hAnsi="Arial" w:cs="Arial"/>
          <w:sz w:val="21"/>
          <w:szCs w:val="21"/>
        </w:rPr>
        <w:t xml:space="preserve"> de latitud norte y los </w:t>
      </w:r>
      <w:r>
        <w:rPr>
          <w:rFonts w:ascii="Arial" w:hAnsi="Arial" w:cs="Arial"/>
          <w:bCs/>
          <w:sz w:val="21"/>
          <w:szCs w:val="21"/>
        </w:rPr>
        <w:t>74º18’39’’</w:t>
      </w:r>
      <w:r>
        <w:rPr>
          <w:rFonts w:ascii="Arial" w:hAnsi="Arial" w:cs="Arial"/>
          <w:sz w:val="21"/>
          <w:szCs w:val="21"/>
        </w:rPr>
        <w:t xml:space="preserve"> y </w:t>
      </w:r>
      <w:r>
        <w:rPr>
          <w:rFonts w:ascii="Arial" w:hAnsi="Arial" w:cs="Arial"/>
          <w:bCs/>
          <w:sz w:val="21"/>
          <w:szCs w:val="21"/>
        </w:rPr>
        <w:t>79º19’35’’</w:t>
      </w:r>
      <w:r>
        <w:rPr>
          <w:rFonts w:ascii="Arial" w:hAnsi="Arial" w:cs="Arial"/>
          <w:sz w:val="21"/>
          <w:szCs w:val="21"/>
        </w:rPr>
        <w:t xml:space="preserve"> de longitud este. Cuenta con una superficie de 88.965 km</w:t>
      </w:r>
      <w:r>
        <w:rPr>
          <w:rFonts w:ascii="Arial" w:hAnsi="Arial" w:cs="Arial"/>
          <w:sz w:val="21"/>
          <w:szCs w:val="21"/>
          <w:vertAlign w:val="superscript"/>
        </w:rPr>
        <w:t>2</w:t>
      </w:r>
      <w:r>
        <w:rPr>
          <w:rFonts w:ascii="Arial" w:hAnsi="Arial" w:cs="Arial"/>
          <w:sz w:val="21"/>
          <w:szCs w:val="21"/>
        </w:rPr>
        <w:t xml:space="preserve"> lo que representa el 7,79</w:t>
      </w:r>
      <w:r w:rsidR="00A57834">
        <w:rPr>
          <w:rFonts w:ascii="Arial" w:hAnsi="Arial" w:cs="Arial"/>
          <w:sz w:val="21"/>
          <w:szCs w:val="21"/>
        </w:rPr>
        <w:t>%</w:t>
      </w:r>
      <w:r>
        <w:rPr>
          <w:rFonts w:ascii="Arial" w:hAnsi="Arial" w:cs="Arial"/>
          <w:sz w:val="21"/>
          <w:szCs w:val="21"/>
        </w:rPr>
        <w:t xml:space="preserve"> del territorio nacional. Limita por el Norte con los Departamentos del Huila y Meta, por el Este con los Departamentos del Guaviare y Vaupés, por el Sur con el Río Caquetá que lo separa de los Departamentos del Amazonas y Putumayo, y por el Oeste con los Departamentos del Cauca y Huila.</w:t>
      </w:r>
    </w:p>
    <w:p w14:paraId="39CDC4CE" w14:textId="77777777" w:rsidR="005A730B" w:rsidRDefault="005A730B" w:rsidP="005A730B">
      <w:pPr>
        <w:pStyle w:val="Prrafodelista"/>
        <w:ind w:left="0"/>
        <w:jc w:val="both"/>
        <w:rPr>
          <w:rFonts w:ascii="Arial" w:hAnsi="Arial" w:cs="Arial"/>
          <w:bCs/>
          <w:sz w:val="21"/>
          <w:szCs w:val="21"/>
        </w:rPr>
      </w:pPr>
    </w:p>
    <w:p w14:paraId="2603DBD1" w14:textId="77777777" w:rsidR="005A730B" w:rsidRDefault="005A730B" w:rsidP="005A730B">
      <w:pPr>
        <w:pStyle w:val="Prrafodelista"/>
        <w:ind w:left="0"/>
        <w:jc w:val="both"/>
        <w:rPr>
          <w:rFonts w:ascii="Arial" w:hAnsi="Arial" w:cs="Arial"/>
          <w:sz w:val="21"/>
          <w:szCs w:val="21"/>
        </w:rPr>
      </w:pPr>
      <w:r>
        <w:rPr>
          <w:rFonts w:ascii="Arial" w:hAnsi="Arial" w:cs="Arial"/>
          <w:bCs/>
          <w:sz w:val="21"/>
          <w:szCs w:val="21"/>
        </w:rPr>
        <w:t>El Departamento del Caquetá está dividido en 16 municipios, 63 inspecciones de policía, así como, numerosos caseríos y sitios poblados. Los municipios están agrupados en 4 círculos notariales, con un total de 5 notarías; un círculo principal de registro con sede en Florencia y una oficina seccional de registro en San Vicente del Caguán; un distrito judicial, Florencia, con cabeceras de circuito judicial en Florencia, Belén de los Andaquíes y Puerto Rico. El Departamento conforma la circunscripción electoral del Caquetá.</w:t>
      </w:r>
    </w:p>
    <w:p w14:paraId="7D14B79D" w14:textId="77777777" w:rsidR="005A730B" w:rsidRDefault="005A730B" w:rsidP="005A730B">
      <w:pPr>
        <w:pStyle w:val="Prrafodelista"/>
        <w:ind w:left="0"/>
        <w:rPr>
          <w:rFonts w:ascii="Arial" w:hAnsi="Arial" w:cs="Arial"/>
          <w:sz w:val="21"/>
          <w:szCs w:val="21"/>
        </w:rPr>
      </w:pPr>
    </w:p>
    <w:p w14:paraId="1ED5084F" w14:textId="77777777" w:rsidR="005A730B" w:rsidRDefault="005A730B" w:rsidP="005A730B">
      <w:pPr>
        <w:jc w:val="both"/>
        <w:rPr>
          <w:rFonts w:ascii="Arial" w:hAnsi="Arial" w:cs="Arial"/>
          <w:bCs/>
          <w:sz w:val="21"/>
          <w:szCs w:val="21"/>
        </w:rPr>
      </w:pPr>
      <w:r>
        <w:rPr>
          <w:rFonts w:ascii="Arial" w:hAnsi="Arial" w:cs="Arial"/>
          <w:bCs/>
          <w:sz w:val="21"/>
          <w:szCs w:val="21"/>
        </w:rPr>
        <w:t>La economía del Caquetá se fundamenta principalmente en la producción ganadera y agrícola, aunque también tiene importancia la explotación minera y el comercio. La ganadería constituye la principal fuente productiva del Departamento, seguida de la actividad agrícola, la cual se fundamenta en los cultivos tradicionales de subsistencia, tales como el maíz, plátano, yuca, caña panelera, arroz secano, palma africana, cacao, arroz secano mecanizado, fríjol y sorgo.</w:t>
      </w:r>
    </w:p>
    <w:p w14:paraId="6DAC855B" w14:textId="77777777" w:rsidR="005A730B" w:rsidRDefault="005A730B" w:rsidP="005A730B">
      <w:pPr>
        <w:jc w:val="both"/>
        <w:rPr>
          <w:rFonts w:ascii="Arial" w:hAnsi="Arial" w:cs="Arial"/>
          <w:bCs/>
          <w:sz w:val="21"/>
          <w:szCs w:val="21"/>
        </w:rPr>
      </w:pPr>
    </w:p>
    <w:p w14:paraId="0E84D8EA" w14:textId="77777777" w:rsidR="005A730B" w:rsidRDefault="005A730B" w:rsidP="005A730B">
      <w:pPr>
        <w:jc w:val="both"/>
        <w:rPr>
          <w:rFonts w:ascii="Arial" w:hAnsi="Arial" w:cs="Arial"/>
          <w:bCs/>
          <w:sz w:val="21"/>
          <w:szCs w:val="21"/>
        </w:rPr>
      </w:pPr>
      <w:r>
        <w:rPr>
          <w:rFonts w:ascii="Arial" w:hAnsi="Arial" w:cs="Arial"/>
          <w:bCs/>
          <w:sz w:val="21"/>
          <w:szCs w:val="21"/>
        </w:rPr>
        <w:t xml:space="preserve">Se extraen en pequeña escala oro y plata, hidrocarburos, asfalto, mármol, calizas, aluminio, cobre, yeso y granito. La actividad manufacturera se limita a la producción de bienes de consumo como licores y gaseosas. También se encuentran pequeñas empresas </w:t>
      </w:r>
      <w:proofErr w:type="spellStart"/>
      <w:r>
        <w:rPr>
          <w:rFonts w:ascii="Arial" w:hAnsi="Arial" w:cs="Arial"/>
          <w:bCs/>
          <w:sz w:val="21"/>
          <w:szCs w:val="21"/>
        </w:rPr>
        <w:t>machiembradoras</w:t>
      </w:r>
      <w:proofErr w:type="spellEnd"/>
      <w:r>
        <w:rPr>
          <w:rFonts w:ascii="Arial" w:hAnsi="Arial" w:cs="Arial"/>
          <w:bCs/>
          <w:sz w:val="21"/>
          <w:szCs w:val="21"/>
        </w:rPr>
        <w:t>, fábricas de baldosines y talleres de ornamentación.</w:t>
      </w:r>
    </w:p>
    <w:p w14:paraId="19824F5E" w14:textId="77777777" w:rsidR="005A730B" w:rsidRDefault="005A730B" w:rsidP="005A730B">
      <w:pPr>
        <w:jc w:val="both"/>
        <w:rPr>
          <w:rFonts w:ascii="Arial" w:hAnsi="Arial" w:cs="Arial"/>
          <w:bCs/>
          <w:sz w:val="21"/>
          <w:szCs w:val="21"/>
        </w:rPr>
      </w:pPr>
    </w:p>
    <w:p w14:paraId="372B9221" w14:textId="77777777" w:rsidR="005A730B" w:rsidRDefault="005A730B" w:rsidP="005A730B">
      <w:pPr>
        <w:jc w:val="both"/>
        <w:rPr>
          <w:rFonts w:ascii="Arial" w:hAnsi="Arial" w:cs="Arial"/>
          <w:bCs/>
          <w:sz w:val="21"/>
          <w:szCs w:val="21"/>
        </w:rPr>
      </w:pPr>
      <w:r>
        <w:rPr>
          <w:rFonts w:ascii="Arial" w:hAnsi="Arial" w:cs="Arial"/>
          <w:bCs/>
          <w:sz w:val="21"/>
          <w:szCs w:val="21"/>
        </w:rPr>
        <w:t>El Gobernador del Departamento es el Doctor Arnulfo Gasca Trujillo, y su plan de desarrollo se denomina “</w:t>
      </w:r>
      <w:r>
        <w:rPr>
          <w:rFonts w:ascii="Arial" w:hAnsi="Arial" w:cs="Arial"/>
          <w:bCs/>
          <w:i/>
          <w:iCs/>
          <w:sz w:val="21"/>
          <w:szCs w:val="21"/>
        </w:rPr>
        <w:t>Pacto Social Por el Desarrollo de Nuestra Región</w:t>
      </w:r>
      <w:r>
        <w:rPr>
          <w:rFonts w:ascii="Arial" w:hAnsi="Arial" w:cs="Arial"/>
          <w:bCs/>
          <w:sz w:val="21"/>
          <w:szCs w:val="21"/>
        </w:rPr>
        <w:t>”.</w:t>
      </w:r>
    </w:p>
    <w:p w14:paraId="1D91D2AF" w14:textId="77777777" w:rsidR="005A730B" w:rsidRDefault="005A730B" w:rsidP="005A730B">
      <w:pPr>
        <w:jc w:val="both"/>
        <w:rPr>
          <w:rFonts w:ascii="Arial" w:hAnsi="Arial" w:cs="Arial"/>
          <w:bCs/>
          <w:sz w:val="21"/>
          <w:szCs w:val="21"/>
        </w:rPr>
      </w:pPr>
    </w:p>
    <w:p w14:paraId="7E4C3D1E" w14:textId="77777777" w:rsidR="005A730B" w:rsidRDefault="005A730B" w:rsidP="005A730B">
      <w:pPr>
        <w:jc w:val="center"/>
        <w:rPr>
          <w:rFonts w:ascii="Arial" w:hAnsi="Arial" w:cs="Arial"/>
          <w:bCs/>
          <w:sz w:val="21"/>
          <w:szCs w:val="21"/>
        </w:rPr>
      </w:pPr>
      <w:r>
        <w:rPr>
          <w:noProof/>
          <w:lang w:val="es-CO" w:eastAsia="es-CO"/>
        </w:rPr>
        <w:drawing>
          <wp:anchor distT="0" distB="0" distL="114300" distR="114300" simplePos="0" relativeHeight="251659264" behindDoc="0" locked="0" layoutInCell="1" allowOverlap="1" wp14:anchorId="3139C53E" wp14:editId="1050B13F">
            <wp:simplePos x="0" y="0"/>
            <wp:positionH relativeFrom="column">
              <wp:posOffset>3796665</wp:posOffset>
            </wp:positionH>
            <wp:positionV relativeFrom="paragraph">
              <wp:posOffset>40640</wp:posOffset>
            </wp:positionV>
            <wp:extent cx="1428750" cy="112395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extLst>
                        <a:ext uri="{28A0092B-C50C-407E-A947-70E740481C1C}">
                          <a14:useLocalDpi xmlns:a14="http://schemas.microsoft.com/office/drawing/2010/main" val="0"/>
                        </a:ext>
                      </a:extLst>
                    </a:blip>
                    <a:srcRect l="78429" b="61198"/>
                    <a:stretch>
                      <a:fillRect/>
                    </a:stretch>
                  </pic:blipFill>
                  <pic:spPr bwMode="auto">
                    <a:xfrm>
                      <a:off x="0" y="0"/>
                      <a:ext cx="1428750" cy="1123950"/>
                    </a:xfrm>
                    <a:prstGeom prst="rect">
                      <a:avLst/>
                    </a:prstGeom>
                    <a:noFill/>
                  </pic:spPr>
                </pic:pic>
              </a:graphicData>
            </a:graphic>
          </wp:anchor>
        </w:drawing>
      </w:r>
      <w:r>
        <w:rPr>
          <w:rFonts w:ascii="Arial" w:hAnsi="Arial" w:cs="Arial"/>
          <w:noProof/>
          <w:sz w:val="21"/>
          <w:szCs w:val="21"/>
          <w:lang w:val="es-CO" w:eastAsia="es-CO"/>
        </w:rPr>
        <w:drawing>
          <wp:inline distT="0" distB="0" distL="0" distR="0" wp14:anchorId="02AC6993" wp14:editId="2B5ADBE9">
            <wp:extent cx="5267325" cy="26860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3">
                      <a:extLst>
                        <a:ext uri="{28A0092B-C50C-407E-A947-70E740481C1C}">
                          <a14:useLocalDpi xmlns:a14="http://schemas.microsoft.com/office/drawing/2010/main" val="0"/>
                        </a:ext>
                      </a:extLst>
                    </a:blip>
                    <a:srcRect l="11371" t="13277" r="30075" b="4948"/>
                    <a:stretch>
                      <a:fillRect/>
                    </a:stretch>
                  </pic:blipFill>
                  <pic:spPr bwMode="auto">
                    <a:xfrm>
                      <a:off x="0" y="0"/>
                      <a:ext cx="5267325" cy="2686050"/>
                    </a:xfrm>
                    <a:prstGeom prst="rect">
                      <a:avLst/>
                    </a:prstGeom>
                    <a:noFill/>
                    <a:ln>
                      <a:noFill/>
                    </a:ln>
                  </pic:spPr>
                </pic:pic>
              </a:graphicData>
            </a:graphic>
          </wp:inline>
        </w:drawing>
      </w:r>
    </w:p>
    <w:p w14:paraId="4DD194EB" w14:textId="77777777" w:rsidR="005A730B" w:rsidRDefault="005A730B" w:rsidP="005A730B">
      <w:pPr>
        <w:ind w:right="1183"/>
        <w:contextualSpacing/>
        <w:jc w:val="center"/>
        <w:outlineLvl w:val="0"/>
        <w:rPr>
          <w:rFonts w:ascii="Arial" w:hAnsi="Arial" w:cs="Arial"/>
          <w:i/>
          <w:sz w:val="16"/>
          <w:szCs w:val="16"/>
          <w:highlight w:val="yellow"/>
        </w:rPr>
      </w:pPr>
      <w:r>
        <w:rPr>
          <w:rFonts w:ascii="Arial" w:hAnsi="Arial" w:cs="Arial"/>
          <w:bCs/>
          <w:sz w:val="16"/>
          <w:szCs w:val="16"/>
        </w:rPr>
        <w:t xml:space="preserve">Fuente: </w:t>
      </w:r>
      <w:hyperlink r:id="rId14" w:history="1">
        <w:r>
          <w:rPr>
            <w:rStyle w:val="Hipervnculo"/>
            <w:rFonts w:ascii="Arial" w:hAnsi="Arial" w:cs="Arial"/>
            <w:bCs/>
          </w:rPr>
          <w:t>www.igac.gov.co</w:t>
        </w:r>
      </w:hyperlink>
      <w:r>
        <w:rPr>
          <w:rFonts w:ascii="Arial" w:hAnsi="Arial" w:cs="Arial"/>
          <w:bCs/>
          <w:sz w:val="16"/>
          <w:szCs w:val="16"/>
        </w:rPr>
        <w:t xml:space="preserve"> </w:t>
      </w:r>
    </w:p>
    <w:p w14:paraId="7C4AE04C"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highlight w:val="yellow"/>
          <w:shd w:val="clear" w:color="auto" w:fill="FFFFFF"/>
        </w:rPr>
      </w:pPr>
    </w:p>
    <w:p w14:paraId="5F8BB726" w14:textId="77777777" w:rsidR="005A730B" w:rsidRDefault="005A730B" w:rsidP="005A730B">
      <w:pPr>
        <w:pStyle w:val="Prrafodelista"/>
        <w:numPr>
          <w:ilvl w:val="0"/>
          <w:numId w:val="17"/>
        </w:numPr>
        <w:jc w:val="both"/>
        <w:rPr>
          <w:rFonts w:ascii="Arial" w:eastAsia="Calibri" w:hAnsi="Arial" w:cs="Arial"/>
          <w:b/>
          <w:sz w:val="21"/>
          <w:szCs w:val="21"/>
          <w:lang w:eastAsia="en-US"/>
        </w:rPr>
      </w:pPr>
      <w:r>
        <w:rPr>
          <w:rFonts w:ascii="Arial" w:eastAsia="Calibri" w:hAnsi="Arial" w:cs="Arial"/>
          <w:b/>
          <w:sz w:val="21"/>
          <w:szCs w:val="21"/>
          <w:lang w:eastAsia="en-US"/>
        </w:rPr>
        <w:lastRenderedPageBreak/>
        <w:t>Red pública de prestadores.</w:t>
      </w:r>
    </w:p>
    <w:p w14:paraId="0DFE0A3E"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1"/>
          <w:szCs w:val="21"/>
          <w:lang w:eastAsia="en-US"/>
        </w:rPr>
      </w:pPr>
    </w:p>
    <w:p w14:paraId="65DBB367"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El Departamento de Caquetá, reporta una Red Pública de prestadores del Servicio de Salud en su territorio viabilizada por el Ministerio de Salud y Protección Social e informado al Ministerio de Hacienda y Crédito Público mediante oficio con radicado No. 201423101137071 del 8 de agosto de 2014. Según el documento de viabilidad, la Red Pública hospitalaria la conforman 6 Empresas Sociales del Estado - ESE, 1 de carácter departamental y 5 de carácter municipal.</w:t>
      </w:r>
    </w:p>
    <w:p w14:paraId="387E702D" w14:textId="77777777" w:rsidR="005A730B" w:rsidRDefault="005A730B" w:rsidP="005A730B">
      <w:pPr>
        <w:autoSpaceDE w:val="0"/>
        <w:autoSpaceDN w:val="0"/>
        <w:adjustRightInd w:val="0"/>
        <w:jc w:val="both"/>
        <w:rPr>
          <w:rFonts w:ascii="Arial" w:hAnsi="Arial" w:cs="Arial"/>
          <w:sz w:val="21"/>
          <w:szCs w:val="21"/>
        </w:rPr>
      </w:pPr>
    </w:p>
    <w:p w14:paraId="65A24E8E" w14:textId="77777777" w:rsidR="005A730B" w:rsidRDefault="005A730B" w:rsidP="005A730B">
      <w:pPr>
        <w:autoSpaceDE w:val="0"/>
        <w:autoSpaceDN w:val="0"/>
        <w:adjustRightInd w:val="0"/>
        <w:jc w:val="center"/>
        <w:rPr>
          <w:rFonts w:ascii="Arial" w:eastAsia="ヒラギノ角ゴ Pro W3" w:hAnsi="Arial" w:cs="Arial"/>
          <w:b/>
          <w:color w:val="000000"/>
          <w:sz w:val="20"/>
          <w:szCs w:val="20"/>
          <w:lang w:eastAsia="en-US"/>
        </w:rPr>
      </w:pPr>
      <w:r>
        <w:rPr>
          <w:rFonts w:ascii="Arial" w:eastAsia="ヒラギノ角ゴ Pro W3" w:hAnsi="Arial" w:cs="Arial"/>
          <w:b/>
          <w:color w:val="000000"/>
          <w:sz w:val="20"/>
          <w:szCs w:val="20"/>
          <w:lang w:eastAsia="en-US"/>
        </w:rPr>
        <w:t>Tabla No. 1</w:t>
      </w:r>
    </w:p>
    <w:p w14:paraId="1EAC801E" w14:textId="77777777" w:rsidR="005A730B" w:rsidRDefault="005A730B" w:rsidP="005A730B">
      <w:pPr>
        <w:jc w:val="center"/>
        <w:rPr>
          <w:rFonts w:ascii="Arial" w:eastAsia="Calibri" w:hAnsi="Arial" w:cs="Arial"/>
          <w:b/>
          <w:sz w:val="20"/>
          <w:szCs w:val="20"/>
          <w:lang w:eastAsia="en-US"/>
        </w:rPr>
      </w:pPr>
      <w:r>
        <w:rPr>
          <w:rFonts w:ascii="Arial" w:eastAsia="Calibri" w:hAnsi="Arial" w:cs="Arial"/>
          <w:b/>
          <w:sz w:val="20"/>
          <w:szCs w:val="20"/>
          <w:lang w:eastAsia="en-US"/>
        </w:rPr>
        <w:t>RED PÚBLICA DE PRESTADORES</w:t>
      </w:r>
    </w:p>
    <w:tbl>
      <w:tblPr>
        <w:tblW w:w="5934" w:type="dxa"/>
        <w:jc w:val="center"/>
        <w:tblCellMar>
          <w:left w:w="70" w:type="dxa"/>
          <w:right w:w="70" w:type="dxa"/>
        </w:tblCellMar>
        <w:tblLook w:val="04A0" w:firstRow="1" w:lastRow="0" w:firstColumn="1" w:lastColumn="0" w:noHBand="0" w:noVBand="1"/>
      </w:tblPr>
      <w:tblGrid>
        <w:gridCol w:w="1721"/>
        <w:gridCol w:w="1229"/>
        <w:gridCol w:w="1229"/>
        <w:gridCol w:w="1229"/>
        <w:gridCol w:w="847"/>
      </w:tblGrid>
      <w:tr w:rsidR="005A730B" w14:paraId="78BB53F4" w14:textId="77777777" w:rsidTr="005A730B">
        <w:trPr>
          <w:trHeight w:val="256"/>
          <w:jc w:val="center"/>
        </w:trPr>
        <w:tc>
          <w:tcPr>
            <w:tcW w:w="1400" w:type="dxa"/>
            <w:tcBorders>
              <w:top w:val="single" w:sz="12" w:space="0" w:color="595959" w:themeColor="text1" w:themeTint="A6"/>
              <w:left w:val="nil"/>
              <w:bottom w:val="double" w:sz="4" w:space="0" w:color="595959" w:themeColor="text1" w:themeTint="A6"/>
              <w:right w:val="nil"/>
            </w:tcBorders>
            <w:vAlign w:val="center"/>
            <w:hideMark/>
          </w:tcPr>
          <w:p w14:paraId="5ABBD344"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CARÁCTER</w:t>
            </w:r>
          </w:p>
        </w:tc>
        <w:tc>
          <w:tcPr>
            <w:tcW w:w="1229" w:type="dxa"/>
            <w:tcBorders>
              <w:top w:val="single" w:sz="12" w:space="0" w:color="595959" w:themeColor="text1" w:themeTint="A6"/>
              <w:left w:val="nil"/>
              <w:bottom w:val="double" w:sz="4" w:space="0" w:color="595959" w:themeColor="text1" w:themeTint="A6"/>
              <w:right w:val="nil"/>
            </w:tcBorders>
            <w:vAlign w:val="center"/>
            <w:hideMark/>
          </w:tcPr>
          <w:p w14:paraId="72A4C5C5"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NIVEL 1</w:t>
            </w:r>
          </w:p>
        </w:tc>
        <w:tc>
          <w:tcPr>
            <w:tcW w:w="1229" w:type="dxa"/>
            <w:tcBorders>
              <w:top w:val="single" w:sz="12" w:space="0" w:color="595959" w:themeColor="text1" w:themeTint="A6"/>
              <w:left w:val="nil"/>
              <w:bottom w:val="double" w:sz="4" w:space="0" w:color="595959" w:themeColor="text1" w:themeTint="A6"/>
              <w:right w:val="nil"/>
            </w:tcBorders>
            <w:vAlign w:val="center"/>
            <w:hideMark/>
          </w:tcPr>
          <w:p w14:paraId="36441040"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NIVEL 2</w:t>
            </w:r>
          </w:p>
        </w:tc>
        <w:tc>
          <w:tcPr>
            <w:tcW w:w="1229" w:type="dxa"/>
            <w:tcBorders>
              <w:top w:val="single" w:sz="12" w:space="0" w:color="595959" w:themeColor="text1" w:themeTint="A6"/>
              <w:left w:val="nil"/>
              <w:bottom w:val="double" w:sz="4" w:space="0" w:color="595959" w:themeColor="text1" w:themeTint="A6"/>
              <w:right w:val="nil"/>
            </w:tcBorders>
            <w:vAlign w:val="center"/>
            <w:hideMark/>
          </w:tcPr>
          <w:p w14:paraId="6C30407D"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NIVEL 3</w:t>
            </w:r>
          </w:p>
        </w:tc>
        <w:tc>
          <w:tcPr>
            <w:tcW w:w="847" w:type="dxa"/>
            <w:tcBorders>
              <w:top w:val="single" w:sz="12" w:space="0" w:color="595959" w:themeColor="text1" w:themeTint="A6"/>
              <w:left w:val="nil"/>
              <w:bottom w:val="double" w:sz="4" w:space="0" w:color="595959" w:themeColor="text1" w:themeTint="A6"/>
              <w:right w:val="nil"/>
            </w:tcBorders>
            <w:vAlign w:val="center"/>
            <w:hideMark/>
          </w:tcPr>
          <w:p w14:paraId="1226E211"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TOTAL</w:t>
            </w:r>
          </w:p>
        </w:tc>
      </w:tr>
      <w:tr w:rsidR="005A730B" w14:paraId="59D21C8D" w14:textId="77777777" w:rsidTr="005A730B">
        <w:trPr>
          <w:trHeight w:val="240"/>
          <w:jc w:val="center"/>
        </w:trPr>
        <w:tc>
          <w:tcPr>
            <w:tcW w:w="1400" w:type="dxa"/>
            <w:tcBorders>
              <w:top w:val="double" w:sz="4" w:space="0" w:color="595959" w:themeColor="text1" w:themeTint="A6"/>
              <w:left w:val="nil"/>
              <w:bottom w:val="single" w:sz="4" w:space="0" w:color="A6A6A6"/>
              <w:right w:val="nil"/>
            </w:tcBorders>
            <w:noWrap/>
            <w:vAlign w:val="center"/>
            <w:hideMark/>
          </w:tcPr>
          <w:p w14:paraId="4590B72B"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DEPARTAMENTAL</w:t>
            </w:r>
          </w:p>
        </w:tc>
        <w:tc>
          <w:tcPr>
            <w:tcW w:w="1229" w:type="dxa"/>
            <w:tcBorders>
              <w:top w:val="double" w:sz="4" w:space="0" w:color="595959" w:themeColor="text1" w:themeTint="A6"/>
              <w:left w:val="nil"/>
              <w:bottom w:val="single" w:sz="4" w:space="0" w:color="A6A6A6"/>
              <w:right w:val="nil"/>
            </w:tcBorders>
            <w:noWrap/>
            <w:vAlign w:val="center"/>
            <w:hideMark/>
          </w:tcPr>
          <w:p w14:paraId="5BCFCC74"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w:t>
            </w:r>
          </w:p>
        </w:tc>
        <w:tc>
          <w:tcPr>
            <w:tcW w:w="1229" w:type="dxa"/>
            <w:tcBorders>
              <w:top w:val="double" w:sz="4" w:space="0" w:color="595959" w:themeColor="text1" w:themeTint="A6"/>
              <w:left w:val="nil"/>
              <w:bottom w:val="single" w:sz="4" w:space="0" w:color="A6A6A6"/>
              <w:right w:val="nil"/>
            </w:tcBorders>
            <w:noWrap/>
            <w:vAlign w:val="center"/>
            <w:hideMark/>
          </w:tcPr>
          <w:p w14:paraId="4DE3643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w:t>
            </w:r>
          </w:p>
        </w:tc>
        <w:tc>
          <w:tcPr>
            <w:tcW w:w="1229" w:type="dxa"/>
            <w:tcBorders>
              <w:top w:val="double" w:sz="4" w:space="0" w:color="595959" w:themeColor="text1" w:themeTint="A6"/>
              <w:left w:val="nil"/>
              <w:bottom w:val="single" w:sz="4" w:space="0" w:color="A6A6A6"/>
              <w:right w:val="nil"/>
            </w:tcBorders>
            <w:noWrap/>
            <w:vAlign w:val="center"/>
            <w:hideMark/>
          </w:tcPr>
          <w:p w14:paraId="278794C7"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0</w:t>
            </w:r>
          </w:p>
        </w:tc>
        <w:tc>
          <w:tcPr>
            <w:tcW w:w="847" w:type="dxa"/>
            <w:tcBorders>
              <w:top w:val="double" w:sz="4" w:space="0" w:color="595959" w:themeColor="text1" w:themeTint="A6"/>
              <w:left w:val="nil"/>
              <w:bottom w:val="single" w:sz="4" w:space="0" w:color="A6A6A6"/>
              <w:right w:val="nil"/>
            </w:tcBorders>
            <w:noWrap/>
            <w:vAlign w:val="center"/>
            <w:hideMark/>
          </w:tcPr>
          <w:p w14:paraId="17635C2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5</w:t>
            </w:r>
          </w:p>
        </w:tc>
      </w:tr>
      <w:tr w:rsidR="005A730B" w14:paraId="31A5D3EE" w14:textId="77777777" w:rsidTr="005A730B">
        <w:trPr>
          <w:trHeight w:val="224"/>
          <w:jc w:val="center"/>
        </w:trPr>
        <w:tc>
          <w:tcPr>
            <w:tcW w:w="1400" w:type="dxa"/>
            <w:tcBorders>
              <w:top w:val="nil"/>
              <w:left w:val="nil"/>
              <w:bottom w:val="single" w:sz="4" w:space="0" w:color="A6A6A6"/>
              <w:right w:val="nil"/>
            </w:tcBorders>
            <w:noWrap/>
            <w:vAlign w:val="center"/>
            <w:hideMark/>
          </w:tcPr>
          <w:p w14:paraId="6C9E40C2"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MUNICIPAL</w:t>
            </w:r>
          </w:p>
        </w:tc>
        <w:tc>
          <w:tcPr>
            <w:tcW w:w="1229" w:type="dxa"/>
            <w:tcBorders>
              <w:top w:val="nil"/>
              <w:left w:val="nil"/>
              <w:bottom w:val="single" w:sz="4" w:space="0" w:color="A6A6A6"/>
              <w:right w:val="nil"/>
            </w:tcBorders>
            <w:noWrap/>
            <w:vAlign w:val="center"/>
            <w:hideMark/>
          </w:tcPr>
          <w:p w14:paraId="0E27562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w:t>
            </w:r>
          </w:p>
        </w:tc>
        <w:tc>
          <w:tcPr>
            <w:tcW w:w="1229" w:type="dxa"/>
            <w:tcBorders>
              <w:top w:val="nil"/>
              <w:left w:val="nil"/>
              <w:bottom w:val="single" w:sz="4" w:space="0" w:color="A6A6A6"/>
              <w:right w:val="nil"/>
            </w:tcBorders>
            <w:noWrap/>
            <w:vAlign w:val="center"/>
          </w:tcPr>
          <w:p w14:paraId="161FE903" w14:textId="77777777" w:rsidR="005A730B" w:rsidRDefault="005A730B">
            <w:pPr>
              <w:jc w:val="center"/>
              <w:rPr>
                <w:rFonts w:ascii="Arial" w:eastAsia="Times New Roman" w:hAnsi="Arial" w:cs="Arial"/>
                <w:sz w:val="18"/>
                <w:szCs w:val="18"/>
                <w:lang w:val="es-CO" w:eastAsia="es-CO"/>
              </w:rPr>
            </w:pPr>
          </w:p>
        </w:tc>
        <w:tc>
          <w:tcPr>
            <w:tcW w:w="1229" w:type="dxa"/>
            <w:tcBorders>
              <w:top w:val="nil"/>
              <w:left w:val="nil"/>
              <w:bottom w:val="single" w:sz="4" w:space="0" w:color="A6A6A6"/>
              <w:right w:val="nil"/>
            </w:tcBorders>
            <w:noWrap/>
            <w:vAlign w:val="center"/>
          </w:tcPr>
          <w:p w14:paraId="613AD455" w14:textId="77777777" w:rsidR="005A730B" w:rsidRDefault="005A730B">
            <w:pPr>
              <w:jc w:val="center"/>
              <w:rPr>
                <w:rFonts w:ascii="Arial" w:eastAsia="Times New Roman" w:hAnsi="Arial" w:cs="Arial"/>
                <w:sz w:val="18"/>
                <w:szCs w:val="18"/>
                <w:lang w:val="es-CO" w:eastAsia="es-CO"/>
              </w:rPr>
            </w:pPr>
          </w:p>
        </w:tc>
        <w:tc>
          <w:tcPr>
            <w:tcW w:w="847" w:type="dxa"/>
            <w:tcBorders>
              <w:top w:val="nil"/>
              <w:left w:val="nil"/>
              <w:bottom w:val="single" w:sz="4" w:space="0" w:color="A6A6A6"/>
              <w:right w:val="nil"/>
            </w:tcBorders>
            <w:noWrap/>
            <w:vAlign w:val="center"/>
            <w:hideMark/>
          </w:tcPr>
          <w:p w14:paraId="28F09C38"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w:t>
            </w:r>
          </w:p>
        </w:tc>
      </w:tr>
      <w:tr w:rsidR="005A730B" w14:paraId="26A5290A" w14:textId="77777777" w:rsidTr="005A730B">
        <w:trPr>
          <w:trHeight w:val="224"/>
          <w:jc w:val="center"/>
        </w:trPr>
        <w:tc>
          <w:tcPr>
            <w:tcW w:w="1400" w:type="dxa"/>
            <w:tcBorders>
              <w:top w:val="nil"/>
              <w:left w:val="nil"/>
              <w:bottom w:val="single" w:sz="4" w:space="0" w:color="A6A6A6"/>
              <w:right w:val="nil"/>
            </w:tcBorders>
            <w:noWrap/>
            <w:vAlign w:val="center"/>
            <w:hideMark/>
          </w:tcPr>
          <w:p w14:paraId="41C02528"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NACIONAL</w:t>
            </w:r>
          </w:p>
        </w:tc>
        <w:tc>
          <w:tcPr>
            <w:tcW w:w="1229" w:type="dxa"/>
            <w:tcBorders>
              <w:top w:val="nil"/>
              <w:left w:val="nil"/>
              <w:bottom w:val="single" w:sz="4" w:space="0" w:color="A6A6A6"/>
              <w:right w:val="nil"/>
            </w:tcBorders>
            <w:noWrap/>
            <w:vAlign w:val="center"/>
          </w:tcPr>
          <w:p w14:paraId="035E4541" w14:textId="77777777" w:rsidR="005A730B" w:rsidRDefault="005A730B">
            <w:pPr>
              <w:jc w:val="center"/>
              <w:rPr>
                <w:rFonts w:ascii="Arial" w:eastAsia="Times New Roman" w:hAnsi="Arial" w:cs="Arial"/>
                <w:sz w:val="18"/>
                <w:szCs w:val="18"/>
                <w:lang w:val="es-CO" w:eastAsia="es-CO"/>
              </w:rPr>
            </w:pPr>
          </w:p>
        </w:tc>
        <w:tc>
          <w:tcPr>
            <w:tcW w:w="1229" w:type="dxa"/>
            <w:tcBorders>
              <w:top w:val="nil"/>
              <w:left w:val="nil"/>
              <w:bottom w:val="single" w:sz="4" w:space="0" w:color="A6A6A6"/>
              <w:right w:val="nil"/>
            </w:tcBorders>
            <w:noWrap/>
            <w:vAlign w:val="center"/>
          </w:tcPr>
          <w:p w14:paraId="52937A4C" w14:textId="77777777" w:rsidR="005A730B" w:rsidRDefault="005A730B">
            <w:pPr>
              <w:jc w:val="center"/>
              <w:rPr>
                <w:rFonts w:ascii="Arial" w:eastAsia="Times New Roman" w:hAnsi="Arial" w:cs="Arial"/>
                <w:sz w:val="18"/>
                <w:szCs w:val="18"/>
                <w:lang w:val="es-CO" w:eastAsia="es-CO"/>
              </w:rPr>
            </w:pPr>
          </w:p>
        </w:tc>
        <w:tc>
          <w:tcPr>
            <w:tcW w:w="1229" w:type="dxa"/>
            <w:tcBorders>
              <w:top w:val="nil"/>
              <w:left w:val="nil"/>
              <w:bottom w:val="single" w:sz="4" w:space="0" w:color="A6A6A6"/>
              <w:right w:val="nil"/>
            </w:tcBorders>
            <w:noWrap/>
            <w:vAlign w:val="center"/>
          </w:tcPr>
          <w:p w14:paraId="7EC78B79" w14:textId="77777777" w:rsidR="005A730B" w:rsidRDefault="005A730B">
            <w:pPr>
              <w:jc w:val="center"/>
              <w:rPr>
                <w:rFonts w:ascii="Arial" w:eastAsia="Times New Roman" w:hAnsi="Arial" w:cs="Arial"/>
                <w:sz w:val="18"/>
                <w:szCs w:val="18"/>
                <w:lang w:val="es-CO" w:eastAsia="es-CO"/>
              </w:rPr>
            </w:pPr>
          </w:p>
        </w:tc>
        <w:tc>
          <w:tcPr>
            <w:tcW w:w="847" w:type="dxa"/>
            <w:tcBorders>
              <w:top w:val="nil"/>
              <w:left w:val="nil"/>
              <w:bottom w:val="single" w:sz="4" w:space="0" w:color="A6A6A6"/>
              <w:right w:val="nil"/>
            </w:tcBorders>
            <w:noWrap/>
            <w:vAlign w:val="center"/>
          </w:tcPr>
          <w:p w14:paraId="483EA74E" w14:textId="77777777" w:rsidR="005A730B" w:rsidRDefault="005A730B">
            <w:pPr>
              <w:jc w:val="center"/>
              <w:rPr>
                <w:rFonts w:ascii="Arial" w:eastAsia="Times New Roman" w:hAnsi="Arial" w:cs="Arial"/>
                <w:sz w:val="18"/>
                <w:szCs w:val="18"/>
                <w:lang w:val="es-CO" w:eastAsia="es-CO"/>
              </w:rPr>
            </w:pPr>
          </w:p>
        </w:tc>
      </w:tr>
      <w:tr w:rsidR="005A730B" w14:paraId="22F61B68" w14:textId="77777777" w:rsidTr="005A730B">
        <w:trPr>
          <w:trHeight w:val="240"/>
          <w:jc w:val="center"/>
        </w:trPr>
        <w:tc>
          <w:tcPr>
            <w:tcW w:w="1400" w:type="dxa"/>
            <w:tcBorders>
              <w:top w:val="single" w:sz="4" w:space="0" w:color="A6A6A6"/>
              <w:left w:val="nil"/>
              <w:bottom w:val="single" w:sz="12" w:space="0" w:color="595959" w:themeColor="text1" w:themeTint="A6"/>
              <w:right w:val="nil"/>
            </w:tcBorders>
            <w:noWrap/>
            <w:vAlign w:val="center"/>
            <w:hideMark/>
          </w:tcPr>
          <w:p w14:paraId="292425F9"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TOTAL</w:t>
            </w:r>
          </w:p>
        </w:tc>
        <w:tc>
          <w:tcPr>
            <w:tcW w:w="1229" w:type="dxa"/>
            <w:tcBorders>
              <w:top w:val="single" w:sz="4" w:space="0" w:color="A6A6A6"/>
              <w:left w:val="nil"/>
              <w:bottom w:val="single" w:sz="12" w:space="0" w:color="595959" w:themeColor="text1" w:themeTint="A6"/>
              <w:right w:val="nil"/>
            </w:tcBorders>
            <w:noWrap/>
            <w:vAlign w:val="center"/>
            <w:hideMark/>
          </w:tcPr>
          <w:p w14:paraId="6AD183EB"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5</w:t>
            </w:r>
          </w:p>
        </w:tc>
        <w:tc>
          <w:tcPr>
            <w:tcW w:w="1229" w:type="dxa"/>
            <w:tcBorders>
              <w:top w:val="single" w:sz="4" w:space="0" w:color="A6A6A6"/>
              <w:left w:val="nil"/>
              <w:bottom w:val="single" w:sz="12" w:space="0" w:color="595959" w:themeColor="text1" w:themeTint="A6"/>
              <w:right w:val="nil"/>
            </w:tcBorders>
            <w:noWrap/>
            <w:vAlign w:val="center"/>
            <w:hideMark/>
          </w:tcPr>
          <w:p w14:paraId="02BEACA3"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1</w:t>
            </w:r>
          </w:p>
        </w:tc>
        <w:tc>
          <w:tcPr>
            <w:tcW w:w="1229" w:type="dxa"/>
            <w:tcBorders>
              <w:top w:val="single" w:sz="4" w:space="0" w:color="A6A6A6"/>
              <w:left w:val="nil"/>
              <w:bottom w:val="single" w:sz="12" w:space="0" w:color="595959" w:themeColor="text1" w:themeTint="A6"/>
              <w:right w:val="nil"/>
            </w:tcBorders>
            <w:noWrap/>
            <w:vAlign w:val="center"/>
            <w:hideMark/>
          </w:tcPr>
          <w:p w14:paraId="67F189CE"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0</w:t>
            </w:r>
          </w:p>
        </w:tc>
        <w:tc>
          <w:tcPr>
            <w:tcW w:w="847" w:type="dxa"/>
            <w:tcBorders>
              <w:top w:val="single" w:sz="4" w:space="0" w:color="A6A6A6"/>
              <w:left w:val="nil"/>
              <w:bottom w:val="single" w:sz="12" w:space="0" w:color="595959" w:themeColor="text1" w:themeTint="A6"/>
              <w:right w:val="nil"/>
            </w:tcBorders>
            <w:noWrap/>
            <w:vAlign w:val="center"/>
            <w:hideMark/>
          </w:tcPr>
          <w:p w14:paraId="3840A491"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6</w:t>
            </w:r>
          </w:p>
        </w:tc>
      </w:tr>
    </w:tbl>
    <w:p w14:paraId="56861842" w14:textId="77777777" w:rsidR="005A730B" w:rsidRDefault="005A730B" w:rsidP="005A730B">
      <w:pPr>
        <w:jc w:val="center"/>
        <w:rPr>
          <w:rFonts w:ascii="Arial" w:eastAsia="Calibri" w:hAnsi="Arial" w:cs="Arial"/>
          <w:sz w:val="16"/>
          <w:szCs w:val="16"/>
          <w:lang w:eastAsia="en-US"/>
        </w:rPr>
      </w:pPr>
      <w:r>
        <w:rPr>
          <w:rFonts w:ascii="Arial" w:eastAsia="Times New Roman" w:hAnsi="Arial" w:cs="Arial"/>
          <w:b/>
          <w:sz w:val="16"/>
          <w:szCs w:val="16"/>
          <w:lang w:eastAsia="es-CO"/>
        </w:rPr>
        <w:t>Fuente</w:t>
      </w:r>
      <w:r>
        <w:rPr>
          <w:rFonts w:ascii="Arial" w:eastAsia="Times New Roman" w:hAnsi="Arial" w:cs="Arial"/>
          <w:sz w:val="16"/>
          <w:szCs w:val="16"/>
          <w:lang w:eastAsia="es-CO"/>
        </w:rPr>
        <w:t>: MSPS REPS</w:t>
      </w:r>
    </w:p>
    <w:p w14:paraId="715D6DA5" w14:textId="77777777" w:rsidR="005A730B" w:rsidRDefault="005A730B" w:rsidP="005A730B">
      <w:pPr>
        <w:autoSpaceDE w:val="0"/>
        <w:autoSpaceDN w:val="0"/>
        <w:adjustRightInd w:val="0"/>
        <w:jc w:val="both"/>
        <w:rPr>
          <w:rFonts w:ascii="Arial" w:eastAsia="Calibri" w:hAnsi="Arial" w:cs="Arial"/>
          <w:sz w:val="21"/>
          <w:szCs w:val="21"/>
          <w:lang w:eastAsia="en-US"/>
        </w:rPr>
      </w:pPr>
    </w:p>
    <w:p w14:paraId="284452B2" w14:textId="77777777" w:rsidR="005A730B" w:rsidRDefault="005A730B" w:rsidP="005A730B">
      <w:pPr>
        <w:jc w:val="both"/>
        <w:rPr>
          <w:rFonts w:ascii="Arial" w:hAnsi="Arial" w:cs="Arial"/>
          <w:sz w:val="21"/>
          <w:szCs w:val="21"/>
        </w:rPr>
      </w:pPr>
      <w:r>
        <w:rPr>
          <w:rFonts w:ascii="Arial" w:hAnsi="Arial" w:cs="Arial"/>
          <w:sz w:val="21"/>
          <w:szCs w:val="21"/>
        </w:rPr>
        <w:t>La categorización de riesgo aplicada entre los periodos 2012 – 2019 por el Ministerio de Salud y Protección Social a las ESE del Departamento presentó el siguiente comportamiento:</w:t>
      </w:r>
    </w:p>
    <w:p w14:paraId="602544F6" w14:textId="77777777" w:rsidR="005A730B" w:rsidRDefault="005A730B" w:rsidP="005A730B">
      <w:pPr>
        <w:jc w:val="both"/>
        <w:rPr>
          <w:rFonts w:ascii="Arial" w:eastAsia="Times New Roman" w:hAnsi="Arial" w:cs="Arial"/>
          <w:sz w:val="21"/>
          <w:szCs w:val="21"/>
        </w:rPr>
      </w:pPr>
    </w:p>
    <w:p w14:paraId="10D38A74" w14:textId="77777777" w:rsidR="005A730B" w:rsidRDefault="005A730B" w:rsidP="005A730B">
      <w:pPr>
        <w:jc w:val="center"/>
        <w:rPr>
          <w:rFonts w:ascii="Arial" w:eastAsia="Times New Roman" w:hAnsi="Arial" w:cs="Arial"/>
          <w:sz w:val="21"/>
          <w:szCs w:val="21"/>
        </w:rPr>
      </w:pPr>
      <w:r>
        <w:rPr>
          <w:rFonts w:ascii="Arial" w:hAnsi="Arial" w:cs="Arial"/>
          <w:b/>
          <w:sz w:val="20"/>
          <w:szCs w:val="20"/>
        </w:rPr>
        <w:t>GRAFICA No. 1</w:t>
      </w:r>
      <w:r>
        <w:rPr>
          <w:rFonts w:ascii="Arial" w:hAnsi="Arial" w:cs="Arial"/>
          <w:noProof/>
          <w:sz w:val="20"/>
          <w:szCs w:val="20"/>
          <w:lang w:val="es-CO" w:eastAsia="es-CO"/>
        </w:rPr>
        <w:t xml:space="preserve"> </w:t>
      </w:r>
      <w:r>
        <w:rPr>
          <w:rFonts w:ascii="Arial" w:hAnsi="Arial" w:cs="Arial"/>
          <w:noProof/>
          <w:sz w:val="21"/>
          <w:szCs w:val="21"/>
          <w:lang w:val="es-CO" w:eastAsia="es-CO"/>
        </w:rPr>
        <w:drawing>
          <wp:inline distT="0" distB="0" distL="0" distR="0" wp14:anchorId="57B33344" wp14:editId="10C29C56">
            <wp:extent cx="5638800" cy="3429000"/>
            <wp:effectExtent l="0" t="0" r="0" b="0"/>
            <wp:docPr id="7" name="Gráfico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734C00" w14:textId="77777777" w:rsidR="005A730B" w:rsidRDefault="005A730B" w:rsidP="005A730B">
      <w:pPr>
        <w:jc w:val="center"/>
        <w:rPr>
          <w:rFonts w:ascii="Arial" w:eastAsia="Times New Roman" w:hAnsi="Arial" w:cs="Arial"/>
          <w:sz w:val="16"/>
          <w:szCs w:val="16"/>
        </w:rPr>
      </w:pPr>
      <w:r>
        <w:rPr>
          <w:rFonts w:ascii="Arial" w:eastAsia="Times New Roman" w:hAnsi="Arial" w:cs="Arial"/>
          <w:b/>
          <w:bCs/>
          <w:color w:val="000000"/>
          <w:sz w:val="16"/>
          <w:szCs w:val="16"/>
          <w:lang w:val="es-CO" w:eastAsia="es-CO"/>
        </w:rPr>
        <w:t xml:space="preserve">Fuente: </w:t>
      </w:r>
      <w:r>
        <w:rPr>
          <w:rFonts w:ascii="Arial" w:eastAsia="Times New Roman" w:hAnsi="Arial" w:cs="Arial"/>
          <w:color w:val="000000"/>
          <w:sz w:val="16"/>
          <w:szCs w:val="16"/>
          <w:lang w:val="es-CO" w:eastAsia="es-CO"/>
        </w:rPr>
        <w:t xml:space="preserve">MSPS Resoluciones </w:t>
      </w:r>
      <w:r>
        <w:rPr>
          <w:rFonts w:ascii="Arial" w:eastAsia="Times New Roman" w:hAnsi="Arial" w:cs="Arial"/>
          <w:sz w:val="16"/>
          <w:szCs w:val="16"/>
          <w:lang w:val="es-CO" w:eastAsia="es-CO"/>
        </w:rPr>
        <w:t>categorización de riesgo 2012-2019</w:t>
      </w:r>
      <w:r>
        <w:rPr>
          <w:rStyle w:val="Refdenotaalpie"/>
          <w:rFonts w:ascii="Arial" w:eastAsia="Times New Roman" w:hAnsi="Arial" w:cs="Arial"/>
          <w:sz w:val="16"/>
          <w:szCs w:val="16"/>
          <w:lang w:val="es-CO" w:eastAsia="es-CO"/>
        </w:rPr>
        <w:footnoteReference w:id="1"/>
      </w:r>
    </w:p>
    <w:p w14:paraId="483756E5" w14:textId="77777777" w:rsidR="005A730B" w:rsidRDefault="005A730B" w:rsidP="005A730B">
      <w:pPr>
        <w:jc w:val="both"/>
        <w:rPr>
          <w:rFonts w:ascii="Arial" w:eastAsia="Times New Roman" w:hAnsi="Arial" w:cs="Arial"/>
          <w:sz w:val="21"/>
          <w:szCs w:val="21"/>
          <w:highlight w:val="yellow"/>
        </w:rPr>
      </w:pPr>
    </w:p>
    <w:p w14:paraId="0E0D6031" w14:textId="77777777" w:rsidR="005A730B" w:rsidRDefault="005A730B" w:rsidP="005A730B">
      <w:pPr>
        <w:autoSpaceDE w:val="0"/>
        <w:autoSpaceDN w:val="0"/>
        <w:adjustRightInd w:val="0"/>
        <w:jc w:val="both"/>
        <w:rPr>
          <w:rFonts w:ascii="Arial" w:eastAsia="Calibri" w:hAnsi="Arial" w:cs="Arial"/>
          <w:sz w:val="21"/>
          <w:szCs w:val="21"/>
          <w:lang w:eastAsia="en-US"/>
        </w:rPr>
      </w:pPr>
      <w:r>
        <w:rPr>
          <w:rFonts w:ascii="Arial" w:eastAsia="Calibri" w:hAnsi="Arial" w:cs="Arial"/>
          <w:sz w:val="21"/>
          <w:szCs w:val="21"/>
          <w:lang w:eastAsia="en-US"/>
        </w:rPr>
        <w:t xml:space="preserve">La ESE que fue categorizada en riesgo medio (ESE Sor Teresa Adele del </w:t>
      </w:r>
      <w:proofErr w:type="spellStart"/>
      <w:r>
        <w:rPr>
          <w:rFonts w:ascii="Arial" w:eastAsia="Calibri" w:hAnsi="Arial" w:cs="Arial"/>
          <w:sz w:val="21"/>
          <w:szCs w:val="21"/>
          <w:lang w:eastAsia="en-US"/>
        </w:rPr>
        <w:t>Docenllo</w:t>
      </w:r>
      <w:proofErr w:type="spellEnd"/>
      <w:r>
        <w:rPr>
          <w:rFonts w:ascii="Arial" w:eastAsia="Calibri" w:hAnsi="Arial" w:cs="Arial"/>
          <w:sz w:val="21"/>
          <w:szCs w:val="21"/>
          <w:lang w:eastAsia="en-US"/>
        </w:rPr>
        <w:t>),</w:t>
      </w:r>
      <w:r w:rsidR="00107270">
        <w:rPr>
          <w:rFonts w:ascii="Arial" w:eastAsia="Calibri" w:hAnsi="Arial" w:cs="Arial"/>
          <w:sz w:val="21"/>
          <w:szCs w:val="21"/>
          <w:lang w:eastAsia="en-US"/>
        </w:rPr>
        <w:t xml:space="preserve"> </w:t>
      </w:r>
      <w:r>
        <w:rPr>
          <w:rFonts w:ascii="Arial" w:eastAsia="Calibri" w:hAnsi="Arial" w:cs="Arial"/>
          <w:sz w:val="21"/>
          <w:szCs w:val="21"/>
          <w:lang w:eastAsia="en-US"/>
        </w:rPr>
        <w:t>a junio de2022 aún no se ha viabilizado.</w:t>
      </w:r>
    </w:p>
    <w:p w14:paraId="322FF8D7" w14:textId="77777777" w:rsidR="005A730B" w:rsidRDefault="005A730B" w:rsidP="005A730B">
      <w:pPr>
        <w:autoSpaceDE w:val="0"/>
        <w:autoSpaceDN w:val="0"/>
        <w:adjustRightInd w:val="0"/>
        <w:jc w:val="both"/>
        <w:rPr>
          <w:rFonts w:ascii="Arial" w:eastAsia="Calibri" w:hAnsi="Arial" w:cs="Arial"/>
          <w:sz w:val="21"/>
          <w:szCs w:val="21"/>
          <w:lang w:eastAsia="en-US"/>
        </w:rPr>
      </w:pPr>
    </w:p>
    <w:p w14:paraId="756A1D0E" w14:textId="77777777" w:rsidR="005A730B" w:rsidRDefault="005A730B" w:rsidP="005A730B">
      <w:pPr>
        <w:autoSpaceDE w:val="0"/>
        <w:autoSpaceDN w:val="0"/>
        <w:adjustRightInd w:val="0"/>
        <w:jc w:val="both"/>
        <w:rPr>
          <w:rFonts w:ascii="Arial" w:hAnsi="Arial" w:cs="Arial"/>
          <w:sz w:val="21"/>
          <w:szCs w:val="21"/>
        </w:rPr>
      </w:pPr>
      <w:r>
        <w:rPr>
          <w:rFonts w:ascii="Arial" w:eastAsia="Calibri" w:hAnsi="Arial" w:cs="Arial"/>
          <w:sz w:val="21"/>
          <w:szCs w:val="21"/>
          <w:lang w:eastAsia="en-US"/>
        </w:rPr>
        <w:lastRenderedPageBreak/>
        <w:t>Lo</w:t>
      </w:r>
      <w:r>
        <w:rPr>
          <w:rFonts w:ascii="Arial" w:hAnsi="Arial" w:cs="Arial"/>
          <w:sz w:val="21"/>
          <w:szCs w:val="21"/>
        </w:rPr>
        <w:t>s resultados financieros arrojados al cierre de la vigencia 2021 por la Red Pública prestadora de Servicios de Salud presentan el siguiente escenario:</w:t>
      </w:r>
    </w:p>
    <w:p w14:paraId="02E990D6" w14:textId="77777777" w:rsidR="005A730B" w:rsidRDefault="005A730B" w:rsidP="005A730B">
      <w:pPr>
        <w:autoSpaceDE w:val="0"/>
        <w:autoSpaceDN w:val="0"/>
        <w:adjustRightInd w:val="0"/>
        <w:jc w:val="both"/>
        <w:rPr>
          <w:rFonts w:ascii="Arial" w:hAnsi="Arial" w:cs="Arial"/>
          <w:sz w:val="21"/>
          <w:szCs w:val="21"/>
        </w:rPr>
      </w:pPr>
    </w:p>
    <w:p w14:paraId="556600D6" w14:textId="77777777" w:rsidR="005A730B" w:rsidRDefault="005A730B" w:rsidP="005A730B">
      <w:pPr>
        <w:autoSpaceDE w:val="0"/>
        <w:autoSpaceDN w:val="0"/>
        <w:adjustRightInd w:val="0"/>
        <w:jc w:val="both"/>
        <w:rPr>
          <w:rFonts w:ascii="Arial" w:hAnsi="Arial" w:cs="Arial"/>
          <w:sz w:val="21"/>
          <w:szCs w:val="21"/>
        </w:rPr>
      </w:pPr>
    </w:p>
    <w:p w14:paraId="453AFA32" w14:textId="77777777" w:rsidR="005A730B" w:rsidRDefault="005A730B" w:rsidP="005A730B">
      <w:pPr>
        <w:autoSpaceDE w:val="0"/>
        <w:autoSpaceDN w:val="0"/>
        <w:adjustRightInd w:val="0"/>
        <w:jc w:val="center"/>
        <w:rPr>
          <w:rFonts w:ascii="Arial" w:hAnsi="Arial" w:cs="Arial"/>
          <w:b/>
          <w:sz w:val="20"/>
          <w:szCs w:val="20"/>
        </w:rPr>
      </w:pPr>
      <w:r>
        <w:rPr>
          <w:rFonts w:ascii="Arial" w:hAnsi="Arial" w:cs="Arial"/>
          <w:b/>
          <w:sz w:val="20"/>
          <w:szCs w:val="20"/>
        </w:rPr>
        <w:t>Tabla No. 2</w:t>
      </w:r>
    </w:p>
    <w:tbl>
      <w:tblPr>
        <w:tblW w:w="6820" w:type="dxa"/>
        <w:jc w:val="center"/>
        <w:tblCellMar>
          <w:left w:w="70" w:type="dxa"/>
          <w:right w:w="70" w:type="dxa"/>
        </w:tblCellMar>
        <w:tblLook w:val="04A0" w:firstRow="1" w:lastRow="0" w:firstColumn="1" w:lastColumn="0" w:noHBand="0" w:noVBand="1"/>
      </w:tblPr>
      <w:tblGrid>
        <w:gridCol w:w="1985"/>
        <w:gridCol w:w="1235"/>
        <w:gridCol w:w="1200"/>
        <w:gridCol w:w="1200"/>
        <w:gridCol w:w="1200"/>
      </w:tblGrid>
      <w:tr w:rsidR="005A730B" w14:paraId="4047B0A0" w14:textId="77777777" w:rsidTr="005A730B">
        <w:trPr>
          <w:trHeight w:val="315"/>
          <w:tblHeader/>
          <w:jc w:val="center"/>
        </w:trPr>
        <w:tc>
          <w:tcPr>
            <w:tcW w:w="1985" w:type="dxa"/>
            <w:noWrap/>
            <w:vAlign w:val="center"/>
            <w:hideMark/>
          </w:tcPr>
          <w:p w14:paraId="029D2297"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Cifras en Millones de $</w:t>
            </w:r>
          </w:p>
        </w:tc>
        <w:tc>
          <w:tcPr>
            <w:tcW w:w="1235" w:type="dxa"/>
            <w:noWrap/>
            <w:vAlign w:val="center"/>
            <w:hideMark/>
          </w:tcPr>
          <w:p w14:paraId="6144A6D6" w14:textId="77777777" w:rsidR="005A730B" w:rsidRDefault="005A730B">
            <w:pPr>
              <w:rPr>
                <w:rFonts w:ascii="Arial" w:eastAsia="Times New Roman" w:hAnsi="Arial" w:cs="Arial"/>
                <w:color w:val="000000"/>
                <w:sz w:val="18"/>
                <w:szCs w:val="18"/>
                <w:lang w:val="es-CO" w:eastAsia="es-CO"/>
              </w:rPr>
            </w:pPr>
          </w:p>
        </w:tc>
        <w:tc>
          <w:tcPr>
            <w:tcW w:w="1200" w:type="dxa"/>
            <w:noWrap/>
            <w:vAlign w:val="center"/>
            <w:hideMark/>
          </w:tcPr>
          <w:p w14:paraId="21C1517D" w14:textId="77777777" w:rsidR="005A730B" w:rsidRDefault="005A730B">
            <w:pPr>
              <w:rPr>
                <w:rFonts w:asciiTheme="minorHAnsi" w:eastAsiaTheme="minorHAnsi" w:hAnsiTheme="minorHAnsi" w:cstheme="minorBidi"/>
                <w:sz w:val="20"/>
                <w:szCs w:val="20"/>
                <w:lang w:val="es-CO" w:eastAsia="es-CO"/>
              </w:rPr>
            </w:pPr>
          </w:p>
        </w:tc>
        <w:tc>
          <w:tcPr>
            <w:tcW w:w="1200" w:type="dxa"/>
            <w:noWrap/>
            <w:vAlign w:val="center"/>
            <w:hideMark/>
          </w:tcPr>
          <w:p w14:paraId="105FE88D" w14:textId="77777777" w:rsidR="005A730B" w:rsidRDefault="005A730B">
            <w:pPr>
              <w:rPr>
                <w:rFonts w:asciiTheme="minorHAnsi" w:eastAsiaTheme="minorHAnsi" w:hAnsiTheme="minorHAnsi" w:cstheme="minorBidi"/>
                <w:sz w:val="20"/>
                <w:szCs w:val="20"/>
                <w:lang w:val="es-CO" w:eastAsia="es-CO"/>
              </w:rPr>
            </w:pPr>
          </w:p>
        </w:tc>
        <w:tc>
          <w:tcPr>
            <w:tcW w:w="1200" w:type="dxa"/>
            <w:noWrap/>
            <w:vAlign w:val="center"/>
            <w:hideMark/>
          </w:tcPr>
          <w:p w14:paraId="4A692F48" w14:textId="77777777" w:rsidR="005A730B" w:rsidRDefault="005A730B">
            <w:pPr>
              <w:rPr>
                <w:rFonts w:asciiTheme="minorHAnsi" w:eastAsiaTheme="minorHAnsi" w:hAnsiTheme="minorHAnsi" w:cstheme="minorBidi"/>
                <w:sz w:val="20"/>
                <w:szCs w:val="20"/>
                <w:lang w:val="es-CO" w:eastAsia="es-CO"/>
              </w:rPr>
            </w:pPr>
          </w:p>
        </w:tc>
      </w:tr>
      <w:tr w:rsidR="005A730B" w14:paraId="201A4A05" w14:textId="77777777" w:rsidTr="005A730B">
        <w:trPr>
          <w:trHeight w:val="510"/>
          <w:tblHeader/>
          <w:jc w:val="center"/>
        </w:trPr>
        <w:tc>
          <w:tcPr>
            <w:tcW w:w="1985" w:type="dxa"/>
            <w:tcBorders>
              <w:top w:val="single" w:sz="4" w:space="0" w:color="808080"/>
              <w:left w:val="nil"/>
              <w:bottom w:val="single" w:sz="4" w:space="0" w:color="808080"/>
              <w:right w:val="nil"/>
            </w:tcBorders>
            <w:shd w:val="clear" w:color="auto" w:fill="D9D9D9"/>
            <w:vAlign w:val="center"/>
            <w:hideMark/>
          </w:tcPr>
          <w:p w14:paraId="194FD14E"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CONCEPTO</w:t>
            </w:r>
          </w:p>
        </w:tc>
        <w:tc>
          <w:tcPr>
            <w:tcW w:w="1235" w:type="dxa"/>
            <w:tcBorders>
              <w:top w:val="single" w:sz="4" w:space="0" w:color="808080"/>
              <w:left w:val="nil"/>
              <w:bottom w:val="single" w:sz="4" w:space="0" w:color="808080"/>
              <w:right w:val="nil"/>
            </w:tcBorders>
            <w:shd w:val="clear" w:color="auto" w:fill="D9D9D9"/>
            <w:vAlign w:val="center"/>
            <w:hideMark/>
          </w:tcPr>
          <w:p w14:paraId="261D5562"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Nivel I</w:t>
            </w:r>
          </w:p>
        </w:tc>
        <w:tc>
          <w:tcPr>
            <w:tcW w:w="1200" w:type="dxa"/>
            <w:tcBorders>
              <w:top w:val="single" w:sz="4" w:space="0" w:color="808080"/>
              <w:left w:val="nil"/>
              <w:bottom w:val="single" w:sz="4" w:space="0" w:color="808080"/>
              <w:right w:val="nil"/>
            </w:tcBorders>
            <w:shd w:val="clear" w:color="auto" w:fill="D9D9D9"/>
            <w:vAlign w:val="center"/>
            <w:hideMark/>
          </w:tcPr>
          <w:p w14:paraId="4E616558"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Nivel II</w:t>
            </w:r>
          </w:p>
        </w:tc>
        <w:tc>
          <w:tcPr>
            <w:tcW w:w="1200" w:type="dxa"/>
            <w:tcBorders>
              <w:top w:val="single" w:sz="4" w:space="0" w:color="808080"/>
              <w:left w:val="nil"/>
              <w:bottom w:val="single" w:sz="4" w:space="0" w:color="808080"/>
              <w:right w:val="nil"/>
            </w:tcBorders>
            <w:shd w:val="clear" w:color="auto" w:fill="D9D9D9"/>
            <w:vAlign w:val="center"/>
            <w:hideMark/>
          </w:tcPr>
          <w:p w14:paraId="0979CB85"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Nivel III</w:t>
            </w:r>
          </w:p>
        </w:tc>
        <w:tc>
          <w:tcPr>
            <w:tcW w:w="1200" w:type="dxa"/>
            <w:tcBorders>
              <w:top w:val="single" w:sz="4" w:space="0" w:color="808080"/>
              <w:left w:val="nil"/>
              <w:bottom w:val="single" w:sz="4" w:space="0" w:color="808080"/>
              <w:right w:val="nil"/>
            </w:tcBorders>
            <w:shd w:val="clear" w:color="auto" w:fill="D9D9D9"/>
            <w:vAlign w:val="center"/>
            <w:hideMark/>
          </w:tcPr>
          <w:p w14:paraId="20816C09" w14:textId="77777777" w:rsidR="005A730B" w:rsidRDefault="005A730B">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Total</w:t>
            </w:r>
          </w:p>
        </w:tc>
      </w:tr>
      <w:tr w:rsidR="005A730B" w14:paraId="551B1586" w14:textId="77777777" w:rsidTr="005A730B">
        <w:trPr>
          <w:trHeight w:val="315"/>
          <w:jc w:val="center"/>
        </w:trPr>
        <w:tc>
          <w:tcPr>
            <w:tcW w:w="1985" w:type="dxa"/>
            <w:tcBorders>
              <w:top w:val="nil"/>
              <w:left w:val="nil"/>
              <w:bottom w:val="single" w:sz="4" w:space="0" w:color="808080"/>
              <w:right w:val="nil"/>
            </w:tcBorders>
            <w:vAlign w:val="center"/>
            <w:hideMark/>
          </w:tcPr>
          <w:p w14:paraId="2B9676DD"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 Ingresos</w:t>
            </w:r>
          </w:p>
        </w:tc>
        <w:tc>
          <w:tcPr>
            <w:tcW w:w="1235" w:type="dxa"/>
            <w:tcBorders>
              <w:top w:val="nil"/>
              <w:left w:val="nil"/>
              <w:bottom w:val="single" w:sz="4" w:space="0" w:color="808080"/>
              <w:right w:val="nil"/>
            </w:tcBorders>
            <w:shd w:val="clear" w:color="auto" w:fill="FFFFFF"/>
            <w:vAlign w:val="center"/>
            <w:hideMark/>
          </w:tcPr>
          <w:p w14:paraId="465AB5FB"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71.676</w:t>
            </w:r>
          </w:p>
        </w:tc>
        <w:tc>
          <w:tcPr>
            <w:tcW w:w="1200" w:type="dxa"/>
            <w:tcBorders>
              <w:top w:val="nil"/>
              <w:left w:val="nil"/>
              <w:bottom w:val="single" w:sz="4" w:space="0" w:color="808080"/>
              <w:right w:val="nil"/>
            </w:tcBorders>
            <w:vAlign w:val="center"/>
            <w:hideMark/>
          </w:tcPr>
          <w:p w14:paraId="210432C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84.154</w:t>
            </w:r>
          </w:p>
        </w:tc>
        <w:tc>
          <w:tcPr>
            <w:tcW w:w="1200" w:type="dxa"/>
            <w:tcBorders>
              <w:top w:val="nil"/>
              <w:left w:val="nil"/>
              <w:bottom w:val="single" w:sz="4" w:space="0" w:color="808080"/>
              <w:right w:val="nil"/>
            </w:tcBorders>
            <w:vAlign w:val="center"/>
            <w:hideMark/>
          </w:tcPr>
          <w:p w14:paraId="391CD8E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vAlign w:val="center"/>
            <w:hideMark/>
          </w:tcPr>
          <w:p w14:paraId="22BA033E"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155.830</w:t>
            </w:r>
          </w:p>
        </w:tc>
      </w:tr>
      <w:tr w:rsidR="005A730B" w14:paraId="43195654" w14:textId="77777777" w:rsidTr="005A730B">
        <w:trPr>
          <w:trHeight w:val="315"/>
          <w:jc w:val="center"/>
        </w:trPr>
        <w:tc>
          <w:tcPr>
            <w:tcW w:w="1985" w:type="dxa"/>
            <w:tcBorders>
              <w:top w:val="nil"/>
              <w:left w:val="nil"/>
              <w:bottom w:val="single" w:sz="4" w:space="0" w:color="808080"/>
              <w:right w:val="nil"/>
            </w:tcBorders>
            <w:vAlign w:val="center"/>
            <w:hideMark/>
          </w:tcPr>
          <w:p w14:paraId="0B1591C5"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 Gastos</w:t>
            </w:r>
          </w:p>
        </w:tc>
        <w:tc>
          <w:tcPr>
            <w:tcW w:w="1235" w:type="dxa"/>
            <w:tcBorders>
              <w:top w:val="nil"/>
              <w:left w:val="nil"/>
              <w:bottom w:val="single" w:sz="4" w:space="0" w:color="808080"/>
              <w:right w:val="nil"/>
            </w:tcBorders>
            <w:shd w:val="clear" w:color="auto" w:fill="FFFFFF"/>
            <w:vAlign w:val="center"/>
            <w:hideMark/>
          </w:tcPr>
          <w:p w14:paraId="5585EF1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77.697</w:t>
            </w:r>
          </w:p>
        </w:tc>
        <w:tc>
          <w:tcPr>
            <w:tcW w:w="1200" w:type="dxa"/>
            <w:tcBorders>
              <w:top w:val="nil"/>
              <w:left w:val="nil"/>
              <w:bottom w:val="single" w:sz="4" w:space="0" w:color="808080"/>
              <w:right w:val="nil"/>
            </w:tcBorders>
            <w:vAlign w:val="center"/>
            <w:hideMark/>
          </w:tcPr>
          <w:p w14:paraId="0E32D606"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98.107</w:t>
            </w:r>
          </w:p>
        </w:tc>
        <w:tc>
          <w:tcPr>
            <w:tcW w:w="1200" w:type="dxa"/>
            <w:tcBorders>
              <w:top w:val="nil"/>
              <w:left w:val="nil"/>
              <w:bottom w:val="single" w:sz="4" w:space="0" w:color="808080"/>
              <w:right w:val="nil"/>
            </w:tcBorders>
            <w:vAlign w:val="center"/>
            <w:hideMark/>
          </w:tcPr>
          <w:p w14:paraId="4F49574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vAlign w:val="center"/>
            <w:hideMark/>
          </w:tcPr>
          <w:p w14:paraId="4BA63A59"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175.804</w:t>
            </w:r>
          </w:p>
        </w:tc>
      </w:tr>
      <w:tr w:rsidR="005A730B" w14:paraId="04B82818" w14:textId="77777777" w:rsidTr="005A730B">
        <w:trPr>
          <w:trHeight w:val="315"/>
          <w:jc w:val="center"/>
        </w:trPr>
        <w:tc>
          <w:tcPr>
            <w:tcW w:w="1985" w:type="dxa"/>
            <w:tcBorders>
              <w:top w:val="nil"/>
              <w:left w:val="nil"/>
              <w:bottom w:val="single" w:sz="4" w:space="0" w:color="808080"/>
              <w:right w:val="nil"/>
            </w:tcBorders>
            <w:vAlign w:val="center"/>
            <w:hideMark/>
          </w:tcPr>
          <w:p w14:paraId="3E11A0DE"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 Resultado (1-2)</w:t>
            </w:r>
          </w:p>
        </w:tc>
        <w:tc>
          <w:tcPr>
            <w:tcW w:w="1235" w:type="dxa"/>
            <w:tcBorders>
              <w:top w:val="nil"/>
              <w:left w:val="nil"/>
              <w:bottom w:val="single" w:sz="4" w:space="0" w:color="808080"/>
              <w:right w:val="nil"/>
            </w:tcBorders>
            <w:shd w:val="clear" w:color="auto" w:fill="FFFFFF"/>
            <w:vAlign w:val="center"/>
            <w:hideMark/>
          </w:tcPr>
          <w:p w14:paraId="4555420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-6.021</w:t>
            </w:r>
          </w:p>
        </w:tc>
        <w:tc>
          <w:tcPr>
            <w:tcW w:w="1200" w:type="dxa"/>
            <w:tcBorders>
              <w:top w:val="nil"/>
              <w:left w:val="nil"/>
              <w:bottom w:val="single" w:sz="4" w:space="0" w:color="808080"/>
              <w:right w:val="nil"/>
            </w:tcBorders>
            <w:shd w:val="clear" w:color="auto" w:fill="FFFFFF"/>
            <w:vAlign w:val="center"/>
            <w:hideMark/>
          </w:tcPr>
          <w:p w14:paraId="72D22D00"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-13.953</w:t>
            </w:r>
          </w:p>
        </w:tc>
        <w:tc>
          <w:tcPr>
            <w:tcW w:w="1200" w:type="dxa"/>
            <w:tcBorders>
              <w:top w:val="nil"/>
              <w:left w:val="nil"/>
              <w:bottom w:val="single" w:sz="4" w:space="0" w:color="808080"/>
              <w:right w:val="nil"/>
            </w:tcBorders>
            <w:shd w:val="clear" w:color="auto" w:fill="FFFFFF"/>
            <w:vAlign w:val="center"/>
            <w:hideMark/>
          </w:tcPr>
          <w:p w14:paraId="041556E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shd w:val="clear" w:color="auto" w:fill="FFFFFF"/>
            <w:vAlign w:val="center"/>
            <w:hideMark/>
          </w:tcPr>
          <w:p w14:paraId="41B2D59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-19.974</w:t>
            </w:r>
          </w:p>
        </w:tc>
      </w:tr>
      <w:tr w:rsidR="005A730B" w14:paraId="5E8FEA65" w14:textId="77777777" w:rsidTr="005A730B">
        <w:trPr>
          <w:trHeight w:val="315"/>
          <w:jc w:val="center"/>
        </w:trPr>
        <w:tc>
          <w:tcPr>
            <w:tcW w:w="1985" w:type="dxa"/>
            <w:tcBorders>
              <w:top w:val="nil"/>
              <w:left w:val="nil"/>
              <w:bottom w:val="single" w:sz="4" w:space="0" w:color="808080"/>
              <w:right w:val="nil"/>
            </w:tcBorders>
            <w:vAlign w:val="center"/>
            <w:hideMark/>
          </w:tcPr>
          <w:p w14:paraId="27E6E355"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4. Pasivos</w:t>
            </w:r>
          </w:p>
        </w:tc>
        <w:tc>
          <w:tcPr>
            <w:tcW w:w="1235" w:type="dxa"/>
            <w:tcBorders>
              <w:top w:val="nil"/>
              <w:left w:val="nil"/>
              <w:bottom w:val="single" w:sz="4" w:space="0" w:color="808080"/>
              <w:right w:val="nil"/>
            </w:tcBorders>
            <w:vAlign w:val="center"/>
            <w:hideMark/>
          </w:tcPr>
          <w:p w14:paraId="5FABF9B6"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19.328</w:t>
            </w:r>
          </w:p>
        </w:tc>
        <w:tc>
          <w:tcPr>
            <w:tcW w:w="1200" w:type="dxa"/>
            <w:tcBorders>
              <w:top w:val="nil"/>
              <w:left w:val="nil"/>
              <w:bottom w:val="single" w:sz="4" w:space="0" w:color="808080"/>
              <w:right w:val="nil"/>
            </w:tcBorders>
            <w:vAlign w:val="center"/>
            <w:hideMark/>
          </w:tcPr>
          <w:p w14:paraId="6397A00B"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39.508</w:t>
            </w:r>
          </w:p>
        </w:tc>
        <w:tc>
          <w:tcPr>
            <w:tcW w:w="1200" w:type="dxa"/>
            <w:tcBorders>
              <w:top w:val="nil"/>
              <w:left w:val="nil"/>
              <w:bottom w:val="single" w:sz="4" w:space="0" w:color="808080"/>
              <w:right w:val="nil"/>
            </w:tcBorders>
            <w:vAlign w:val="center"/>
            <w:hideMark/>
          </w:tcPr>
          <w:p w14:paraId="4AE3B989"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vAlign w:val="center"/>
            <w:hideMark/>
          </w:tcPr>
          <w:p w14:paraId="1D519A0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58.836</w:t>
            </w:r>
          </w:p>
        </w:tc>
      </w:tr>
      <w:tr w:rsidR="005A730B" w14:paraId="35ECBEAB" w14:textId="77777777" w:rsidTr="005A730B">
        <w:trPr>
          <w:trHeight w:val="315"/>
          <w:jc w:val="center"/>
        </w:trPr>
        <w:tc>
          <w:tcPr>
            <w:tcW w:w="1985" w:type="dxa"/>
            <w:tcBorders>
              <w:top w:val="nil"/>
              <w:left w:val="nil"/>
              <w:bottom w:val="single" w:sz="4" w:space="0" w:color="808080"/>
              <w:right w:val="nil"/>
            </w:tcBorders>
            <w:vAlign w:val="center"/>
            <w:hideMark/>
          </w:tcPr>
          <w:p w14:paraId="52200054"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 Cartera</w:t>
            </w:r>
          </w:p>
        </w:tc>
        <w:tc>
          <w:tcPr>
            <w:tcW w:w="1235" w:type="dxa"/>
            <w:tcBorders>
              <w:top w:val="nil"/>
              <w:left w:val="nil"/>
              <w:bottom w:val="single" w:sz="4" w:space="0" w:color="808080"/>
              <w:right w:val="nil"/>
            </w:tcBorders>
            <w:shd w:val="clear" w:color="auto" w:fill="FFFFFF"/>
            <w:vAlign w:val="center"/>
            <w:hideMark/>
          </w:tcPr>
          <w:p w14:paraId="30B975FA"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40.113</w:t>
            </w:r>
          </w:p>
        </w:tc>
        <w:tc>
          <w:tcPr>
            <w:tcW w:w="1200" w:type="dxa"/>
            <w:tcBorders>
              <w:top w:val="nil"/>
              <w:left w:val="nil"/>
              <w:bottom w:val="single" w:sz="4" w:space="0" w:color="808080"/>
              <w:right w:val="nil"/>
            </w:tcBorders>
            <w:vAlign w:val="center"/>
            <w:hideMark/>
          </w:tcPr>
          <w:p w14:paraId="55EFBB0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88.570</w:t>
            </w:r>
          </w:p>
        </w:tc>
        <w:tc>
          <w:tcPr>
            <w:tcW w:w="1200" w:type="dxa"/>
            <w:tcBorders>
              <w:top w:val="nil"/>
              <w:left w:val="nil"/>
              <w:bottom w:val="single" w:sz="4" w:space="0" w:color="808080"/>
              <w:right w:val="nil"/>
            </w:tcBorders>
            <w:vAlign w:val="center"/>
            <w:hideMark/>
          </w:tcPr>
          <w:p w14:paraId="68E6F91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1200" w:type="dxa"/>
            <w:tcBorders>
              <w:top w:val="nil"/>
              <w:left w:val="nil"/>
              <w:bottom w:val="single" w:sz="4" w:space="0" w:color="808080"/>
              <w:right w:val="nil"/>
            </w:tcBorders>
            <w:vAlign w:val="center"/>
            <w:hideMark/>
          </w:tcPr>
          <w:p w14:paraId="7FF00495"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128.683</w:t>
            </w:r>
          </w:p>
        </w:tc>
      </w:tr>
      <w:tr w:rsidR="005A730B" w14:paraId="0B99FC76" w14:textId="77777777" w:rsidTr="005A730B">
        <w:trPr>
          <w:trHeight w:val="315"/>
          <w:jc w:val="center"/>
        </w:trPr>
        <w:tc>
          <w:tcPr>
            <w:tcW w:w="6820" w:type="dxa"/>
            <w:gridSpan w:val="5"/>
            <w:noWrap/>
            <w:vAlign w:val="center"/>
            <w:hideMark/>
          </w:tcPr>
          <w:p w14:paraId="565B6762"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b/>
                <w:bCs/>
                <w:color w:val="000000"/>
                <w:sz w:val="16"/>
                <w:szCs w:val="16"/>
                <w:lang w:val="es-CO" w:eastAsia="es-CO"/>
              </w:rPr>
              <w:t xml:space="preserve">Fuente: </w:t>
            </w:r>
            <w:r>
              <w:rPr>
                <w:rFonts w:ascii="Arial" w:eastAsia="Times New Roman" w:hAnsi="Arial" w:cs="Arial"/>
                <w:color w:val="000000"/>
                <w:sz w:val="16"/>
                <w:szCs w:val="16"/>
                <w:lang w:val="es-CO" w:eastAsia="es-CO"/>
              </w:rPr>
              <w:t xml:space="preserve">Sistema de Información de Hospitales </w:t>
            </w:r>
            <w:r>
              <w:rPr>
                <w:rFonts w:ascii="Arial" w:eastAsia="Times New Roman" w:hAnsi="Arial" w:cs="Arial"/>
                <w:sz w:val="16"/>
                <w:szCs w:val="16"/>
                <w:lang w:val="es-CO" w:eastAsia="es-CO"/>
              </w:rPr>
              <w:t>- SIHO. Corte dic. 2021. Información verificada el 10/03/2022</w:t>
            </w:r>
            <w:r>
              <w:rPr>
                <w:rFonts w:ascii="Arial" w:eastAsia="Times New Roman" w:hAnsi="Arial" w:cs="Arial"/>
                <w:sz w:val="18"/>
                <w:szCs w:val="18"/>
                <w:lang w:val="es-CO" w:eastAsia="es-CO"/>
              </w:rPr>
              <w:t>.</w:t>
            </w:r>
          </w:p>
        </w:tc>
      </w:tr>
    </w:tbl>
    <w:p w14:paraId="2D76F6E3" w14:textId="77777777" w:rsidR="005A730B" w:rsidRDefault="005A730B" w:rsidP="005A730B">
      <w:pPr>
        <w:autoSpaceDE w:val="0"/>
        <w:autoSpaceDN w:val="0"/>
        <w:adjustRightInd w:val="0"/>
        <w:jc w:val="both"/>
        <w:rPr>
          <w:rFonts w:ascii="Arial" w:eastAsia="Calibri" w:hAnsi="Arial" w:cs="Arial"/>
          <w:sz w:val="21"/>
          <w:szCs w:val="21"/>
          <w:highlight w:val="yellow"/>
          <w:lang w:eastAsia="en-US"/>
        </w:rPr>
      </w:pPr>
    </w:p>
    <w:p w14:paraId="47EA28E6" w14:textId="77777777" w:rsidR="005A730B" w:rsidRDefault="005A730B" w:rsidP="005A730B">
      <w:pPr>
        <w:pStyle w:val="Prrafodelista"/>
        <w:numPr>
          <w:ilvl w:val="0"/>
          <w:numId w:val="17"/>
        </w:numPr>
        <w:jc w:val="both"/>
        <w:rPr>
          <w:rFonts w:ascii="Arial" w:eastAsia="Calibri" w:hAnsi="Arial" w:cs="Arial"/>
          <w:b/>
          <w:sz w:val="21"/>
          <w:szCs w:val="21"/>
          <w:lang w:eastAsia="en-US"/>
        </w:rPr>
      </w:pPr>
      <w:r>
        <w:rPr>
          <w:rFonts w:ascii="Arial" w:eastAsia="Calibri" w:hAnsi="Arial" w:cs="Arial"/>
          <w:b/>
          <w:sz w:val="21"/>
          <w:szCs w:val="21"/>
          <w:lang w:eastAsia="en-US"/>
        </w:rPr>
        <w:t>Planeación en Salud.</w:t>
      </w:r>
    </w:p>
    <w:p w14:paraId="7D2FCF80"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Calibri" w:hAnsi="Arial" w:cs="Arial"/>
          <w:sz w:val="21"/>
          <w:szCs w:val="21"/>
          <w:lang w:eastAsia="en-US"/>
        </w:rPr>
      </w:pPr>
    </w:p>
    <w:p w14:paraId="2E385A70" w14:textId="77777777" w:rsidR="005A730B" w:rsidRDefault="005A730B" w:rsidP="005A730B">
      <w:pPr>
        <w:jc w:val="both"/>
        <w:rPr>
          <w:rFonts w:ascii="Arial" w:hAnsi="Arial" w:cs="Arial"/>
          <w:bCs/>
          <w:sz w:val="21"/>
          <w:szCs w:val="21"/>
        </w:rPr>
      </w:pPr>
      <w:r>
        <w:rPr>
          <w:rFonts w:ascii="Arial" w:hAnsi="Arial" w:cs="Arial"/>
          <w:bCs/>
          <w:sz w:val="21"/>
          <w:szCs w:val="21"/>
        </w:rPr>
        <w:t>El Plan de Desarrollo para el periodo 2020 – 2023, propuesto por el Gobernador Arnulfo Gasca Trujillo, bajo el nombre de “</w:t>
      </w:r>
      <w:r>
        <w:rPr>
          <w:rFonts w:ascii="Arial" w:hAnsi="Arial" w:cs="Arial"/>
          <w:bCs/>
          <w:i/>
          <w:iCs/>
          <w:sz w:val="21"/>
          <w:szCs w:val="21"/>
        </w:rPr>
        <w:t>Pacto Social Por el Desarrollo de Nuestra Región</w:t>
      </w:r>
      <w:r>
        <w:rPr>
          <w:rFonts w:ascii="Arial" w:hAnsi="Arial" w:cs="Arial"/>
          <w:bCs/>
          <w:sz w:val="21"/>
          <w:szCs w:val="21"/>
        </w:rPr>
        <w:t>”</w:t>
      </w:r>
      <w:r>
        <w:rPr>
          <w:rFonts w:ascii="Arial" w:hAnsi="Arial" w:cs="Arial"/>
          <w:sz w:val="21"/>
          <w:szCs w:val="21"/>
        </w:rPr>
        <w:t xml:space="preserve"> aprobado por la Asamblea mediante Ordenanza 06 del 27 de mayo de 2016</w:t>
      </w:r>
      <w:r>
        <w:rPr>
          <w:rFonts w:ascii="Arial" w:hAnsi="Arial" w:cs="Arial"/>
          <w:bCs/>
          <w:sz w:val="21"/>
          <w:szCs w:val="21"/>
        </w:rPr>
        <w:t>, destaca en el componente de Salud los siguientes aspectos:</w:t>
      </w:r>
    </w:p>
    <w:p w14:paraId="42F234C2" w14:textId="77777777" w:rsidR="005A730B" w:rsidRDefault="005A730B" w:rsidP="005A730B">
      <w:pPr>
        <w:jc w:val="both"/>
        <w:rPr>
          <w:rFonts w:ascii="Arial" w:hAnsi="Arial" w:cs="Arial"/>
          <w:i/>
          <w:sz w:val="21"/>
          <w:szCs w:val="21"/>
        </w:rPr>
      </w:pPr>
    </w:p>
    <w:p w14:paraId="60DEC78C" w14:textId="77777777" w:rsidR="005A730B" w:rsidRDefault="005A730B" w:rsidP="005A730B">
      <w:pPr>
        <w:ind w:left="567"/>
        <w:contextualSpacing/>
        <w:jc w:val="both"/>
        <w:rPr>
          <w:rFonts w:ascii="Arial" w:hAnsi="Arial" w:cs="Arial"/>
          <w:bCs/>
          <w:sz w:val="18"/>
          <w:szCs w:val="18"/>
        </w:rPr>
      </w:pPr>
      <w:r>
        <w:rPr>
          <w:rFonts w:ascii="Arial" w:hAnsi="Arial" w:cs="Arial"/>
          <w:bCs/>
          <w:i/>
          <w:sz w:val="18"/>
          <w:szCs w:val="18"/>
        </w:rPr>
        <w:t>“El presupuesto de inversión del departamento, es en promedio $249.029 millones en los últimos 5 años, sin incluir lo correspondiente al Sistema General de Regalías - SGR. De esta, la mayor inversión se da en la prestación del servicio educativo con recursos del Sistema General de Participaciones - SGP, la cual presenta un crecimiento promedio del 6,5% a lo largo de la serie histórica, la segunda inversión destacada corresponde al sector salud financiada tanto con recursos del Sistema General de Participaciones como de las rentas cedidas al sector salud y las transferencias que realiza el Ministerio de Salud, en estos sectores se concentra el 90% del presupuesto departamental”.</w:t>
      </w:r>
    </w:p>
    <w:p w14:paraId="5D9A343A" w14:textId="77777777" w:rsidR="005A730B" w:rsidRDefault="005A730B" w:rsidP="005A730B">
      <w:pPr>
        <w:jc w:val="both"/>
        <w:rPr>
          <w:rFonts w:ascii="Arial" w:hAnsi="Arial" w:cs="Arial"/>
          <w:bCs/>
          <w:sz w:val="21"/>
          <w:szCs w:val="21"/>
        </w:rPr>
      </w:pPr>
    </w:p>
    <w:p w14:paraId="7FD28443" w14:textId="77777777" w:rsidR="005A730B" w:rsidRDefault="005A730B" w:rsidP="005A730B">
      <w:pPr>
        <w:jc w:val="both"/>
        <w:rPr>
          <w:rFonts w:ascii="Arial" w:hAnsi="Arial" w:cs="Arial"/>
          <w:bCs/>
          <w:sz w:val="21"/>
          <w:szCs w:val="21"/>
        </w:rPr>
      </w:pPr>
      <w:r>
        <w:rPr>
          <w:rFonts w:ascii="Arial" w:hAnsi="Arial" w:cs="Arial"/>
          <w:bCs/>
          <w:sz w:val="21"/>
          <w:szCs w:val="21"/>
        </w:rPr>
        <w:t>En cuanto a la inversión en Salud, el Plan de Desarrollo prevé recursos por $316.444 millones, incluida como fuente de financiación $52.580 millones con regalías.</w:t>
      </w:r>
    </w:p>
    <w:p w14:paraId="4A28ED75" w14:textId="77777777" w:rsidR="005A730B" w:rsidRDefault="005A730B" w:rsidP="005A730B">
      <w:pPr>
        <w:jc w:val="both"/>
        <w:rPr>
          <w:rFonts w:ascii="Arial" w:hAnsi="Arial" w:cs="Arial"/>
          <w:bCs/>
          <w:sz w:val="21"/>
          <w:szCs w:val="21"/>
        </w:rPr>
      </w:pPr>
    </w:p>
    <w:p w14:paraId="1F2A89BB" w14:textId="77777777" w:rsidR="005A730B" w:rsidRDefault="005A730B" w:rsidP="005A730B">
      <w:pPr>
        <w:jc w:val="both"/>
        <w:rPr>
          <w:rFonts w:ascii="Arial" w:hAnsi="Arial" w:cs="Arial"/>
          <w:bCs/>
          <w:sz w:val="21"/>
          <w:szCs w:val="21"/>
        </w:rPr>
      </w:pPr>
      <w:r>
        <w:rPr>
          <w:rFonts w:ascii="Arial" w:hAnsi="Arial" w:cs="Arial"/>
          <w:bCs/>
          <w:sz w:val="21"/>
          <w:szCs w:val="21"/>
        </w:rPr>
        <w:t>La distribución del recurso por componente y fuente para el cuatrienio se muestra en el siguiente cuadro:</w:t>
      </w:r>
    </w:p>
    <w:p w14:paraId="3DF297CF" w14:textId="77777777" w:rsidR="005A730B" w:rsidRDefault="005A730B" w:rsidP="005A730B">
      <w:pPr>
        <w:rPr>
          <w:rFonts w:ascii="Arial" w:hAnsi="Arial" w:cs="Arial"/>
          <w:bCs/>
          <w:sz w:val="21"/>
          <w:szCs w:val="21"/>
        </w:rPr>
      </w:pPr>
    </w:p>
    <w:p w14:paraId="1EB6C7FA" w14:textId="77777777" w:rsidR="005A730B" w:rsidRDefault="005A730B" w:rsidP="005A730B">
      <w:pPr>
        <w:jc w:val="center"/>
        <w:rPr>
          <w:rFonts w:ascii="Arial" w:hAnsi="Arial" w:cs="Arial"/>
          <w:bCs/>
          <w:sz w:val="20"/>
          <w:szCs w:val="20"/>
        </w:rPr>
      </w:pPr>
      <w:r>
        <w:rPr>
          <w:rFonts w:ascii="Arial" w:hAnsi="Arial" w:cs="Arial"/>
          <w:b/>
          <w:bCs/>
          <w:sz w:val="20"/>
          <w:szCs w:val="20"/>
        </w:rPr>
        <w:t>Tabla No. 3</w:t>
      </w:r>
    </w:p>
    <w:p w14:paraId="65228B40" w14:textId="77777777" w:rsidR="005A730B" w:rsidRDefault="005A730B" w:rsidP="005A730B">
      <w:pPr>
        <w:jc w:val="both"/>
        <w:rPr>
          <w:rFonts w:ascii="Arial" w:hAnsi="Arial" w:cs="Arial"/>
          <w:bCs/>
          <w:sz w:val="21"/>
          <w:szCs w:val="21"/>
        </w:rPr>
      </w:pPr>
      <w:r>
        <w:rPr>
          <w:rFonts w:ascii="Arial" w:hAnsi="Arial" w:cs="Arial"/>
          <w:noProof/>
          <w:sz w:val="21"/>
          <w:szCs w:val="21"/>
          <w:lang w:val="es-CO" w:eastAsia="es-CO"/>
        </w:rPr>
        <w:drawing>
          <wp:inline distT="0" distB="0" distL="0" distR="0" wp14:anchorId="14F4408C" wp14:editId="795D0243">
            <wp:extent cx="5600700" cy="1171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1171575"/>
                    </a:xfrm>
                    <a:prstGeom prst="rect">
                      <a:avLst/>
                    </a:prstGeom>
                    <a:noFill/>
                    <a:ln>
                      <a:noFill/>
                    </a:ln>
                  </pic:spPr>
                </pic:pic>
              </a:graphicData>
            </a:graphic>
          </wp:inline>
        </w:drawing>
      </w:r>
    </w:p>
    <w:p w14:paraId="7944F063" w14:textId="77777777" w:rsidR="005A730B" w:rsidRDefault="005A730B" w:rsidP="005A730B">
      <w:pPr>
        <w:jc w:val="center"/>
        <w:rPr>
          <w:rFonts w:ascii="Arial" w:hAnsi="Arial" w:cs="Arial"/>
          <w:bCs/>
          <w:sz w:val="16"/>
          <w:szCs w:val="16"/>
        </w:rPr>
      </w:pPr>
      <w:r>
        <w:rPr>
          <w:rFonts w:ascii="Arial" w:hAnsi="Arial" w:cs="Arial"/>
          <w:bCs/>
          <w:sz w:val="16"/>
          <w:szCs w:val="16"/>
        </w:rPr>
        <w:t>Fuente: Elaboración propia, con información del plan de desarrollo - “Pacto Social Por el Desarrollo de Nuestra Región”.</w:t>
      </w:r>
    </w:p>
    <w:p w14:paraId="64C6F382" w14:textId="77777777" w:rsidR="005A730B" w:rsidRDefault="005A730B" w:rsidP="005A730B">
      <w:pPr>
        <w:jc w:val="both"/>
        <w:rPr>
          <w:rFonts w:ascii="Arial" w:hAnsi="Arial" w:cs="Arial"/>
          <w:bCs/>
          <w:sz w:val="21"/>
          <w:szCs w:val="21"/>
        </w:rPr>
      </w:pPr>
    </w:p>
    <w:p w14:paraId="3F78B1A5" w14:textId="77777777" w:rsidR="005A730B" w:rsidRDefault="005A730B" w:rsidP="005A730B">
      <w:pPr>
        <w:jc w:val="both"/>
        <w:rPr>
          <w:rFonts w:ascii="Arial" w:hAnsi="Arial" w:cs="Arial"/>
          <w:bCs/>
          <w:sz w:val="21"/>
          <w:szCs w:val="21"/>
        </w:rPr>
      </w:pPr>
      <w:r>
        <w:rPr>
          <w:rFonts w:ascii="Arial" w:hAnsi="Arial" w:cs="Arial"/>
          <w:bCs/>
          <w:sz w:val="21"/>
          <w:szCs w:val="21"/>
        </w:rPr>
        <w:t>En cuanto al Plan Territorial de Salud, se tienen los siguientes objetivos:</w:t>
      </w:r>
    </w:p>
    <w:p w14:paraId="1443E49B" w14:textId="77777777" w:rsidR="005A730B" w:rsidRDefault="005A730B" w:rsidP="005A730B">
      <w:pPr>
        <w:jc w:val="both"/>
        <w:rPr>
          <w:rFonts w:ascii="Arial" w:hAnsi="Arial" w:cs="Arial"/>
          <w:bCs/>
          <w:sz w:val="21"/>
          <w:szCs w:val="21"/>
        </w:rPr>
      </w:pPr>
    </w:p>
    <w:p w14:paraId="0BA5C3BC" w14:textId="77777777" w:rsidR="005A730B" w:rsidRDefault="005A730B" w:rsidP="005A730B">
      <w:pPr>
        <w:jc w:val="both"/>
        <w:rPr>
          <w:rFonts w:ascii="Arial" w:hAnsi="Arial" w:cs="Arial"/>
          <w:bCs/>
          <w:sz w:val="21"/>
          <w:szCs w:val="21"/>
        </w:rPr>
      </w:pPr>
      <w:r>
        <w:rPr>
          <w:rFonts w:ascii="Arial" w:hAnsi="Arial" w:cs="Arial"/>
          <w:bCs/>
          <w:sz w:val="21"/>
          <w:szCs w:val="21"/>
        </w:rPr>
        <w:lastRenderedPageBreak/>
        <w:t>OBJETIVOS ESTRATÉGICOS DEL PLAN TERRITORIAL DE SALUD.</w:t>
      </w:r>
    </w:p>
    <w:p w14:paraId="7152CA54" w14:textId="77777777" w:rsidR="005A730B" w:rsidRDefault="005A730B" w:rsidP="005A730B">
      <w:pPr>
        <w:jc w:val="both"/>
        <w:rPr>
          <w:rFonts w:ascii="Arial" w:hAnsi="Arial" w:cs="Arial"/>
          <w:bCs/>
          <w:sz w:val="21"/>
          <w:szCs w:val="21"/>
        </w:rPr>
      </w:pPr>
    </w:p>
    <w:p w14:paraId="1028D9DA" w14:textId="77777777" w:rsidR="005A730B" w:rsidRDefault="005A730B" w:rsidP="005A730B">
      <w:pPr>
        <w:pStyle w:val="Prrafodelista"/>
        <w:numPr>
          <w:ilvl w:val="0"/>
          <w:numId w:val="37"/>
        </w:numPr>
        <w:jc w:val="both"/>
        <w:rPr>
          <w:rFonts w:ascii="Arial" w:hAnsi="Arial" w:cs="Arial"/>
          <w:bCs/>
          <w:i/>
          <w:iCs/>
          <w:sz w:val="18"/>
          <w:szCs w:val="18"/>
        </w:rPr>
      </w:pPr>
      <w:r>
        <w:rPr>
          <w:rFonts w:ascii="Arial" w:hAnsi="Arial" w:cs="Arial"/>
          <w:bCs/>
          <w:i/>
          <w:iCs/>
          <w:sz w:val="18"/>
          <w:szCs w:val="18"/>
        </w:rPr>
        <w:t>Fortalecer acciones de promoción de la salud en aras de reducir los factores de riesgo de tipo ambiental y sanitario, mediante intervenciones comunitarias. Ampliar y mejorar la infraestructura del agua potable y saneamiento básico, para aumentar la calidad del agua para consumo humano y disminuir las enfermedades vehiculizadas por el agua Reducir la morbilidad y mortalidad por enfermedades transmitida por vectores, zoonosis, y las enfermedades trasmitidas por alimentos. Incentivar las intervenciones de tipo intersectorial y preventivas para disminuir los factores de riesgo asociados a fuerzas de la naturaleza y emergencias sanitarias.</w:t>
      </w:r>
    </w:p>
    <w:p w14:paraId="0A3A31E0" w14:textId="77777777" w:rsidR="005A730B" w:rsidRDefault="005A730B" w:rsidP="005A730B">
      <w:pPr>
        <w:jc w:val="both"/>
        <w:rPr>
          <w:rFonts w:ascii="Arial" w:hAnsi="Arial" w:cs="Arial"/>
          <w:bCs/>
          <w:i/>
          <w:iCs/>
          <w:sz w:val="18"/>
          <w:szCs w:val="18"/>
        </w:rPr>
      </w:pPr>
    </w:p>
    <w:p w14:paraId="75982242" w14:textId="77777777" w:rsidR="005A730B" w:rsidRDefault="005A730B" w:rsidP="005A730B">
      <w:pPr>
        <w:pStyle w:val="Prrafodelista"/>
        <w:numPr>
          <w:ilvl w:val="0"/>
          <w:numId w:val="37"/>
        </w:numPr>
        <w:jc w:val="both"/>
        <w:rPr>
          <w:rFonts w:ascii="Arial" w:hAnsi="Arial" w:cs="Arial"/>
          <w:bCs/>
          <w:i/>
          <w:iCs/>
          <w:sz w:val="18"/>
          <w:szCs w:val="18"/>
        </w:rPr>
      </w:pPr>
      <w:r>
        <w:rPr>
          <w:rFonts w:ascii="Arial" w:hAnsi="Arial" w:cs="Arial"/>
          <w:bCs/>
          <w:i/>
          <w:iCs/>
          <w:sz w:val="18"/>
          <w:szCs w:val="18"/>
        </w:rPr>
        <w:t>Fortalecer la red prestadora de salud en el departamento mediante el fomento y recursos para inversión y seguimiento en la implementación de la política pública nacional en salud. Desarrollar capacidades institucionales para la prestación de los servicios e implementación de la ruta de promoción y mantenimiento de la salud.</w:t>
      </w:r>
    </w:p>
    <w:p w14:paraId="68672D8B" w14:textId="77777777" w:rsidR="005A730B" w:rsidRDefault="005A730B" w:rsidP="005A730B">
      <w:pPr>
        <w:jc w:val="both"/>
        <w:rPr>
          <w:rFonts w:ascii="Arial" w:hAnsi="Arial" w:cs="Arial"/>
          <w:bCs/>
          <w:i/>
          <w:iCs/>
          <w:sz w:val="18"/>
          <w:szCs w:val="18"/>
        </w:rPr>
      </w:pPr>
    </w:p>
    <w:p w14:paraId="594B192B" w14:textId="77777777" w:rsidR="005A730B" w:rsidRDefault="005A730B" w:rsidP="005A730B">
      <w:pPr>
        <w:pStyle w:val="Prrafodelista"/>
        <w:numPr>
          <w:ilvl w:val="0"/>
          <w:numId w:val="37"/>
        </w:numPr>
        <w:jc w:val="both"/>
        <w:rPr>
          <w:rFonts w:ascii="Arial" w:hAnsi="Arial" w:cs="Arial"/>
          <w:bCs/>
          <w:i/>
          <w:iCs/>
          <w:sz w:val="18"/>
          <w:szCs w:val="18"/>
        </w:rPr>
      </w:pPr>
      <w:r>
        <w:rPr>
          <w:rFonts w:ascii="Arial" w:hAnsi="Arial" w:cs="Arial"/>
          <w:bCs/>
          <w:i/>
          <w:iCs/>
          <w:sz w:val="18"/>
          <w:szCs w:val="18"/>
        </w:rPr>
        <w:t>Implementar programas y estrategias que promuevan la prevención de la salud de la población vulnerable y de los grupos más expuestos a los riesgos por su labor. Impactar de manera positiva las posibilidades laborales de los miembros cabezas de familia con el fin de favorecer la Seguridad Alimentaria y el aprovechamiento biológico y nutrición de los niños menos de cinco años y las mujeres en estado de gestación y lactancia.</w:t>
      </w:r>
    </w:p>
    <w:p w14:paraId="31116123"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Calibri" w:hAnsi="Arial" w:cs="Arial"/>
          <w:i/>
          <w:sz w:val="21"/>
          <w:szCs w:val="21"/>
          <w:lang w:val="es-CO" w:eastAsia="en-US"/>
        </w:rPr>
      </w:pPr>
    </w:p>
    <w:p w14:paraId="02C83F61" w14:textId="77777777" w:rsidR="005A730B" w:rsidRDefault="005A730B" w:rsidP="005A730B">
      <w:pPr>
        <w:pStyle w:val="Prrafodelista"/>
        <w:numPr>
          <w:ilvl w:val="0"/>
          <w:numId w:val="17"/>
        </w:numPr>
        <w:jc w:val="both"/>
        <w:rPr>
          <w:rFonts w:ascii="Arial" w:eastAsia="Calibri" w:hAnsi="Arial" w:cs="Arial"/>
          <w:b/>
          <w:sz w:val="21"/>
          <w:szCs w:val="21"/>
          <w:lang w:eastAsia="en-US"/>
        </w:rPr>
      </w:pPr>
      <w:r>
        <w:rPr>
          <w:rFonts w:ascii="Arial" w:eastAsia="Calibri" w:hAnsi="Arial" w:cs="Arial"/>
          <w:b/>
          <w:sz w:val="21"/>
          <w:szCs w:val="21"/>
          <w:lang w:eastAsia="en-US"/>
        </w:rPr>
        <w:t>Situación fiscal y financiera departamental</w:t>
      </w:r>
      <w:r>
        <w:rPr>
          <w:rStyle w:val="Refdenotaalpie"/>
          <w:rFonts w:ascii="Arial" w:eastAsia="Calibri" w:hAnsi="Arial" w:cs="Arial"/>
          <w:b/>
          <w:sz w:val="21"/>
          <w:szCs w:val="21"/>
          <w:lang w:eastAsia="en-US"/>
        </w:rPr>
        <w:footnoteReference w:id="2"/>
      </w:r>
      <w:r>
        <w:rPr>
          <w:rFonts w:ascii="Arial" w:eastAsia="Calibri" w:hAnsi="Arial" w:cs="Arial"/>
          <w:b/>
          <w:sz w:val="21"/>
          <w:szCs w:val="21"/>
          <w:lang w:eastAsia="en-US"/>
        </w:rPr>
        <w:t>.</w:t>
      </w:r>
    </w:p>
    <w:p w14:paraId="5734208A"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p>
    <w:p w14:paraId="05D11FBC"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r>
        <w:rPr>
          <w:rFonts w:ascii="Arial" w:hAnsi="Arial" w:cs="Arial"/>
          <w:sz w:val="21"/>
          <w:szCs w:val="21"/>
        </w:rPr>
        <w:t>El Departamento de Caquetá en el informe de viabilidad fiscal de la vigencia 2021, elaborado por la Dirección General de Apoyo Fiscal, evidenció que:</w:t>
      </w:r>
    </w:p>
    <w:p w14:paraId="42BB325C"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p>
    <w:p w14:paraId="2287BCB4" w14:textId="77777777" w:rsidR="005A730B" w:rsidRDefault="005A730B" w:rsidP="005A730B">
      <w:pPr>
        <w:autoSpaceDE w:val="0"/>
        <w:autoSpaceDN w:val="0"/>
        <w:adjustRightInd w:val="0"/>
        <w:ind w:left="708"/>
        <w:contextualSpacing/>
        <w:jc w:val="both"/>
        <w:rPr>
          <w:rFonts w:ascii="Arial" w:hAnsi="Arial" w:cs="Arial"/>
          <w:i/>
          <w:sz w:val="18"/>
          <w:szCs w:val="18"/>
        </w:rPr>
      </w:pPr>
    </w:p>
    <w:p w14:paraId="4C5F1198" w14:textId="77777777" w:rsidR="005A730B" w:rsidRDefault="005A730B" w:rsidP="005A730B">
      <w:pPr>
        <w:autoSpaceDE w:val="0"/>
        <w:autoSpaceDN w:val="0"/>
        <w:adjustRightInd w:val="0"/>
        <w:ind w:left="708"/>
        <w:contextualSpacing/>
        <w:jc w:val="both"/>
        <w:rPr>
          <w:rFonts w:ascii="Arial" w:hAnsi="Arial" w:cs="Arial"/>
          <w:i/>
          <w:sz w:val="18"/>
          <w:szCs w:val="18"/>
        </w:rPr>
      </w:pPr>
      <w:r>
        <w:rPr>
          <w:rFonts w:ascii="Arial" w:hAnsi="Arial" w:cs="Arial"/>
          <w:i/>
          <w:sz w:val="18"/>
          <w:szCs w:val="18"/>
        </w:rPr>
        <w:t>“Al cierre de 2021 los compromisos de gasto corriente</w:t>
      </w:r>
      <w:r>
        <w:rPr>
          <w:rFonts w:ascii="Arial" w:hAnsi="Arial" w:cs="Arial"/>
          <w:i/>
          <w:sz w:val="18"/>
          <w:szCs w:val="18"/>
          <w:vertAlign w:val="superscript"/>
        </w:rPr>
        <w:t>7</w:t>
      </w:r>
      <w:r>
        <w:rPr>
          <w:rFonts w:ascii="Arial" w:hAnsi="Arial" w:cs="Arial"/>
          <w:i/>
          <w:sz w:val="18"/>
          <w:szCs w:val="18"/>
        </w:rPr>
        <w:t xml:space="preserve"> fueron inferiores a los ingresos corrientes efectivamente recaudado</w:t>
      </w:r>
      <w:r>
        <w:rPr>
          <w:rFonts w:ascii="Arial" w:hAnsi="Arial" w:cs="Arial"/>
          <w:i/>
          <w:sz w:val="18"/>
          <w:szCs w:val="18"/>
          <w:vertAlign w:val="superscript"/>
        </w:rPr>
        <w:t>8</w:t>
      </w:r>
      <w:r>
        <w:rPr>
          <w:rFonts w:ascii="Arial" w:hAnsi="Arial" w:cs="Arial"/>
          <w:i/>
          <w:sz w:val="18"/>
          <w:szCs w:val="18"/>
        </w:rPr>
        <w:t xml:space="preserve"> lo que generó un balance corriente positivo de $17.906 millones; en tanto que los gastos de capital superaron a los ingresos de capital en $13.197 millones; llevando a que la entidad generara superávit fiscal de $4.709 millones. Al considerar los recursos del balance los cuales sufrieron un incremento del 88% y el endeudamiento neto; el departamento registró un resultado presupuestal superavitario en $67.065 millones; por lo que se reitera la necesidad de mejorar la planeación financiera, presupuestal y de tesorería en aras de permitir una mayor eficiencia en la ejecución del gasto. […]”</w:t>
      </w:r>
    </w:p>
    <w:p w14:paraId="7632C3A4" w14:textId="77777777" w:rsidR="005A730B" w:rsidRDefault="005A730B" w:rsidP="005A730B">
      <w:pPr>
        <w:autoSpaceDE w:val="0"/>
        <w:autoSpaceDN w:val="0"/>
        <w:adjustRightInd w:val="0"/>
        <w:ind w:left="708"/>
        <w:contextualSpacing/>
        <w:jc w:val="both"/>
        <w:rPr>
          <w:rFonts w:ascii="Arial" w:hAnsi="Arial" w:cs="Arial"/>
          <w:i/>
          <w:sz w:val="18"/>
          <w:szCs w:val="18"/>
        </w:rPr>
      </w:pPr>
    </w:p>
    <w:p w14:paraId="1488591A" w14:textId="77777777" w:rsidR="005A730B" w:rsidRDefault="005A730B" w:rsidP="005A730B">
      <w:pPr>
        <w:autoSpaceDE w:val="0"/>
        <w:autoSpaceDN w:val="0"/>
        <w:adjustRightInd w:val="0"/>
        <w:ind w:left="708"/>
        <w:contextualSpacing/>
        <w:jc w:val="both"/>
        <w:rPr>
          <w:rFonts w:ascii="Arial" w:hAnsi="Arial" w:cs="Arial"/>
          <w:i/>
          <w:sz w:val="18"/>
          <w:szCs w:val="18"/>
        </w:rPr>
      </w:pPr>
      <w:r>
        <w:rPr>
          <w:rFonts w:ascii="Arial" w:hAnsi="Arial" w:cs="Arial"/>
          <w:i/>
          <w:sz w:val="18"/>
          <w:szCs w:val="18"/>
        </w:rPr>
        <w:t xml:space="preserve">“La información financiera del Departamento de Caquetá, con corte a diciembre de 2021 registró unos activos totales de $1.47 billones los cuales permanecieron constantes frente al mismo mes del año anterior. El 20% estuvo representado por cuentas por cobrar que en su mayoría correspondían a transferencias por cobrar del Sistema General de Regalías y recursos del SGP participación para pensiones – Fondo Nacional de Pensiones de las Entidades Territoriales, el efectivo y equivalente al efectivo representó 8% y correspondieron principalmente a depósitos en instituciones financiera y depósitos en cuentas corriente y de ahorro. La propiedad planta y equipo (5%), estuvieron representados en terrenos, construcciones en curso. Por otra parte, los bienes de uso público e históricos y culturales (5%) estaban conformados por bienes de uso público en servicio y parques recreacionales. Finalmente, otros activos representaron el 63%; en ellos se incluyen el encargo fiduciario y el plan de activos para beneficios </w:t>
      </w:r>
      <w:proofErr w:type="spellStart"/>
      <w:r>
        <w:rPr>
          <w:rFonts w:ascii="Arial" w:hAnsi="Arial" w:cs="Arial"/>
          <w:i/>
          <w:sz w:val="18"/>
          <w:szCs w:val="18"/>
        </w:rPr>
        <w:t>poesempleo</w:t>
      </w:r>
      <w:proofErr w:type="spellEnd"/>
      <w:r>
        <w:rPr>
          <w:rFonts w:ascii="Arial" w:hAnsi="Arial" w:cs="Arial"/>
          <w:i/>
          <w:sz w:val="18"/>
          <w:szCs w:val="18"/>
        </w:rPr>
        <w:t>.  […]”</w:t>
      </w:r>
    </w:p>
    <w:p w14:paraId="4DCEEAEC" w14:textId="77777777" w:rsidR="005A730B" w:rsidRDefault="005A730B" w:rsidP="005A730B">
      <w:pPr>
        <w:autoSpaceDE w:val="0"/>
        <w:autoSpaceDN w:val="0"/>
        <w:adjustRightInd w:val="0"/>
        <w:ind w:left="708"/>
        <w:contextualSpacing/>
        <w:jc w:val="both"/>
        <w:rPr>
          <w:rFonts w:ascii="Arial" w:hAnsi="Arial" w:cs="Arial"/>
          <w:i/>
          <w:sz w:val="18"/>
          <w:szCs w:val="18"/>
        </w:rPr>
      </w:pPr>
    </w:p>
    <w:p w14:paraId="16174D95" w14:textId="77777777" w:rsidR="005A730B" w:rsidRDefault="005A730B" w:rsidP="005A730B">
      <w:pPr>
        <w:autoSpaceDE w:val="0"/>
        <w:autoSpaceDN w:val="0"/>
        <w:adjustRightInd w:val="0"/>
        <w:ind w:left="708"/>
        <w:contextualSpacing/>
        <w:jc w:val="both"/>
        <w:rPr>
          <w:rFonts w:ascii="Arial" w:hAnsi="Arial" w:cs="Arial"/>
          <w:i/>
          <w:sz w:val="18"/>
          <w:szCs w:val="18"/>
        </w:rPr>
      </w:pPr>
      <w:r>
        <w:rPr>
          <w:rFonts w:ascii="Arial" w:hAnsi="Arial" w:cs="Arial"/>
          <w:i/>
          <w:sz w:val="18"/>
          <w:szCs w:val="18"/>
        </w:rPr>
        <w:t>“Considerando que el Departamento de Caquetá se clasificó en categoría cuarta (4) para la vigencia 2021, de acuerdo con el artículo 4° de la Ley 617 de 2000. La entidad territorial debe mantener su nivel de gasto de funcionamiento máximo en 70%, en relación con sus ingresos corrientes de libre destinación. Durante la vigencia 2021 la relación fue del 58%, es decir, doce puntos porcentuales inferiores al límite máximo establecido por la ley 617/00 y once puntos porcentuales inferiores al límite presentado en el año 2020. […]”</w:t>
      </w:r>
    </w:p>
    <w:p w14:paraId="17080B8C" w14:textId="77777777" w:rsidR="005A730B" w:rsidRDefault="005A730B" w:rsidP="005A730B">
      <w:pPr>
        <w:autoSpaceDE w:val="0"/>
        <w:autoSpaceDN w:val="0"/>
        <w:adjustRightInd w:val="0"/>
        <w:ind w:left="708"/>
        <w:contextualSpacing/>
        <w:jc w:val="both"/>
        <w:rPr>
          <w:rFonts w:ascii="Arial" w:hAnsi="Arial" w:cs="Arial"/>
          <w:i/>
          <w:sz w:val="18"/>
          <w:szCs w:val="18"/>
        </w:rPr>
      </w:pPr>
    </w:p>
    <w:p w14:paraId="2AAFB91A" w14:textId="77777777" w:rsidR="005A730B" w:rsidRDefault="005A730B" w:rsidP="005A730B">
      <w:pPr>
        <w:autoSpaceDE w:val="0"/>
        <w:autoSpaceDN w:val="0"/>
        <w:adjustRightInd w:val="0"/>
        <w:ind w:left="708"/>
        <w:contextualSpacing/>
        <w:jc w:val="both"/>
        <w:rPr>
          <w:rFonts w:ascii="Arial" w:hAnsi="Arial" w:cs="Arial"/>
          <w:i/>
          <w:sz w:val="18"/>
          <w:szCs w:val="18"/>
        </w:rPr>
      </w:pPr>
      <w:r>
        <w:rPr>
          <w:rFonts w:ascii="Arial" w:hAnsi="Arial" w:cs="Arial"/>
          <w:i/>
          <w:sz w:val="18"/>
          <w:szCs w:val="18"/>
        </w:rPr>
        <w:lastRenderedPageBreak/>
        <w:t>“Los recursos del balance continúan siendo determinantes para financiar la reactivación del gasto de inversión y para el resultado presupuestal, superavitario no obstante su desaceleración, lo que amerita reiterar la recomendación respecto al mejoramiento de la planeación financiera, en aras de procurar la ejecución de la totalidad de los recursos dentro de la vigencia fiscal y así cumplir con el principio de anualidad presupuestal. […]”</w:t>
      </w:r>
    </w:p>
    <w:p w14:paraId="325CD99C" w14:textId="77777777" w:rsidR="005A730B" w:rsidRDefault="005A730B" w:rsidP="005A730B">
      <w:pPr>
        <w:autoSpaceDE w:val="0"/>
        <w:autoSpaceDN w:val="0"/>
        <w:adjustRightInd w:val="0"/>
        <w:ind w:left="708"/>
        <w:contextualSpacing/>
        <w:jc w:val="both"/>
        <w:rPr>
          <w:rFonts w:ascii="Arial" w:hAnsi="Arial" w:cs="Arial"/>
          <w:i/>
          <w:sz w:val="18"/>
          <w:szCs w:val="18"/>
        </w:rPr>
      </w:pPr>
    </w:p>
    <w:p w14:paraId="2F15143C" w14:textId="77777777" w:rsidR="005A730B" w:rsidRDefault="005A730B" w:rsidP="005A730B">
      <w:pPr>
        <w:autoSpaceDE w:val="0"/>
        <w:autoSpaceDN w:val="0"/>
        <w:adjustRightInd w:val="0"/>
        <w:ind w:left="708"/>
        <w:contextualSpacing/>
        <w:jc w:val="both"/>
        <w:rPr>
          <w:rFonts w:ascii="Arial" w:hAnsi="Arial" w:cs="Arial"/>
          <w:i/>
          <w:sz w:val="18"/>
          <w:szCs w:val="18"/>
        </w:rPr>
      </w:pPr>
      <w:r>
        <w:rPr>
          <w:rFonts w:ascii="Arial" w:hAnsi="Arial" w:cs="Arial"/>
          <w:i/>
          <w:sz w:val="18"/>
          <w:szCs w:val="18"/>
        </w:rPr>
        <w:t>“El gran reto de la administración departamental continúa siendo el de dinamizar el recaudo tributario, esto teniendo como base, la actualización tanto del Estatuto Orgánico del Presupuesto como del Estatuto de Rentas para lograr dotar a la administración de nuevos instrumentos y herramientas para de esa manera mejorar la fiscalización y el recaudo de sus tributos. […]”</w:t>
      </w:r>
    </w:p>
    <w:p w14:paraId="56B5FE1D" w14:textId="77777777" w:rsidR="005A730B" w:rsidRDefault="005A730B" w:rsidP="005A730B">
      <w:pPr>
        <w:autoSpaceDE w:val="0"/>
        <w:autoSpaceDN w:val="0"/>
        <w:adjustRightInd w:val="0"/>
        <w:ind w:left="708"/>
        <w:contextualSpacing/>
        <w:jc w:val="both"/>
        <w:rPr>
          <w:rFonts w:ascii="Arial" w:hAnsi="Arial" w:cs="Arial"/>
          <w:i/>
          <w:sz w:val="18"/>
          <w:szCs w:val="18"/>
        </w:rPr>
      </w:pPr>
    </w:p>
    <w:p w14:paraId="1EE280D8" w14:textId="77777777" w:rsidR="005A730B" w:rsidRDefault="005A730B" w:rsidP="005A730B">
      <w:pPr>
        <w:jc w:val="both"/>
        <w:rPr>
          <w:rFonts w:ascii="Arial" w:hAnsi="Arial" w:cs="Arial"/>
          <w:i/>
          <w:sz w:val="18"/>
          <w:szCs w:val="18"/>
        </w:rPr>
      </w:pPr>
    </w:p>
    <w:p w14:paraId="72759DEE"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r>
        <w:rPr>
          <w:rFonts w:ascii="Arial" w:hAnsi="Arial" w:cs="Arial"/>
          <w:sz w:val="21"/>
          <w:szCs w:val="21"/>
        </w:rPr>
        <w:t>De acuerdo con el Ranking de Desempeño Fiscal por categorías presupuestales que define la Dirección de Descentralización y Desarrollo Regional del Departamento Nacional de Planeación - DNP para la vigencia 2020, el Departamento de Caquetá ocupa el puesto 4, en la categoría cuarta, como resultado de un Indicador de Desempeño Fiscal de 49.81.</w:t>
      </w:r>
    </w:p>
    <w:p w14:paraId="2538ADE5"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p>
    <w:p w14:paraId="0A73FC8B" w14:textId="77777777" w:rsidR="005A730B" w:rsidRDefault="005A730B" w:rsidP="005A730B">
      <w:pPr>
        <w:pStyle w:val="Prrafodelista"/>
        <w:numPr>
          <w:ilvl w:val="0"/>
          <w:numId w:val="17"/>
        </w:numPr>
        <w:jc w:val="both"/>
        <w:rPr>
          <w:rFonts w:ascii="Arial" w:eastAsia="Calibri" w:hAnsi="Arial" w:cs="Arial"/>
          <w:b/>
          <w:sz w:val="21"/>
          <w:szCs w:val="21"/>
          <w:lang w:eastAsia="en-US"/>
        </w:rPr>
      </w:pPr>
      <w:r>
        <w:rPr>
          <w:rFonts w:ascii="Arial Narrow" w:eastAsia="Calibri" w:hAnsi="Arial Narrow" w:cs="Arial"/>
          <w:b/>
          <w:sz w:val="22"/>
          <w:szCs w:val="22"/>
          <w:lang w:eastAsia="en-US"/>
        </w:rPr>
        <w:t>Saneamiento Financiero del Sector Salud en las entidades territoriales. Punto Final. Artículo 238 de la Ley 1955 de 2019</w:t>
      </w:r>
      <w:r>
        <w:rPr>
          <w:rFonts w:ascii="Arial" w:eastAsia="Calibri" w:hAnsi="Arial" w:cs="Arial"/>
          <w:b/>
          <w:sz w:val="21"/>
          <w:szCs w:val="21"/>
          <w:lang w:eastAsia="en-US"/>
        </w:rPr>
        <w:t>.</w:t>
      </w:r>
    </w:p>
    <w:p w14:paraId="1EAC0583" w14:textId="77777777" w:rsidR="005A730B" w:rsidRDefault="005A730B" w:rsidP="005A730B">
      <w:pPr>
        <w:jc w:val="both"/>
        <w:rPr>
          <w:rFonts w:ascii="Arial" w:hAnsi="Arial" w:cs="Arial"/>
          <w:sz w:val="21"/>
          <w:szCs w:val="21"/>
        </w:rPr>
      </w:pPr>
    </w:p>
    <w:p w14:paraId="485C4217" w14:textId="77777777" w:rsidR="005A730B" w:rsidRDefault="005A730B" w:rsidP="005A730B">
      <w:pPr>
        <w:jc w:val="both"/>
        <w:rPr>
          <w:rFonts w:ascii="Arial" w:hAnsi="Arial" w:cs="Arial"/>
          <w:sz w:val="21"/>
          <w:szCs w:val="21"/>
        </w:rPr>
      </w:pPr>
      <w:r>
        <w:rPr>
          <w:rFonts w:ascii="Arial" w:hAnsi="Arial" w:cs="Arial"/>
          <w:sz w:val="21"/>
          <w:szCs w:val="21"/>
        </w:rPr>
        <w:t>El artículo 238 de la Ley 1955 de 2019 modificado por el artículo 21 de Decreto 538 de 2020, estableció las reglas y procedimientos que deberán atender las entidades territoriales para llevar a cabo el saneamiento financiero del Sector Salud por concepto de servicios y tecnologías en salud no financiadas con cargo a la Unidad de Pago por Capitación - UPC del Régimen Subsidiado, prestados hasta el 31 de diciembre de 2019 y dispuso las fuentes territoriales habilitadas para el pago de dicho concepto, definiendo la posibilidad de la cofinanciación por parte de la Nación, previo cumplimiento de las condiciones establecidas en los literales a), b) y c) del citado artículo.</w:t>
      </w:r>
    </w:p>
    <w:p w14:paraId="16603B7C" w14:textId="77777777" w:rsidR="005A730B" w:rsidRDefault="005A730B" w:rsidP="005A730B">
      <w:pPr>
        <w:jc w:val="both"/>
        <w:rPr>
          <w:rFonts w:ascii="Arial" w:hAnsi="Arial" w:cs="Arial"/>
          <w:sz w:val="21"/>
          <w:szCs w:val="21"/>
        </w:rPr>
      </w:pPr>
    </w:p>
    <w:p w14:paraId="04D6B055" w14:textId="77777777" w:rsidR="005A730B" w:rsidRDefault="005A730B" w:rsidP="005A730B">
      <w:pPr>
        <w:jc w:val="both"/>
        <w:rPr>
          <w:rFonts w:ascii="Arial" w:hAnsi="Arial" w:cs="Arial"/>
          <w:sz w:val="21"/>
          <w:szCs w:val="21"/>
        </w:rPr>
      </w:pPr>
      <w:r>
        <w:rPr>
          <w:rFonts w:ascii="Arial" w:hAnsi="Arial" w:cs="Arial"/>
          <w:sz w:val="21"/>
          <w:szCs w:val="21"/>
        </w:rPr>
        <w:t>Para efectos de la cofinanciación por parte de la Nación, el literal a) del artículo 238 de la Ley 1955 de 2019, determinó que el Ministerio de Hacienda y Crédito Público con el apoyo del Ministerio de Salud y Protección Social y del Departamento Nacional de Planeación, evaluaría el esfuerzo fiscal de las entidades territoriales para el pago de estos pasivos y definiría el monto a financiar premiando a aquellas que hayan realizado mayores esfuerzos.</w:t>
      </w:r>
    </w:p>
    <w:p w14:paraId="3B376DC4" w14:textId="77777777" w:rsidR="005A730B" w:rsidRDefault="005A730B" w:rsidP="005A730B">
      <w:pPr>
        <w:jc w:val="both"/>
        <w:rPr>
          <w:rFonts w:ascii="Arial" w:hAnsi="Arial" w:cs="Arial"/>
          <w:sz w:val="21"/>
          <w:szCs w:val="21"/>
        </w:rPr>
      </w:pPr>
    </w:p>
    <w:p w14:paraId="587ADD94" w14:textId="77777777" w:rsidR="005A730B" w:rsidRDefault="005A730B" w:rsidP="005A730B">
      <w:pPr>
        <w:jc w:val="both"/>
        <w:rPr>
          <w:rFonts w:ascii="Arial" w:hAnsi="Arial" w:cs="Arial"/>
          <w:sz w:val="21"/>
          <w:szCs w:val="21"/>
        </w:rPr>
      </w:pPr>
      <w:r>
        <w:rPr>
          <w:rFonts w:ascii="Arial" w:hAnsi="Arial" w:cs="Arial"/>
          <w:sz w:val="21"/>
          <w:szCs w:val="21"/>
        </w:rPr>
        <w:t>En el marco de lo anterior, el Gobierno Nacional a través del Decreto 2154 de 28 de noviembre de 2019 modificado por el Decreto 209 de 2022, estableció los términos y condiciones para la evaluación del esfuerzo fiscal de las entidades territoriales, a fin de determinar el monto de la cofinanciación de la Nación y reglas para el giro, cuyo artículo 3º prescribe que le correspondía a las entidades territoriales remitir a los Ministerios de Hacienda y Crédito Público y Salud y Protección Social las certificaciones en los formatos definidos por este último, las cuales debían estar suscritas por el representante legal de la entidad territorial.</w:t>
      </w:r>
    </w:p>
    <w:p w14:paraId="7C936DC0" w14:textId="77777777" w:rsidR="005A730B" w:rsidRDefault="005A730B" w:rsidP="005A730B">
      <w:pPr>
        <w:jc w:val="both"/>
        <w:rPr>
          <w:rFonts w:ascii="Arial" w:hAnsi="Arial" w:cs="Arial"/>
          <w:sz w:val="21"/>
          <w:szCs w:val="21"/>
        </w:rPr>
      </w:pPr>
    </w:p>
    <w:p w14:paraId="3EE649AC" w14:textId="77777777" w:rsidR="005A730B" w:rsidRDefault="005A730B" w:rsidP="005A730B">
      <w:pPr>
        <w:jc w:val="both"/>
        <w:rPr>
          <w:rFonts w:ascii="Arial" w:hAnsi="Arial" w:cs="Arial"/>
          <w:sz w:val="21"/>
          <w:szCs w:val="21"/>
        </w:rPr>
      </w:pPr>
      <w:r>
        <w:rPr>
          <w:rFonts w:ascii="Arial" w:hAnsi="Arial" w:cs="Arial"/>
          <w:sz w:val="21"/>
          <w:szCs w:val="21"/>
        </w:rPr>
        <w:t>El artículo 9º ibidem establece que la Dirección General de Apoyo Fiscal de acuerdo con el resultado de la aplicación de la fórmula del esfuerzo fiscal, determinaría el valor a cofinanciar por parte de la Nación para el pago de las deudas por concepto de servicios y tecnologías en salud no financiadas con cargo a la UPC del Régimen Subsidiado, prestados hasta el 31 de diciembre de 2019.</w:t>
      </w:r>
    </w:p>
    <w:p w14:paraId="23A52D1E" w14:textId="77777777" w:rsidR="005A730B" w:rsidRDefault="005A730B" w:rsidP="005A730B">
      <w:pPr>
        <w:jc w:val="both"/>
        <w:rPr>
          <w:rFonts w:ascii="Arial" w:hAnsi="Arial" w:cs="Arial"/>
          <w:sz w:val="21"/>
          <w:szCs w:val="21"/>
        </w:rPr>
      </w:pPr>
    </w:p>
    <w:p w14:paraId="12C0A561" w14:textId="77777777" w:rsidR="005A730B" w:rsidRDefault="005A730B" w:rsidP="005A730B">
      <w:pPr>
        <w:jc w:val="both"/>
        <w:rPr>
          <w:rFonts w:ascii="Arial" w:hAnsi="Arial" w:cs="Arial"/>
          <w:sz w:val="21"/>
          <w:szCs w:val="21"/>
        </w:rPr>
      </w:pPr>
      <w:r>
        <w:rPr>
          <w:rFonts w:ascii="Arial" w:hAnsi="Arial" w:cs="Arial"/>
          <w:sz w:val="21"/>
          <w:szCs w:val="21"/>
        </w:rPr>
        <w:t xml:space="preserve">En virtud de lo anterior, el Departamento envió para cada una de las fases, las certificaciones a que hace referencia el artículo 3º del Decreto 2154 de 28 de noviembre de 2019 modificado por </w:t>
      </w:r>
      <w:r>
        <w:rPr>
          <w:rFonts w:ascii="Arial" w:hAnsi="Arial" w:cs="Arial"/>
          <w:sz w:val="21"/>
          <w:szCs w:val="21"/>
        </w:rPr>
        <w:lastRenderedPageBreak/>
        <w:t>el Decreto 209 de 2022, cuyo resultado en relación con la evaluación del esfuerzo fiscal y la determinación del monto a cofinanciar por parte de la Nación, se indica a continuación:</w:t>
      </w:r>
    </w:p>
    <w:p w14:paraId="039526AD" w14:textId="77777777" w:rsidR="005A730B" w:rsidRDefault="005A730B" w:rsidP="005A730B">
      <w:pPr>
        <w:jc w:val="both"/>
        <w:rPr>
          <w:rFonts w:ascii="Arial" w:hAnsi="Arial" w:cs="Arial"/>
          <w:sz w:val="21"/>
          <w:szCs w:val="21"/>
        </w:rPr>
      </w:pPr>
    </w:p>
    <w:p w14:paraId="0BF96350" w14:textId="77777777" w:rsidR="005A730B" w:rsidRDefault="005A730B" w:rsidP="005A730B">
      <w:pPr>
        <w:jc w:val="both"/>
        <w:rPr>
          <w:rFonts w:ascii="Arial" w:hAnsi="Arial" w:cs="Arial"/>
          <w:sz w:val="21"/>
          <w:szCs w:val="21"/>
        </w:rPr>
      </w:pPr>
    </w:p>
    <w:p w14:paraId="7963AAD5" w14:textId="77777777" w:rsidR="005A730B" w:rsidRDefault="005A730B" w:rsidP="005A730B">
      <w:pPr>
        <w:jc w:val="both"/>
        <w:rPr>
          <w:rFonts w:ascii="Arial" w:hAnsi="Arial" w:cs="Arial"/>
          <w:sz w:val="21"/>
          <w:szCs w:val="21"/>
        </w:rPr>
      </w:pPr>
    </w:p>
    <w:p w14:paraId="7F9DA51C" w14:textId="77777777" w:rsidR="005A730B" w:rsidRDefault="005A730B" w:rsidP="005A730B">
      <w:pPr>
        <w:jc w:val="both"/>
        <w:rPr>
          <w:rFonts w:ascii="Arial" w:hAnsi="Arial" w:cs="Arial"/>
          <w:sz w:val="21"/>
          <w:szCs w:val="21"/>
        </w:rPr>
      </w:pPr>
    </w:p>
    <w:p w14:paraId="5DD42D90" w14:textId="77777777" w:rsidR="005A730B" w:rsidRDefault="005A730B" w:rsidP="005A730B">
      <w:pPr>
        <w:jc w:val="center"/>
        <w:rPr>
          <w:rFonts w:ascii="Arial" w:hAnsi="Arial" w:cs="Arial"/>
          <w:sz w:val="20"/>
          <w:szCs w:val="20"/>
        </w:rPr>
      </w:pPr>
      <w:r>
        <w:rPr>
          <w:rFonts w:ascii="Arial" w:hAnsi="Arial" w:cs="Arial"/>
          <w:b/>
          <w:sz w:val="20"/>
          <w:szCs w:val="20"/>
        </w:rPr>
        <w:t>Tabla No. 4</w:t>
      </w:r>
    </w:p>
    <w:tbl>
      <w:tblPr>
        <w:tblW w:w="8931" w:type="dxa"/>
        <w:tblCellMar>
          <w:left w:w="70" w:type="dxa"/>
          <w:right w:w="70" w:type="dxa"/>
        </w:tblCellMar>
        <w:tblLook w:val="04A0" w:firstRow="1" w:lastRow="0" w:firstColumn="1" w:lastColumn="0" w:noHBand="0" w:noVBand="1"/>
      </w:tblPr>
      <w:tblGrid>
        <w:gridCol w:w="2965"/>
        <w:gridCol w:w="1983"/>
        <w:gridCol w:w="1989"/>
        <w:gridCol w:w="1994"/>
      </w:tblGrid>
      <w:tr w:rsidR="005A730B" w14:paraId="798D543F" w14:textId="77777777" w:rsidTr="005A730B">
        <w:trPr>
          <w:trHeight w:val="276"/>
          <w:tblHeader/>
        </w:trPr>
        <w:tc>
          <w:tcPr>
            <w:tcW w:w="8931" w:type="dxa"/>
            <w:gridSpan w:val="4"/>
            <w:vMerge w:val="restart"/>
            <w:tcBorders>
              <w:top w:val="single" w:sz="8" w:space="0" w:color="auto"/>
              <w:left w:val="single" w:sz="8" w:space="0" w:color="auto"/>
              <w:bottom w:val="nil"/>
              <w:right w:val="nil"/>
            </w:tcBorders>
            <w:shd w:val="clear" w:color="auto" w:fill="1F4E78"/>
            <w:noWrap/>
            <w:vAlign w:val="center"/>
            <w:hideMark/>
          </w:tcPr>
          <w:p w14:paraId="2FE4DA09"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CALCULO DEL INDICADOR DE ESFUERZO FISCAL Y COFINANCIACION DE LA NACION</w:t>
            </w:r>
          </w:p>
        </w:tc>
      </w:tr>
      <w:tr w:rsidR="005A730B" w14:paraId="397F8A89" w14:textId="77777777" w:rsidTr="005A730B">
        <w:trPr>
          <w:trHeight w:val="276"/>
          <w:tblHeader/>
        </w:trPr>
        <w:tc>
          <w:tcPr>
            <w:tcW w:w="0" w:type="auto"/>
            <w:gridSpan w:val="4"/>
            <w:vMerge/>
            <w:tcBorders>
              <w:top w:val="single" w:sz="8" w:space="0" w:color="auto"/>
              <w:left w:val="single" w:sz="8" w:space="0" w:color="auto"/>
              <w:bottom w:val="nil"/>
              <w:right w:val="nil"/>
            </w:tcBorders>
            <w:vAlign w:val="center"/>
            <w:hideMark/>
          </w:tcPr>
          <w:p w14:paraId="3DE5F1F1" w14:textId="77777777" w:rsidR="005A730B" w:rsidRDefault="005A730B">
            <w:pPr>
              <w:rPr>
                <w:rFonts w:ascii="Arial" w:eastAsia="Times New Roman" w:hAnsi="Arial" w:cs="Arial"/>
                <w:color w:val="FFFFFF"/>
                <w:sz w:val="18"/>
                <w:szCs w:val="18"/>
                <w:lang w:val="es-CO" w:eastAsia="es-CO"/>
              </w:rPr>
            </w:pPr>
          </w:p>
        </w:tc>
      </w:tr>
      <w:tr w:rsidR="005A730B" w14:paraId="71F6A241" w14:textId="77777777" w:rsidTr="005A730B">
        <w:trPr>
          <w:trHeight w:val="116"/>
          <w:tblHeader/>
        </w:trPr>
        <w:tc>
          <w:tcPr>
            <w:tcW w:w="2965" w:type="dxa"/>
            <w:tcBorders>
              <w:top w:val="single" w:sz="4" w:space="0" w:color="auto"/>
              <w:left w:val="single" w:sz="4" w:space="0" w:color="auto"/>
              <w:bottom w:val="single" w:sz="4" w:space="0" w:color="auto"/>
              <w:right w:val="single" w:sz="4" w:space="0" w:color="auto"/>
            </w:tcBorders>
            <w:shd w:val="clear" w:color="auto" w:fill="1F4E78"/>
            <w:noWrap/>
            <w:vAlign w:val="bottom"/>
            <w:hideMark/>
          </w:tcPr>
          <w:p w14:paraId="6CF27765"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ENTIDAD TERRITORIAL</w:t>
            </w:r>
          </w:p>
        </w:tc>
        <w:tc>
          <w:tcPr>
            <w:tcW w:w="5966" w:type="dxa"/>
            <w:gridSpan w:val="3"/>
            <w:tcBorders>
              <w:top w:val="single" w:sz="4" w:space="0" w:color="auto"/>
              <w:left w:val="nil"/>
              <w:bottom w:val="single" w:sz="4" w:space="0" w:color="auto"/>
              <w:right w:val="single" w:sz="4" w:space="0" w:color="000000"/>
            </w:tcBorders>
            <w:shd w:val="clear" w:color="auto" w:fill="1F4E78"/>
            <w:noWrap/>
            <w:vAlign w:val="bottom"/>
            <w:hideMark/>
          </w:tcPr>
          <w:p w14:paraId="2CDB3E6D"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Departamento de Caquetá</w:t>
            </w:r>
          </w:p>
        </w:tc>
      </w:tr>
      <w:tr w:rsidR="005A730B" w14:paraId="6E75E60C" w14:textId="77777777" w:rsidTr="005A730B">
        <w:trPr>
          <w:trHeight w:val="116"/>
          <w:tblHeader/>
        </w:trPr>
        <w:tc>
          <w:tcPr>
            <w:tcW w:w="2965" w:type="dxa"/>
            <w:tcBorders>
              <w:top w:val="nil"/>
              <w:left w:val="single" w:sz="8" w:space="0" w:color="auto"/>
              <w:bottom w:val="single" w:sz="4" w:space="0" w:color="auto"/>
              <w:right w:val="nil"/>
            </w:tcBorders>
            <w:shd w:val="clear" w:color="auto" w:fill="1F4E78"/>
            <w:noWrap/>
            <w:vAlign w:val="bottom"/>
            <w:hideMark/>
          </w:tcPr>
          <w:p w14:paraId="1DBB7C78"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FECHA DE CORTE</w:t>
            </w:r>
          </w:p>
        </w:tc>
        <w:tc>
          <w:tcPr>
            <w:tcW w:w="1983" w:type="dxa"/>
            <w:tcBorders>
              <w:top w:val="nil"/>
              <w:left w:val="single" w:sz="8" w:space="0" w:color="auto"/>
              <w:bottom w:val="single" w:sz="4" w:space="0" w:color="auto"/>
              <w:right w:val="nil"/>
            </w:tcBorders>
            <w:shd w:val="clear" w:color="auto" w:fill="1F4E78"/>
            <w:noWrap/>
            <w:vAlign w:val="bottom"/>
            <w:hideMark/>
          </w:tcPr>
          <w:p w14:paraId="3CA2CDF4"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31/12/2019</w:t>
            </w:r>
          </w:p>
        </w:tc>
        <w:tc>
          <w:tcPr>
            <w:tcW w:w="1989" w:type="dxa"/>
            <w:tcBorders>
              <w:top w:val="nil"/>
              <w:left w:val="single" w:sz="8" w:space="0" w:color="auto"/>
              <w:bottom w:val="single" w:sz="4" w:space="0" w:color="auto"/>
              <w:right w:val="nil"/>
            </w:tcBorders>
            <w:shd w:val="clear" w:color="auto" w:fill="1F4E78"/>
            <w:noWrap/>
            <w:vAlign w:val="bottom"/>
            <w:hideMark/>
          </w:tcPr>
          <w:p w14:paraId="4CC3D29F"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30/06/2020</w:t>
            </w:r>
          </w:p>
        </w:tc>
        <w:tc>
          <w:tcPr>
            <w:tcW w:w="1993" w:type="dxa"/>
            <w:tcBorders>
              <w:top w:val="nil"/>
              <w:left w:val="single" w:sz="8" w:space="0" w:color="auto"/>
              <w:bottom w:val="single" w:sz="4" w:space="0" w:color="auto"/>
              <w:right w:val="nil"/>
            </w:tcBorders>
            <w:shd w:val="clear" w:color="auto" w:fill="1F4E78"/>
            <w:noWrap/>
            <w:vAlign w:val="bottom"/>
            <w:hideMark/>
          </w:tcPr>
          <w:p w14:paraId="0F73F475"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28/02/2022</w:t>
            </w:r>
          </w:p>
        </w:tc>
      </w:tr>
      <w:tr w:rsidR="005A730B" w14:paraId="143FDFBF" w14:textId="77777777" w:rsidTr="005A730B">
        <w:trPr>
          <w:trHeight w:val="116"/>
          <w:tblHeader/>
        </w:trPr>
        <w:tc>
          <w:tcPr>
            <w:tcW w:w="2965" w:type="dxa"/>
            <w:tcBorders>
              <w:top w:val="nil"/>
              <w:left w:val="single" w:sz="8" w:space="0" w:color="auto"/>
              <w:bottom w:val="single" w:sz="4" w:space="0" w:color="auto"/>
              <w:right w:val="nil"/>
            </w:tcBorders>
            <w:shd w:val="clear" w:color="auto" w:fill="1F4E78"/>
            <w:noWrap/>
            <w:vAlign w:val="bottom"/>
            <w:hideMark/>
          </w:tcPr>
          <w:p w14:paraId="3C074761"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Fase</w:t>
            </w:r>
          </w:p>
        </w:tc>
        <w:tc>
          <w:tcPr>
            <w:tcW w:w="1983" w:type="dxa"/>
            <w:tcBorders>
              <w:top w:val="nil"/>
              <w:left w:val="single" w:sz="4" w:space="0" w:color="auto"/>
              <w:bottom w:val="single" w:sz="4" w:space="0" w:color="auto"/>
              <w:right w:val="single" w:sz="4" w:space="0" w:color="auto"/>
            </w:tcBorders>
            <w:shd w:val="clear" w:color="auto" w:fill="1F4E78"/>
            <w:noWrap/>
            <w:vAlign w:val="bottom"/>
            <w:hideMark/>
          </w:tcPr>
          <w:p w14:paraId="7E4A392A"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1</w:t>
            </w:r>
          </w:p>
        </w:tc>
        <w:tc>
          <w:tcPr>
            <w:tcW w:w="1989" w:type="dxa"/>
            <w:tcBorders>
              <w:top w:val="nil"/>
              <w:left w:val="nil"/>
              <w:bottom w:val="single" w:sz="4" w:space="0" w:color="auto"/>
              <w:right w:val="single" w:sz="4" w:space="0" w:color="auto"/>
            </w:tcBorders>
            <w:shd w:val="clear" w:color="auto" w:fill="1F4E78"/>
            <w:noWrap/>
            <w:vAlign w:val="bottom"/>
            <w:hideMark/>
          </w:tcPr>
          <w:p w14:paraId="007FF3CD"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2</w:t>
            </w:r>
          </w:p>
        </w:tc>
        <w:tc>
          <w:tcPr>
            <w:tcW w:w="1993" w:type="dxa"/>
            <w:tcBorders>
              <w:top w:val="nil"/>
              <w:left w:val="nil"/>
              <w:bottom w:val="single" w:sz="4" w:space="0" w:color="auto"/>
              <w:right w:val="single" w:sz="4" w:space="0" w:color="auto"/>
            </w:tcBorders>
            <w:shd w:val="clear" w:color="auto" w:fill="1F4E78"/>
            <w:noWrap/>
            <w:vAlign w:val="bottom"/>
            <w:hideMark/>
          </w:tcPr>
          <w:p w14:paraId="47B8B68B"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3</w:t>
            </w:r>
          </w:p>
        </w:tc>
      </w:tr>
      <w:tr w:rsidR="005A730B" w14:paraId="52CC1ABC" w14:textId="77777777" w:rsidTr="005A730B">
        <w:trPr>
          <w:trHeight w:val="229"/>
        </w:trPr>
        <w:tc>
          <w:tcPr>
            <w:tcW w:w="2965" w:type="dxa"/>
            <w:tcBorders>
              <w:top w:val="nil"/>
              <w:left w:val="single" w:sz="4" w:space="0" w:color="auto"/>
              <w:bottom w:val="single" w:sz="4" w:space="0" w:color="auto"/>
              <w:right w:val="single" w:sz="4" w:space="0" w:color="auto"/>
            </w:tcBorders>
            <w:shd w:val="clear" w:color="auto" w:fill="FFFFFF"/>
            <w:noWrap/>
            <w:vAlign w:val="bottom"/>
            <w:hideMark/>
          </w:tcPr>
          <w:p w14:paraId="71775AE1"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Pagos No UPC</w:t>
            </w:r>
          </w:p>
        </w:tc>
        <w:tc>
          <w:tcPr>
            <w:tcW w:w="1983" w:type="dxa"/>
            <w:tcBorders>
              <w:top w:val="nil"/>
              <w:left w:val="nil"/>
              <w:bottom w:val="single" w:sz="8" w:space="0" w:color="auto"/>
              <w:right w:val="single" w:sz="8" w:space="0" w:color="auto"/>
            </w:tcBorders>
            <w:shd w:val="clear" w:color="auto" w:fill="FFFFFF"/>
            <w:noWrap/>
            <w:vAlign w:val="center"/>
            <w:hideMark/>
          </w:tcPr>
          <w:p w14:paraId="0AE6684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$30.937.545.529</w:t>
            </w:r>
          </w:p>
        </w:tc>
        <w:tc>
          <w:tcPr>
            <w:tcW w:w="1989" w:type="dxa"/>
            <w:tcBorders>
              <w:top w:val="nil"/>
              <w:left w:val="single" w:sz="4" w:space="0" w:color="auto"/>
              <w:bottom w:val="single" w:sz="8" w:space="0" w:color="auto"/>
              <w:right w:val="single" w:sz="8" w:space="0" w:color="auto"/>
            </w:tcBorders>
            <w:shd w:val="clear" w:color="auto" w:fill="FFFFFF"/>
            <w:noWrap/>
            <w:vAlign w:val="center"/>
            <w:hideMark/>
          </w:tcPr>
          <w:p w14:paraId="443BD725"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$33.784.882.970</w:t>
            </w:r>
          </w:p>
        </w:tc>
        <w:tc>
          <w:tcPr>
            <w:tcW w:w="1993" w:type="dxa"/>
            <w:tcBorders>
              <w:top w:val="nil"/>
              <w:left w:val="single" w:sz="4" w:space="0" w:color="auto"/>
              <w:bottom w:val="single" w:sz="8" w:space="0" w:color="auto"/>
              <w:right w:val="single" w:sz="8" w:space="0" w:color="auto"/>
            </w:tcBorders>
            <w:shd w:val="clear" w:color="auto" w:fill="FFFFFF"/>
            <w:noWrap/>
            <w:vAlign w:val="center"/>
            <w:hideMark/>
          </w:tcPr>
          <w:p w14:paraId="46B96E5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$35.014.987.734</w:t>
            </w:r>
          </w:p>
        </w:tc>
      </w:tr>
      <w:tr w:rsidR="005A730B" w14:paraId="577A1440" w14:textId="77777777" w:rsidTr="005A730B">
        <w:trPr>
          <w:trHeight w:val="229"/>
        </w:trPr>
        <w:tc>
          <w:tcPr>
            <w:tcW w:w="2965" w:type="dxa"/>
            <w:tcBorders>
              <w:top w:val="nil"/>
              <w:left w:val="single" w:sz="8" w:space="0" w:color="auto"/>
              <w:bottom w:val="nil"/>
              <w:right w:val="single" w:sz="4" w:space="0" w:color="auto"/>
            </w:tcBorders>
            <w:shd w:val="clear" w:color="auto" w:fill="FFFFFF"/>
            <w:noWrap/>
            <w:vAlign w:val="center"/>
            <w:hideMark/>
          </w:tcPr>
          <w:p w14:paraId="7B2A9189"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Fuentes obligatorias</w:t>
            </w:r>
          </w:p>
        </w:tc>
        <w:tc>
          <w:tcPr>
            <w:tcW w:w="1983" w:type="dxa"/>
            <w:tcBorders>
              <w:top w:val="single" w:sz="4" w:space="0" w:color="auto"/>
              <w:left w:val="nil"/>
              <w:bottom w:val="single" w:sz="8" w:space="0" w:color="auto"/>
              <w:right w:val="single" w:sz="8" w:space="0" w:color="auto"/>
            </w:tcBorders>
            <w:shd w:val="clear" w:color="auto" w:fill="FFFFFF"/>
            <w:noWrap/>
            <w:vAlign w:val="center"/>
            <w:hideMark/>
          </w:tcPr>
          <w:p w14:paraId="2B1E1C8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$49.297.295.167</w:t>
            </w:r>
          </w:p>
        </w:tc>
        <w:tc>
          <w:tcPr>
            <w:tcW w:w="1989" w:type="dxa"/>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3D39F05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$52.739.467.665</w:t>
            </w:r>
          </w:p>
        </w:tc>
        <w:tc>
          <w:tcPr>
            <w:tcW w:w="1993" w:type="dxa"/>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72C700E4"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$53.274.342.095</w:t>
            </w:r>
          </w:p>
        </w:tc>
      </w:tr>
      <w:tr w:rsidR="005A730B" w14:paraId="676A1D66" w14:textId="77777777" w:rsidTr="005A730B">
        <w:trPr>
          <w:trHeight w:val="229"/>
        </w:trPr>
        <w:tc>
          <w:tcPr>
            <w:tcW w:w="2965" w:type="dxa"/>
            <w:tcBorders>
              <w:top w:val="single" w:sz="4" w:space="0" w:color="auto"/>
              <w:left w:val="single" w:sz="8" w:space="0" w:color="auto"/>
              <w:bottom w:val="single" w:sz="4" w:space="0" w:color="auto"/>
              <w:right w:val="single" w:sz="4" w:space="0" w:color="auto"/>
            </w:tcBorders>
            <w:shd w:val="clear" w:color="auto" w:fill="BFBFBF"/>
            <w:noWrap/>
            <w:vAlign w:val="center"/>
            <w:hideMark/>
          </w:tcPr>
          <w:p w14:paraId="0167CAF9"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Esfuerzo Fiscal</w:t>
            </w:r>
          </w:p>
        </w:tc>
        <w:tc>
          <w:tcPr>
            <w:tcW w:w="1983" w:type="dxa"/>
            <w:tcBorders>
              <w:top w:val="single" w:sz="4" w:space="0" w:color="auto"/>
              <w:left w:val="nil"/>
              <w:bottom w:val="single" w:sz="4" w:space="0" w:color="auto"/>
              <w:right w:val="single" w:sz="8" w:space="0" w:color="auto"/>
            </w:tcBorders>
            <w:shd w:val="clear" w:color="auto" w:fill="BFBFBF"/>
            <w:noWrap/>
            <w:vAlign w:val="center"/>
            <w:hideMark/>
          </w:tcPr>
          <w:p w14:paraId="05E25F45"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0,63</w:t>
            </w:r>
          </w:p>
        </w:tc>
        <w:tc>
          <w:tcPr>
            <w:tcW w:w="1989" w:type="dxa"/>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586D7F02"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0,64</w:t>
            </w:r>
          </w:p>
        </w:tc>
        <w:tc>
          <w:tcPr>
            <w:tcW w:w="1993" w:type="dxa"/>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7BAE43C0"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0,66</w:t>
            </w:r>
          </w:p>
        </w:tc>
      </w:tr>
      <w:tr w:rsidR="005A730B" w14:paraId="62BA5BB3" w14:textId="77777777" w:rsidTr="005A730B">
        <w:trPr>
          <w:trHeight w:val="229"/>
        </w:trPr>
        <w:tc>
          <w:tcPr>
            <w:tcW w:w="2965" w:type="dxa"/>
            <w:tcBorders>
              <w:top w:val="nil"/>
              <w:left w:val="single" w:sz="8" w:space="0" w:color="auto"/>
              <w:bottom w:val="nil"/>
              <w:right w:val="single" w:sz="4" w:space="0" w:color="auto"/>
            </w:tcBorders>
            <w:shd w:val="clear" w:color="auto" w:fill="FFFFFF"/>
            <w:noWrap/>
            <w:vAlign w:val="center"/>
            <w:hideMark/>
          </w:tcPr>
          <w:p w14:paraId="6CF6CD9C"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Deuda Reportada</w:t>
            </w:r>
          </w:p>
        </w:tc>
        <w:tc>
          <w:tcPr>
            <w:tcW w:w="1983" w:type="dxa"/>
            <w:tcBorders>
              <w:top w:val="nil"/>
              <w:left w:val="nil"/>
              <w:bottom w:val="single" w:sz="8" w:space="0" w:color="auto"/>
              <w:right w:val="single" w:sz="8" w:space="0" w:color="auto"/>
            </w:tcBorders>
            <w:shd w:val="clear" w:color="auto" w:fill="FFFFFF"/>
            <w:noWrap/>
            <w:vAlign w:val="center"/>
            <w:hideMark/>
          </w:tcPr>
          <w:p w14:paraId="533AC7AA"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$5.692.401.597</w:t>
            </w:r>
          </w:p>
        </w:tc>
        <w:tc>
          <w:tcPr>
            <w:tcW w:w="1989" w:type="dxa"/>
            <w:tcBorders>
              <w:top w:val="nil"/>
              <w:left w:val="single" w:sz="4" w:space="0" w:color="auto"/>
              <w:bottom w:val="single" w:sz="8" w:space="0" w:color="auto"/>
              <w:right w:val="single" w:sz="8" w:space="0" w:color="auto"/>
            </w:tcBorders>
            <w:shd w:val="clear" w:color="auto" w:fill="FFFFFF"/>
            <w:noWrap/>
            <w:vAlign w:val="center"/>
            <w:hideMark/>
          </w:tcPr>
          <w:p w14:paraId="110AB77A"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$2.165.073.619</w:t>
            </w:r>
          </w:p>
        </w:tc>
        <w:tc>
          <w:tcPr>
            <w:tcW w:w="1993" w:type="dxa"/>
            <w:tcBorders>
              <w:top w:val="nil"/>
              <w:left w:val="single" w:sz="4" w:space="0" w:color="auto"/>
              <w:bottom w:val="single" w:sz="8" w:space="0" w:color="auto"/>
              <w:right w:val="single" w:sz="8" w:space="0" w:color="auto"/>
            </w:tcBorders>
            <w:shd w:val="clear" w:color="auto" w:fill="FFFFFF"/>
            <w:noWrap/>
            <w:vAlign w:val="center"/>
            <w:hideMark/>
          </w:tcPr>
          <w:p w14:paraId="632D7A5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$6.930.667.478</w:t>
            </w:r>
          </w:p>
        </w:tc>
      </w:tr>
      <w:tr w:rsidR="005A730B" w14:paraId="2C94A981" w14:textId="77777777" w:rsidTr="005A730B">
        <w:trPr>
          <w:trHeight w:val="229"/>
        </w:trPr>
        <w:tc>
          <w:tcPr>
            <w:tcW w:w="2965" w:type="dxa"/>
            <w:tcBorders>
              <w:top w:val="single" w:sz="4" w:space="0" w:color="auto"/>
              <w:left w:val="single" w:sz="8" w:space="0" w:color="auto"/>
              <w:bottom w:val="nil"/>
              <w:right w:val="single" w:sz="4" w:space="0" w:color="auto"/>
            </w:tcBorders>
            <w:shd w:val="clear" w:color="auto" w:fill="FFFFFF"/>
            <w:noWrap/>
            <w:vAlign w:val="center"/>
            <w:hideMark/>
          </w:tcPr>
          <w:p w14:paraId="225CDFE9"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Fuentes Disponibles E.T.</w:t>
            </w:r>
          </w:p>
        </w:tc>
        <w:tc>
          <w:tcPr>
            <w:tcW w:w="1983" w:type="dxa"/>
            <w:tcBorders>
              <w:top w:val="single" w:sz="4" w:space="0" w:color="auto"/>
              <w:left w:val="nil"/>
              <w:bottom w:val="single" w:sz="8" w:space="0" w:color="auto"/>
              <w:right w:val="single" w:sz="8" w:space="0" w:color="auto"/>
            </w:tcBorders>
            <w:shd w:val="clear" w:color="auto" w:fill="FFFFFF"/>
            <w:noWrap/>
            <w:vAlign w:val="center"/>
            <w:hideMark/>
          </w:tcPr>
          <w:p w14:paraId="6006A71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$2.847.337.441</w:t>
            </w:r>
          </w:p>
        </w:tc>
        <w:tc>
          <w:tcPr>
            <w:tcW w:w="1989" w:type="dxa"/>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7A45E996"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$1.082.623.888</w:t>
            </w:r>
          </w:p>
        </w:tc>
        <w:tc>
          <w:tcPr>
            <w:tcW w:w="1993" w:type="dxa"/>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671F0877"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$3.466.009.469</w:t>
            </w:r>
          </w:p>
        </w:tc>
      </w:tr>
      <w:tr w:rsidR="005A730B" w14:paraId="145D53A8" w14:textId="77777777" w:rsidTr="005A730B">
        <w:trPr>
          <w:trHeight w:val="211"/>
        </w:trPr>
        <w:tc>
          <w:tcPr>
            <w:tcW w:w="2965" w:type="dxa"/>
            <w:tcBorders>
              <w:top w:val="single" w:sz="4" w:space="0" w:color="auto"/>
              <w:left w:val="single" w:sz="8" w:space="0" w:color="auto"/>
              <w:bottom w:val="single" w:sz="8" w:space="0" w:color="auto"/>
              <w:right w:val="single" w:sz="4" w:space="0" w:color="auto"/>
            </w:tcBorders>
            <w:shd w:val="clear" w:color="auto" w:fill="BFBFBF"/>
            <w:noWrap/>
            <w:vAlign w:val="center"/>
            <w:hideMark/>
          </w:tcPr>
          <w:p w14:paraId="5E377F65"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Cofinanciación </w:t>
            </w:r>
          </w:p>
        </w:tc>
        <w:tc>
          <w:tcPr>
            <w:tcW w:w="1983" w:type="dxa"/>
            <w:tcBorders>
              <w:top w:val="single" w:sz="4" w:space="0" w:color="auto"/>
              <w:left w:val="nil"/>
              <w:bottom w:val="single" w:sz="8" w:space="0" w:color="auto"/>
              <w:right w:val="single" w:sz="8" w:space="0" w:color="auto"/>
            </w:tcBorders>
            <w:shd w:val="clear" w:color="auto" w:fill="BFBFBF"/>
            <w:noWrap/>
            <w:vAlign w:val="center"/>
            <w:hideMark/>
          </w:tcPr>
          <w:p w14:paraId="121F351D"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$2.845.064.156</w:t>
            </w:r>
          </w:p>
        </w:tc>
        <w:tc>
          <w:tcPr>
            <w:tcW w:w="1989" w:type="dxa"/>
            <w:tcBorders>
              <w:top w:val="single" w:sz="4" w:space="0" w:color="auto"/>
              <w:left w:val="single" w:sz="4" w:space="0" w:color="auto"/>
              <w:bottom w:val="single" w:sz="8" w:space="0" w:color="auto"/>
              <w:right w:val="single" w:sz="8" w:space="0" w:color="auto"/>
            </w:tcBorders>
            <w:shd w:val="clear" w:color="auto" w:fill="BFBFBF"/>
            <w:noWrap/>
            <w:vAlign w:val="center"/>
            <w:hideMark/>
          </w:tcPr>
          <w:p w14:paraId="524550D5"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$1.082.449.731</w:t>
            </w:r>
          </w:p>
        </w:tc>
        <w:tc>
          <w:tcPr>
            <w:tcW w:w="1993" w:type="dxa"/>
            <w:tcBorders>
              <w:top w:val="single" w:sz="4" w:space="0" w:color="auto"/>
              <w:left w:val="single" w:sz="4" w:space="0" w:color="auto"/>
              <w:bottom w:val="single" w:sz="8" w:space="0" w:color="auto"/>
              <w:right w:val="single" w:sz="8" w:space="0" w:color="auto"/>
            </w:tcBorders>
            <w:shd w:val="clear" w:color="auto" w:fill="BFBFBF"/>
            <w:noWrap/>
            <w:vAlign w:val="center"/>
            <w:hideMark/>
          </w:tcPr>
          <w:p w14:paraId="483AD72A"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$3.464.658.009</w:t>
            </w:r>
          </w:p>
        </w:tc>
      </w:tr>
    </w:tbl>
    <w:p w14:paraId="5B5F0F00" w14:textId="77777777" w:rsidR="005A730B" w:rsidRDefault="005A730B" w:rsidP="005A730B">
      <w:pPr>
        <w:jc w:val="center"/>
        <w:rPr>
          <w:rFonts w:ascii="Arial" w:hAnsi="Arial" w:cs="Arial"/>
          <w:sz w:val="16"/>
          <w:szCs w:val="16"/>
        </w:rPr>
      </w:pPr>
      <w:r>
        <w:rPr>
          <w:rFonts w:ascii="Arial" w:hAnsi="Arial" w:cs="Arial"/>
          <w:sz w:val="16"/>
          <w:szCs w:val="16"/>
        </w:rPr>
        <w:t>Fuente: DAF- informe de ley de punto final.</w:t>
      </w:r>
    </w:p>
    <w:p w14:paraId="68CF4AF7" w14:textId="77777777" w:rsidR="005A730B" w:rsidRDefault="005A730B" w:rsidP="005A730B">
      <w:pPr>
        <w:jc w:val="both"/>
        <w:rPr>
          <w:rFonts w:ascii="Arial" w:hAnsi="Arial" w:cs="Arial"/>
          <w:sz w:val="21"/>
          <w:szCs w:val="21"/>
        </w:rPr>
      </w:pPr>
    </w:p>
    <w:p w14:paraId="737BC902" w14:textId="77777777" w:rsidR="005A730B" w:rsidRDefault="005A730B" w:rsidP="005A730B">
      <w:pPr>
        <w:jc w:val="both"/>
        <w:rPr>
          <w:rFonts w:ascii="Arial" w:hAnsi="Arial" w:cs="Arial"/>
          <w:sz w:val="21"/>
          <w:szCs w:val="21"/>
        </w:rPr>
      </w:pPr>
      <w:r>
        <w:rPr>
          <w:rFonts w:ascii="Arial" w:hAnsi="Arial" w:cs="Arial"/>
          <w:sz w:val="21"/>
          <w:szCs w:val="21"/>
        </w:rPr>
        <w:t>De acuerdo con la Tabla No. 4, la Cofinanciación por parte de la Nación fue de $7.391 millones, los recursos dispuestos por de la Entidad Territorial correspondieron a la suma de $7.395 millones y se cancelaron deudas por $14.786 millones.</w:t>
      </w:r>
    </w:p>
    <w:p w14:paraId="6EDB456A" w14:textId="77777777" w:rsidR="005A730B" w:rsidRDefault="005A730B" w:rsidP="005A73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1"/>
          <w:szCs w:val="21"/>
        </w:rPr>
      </w:pPr>
    </w:p>
    <w:p w14:paraId="6D02DEBA" w14:textId="77777777" w:rsidR="005A730B" w:rsidRDefault="005A730B" w:rsidP="005A730B">
      <w:pPr>
        <w:pStyle w:val="Prrafodelista"/>
        <w:numPr>
          <w:ilvl w:val="0"/>
          <w:numId w:val="16"/>
        </w:numPr>
        <w:jc w:val="both"/>
        <w:rPr>
          <w:rFonts w:ascii="Arial" w:eastAsia="Calibri" w:hAnsi="Arial" w:cs="Arial"/>
          <w:b/>
          <w:sz w:val="21"/>
          <w:szCs w:val="21"/>
          <w:lang w:eastAsia="en-US"/>
        </w:rPr>
      </w:pPr>
      <w:r>
        <w:rPr>
          <w:rFonts w:ascii="Arial" w:eastAsia="Calibri" w:hAnsi="Arial" w:cs="Arial"/>
          <w:b/>
          <w:sz w:val="21"/>
          <w:szCs w:val="21"/>
          <w:lang w:eastAsia="en-US"/>
        </w:rPr>
        <w:t>ANÁLISIS FINANCIERO, SECTORIAL, JURÍDICO Y CONTRACTUAL.</w:t>
      </w:r>
    </w:p>
    <w:p w14:paraId="22278314" w14:textId="77777777" w:rsidR="005A730B" w:rsidRDefault="005A730B" w:rsidP="005A730B">
      <w:pPr>
        <w:jc w:val="both"/>
        <w:rPr>
          <w:rFonts w:ascii="Arial" w:eastAsia="Calibri" w:hAnsi="Arial" w:cs="Arial"/>
          <w:b/>
          <w:sz w:val="21"/>
          <w:szCs w:val="21"/>
          <w:lang w:eastAsia="en-US"/>
        </w:rPr>
      </w:pPr>
    </w:p>
    <w:p w14:paraId="60DC5355" w14:textId="77777777" w:rsidR="005A730B" w:rsidRDefault="005A730B" w:rsidP="005A730B">
      <w:pPr>
        <w:jc w:val="both"/>
        <w:rPr>
          <w:rFonts w:ascii="Arial" w:eastAsia="Calibri" w:hAnsi="Arial" w:cs="Arial"/>
          <w:sz w:val="21"/>
          <w:szCs w:val="21"/>
          <w:lang w:eastAsia="en-US"/>
        </w:rPr>
      </w:pPr>
      <w:r>
        <w:rPr>
          <w:rFonts w:ascii="Arial" w:eastAsia="Calibri" w:hAnsi="Arial" w:cs="Arial"/>
          <w:sz w:val="21"/>
          <w:szCs w:val="21"/>
          <w:lang w:eastAsia="en-US"/>
        </w:rPr>
        <w:t>A continuación, se presenta la evaluación al Sector Salud desde al ámbito del Fondo Local de Salud - FLS y su desarrollo individual por componentes, incluido un análisis jurídico y contractual.</w:t>
      </w:r>
    </w:p>
    <w:p w14:paraId="7F75BF23" w14:textId="77777777" w:rsidR="005A730B" w:rsidRDefault="005A730B" w:rsidP="005A730B">
      <w:pPr>
        <w:jc w:val="both"/>
        <w:rPr>
          <w:rFonts w:ascii="Arial" w:eastAsia="Calibri" w:hAnsi="Arial" w:cs="Arial"/>
          <w:sz w:val="21"/>
          <w:szCs w:val="21"/>
          <w:lang w:eastAsia="en-US"/>
        </w:rPr>
      </w:pPr>
    </w:p>
    <w:p w14:paraId="6332AB0E" w14:textId="77777777" w:rsidR="005A730B" w:rsidRDefault="005A730B" w:rsidP="005A730B">
      <w:pPr>
        <w:pStyle w:val="Prrafodelista"/>
        <w:numPr>
          <w:ilvl w:val="0"/>
          <w:numId w:val="19"/>
        </w:numPr>
        <w:jc w:val="both"/>
        <w:rPr>
          <w:rFonts w:ascii="Arial" w:hAnsi="Arial" w:cs="Arial"/>
          <w:b/>
          <w:sz w:val="21"/>
          <w:szCs w:val="21"/>
        </w:rPr>
      </w:pPr>
      <w:r>
        <w:rPr>
          <w:rFonts w:ascii="Arial" w:hAnsi="Arial" w:cs="Arial"/>
          <w:b/>
          <w:sz w:val="21"/>
          <w:szCs w:val="21"/>
        </w:rPr>
        <w:t>Fondo Local de Salud – FLS.</w:t>
      </w:r>
    </w:p>
    <w:p w14:paraId="29D93657" w14:textId="77777777" w:rsidR="005A730B" w:rsidRDefault="005A730B" w:rsidP="005A730B">
      <w:pPr>
        <w:jc w:val="both"/>
        <w:rPr>
          <w:rFonts w:ascii="Arial" w:hAnsi="Arial" w:cs="Arial"/>
          <w:b/>
          <w:sz w:val="21"/>
          <w:szCs w:val="21"/>
        </w:rPr>
      </w:pPr>
    </w:p>
    <w:p w14:paraId="0D0683EC" w14:textId="77777777" w:rsidR="005A730B" w:rsidRDefault="005A730B" w:rsidP="005A730B">
      <w:pPr>
        <w:pStyle w:val="Prrafodelista"/>
        <w:numPr>
          <w:ilvl w:val="1"/>
          <w:numId w:val="19"/>
        </w:numPr>
        <w:jc w:val="both"/>
        <w:rPr>
          <w:rFonts w:ascii="Arial" w:hAnsi="Arial" w:cs="Arial"/>
          <w:b/>
          <w:sz w:val="21"/>
          <w:szCs w:val="21"/>
        </w:rPr>
      </w:pPr>
      <w:r>
        <w:rPr>
          <w:rFonts w:ascii="Arial" w:hAnsi="Arial" w:cs="Arial"/>
          <w:b/>
          <w:sz w:val="21"/>
          <w:szCs w:val="21"/>
        </w:rPr>
        <w:t xml:space="preserve"> Evaluación Presupuestal 2020 y 2021.</w:t>
      </w:r>
    </w:p>
    <w:p w14:paraId="4DFF9FD1" w14:textId="77777777" w:rsidR="005A730B" w:rsidRDefault="005A730B" w:rsidP="005A730B">
      <w:pPr>
        <w:jc w:val="both"/>
        <w:rPr>
          <w:rFonts w:ascii="Arial" w:hAnsi="Arial" w:cs="Arial"/>
          <w:b/>
          <w:sz w:val="21"/>
          <w:szCs w:val="21"/>
          <w:highlight w:val="yellow"/>
        </w:rPr>
      </w:pPr>
    </w:p>
    <w:p w14:paraId="62A2FFC6" w14:textId="77777777" w:rsidR="005A730B" w:rsidRDefault="005A730B" w:rsidP="005A730B">
      <w:pPr>
        <w:jc w:val="both"/>
        <w:rPr>
          <w:rFonts w:ascii="Arial" w:hAnsi="Arial" w:cs="Arial"/>
          <w:sz w:val="21"/>
          <w:szCs w:val="21"/>
        </w:rPr>
      </w:pPr>
      <w:r>
        <w:rPr>
          <w:rFonts w:ascii="Arial" w:hAnsi="Arial" w:cs="Arial"/>
          <w:sz w:val="21"/>
          <w:szCs w:val="21"/>
        </w:rPr>
        <w:t xml:space="preserve">La Entidad Territorial aportó el Acto Administrativo (Ordenanza No. 031 del 4 de diciembre de 1992 y las Ordenanzas modificatorias No. 12 de 1994, 014 de 2009 y 031 de 009 de 2017) por medio del cual se constituyó el Fondo Local de Salud, frente al cual se destaca que se encuentra ajustado a la normatividad vigente en materia presupuestal, contable y de tesorería. De igual forma aporta dos Convenios: i) con el Banco de Bogotá para la cuenta No. 312-17198-6, para el manejo de los recursos del Régimen Subsidiado y </w:t>
      </w:r>
      <w:proofErr w:type="spellStart"/>
      <w:r>
        <w:rPr>
          <w:rFonts w:ascii="Arial" w:hAnsi="Arial" w:cs="Arial"/>
          <w:sz w:val="21"/>
          <w:szCs w:val="21"/>
        </w:rPr>
        <w:t>ii</w:t>
      </w:r>
      <w:proofErr w:type="spellEnd"/>
      <w:r>
        <w:rPr>
          <w:rFonts w:ascii="Arial" w:hAnsi="Arial" w:cs="Arial"/>
          <w:sz w:val="21"/>
          <w:szCs w:val="21"/>
        </w:rPr>
        <w:t>) con el Banco de Occidente para la cuenta No. 500-89624-6 para el manejo de los recursos de la cofinanciación para el saneamiento financiero del Sector Salud. En cuanto al primer Convenio la Entidad aportó el Otrosí No 02 del 19 de diciembre de 2019, en el que se definió el término de Cuenta Maestra. Ahora no fue posible establecer si las condiciones de operación de los recursos cumplen con las disposiciones normativas vigentes; en cuanto al segundo Convenio entregado, el mismo corresponde a la cuenta en la que se maneja los recursos de Ley de Punto Final. De igual forma no se anexaron la totalidad de los convenios de las cuentas que manejan recursos del SGP para Salud.</w:t>
      </w:r>
    </w:p>
    <w:p w14:paraId="223B2985" w14:textId="77777777" w:rsidR="005A730B" w:rsidRDefault="005A730B" w:rsidP="005A730B">
      <w:pPr>
        <w:jc w:val="both"/>
        <w:rPr>
          <w:rFonts w:ascii="Arial" w:hAnsi="Arial" w:cs="Arial"/>
          <w:sz w:val="21"/>
          <w:szCs w:val="21"/>
        </w:rPr>
      </w:pPr>
    </w:p>
    <w:p w14:paraId="52B49DF2" w14:textId="77777777" w:rsidR="005A730B" w:rsidRDefault="005A730B" w:rsidP="005A730B">
      <w:pPr>
        <w:jc w:val="both"/>
        <w:rPr>
          <w:rFonts w:ascii="Arial" w:hAnsi="Arial" w:cs="Arial"/>
          <w:sz w:val="21"/>
          <w:szCs w:val="21"/>
        </w:rPr>
      </w:pPr>
      <w:r>
        <w:rPr>
          <w:rFonts w:ascii="Arial" w:hAnsi="Arial" w:cs="Arial"/>
          <w:sz w:val="21"/>
          <w:szCs w:val="21"/>
        </w:rPr>
        <w:lastRenderedPageBreak/>
        <w:t>De igual forma, se identificó mediante los Decretos No. 767 del 2020 y 2220 de 2021 que el presupuesto de la Entidad Territorial para la vigencia 2021 fue de $280.783 millones. Para la vigencia 2021 se estimó un presupuesto para el FLS de $35.211 millones.</w:t>
      </w:r>
    </w:p>
    <w:p w14:paraId="761C2374" w14:textId="77777777" w:rsidR="005A730B" w:rsidRDefault="005A730B" w:rsidP="005A730B">
      <w:pPr>
        <w:jc w:val="both"/>
        <w:rPr>
          <w:rFonts w:ascii="Arial" w:hAnsi="Arial" w:cs="Arial"/>
          <w:sz w:val="21"/>
          <w:szCs w:val="21"/>
          <w:highlight w:val="yellow"/>
        </w:rPr>
      </w:pPr>
    </w:p>
    <w:p w14:paraId="3089117A" w14:textId="77777777" w:rsidR="005A730B" w:rsidRDefault="005A730B" w:rsidP="005A730B">
      <w:pPr>
        <w:jc w:val="both"/>
        <w:rPr>
          <w:rFonts w:ascii="Arial" w:hAnsi="Arial" w:cs="Arial"/>
          <w:sz w:val="21"/>
          <w:szCs w:val="21"/>
        </w:rPr>
      </w:pPr>
      <w:r>
        <w:rPr>
          <w:rFonts w:ascii="Arial" w:hAnsi="Arial" w:cs="Arial"/>
          <w:sz w:val="21"/>
          <w:szCs w:val="21"/>
        </w:rPr>
        <w:t>Así mismo se evidenció que mediante los Decretos No. 0178 del 2020 y 027 del 2021 la Entidad Territorial incorporó los recursos del balance de la vigencia 2019 al presupuesto de la vigencia 2020 ($3.607 millones) y el de 2020 en el presupuesto 2021 ($8.634 millones), respectivamente.</w:t>
      </w:r>
    </w:p>
    <w:p w14:paraId="1570445F" w14:textId="77777777" w:rsidR="005A730B" w:rsidRDefault="005A730B" w:rsidP="005A730B">
      <w:pPr>
        <w:jc w:val="both"/>
        <w:rPr>
          <w:rFonts w:ascii="Arial" w:hAnsi="Arial" w:cs="Arial"/>
          <w:b/>
          <w:sz w:val="21"/>
          <w:szCs w:val="21"/>
        </w:rPr>
      </w:pPr>
    </w:p>
    <w:p w14:paraId="0EFBBC31" w14:textId="77777777" w:rsidR="005A730B" w:rsidRDefault="005A730B" w:rsidP="005A730B">
      <w:pPr>
        <w:pStyle w:val="Prrafodelista"/>
        <w:numPr>
          <w:ilvl w:val="2"/>
          <w:numId w:val="19"/>
        </w:numPr>
        <w:jc w:val="both"/>
        <w:rPr>
          <w:rFonts w:ascii="Arial" w:hAnsi="Arial" w:cs="Arial"/>
          <w:b/>
          <w:sz w:val="21"/>
          <w:szCs w:val="21"/>
        </w:rPr>
      </w:pPr>
      <w:r>
        <w:rPr>
          <w:rFonts w:ascii="Arial" w:eastAsia="Times New Roman" w:hAnsi="Arial" w:cs="Arial"/>
          <w:b/>
          <w:sz w:val="21"/>
          <w:szCs w:val="21"/>
        </w:rPr>
        <w:t>Ingresos.</w:t>
      </w:r>
    </w:p>
    <w:p w14:paraId="6A6F68CF" w14:textId="77777777" w:rsidR="005A730B" w:rsidRDefault="005A730B" w:rsidP="005A730B">
      <w:pPr>
        <w:jc w:val="both"/>
        <w:rPr>
          <w:rFonts w:ascii="Arial" w:hAnsi="Arial" w:cs="Arial"/>
          <w:b/>
          <w:sz w:val="21"/>
          <w:szCs w:val="21"/>
        </w:rPr>
      </w:pPr>
    </w:p>
    <w:p w14:paraId="4F14B234" w14:textId="77777777" w:rsidR="005A730B" w:rsidRDefault="005A730B" w:rsidP="005A730B">
      <w:pPr>
        <w:jc w:val="both"/>
        <w:rPr>
          <w:rFonts w:ascii="Arial" w:hAnsi="Arial" w:cs="Arial"/>
          <w:sz w:val="21"/>
          <w:szCs w:val="21"/>
        </w:rPr>
      </w:pPr>
      <w:r>
        <w:rPr>
          <w:rFonts w:ascii="Arial" w:hAnsi="Arial" w:cs="Arial"/>
          <w:sz w:val="21"/>
          <w:szCs w:val="21"/>
        </w:rPr>
        <w:t>De acuerdo con la ejecución presupuestal de ingresos del FLS presentada por la Entidad en el FUT al cierre 2020 y 2021, los resultados son los siguientes:</w:t>
      </w:r>
    </w:p>
    <w:p w14:paraId="68054908" w14:textId="77777777" w:rsidR="005A730B" w:rsidRDefault="005A730B" w:rsidP="005A730B">
      <w:pPr>
        <w:jc w:val="both"/>
        <w:rPr>
          <w:rFonts w:ascii="Arial" w:hAnsi="Arial" w:cs="Arial"/>
          <w:b/>
          <w:sz w:val="21"/>
          <w:szCs w:val="21"/>
        </w:rPr>
      </w:pPr>
    </w:p>
    <w:p w14:paraId="2DCFB770" w14:textId="77777777" w:rsidR="005A730B" w:rsidRDefault="005A730B" w:rsidP="005A730B">
      <w:pPr>
        <w:jc w:val="center"/>
        <w:rPr>
          <w:rFonts w:ascii="Arial" w:eastAsia="Times New Roman" w:hAnsi="Arial" w:cs="Arial"/>
          <w:b/>
          <w:sz w:val="20"/>
          <w:szCs w:val="20"/>
        </w:rPr>
      </w:pPr>
      <w:r>
        <w:rPr>
          <w:rFonts w:ascii="Arial" w:eastAsia="Times New Roman" w:hAnsi="Arial" w:cs="Arial"/>
          <w:b/>
          <w:sz w:val="20"/>
          <w:szCs w:val="20"/>
        </w:rPr>
        <w:t>Tabla No. 5</w:t>
      </w:r>
    </w:p>
    <w:tbl>
      <w:tblPr>
        <w:tblW w:w="5000" w:type="pct"/>
        <w:tblCellMar>
          <w:left w:w="70" w:type="dxa"/>
          <w:right w:w="70" w:type="dxa"/>
        </w:tblCellMar>
        <w:tblLook w:val="04A0" w:firstRow="1" w:lastRow="0" w:firstColumn="1" w:lastColumn="0" w:noHBand="0" w:noVBand="1"/>
      </w:tblPr>
      <w:tblGrid>
        <w:gridCol w:w="975"/>
        <w:gridCol w:w="844"/>
        <w:gridCol w:w="752"/>
        <w:gridCol w:w="281"/>
        <w:gridCol w:w="503"/>
        <w:gridCol w:w="234"/>
        <w:gridCol w:w="96"/>
        <w:gridCol w:w="403"/>
        <w:gridCol w:w="457"/>
        <w:gridCol w:w="125"/>
        <w:gridCol w:w="706"/>
        <w:gridCol w:w="78"/>
        <w:gridCol w:w="681"/>
        <w:gridCol w:w="784"/>
        <w:gridCol w:w="61"/>
        <w:gridCol w:w="683"/>
        <w:gridCol w:w="589"/>
        <w:gridCol w:w="444"/>
        <w:gridCol w:w="142"/>
      </w:tblGrid>
      <w:tr w:rsidR="005A730B" w14:paraId="0D89C156" w14:textId="77777777" w:rsidTr="005A730B">
        <w:trPr>
          <w:trHeight w:val="270"/>
          <w:tblHeader/>
        </w:trPr>
        <w:tc>
          <w:tcPr>
            <w:tcW w:w="1612" w:type="pct"/>
            <w:gridSpan w:val="4"/>
            <w:vMerge w:val="restart"/>
            <w:tcBorders>
              <w:top w:val="single" w:sz="8" w:space="0" w:color="808080"/>
              <w:left w:val="nil"/>
              <w:bottom w:val="single" w:sz="4" w:space="0" w:color="auto"/>
              <w:right w:val="nil"/>
            </w:tcBorders>
            <w:shd w:val="clear" w:color="auto" w:fill="D9D9D9"/>
            <w:noWrap/>
            <w:vAlign w:val="center"/>
            <w:hideMark/>
          </w:tcPr>
          <w:p w14:paraId="14BCFD03"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CONCEPTO</w:t>
            </w:r>
          </w:p>
        </w:tc>
        <w:tc>
          <w:tcPr>
            <w:tcW w:w="963" w:type="pct"/>
            <w:gridSpan w:val="5"/>
            <w:tcBorders>
              <w:top w:val="single" w:sz="8" w:space="0" w:color="808080"/>
              <w:left w:val="nil"/>
              <w:bottom w:val="nil"/>
              <w:right w:val="nil"/>
            </w:tcBorders>
            <w:shd w:val="clear" w:color="auto" w:fill="D9D9D9"/>
            <w:vAlign w:val="center"/>
            <w:hideMark/>
          </w:tcPr>
          <w:p w14:paraId="31430DD8"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Presupuesto </w:t>
            </w:r>
          </w:p>
        </w:tc>
        <w:tc>
          <w:tcPr>
            <w:tcW w:w="913" w:type="pct"/>
            <w:gridSpan w:val="4"/>
            <w:vMerge w:val="restart"/>
            <w:tcBorders>
              <w:top w:val="single" w:sz="8" w:space="0" w:color="808080"/>
              <w:left w:val="nil"/>
              <w:bottom w:val="nil"/>
              <w:right w:val="nil"/>
            </w:tcBorders>
            <w:shd w:val="clear" w:color="auto" w:fill="D9D9D9"/>
            <w:vAlign w:val="center"/>
            <w:hideMark/>
          </w:tcPr>
          <w:p w14:paraId="7476E252"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Presupuesto Definitivo</w:t>
            </w:r>
          </w:p>
        </w:tc>
        <w:tc>
          <w:tcPr>
            <w:tcW w:w="874" w:type="pct"/>
            <w:gridSpan w:val="3"/>
            <w:vMerge w:val="restart"/>
            <w:tcBorders>
              <w:top w:val="single" w:sz="8" w:space="0" w:color="808080"/>
              <w:left w:val="nil"/>
              <w:bottom w:val="nil"/>
              <w:right w:val="nil"/>
            </w:tcBorders>
            <w:shd w:val="clear" w:color="auto" w:fill="D9D9D9"/>
            <w:vAlign w:val="center"/>
            <w:hideMark/>
          </w:tcPr>
          <w:p w14:paraId="0FD54F3D"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Recaudo</w:t>
            </w:r>
          </w:p>
        </w:tc>
        <w:tc>
          <w:tcPr>
            <w:tcW w:w="638" w:type="pct"/>
            <w:gridSpan w:val="3"/>
            <w:vMerge w:val="restart"/>
            <w:tcBorders>
              <w:top w:val="single" w:sz="8" w:space="0" w:color="808080"/>
              <w:left w:val="nil"/>
              <w:bottom w:val="nil"/>
              <w:right w:val="nil"/>
            </w:tcBorders>
            <w:shd w:val="clear" w:color="auto" w:fill="D9D9D9"/>
            <w:vAlign w:val="center"/>
            <w:hideMark/>
          </w:tcPr>
          <w:p w14:paraId="054D9CEC"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Ejecución</w:t>
            </w:r>
          </w:p>
        </w:tc>
      </w:tr>
      <w:tr w:rsidR="005A730B" w14:paraId="2E85AB04" w14:textId="77777777" w:rsidTr="005A730B">
        <w:trPr>
          <w:trHeight w:val="270"/>
          <w:tblHeader/>
        </w:trPr>
        <w:tc>
          <w:tcPr>
            <w:tcW w:w="0" w:type="auto"/>
            <w:gridSpan w:val="4"/>
            <w:vMerge/>
            <w:tcBorders>
              <w:top w:val="single" w:sz="8" w:space="0" w:color="808080"/>
              <w:left w:val="nil"/>
              <w:bottom w:val="single" w:sz="4" w:space="0" w:color="auto"/>
              <w:right w:val="nil"/>
            </w:tcBorders>
            <w:vAlign w:val="center"/>
            <w:hideMark/>
          </w:tcPr>
          <w:p w14:paraId="78CAAB2C" w14:textId="77777777" w:rsidR="005A730B" w:rsidRDefault="005A730B">
            <w:pPr>
              <w:rPr>
                <w:rFonts w:ascii="Arial" w:eastAsia="Times New Roman" w:hAnsi="Arial" w:cs="Arial"/>
                <w:b/>
                <w:bCs/>
                <w:color w:val="000000"/>
                <w:sz w:val="16"/>
                <w:szCs w:val="16"/>
                <w:lang w:val="es-CO" w:eastAsia="es-CO"/>
              </w:rPr>
            </w:pPr>
          </w:p>
        </w:tc>
        <w:tc>
          <w:tcPr>
            <w:tcW w:w="963" w:type="pct"/>
            <w:gridSpan w:val="5"/>
            <w:shd w:val="clear" w:color="auto" w:fill="D9D9D9"/>
            <w:vAlign w:val="center"/>
            <w:hideMark/>
          </w:tcPr>
          <w:p w14:paraId="1215BA43"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Inicial</w:t>
            </w:r>
          </w:p>
        </w:tc>
        <w:tc>
          <w:tcPr>
            <w:tcW w:w="0" w:type="auto"/>
            <w:gridSpan w:val="4"/>
            <w:vMerge/>
            <w:tcBorders>
              <w:top w:val="single" w:sz="8" w:space="0" w:color="808080"/>
              <w:left w:val="nil"/>
              <w:bottom w:val="nil"/>
              <w:right w:val="nil"/>
            </w:tcBorders>
            <w:vAlign w:val="center"/>
            <w:hideMark/>
          </w:tcPr>
          <w:p w14:paraId="669758CE" w14:textId="77777777" w:rsidR="005A730B" w:rsidRDefault="005A730B">
            <w:pPr>
              <w:rPr>
                <w:rFonts w:ascii="Arial" w:eastAsia="Times New Roman" w:hAnsi="Arial" w:cs="Arial"/>
                <w:b/>
                <w:bCs/>
                <w:color w:val="000000"/>
                <w:sz w:val="16"/>
                <w:szCs w:val="16"/>
                <w:lang w:val="es-CO" w:eastAsia="es-CO"/>
              </w:rPr>
            </w:pPr>
          </w:p>
        </w:tc>
        <w:tc>
          <w:tcPr>
            <w:tcW w:w="0" w:type="auto"/>
            <w:gridSpan w:val="3"/>
            <w:vMerge/>
            <w:tcBorders>
              <w:top w:val="single" w:sz="8" w:space="0" w:color="808080"/>
              <w:left w:val="nil"/>
              <w:bottom w:val="nil"/>
              <w:right w:val="nil"/>
            </w:tcBorders>
            <w:vAlign w:val="center"/>
            <w:hideMark/>
          </w:tcPr>
          <w:p w14:paraId="5736C714" w14:textId="77777777" w:rsidR="005A730B" w:rsidRDefault="005A730B">
            <w:pPr>
              <w:rPr>
                <w:rFonts w:ascii="Arial" w:eastAsia="Times New Roman" w:hAnsi="Arial" w:cs="Arial"/>
                <w:b/>
                <w:bCs/>
                <w:color w:val="000000"/>
                <w:sz w:val="16"/>
                <w:szCs w:val="16"/>
                <w:lang w:val="es-CO" w:eastAsia="es-CO"/>
              </w:rPr>
            </w:pPr>
          </w:p>
        </w:tc>
        <w:tc>
          <w:tcPr>
            <w:tcW w:w="0" w:type="auto"/>
            <w:gridSpan w:val="3"/>
            <w:vMerge/>
            <w:tcBorders>
              <w:top w:val="single" w:sz="8" w:space="0" w:color="808080"/>
              <w:left w:val="nil"/>
              <w:bottom w:val="nil"/>
              <w:right w:val="nil"/>
            </w:tcBorders>
            <w:vAlign w:val="center"/>
            <w:hideMark/>
          </w:tcPr>
          <w:p w14:paraId="6B8027D9" w14:textId="77777777" w:rsidR="005A730B" w:rsidRDefault="005A730B">
            <w:pPr>
              <w:rPr>
                <w:rFonts w:ascii="Arial" w:eastAsia="Times New Roman" w:hAnsi="Arial" w:cs="Arial"/>
                <w:b/>
                <w:bCs/>
                <w:color w:val="000000"/>
                <w:sz w:val="16"/>
                <w:szCs w:val="16"/>
                <w:lang w:val="es-CO" w:eastAsia="es-CO"/>
              </w:rPr>
            </w:pPr>
          </w:p>
        </w:tc>
      </w:tr>
      <w:tr w:rsidR="005A730B" w14:paraId="0978BE1F" w14:textId="77777777" w:rsidTr="005A730B">
        <w:trPr>
          <w:trHeight w:val="560"/>
          <w:tblHeader/>
        </w:trPr>
        <w:tc>
          <w:tcPr>
            <w:tcW w:w="0" w:type="auto"/>
            <w:gridSpan w:val="4"/>
            <w:vMerge/>
            <w:tcBorders>
              <w:top w:val="single" w:sz="8" w:space="0" w:color="808080"/>
              <w:left w:val="nil"/>
              <w:bottom w:val="single" w:sz="4" w:space="0" w:color="auto"/>
              <w:right w:val="nil"/>
            </w:tcBorders>
            <w:vAlign w:val="center"/>
            <w:hideMark/>
          </w:tcPr>
          <w:p w14:paraId="58FE839B" w14:textId="77777777" w:rsidR="005A730B" w:rsidRDefault="005A730B">
            <w:pPr>
              <w:rPr>
                <w:rFonts w:ascii="Arial" w:eastAsia="Times New Roman" w:hAnsi="Arial" w:cs="Arial"/>
                <w:b/>
                <w:bCs/>
                <w:color w:val="000000"/>
                <w:sz w:val="16"/>
                <w:szCs w:val="16"/>
                <w:lang w:val="es-CO" w:eastAsia="es-CO"/>
              </w:rPr>
            </w:pPr>
          </w:p>
        </w:tc>
        <w:tc>
          <w:tcPr>
            <w:tcW w:w="480" w:type="pct"/>
            <w:gridSpan w:val="3"/>
            <w:tcBorders>
              <w:top w:val="nil"/>
              <w:left w:val="nil"/>
              <w:bottom w:val="single" w:sz="4" w:space="0" w:color="auto"/>
              <w:right w:val="nil"/>
            </w:tcBorders>
            <w:shd w:val="clear" w:color="auto" w:fill="D9D9D9"/>
            <w:vAlign w:val="center"/>
            <w:hideMark/>
          </w:tcPr>
          <w:p w14:paraId="370BB244"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2020</w:t>
            </w:r>
          </w:p>
        </w:tc>
        <w:tc>
          <w:tcPr>
            <w:tcW w:w="483" w:type="pct"/>
            <w:gridSpan w:val="2"/>
            <w:tcBorders>
              <w:top w:val="nil"/>
              <w:left w:val="nil"/>
              <w:bottom w:val="single" w:sz="4" w:space="0" w:color="auto"/>
              <w:right w:val="nil"/>
            </w:tcBorders>
            <w:shd w:val="clear" w:color="auto" w:fill="D9D9D9"/>
            <w:vAlign w:val="center"/>
            <w:hideMark/>
          </w:tcPr>
          <w:p w14:paraId="56C2B631"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2021</w:t>
            </w:r>
          </w:p>
        </w:tc>
        <w:tc>
          <w:tcPr>
            <w:tcW w:w="524" w:type="pct"/>
            <w:gridSpan w:val="3"/>
            <w:tcBorders>
              <w:top w:val="nil"/>
              <w:left w:val="nil"/>
              <w:bottom w:val="single" w:sz="4" w:space="0" w:color="auto"/>
              <w:right w:val="nil"/>
            </w:tcBorders>
            <w:shd w:val="clear" w:color="auto" w:fill="D9D9D9"/>
            <w:vAlign w:val="center"/>
            <w:hideMark/>
          </w:tcPr>
          <w:p w14:paraId="06D44754" w14:textId="77777777" w:rsidR="005A730B" w:rsidRDefault="005A730B">
            <w:pPr>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2020</w:t>
            </w:r>
          </w:p>
        </w:tc>
        <w:tc>
          <w:tcPr>
            <w:tcW w:w="389" w:type="pct"/>
            <w:tcBorders>
              <w:top w:val="nil"/>
              <w:left w:val="nil"/>
              <w:bottom w:val="single" w:sz="4" w:space="0" w:color="auto"/>
              <w:right w:val="nil"/>
            </w:tcBorders>
            <w:shd w:val="clear" w:color="auto" w:fill="D9D9D9"/>
            <w:vAlign w:val="center"/>
            <w:hideMark/>
          </w:tcPr>
          <w:p w14:paraId="18C1069C" w14:textId="77777777" w:rsidR="005A730B" w:rsidRDefault="005A730B">
            <w:pPr>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2021</w:t>
            </w:r>
          </w:p>
        </w:tc>
        <w:tc>
          <w:tcPr>
            <w:tcW w:w="483" w:type="pct"/>
            <w:gridSpan w:val="2"/>
            <w:tcBorders>
              <w:top w:val="nil"/>
              <w:left w:val="nil"/>
              <w:bottom w:val="single" w:sz="4" w:space="0" w:color="auto"/>
              <w:right w:val="nil"/>
            </w:tcBorders>
            <w:shd w:val="clear" w:color="auto" w:fill="D9D9D9"/>
            <w:vAlign w:val="center"/>
            <w:hideMark/>
          </w:tcPr>
          <w:p w14:paraId="40273EC7" w14:textId="77777777" w:rsidR="005A730B" w:rsidRDefault="005A730B">
            <w:pPr>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2020</w:t>
            </w:r>
          </w:p>
        </w:tc>
        <w:tc>
          <w:tcPr>
            <w:tcW w:w="391" w:type="pct"/>
            <w:tcBorders>
              <w:top w:val="nil"/>
              <w:left w:val="nil"/>
              <w:bottom w:val="single" w:sz="4" w:space="0" w:color="auto"/>
              <w:right w:val="nil"/>
            </w:tcBorders>
            <w:shd w:val="clear" w:color="auto" w:fill="D9D9D9"/>
            <w:vAlign w:val="center"/>
            <w:hideMark/>
          </w:tcPr>
          <w:p w14:paraId="3CA0234C" w14:textId="77777777" w:rsidR="005A730B" w:rsidRDefault="005A730B">
            <w:pPr>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2021</w:t>
            </w:r>
          </w:p>
        </w:tc>
        <w:tc>
          <w:tcPr>
            <w:tcW w:w="302" w:type="pct"/>
            <w:tcBorders>
              <w:top w:val="nil"/>
              <w:left w:val="nil"/>
              <w:bottom w:val="single" w:sz="4" w:space="0" w:color="auto"/>
              <w:right w:val="nil"/>
            </w:tcBorders>
            <w:shd w:val="clear" w:color="auto" w:fill="D9D9D9"/>
            <w:vAlign w:val="center"/>
            <w:hideMark/>
          </w:tcPr>
          <w:p w14:paraId="6676EDA1" w14:textId="77777777" w:rsidR="005A730B" w:rsidRDefault="005A730B">
            <w:pPr>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2020</w:t>
            </w:r>
          </w:p>
        </w:tc>
        <w:tc>
          <w:tcPr>
            <w:tcW w:w="336" w:type="pct"/>
            <w:gridSpan w:val="2"/>
            <w:tcBorders>
              <w:top w:val="nil"/>
              <w:left w:val="nil"/>
              <w:bottom w:val="single" w:sz="4" w:space="0" w:color="auto"/>
              <w:right w:val="nil"/>
            </w:tcBorders>
            <w:shd w:val="clear" w:color="auto" w:fill="D9D9D9"/>
            <w:vAlign w:val="center"/>
            <w:hideMark/>
          </w:tcPr>
          <w:p w14:paraId="7B871D37" w14:textId="77777777" w:rsidR="005A730B" w:rsidRDefault="005A730B">
            <w:pPr>
              <w:jc w:val="center"/>
              <w:rPr>
                <w:rFonts w:ascii="Arial" w:eastAsia="Times New Roman" w:hAnsi="Arial" w:cs="Arial"/>
                <w:b/>
                <w:bCs/>
                <w:sz w:val="16"/>
                <w:szCs w:val="16"/>
                <w:lang w:val="es-CO" w:eastAsia="es-CO"/>
              </w:rPr>
            </w:pPr>
            <w:r>
              <w:rPr>
                <w:rFonts w:ascii="Arial" w:eastAsia="Times New Roman" w:hAnsi="Arial" w:cs="Arial"/>
                <w:b/>
                <w:bCs/>
                <w:sz w:val="16"/>
                <w:szCs w:val="16"/>
                <w:lang w:val="es-CO" w:eastAsia="es-CO"/>
              </w:rPr>
              <w:t>2021</w:t>
            </w:r>
          </w:p>
        </w:tc>
      </w:tr>
      <w:tr w:rsidR="005A730B" w14:paraId="17B87B2C" w14:textId="77777777" w:rsidTr="005A730B">
        <w:trPr>
          <w:trHeight w:val="285"/>
        </w:trPr>
        <w:tc>
          <w:tcPr>
            <w:tcW w:w="1578" w:type="pct"/>
            <w:gridSpan w:val="4"/>
            <w:tcBorders>
              <w:top w:val="single" w:sz="4" w:space="0" w:color="auto"/>
              <w:left w:val="nil"/>
              <w:bottom w:val="single" w:sz="8" w:space="0" w:color="808080"/>
              <w:right w:val="nil"/>
            </w:tcBorders>
            <w:noWrap/>
            <w:vAlign w:val="center"/>
            <w:hideMark/>
          </w:tcPr>
          <w:p w14:paraId="7822578B" w14:textId="77777777" w:rsidR="005A730B" w:rsidRDefault="005A730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Ingresos Corrientes Salud</w:t>
            </w:r>
          </w:p>
        </w:tc>
        <w:tc>
          <w:tcPr>
            <w:tcW w:w="424" w:type="pct"/>
            <w:gridSpan w:val="2"/>
            <w:tcBorders>
              <w:top w:val="single" w:sz="4" w:space="0" w:color="auto"/>
              <w:left w:val="nil"/>
              <w:bottom w:val="single" w:sz="8" w:space="0" w:color="808080"/>
              <w:right w:val="nil"/>
            </w:tcBorders>
            <w:noWrap/>
            <w:vAlign w:val="center"/>
            <w:hideMark/>
          </w:tcPr>
          <w:p w14:paraId="588556B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$38.149</w:t>
            </w:r>
          </w:p>
        </w:tc>
        <w:tc>
          <w:tcPr>
            <w:tcW w:w="551" w:type="pct"/>
            <w:gridSpan w:val="3"/>
            <w:tcBorders>
              <w:top w:val="single" w:sz="4" w:space="0" w:color="auto"/>
              <w:left w:val="nil"/>
              <w:bottom w:val="single" w:sz="8" w:space="0" w:color="808080"/>
              <w:right w:val="nil"/>
            </w:tcBorders>
            <w:noWrap/>
            <w:vAlign w:val="center"/>
            <w:hideMark/>
          </w:tcPr>
          <w:p w14:paraId="0E5DC2EB"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$37.063</w:t>
            </w:r>
          </w:p>
        </w:tc>
        <w:tc>
          <w:tcPr>
            <w:tcW w:w="477" w:type="pct"/>
            <w:gridSpan w:val="2"/>
            <w:tcBorders>
              <w:top w:val="single" w:sz="4" w:space="0" w:color="auto"/>
              <w:left w:val="nil"/>
              <w:bottom w:val="single" w:sz="8" w:space="0" w:color="808080"/>
              <w:right w:val="nil"/>
            </w:tcBorders>
            <w:noWrap/>
            <w:vAlign w:val="center"/>
            <w:hideMark/>
          </w:tcPr>
          <w:p w14:paraId="3E0B6991"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$39.266</w:t>
            </w:r>
          </w:p>
        </w:tc>
        <w:tc>
          <w:tcPr>
            <w:tcW w:w="425" w:type="pct"/>
            <w:gridSpan w:val="2"/>
            <w:tcBorders>
              <w:top w:val="single" w:sz="4" w:space="0" w:color="auto"/>
              <w:left w:val="nil"/>
              <w:bottom w:val="single" w:sz="8" w:space="0" w:color="808080"/>
              <w:right w:val="nil"/>
            </w:tcBorders>
            <w:noWrap/>
            <w:vAlign w:val="center"/>
            <w:hideMark/>
          </w:tcPr>
          <w:p w14:paraId="56DDC25B"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$47.166</w:t>
            </w:r>
          </w:p>
        </w:tc>
        <w:tc>
          <w:tcPr>
            <w:tcW w:w="447" w:type="pct"/>
            <w:tcBorders>
              <w:top w:val="single" w:sz="4" w:space="0" w:color="auto"/>
              <w:left w:val="nil"/>
              <w:bottom w:val="single" w:sz="8" w:space="0" w:color="808080"/>
              <w:right w:val="nil"/>
            </w:tcBorders>
            <w:noWrap/>
            <w:vAlign w:val="center"/>
            <w:hideMark/>
          </w:tcPr>
          <w:p w14:paraId="1475FF5E"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$38.597</w:t>
            </w:r>
          </w:p>
        </w:tc>
        <w:tc>
          <w:tcPr>
            <w:tcW w:w="425" w:type="pct"/>
            <w:gridSpan w:val="2"/>
            <w:tcBorders>
              <w:top w:val="single" w:sz="4" w:space="0" w:color="auto"/>
              <w:left w:val="nil"/>
              <w:bottom w:val="single" w:sz="8" w:space="0" w:color="808080"/>
              <w:right w:val="nil"/>
            </w:tcBorders>
            <w:noWrap/>
            <w:vAlign w:val="center"/>
            <w:hideMark/>
          </w:tcPr>
          <w:p w14:paraId="0DD2789E"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$49.982</w:t>
            </w:r>
          </w:p>
        </w:tc>
        <w:tc>
          <w:tcPr>
            <w:tcW w:w="336" w:type="pct"/>
            <w:tcBorders>
              <w:top w:val="single" w:sz="4" w:space="0" w:color="auto"/>
              <w:left w:val="nil"/>
              <w:bottom w:val="single" w:sz="8" w:space="0" w:color="808080"/>
              <w:right w:val="nil"/>
            </w:tcBorders>
            <w:noWrap/>
            <w:vAlign w:val="center"/>
            <w:hideMark/>
          </w:tcPr>
          <w:p w14:paraId="5E69F31A"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98</w:t>
            </w:r>
            <w:r w:rsidR="00A57834">
              <w:rPr>
                <w:rFonts w:ascii="Arial" w:eastAsia="Times New Roman" w:hAnsi="Arial" w:cs="Arial"/>
                <w:color w:val="000000"/>
                <w:sz w:val="16"/>
                <w:szCs w:val="16"/>
                <w:lang w:eastAsia="es-CO"/>
              </w:rPr>
              <w:t>%</w:t>
            </w:r>
          </w:p>
        </w:tc>
        <w:tc>
          <w:tcPr>
            <w:tcW w:w="336" w:type="pct"/>
            <w:gridSpan w:val="2"/>
            <w:tcBorders>
              <w:top w:val="single" w:sz="4" w:space="0" w:color="auto"/>
              <w:left w:val="nil"/>
              <w:bottom w:val="single" w:sz="8" w:space="0" w:color="808080"/>
              <w:right w:val="nil"/>
            </w:tcBorders>
            <w:noWrap/>
            <w:vAlign w:val="center"/>
            <w:hideMark/>
          </w:tcPr>
          <w:p w14:paraId="21A02502"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106</w:t>
            </w:r>
            <w:r w:rsidR="00A57834">
              <w:rPr>
                <w:rFonts w:ascii="Arial" w:eastAsia="Times New Roman" w:hAnsi="Arial" w:cs="Arial"/>
                <w:color w:val="000000"/>
                <w:sz w:val="16"/>
                <w:szCs w:val="16"/>
                <w:lang w:val="es-CO" w:eastAsia="es-CO"/>
              </w:rPr>
              <w:t>%</w:t>
            </w:r>
          </w:p>
        </w:tc>
      </w:tr>
      <w:tr w:rsidR="005A730B" w14:paraId="6B4B52FB" w14:textId="77777777" w:rsidTr="005A730B">
        <w:trPr>
          <w:trHeight w:val="285"/>
        </w:trPr>
        <w:tc>
          <w:tcPr>
            <w:tcW w:w="1578" w:type="pct"/>
            <w:gridSpan w:val="4"/>
            <w:tcBorders>
              <w:top w:val="nil"/>
              <w:left w:val="nil"/>
              <w:bottom w:val="single" w:sz="8" w:space="0" w:color="808080"/>
              <w:right w:val="nil"/>
            </w:tcBorders>
            <w:noWrap/>
            <w:vAlign w:val="center"/>
            <w:hideMark/>
          </w:tcPr>
          <w:p w14:paraId="1B59F85D" w14:textId="77777777" w:rsidR="005A730B" w:rsidRDefault="005A730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Tributarios</w:t>
            </w:r>
          </w:p>
        </w:tc>
        <w:tc>
          <w:tcPr>
            <w:tcW w:w="424" w:type="pct"/>
            <w:gridSpan w:val="2"/>
            <w:tcBorders>
              <w:top w:val="single" w:sz="8" w:space="0" w:color="808080"/>
              <w:left w:val="nil"/>
              <w:bottom w:val="single" w:sz="8" w:space="0" w:color="808080"/>
              <w:right w:val="nil"/>
            </w:tcBorders>
            <w:noWrap/>
            <w:vAlign w:val="center"/>
            <w:hideMark/>
          </w:tcPr>
          <w:p w14:paraId="6599D628"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$8.538</w:t>
            </w:r>
          </w:p>
        </w:tc>
        <w:tc>
          <w:tcPr>
            <w:tcW w:w="551" w:type="pct"/>
            <w:gridSpan w:val="3"/>
            <w:tcBorders>
              <w:top w:val="single" w:sz="8" w:space="0" w:color="808080"/>
              <w:left w:val="nil"/>
              <w:bottom w:val="single" w:sz="8" w:space="0" w:color="808080"/>
              <w:right w:val="nil"/>
            </w:tcBorders>
            <w:noWrap/>
            <w:vAlign w:val="center"/>
            <w:hideMark/>
          </w:tcPr>
          <w:p w14:paraId="59B9BC95"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$8.503</w:t>
            </w:r>
          </w:p>
        </w:tc>
        <w:tc>
          <w:tcPr>
            <w:tcW w:w="477" w:type="pct"/>
            <w:gridSpan w:val="2"/>
            <w:tcBorders>
              <w:top w:val="single" w:sz="8" w:space="0" w:color="808080"/>
              <w:left w:val="nil"/>
              <w:bottom w:val="single" w:sz="8" w:space="0" w:color="808080"/>
              <w:right w:val="nil"/>
            </w:tcBorders>
            <w:noWrap/>
            <w:vAlign w:val="center"/>
            <w:hideMark/>
          </w:tcPr>
          <w:p w14:paraId="45848A3A"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$9.443</w:t>
            </w:r>
          </w:p>
        </w:tc>
        <w:tc>
          <w:tcPr>
            <w:tcW w:w="425" w:type="pct"/>
            <w:gridSpan w:val="2"/>
            <w:tcBorders>
              <w:top w:val="single" w:sz="8" w:space="0" w:color="808080"/>
              <w:left w:val="nil"/>
              <w:bottom w:val="single" w:sz="8" w:space="0" w:color="808080"/>
              <w:right w:val="nil"/>
            </w:tcBorders>
            <w:noWrap/>
            <w:vAlign w:val="center"/>
            <w:hideMark/>
          </w:tcPr>
          <w:p w14:paraId="08B7B4B5"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$10.636</w:t>
            </w:r>
          </w:p>
        </w:tc>
        <w:tc>
          <w:tcPr>
            <w:tcW w:w="447" w:type="pct"/>
            <w:tcBorders>
              <w:top w:val="single" w:sz="8" w:space="0" w:color="808080"/>
              <w:left w:val="nil"/>
              <w:bottom w:val="single" w:sz="8" w:space="0" w:color="808080"/>
              <w:right w:val="nil"/>
            </w:tcBorders>
            <w:noWrap/>
            <w:vAlign w:val="center"/>
            <w:hideMark/>
          </w:tcPr>
          <w:p w14:paraId="0A9C2AD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$9.800</w:t>
            </w:r>
          </w:p>
        </w:tc>
        <w:tc>
          <w:tcPr>
            <w:tcW w:w="425" w:type="pct"/>
            <w:gridSpan w:val="2"/>
            <w:tcBorders>
              <w:top w:val="single" w:sz="8" w:space="0" w:color="808080"/>
              <w:left w:val="nil"/>
              <w:bottom w:val="single" w:sz="8" w:space="0" w:color="808080"/>
              <w:right w:val="nil"/>
            </w:tcBorders>
            <w:noWrap/>
            <w:vAlign w:val="center"/>
            <w:hideMark/>
          </w:tcPr>
          <w:p w14:paraId="24255972"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$11.977</w:t>
            </w:r>
          </w:p>
        </w:tc>
        <w:tc>
          <w:tcPr>
            <w:tcW w:w="336" w:type="pct"/>
            <w:tcBorders>
              <w:top w:val="single" w:sz="8" w:space="0" w:color="808080"/>
              <w:left w:val="nil"/>
              <w:bottom w:val="single" w:sz="8" w:space="0" w:color="808080"/>
              <w:right w:val="nil"/>
            </w:tcBorders>
            <w:noWrap/>
            <w:vAlign w:val="center"/>
            <w:hideMark/>
          </w:tcPr>
          <w:p w14:paraId="47E5393D"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104</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3FD1B64C"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113</w:t>
            </w:r>
            <w:r w:rsidR="00A57834">
              <w:rPr>
                <w:rFonts w:ascii="Arial" w:eastAsia="Times New Roman" w:hAnsi="Arial" w:cs="Arial"/>
                <w:color w:val="000000"/>
                <w:sz w:val="16"/>
                <w:szCs w:val="16"/>
                <w:lang w:val="es-CO" w:eastAsia="es-CO"/>
              </w:rPr>
              <w:t>%</w:t>
            </w:r>
          </w:p>
        </w:tc>
      </w:tr>
      <w:tr w:rsidR="005A730B" w14:paraId="0EE3F5F6" w14:textId="77777777" w:rsidTr="005A730B">
        <w:trPr>
          <w:trHeight w:val="285"/>
        </w:trPr>
        <w:tc>
          <w:tcPr>
            <w:tcW w:w="1578" w:type="pct"/>
            <w:gridSpan w:val="4"/>
            <w:tcBorders>
              <w:top w:val="nil"/>
              <w:left w:val="nil"/>
              <w:bottom w:val="single" w:sz="8" w:space="0" w:color="808080"/>
              <w:right w:val="nil"/>
            </w:tcBorders>
            <w:noWrap/>
            <w:vAlign w:val="center"/>
            <w:hideMark/>
          </w:tcPr>
          <w:p w14:paraId="43BB4B10" w14:textId="77777777" w:rsidR="005A730B" w:rsidRDefault="005A730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No Tributarios</w:t>
            </w:r>
          </w:p>
        </w:tc>
        <w:tc>
          <w:tcPr>
            <w:tcW w:w="424" w:type="pct"/>
            <w:gridSpan w:val="2"/>
            <w:tcBorders>
              <w:top w:val="single" w:sz="8" w:space="0" w:color="808080"/>
              <w:left w:val="nil"/>
              <w:bottom w:val="single" w:sz="8" w:space="0" w:color="808080"/>
              <w:right w:val="nil"/>
            </w:tcBorders>
            <w:noWrap/>
            <w:vAlign w:val="center"/>
            <w:hideMark/>
          </w:tcPr>
          <w:p w14:paraId="033B839A"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$29.610</w:t>
            </w:r>
          </w:p>
        </w:tc>
        <w:tc>
          <w:tcPr>
            <w:tcW w:w="551" w:type="pct"/>
            <w:gridSpan w:val="3"/>
            <w:tcBorders>
              <w:top w:val="single" w:sz="8" w:space="0" w:color="808080"/>
              <w:left w:val="nil"/>
              <w:bottom w:val="single" w:sz="8" w:space="0" w:color="808080"/>
              <w:right w:val="nil"/>
            </w:tcBorders>
            <w:noWrap/>
            <w:vAlign w:val="center"/>
            <w:hideMark/>
          </w:tcPr>
          <w:p w14:paraId="1D3455C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$28.560</w:t>
            </w:r>
          </w:p>
        </w:tc>
        <w:tc>
          <w:tcPr>
            <w:tcW w:w="477" w:type="pct"/>
            <w:gridSpan w:val="2"/>
            <w:tcBorders>
              <w:top w:val="single" w:sz="8" w:space="0" w:color="808080"/>
              <w:left w:val="nil"/>
              <w:bottom w:val="single" w:sz="8" w:space="0" w:color="808080"/>
              <w:right w:val="nil"/>
            </w:tcBorders>
            <w:noWrap/>
            <w:vAlign w:val="center"/>
            <w:hideMark/>
          </w:tcPr>
          <w:p w14:paraId="7BCC95C7"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$29.822</w:t>
            </w:r>
          </w:p>
        </w:tc>
        <w:tc>
          <w:tcPr>
            <w:tcW w:w="425" w:type="pct"/>
            <w:gridSpan w:val="2"/>
            <w:tcBorders>
              <w:top w:val="single" w:sz="8" w:space="0" w:color="808080"/>
              <w:left w:val="nil"/>
              <w:bottom w:val="single" w:sz="8" w:space="0" w:color="808080"/>
              <w:right w:val="nil"/>
            </w:tcBorders>
            <w:noWrap/>
            <w:vAlign w:val="center"/>
            <w:hideMark/>
          </w:tcPr>
          <w:p w14:paraId="729AF13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$36.531</w:t>
            </w:r>
          </w:p>
        </w:tc>
        <w:tc>
          <w:tcPr>
            <w:tcW w:w="447" w:type="pct"/>
            <w:tcBorders>
              <w:top w:val="single" w:sz="8" w:space="0" w:color="808080"/>
              <w:left w:val="nil"/>
              <w:bottom w:val="single" w:sz="8" w:space="0" w:color="808080"/>
              <w:right w:val="nil"/>
            </w:tcBorders>
            <w:noWrap/>
            <w:vAlign w:val="center"/>
            <w:hideMark/>
          </w:tcPr>
          <w:p w14:paraId="3D25E4C4"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$28.796</w:t>
            </w:r>
          </w:p>
        </w:tc>
        <w:tc>
          <w:tcPr>
            <w:tcW w:w="425" w:type="pct"/>
            <w:gridSpan w:val="2"/>
            <w:tcBorders>
              <w:top w:val="single" w:sz="8" w:space="0" w:color="808080"/>
              <w:left w:val="nil"/>
              <w:bottom w:val="single" w:sz="8" w:space="0" w:color="808080"/>
              <w:right w:val="nil"/>
            </w:tcBorders>
            <w:noWrap/>
            <w:vAlign w:val="center"/>
            <w:hideMark/>
          </w:tcPr>
          <w:p w14:paraId="71C5F5D0"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$38.005</w:t>
            </w:r>
          </w:p>
        </w:tc>
        <w:tc>
          <w:tcPr>
            <w:tcW w:w="336" w:type="pct"/>
            <w:tcBorders>
              <w:top w:val="single" w:sz="8" w:space="0" w:color="808080"/>
              <w:left w:val="nil"/>
              <w:bottom w:val="single" w:sz="8" w:space="0" w:color="808080"/>
              <w:right w:val="nil"/>
            </w:tcBorders>
            <w:noWrap/>
            <w:vAlign w:val="center"/>
            <w:hideMark/>
          </w:tcPr>
          <w:p w14:paraId="527418C2"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97</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4AE6AF68"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104</w:t>
            </w:r>
            <w:r w:rsidR="00A57834">
              <w:rPr>
                <w:rFonts w:ascii="Arial" w:eastAsia="Times New Roman" w:hAnsi="Arial" w:cs="Arial"/>
                <w:color w:val="000000"/>
                <w:sz w:val="16"/>
                <w:szCs w:val="16"/>
                <w:lang w:val="es-CO" w:eastAsia="es-CO"/>
              </w:rPr>
              <w:t>%</w:t>
            </w:r>
          </w:p>
        </w:tc>
      </w:tr>
      <w:tr w:rsidR="005A730B" w14:paraId="3D278904" w14:textId="77777777" w:rsidTr="005A730B">
        <w:trPr>
          <w:trHeight w:val="315"/>
        </w:trPr>
        <w:tc>
          <w:tcPr>
            <w:tcW w:w="1578" w:type="pct"/>
            <w:gridSpan w:val="4"/>
            <w:tcBorders>
              <w:top w:val="nil"/>
              <w:left w:val="nil"/>
              <w:bottom w:val="single" w:sz="8" w:space="0" w:color="808080"/>
              <w:right w:val="nil"/>
            </w:tcBorders>
            <w:noWrap/>
            <w:vAlign w:val="center"/>
            <w:hideMark/>
          </w:tcPr>
          <w:p w14:paraId="5A5F954A" w14:textId="77777777" w:rsidR="005A730B" w:rsidRDefault="005A730B">
            <w:pPr>
              <w:ind w:firstLineChars="100" w:firstLine="16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SGP - Régimen Subsidiado</w:t>
            </w:r>
          </w:p>
        </w:tc>
        <w:tc>
          <w:tcPr>
            <w:tcW w:w="424" w:type="pct"/>
            <w:gridSpan w:val="2"/>
            <w:tcBorders>
              <w:top w:val="single" w:sz="8" w:space="0" w:color="808080"/>
              <w:left w:val="nil"/>
              <w:bottom w:val="single" w:sz="8" w:space="0" w:color="808080"/>
              <w:right w:val="nil"/>
            </w:tcBorders>
            <w:noWrap/>
            <w:vAlign w:val="center"/>
            <w:hideMark/>
          </w:tcPr>
          <w:p w14:paraId="1FEF1732" w14:textId="77777777" w:rsidR="005A730B" w:rsidRDefault="005A730B">
            <w:pPr>
              <w:rPr>
                <w:rFonts w:ascii="Arial" w:eastAsia="Times New Roman" w:hAnsi="Arial" w:cs="Arial"/>
                <w:color w:val="000000"/>
                <w:sz w:val="16"/>
                <w:szCs w:val="16"/>
                <w:lang w:val="es-CO" w:eastAsia="es-CO"/>
              </w:rPr>
            </w:pPr>
          </w:p>
        </w:tc>
        <w:tc>
          <w:tcPr>
            <w:tcW w:w="551" w:type="pct"/>
            <w:gridSpan w:val="3"/>
            <w:tcBorders>
              <w:top w:val="single" w:sz="8" w:space="0" w:color="808080"/>
              <w:left w:val="nil"/>
              <w:bottom w:val="single" w:sz="8" w:space="0" w:color="808080"/>
              <w:right w:val="nil"/>
            </w:tcBorders>
            <w:noWrap/>
            <w:vAlign w:val="center"/>
            <w:hideMark/>
          </w:tcPr>
          <w:p w14:paraId="32598E70" w14:textId="77777777" w:rsidR="005A730B" w:rsidRDefault="005A730B">
            <w:pPr>
              <w:rPr>
                <w:rFonts w:asciiTheme="minorHAnsi" w:eastAsiaTheme="minorHAnsi" w:hAnsiTheme="minorHAnsi" w:cstheme="minorBidi"/>
                <w:sz w:val="20"/>
                <w:szCs w:val="20"/>
                <w:lang w:val="es-CO" w:eastAsia="es-CO"/>
              </w:rPr>
            </w:pPr>
          </w:p>
        </w:tc>
        <w:tc>
          <w:tcPr>
            <w:tcW w:w="477" w:type="pct"/>
            <w:gridSpan w:val="2"/>
            <w:tcBorders>
              <w:top w:val="single" w:sz="8" w:space="0" w:color="808080"/>
              <w:left w:val="nil"/>
              <w:bottom w:val="single" w:sz="8" w:space="0" w:color="808080"/>
              <w:right w:val="nil"/>
            </w:tcBorders>
            <w:noWrap/>
            <w:vAlign w:val="center"/>
            <w:hideMark/>
          </w:tcPr>
          <w:p w14:paraId="30BA3E26" w14:textId="77777777" w:rsidR="005A730B" w:rsidRDefault="005A730B">
            <w:pPr>
              <w:rPr>
                <w:rFonts w:asciiTheme="minorHAnsi" w:eastAsiaTheme="minorHAnsi" w:hAnsiTheme="minorHAnsi" w:cstheme="minorBidi"/>
                <w:sz w:val="20"/>
                <w:szCs w:val="20"/>
                <w:lang w:val="es-CO" w:eastAsia="es-CO"/>
              </w:rPr>
            </w:pPr>
          </w:p>
        </w:tc>
        <w:tc>
          <w:tcPr>
            <w:tcW w:w="425" w:type="pct"/>
            <w:gridSpan w:val="2"/>
            <w:tcBorders>
              <w:top w:val="single" w:sz="8" w:space="0" w:color="808080"/>
              <w:left w:val="nil"/>
              <w:bottom w:val="single" w:sz="8" w:space="0" w:color="808080"/>
              <w:right w:val="nil"/>
            </w:tcBorders>
            <w:noWrap/>
            <w:vAlign w:val="center"/>
            <w:hideMark/>
          </w:tcPr>
          <w:p w14:paraId="73EEFB03" w14:textId="77777777" w:rsidR="005A730B" w:rsidRDefault="005A730B">
            <w:pPr>
              <w:rPr>
                <w:rFonts w:asciiTheme="minorHAnsi" w:eastAsiaTheme="minorHAnsi" w:hAnsiTheme="minorHAnsi" w:cstheme="minorBidi"/>
                <w:sz w:val="20"/>
                <w:szCs w:val="20"/>
                <w:lang w:val="es-CO" w:eastAsia="es-CO"/>
              </w:rPr>
            </w:pPr>
          </w:p>
        </w:tc>
        <w:tc>
          <w:tcPr>
            <w:tcW w:w="447" w:type="pct"/>
            <w:tcBorders>
              <w:top w:val="single" w:sz="8" w:space="0" w:color="808080"/>
              <w:left w:val="nil"/>
              <w:bottom w:val="single" w:sz="8" w:space="0" w:color="808080"/>
              <w:right w:val="nil"/>
            </w:tcBorders>
            <w:noWrap/>
            <w:vAlign w:val="center"/>
            <w:hideMark/>
          </w:tcPr>
          <w:p w14:paraId="32209FAC" w14:textId="77777777" w:rsidR="005A730B" w:rsidRDefault="005A730B">
            <w:pPr>
              <w:rPr>
                <w:rFonts w:asciiTheme="minorHAnsi" w:eastAsiaTheme="minorHAnsi" w:hAnsiTheme="minorHAnsi" w:cstheme="minorBidi"/>
                <w:sz w:val="20"/>
                <w:szCs w:val="20"/>
                <w:lang w:val="es-CO" w:eastAsia="es-CO"/>
              </w:rPr>
            </w:pPr>
          </w:p>
        </w:tc>
        <w:tc>
          <w:tcPr>
            <w:tcW w:w="425" w:type="pct"/>
            <w:gridSpan w:val="2"/>
            <w:tcBorders>
              <w:top w:val="single" w:sz="8" w:space="0" w:color="808080"/>
              <w:left w:val="nil"/>
              <w:bottom w:val="single" w:sz="8" w:space="0" w:color="808080"/>
              <w:right w:val="nil"/>
            </w:tcBorders>
            <w:noWrap/>
            <w:vAlign w:val="center"/>
            <w:hideMark/>
          </w:tcPr>
          <w:p w14:paraId="289A4D72" w14:textId="77777777" w:rsidR="005A730B" w:rsidRDefault="005A730B">
            <w:pPr>
              <w:rPr>
                <w:rFonts w:asciiTheme="minorHAnsi" w:eastAsiaTheme="minorHAnsi" w:hAnsiTheme="minorHAnsi" w:cstheme="minorBidi"/>
                <w:sz w:val="20"/>
                <w:szCs w:val="20"/>
                <w:lang w:val="es-CO" w:eastAsia="es-CO"/>
              </w:rPr>
            </w:pPr>
          </w:p>
        </w:tc>
        <w:tc>
          <w:tcPr>
            <w:tcW w:w="336" w:type="pct"/>
            <w:tcBorders>
              <w:top w:val="single" w:sz="8" w:space="0" w:color="808080"/>
              <w:left w:val="nil"/>
              <w:bottom w:val="single" w:sz="8" w:space="0" w:color="808080"/>
              <w:right w:val="nil"/>
            </w:tcBorders>
            <w:noWrap/>
            <w:vAlign w:val="center"/>
            <w:hideMark/>
          </w:tcPr>
          <w:p w14:paraId="4299DE96"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 </w:t>
            </w:r>
          </w:p>
        </w:tc>
        <w:tc>
          <w:tcPr>
            <w:tcW w:w="336" w:type="pct"/>
            <w:gridSpan w:val="2"/>
            <w:tcBorders>
              <w:top w:val="nil"/>
              <w:left w:val="nil"/>
              <w:bottom w:val="single" w:sz="8" w:space="0" w:color="808080"/>
              <w:right w:val="nil"/>
            </w:tcBorders>
            <w:noWrap/>
            <w:vAlign w:val="center"/>
            <w:hideMark/>
          </w:tcPr>
          <w:p w14:paraId="23FD07F8"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w:t>
            </w:r>
          </w:p>
        </w:tc>
      </w:tr>
      <w:tr w:rsidR="005A730B" w14:paraId="1C995062" w14:textId="77777777" w:rsidTr="005A730B">
        <w:trPr>
          <w:trHeight w:val="285"/>
        </w:trPr>
        <w:tc>
          <w:tcPr>
            <w:tcW w:w="1578" w:type="pct"/>
            <w:gridSpan w:val="4"/>
            <w:tcBorders>
              <w:top w:val="nil"/>
              <w:left w:val="nil"/>
              <w:bottom w:val="single" w:sz="8" w:space="0" w:color="808080"/>
              <w:right w:val="nil"/>
            </w:tcBorders>
            <w:noWrap/>
            <w:vAlign w:val="center"/>
            <w:hideMark/>
          </w:tcPr>
          <w:p w14:paraId="30C022B7" w14:textId="77777777" w:rsidR="005A730B" w:rsidRDefault="005A730B">
            <w:pPr>
              <w:ind w:firstLineChars="100" w:firstLine="160"/>
              <w:rPr>
                <w:rFonts w:ascii="Arial" w:eastAsia="Times New Roman" w:hAnsi="Arial" w:cs="Arial"/>
                <w:color w:val="000000"/>
                <w:sz w:val="16"/>
                <w:szCs w:val="16"/>
                <w:highlight w:val="yellow"/>
                <w:lang w:val="es-CO" w:eastAsia="es-CO"/>
              </w:rPr>
            </w:pPr>
            <w:r>
              <w:rPr>
                <w:rFonts w:ascii="Arial" w:eastAsia="Times New Roman" w:hAnsi="Arial" w:cs="Arial"/>
                <w:color w:val="000000"/>
                <w:sz w:val="16"/>
                <w:szCs w:val="16"/>
                <w:lang w:val="es-CO" w:eastAsia="es-CO"/>
              </w:rPr>
              <w:t>*SGP - Prestación de servicios CSF</w:t>
            </w:r>
          </w:p>
        </w:tc>
        <w:tc>
          <w:tcPr>
            <w:tcW w:w="424" w:type="pct"/>
            <w:gridSpan w:val="2"/>
            <w:tcBorders>
              <w:top w:val="single" w:sz="8" w:space="0" w:color="808080"/>
              <w:left w:val="nil"/>
              <w:bottom w:val="single" w:sz="8" w:space="0" w:color="808080"/>
              <w:right w:val="nil"/>
            </w:tcBorders>
            <w:noWrap/>
            <w:vAlign w:val="center"/>
            <w:hideMark/>
          </w:tcPr>
          <w:p w14:paraId="56008C2A"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$11.429</w:t>
            </w:r>
          </w:p>
        </w:tc>
        <w:tc>
          <w:tcPr>
            <w:tcW w:w="551" w:type="pct"/>
            <w:gridSpan w:val="3"/>
            <w:tcBorders>
              <w:top w:val="single" w:sz="8" w:space="0" w:color="808080"/>
              <w:left w:val="nil"/>
              <w:bottom w:val="single" w:sz="8" w:space="0" w:color="808080"/>
              <w:right w:val="nil"/>
            </w:tcBorders>
            <w:noWrap/>
            <w:vAlign w:val="center"/>
            <w:hideMark/>
          </w:tcPr>
          <w:p w14:paraId="6E0DFE3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$10.744</w:t>
            </w:r>
          </w:p>
        </w:tc>
        <w:tc>
          <w:tcPr>
            <w:tcW w:w="477" w:type="pct"/>
            <w:gridSpan w:val="2"/>
            <w:tcBorders>
              <w:top w:val="single" w:sz="8" w:space="0" w:color="808080"/>
              <w:left w:val="nil"/>
              <w:bottom w:val="single" w:sz="8" w:space="0" w:color="808080"/>
              <w:right w:val="nil"/>
            </w:tcBorders>
            <w:noWrap/>
            <w:vAlign w:val="center"/>
            <w:hideMark/>
          </w:tcPr>
          <w:p w14:paraId="29DFB2AC"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$10.744</w:t>
            </w:r>
          </w:p>
        </w:tc>
        <w:tc>
          <w:tcPr>
            <w:tcW w:w="425" w:type="pct"/>
            <w:gridSpan w:val="2"/>
            <w:tcBorders>
              <w:top w:val="single" w:sz="8" w:space="0" w:color="808080"/>
              <w:left w:val="nil"/>
              <w:bottom w:val="single" w:sz="8" w:space="0" w:color="808080"/>
              <w:right w:val="nil"/>
            </w:tcBorders>
            <w:noWrap/>
            <w:vAlign w:val="center"/>
            <w:hideMark/>
          </w:tcPr>
          <w:p w14:paraId="05D626A9"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$11.141</w:t>
            </w:r>
          </w:p>
        </w:tc>
        <w:tc>
          <w:tcPr>
            <w:tcW w:w="447" w:type="pct"/>
            <w:tcBorders>
              <w:top w:val="single" w:sz="8" w:space="0" w:color="808080"/>
              <w:left w:val="nil"/>
              <w:bottom w:val="single" w:sz="8" w:space="0" w:color="808080"/>
              <w:right w:val="nil"/>
            </w:tcBorders>
            <w:noWrap/>
            <w:vAlign w:val="center"/>
            <w:hideMark/>
          </w:tcPr>
          <w:p w14:paraId="0395E163"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$10.744</w:t>
            </w:r>
          </w:p>
        </w:tc>
        <w:tc>
          <w:tcPr>
            <w:tcW w:w="425" w:type="pct"/>
            <w:gridSpan w:val="2"/>
            <w:tcBorders>
              <w:top w:val="single" w:sz="8" w:space="0" w:color="808080"/>
              <w:left w:val="nil"/>
              <w:bottom w:val="single" w:sz="8" w:space="0" w:color="808080"/>
              <w:right w:val="nil"/>
            </w:tcBorders>
            <w:noWrap/>
            <w:vAlign w:val="center"/>
            <w:hideMark/>
          </w:tcPr>
          <w:p w14:paraId="27F44B17"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$11.414</w:t>
            </w:r>
          </w:p>
        </w:tc>
        <w:tc>
          <w:tcPr>
            <w:tcW w:w="336" w:type="pct"/>
            <w:tcBorders>
              <w:top w:val="single" w:sz="8" w:space="0" w:color="808080"/>
              <w:left w:val="nil"/>
              <w:bottom w:val="single" w:sz="8" w:space="0" w:color="808080"/>
              <w:right w:val="nil"/>
            </w:tcBorders>
            <w:noWrap/>
            <w:vAlign w:val="center"/>
            <w:hideMark/>
          </w:tcPr>
          <w:p w14:paraId="61F166B4"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100</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04FDEDD2"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102</w:t>
            </w:r>
            <w:r w:rsidR="00A57834">
              <w:rPr>
                <w:rFonts w:ascii="Arial" w:eastAsia="Times New Roman" w:hAnsi="Arial" w:cs="Arial"/>
                <w:color w:val="000000"/>
                <w:sz w:val="16"/>
                <w:szCs w:val="16"/>
                <w:lang w:val="es-CO" w:eastAsia="es-CO"/>
              </w:rPr>
              <w:t>%</w:t>
            </w:r>
          </w:p>
        </w:tc>
      </w:tr>
      <w:tr w:rsidR="005A730B" w14:paraId="2AE29F0F" w14:textId="77777777" w:rsidTr="005A730B">
        <w:trPr>
          <w:gridAfter w:val="8"/>
          <w:wAfter w:w="2003" w:type="pct"/>
          <w:trHeight w:val="285"/>
        </w:trPr>
        <w:tc>
          <w:tcPr>
            <w:tcW w:w="551" w:type="pct"/>
            <w:tcBorders>
              <w:top w:val="single" w:sz="8" w:space="0" w:color="808080"/>
              <w:left w:val="nil"/>
              <w:bottom w:val="single" w:sz="8" w:space="0" w:color="808080"/>
              <w:right w:val="nil"/>
            </w:tcBorders>
            <w:noWrap/>
            <w:vAlign w:val="center"/>
            <w:hideMark/>
          </w:tcPr>
          <w:p w14:paraId="40AD70D4" w14:textId="77777777" w:rsidR="005A730B" w:rsidRDefault="005A730B">
            <w:pPr>
              <w:rPr>
                <w:rFonts w:ascii="Arial" w:eastAsia="Times New Roman" w:hAnsi="Arial" w:cs="Arial"/>
                <w:color w:val="000000"/>
                <w:sz w:val="16"/>
                <w:szCs w:val="16"/>
                <w:lang w:val="es-CO" w:eastAsia="es-CO"/>
              </w:rPr>
            </w:pPr>
          </w:p>
        </w:tc>
        <w:tc>
          <w:tcPr>
            <w:tcW w:w="477" w:type="pct"/>
            <w:tcBorders>
              <w:top w:val="single" w:sz="8" w:space="0" w:color="808080"/>
              <w:left w:val="nil"/>
              <w:bottom w:val="single" w:sz="8" w:space="0" w:color="808080"/>
              <w:right w:val="nil"/>
            </w:tcBorders>
            <w:noWrap/>
            <w:vAlign w:val="center"/>
            <w:hideMark/>
          </w:tcPr>
          <w:p w14:paraId="58CE5BD1" w14:textId="77777777" w:rsidR="005A730B" w:rsidRDefault="005A730B">
            <w:pPr>
              <w:rPr>
                <w:rFonts w:asciiTheme="minorHAnsi" w:eastAsiaTheme="minorHAnsi" w:hAnsiTheme="minorHAnsi" w:cstheme="minorBidi"/>
                <w:sz w:val="20"/>
                <w:szCs w:val="20"/>
                <w:lang w:val="es-CO" w:eastAsia="es-CO"/>
              </w:rPr>
            </w:pPr>
          </w:p>
        </w:tc>
        <w:tc>
          <w:tcPr>
            <w:tcW w:w="425" w:type="pct"/>
            <w:tcBorders>
              <w:top w:val="single" w:sz="8" w:space="0" w:color="808080"/>
              <w:left w:val="nil"/>
              <w:bottom w:val="single" w:sz="8" w:space="0" w:color="808080"/>
              <w:right w:val="nil"/>
            </w:tcBorders>
            <w:noWrap/>
            <w:vAlign w:val="center"/>
            <w:hideMark/>
          </w:tcPr>
          <w:p w14:paraId="7FA542DA" w14:textId="77777777" w:rsidR="005A730B" w:rsidRDefault="005A730B">
            <w:pPr>
              <w:rPr>
                <w:rFonts w:asciiTheme="minorHAnsi" w:eastAsiaTheme="minorHAnsi" w:hAnsiTheme="minorHAnsi" w:cstheme="minorBidi"/>
                <w:sz w:val="20"/>
                <w:szCs w:val="20"/>
                <w:lang w:val="es-CO" w:eastAsia="es-CO"/>
              </w:rPr>
            </w:pPr>
          </w:p>
        </w:tc>
        <w:tc>
          <w:tcPr>
            <w:tcW w:w="447" w:type="pct"/>
            <w:gridSpan w:val="2"/>
            <w:tcBorders>
              <w:top w:val="single" w:sz="8" w:space="0" w:color="808080"/>
              <w:left w:val="nil"/>
              <w:bottom w:val="single" w:sz="8" w:space="0" w:color="808080"/>
              <w:right w:val="nil"/>
            </w:tcBorders>
            <w:noWrap/>
            <w:vAlign w:val="center"/>
            <w:hideMark/>
          </w:tcPr>
          <w:p w14:paraId="0202B4E9" w14:textId="77777777" w:rsidR="005A730B" w:rsidRDefault="005A730B">
            <w:pPr>
              <w:rPr>
                <w:rFonts w:asciiTheme="minorHAnsi" w:eastAsiaTheme="minorHAnsi" w:hAnsiTheme="minorHAnsi" w:cstheme="minorBidi"/>
                <w:sz w:val="20"/>
                <w:szCs w:val="20"/>
                <w:lang w:val="es-CO" w:eastAsia="es-CO"/>
              </w:rPr>
            </w:pPr>
          </w:p>
        </w:tc>
        <w:tc>
          <w:tcPr>
            <w:tcW w:w="425" w:type="pct"/>
            <w:gridSpan w:val="3"/>
            <w:tcBorders>
              <w:top w:val="single" w:sz="8" w:space="0" w:color="808080"/>
              <w:left w:val="nil"/>
              <w:bottom w:val="single" w:sz="8" w:space="0" w:color="808080"/>
              <w:right w:val="nil"/>
            </w:tcBorders>
            <w:noWrap/>
            <w:vAlign w:val="center"/>
            <w:hideMark/>
          </w:tcPr>
          <w:p w14:paraId="3CE3111B" w14:textId="77777777" w:rsidR="005A730B" w:rsidRDefault="005A730B">
            <w:pPr>
              <w:rPr>
                <w:rFonts w:asciiTheme="minorHAnsi" w:eastAsiaTheme="minorHAnsi" w:hAnsiTheme="minorHAnsi" w:cstheme="minorBidi"/>
                <w:sz w:val="20"/>
                <w:szCs w:val="20"/>
                <w:lang w:val="es-CO" w:eastAsia="es-CO"/>
              </w:rPr>
            </w:pPr>
          </w:p>
        </w:tc>
        <w:tc>
          <w:tcPr>
            <w:tcW w:w="336" w:type="pct"/>
            <w:gridSpan w:val="2"/>
            <w:tcBorders>
              <w:top w:val="single" w:sz="8" w:space="0" w:color="808080"/>
              <w:left w:val="nil"/>
              <w:bottom w:val="single" w:sz="8" w:space="0" w:color="808080"/>
              <w:right w:val="nil"/>
            </w:tcBorders>
            <w:noWrap/>
            <w:vAlign w:val="center"/>
            <w:hideMark/>
          </w:tcPr>
          <w:p w14:paraId="6E141711"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 </w:t>
            </w:r>
          </w:p>
        </w:tc>
        <w:tc>
          <w:tcPr>
            <w:tcW w:w="336" w:type="pct"/>
            <w:tcBorders>
              <w:top w:val="nil"/>
              <w:left w:val="nil"/>
              <w:bottom w:val="single" w:sz="8" w:space="0" w:color="808080"/>
              <w:right w:val="nil"/>
            </w:tcBorders>
            <w:noWrap/>
            <w:vAlign w:val="center"/>
            <w:hideMark/>
          </w:tcPr>
          <w:p w14:paraId="13C5EB5A"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w:t>
            </w:r>
          </w:p>
        </w:tc>
      </w:tr>
      <w:tr w:rsidR="005A730B" w14:paraId="3682D719" w14:textId="77777777" w:rsidTr="005A730B">
        <w:trPr>
          <w:trHeight w:val="285"/>
        </w:trPr>
        <w:tc>
          <w:tcPr>
            <w:tcW w:w="1578" w:type="pct"/>
            <w:gridSpan w:val="4"/>
            <w:tcBorders>
              <w:top w:val="nil"/>
              <w:left w:val="nil"/>
              <w:bottom w:val="single" w:sz="8" w:space="0" w:color="808080"/>
              <w:right w:val="nil"/>
            </w:tcBorders>
            <w:noWrap/>
            <w:vAlign w:val="center"/>
            <w:hideMark/>
          </w:tcPr>
          <w:p w14:paraId="52FCC13D" w14:textId="77777777" w:rsidR="005A730B" w:rsidRDefault="005A730B">
            <w:pPr>
              <w:ind w:firstLineChars="100" w:firstLine="16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SGP - Salud Pública</w:t>
            </w:r>
          </w:p>
        </w:tc>
        <w:tc>
          <w:tcPr>
            <w:tcW w:w="424" w:type="pct"/>
            <w:gridSpan w:val="2"/>
            <w:tcBorders>
              <w:top w:val="single" w:sz="8" w:space="0" w:color="808080"/>
              <w:left w:val="nil"/>
              <w:bottom w:val="single" w:sz="8" w:space="0" w:color="808080"/>
              <w:right w:val="nil"/>
            </w:tcBorders>
            <w:noWrap/>
            <w:vAlign w:val="center"/>
            <w:hideMark/>
          </w:tcPr>
          <w:p w14:paraId="458E233E"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$10.447</w:t>
            </w:r>
          </w:p>
        </w:tc>
        <w:tc>
          <w:tcPr>
            <w:tcW w:w="551" w:type="pct"/>
            <w:gridSpan w:val="3"/>
            <w:tcBorders>
              <w:top w:val="single" w:sz="8" w:space="0" w:color="808080"/>
              <w:left w:val="nil"/>
              <w:bottom w:val="single" w:sz="8" w:space="0" w:color="808080"/>
              <w:right w:val="nil"/>
            </w:tcBorders>
            <w:noWrap/>
            <w:vAlign w:val="center"/>
            <w:hideMark/>
          </w:tcPr>
          <w:p w14:paraId="78EAD271"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$10.453</w:t>
            </w:r>
          </w:p>
        </w:tc>
        <w:tc>
          <w:tcPr>
            <w:tcW w:w="477" w:type="pct"/>
            <w:gridSpan w:val="2"/>
            <w:tcBorders>
              <w:top w:val="single" w:sz="8" w:space="0" w:color="808080"/>
              <w:left w:val="nil"/>
              <w:bottom w:val="single" w:sz="8" w:space="0" w:color="808080"/>
              <w:right w:val="nil"/>
            </w:tcBorders>
            <w:noWrap/>
            <w:vAlign w:val="center"/>
            <w:hideMark/>
          </w:tcPr>
          <w:p w14:paraId="63983FD8"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$10.453</w:t>
            </w:r>
          </w:p>
        </w:tc>
        <w:tc>
          <w:tcPr>
            <w:tcW w:w="425" w:type="pct"/>
            <w:gridSpan w:val="2"/>
            <w:tcBorders>
              <w:top w:val="single" w:sz="8" w:space="0" w:color="808080"/>
              <w:left w:val="nil"/>
              <w:bottom w:val="single" w:sz="8" w:space="0" w:color="808080"/>
              <w:right w:val="nil"/>
            </w:tcBorders>
            <w:noWrap/>
            <w:vAlign w:val="center"/>
            <w:hideMark/>
          </w:tcPr>
          <w:p w14:paraId="62D638FA"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$10.453</w:t>
            </w:r>
          </w:p>
        </w:tc>
        <w:tc>
          <w:tcPr>
            <w:tcW w:w="447" w:type="pct"/>
            <w:tcBorders>
              <w:top w:val="single" w:sz="8" w:space="0" w:color="808080"/>
              <w:left w:val="nil"/>
              <w:bottom w:val="single" w:sz="8" w:space="0" w:color="808080"/>
              <w:right w:val="nil"/>
            </w:tcBorders>
            <w:noWrap/>
            <w:vAlign w:val="center"/>
            <w:hideMark/>
          </w:tcPr>
          <w:p w14:paraId="4F54C428"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$10.453</w:t>
            </w:r>
          </w:p>
        </w:tc>
        <w:tc>
          <w:tcPr>
            <w:tcW w:w="425" w:type="pct"/>
            <w:gridSpan w:val="2"/>
            <w:tcBorders>
              <w:top w:val="single" w:sz="8" w:space="0" w:color="808080"/>
              <w:left w:val="nil"/>
              <w:bottom w:val="single" w:sz="8" w:space="0" w:color="808080"/>
              <w:right w:val="nil"/>
            </w:tcBorders>
            <w:noWrap/>
            <w:vAlign w:val="center"/>
            <w:hideMark/>
          </w:tcPr>
          <w:p w14:paraId="01F61D9C"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$9.439</w:t>
            </w:r>
          </w:p>
        </w:tc>
        <w:tc>
          <w:tcPr>
            <w:tcW w:w="336" w:type="pct"/>
            <w:tcBorders>
              <w:top w:val="single" w:sz="8" w:space="0" w:color="808080"/>
              <w:left w:val="nil"/>
              <w:bottom w:val="single" w:sz="8" w:space="0" w:color="808080"/>
              <w:right w:val="nil"/>
            </w:tcBorders>
            <w:noWrap/>
            <w:vAlign w:val="center"/>
            <w:hideMark/>
          </w:tcPr>
          <w:p w14:paraId="59DA8C70"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100</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304A8952"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90</w:t>
            </w:r>
            <w:r w:rsidR="00A57834">
              <w:rPr>
                <w:rFonts w:ascii="Arial" w:eastAsia="Times New Roman" w:hAnsi="Arial" w:cs="Arial"/>
                <w:color w:val="000000"/>
                <w:sz w:val="16"/>
                <w:szCs w:val="16"/>
                <w:lang w:val="es-CO" w:eastAsia="es-CO"/>
              </w:rPr>
              <w:t>%</w:t>
            </w:r>
          </w:p>
        </w:tc>
      </w:tr>
      <w:tr w:rsidR="005A730B" w14:paraId="28A6E7A4" w14:textId="77777777" w:rsidTr="005A730B">
        <w:trPr>
          <w:trHeight w:val="285"/>
        </w:trPr>
        <w:tc>
          <w:tcPr>
            <w:tcW w:w="1578" w:type="pct"/>
            <w:gridSpan w:val="4"/>
            <w:tcBorders>
              <w:top w:val="nil"/>
              <w:left w:val="nil"/>
              <w:bottom w:val="single" w:sz="8" w:space="0" w:color="808080"/>
              <w:right w:val="nil"/>
            </w:tcBorders>
            <w:noWrap/>
            <w:vAlign w:val="center"/>
            <w:hideMark/>
          </w:tcPr>
          <w:p w14:paraId="5482986C" w14:textId="77777777" w:rsidR="005A730B" w:rsidRDefault="005A730B">
            <w:pPr>
              <w:ind w:firstLineChars="100" w:firstLine="16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Otras Transferencias Nación</w:t>
            </w:r>
          </w:p>
        </w:tc>
        <w:tc>
          <w:tcPr>
            <w:tcW w:w="424" w:type="pct"/>
            <w:gridSpan w:val="2"/>
            <w:tcBorders>
              <w:top w:val="single" w:sz="8" w:space="0" w:color="808080"/>
              <w:left w:val="nil"/>
              <w:bottom w:val="single" w:sz="8" w:space="0" w:color="808080"/>
              <w:right w:val="nil"/>
            </w:tcBorders>
            <w:noWrap/>
            <w:vAlign w:val="center"/>
            <w:hideMark/>
          </w:tcPr>
          <w:p w14:paraId="311E45D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$1.774</w:t>
            </w:r>
          </w:p>
        </w:tc>
        <w:tc>
          <w:tcPr>
            <w:tcW w:w="551" w:type="pct"/>
            <w:gridSpan w:val="3"/>
            <w:tcBorders>
              <w:top w:val="single" w:sz="8" w:space="0" w:color="808080"/>
              <w:left w:val="nil"/>
              <w:bottom w:val="single" w:sz="8" w:space="0" w:color="808080"/>
              <w:right w:val="nil"/>
            </w:tcBorders>
            <w:noWrap/>
            <w:vAlign w:val="center"/>
            <w:hideMark/>
          </w:tcPr>
          <w:p w14:paraId="716B3F4B"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$1.834</w:t>
            </w:r>
          </w:p>
        </w:tc>
        <w:tc>
          <w:tcPr>
            <w:tcW w:w="477" w:type="pct"/>
            <w:gridSpan w:val="2"/>
            <w:tcBorders>
              <w:top w:val="single" w:sz="8" w:space="0" w:color="808080"/>
              <w:left w:val="nil"/>
              <w:bottom w:val="single" w:sz="8" w:space="0" w:color="808080"/>
              <w:right w:val="nil"/>
            </w:tcBorders>
            <w:noWrap/>
            <w:vAlign w:val="center"/>
            <w:hideMark/>
          </w:tcPr>
          <w:p w14:paraId="3A6824CB"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$2.665</w:t>
            </w:r>
          </w:p>
        </w:tc>
        <w:tc>
          <w:tcPr>
            <w:tcW w:w="425" w:type="pct"/>
            <w:gridSpan w:val="2"/>
            <w:tcBorders>
              <w:top w:val="single" w:sz="8" w:space="0" w:color="808080"/>
              <w:left w:val="nil"/>
              <w:bottom w:val="single" w:sz="8" w:space="0" w:color="808080"/>
              <w:right w:val="nil"/>
            </w:tcBorders>
            <w:noWrap/>
            <w:vAlign w:val="center"/>
            <w:hideMark/>
          </w:tcPr>
          <w:p w14:paraId="48586606"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$8.452</w:t>
            </w:r>
          </w:p>
        </w:tc>
        <w:tc>
          <w:tcPr>
            <w:tcW w:w="447" w:type="pct"/>
            <w:tcBorders>
              <w:top w:val="single" w:sz="8" w:space="0" w:color="808080"/>
              <w:left w:val="nil"/>
              <w:bottom w:val="single" w:sz="8" w:space="0" w:color="808080"/>
              <w:right w:val="nil"/>
            </w:tcBorders>
            <w:noWrap/>
            <w:vAlign w:val="center"/>
            <w:hideMark/>
          </w:tcPr>
          <w:p w14:paraId="024ECBB3"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$2.829</w:t>
            </w:r>
          </w:p>
        </w:tc>
        <w:tc>
          <w:tcPr>
            <w:tcW w:w="425" w:type="pct"/>
            <w:gridSpan w:val="2"/>
            <w:tcBorders>
              <w:top w:val="single" w:sz="8" w:space="0" w:color="808080"/>
              <w:left w:val="nil"/>
              <w:bottom w:val="single" w:sz="8" w:space="0" w:color="808080"/>
              <w:right w:val="nil"/>
            </w:tcBorders>
            <w:noWrap/>
            <w:vAlign w:val="center"/>
            <w:hideMark/>
          </w:tcPr>
          <w:p w14:paraId="23E94B80"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$8.389</w:t>
            </w:r>
          </w:p>
        </w:tc>
        <w:tc>
          <w:tcPr>
            <w:tcW w:w="336" w:type="pct"/>
            <w:tcBorders>
              <w:top w:val="single" w:sz="8" w:space="0" w:color="808080"/>
              <w:left w:val="nil"/>
              <w:bottom w:val="single" w:sz="8" w:space="0" w:color="808080"/>
              <w:right w:val="nil"/>
            </w:tcBorders>
            <w:noWrap/>
            <w:vAlign w:val="center"/>
            <w:hideMark/>
          </w:tcPr>
          <w:p w14:paraId="48022D31"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106</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168C8A6B"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99</w:t>
            </w:r>
            <w:r w:rsidR="00A57834">
              <w:rPr>
                <w:rFonts w:ascii="Arial" w:eastAsia="Times New Roman" w:hAnsi="Arial" w:cs="Arial"/>
                <w:color w:val="000000"/>
                <w:sz w:val="16"/>
                <w:szCs w:val="16"/>
                <w:lang w:val="es-CO" w:eastAsia="es-CO"/>
              </w:rPr>
              <w:t>%</w:t>
            </w:r>
          </w:p>
        </w:tc>
      </w:tr>
      <w:tr w:rsidR="005A730B" w14:paraId="1C1EA3B7" w14:textId="77777777" w:rsidTr="005A730B">
        <w:trPr>
          <w:trHeight w:val="285"/>
        </w:trPr>
        <w:tc>
          <w:tcPr>
            <w:tcW w:w="1578" w:type="pct"/>
            <w:gridSpan w:val="4"/>
            <w:tcBorders>
              <w:top w:val="nil"/>
              <w:left w:val="nil"/>
              <w:bottom w:val="single" w:sz="8" w:space="0" w:color="808080"/>
              <w:right w:val="nil"/>
            </w:tcBorders>
            <w:noWrap/>
            <w:vAlign w:val="center"/>
            <w:hideMark/>
          </w:tcPr>
          <w:p w14:paraId="26113DF8" w14:textId="77777777" w:rsidR="005A730B" w:rsidRDefault="005A730B">
            <w:pPr>
              <w:ind w:firstLineChars="100" w:firstLine="160"/>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Otros ingresos</w:t>
            </w:r>
          </w:p>
        </w:tc>
        <w:tc>
          <w:tcPr>
            <w:tcW w:w="424" w:type="pct"/>
            <w:gridSpan w:val="2"/>
            <w:tcBorders>
              <w:top w:val="single" w:sz="8" w:space="0" w:color="808080"/>
              <w:left w:val="nil"/>
              <w:bottom w:val="single" w:sz="8" w:space="0" w:color="808080"/>
              <w:right w:val="nil"/>
            </w:tcBorders>
            <w:noWrap/>
            <w:vAlign w:val="center"/>
            <w:hideMark/>
          </w:tcPr>
          <w:p w14:paraId="7E832031"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$5.959</w:t>
            </w:r>
          </w:p>
        </w:tc>
        <w:tc>
          <w:tcPr>
            <w:tcW w:w="551" w:type="pct"/>
            <w:gridSpan w:val="3"/>
            <w:tcBorders>
              <w:top w:val="single" w:sz="8" w:space="0" w:color="808080"/>
              <w:left w:val="nil"/>
              <w:bottom w:val="single" w:sz="8" w:space="0" w:color="808080"/>
              <w:right w:val="nil"/>
            </w:tcBorders>
            <w:noWrap/>
            <w:vAlign w:val="center"/>
            <w:hideMark/>
          </w:tcPr>
          <w:p w14:paraId="0776F47C"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$5.527</w:t>
            </w:r>
          </w:p>
        </w:tc>
        <w:tc>
          <w:tcPr>
            <w:tcW w:w="477" w:type="pct"/>
            <w:gridSpan w:val="2"/>
            <w:tcBorders>
              <w:top w:val="single" w:sz="8" w:space="0" w:color="808080"/>
              <w:left w:val="nil"/>
              <w:bottom w:val="single" w:sz="8" w:space="0" w:color="808080"/>
              <w:right w:val="nil"/>
            </w:tcBorders>
            <w:noWrap/>
            <w:vAlign w:val="center"/>
            <w:hideMark/>
          </w:tcPr>
          <w:p w14:paraId="798DF61C"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$5.959</w:t>
            </w:r>
          </w:p>
        </w:tc>
        <w:tc>
          <w:tcPr>
            <w:tcW w:w="425" w:type="pct"/>
            <w:gridSpan w:val="2"/>
            <w:tcBorders>
              <w:top w:val="single" w:sz="8" w:space="0" w:color="808080"/>
              <w:left w:val="nil"/>
              <w:bottom w:val="single" w:sz="8" w:space="0" w:color="808080"/>
              <w:right w:val="nil"/>
            </w:tcBorders>
            <w:noWrap/>
            <w:vAlign w:val="center"/>
            <w:hideMark/>
          </w:tcPr>
          <w:p w14:paraId="562791CC"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$6.485</w:t>
            </w:r>
          </w:p>
        </w:tc>
        <w:tc>
          <w:tcPr>
            <w:tcW w:w="447" w:type="pct"/>
            <w:tcBorders>
              <w:top w:val="single" w:sz="8" w:space="0" w:color="808080"/>
              <w:left w:val="nil"/>
              <w:bottom w:val="single" w:sz="8" w:space="0" w:color="808080"/>
              <w:right w:val="nil"/>
            </w:tcBorders>
            <w:noWrap/>
            <w:vAlign w:val="center"/>
            <w:hideMark/>
          </w:tcPr>
          <w:p w14:paraId="4711223D"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$4.769</w:t>
            </w:r>
          </w:p>
        </w:tc>
        <w:tc>
          <w:tcPr>
            <w:tcW w:w="425" w:type="pct"/>
            <w:gridSpan w:val="2"/>
            <w:tcBorders>
              <w:top w:val="single" w:sz="8" w:space="0" w:color="808080"/>
              <w:left w:val="nil"/>
              <w:bottom w:val="single" w:sz="8" w:space="0" w:color="808080"/>
              <w:right w:val="nil"/>
            </w:tcBorders>
            <w:noWrap/>
            <w:vAlign w:val="center"/>
            <w:hideMark/>
          </w:tcPr>
          <w:p w14:paraId="775B63E9"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$8.763</w:t>
            </w:r>
          </w:p>
        </w:tc>
        <w:tc>
          <w:tcPr>
            <w:tcW w:w="336" w:type="pct"/>
            <w:tcBorders>
              <w:top w:val="single" w:sz="8" w:space="0" w:color="808080"/>
              <w:left w:val="nil"/>
              <w:bottom w:val="single" w:sz="8" w:space="0" w:color="808080"/>
              <w:right w:val="nil"/>
            </w:tcBorders>
            <w:noWrap/>
            <w:vAlign w:val="center"/>
            <w:hideMark/>
          </w:tcPr>
          <w:p w14:paraId="0814D51D"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80</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22406991"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135</w:t>
            </w:r>
            <w:r w:rsidR="00A57834">
              <w:rPr>
                <w:rFonts w:ascii="Arial" w:eastAsia="Times New Roman" w:hAnsi="Arial" w:cs="Arial"/>
                <w:color w:val="000000"/>
                <w:sz w:val="16"/>
                <w:szCs w:val="16"/>
                <w:lang w:val="es-CO" w:eastAsia="es-CO"/>
              </w:rPr>
              <w:t>%</w:t>
            </w:r>
          </w:p>
        </w:tc>
      </w:tr>
      <w:tr w:rsidR="005A730B" w14:paraId="02578132" w14:textId="77777777" w:rsidTr="005A730B">
        <w:trPr>
          <w:trHeight w:val="285"/>
        </w:trPr>
        <w:tc>
          <w:tcPr>
            <w:tcW w:w="1578" w:type="pct"/>
            <w:gridSpan w:val="4"/>
            <w:tcBorders>
              <w:top w:val="nil"/>
              <w:left w:val="nil"/>
              <w:bottom w:val="single" w:sz="8" w:space="0" w:color="808080"/>
              <w:right w:val="nil"/>
            </w:tcBorders>
            <w:noWrap/>
            <w:vAlign w:val="center"/>
            <w:hideMark/>
          </w:tcPr>
          <w:p w14:paraId="5E7B5442" w14:textId="77777777" w:rsidR="005A730B" w:rsidRDefault="005A730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Ingresos de capital</w:t>
            </w:r>
          </w:p>
        </w:tc>
        <w:tc>
          <w:tcPr>
            <w:tcW w:w="424" w:type="pct"/>
            <w:gridSpan w:val="2"/>
            <w:tcBorders>
              <w:top w:val="single" w:sz="8" w:space="0" w:color="808080"/>
              <w:left w:val="nil"/>
              <w:bottom w:val="single" w:sz="8" w:space="0" w:color="808080"/>
              <w:right w:val="nil"/>
            </w:tcBorders>
            <w:noWrap/>
            <w:vAlign w:val="center"/>
            <w:hideMark/>
          </w:tcPr>
          <w:p w14:paraId="3C5C4B55"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0</w:t>
            </w:r>
          </w:p>
        </w:tc>
        <w:tc>
          <w:tcPr>
            <w:tcW w:w="551" w:type="pct"/>
            <w:gridSpan w:val="3"/>
            <w:tcBorders>
              <w:top w:val="single" w:sz="8" w:space="0" w:color="808080"/>
              <w:left w:val="nil"/>
              <w:bottom w:val="single" w:sz="8" w:space="0" w:color="808080"/>
              <w:right w:val="nil"/>
            </w:tcBorders>
            <w:noWrap/>
            <w:vAlign w:val="center"/>
            <w:hideMark/>
          </w:tcPr>
          <w:p w14:paraId="3BC2D02C" w14:textId="77777777" w:rsidR="005A730B" w:rsidRDefault="005A730B">
            <w:pPr>
              <w:rPr>
                <w:rFonts w:ascii="Arial" w:eastAsia="Times New Roman" w:hAnsi="Arial" w:cs="Arial"/>
                <w:color w:val="000000"/>
                <w:sz w:val="16"/>
                <w:szCs w:val="16"/>
                <w:lang w:val="es-CO" w:eastAsia="es-CO"/>
              </w:rPr>
            </w:pPr>
          </w:p>
        </w:tc>
        <w:tc>
          <w:tcPr>
            <w:tcW w:w="477" w:type="pct"/>
            <w:gridSpan w:val="2"/>
            <w:tcBorders>
              <w:top w:val="single" w:sz="8" w:space="0" w:color="808080"/>
              <w:left w:val="nil"/>
              <w:bottom w:val="single" w:sz="8" w:space="0" w:color="808080"/>
              <w:right w:val="nil"/>
            </w:tcBorders>
            <w:noWrap/>
            <w:vAlign w:val="center"/>
            <w:hideMark/>
          </w:tcPr>
          <w:p w14:paraId="3BB90F16"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$12.761</w:t>
            </w:r>
          </w:p>
        </w:tc>
        <w:tc>
          <w:tcPr>
            <w:tcW w:w="425" w:type="pct"/>
            <w:gridSpan w:val="2"/>
            <w:tcBorders>
              <w:top w:val="single" w:sz="8" w:space="0" w:color="808080"/>
              <w:left w:val="nil"/>
              <w:bottom w:val="single" w:sz="8" w:space="0" w:color="808080"/>
              <w:right w:val="nil"/>
            </w:tcBorders>
            <w:noWrap/>
            <w:vAlign w:val="center"/>
            <w:hideMark/>
          </w:tcPr>
          <w:p w14:paraId="4584966F"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$13.086</w:t>
            </w:r>
          </w:p>
        </w:tc>
        <w:tc>
          <w:tcPr>
            <w:tcW w:w="447" w:type="pct"/>
            <w:tcBorders>
              <w:top w:val="single" w:sz="8" w:space="0" w:color="808080"/>
              <w:left w:val="nil"/>
              <w:bottom w:val="single" w:sz="8" w:space="0" w:color="808080"/>
              <w:right w:val="nil"/>
            </w:tcBorders>
            <w:noWrap/>
            <w:vAlign w:val="center"/>
            <w:hideMark/>
          </w:tcPr>
          <w:p w14:paraId="0A8BF931"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$12.878</w:t>
            </w:r>
          </w:p>
        </w:tc>
        <w:tc>
          <w:tcPr>
            <w:tcW w:w="425" w:type="pct"/>
            <w:gridSpan w:val="2"/>
            <w:tcBorders>
              <w:top w:val="single" w:sz="8" w:space="0" w:color="808080"/>
              <w:left w:val="nil"/>
              <w:bottom w:val="single" w:sz="8" w:space="0" w:color="808080"/>
              <w:right w:val="nil"/>
            </w:tcBorders>
            <w:noWrap/>
            <w:vAlign w:val="center"/>
            <w:hideMark/>
          </w:tcPr>
          <w:p w14:paraId="36E3909D" w14:textId="77777777" w:rsidR="005A730B" w:rsidRDefault="005A730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$13.144</w:t>
            </w:r>
          </w:p>
        </w:tc>
        <w:tc>
          <w:tcPr>
            <w:tcW w:w="336" w:type="pct"/>
            <w:tcBorders>
              <w:top w:val="single" w:sz="8" w:space="0" w:color="808080"/>
              <w:left w:val="nil"/>
              <w:bottom w:val="single" w:sz="8" w:space="0" w:color="808080"/>
              <w:right w:val="nil"/>
            </w:tcBorders>
            <w:noWrap/>
            <w:vAlign w:val="center"/>
            <w:hideMark/>
          </w:tcPr>
          <w:p w14:paraId="532F9945"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eastAsia="es-CO"/>
              </w:rPr>
              <w:t>101</w:t>
            </w:r>
            <w:r w:rsidR="00A57834">
              <w:rPr>
                <w:rFonts w:ascii="Arial" w:eastAsia="Times New Roman" w:hAnsi="Arial" w:cs="Arial"/>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6417DBC8" w14:textId="77777777" w:rsidR="005A730B" w:rsidRDefault="005A730B">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A57834">
              <w:rPr>
                <w:rFonts w:ascii="Arial" w:eastAsia="Times New Roman" w:hAnsi="Arial" w:cs="Arial"/>
                <w:color w:val="000000"/>
                <w:sz w:val="16"/>
                <w:szCs w:val="16"/>
                <w:lang w:val="es-CO" w:eastAsia="es-CO"/>
              </w:rPr>
              <w:t>%</w:t>
            </w:r>
          </w:p>
        </w:tc>
      </w:tr>
      <w:tr w:rsidR="005A730B" w14:paraId="5E13AB96" w14:textId="77777777" w:rsidTr="005A730B">
        <w:trPr>
          <w:trHeight w:val="285"/>
        </w:trPr>
        <w:tc>
          <w:tcPr>
            <w:tcW w:w="1578" w:type="pct"/>
            <w:gridSpan w:val="4"/>
            <w:tcBorders>
              <w:top w:val="nil"/>
              <w:left w:val="nil"/>
              <w:bottom w:val="single" w:sz="8" w:space="0" w:color="808080"/>
              <w:right w:val="nil"/>
            </w:tcBorders>
            <w:noWrap/>
            <w:vAlign w:val="center"/>
            <w:hideMark/>
          </w:tcPr>
          <w:p w14:paraId="7204001A" w14:textId="77777777" w:rsidR="005A730B" w:rsidRDefault="005A730B">
            <w:pPr>
              <w:jc w:val="center"/>
              <w:rPr>
                <w:rFonts w:ascii="Arial" w:eastAsia="Times New Roman" w:hAnsi="Arial" w:cs="Arial"/>
                <w:b/>
                <w:bCs/>
                <w:color w:val="000000"/>
                <w:sz w:val="16"/>
                <w:szCs w:val="16"/>
                <w:lang w:val="es-CO" w:eastAsia="es-CO"/>
              </w:rPr>
            </w:pPr>
            <w:proofErr w:type="gramStart"/>
            <w:r>
              <w:rPr>
                <w:rFonts w:ascii="Arial" w:eastAsia="Times New Roman" w:hAnsi="Arial" w:cs="Arial"/>
                <w:b/>
                <w:bCs/>
                <w:color w:val="000000"/>
                <w:sz w:val="16"/>
                <w:szCs w:val="16"/>
                <w:lang w:val="es-CO" w:eastAsia="es-CO"/>
              </w:rPr>
              <w:t>Total</w:t>
            </w:r>
            <w:proofErr w:type="gramEnd"/>
            <w:r>
              <w:rPr>
                <w:rFonts w:ascii="Arial" w:eastAsia="Times New Roman" w:hAnsi="Arial" w:cs="Arial"/>
                <w:b/>
                <w:bCs/>
                <w:color w:val="000000"/>
                <w:sz w:val="16"/>
                <w:szCs w:val="16"/>
                <w:lang w:val="es-CO" w:eastAsia="es-CO"/>
              </w:rPr>
              <w:t xml:space="preserve"> Ingresos FLS </w:t>
            </w:r>
          </w:p>
        </w:tc>
        <w:tc>
          <w:tcPr>
            <w:tcW w:w="424" w:type="pct"/>
            <w:gridSpan w:val="2"/>
            <w:tcBorders>
              <w:top w:val="single" w:sz="8" w:space="0" w:color="808080"/>
              <w:left w:val="nil"/>
              <w:bottom w:val="single" w:sz="8" w:space="0" w:color="808080"/>
              <w:right w:val="nil"/>
            </w:tcBorders>
            <w:noWrap/>
            <w:vAlign w:val="center"/>
            <w:hideMark/>
          </w:tcPr>
          <w:p w14:paraId="1E84D458" w14:textId="77777777" w:rsidR="005A730B" w:rsidRDefault="005A730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$38.149</w:t>
            </w:r>
          </w:p>
        </w:tc>
        <w:tc>
          <w:tcPr>
            <w:tcW w:w="551" w:type="pct"/>
            <w:gridSpan w:val="3"/>
            <w:tcBorders>
              <w:top w:val="single" w:sz="8" w:space="0" w:color="808080"/>
              <w:left w:val="nil"/>
              <w:bottom w:val="single" w:sz="8" w:space="0" w:color="808080"/>
              <w:right w:val="nil"/>
            </w:tcBorders>
            <w:noWrap/>
            <w:vAlign w:val="center"/>
            <w:hideMark/>
          </w:tcPr>
          <w:p w14:paraId="68D2F7ED" w14:textId="77777777" w:rsidR="005A730B" w:rsidRDefault="005A730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$37.063,00</w:t>
            </w:r>
          </w:p>
        </w:tc>
        <w:tc>
          <w:tcPr>
            <w:tcW w:w="477" w:type="pct"/>
            <w:gridSpan w:val="2"/>
            <w:tcBorders>
              <w:top w:val="single" w:sz="8" w:space="0" w:color="808080"/>
              <w:left w:val="nil"/>
              <w:bottom w:val="single" w:sz="8" w:space="0" w:color="808080"/>
              <w:right w:val="nil"/>
            </w:tcBorders>
            <w:noWrap/>
            <w:vAlign w:val="center"/>
            <w:hideMark/>
          </w:tcPr>
          <w:p w14:paraId="007E35A3" w14:textId="77777777" w:rsidR="005A730B" w:rsidRDefault="005A730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$52.028</w:t>
            </w:r>
          </w:p>
        </w:tc>
        <w:tc>
          <w:tcPr>
            <w:tcW w:w="425" w:type="pct"/>
            <w:gridSpan w:val="2"/>
            <w:tcBorders>
              <w:top w:val="single" w:sz="8" w:space="0" w:color="808080"/>
              <w:left w:val="nil"/>
              <w:bottom w:val="single" w:sz="8" w:space="0" w:color="808080"/>
              <w:right w:val="nil"/>
            </w:tcBorders>
            <w:noWrap/>
            <w:vAlign w:val="center"/>
            <w:hideMark/>
          </w:tcPr>
          <w:p w14:paraId="04DC6F55" w14:textId="77777777" w:rsidR="005A730B" w:rsidRDefault="005A730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$60.253</w:t>
            </w:r>
          </w:p>
        </w:tc>
        <w:tc>
          <w:tcPr>
            <w:tcW w:w="447" w:type="pct"/>
            <w:tcBorders>
              <w:top w:val="single" w:sz="8" w:space="0" w:color="808080"/>
              <w:left w:val="nil"/>
              <w:bottom w:val="single" w:sz="8" w:space="0" w:color="808080"/>
              <w:right w:val="nil"/>
            </w:tcBorders>
            <w:noWrap/>
            <w:vAlign w:val="center"/>
            <w:hideMark/>
          </w:tcPr>
          <w:p w14:paraId="17A7BD70" w14:textId="77777777" w:rsidR="005A730B" w:rsidRDefault="005A730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$51.475</w:t>
            </w:r>
          </w:p>
        </w:tc>
        <w:tc>
          <w:tcPr>
            <w:tcW w:w="425" w:type="pct"/>
            <w:gridSpan w:val="2"/>
            <w:tcBorders>
              <w:top w:val="single" w:sz="8" w:space="0" w:color="808080"/>
              <w:left w:val="nil"/>
              <w:bottom w:val="single" w:sz="8" w:space="0" w:color="808080"/>
              <w:right w:val="nil"/>
            </w:tcBorders>
            <w:noWrap/>
            <w:vAlign w:val="center"/>
            <w:hideMark/>
          </w:tcPr>
          <w:p w14:paraId="191B4172" w14:textId="77777777" w:rsidR="005A730B" w:rsidRDefault="005A730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$63.126</w:t>
            </w:r>
          </w:p>
        </w:tc>
        <w:tc>
          <w:tcPr>
            <w:tcW w:w="336" w:type="pct"/>
            <w:tcBorders>
              <w:top w:val="single" w:sz="8" w:space="0" w:color="808080"/>
              <w:left w:val="nil"/>
              <w:bottom w:val="single" w:sz="8" w:space="0" w:color="808080"/>
              <w:right w:val="nil"/>
            </w:tcBorders>
            <w:noWrap/>
            <w:vAlign w:val="center"/>
            <w:hideMark/>
          </w:tcPr>
          <w:p w14:paraId="45AA7F1F"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eastAsia="es-CO"/>
              </w:rPr>
              <w:t>99</w:t>
            </w:r>
            <w:r w:rsidR="00A57834">
              <w:rPr>
                <w:rFonts w:ascii="Arial" w:eastAsia="Times New Roman" w:hAnsi="Arial" w:cs="Arial"/>
                <w:b/>
                <w:bCs/>
                <w:color w:val="000000"/>
                <w:sz w:val="16"/>
                <w:szCs w:val="16"/>
                <w:lang w:eastAsia="es-CO"/>
              </w:rPr>
              <w:t>%</w:t>
            </w:r>
          </w:p>
        </w:tc>
        <w:tc>
          <w:tcPr>
            <w:tcW w:w="336" w:type="pct"/>
            <w:gridSpan w:val="2"/>
            <w:tcBorders>
              <w:top w:val="nil"/>
              <w:left w:val="nil"/>
              <w:bottom w:val="single" w:sz="8" w:space="0" w:color="808080"/>
              <w:right w:val="nil"/>
            </w:tcBorders>
            <w:noWrap/>
            <w:vAlign w:val="center"/>
            <w:hideMark/>
          </w:tcPr>
          <w:p w14:paraId="38DBA9F3" w14:textId="77777777" w:rsidR="005A730B" w:rsidRDefault="005A730B">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105</w:t>
            </w:r>
            <w:r w:rsidR="00A57834">
              <w:rPr>
                <w:rFonts w:ascii="Arial" w:eastAsia="Times New Roman" w:hAnsi="Arial" w:cs="Arial"/>
                <w:b/>
                <w:bCs/>
                <w:color w:val="000000"/>
                <w:sz w:val="16"/>
                <w:szCs w:val="16"/>
                <w:lang w:val="es-CO" w:eastAsia="es-CO"/>
              </w:rPr>
              <w:t>%</w:t>
            </w:r>
          </w:p>
        </w:tc>
      </w:tr>
      <w:tr w:rsidR="005A730B" w14:paraId="319521D2" w14:textId="77777777" w:rsidTr="005A730B">
        <w:trPr>
          <w:gridAfter w:val="1"/>
          <w:wAfter w:w="36" w:type="pct"/>
          <w:trHeight w:val="283"/>
        </w:trPr>
        <w:tc>
          <w:tcPr>
            <w:tcW w:w="4964" w:type="pct"/>
            <w:gridSpan w:val="18"/>
            <w:noWrap/>
            <w:vAlign w:val="center"/>
            <w:hideMark/>
          </w:tcPr>
          <w:p w14:paraId="33AA914E" w14:textId="77777777" w:rsidR="005A730B" w:rsidRDefault="005A730B">
            <w:pPr>
              <w:jc w:val="center"/>
              <w:rPr>
                <w:rFonts w:ascii="Arial" w:eastAsia="Times New Roman" w:hAnsi="Arial" w:cs="Arial"/>
                <w:sz w:val="16"/>
                <w:szCs w:val="16"/>
                <w:lang w:val="es-CO" w:eastAsia="es-CO"/>
              </w:rPr>
            </w:pPr>
            <w:r>
              <w:rPr>
                <w:rFonts w:ascii="Arial" w:eastAsia="Times New Roman" w:hAnsi="Arial" w:cs="Arial"/>
                <w:color w:val="000000"/>
                <w:sz w:val="16"/>
                <w:szCs w:val="16"/>
                <w:lang w:val="es-CO" w:eastAsia="es-CO"/>
              </w:rPr>
              <w:t>Fuente: FUT - 06 – 10 - 22</w:t>
            </w:r>
          </w:p>
        </w:tc>
      </w:tr>
    </w:tbl>
    <w:p w14:paraId="413F4FE1" w14:textId="77777777" w:rsidR="005A730B" w:rsidRDefault="005A730B" w:rsidP="005A730B">
      <w:pPr>
        <w:pStyle w:val="Prrafodelista"/>
        <w:numPr>
          <w:ilvl w:val="0"/>
          <w:numId w:val="37"/>
        </w:numPr>
        <w:jc w:val="both"/>
        <w:rPr>
          <w:rFonts w:ascii="Arial" w:hAnsi="Arial" w:cs="Arial"/>
          <w:b/>
          <w:sz w:val="16"/>
          <w:szCs w:val="16"/>
        </w:rPr>
      </w:pPr>
      <w:r>
        <w:rPr>
          <w:rFonts w:ascii="Arial" w:hAnsi="Arial" w:cs="Arial"/>
          <w:b/>
          <w:sz w:val="16"/>
          <w:szCs w:val="16"/>
        </w:rPr>
        <w:t>Incluye la última doceava de 2019 del SGP Prestación de Servicios (para la vigencia2020) y lo correspondiente al SGP Subsidio a la oferta 2020 y 2021.</w:t>
      </w:r>
    </w:p>
    <w:p w14:paraId="34E8355E" w14:textId="77777777" w:rsidR="005A730B" w:rsidRDefault="005A730B" w:rsidP="005A730B">
      <w:pPr>
        <w:pStyle w:val="Prrafodelista"/>
        <w:jc w:val="both"/>
        <w:rPr>
          <w:rFonts w:ascii="Arial" w:hAnsi="Arial" w:cs="Arial"/>
          <w:b/>
          <w:sz w:val="16"/>
          <w:szCs w:val="16"/>
        </w:rPr>
      </w:pPr>
    </w:p>
    <w:p w14:paraId="4B542DB1" w14:textId="77777777" w:rsidR="005A730B" w:rsidRDefault="005A730B" w:rsidP="005A730B">
      <w:pPr>
        <w:pStyle w:val="Prrafodelista"/>
        <w:numPr>
          <w:ilvl w:val="0"/>
          <w:numId w:val="20"/>
        </w:numPr>
        <w:jc w:val="both"/>
        <w:rPr>
          <w:rFonts w:ascii="Arial" w:hAnsi="Arial" w:cs="Arial"/>
          <w:b/>
          <w:sz w:val="21"/>
          <w:szCs w:val="21"/>
        </w:rPr>
      </w:pPr>
      <w:r>
        <w:rPr>
          <w:rFonts w:ascii="Arial" w:hAnsi="Arial" w:cs="Arial"/>
          <w:b/>
          <w:sz w:val="21"/>
          <w:szCs w:val="21"/>
        </w:rPr>
        <w:t>Vigencia 2020.</w:t>
      </w:r>
    </w:p>
    <w:p w14:paraId="7769B145" w14:textId="77777777" w:rsidR="005A730B" w:rsidRDefault="005A730B" w:rsidP="005A730B">
      <w:pPr>
        <w:jc w:val="both"/>
        <w:rPr>
          <w:rFonts w:ascii="Arial" w:hAnsi="Arial" w:cs="Arial"/>
          <w:sz w:val="21"/>
          <w:szCs w:val="21"/>
        </w:rPr>
      </w:pPr>
    </w:p>
    <w:p w14:paraId="2CC29955" w14:textId="77777777" w:rsidR="005A730B" w:rsidRDefault="005A730B" w:rsidP="005A730B">
      <w:pPr>
        <w:jc w:val="both"/>
        <w:rPr>
          <w:rFonts w:ascii="Arial" w:hAnsi="Arial" w:cs="Arial"/>
          <w:sz w:val="21"/>
          <w:szCs w:val="21"/>
        </w:rPr>
      </w:pPr>
      <w:r>
        <w:rPr>
          <w:rFonts w:ascii="Arial" w:hAnsi="Arial" w:cs="Arial"/>
          <w:sz w:val="21"/>
          <w:szCs w:val="21"/>
        </w:rPr>
        <w:t>De acuerdo con la ejecución presupuestal de ingresos reportada por la Entidad en el FUT, al cierre de la vigencia 2020 se presupuestaron ingresos totales en el Sector Salud por $52.028 millones, reportando un recaudo por $51.475 millones para financiar los componentes de Régimen Subsidiado, Prestación de Servicios, Salud Pública y Otros Gastos en Salud, mostrando un porcentaje de ejecución de 73</w:t>
      </w:r>
      <w:r w:rsidR="00A57834">
        <w:rPr>
          <w:rFonts w:ascii="Arial" w:hAnsi="Arial" w:cs="Arial"/>
          <w:sz w:val="21"/>
          <w:szCs w:val="21"/>
        </w:rPr>
        <w:t>%</w:t>
      </w:r>
      <w:r>
        <w:rPr>
          <w:rFonts w:ascii="Arial" w:hAnsi="Arial" w:cs="Arial"/>
          <w:sz w:val="21"/>
          <w:szCs w:val="21"/>
        </w:rPr>
        <w:t>. Respecto al total recaudado, el 75</w:t>
      </w:r>
      <w:r w:rsidR="00A57834">
        <w:rPr>
          <w:rFonts w:ascii="Arial" w:hAnsi="Arial" w:cs="Arial"/>
          <w:sz w:val="21"/>
          <w:szCs w:val="21"/>
        </w:rPr>
        <w:t>%</w:t>
      </w:r>
      <w:r>
        <w:rPr>
          <w:rFonts w:ascii="Arial" w:hAnsi="Arial" w:cs="Arial"/>
          <w:sz w:val="21"/>
          <w:szCs w:val="21"/>
        </w:rPr>
        <w:t xml:space="preserve"> correspondió a ingresos corrientes y el 25</w:t>
      </w:r>
      <w:r w:rsidR="00A57834">
        <w:rPr>
          <w:rFonts w:ascii="Arial" w:hAnsi="Arial" w:cs="Arial"/>
          <w:sz w:val="21"/>
          <w:szCs w:val="21"/>
        </w:rPr>
        <w:t>%</w:t>
      </w:r>
      <w:r>
        <w:rPr>
          <w:rFonts w:ascii="Arial" w:hAnsi="Arial" w:cs="Arial"/>
          <w:sz w:val="21"/>
          <w:szCs w:val="21"/>
        </w:rPr>
        <w:t xml:space="preserve"> ($12.878 millones) a recursos de capital.</w:t>
      </w:r>
    </w:p>
    <w:p w14:paraId="40810FB2" w14:textId="77777777" w:rsidR="005A730B" w:rsidRDefault="005A730B" w:rsidP="005A730B">
      <w:pPr>
        <w:jc w:val="both"/>
        <w:rPr>
          <w:rFonts w:ascii="Arial" w:hAnsi="Arial" w:cs="Arial"/>
          <w:sz w:val="21"/>
          <w:szCs w:val="21"/>
        </w:rPr>
      </w:pPr>
    </w:p>
    <w:p w14:paraId="3243F3E2" w14:textId="77777777" w:rsidR="005A730B" w:rsidRDefault="005A730B" w:rsidP="005A730B">
      <w:pPr>
        <w:jc w:val="both"/>
        <w:rPr>
          <w:rFonts w:ascii="Arial" w:hAnsi="Arial" w:cs="Arial"/>
          <w:sz w:val="21"/>
          <w:szCs w:val="21"/>
        </w:rPr>
      </w:pPr>
      <w:r>
        <w:rPr>
          <w:rFonts w:ascii="Arial" w:hAnsi="Arial" w:cs="Arial"/>
          <w:sz w:val="21"/>
          <w:szCs w:val="21"/>
        </w:rPr>
        <w:t>Del total de ingresos corrientes recaudados ($38.597 millones), los ingresos tributarios tuvieron una participación de 25</w:t>
      </w:r>
      <w:r w:rsidR="00A57834">
        <w:rPr>
          <w:rFonts w:ascii="Arial" w:hAnsi="Arial" w:cs="Arial"/>
          <w:sz w:val="21"/>
          <w:szCs w:val="21"/>
        </w:rPr>
        <w:t>%</w:t>
      </w:r>
      <w:r>
        <w:rPr>
          <w:rFonts w:ascii="Arial" w:hAnsi="Arial" w:cs="Arial"/>
          <w:sz w:val="21"/>
          <w:szCs w:val="21"/>
        </w:rPr>
        <w:t xml:space="preserve"> ($9.800 millones) y los no tributarios una participación de 75</w:t>
      </w:r>
      <w:r w:rsidR="00A57834">
        <w:rPr>
          <w:rFonts w:ascii="Arial" w:hAnsi="Arial" w:cs="Arial"/>
          <w:sz w:val="21"/>
          <w:szCs w:val="21"/>
        </w:rPr>
        <w:t>%</w:t>
      </w:r>
      <w:r>
        <w:rPr>
          <w:rFonts w:ascii="Arial" w:hAnsi="Arial" w:cs="Arial"/>
          <w:sz w:val="21"/>
          <w:szCs w:val="21"/>
        </w:rPr>
        <w:t xml:space="preserve"> restante ($28.796 millones); respecto a estos últimos, las transferencias para inversión del nivel nacional tuvieron una participación de 74</w:t>
      </w:r>
      <w:r w:rsidR="00A57834">
        <w:rPr>
          <w:rFonts w:ascii="Arial" w:hAnsi="Arial" w:cs="Arial"/>
          <w:sz w:val="21"/>
          <w:szCs w:val="21"/>
        </w:rPr>
        <w:t>%</w:t>
      </w:r>
      <w:r>
        <w:rPr>
          <w:rFonts w:ascii="Arial" w:hAnsi="Arial" w:cs="Arial"/>
          <w:sz w:val="21"/>
          <w:szCs w:val="21"/>
        </w:rPr>
        <w:t xml:space="preserve"> ($21.198 millones), los recursos de tasas y derechos 1</w:t>
      </w:r>
      <w:r w:rsidR="00A57834">
        <w:rPr>
          <w:rFonts w:ascii="Arial" w:hAnsi="Arial" w:cs="Arial"/>
          <w:sz w:val="21"/>
          <w:szCs w:val="21"/>
        </w:rPr>
        <w:t>%</w:t>
      </w:r>
      <w:r>
        <w:rPr>
          <w:rFonts w:ascii="Arial" w:hAnsi="Arial" w:cs="Arial"/>
          <w:sz w:val="21"/>
          <w:szCs w:val="21"/>
        </w:rPr>
        <w:t xml:space="preserve"> ($374 millones) y otros ingresos no tributarios 17</w:t>
      </w:r>
      <w:r w:rsidR="00A57834">
        <w:rPr>
          <w:rFonts w:ascii="Arial" w:hAnsi="Arial" w:cs="Arial"/>
          <w:sz w:val="21"/>
          <w:szCs w:val="21"/>
        </w:rPr>
        <w:t>%</w:t>
      </w:r>
      <w:r>
        <w:rPr>
          <w:rFonts w:ascii="Arial" w:hAnsi="Arial" w:cs="Arial"/>
          <w:sz w:val="21"/>
          <w:szCs w:val="21"/>
        </w:rPr>
        <w:t xml:space="preserve"> ($4.769 millones) y por último las otras </w:t>
      </w:r>
      <w:r>
        <w:rPr>
          <w:rFonts w:ascii="Arial" w:hAnsi="Arial" w:cs="Arial"/>
          <w:sz w:val="21"/>
          <w:szCs w:val="21"/>
        </w:rPr>
        <w:lastRenderedPageBreak/>
        <w:t>transferencias de la Nación el 8</w:t>
      </w:r>
      <w:r w:rsidR="00A57834">
        <w:rPr>
          <w:rFonts w:ascii="Arial" w:hAnsi="Arial" w:cs="Arial"/>
          <w:sz w:val="21"/>
          <w:szCs w:val="21"/>
        </w:rPr>
        <w:t>%</w:t>
      </w:r>
      <w:r>
        <w:rPr>
          <w:rFonts w:ascii="Arial" w:hAnsi="Arial" w:cs="Arial"/>
          <w:sz w:val="21"/>
          <w:szCs w:val="21"/>
        </w:rPr>
        <w:t>; en cuanto a las transferencias, estas correspondieron al Sistema General de Participaciones en 88</w:t>
      </w:r>
      <w:r w:rsidR="00A57834">
        <w:rPr>
          <w:rFonts w:ascii="Arial" w:hAnsi="Arial" w:cs="Arial"/>
          <w:sz w:val="21"/>
          <w:szCs w:val="21"/>
        </w:rPr>
        <w:t>%</w:t>
      </w:r>
      <w:r>
        <w:rPr>
          <w:rFonts w:ascii="Arial" w:hAnsi="Arial" w:cs="Arial"/>
          <w:sz w:val="21"/>
          <w:szCs w:val="21"/>
        </w:rPr>
        <w:t xml:space="preserve"> ($21.198 millones) y otras transferencias del nivel nacional para Inversión - Salud en 12</w:t>
      </w:r>
      <w:r w:rsidR="00A57834">
        <w:rPr>
          <w:rFonts w:ascii="Arial" w:hAnsi="Arial" w:cs="Arial"/>
          <w:sz w:val="21"/>
          <w:szCs w:val="21"/>
        </w:rPr>
        <w:t>%</w:t>
      </w:r>
      <w:r>
        <w:rPr>
          <w:rFonts w:ascii="Arial" w:hAnsi="Arial" w:cs="Arial"/>
          <w:sz w:val="21"/>
          <w:szCs w:val="21"/>
        </w:rPr>
        <w:t xml:space="preserve"> ($2.829 millones). En el caso del Sistema General de Participaciones, 49</w:t>
      </w:r>
      <w:r w:rsidR="00A57834">
        <w:rPr>
          <w:rFonts w:ascii="Arial" w:hAnsi="Arial" w:cs="Arial"/>
          <w:sz w:val="21"/>
          <w:szCs w:val="21"/>
        </w:rPr>
        <w:t>%</w:t>
      </w:r>
      <w:r>
        <w:rPr>
          <w:rFonts w:ascii="Arial" w:hAnsi="Arial" w:cs="Arial"/>
          <w:sz w:val="21"/>
          <w:szCs w:val="21"/>
        </w:rPr>
        <w:t xml:space="preserve"> ($10.453 millones) correspondió a Salud Pública, 51</w:t>
      </w:r>
      <w:r w:rsidR="00A57834">
        <w:rPr>
          <w:rFonts w:ascii="Arial" w:hAnsi="Arial" w:cs="Arial"/>
          <w:sz w:val="21"/>
          <w:szCs w:val="21"/>
        </w:rPr>
        <w:t>%</w:t>
      </w:r>
      <w:r>
        <w:rPr>
          <w:rFonts w:ascii="Arial" w:hAnsi="Arial" w:cs="Arial"/>
          <w:sz w:val="21"/>
          <w:szCs w:val="21"/>
        </w:rPr>
        <w:t xml:space="preserve"> ($10.744 millones) a Prestación de Servicios.</w:t>
      </w:r>
    </w:p>
    <w:p w14:paraId="73F0053B" w14:textId="77777777" w:rsidR="005A730B" w:rsidRDefault="005A730B" w:rsidP="005A730B">
      <w:pPr>
        <w:jc w:val="both"/>
        <w:rPr>
          <w:rFonts w:ascii="Arial" w:hAnsi="Arial" w:cs="Arial"/>
          <w:sz w:val="21"/>
          <w:szCs w:val="21"/>
        </w:rPr>
      </w:pPr>
    </w:p>
    <w:p w14:paraId="5A05AA5C" w14:textId="77777777" w:rsidR="005A730B" w:rsidRDefault="005A730B" w:rsidP="005A730B">
      <w:pPr>
        <w:pStyle w:val="Prrafodelista"/>
        <w:numPr>
          <w:ilvl w:val="0"/>
          <w:numId w:val="20"/>
        </w:numPr>
        <w:jc w:val="both"/>
        <w:rPr>
          <w:rFonts w:ascii="Arial" w:hAnsi="Arial" w:cs="Arial"/>
          <w:b/>
          <w:sz w:val="21"/>
          <w:szCs w:val="21"/>
        </w:rPr>
      </w:pPr>
      <w:r>
        <w:rPr>
          <w:rFonts w:ascii="Arial" w:hAnsi="Arial" w:cs="Arial"/>
          <w:b/>
          <w:sz w:val="21"/>
          <w:szCs w:val="21"/>
        </w:rPr>
        <w:t>Vigencia 2021.</w:t>
      </w:r>
    </w:p>
    <w:p w14:paraId="26656410" w14:textId="77777777" w:rsidR="005A730B" w:rsidRDefault="005A730B" w:rsidP="005A730B">
      <w:pPr>
        <w:pStyle w:val="Prrafodelista"/>
        <w:jc w:val="both"/>
        <w:rPr>
          <w:rFonts w:ascii="Arial" w:hAnsi="Arial" w:cs="Arial"/>
          <w:b/>
          <w:sz w:val="21"/>
          <w:szCs w:val="21"/>
        </w:rPr>
      </w:pPr>
    </w:p>
    <w:p w14:paraId="1ABC8F15" w14:textId="77777777" w:rsidR="005A730B" w:rsidRDefault="005A730B" w:rsidP="005A730B">
      <w:pPr>
        <w:jc w:val="both"/>
        <w:rPr>
          <w:rFonts w:ascii="Arial" w:hAnsi="Arial" w:cs="Arial"/>
          <w:sz w:val="21"/>
          <w:szCs w:val="21"/>
        </w:rPr>
      </w:pPr>
      <w:r>
        <w:rPr>
          <w:rFonts w:ascii="Arial" w:hAnsi="Arial" w:cs="Arial"/>
          <w:sz w:val="21"/>
          <w:szCs w:val="21"/>
        </w:rPr>
        <w:t>De conformidad con la ejecución presupuestal de ingresos reportada por la Entidad en el FUT, al cierre de la vigencia 2021, mostró un presupuesto de ingresos totales en el Sector Salud por $60.253 millones, reportando un recaudo por $63.126 millones para financiar los componentes de Régimen Subsidiado, Prestación de Servicios, Salud Pública y Otros Gastos en Salud, con ejecución de 105</w:t>
      </w:r>
      <w:r w:rsidR="00A57834">
        <w:rPr>
          <w:rFonts w:ascii="Arial" w:hAnsi="Arial" w:cs="Arial"/>
          <w:sz w:val="21"/>
          <w:szCs w:val="21"/>
        </w:rPr>
        <w:t>%</w:t>
      </w:r>
      <w:r>
        <w:rPr>
          <w:rFonts w:ascii="Arial" w:hAnsi="Arial" w:cs="Arial"/>
          <w:sz w:val="21"/>
          <w:szCs w:val="21"/>
        </w:rPr>
        <w:t>. Respecto al total recaudado, el 79</w:t>
      </w:r>
      <w:r w:rsidR="00A57834">
        <w:rPr>
          <w:rFonts w:ascii="Arial" w:hAnsi="Arial" w:cs="Arial"/>
          <w:sz w:val="21"/>
          <w:szCs w:val="21"/>
        </w:rPr>
        <w:t>%</w:t>
      </w:r>
      <w:r>
        <w:rPr>
          <w:rFonts w:ascii="Arial" w:hAnsi="Arial" w:cs="Arial"/>
          <w:sz w:val="21"/>
          <w:szCs w:val="21"/>
        </w:rPr>
        <w:t xml:space="preserve"> correspondió a ingresos corrientes y 21</w:t>
      </w:r>
      <w:r w:rsidR="00A57834">
        <w:rPr>
          <w:rFonts w:ascii="Arial" w:hAnsi="Arial" w:cs="Arial"/>
          <w:sz w:val="21"/>
          <w:szCs w:val="21"/>
        </w:rPr>
        <w:t>%</w:t>
      </w:r>
      <w:r>
        <w:rPr>
          <w:rFonts w:ascii="Arial" w:hAnsi="Arial" w:cs="Arial"/>
          <w:sz w:val="21"/>
          <w:szCs w:val="21"/>
        </w:rPr>
        <w:t xml:space="preserve"> ($13.144 millones) a recursos de capital.</w:t>
      </w:r>
    </w:p>
    <w:p w14:paraId="4EC9E73A" w14:textId="77777777" w:rsidR="005A730B" w:rsidRDefault="005A730B" w:rsidP="005A730B">
      <w:pPr>
        <w:jc w:val="both"/>
        <w:rPr>
          <w:rFonts w:ascii="Arial" w:hAnsi="Arial" w:cs="Arial"/>
          <w:sz w:val="21"/>
          <w:szCs w:val="21"/>
        </w:rPr>
      </w:pPr>
    </w:p>
    <w:p w14:paraId="32B88AAA" w14:textId="77777777" w:rsidR="005A730B" w:rsidRDefault="005A730B" w:rsidP="005A730B">
      <w:pPr>
        <w:jc w:val="both"/>
        <w:rPr>
          <w:rFonts w:ascii="Arial" w:hAnsi="Arial" w:cs="Arial"/>
          <w:i/>
          <w:sz w:val="21"/>
          <w:szCs w:val="21"/>
        </w:rPr>
      </w:pPr>
      <w:r>
        <w:rPr>
          <w:rFonts w:ascii="Arial" w:hAnsi="Arial" w:cs="Arial"/>
          <w:sz w:val="21"/>
          <w:szCs w:val="21"/>
        </w:rPr>
        <w:t>Del total de ingresos corrientes recaudados ($49.982 millones), los ingresos tributarios tuvieron una participación de 24</w:t>
      </w:r>
      <w:r w:rsidR="00A57834">
        <w:rPr>
          <w:rFonts w:ascii="Arial" w:hAnsi="Arial" w:cs="Arial"/>
          <w:sz w:val="21"/>
          <w:szCs w:val="21"/>
        </w:rPr>
        <w:t>%</w:t>
      </w:r>
      <w:r>
        <w:rPr>
          <w:rFonts w:ascii="Arial" w:hAnsi="Arial" w:cs="Arial"/>
          <w:sz w:val="21"/>
          <w:szCs w:val="21"/>
        </w:rPr>
        <w:t xml:space="preserve"> ($11.977 millones) y los no tributarios una participación de 76</w:t>
      </w:r>
      <w:r w:rsidR="00A57834">
        <w:rPr>
          <w:rFonts w:ascii="Arial" w:hAnsi="Arial" w:cs="Arial"/>
          <w:sz w:val="21"/>
          <w:szCs w:val="21"/>
        </w:rPr>
        <w:t>%</w:t>
      </w:r>
      <w:r>
        <w:rPr>
          <w:rFonts w:ascii="Arial" w:hAnsi="Arial" w:cs="Arial"/>
          <w:sz w:val="21"/>
          <w:szCs w:val="21"/>
        </w:rPr>
        <w:t xml:space="preserve"> restante ($38.005 millones); respecto a estos últimos, las transferencias para inversión del nivel nacional tuvieron una participación de 54</w:t>
      </w:r>
      <w:r w:rsidR="00A57834">
        <w:rPr>
          <w:rFonts w:ascii="Arial" w:hAnsi="Arial" w:cs="Arial"/>
          <w:sz w:val="21"/>
          <w:szCs w:val="21"/>
        </w:rPr>
        <w:t>%</w:t>
      </w:r>
      <w:r>
        <w:rPr>
          <w:rFonts w:ascii="Arial" w:hAnsi="Arial" w:cs="Arial"/>
          <w:sz w:val="21"/>
          <w:szCs w:val="21"/>
        </w:rPr>
        <w:t xml:space="preserve"> ($20.853 millones), las otras transferencias de la Nación el 22</w:t>
      </w:r>
      <w:r w:rsidR="00A57834">
        <w:rPr>
          <w:rFonts w:ascii="Arial" w:hAnsi="Arial" w:cs="Arial"/>
          <w:sz w:val="21"/>
          <w:szCs w:val="21"/>
        </w:rPr>
        <w:t>%</w:t>
      </w:r>
      <w:r>
        <w:rPr>
          <w:rFonts w:ascii="Arial" w:hAnsi="Arial" w:cs="Arial"/>
          <w:sz w:val="21"/>
          <w:szCs w:val="21"/>
        </w:rPr>
        <w:t xml:space="preserve"> ($8.839 millones) y los otros ingresos 24</w:t>
      </w:r>
      <w:r w:rsidR="00A57834">
        <w:rPr>
          <w:rFonts w:ascii="Arial" w:hAnsi="Arial" w:cs="Arial"/>
          <w:sz w:val="21"/>
          <w:szCs w:val="21"/>
        </w:rPr>
        <w:t>%</w:t>
      </w:r>
      <w:r>
        <w:rPr>
          <w:rFonts w:ascii="Arial" w:hAnsi="Arial" w:cs="Arial"/>
          <w:sz w:val="21"/>
          <w:szCs w:val="21"/>
        </w:rPr>
        <w:t xml:space="preserve"> ($8.763 millones). En el caso del Sistema General de Participaciones, 45</w:t>
      </w:r>
      <w:r w:rsidR="00A57834">
        <w:rPr>
          <w:rFonts w:ascii="Arial" w:hAnsi="Arial" w:cs="Arial"/>
          <w:sz w:val="21"/>
          <w:szCs w:val="21"/>
        </w:rPr>
        <w:t>%</w:t>
      </w:r>
      <w:r>
        <w:rPr>
          <w:rFonts w:ascii="Arial" w:hAnsi="Arial" w:cs="Arial"/>
          <w:sz w:val="21"/>
          <w:szCs w:val="21"/>
        </w:rPr>
        <w:t xml:space="preserve"> ($9.439 millones) correspondió a Salud Pública, 55</w:t>
      </w:r>
      <w:r w:rsidR="00A57834">
        <w:rPr>
          <w:rFonts w:ascii="Arial" w:hAnsi="Arial" w:cs="Arial"/>
          <w:sz w:val="21"/>
          <w:szCs w:val="21"/>
        </w:rPr>
        <w:t>%</w:t>
      </w:r>
      <w:r>
        <w:rPr>
          <w:rFonts w:ascii="Arial" w:hAnsi="Arial" w:cs="Arial"/>
          <w:sz w:val="21"/>
          <w:szCs w:val="21"/>
        </w:rPr>
        <w:t xml:space="preserve"> ($11.414 millones) a Prestación de Servicios.</w:t>
      </w:r>
    </w:p>
    <w:p w14:paraId="6CAC797E" w14:textId="77777777" w:rsidR="00CA179E" w:rsidRDefault="00CA179E" w:rsidP="005A730B">
      <w:pPr>
        <w:jc w:val="both"/>
        <w:rPr>
          <w:rFonts w:ascii="Arial" w:hAnsi="Arial" w:cs="Arial"/>
          <w:i/>
          <w:sz w:val="21"/>
          <w:szCs w:val="21"/>
        </w:rPr>
      </w:pPr>
    </w:p>
    <w:p w14:paraId="2FBDB988" w14:textId="77777777" w:rsidR="00CA179E" w:rsidRPr="00AA05F6" w:rsidRDefault="00CA179E" w:rsidP="005A730B">
      <w:pPr>
        <w:jc w:val="both"/>
        <w:rPr>
          <w:rFonts w:ascii="Arial" w:hAnsi="Arial" w:cs="Arial"/>
          <w:sz w:val="21"/>
          <w:szCs w:val="21"/>
        </w:rPr>
      </w:pPr>
      <w:r w:rsidRPr="00AA05F6">
        <w:rPr>
          <w:rFonts w:ascii="Arial" w:hAnsi="Arial" w:cs="Arial"/>
          <w:sz w:val="21"/>
          <w:szCs w:val="21"/>
        </w:rPr>
        <w:t>En cuanto a las otras transferencias de la nación, se presupuestaron recurso</w:t>
      </w:r>
      <w:r w:rsidR="004F404B">
        <w:rPr>
          <w:rFonts w:ascii="Arial" w:hAnsi="Arial" w:cs="Arial"/>
          <w:sz w:val="21"/>
          <w:szCs w:val="21"/>
        </w:rPr>
        <w:t>s</w:t>
      </w:r>
      <w:r w:rsidRPr="00AA05F6">
        <w:rPr>
          <w:rFonts w:ascii="Arial" w:hAnsi="Arial" w:cs="Arial"/>
          <w:sz w:val="21"/>
          <w:szCs w:val="21"/>
        </w:rPr>
        <w:t xml:space="preserve"> por $8.452 millones y se recaudaron $8.389 millones (99% de ejecución)</w:t>
      </w:r>
      <w:r w:rsidR="004F404B">
        <w:rPr>
          <w:rFonts w:ascii="Arial" w:hAnsi="Arial" w:cs="Arial"/>
          <w:sz w:val="21"/>
          <w:szCs w:val="21"/>
        </w:rPr>
        <w:t xml:space="preserve">.Respecto a </w:t>
      </w:r>
      <w:r w:rsidRPr="00AA05F6">
        <w:rPr>
          <w:rFonts w:ascii="Arial" w:hAnsi="Arial" w:cs="Arial"/>
          <w:sz w:val="21"/>
          <w:szCs w:val="21"/>
        </w:rPr>
        <w:t xml:space="preserve"> la vigencia 202</w:t>
      </w:r>
      <w:r w:rsidR="004F404B">
        <w:rPr>
          <w:rFonts w:ascii="Arial" w:hAnsi="Arial" w:cs="Arial"/>
          <w:sz w:val="21"/>
          <w:szCs w:val="21"/>
        </w:rPr>
        <w:t>1</w:t>
      </w:r>
      <w:r w:rsidRPr="00AA05F6">
        <w:rPr>
          <w:rFonts w:ascii="Arial" w:hAnsi="Arial" w:cs="Arial"/>
          <w:sz w:val="21"/>
          <w:szCs w:val="21"/>
        </w:rPr>
        <w:t>, se presentó un crecimiento que triplic</w:t>
      </w:r>
      <w:r w:rsidR="008D2DCD" w:rsidRPr="00AA05F6">
        <w:rPr>
          <w:rFonts w:ascii="Arial" w:hAnsi="Arial" w:cs="Arial"/>
          <w:sz w:val="21"/>
          <w:szCs w:val="21"/>
        </w:rPr>
        <w:t>ó</w:t>
      </w:r>
      <w:r w:rsidRPr="00AA05F6">
        <w:rPr>
          <w:rFonts w:ascii="Arial" w:hAnsi="Arial" w:cs="Arial"/>
          <w:sz w:val="21"/>
          <w:szCs w:val="21"/>
        </w:rPr>
        <w:t xml:space="preserve"> el valo</w:t>
      </w:r>
      <w:r w:rsidR="008D2DCD" w:rsidRPr="00AA05F6">
        <w:rPr>
          <w:rFonts w:ascii="Arial" w:hAnsi="Arial" w:cs="Arial"/>
          <w:sz w:val="21"/>
          <w:szCs w:val="21"/>
        </w:rPr>
        <w:t>r recaudado en 202</w:t>
      </w:r>
      <w:r w:rsidR="004F404B">
        <w:rPr>
          <w:rFonts w:ascii="Arial" w:hAnsi="Arial" w:cs="Arial"/>
          <w:sz w:val="21"/>
          <w:szCs w:val="21"/>
        </w:rPr>
        <w:t>0</w:t>
      </w:r>
      <w:r w:rsidR="008D2DCD" w:rsidRPr="00AA05F6">
        <w:rPr>
          <w:rFonts w:ascii="Arial" w:hAnsi="Arial" w:cs="Arial"/>
          <w:sz w:val="21"/>
          <w:szCs w:val="21"/>
        </w:rPr>
        <w:t>, situación explicada por los recursos distribuidos por el Ministerio de Salud y Protección Social mediante Resolución 1833 de 202, para el  Proyecto “Dotación Equipos biomédicos para el fortalecimiento de la prestación de servicios de salud de la Red Pública del Departamento de Caquetá” por valor de $3.500 millones, así como por los recursos entregados por la nación en el marco del acuerdo de ley de punto final por $1.082 millones</w:t>
      </w:r>
      <w:r w:rsidR="00AA05F6" w:rsidRPr="00AA05F6">
        <w:rPr>
          <w:rFonts w:ascii="Arial" w:hAnsi="Arial" w:cs="Arial"/>
          <w:sz w:val="21"/>
          <w:szCs w:val="21"/>
        </w:rPr>
        <w:t>, valores que se ajustan a los certificados por esta dirección.</w:t>
      </w:r>
    </w:p>
    <w:p w14:paraId="1C835978" w14:textId="77777777" w:rsidR="00AA05F6" w:rsidRPr="00AA05F6" w:rsidRDefault="00AA05F6" w:rsidP="005A730B">
      <w:pPr>
        <w:jc w:val="both"/>
        <w:rPr>
          <w:rFonts w:ascii="Arial" w:hAnsi="Arial" w:cs="Arial"/>
          <w:sz w:val="21"/>
          <w:szCs w:val="21"/>
        </w:rPr>
      </w:pPr>
    </w:p>
    <w:p w14:paraId="760C19DF" w14:textId="77777777" w:rsidR="00AA05F6" w:rsidRPr="00AA05F6" w:rsidRDefault="004F404B" w:rsidP="005A730B">
      <w:pPr>
        <w:jc w:val="both"/>
        <w:rPr>
          <w:rFonts w:ascii="Arial" w:hAnsi="Arial" w:cs="Arial"/>
          <w:sz w:val="21"/>
          <w:szCs w:val="21"/>
        </w:rPr>
      </w:pPr>
      <w:proofErr w:type="gramStart"/>
      <w:r>
        <w:rPr>
          <w:rFonts w:ascii="Arial" w:hAnsi="Arial" w:cs="Arial"/>
          <w:sz w:val="21"/>
          <w:szCs w:val="21"/>
        </w:rPr>
        <w:t>En relación a</w:t>
      </w:r>
      <w:proofErr w:type="gramEnd"/>
      <w:r w:rsidR="00AA05F6" w:rsidRPr="00AA05F6">
        <w:rPr>
          <w:rFonts w:ascii="Arial" w:hAnsi="Arial" w:cs="Arial"/>
          <w:sz w:val="21"/>
          <w:szCs w:val="21"/>
        </w:rPr>
        <w:t xml:space="preserve"> los otros ingresos se recaudaron recursos por $8.763 millones, valor que duplica la cifra presentada en la vigencia anterior</w:t>
      </w:r>
      <w:r>
        <w:rPr>
          <w:rFonts w:ascii="Arial" w:hAnsi="Arial" w:cs="Arial"/>
          <w:sz w:val="21"/>
          <w:szCs w:val="21"/>
        </w:rPr>
        <w:t xml:space="preserve"> (2020)</w:t>
      </w:r>
      <w:r w:rsidR="00AA05F6" w:rsidRPr="00AA05F6">
        <w:rPr>
          <w:rFonts w:ascii="Arial" w:hAnsi="Arial" w:cs="Arial"/>
          <w:sz w:val="21"/>
          <w:szCs w:val="21"/>
        </w:rPr>
        <w:t>, situación que se dio por el mayor recaudo en la Participación y derechos de explotación por el ejercicio del monopolio de licores y alcoholes potables – Salud.</w:t>
      </w:r>
    </w:p>
    <w:p w14:paraId="49497294" w14:textId="77777777" w:rsidR="00CA179E" w:rsidRDefault="00CA179E" w:rsidP="005A730B">
      <w:pPr>
        <w:jc w:val="both"/>
        <w:rPr>
          <w:rFonts w:ascii="Arial" w:hAnsi="Arial" w:cs="Arial"/>
          <w:i/>
          <w:sz w:val="21"/>
          <w:szCs w:val="21"/>
        </w:rPr>
      </w:pPr>
    </w:p>
    <w:p w14:paraId="21BD6744" w14:textId="77777777" w:rsidR="005A730B" w:rsidRDefault="005A730B" w:rsidP="005A730B">
      <w:pPr>
        <w:jc w:val="both"/>
        <w:rPr>
          <w:rFonts w:ascii="Arial" w:hAnsi="Arial" w:cs="Arial"/>
          <w:sz w:val="21"/>
          <w:szCs w:val="21"/>
        </w:rPr>
      </w:pPr>
      <w:r>
        <w:rPr>
          <w:rFonts w:ascii="Arial" w:hAnsi="Arial" w:cs="Arial"/>
          <w:sz w:val="21"/>
          <w:szCs w:val="21"/>
        </w:rPr>
        <w:t>Del total de recursos de capital ($13.086 millones) el 65</w:t>
      </w:r>
      <w:r w:rsidR="00A57834">
        <w:rPr>
          <w:rFonts w:ascii="Arial" w:hAnsi="Arial" w:cs="Arial"/>
          <w:sz w:val="21"/>
          <w:szCs w:val="21"/>
        </w:rPr>
        <w:t>%</w:t>
      </w:r>
      <w:r>
        <w:rPr>
          <w:rFonts w:ascii="Arial" w:hAnsi="Arial" w:cs="Arial"/>
          <w:sz w:val="21"/>
          <w:szCs w:val="21"/>
        </w:rPr>
        <w:t xml:space="preserve"> ($8.415 millones) correspondió a recursos del balance de la vigencia anterior; el 31</w:t>
      </w:r>
      <w:r w:rsidR="00A57834">
        <w:rPr>
          <w:rFonts w:ascii="Arial" w:hAnsi="Arial" w:cs="Arial"/>
          <w:sz w:val="21"/>
          <w:szCs w:val="21"/>
        </w:rPr>
        <w:t>%</w:t>
      </w:r>
      <w:r>
        <w:rPr>
          <w:rFonts w:ascii="Arial" w:hAnsi="Arial" w:cs="Arial"/>
          <w:sz w:val="21"/>
          <w:szCs w:val="21"/>
        </w:rPr>
        <w:t xml:space="preserve"> ($4.108 millones) correspondió a recursos que financian las reservas presupuestales, el 4</w:t>
      </w:r>
      <w:r w:rsidR="00A57834">
        <w:rPr>
          <w:rFonts w:ascii="Arial" w:hAnsi="Arial" w:cs="Arial"/>
          <w:sz w:val="21"/>
          <w:szCs w:val="21"/>
        </w:rPr>
        <w:t>%</w:t>
      </w:r>
      <w:r>
        <w:rPr>
          <w:rFonts w:ascii="Arial" w:hAnsi="Arial" w:cs="Arial"/>
          <w:sz w:val="21"/>
          <w:szCs w:val="21"/>
        </w:rPr>
        <w:t xml:space="preserve"> restante a los rendimientos financieros.</w:t>
      </w:r>
    </w:p>
    <w:p w14:paraId="7A2F6AD3" w14:textId="77777777" w:rsidR="005A730B" w:rsidRDefault="005A730B" w:rsidP="005A730B">
      <w:pPr>
        <w:jc w:val="both"/>
        <w:rPr>
          <w:rFonts w:ascii="Arial" w:hAnsi="Arial" w:cs="Arial"/>
          <w:sz w:val="21"/>
          <w:szCs w:val="21"/>
        </w:rPr>
      </w:pPr>
    </w:p>
    <w:p w14:paraId="082219AA" w14:textId="77777777" w:rsidR="005A730B" w:rsidRDefault="005A730B" w:rsidP="005A730B">
      <w:pPr>
        <w:jc w:val="both"/>
        <w:rPr>
          <w:rFonts w:ascii="Arial" w:hAnsi="Arial" w:cs="Arial"/>
          <w:sz w:val="21"/>
          <w:szCs w:val="21"/>
        </w:rPr>
      </w:pPr>
      <w:r>
        <w:rPr>
          <w:rFonts w:ascii="Arial" w:hAnsi="Arial" w:cs="Arial"/>
          <w:sz w:val="21"/>
          <w:szCs w:val="21"/>
        </w:rPr>
        <w:t>Del análisis anterior se destaca la generación de recursos del balance de manera recurrente, pues sugiere debilidades en los procesos de planeación y ejecución de los recursos.</w:t>
      </w:r>
    </w:p>
    <w:p w14:paraId="1F3F4FB9" w14:textId="77777777" w:rsidR="005A730B" w:rsidRDefault="005A730B" w:rsidP="005A730B">
      <w:pPr>
        <w:jc w:val="both"/>
        <w:rPr>
          <w:rFonts w:ascii="Arial" w:hAnsi="Arial" w:cs="Arial"/>
          <w:sz w:val="21"/>
          <w:szCs w:val="21"/>
        </w:rPr>
      </w:pPr>
    </w:p>
    <w:p w14:paraId="5AE23230" w14:textId="77777777" w:rsidR="005A730B" w:rsidRDefault="005A730B" w:rsidP="005A730B">
      <w:pPr>
        <w:jc w:val="both"/>
        <w:rPr>
          <w:rFonts w:ascii="Arial" w:hAnsi="Arial" w:cs="Arial"/>
          <w:i/>
          <w:sz w:val="21"/>
          <w:szCs w:val="21"/>
        </w:rPr>
      </w:pPr>
      <w:r>
        <w:rPr>
          <w:rFonts w:ascii="Arial" w:hAnsi="Arial" w:cs="Arial"/>
          <w:sz w:val="21"/>
          <w:szCs w:val="21"/>
        </w:rPr>
        <w:t>Verificada la información reportada a través del Formulario Único Territorial – FUT frente a la información reportada en las ejecuciones presupuestales remitidas por la ET se identificaron inconsistencias en los valores reportados tanto en el presupuesto definitivo como en el recaudo así: a) presupuesto definitivo vigencia 2021 en el total de ingresos $56.145 millones, reportados por la Entidad en su ejecución, frente a $60.253 millones registrados en el FUT. Ahora frente a los recursos asignados en el CONPES para las vigencias 2020 y 2021 los valores presentan consistencia con los valores registrados tanto en el reporte de la Entidad como en el FUT.</w:t>
      </w:r>
      <w:r>
        <w:rPr>
          <w:rFonts w:ascii="Arial" w:hAnsi="Arial" w:cs="Arial"/>
          <w:i/>
          <w:sz w:val="21"/>
          <w:szCs w:val="21"/>
        </w:rPr>
        <w:t xml:space="preserve"> </w:t>
      </w:r>
      <w:r>
        <w:rPr>
          <w:rFonts w:ascii="Arial" w:hAnsi="Arial" w:cs="Arial"/>
          <w:sz w:val="21"/>
          <w:szCs w:val="21"/>
        </w:rPr>
        <w:t xml:space="preserve">De </w:t>
      </w:r>
      <w:r>
        <w:rPr>
          <w:rFonts w:ascii="Arial" w:hAnsi="Arial" w:cs="Arial"/>
          <w:sz w:val="21"/>
          <w:szCs w:val="21"/>
        </w:rPr>
        <w:lastRenderedPageBreak/>
        <w:t>igual forma, se identificaron que fueron apropiados la totalidad de los recursos que fueron transferidos por el SGP a cada componente</w:t>
      </w:r>
      <w:r>
        <w:rPr>
          <w:rFonts w:ascii="Arial" w:hAnsi="Arial" w:cs="Arial"/>
          <w:i/>
          <w:sz w:val="21"/>
          <w:szCs w:val="21"/>
        </w:rPr>
        <w:t>.</w:t>
      </w:r>
    </w:p>
    <w:p w14:paraId="32AC4E4E" w14:textId="77777777" w:rsidR="005A730B" w:rsidRDefault="005A730B" w:rsidP="005A730B">
      <w:pPr>
        <w:jc w:val="both"/>
        <w:rPr>
          <w:rFonts w:ascii="Arial" w:hAnsi="Arial" w:cs="Arial"/>
          <w:sz w:val="21"/>
          <w:szCs w:val="21"/>
        </w:rPr>
      </w:pPr>
    </w:p>
    <w:p w14:paraId="1744CB46" w14:textId="77777777" w:rsidR="005A730B" w:rsidRDefault="005A730B" w:rsidP="005A730B">
      <w:pPr>
        <w:pStyle w:val="Prrafodelista"/>
        <w:numPr>
          <w:ilvl w:val="2"/>
          <w:numId w:val="19"/>
        </w:numPr>
        <w:jc w:val="both"/>
        <w:rPr>
          <w:rFonts w:ascii="Arial" w:eastAsia="Times New Roman" w:hAnsi="Arial" w:cs="Arial"/>
          <w:b/>
          <w:sz w:val="21"/>
          <w:szCs w:val="21"/>
        </w:rPr>
      </w:pPr>
      <w:r>
        <w:rPr>
          <w:rFonts w:ascii="Arial" w:eastAsia="Times New Roman" w:hAnsi="Arial" w:cs="Arial"/>
          <w:b/>
          <w:sz w:val="21"/>
          <w:szCs w:val="21"/>
        </w:rPr>
        <w:t>Gastos.</w:t>
      </w:r>
    </w:p>
    <w:p w14:paraId="4536F41A" w14:textId="77777777" w:rsidR="005A730B" w:rsidRDefault="005A730B" w:rsidP="005A730B">
      <w:pPr>
        <w:jc w:val="both"/>
        <w:rPr>
          <w:rFonts w:ascii="Arial" w:hAnsi="Arial" w:cs="Arial"/>
          <w:sz w:val="21"/>
          <w:szCs w:val="21"/>
        </w:rPr>
      </w:pPr>
    </w:p>
    <w:p w14:paraId="683F61B5" w14:textId="77777777" w:rsidR="005A730B" w:rsidRDefault="005A730B" w:rsidP="005A730B">
      <w:pPr>
        <w:jc w:val="both"/>
        <w:rPr>
          <w:rFonts w:ascii="Arial" w:hAnsi="Arial" w:cs="Arial"/>
          <w:sz w:val="21"/>
          <w:szCs w:val="21"/>
        </w:rPr>
      </w:pPr>
      <w:r>
        <w:rPr>
          <w:rFonts w:ascii="Arial" w:hAnsi="Arial" w:cs="Arial"/>
          <w:sz w:val="21"/>
          <w:szCs w:val="21"/>
        </w:rPr>
        <w:t>En cuanto a la ejecución presupuestal de gastos del FLS presentada por la Entidad en el FUT al cierre 2020 y 2021, los resultados fueron los siguientes:</w:t>
      </w:r>
    </w:p>
    <w:p w14:paraId="62945BE8" w14:textId="77777777" w:rsidR="0054617E" w:rsidRDefault="0054617E" w:rsidP="0054617E">
      <w:pPr>
        <w:jc w:val="center"/>
        <w:rPr>
          <w:rFonts w:ascii="Arial" w:hAnsi="Arial" w:cs="Arial"/>
          <w:sz w:val="21"/>
          <w:szCs w:val="21"/>
        </w:rPr>
      </w:pPr>
    </w:p>
    <w:p w14:paraId="7096B67C" w14:textId="77777777" w:rsidR="005A730B" w:rsidRDefault="005A730B" w:rsidP="0054617E">
      <w:pPr>
        <w:jc w:val="center"/>
        <w:rPr>
          <w:rFonts w:ascii="Arial" w:hAnsi="Arial" w:cs="Arial"/>
          <w:b/>
          <w:bCs/>
          <w:sz w:val="20"/>
          <w:szCs w:val="20"/>
        </w:rPr>
      </w:pPr>
      <w:r>
        <w:rPr>
          <w:rFonts w:ascii="Arial" w:hAnsi="Arial" w:cs="Arial"/>
          <w:b/>
          <w:bCs/>
          <w:sz w:val="20"/>
          <w:szCs w:val="20"/>
        </w:rPr>
        <w:t>Tabla No. 6</w:t>
      </w:r>
    </w:p>
    <w:p w14:paraId="60E39FC4" w14:textId="77777777" w:rsidR="005A730B" w:rsidRDefault="005A730B" w:rsidP="005A730B">
      <w:pPr>
        <w:jc w:val="center"/>
        <w:rPr>
          <w:rFonts w:ascii="Arial" w:hAnsi="Arial" w:cs="Arial"/>
          <w:b/>
          <w:bCs/>
          <w:sz w:val="20"/>
          <w:szCs w:val="20"/>
        </w:rPr>
      </w:pPr>
      <w:r>
        <w:rPr>
          <w:rFonts w:ascii="Arial" w:hAnsi="Arial" w:cs="Arial"/>
          <w:b/>
          <w:bCs/>
          <w:sz w:val="20"/>
          <w:szCs w:val="20"/>
        </w:rPr>
        <w:t>Ejecución presupuestal FUT 2020 - 2021</w:t>
      </w:r>
    </w:p>
    <w:p w14:paraId="177511A0" w14:textId="77777777" w:rsidR="005A730B" w:rsidRDefault="005A730B" w:rsidP="005A730B">
      <w:pPr>
        <w:jc w:val="both"/>
        <w:rPr>
          <w:rFonts w:ascii="Arial" w:hAnsi="Arial" w:cs="Arial"/>
          <w:b/>
          <w:sz w:val="21"/>
          <w:szCs w:val="21"/>
        </w:rPr>
      </w:pPr>
      <w:r>
        <w:rPr>
          <w:rFonts w:ascii="Arial" w:hAnsi="Arial" w:cs="Arial"/>
          <w:noProof/>
          <w:sz w:val="21"/>
          <w:szCs w:val="21"/>
          <w:lang w:val="es-CO" w:eastAsia="es-CO"/>
        </w:rPr>
        <w:drawing>
          <wp:inline distT="0" distB="0" distL="0" distR="0" wp14:anchorId="002CC884" wp14:editId="51153350">
            <wp:extent cx="5610225" cy="1685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1685925"/>
                    </a:xfrm>
                    <a:prstGeom prst="rect">
                      <a:avLst/>
                    </a:prstGeom>
                    <a:noFill/>
                    <a:ln>
                      <a:noFill/>
                    </a:ln>
                  </pic:spPr>
                </pic:pic>
              </a:graphicData>
            </a:graphic>
          </wp:inline>
        </w:drawing>
      </w:r>
    </w:p>
    <w:p w14:paraId="0131DE6D" w14:textId="77777777" w:rsidR="005A730B" w:rsidRDefault="005A730B" w:rsidP="005A730B">
      <w:pPr>
        <w:jc w:val="center"/>
        <w:rPr>
          <w:rFonts w:ascii="Arial" w:hAnsi="Arial" w:cs="Arial"/>
          <w:sz w:val="16"/>
          <w:szCs w:val="16"/>
        </w:rPr>
      </w:pPr>
      <w:r>
        <w:rPr>
          <w:rFonts w:ascii="Arial" w:hAnsi="Arial" w:cs="Arial"/>
          <w:sz w:val="16"/>
          <w:szCs w:val="16"/>
        </w:rPr>
        <w:t>Fuente: Formato Único Territorial- FUT</w:t>
      </w:r>
    </w:p>
    <w:p w14:paraId="712EB105" w14:textId="77777777" w:rsidR="005A730B" w:rsidRDefault="005A730B" w:rsidP="005A730B">
      <w:pPr>
        <w:jc w:val="both"/>
        <w:rPr>
          <w:rFonts w:ascii="Arial" w:hAnsi="Arial" w:cs="Arial"/>
          <w:b/>
          <w:sz w:val="21"/>
          <w:szCs w:val="21"/>
        </w:rPr>
      </w:pPr>
    </w:p>
    <w:p w14:paraId="2749FA37" w14:textId="77777777" w:rsidR="005A730B" w:rsidRDefault="005A730B" w:rsidP="005A730B">
      <w:pPr>
        <w:pStyle w:val="Prrafodelista"/>
        <w:numPr>
          <w:ilvl w:val="0"/>
          <w:numId w:val="21"/>
        </w:numPr>
        <w:jc w:val="both"/>
        <w:rPr>
          <w:rFonts w:ascii="Arial" w:hAnsi="Arial" w:cs="Arial"/>
          <w:b/>
          <w:sz w:val="21"/>
          <w:szCs w:val="21"/>
        </w:rPr>
      </w:pPr>
      <w:r>
        <w:rPr>
          <w:rFonts w:ascii="Arial" w:hAnsi="Arial" w:cs="Arial"/>
          <w:b/>
          <w:sz w:val="21"/>
          <w:szCs w:val="21"/>
        </w:rPr>
        <w:t>Vigencia 2020.</w:t>
      </w:r>
    </w:p>
    <w:p w14:paraId="5C10D67D" w14:textId="77777777" w:rsidR="005A730B" w:rsidRDefault="005A730B" w:rsidP="005A730B">
      <w:pPr>
        <w:jc w:val="both"/>
        <w:rPr>
          <w:rFonts w:ascii="Arial" w:hAnsi="Arial" w:cs="Arial"/>
          <w:sz w:val="21"/>
          <w:szCs w:val="21"/>
        </w:rPr>
      </w:pPr>
    </w:p>
    <w:p w14:paraId="0D015055" w14:textId="77777777" w:rsidR="005A730B" w:rsidRDefault="005A730B" w:rsidP="005A730B">
      <w:pPr>
        <w:jc w:val="both"/>
        <w:rPr>
          <w:rFonts w:ascii="Arial" w:eastAsiaTheme="minorHAnsi" w:hAnsi="Arial" w:cs="Arial"/>
          <w:sz w:val="21"/>
          <w:szCs w:val="21"/>
        </w:rPr>
      </w:pPr>
      <w:r>
        <w:rPr>
          <w:rFonts w:ascii="Arial" w:hAnsi="Arial" w:cs="Arial"/>
          <w:sz w:val="21"/>
          <w:szCs w:val="21"/>
        </w:rPr>
        <w:t>Al cierre de la vigencia 2020, se apropiaron recursos por $52.028 millones, se generaron compromisos por $42.505 millones, sobre los cuales se efectuaron obligaciones por $38.874 millones y se efectuaron pagos por $35.056 millones, demostrando una ejecución del 82%. Del total de compromisos registrados,18</w:t>
      </w:r>
      <w:r>
        <w:rPr>
          <w:rFonts w:ascii="Arial" w:hAnsi="Arial" w:cs="Arial"/>
          <w:b/>
          <w:bCs/>
          <w:sz w:val="21"/>
          <w:szCs w:val="21"/>
        </w:rPr>
        <w:t>%</w:t>
      </w:r>
      <w:r>
        <w:rPr>
          <w:rFonts w:ascii="Arial" w:hAnsi="Arial" w:cs="Arial"/>
          <w:sz w:val="21"/>
          <w:szCs w:val="21"/>
        </w:rPr>
        <w:t xml:space="preserve"> ($9.721 millones) correspondió a la cofinanciación del Régimen Subsidiado, 39</w:t>
      </w:r>
      <w:r>
        <w:rPr>
          <w:rFonts w:ascii="Arial" w:hAnsi="Arial" w:cs="Arial"/>
          <w:b/>
          <w:bCs/>
          <w:sz w:val="21"/>
          <w:szCs w:val="21"/>
        </w:rPr>
        <w:t>%</w:t>
      </w:r>
      <w:r>
        <w:rPr>
          <w:rFonts w:ascii="Arial" w:hAnsi="Arial" w:cs="Arial"/>
          <w:sz w:val="21"/>
          <w:szCs w:val="21"/>
        </w:rPr>
        <w:t xml:space="preserve"> ($15.003 millones) al componente de Prestación de Servicios </w:t>
      </w:r>
      <w:r>
        <w:rPr>
          <w:rFonts w:ascii="Arial" w:hAnsi="Arial" w:cs="Arial"/>
          <w:bCs/>
          <w:sz w:val="21"/>
          <w:szCs w:val="21"/>
        </w:rPr>
        <w:t>27</w:t>
      </w:r>
      <w:r w:rsidR="00A57834">
        <w:rPr>
          <w:rFonts w:ascii="Arial" w:hAnsi="Arial" w:cs="Arial"/>
          <w:bCs/>
          <w:sz w:val="21"/>
          <w:szCs w:val="21"/>
        </w:rPr>
        <w:t>%</w:t>
      </w:r>
      <w:r>
        <w:rPr>
          <w:rFonts w:ascii="Arial" w:hAnsi="Arial" w:cs="Arial"/>
          <w:sz w:val="21"/>
          <w:szCs w:val="21"/>
        </w:rPr>
        <w:t xml:space="preserve"> ($11.910 millones) a las acciones de Salud Pública y </w:t>
      </w:r>
      <w:r>
        <w:rPr>
          <w:rFonts w:ascii="Arial" w:hAnsi="Arial" w:cs="Arial"/>
          <w:bCs/>
          <w:sz w:val="21"/>
          <w:szCs w:val="21"/>
        </w:rPr>
        <w:t>16%</w:t>
      </w:r>
      <w:r>
        <w:rPr>
          <w:rFonts w:ascii="Arial" w:hAnsi="Arial" w:cs="Arial"/>
          <w:sz w:val="21"/>
          <w:szCs w:val="21"/>
        </w:rPr>
        <w:t xml:space="preserve"> ($5.513 millones) a Otros Gastos en Salud.</w:t>
      </w:r>
    </w:p>
    <w:p w14:paraId="067374F8" w14:textId="77777777" w:rsidR="005A730B" w:rsidRDefault="005A730B" w:rsidP="005A730B">
      <w:pPr>
        <w:jc w:val="both"/>
        <w:rPr>
          <w:rFonts w:ascii="Arial" w:hAnsi="Arial" w:cs="Arial"/>
          <w:sz w:val="21"/>
          <w:szCs w:val="21"/>
          <w:lang w:eastAsia="en-US"/>
        </w:rPr>
      </w:pPr>
    </w:p>
    <w:p w14:paraId="4C67368E" w14:textId="7BF29733" w:rsidR="005A730B" w:rsidRDefault="00E154F5" w:rsidP="005A730B">
      <w:pPr>
        <w:jc w:val="both"/>
        <w:rPr>
          <w:rFonts w:ascii="Arial" w:hAnsi="Arial" w:cs="Arial"/>
          <w:sz w:val="21"/>
          <w:szCs w:val="21"/>
        </w:rPr>
      </w:pPr>
      <w:r>
        <w:rPr>
          <w:rFonts w:ascii="Arial" w:hAnsi="Arial" w:cs="Arial"/>
          <w:sz w:val="21"/>
          <w:szCs w:val="21"/>
        </w:rPr>
        <w:t>Frente al componente de Subsidio a la oferta, 45% ($8.294 millones) se orientó a financiar la Prestación de Servicios de la Población Pobre No Asegurada, de los cuales 87% corresponden a servicios contratados con Empresas Sociales del Estado y 13% a recursos orientados a financiar la atención de urgencias (sin contrato) en los diferentes niveles de complejidad y el 55% ($9.991 millones) a financiar servicios y tecnologías no incluidos en el Plan de Beneficios del Régimen Subsidiado, gastos que fueron apalancados con recursos del SGP-Subsidio a la oferta, recursos propios y transferencias Nación.</w:t>
      </w:r>
      <w:r w:rsidR="008341D3">
        <w:rPr>
          <w:rFonts w:ascii="Arial" w:hAnsi="Arial" w:cs="Arial"/>
          <w:sz w:val="21"/>
          <w:szCs w:val="21"/>
        </w:rPr>
        <w:t xml:space="preserve"> </w:t>
      </w:r>
      <w:r>
        <w:rPr>
          <w:rFonts w:ascii="Arial" w:hAnsi="Arial" w:cs="Arial"/>
          <w:sz w:val="21"/>
          <w:szCs w:val="21"/>
        </w:rPr>
        <w:t xml:space="preserve">Al respecto es relevante señalar las modificaciones que en materia de competencias sectoriales incorporó </w:t>
      </w:r>
      <w:proofErr w:type="gramStart"/>
      <w:r>
        <w:rPr>
          <w:rFonts w:ascii="Arial" w:hAnsi="Arial" w:cs="Arial"/>
          <w:sz w:val="21"/>
          <w:szCs w:val="21"/>
        </w:rPr>
        <w:t>la  ley</w:t>
      </w:r>
      <w:proofErr w:type="gramEnd"/>
      <w:r>
        <w:rPr>
          <w:rFonts w:ascii="Arial" w:hAnsi="Arial" w:cs="Arial"/>
          <w:sz w:val="21"/>
          <w:szCs w:val="21"/>
        </w:rPr>
        <w:t xml:space="preserve"> 1955 de 2019  frente a la obligación de asumir con los recursos propios de las entidades territoriales las atenciones de la población no asegurada, así como el deber de una vez atendidos afiliarlos al sistema  de seguridad social en salud</w:t>
      </w:r>
      <w:r w:rsidR="00E84BC2">
        <w:rPr>
          <w:rFonts w:ascii="Arial" w:hAnsi="Arial" w:cs="Arial"/>
          <w:sz w:val="21"/>
          <w:szCs w:val="21"/>
        </w:rPr>
        <w:t>, esto bajo la premisa de la cobertura universal en materia de salud</w:t>
      </w:r>
      <w:r>
        <w:rPr>
          <w:rFonts w:ascii="Arial" w:hAnsi="Arial" w:cs="Arial"/>
          <w:sz w:val="21"/>
          <w:szCs w:val="21"/>
        </w:rPr>
        <w:t xml:space="preserve">.  Ahora en cuanto a la ley de punto final, la entidad territorial en el marco de la ejecución de este componente reflejó pagos por $2.100 millones según Resolución No. 1439 del 16 de julio de 2020 del Ministerio de Hacienda y Crédito Público, valor que se ajusta con los recursos asignados por la nación en la primera fase para este </w:t>
      </w:r>
      <w:proofErr w:type="gramStart"/>
      <w:r>
        <w:rPr>
          <w:rFonts w:ascii="Arial" w:hAnsi="Arial" w:cs="Arial"/>
          <w:sz w:val="21"/>
          <w:szCs w:val="21"/>
        </w:rPr>
        <w:t>departamento.</w:t>
      </w:r>
      <w:r w:rsidR="00F62974">
        <w:rPr>
          <w:rFonts w:ascii="Arial" w:hAnsi="Arial" w:cs="Arial"/>
          <w:sz w:val="21"/>
          <w:szCs w:val="21"/>
        </w:rPr>
        <w:t>.</w:t>
      </w:r>
      <w:proofErr w:type="gramEnd"/>
    </w:p>
    <w:p w14:paraId="2EA4D5E8" w14:textId="77777777" w:rsidR="005A730B" w:rsidRDefault="005A730B" w:rsidP="005A730B">
      <w:pPr>
        <w:jc w:val="both"/>
        <w:rPr>
          <w:rFonts w:ascii="Arial" w:hAnsi="Arial" w:cs="Arial"/>
          <w:sz w:val="21"/>
          <w:szCs w:val="21"/>
          <w:highlight w:val="yellow"/>
        </w:rPr>
      </w:pPr>
      <w:r>
        <w:rPr>
          <w:rFonts w:ascii="Arial" w:hAnsi="Arial" w:cs="Arial"/>
          <w:sz w:val="21"/>
          <w:szCs w:val="21"/>
        </w:rPr>
        <w:t xml:space="preserve">Con respecto al componente de Salud Pública, se presupuestaron recursos por $14.583 millones, de los cuales se comprometieron $11.910 millones, se efectuaron obligaciones por $9.265 millones y se realizaron pagos por $7.757 millones, mostrando una ejecución de 82%. </w:t>
      </w:r>
      <w:r>
        <w:rPr>
          <w:rFonts w:ascii="Arial" w:hAnsi="Arial" w:cs="Arial"/>
          <w:sz w:val="21"/>
          <w:szCs w:val="21"/>
        </w:rPr>
        <w:lastRenderedPageBreak/>
        <w:t>Se orientaron compromisos para el financiamiento de las nueve (9) dimensiones, siendo la correspondiente a gestión de la Salud Pública la que mayor participación (36%) mostró en el gasto.</w:t>
      </w:r>
    </w:p>
    <w:p w14:paraId="04AEE37A" w14:textId="77777777" w:rsidR="005A730B" w:rsidRDefault="005A730B" w:rsidP="005A730B">
      <w:pPr>
        <w:jc w:val="both"/>
        <w:rPr>
          <w:rFonts w:ascii="Arial" w:hAnsi="Arial" w:cs="Arial"/>
          <w:sz w:val="21"/>
          <w:szCs w:val="21"/>
          <w:highlight w:val="yellow"/>
        </w:rPr>
      </w:pPr>
    </w:p>
    <w:p w14:paraId="445969A8" w14:textId="77777777" w:rsidR="005A730B" w:rsidRDefault="005A730B" w:rsidP="005A730B">
      <w:pPr>
        <w:jc w:val="both"/>
        <w:rPr>
          <w:rFonts w:ascii="Arial" w:hAnsi="Arial" w:cs="Arial"/>
          <w:sz w:val="21"/>
          <w:szCs w:val="21"/>
        </w:rPr>
      </w:pPr>
      <w:r>
        <w:rPr>
          <w:rFonts w:ascii="Arial" w:hAnsi="Arial" w:cs="Arial"/>
          <w:sz w:val="21"/>
          <w:szCs w:val="21"/>
        </w:rPr>
        <w:t>Frente a la cofinanciación del Régimen Subsidiado en la vigencia 2020, la ejecución de gastos planteó un valor de $9.803 millones, monto que difiere con el señalado por el MSPS en la matriz ejecutada de cofinanciación, el cual fue de $10.026 millones, registrando una diferencia de $223 millones.</w:t>
      </w:r>
    </w:p>
    <w:p w14:paraId="35371D8F" w14:textId="77777777" w:rsidR="005A730B" w:rsidRDefault="005A730B" w:rsidP="005A730B">
      <w:pPr>
        <w:jc w:val="both"/>
        <w:rPr>
          <w:rFonts w:ascii="Arial" w:hAnsi="Arial" w:cs="Arial"/>
          <w:sz w:val="21"/>
          <w:szCs w:val="21"/>
        </w:rPr>
      </w:pPr>
    </w:p>
    <w:p w14:paraId="1E75D463" w14:textId="77777777" w:rsidR="005A730B" w:rsidRDefault="005A730B" w:rsidP="005A730B">
      <w:pPr>
        <w:pStyle w:val="Prrafodelista"/>
        <w:numPr>
          <w:ilvl w:val="0"/>
          <w:numId w:val="21"/>
        </w:numPr>
        <w:jc w:val="both"/>
        <w:rPr>
          <w:rFonts w:ascii="Arial" w:hAnsi="Arial" w:cs="Arial"/>
          <w:b/>
          <w:sz w:val="21"/>
          <w:szCs w:val="21"/>
        </w:rPr>
      </w:pPr>
      <w:r>
        <w:rPr>
          <w:rFonts w:ascii="Arial" w:hAnsi="Arial" w:cs="Arial"/>
          <w:b/>
          <w:sz w:val="21"/>
          <w:szCs w:val="21"/>
        </w:rPr>
        <w:t>Vigencia 2021.</w:t>
      </w:r>
    </w:p>
    <w:p w14:paraId="2961A0D9" w14:textId="77777777" w:rsidR="005A730B" w:rsidRDefault="005A730B" w:rsidP="005A730B">
      <w:pPr>
        <w:jc w:val="both"/>
        <w:rPr>
          <w:rFonts w:ascii="Arial" w:hAnsi="Arial" w:cs="Arial"/>
          <w:sz w:val="21"/>
          <w:szCs w:val="21"/>
        </w:rPr>
      </w:pPr>
    </w:p>
    <w:p w14:paraId="2164783B" w14:textId="77777777" w:rsidR="005A730B" w:rsidRDefault="005A730B" w:rsidP="005A730B">
      <w:pPr>
        <w:jc w:val="both"/>
        <w:rPr>
          <w:rFonts w:ascii="Arial" w:hAnsi="Arial" w:cs="Arial"/>
          <w:sz w:val="21"/>
          <w:szCs w:val="21"/>
        </w:rPr>
      </w:pPr>
      <w:r>
        <w:rPr>
          <w:rFonts w:ascii="Arial" w:hAnsi="Arial" w:cs="Arial"/>
          <w:sz w:val="21"/>
          <w:szCs w:val="21"/>
        </w:rPr>
        <w:t>Al cierre de la vigencia 2021, se apropiaron recursos por $60.253 millones, se generaron compromisos por $46.928 millones, sobre los cuales se efectuaron obligaciones por $40.383 millones y se efectuaron pagos por $40.042 millones, con una ejecución del 78</w:t>
      </w:r>
      <w:r w:rsidR="00A57834">
        <w:rPr>
          <w:rFonts w:ascii="Arial" w:hAnsi="Arial" w:cs="Arial"/>
          <w:sz w:val="21"/>
          <w:szCs w:val="21"/>
        </w:rPr>
        <w:t>%</w:t>
      </w:r>
      <w:r>
        <w:rPr>
          <w:rFonts w:ascii="Arial" w:hAnsi="Arial" w:cs="Arial"/>
          <w:sz w:val="21"/>
          <w:szCs w:val="21"/>
        </w:rPr>
        <w:t>, cuatro (4) puntos básicos menos que en la vigencia 2020 (82</w:t>
      </w:r>
      <w:r w:rsidR="00A57834">
        <w:rPr>
          <w:rFonts w:ascii="Arial" w:hAnsi="Arial" w:cs="Arial"/>
          <w:sz w:val="21"/>
          <w:szCs w:val="21"/>
        </w:rPr>
        <w:t>%</w:t>
      </w:r>
      <w:r>
        <w:rPr>
          <w:rFonts w:ascii="Arial" w:hAnsi="Arial" w:cs="Arial"/>
          <w:sz w:val="21"/>
          <w:szCs w:val="21"/>
        </w:rPr>
        <w:t>). Del total de compromisos registrados, el 27% ($12.787 millones) correspondió a la cofinanciación del Régimen Subsidiado, el 36% ($16.757 millones) al componente de Subsidio a la Oferta, el 24% ($11.426 millones) a las acciones de Salud Pública y el 13% ($5.958 millones) a Otros Gastos en Salud.</w:t>
      </w:r>
    </w:p>
    <w:p w14:paraId="26652948" w14:textId="77777777" w:rsidR="005A730B" w:rsidRDefault="005A730B" w:rsidP="005A730B">
      <w:pPr>
        <w:jc w:val="both"/>
        <w:rPr>
          <w:rFonts w:ascii="Arial" w:hAnsi="Arial" w:cs="Arial"/>
          <w:sz w:val="21"/>
          <w:szCs w:val="21"/>
        </w:rPr>
      </w:pPr>
    </w:p>
    <w:p w14:paraId="11ED6B54" w14:textId="77777777" w:rsidR="005A730B" w:rsidRDefault="005A730B" w:rsidP="005A730B">
      <w:pPr>
        <w:jc w:val="both"/>
        <w:rPr>
          <w:rFonts w:ascii="Arial" w:hAnsi="Arial" w:cs="Arial"/>
          <w:sz w:val="21"/>
          <w:szCs w:val="21"/>
        </w:rPr>
      </w:pPr>
      <w:r>
        <w:rPr>
          <w:rFonts w:ascii="Arial" w:hAnsi="Arial" w:cs="Arial"/>
          <w:sz w:val="21"/>
          <w:szCs w:val="21"/>
        </w:rPr>
        <w:t>Con respecto al componente de Salud Pública, se presupuestaron recursos por $15.038 millones, de los cuales se comprometieron $11.426 millones, se efectuaron obligaciones por $8.592 millones y se realizaron pagos por $8.259 millones, mostrando una ejecución del 76%. Se orientaron compromisos para el financiamiento de las nueve (9) dimensiones, siendo la correspondiente a Vida Saludable y Enfermedades Transmisibles la que mayor participación en el gasto mostró (35%), seguida de la Dimensión Gestión de la Salud Pública con 23% y con el 18% Salud Ambiental y el 2</w:t>
      </w:r>
      <w:r w:rsidR="00A57834">
        <w:rPr>
          <w:rFonts w:ascii="Arial" w:hAnsi="Arial" w:cs="Arial"/>
          <w:sz w:val="21"/>
          <w:szCs w:val="21"/>
        </w:rPr>
        <w:t>%</w:t>
      </w:r>
      <w:r>
        <w:rPr>
          <w:rFonts w:ascii="Arial" w:hAnsi="Arial" w:cs="Arial"/>
          <w:sz w:val="21"/>
          <w:szCs w:val="21"/>
        </w:rPr>
        <w:t xml:space="preserve"> se distribuyen en las seis (6) dimensiones restantes.</w:t>
      </w:r>
    </w:p>
    <w:p w14:paraId="5C3B2385" w14:textId="77777777" w:rsidR="005A730B" w:rsidRDefault="005A730B" w:rsidP="005A730B">
      <w:pPr>
        <w:jc w:val="both"/>
        <w:rPr>
          <w:rFonts w:ascii="Arial" w:hAnsi="Arial" w:cs="Arial"/>
          <w:sz w:val="21"/>
          <w:szCs w:val="21"/>
        </w:rPr>
      </w:pPr>
    </w:p>
    <w:p w14:paraId="63CE9362" w14:textId="77777777" w:rsidR="005A730B" w:rsidRDefault="005A730B" w:rsidP="005A730B">
      <w:pPr>
        <w:jc w:val="both"/>
        <w:rPr>
          <w:rFonts w:ascii="Arial" w:hAnsi="Arial" w:cs="Arial"/>
          <w:sz w:val="21"/>
          <w:szCs w:val="21"/>
        </w:rPr>
      </w:pPr>
      <w:r>
        <w:rPr>
          <w:rFonts w:ascii="Arial" w:hAnsi="Arial" w:cs="Arial"/>
          <w:sz w:val="21"/>
          <w:szCs w:val="21"/>
        </w:rPr>
        <w:t>Frente a la cofinanciación del Régimen Subsidiado en la vigencia 2021, la ejecución de gastos presupuestó recursos por $12.487, que son consistentes con el valor del esfuerzo departamental que se reporta en la Liquidación Mensual de Afiliados – LMA y en lo señalado por el MSPS en la matriz ejecutada de financiación y cofinanciación de la vigencia 2021. Por su parte en la ejecución presupuestal se programaron recursos por $14.181 millones, se generaron compromisos por $12.787 millones, sobre los cuales se efectuaron obligaciones y pagos por los mismos $12.787 millones, correspondientes a una ejecución del 90% del total programado.</w:t>
      </w:r>
    </w:p>
    <w:p w14:paraId="06F9104A" w14:textId="77777777" w:rsidR="00E84BC2" w:rsidRDefault="00E84BC2" w:rsidP="00E84BC2">
      <w:pPr>
        <w:jc w:val="both"/>
        <w:rPr>
          <w:rFonts w:ascii="Arial" w:hAnsi="Arial" w:cs="Arial"/>
          <w:sz w:val="21"/>
          <w:szCs w:val="21"/>
        </w:rPr>
      </w:pPr>
    </w:p>
    <w:p w14:paraId="1BF299C3" w14:textId="77777777" w:rsidR="00E84BC2" w:rsidRDefault="00E84BC2" w:rsidP="00E84BC2">
      <w:pPr>
        <w:jc w:val="both"/>
        <w:rPr>
          <w:rFonts w:ascii="Arial" w:hAnsi="Arial" w:cs="Arial"/>
          <w:sz w:val="21"/>
          <w:szCs w:val="21"/>
        </w:rPr>
      </w:pPr>
      <w:r>
        <w:rPr>
          <w:rFonts w:ascii="Arial" w:hAnsi="Arial" w:cs="Arial"/>
          <w:sz w:val="21"/>
          <w:szCs w:val="21"/>
        </w:rPr>
        <w:t>En cuanto al subsidio a la oferta se comprometieron recursos por $ 16.757 millones, de los cuales se obligaron y pagaron recursos por $13.043 millones, correspondientes a una ejecución del 85% del total programado, recursos que fueron orientados al pago de recobros de la EPS del régimen subsidiado por eventos no incluidos en el POS ($2.170 millones) y $14.587 millones correspondieron a servicios contratados con las Empresas Sociales del Estado.</w:t>
      </w:r>
    </w:p>
    <w:p w14:paraId="45018E21" w14:textId="77777777" w:rsidR="00E84BC2" w:rsidRDefault="00E84BC2" w:rsidP="005A730B">
      <w:pPr>
        <w:jc w:val="both"/>
        <w:rPr>
          <w:rFonts w:ascii="Arial" w:hAnsi="Arial" w:cs="Arial"/>
          <w:sz w:val="21"/>
          <w:szCs w:val="21"/>
        </w:rPr>
      </w:pPr>
    </w:p>
    <w:p w14:paraId="67B65BFB" w14:textId="77777777" w:rsidR="005A730B" w:rsidRDefault="005A730B" w:rsidP="005A730B">
      <w:pPr>
        <w:jc w:val="both"/>
        <w:rPr>
          <w:rFonts w:ascii="Arial" w:hAnsi="Arial" w:cs="Arial"/>
          <w:sz w:val="21"/>
          <w:szCs w:val="21"/>
        </w:rPr>
      </w:pPr>
    </w:p>
    <w:p w14:paraId="59F39DC6" w14:textId="77777777" w:rsidR="005A730B" w:rsidRDefault="005A730B" w:rsidP="005A730B">
      <w:pPr>
        <w:pStyle w:val="Prrafodelista"/>
        <w:numPr>
          <w:ilvl w:val="2"/>
          <w:numId w:val="19"/>
        </w:numPr>
        <w:jc w:val="both"/>
        <w:rPr>
          <w:rFonts w:ascii="Arial" w:eastAsia="Times New Roman" w:hAnsi="Arial" w:cs="Arial"/>
          <w:b/>
          <w:sz w:val="21"/>
          <w:szCs w:val="21"/>
        </w:rPr>
      </w:pPr>
      <w:r>
        <w:rPr>
          <w:rFonts w:ascii="Arial" w:eastAsia="Times New Roman" w:hAnsi="Arial" w:cs="Arial"/>
          <w:b/>
          <w:sz w:val="21"/>
          <w:szCs w:val="21"/>
        </w:rPr>
        <w:t>Cierre fiscal y de tesorería.</w:t>
      </w:r>
    </w:p>
    <w:p w14:paraId="71F89CDA" w14:textId="77777777" w:rsidR="005A730B" w:rsidRDefault="005A730B" w:rsidP="005A730B">
      <w:pPr>
        <w:jc w:val="both"/>
        <w:rPr>
          <w:rFonts w:ascii="Arial" w:hAnsi="Arial" w:cs="Arial"/>
          <w:sz w:val="21"/>
          <w:szCs w:val="21"/>
        </w:rPr>
      </w:pPr>
    </w:p>
    <w:p w14:paraId="69A654EC" w14:textId="77777777" w:rsidR="005A730B" w:rsidRDefault="005A730B" w:rsidP="005A730B">
      <w:pPr>
        <w:pStyle w:val="Sinespaciado"/>
        <w:jc w:val="both"/>
        <w:rPr>
          <w:rFonts w:ascii="Arial" w:hAnsi="Arial" w:cs="Arial"/>
          <w:sz w:val="21"/>
          <w:szCs w:val="21"/>
        </w:rPr>
      </w:pPr>
      <w:r>
        <w:rPr>
          <w:rFonts w:ascii="Arial" w:hAnsi="Arial" w:cs="Arial"/>
          <w:sz w:val="21"/>
          <w:szCs w:val="21"/>
        </w:rPr>
        <w:t>El cierre presupuestal y de tesorería del Fondo Local de Salud para la vigencia 2021</w:t>
      </w:r>
      <w:r>
        <w:rPr>
          <w:rFonts w:ascii="Arial" w:hAnsi="Arial" w:cs="Arial"/>
          <w:color w:val="FF0000"/>
          <w:sz w:val="21"/>
          <w:szCs w:val="21"/>
        </w:rPr>
        <w:t xml:space="preserve"> </w:t>
      </w:r>
      <w:r>
        <w:rPr>
          <w:rFonts w:ascii="Arial" w:hAnsi="Arial" w:cs="Arial"/>
          <w:sz w:val="21"/>
          <w:szCs w:val="21"/>
        </w:rPr>
        <w:t>mostró lo siguiente:</w:t>
      </w:r>
    </w:p>
    <w:p w14:paraId="2D14DA25" w14:textId="77777777" w:rsidR="00F62974" w:rsidRDefault="00F62974" w:rsidP="005A730B">
      <w:pPr>
        <w:pStyle w:val="Sinespaciado"/>
        <w:jc w:val="both"/>
        <w:rPr>
          <w:rFonts w:ascii="Arial" w:hAnsi="Arial" w:cs="Arial"/>
          <w:sz w:val="21"/>
          <w:szCs w:val="21"/>
        </w:rPr>
      </w:pPr>
    </w:p>
    <w:p w14:paraId="14019350" w14:textId="77777777" w:rsidR="00F62974" w:rsidRDefault="00F62974" w:rsidP="005A730B">
      <w:pPr>
        <w:pStyle w:val="Sinespaciado"/>
        <w:jc w:val="both"/>
        <w:rPr>
          <w:rFonts w:ascii="Arial" w:hAnsi="Arial" w:cs="Arial"/>
          <w:sz w:val="21"/>
          <w:szCs w:val="21"/>
        </w:rPr>
      </w:pPr>
    </w:p>
    <w:p w14:paraId="1B7D1DAF" w14:textId="77777777" w:rsidR="005A730B" w:rsidRDefault="005A730B" w:rsidP="005A730B">
      <w:pPr>
        <w:pStyle w:val="Sinespaciado"/>
        <w:jc w:val="both"/>
        <w:rPr>
          <w:rFonts w:ascii="Arial" w:hAnsi="Arial" w:cs="Arial"/>
          <w:sz w:val="21"/>
          <w:szCs w:val="21"/>
        </w:rPr>
      </w:pPr>
    </w:p>
    <w:p w14:paraId="29E89034" w14:textId="77777777" w:rsidR="005A730B" w:rsidRDefault="005A730B" w:rsidP="005A730B">
      <w:pPr>
        <w:jc w:val="center"/>
        <w:rPr>
          <w:rFonts w:ascii="Arial" w:hAnsi="Arial" w:cs="Arial"/>
          <w:b/>
          <w:bCs/>
          <w:sz w:val="20"/>
          <w:szCs w:val="20"/>
        </w:rPr>
      </w:pPr>
      <w:r>
        <w:rPr>
          <w:rFonts w:ascii="Arial" w:hAnsi="Arial" w:cs="Arial"/>
          <w:b/>
          <w:bCs/>
          <w:sz w:val="20"/>
          <w:szCs w:val="20"/>
        </w:rPr>
        <w:t>Tabla No 7</w:t>
      </w:r>
    </w:p>
    <w:p w14:paraId="59F0D542" w14:textId="77777777" w:rsidR="005A730B" w:rsidRDefault="005A730B" w:rsidP="005A730B">
      <w:pPr>
        <w:pStyle w:val="Sinespaciado"/>
        <w:jc w:val="center"/>
        <w:rPr>
          <w:rFonts w:ascii="Arial" w:hAnsi="Arial" w:cs="Arial"/>
          <w:sz w:val="21"/>
          <w:szCs w:val="21"/>
        </w:rPr>
      </w:pPr>
      <w:r>
        <w:rPr>
          <w:rFonts w:ascii="Arial" w:hAnsi="Arial" w:cs="Arial"/>
          <w:b/>
          <w:bCs/>
          <w:sz w:val="20"/>
          <w:szCs w:val="20"/>
        </w:rPr>
        <w:t>Cierre Fiscal</w:t>
      </w:r>
    </w:p>
    <w:tbl>
      <w:tblPr>
        <w:tblW w:w="6617" w:type="dxa"/>
        <w:jc w:val="center"/>
        <w:tblCellMar>
          <w:left w:w="70" w:type="dxa"/>
          <w:right w:w="70" w:type="dxa"/>
        </w:tblCellMar>
        <w:tblLook w:val="04A0" w:firstRow="1" w:lastRow="0" w:firstColumn="1" w:lastColumn="0" w:noHBand="0" w:noVBand="1"/>
      </w:tblPr>
      <w:tblGrid>
        <w:gridCol w:w="5225"/>
        <w:gridCol w:w="1177"/>
        <w:gridCol w:w="215"/>
      </w:tblGrid>
      <w:tr w:rsidR="005A730B" w14:paraId="2BB2089F" w14:textId="77777777" w:rsidTr="005A730B">
        <w:trPr>
          <w:gridAfter w:val="1"/>
          <w:wAfter w:w="215" w:type="dxa"/>
          <w:trHeight w:val="200"/>
          <w:jc w:val="center"/>
        </w:trPr>
        <w:tc>
          <w:tcPr>
            <w:tcW w:w="6402" w:type="dxa"/>
            <w:gridSpan w:val="2"/>
            <w:shd w:val="clear" w:color="auto" w:fill="FFFFFF"/>
            <w:noWrap/>
            <w:vAlign w:val="center"/>
            <w:hideMark/>
          </w:tcPr>
          <w:p w14:paraId="073231ED"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lastRenderedPageBreak/>
              <w:t>(En millones de pesos)</w:t>
            </w:r>
          </w:p>
        </w:tc>
      </w:tr>
      <w:tr w:rsidR="005A730B" w14:paraId="1F7C156C" w14:textId="77777777" w:rsidTr="005A730B">
        <w:trPr>
          <w:gridAfter w:val="1"/>
          <w:wAfter w:w="215" w:type="dxa"/>
          <w:trHeight w:val="276"/>
          <w:jc w:val="center"/>
        </w:trPr>
        <w:tc>
          <w:tcPr>
            <w:tcW w:w="5225" w:type="dxa"/>
            <w:vMerge w:val="restart"/>
            <w:tcBorders>
              <w:top w:val="nil"/>
              <w:left w:val="single" w:sz="8" w:space="0" w:color="666699"/>
              <w:bottom w:val="single" w:sz="8" w:space="0" w:color="666699"/>
              <w:right w:val="single" w:sz="8" w:space="0" w:color="60497A"/>
            </w:tcBorders>
            <w:shd w:val="clear" w:color="auto" w:fill="D0CECE"/>
            <w:noWrap/>
            <w:vAlign w:val="center"/>
            <w:hideMark/>
          </w:tcPr>
          <w:p w14:paraId="68018617"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Concepto</w:t>
            </w:r>
          </w:p>
        </w:tc>
        <w:tc>
          <w:tcPr>
            <w:tcW w:w="1177" w:type="dxa"/>
            <w:vMerge w:val="restart"/>
            <w:tcBorders>
              <w:top w:val="nil"/>
              <w:left w:val="single" w:sz="8" w:space="0" w:color="60497A"/>
              <w:bottom w:val="single" w:sz="8" w:space="0" w:color="60497A"/>
              <w:right w:val="single" w:sz="8" w:space="0" w:color="60497A"/>
            </w:tcBorders>
            <w:shd w:val="clear" w:color="auto" w:fill="D0CECE"/>
            <w:vAlign w:val="center"/>
            <w:hideMark/>
          </w:tcPr>
          <w:p w14:paraId="1D820164"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valor</w:t>
            </w:r>
          </w:p>
        </w:tc>
      </w:tr>
      <w:tr w:rsidR="005A730B" w14:paraId="08C26451" w14:textId="77777777" w:rsidTr="005A730B">
        <w:trPr>
          <w:trHeight w:val="207"/>
          <w:jc w:val="center"/>
        </w:trPr>
        <w:tc>
          <w:tcPr>
            <w:tcW w:w="0" w:type="auto"/>
            <w:vMerge/>
            <w:tcBorders>
              <w:top w:val="nil"/>
              <w:left w:val="single" w:sz="8" w:space="0" w:color="666699"/>
              <w:bottom w:val="single" w:sz="8" w:space="0" w:color="666699"/>
              <w:right w:val="single" w:sz="8" w:space="0" w:color="60497A"/>
            </w:tcBorders>
            <w:vAlign w:val="center"/>
            <w:hideMark/>
          </w:tcPr>
          <w:p w14:paraId="764E9DA2" w14:textId="77777777" w:rsidR="005A730B" w:rsidRDefault="005A730B">
            <w:pPr>
              <w:rPr>
                <w:rFonts w:ascii="Arial" w:eastAsia="Times New Roman" w:hAnsi="Arial" w:cs="Arial"/>
                <w:b/>
                <w:bCs/>
                <w:color w:val="000000"/>
                <w:sz w:val="18"/>
                <w:szCs w:val="18"/>
                <w:lang w:val="es-CO" w:eastAsia="es-CO"/>
              </w:rPr>
            </w:pPr>
          </w:p>
        </w:tc>
        <w:tc>
          <w:tcPr>
            <w:tcW w:w="0" w:type="auto"/>
            <w:vMerge/>
            <w:tcBorders>
              <w:top w:val="nil"/>
              <w:left w:val="single" w:sz="8" w:space="0" w:color="60497A"/>
              <w:bottom w:val="single" w:sz="8" w:space="0" w:color="60497A"/>
              <w:right w:val="single" w:sz="8" w:space="0" w:color="60497A"/>
            </w:tcBorders>
            <w:vAlign w:val="center"/>
            <w:hideMark/>
          </w:tcPr>
          <w:p w14:paraId="4102420B" w14:textId="77777777" w:rsidR="005A730B" w:rsidRDefault="005A730B">
            <w:pPr>
              <w:rPr>
                <w:rFonts w:ascii="Arial" w:eastAsia="Times New Roman" w:hAnsi="Arial" w:cs="Arial"/>
                <w:b/>
                <w:bCs/>
                <w:color w:val="000000"/>
                <w:sz w:val="18"/>
                <w:szCs w:val="18"/>
                <w:lang w:val="es-CO" w:eastAsia="es-CO"/>
              </w:rPr>
            </w:pPr>
          </w:p>
        </w:tc>
        <w:tc>
          <w:tcPr>
            <w:tcW w:w="215" w:type="dxa"/>
            <w:noWrap/>
            <w:vAlign w:val="bottom"/>
            <w:hideMark/>
          </w:tcPr>
          <w:p w14:paraId="0EAC72F2" w14:textId="77777777" w:rsidR="005A730B" w:rsidRDefault="005A730B"/>
        </w:tc>
      </w:tr>
      <w:tr w:rsidR="005A730B" w14:paraId="3D35DCBB"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248F25F5"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1. Ingresos (Recaudados)</w:t>
            </w:r>
          </w:p>
        </w:tc>
        <w:tc>
          <w:tcPr>
            <w:tcW w:w="1177" w:type="dxa"/>
            <w:tcBorders>
              <w:top w:val="nil"/>
              <w:left w:val="single" w:sz="8" w:space="0" w:color="60497A"/>
              <w:bottom w:val="single" w:sz="8" w:space="0" w:color="60497A"/>
              <w:right w:val="single" w:sz="8" w:space="0" w:color="60497A"/>
            </w:tcBorders>
            <w:noWrap/>
            <w:vAlign w:val="center"/>
            <w:hideMark/>
          </w:tcPr>
          <w:p w14:paraId="22AFFA2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$63.126</w:t>
            </w:r>
          </w:p>
        </w:tc>
        <w:tc>
          <w:tcPr>
            <w:tcW w:w="215" w:type="dxa"/>
            <w:vAlign w:val="center"/>
            <w:hideMark/>
          </w:tcPr>
          <w:p w14:paraId="541B7A76" w14:textId="77777777" w:rsidR="005A730B" w:rsidRDefault="005A730B">
            <w:pPr>
              <w:rPr>
                <w:rFonts w:ascii="Arial" w:eastAsia="Times New Roman" w:hAnsi="Arial" w:cs="Arial"/>
                <w:color w:val="000000"/>
                <w:sz w:val="18"/>
                <w:szCs w:val="18"/>
                <w:lang w:val="es-CO" w:eastAsia="es-CO"/>
              </w:rPr>
            </w:pPr>
          </w:p>
        </w:tc>
      </w:tr>
      <w:tr w:rsidR="005A730B" w14:paraId="20616682"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5661BFEF"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2. Gastos (Comprometidos) </w:t>
            </w:r>
          </w:p>
        </w:tc>
        <w:tc>
          <w:tcPr>
            <w:tcW w:w="1177" w:type="dxa"/>
            <w:tcBorders>
              <w:top w:val="nil"/>
              <w:left w:val="single" w:sz="8" w:space="0" w:color="60497A"/>
              <w:bottom w:val="single" w:sz="8" w:space="0" w:color="60497A"/>
              <w:right w:val="single" w:sz="8" w:space="0" w:color="60497A"/>
            </w:tcBorders>
            <w:noWrap/>
            <w:vAlign w:val="center"/>
            <w:hideMark/>
          </w:tcPr>
          <w:p w14:paraId="7F0D110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$46.928</w:t>
            </w:r>
          </w:p>
        </w:tc>
        <w:tc>
          <w:tcPr>
            <w:tcW w:w="215" w:type="dxa"/>
            <w:vAlign w:val="center"/>
            <w:hideMark/>
          </w:tcPr>
          <w:p w14:paraId="33535E9C" w14:textId="77777777" w:rsidR="005A730B" w:rsidRDefault="005A730B">
            <w:pPr>
              <w:rPr>
                <w:rFonts w:ascii="Arial" w:eastAsia="Times New Roman" w:hAnsi="Arial" w:cs="Arial"/>
                <w:color w:val="000000"/>
                <w:sz w:val="18"/>
                <w:szCs w:val="18"/>
                <w:lang w:val="es-CO" w:eastAsia="es-CO"/>
              </w:rPr>
            </w:pPr>
          </w:p>
        </w:tc>
      </w:tr>
      <w:tr w:rsidR="005A730B" w14:paraId="69CC1C2A"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53A648EA"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3. Gastos (Obligados) </w:t>
            </w:r>
          </w:p>
        </w:tc>
        <w:tc>
          <w:tcPr>
            <w:tcW w:w="1177" w:type="dxa"/>
            <w:tcBorders>
              <w:top w:val="nil"/>
              <w:left w:val="single" w:sz="8" w:space="0" w:color="60497A"/>
              <w:bottom w:val="single" w:sz="8" w:space="0" w:color="60497A"/>
              <w:right w:val="single" w:sz="8" w:space="0" w:color="60497A"/>
            </w:tcBorders>
            <w:noWrap/>
            <w:vAlign w:val="center"/>
            <w:hideMark/>
          </w:tcPr>
          <w:p w14:paraId="2D4821F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$40.383</w:t>
            </w:r>
          </w:p>
        </w:tc>
        <w:tc>
          <w:tcPr>
            <w:tcW w:w="215" w:type="dxa"/>
            <w:vAlign w:val="center"/>
            <w:hideMark/>
          </w:tcPr>
          <w:p w14:paraId="434C8661" w14:textId="77777777" w:rsidR="005A730B" w:rsidRDefault="005A730B">
            <w:pPr>
              <w:rPr>
                <w:rFonts w:ascii="Arial" w:eastAsia="Times New Roman" w:hAnsi="Arial" w:cs="Arial"/>
                <w:color w:val="000000"/>
                <w:sz w:val="18"/>
                <w:szCs w:val="18"/>
                <w:lang w:val="es-CO" w:eastAsia="es-CO"/>
              </w:rPr>
            </w:pPr>
          </w:p>
        </w:tc>
      </w:tr>
      <w:tr w:rsidR="005A730B" w14:paraId="7C49CEA2"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56616ACC"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4. Pagos </w:t>
            </w:r>
          </w:p>
        </w:tc>
        <w:tc>
          <w:tcPr>
            <w:tcW w:w="1177" w:type="dxa"/>
            <w:tcBorders>
              <w:top w:val="nil"/>
              <w:left w:val="single" w:sz="8" w:space="0" w:color="60497A"/>
              <w:bottom w:val="single" w:sz="8" w:space="0" w:color="60497A"/>
              <w:right w:val="single" w:sz="8" w:space="0" w:color="60497A"/>
            </w:tcBorders>
            <w:noWrap/>
            <w:vAlign w:val="center"/>
            <w:hideMark/>
          </w:tcPr>
          <w:p w14:paraId="724AF164"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$40.042</w:t>
            </w:r>
          </w:p>
        </w:tc>
        <w:tc>
          <w:tcPr>
            <w:tcW w:w="215" w:type="dxa"/>
            <w:vAlign w:val="center"/>
            <w:hideMark/>
          </w:tcPr>
          <w:p w14:paraId="401B8F00" w14:textId="77777777" w:rsidR="005A730B" w:rsidRDefault="005A730B">
            <w:pPr>
              <w:rPr>
                <w:rFonts w:ascii="Arial" w:eastAsia="Times New Roman" w:hAnsi="Arial" w:cs="Arial"/>
                <w:color w:val="000000"/>
                <w:sz w:val="18"/>
                <w:szCs w:val="18"/>
                <w:lang w:val="es-CO" w:eastAsia="es-CO"/>
              </w:rPr>
            </w:pPr>
          </w:p>
        </w:tc>
      </w:tr>
      <w:tr w:rsidR="005A730B" w14:paraId="74000FDC"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368922AD"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Déficit o superávit (1) - (2) </w:t>
            </w:r>
          </w:p>
        </w:tc>
        <w:tc>
          <w:tcPr>
            <w:tcW w:w="1177" w:type="dxa"/>
            <w:tcBorders>
              <w:top w:val="nil"/>
              <w:left w:val="single" w:sz="8" w:space="0" w:color="60497A"/>
              <w:bottom w:val="single" w:sz="8" w:space="0" w:color="60497A"/>
              <w:right w:val="single" w:sz="8" w:space="0" w:color="60497A"/>
            </w:tcBorders>
            <w:noWrap/>
            <w:vAlign w:val="center"/>
            <w:hideMark/>
          </w:tcPr>
          <w:p w14:paraId="46040A35"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$16.198</w:t>
            </w:r>
          </w:p>
        </w:tc>
        <w:tc>
          <w:tcPr>
            <w:tcW w:w="215" w:type="dxa"/>
            <w:vAlign w:val="center"/>
            <w:hideMark/>
          </w:tcPr>
          <w:p w14:paraId="24087869" w14:textId="77777777" w:rsidR="005A730B" w:rsidRDefault="005A730B">
            <w:pPr>
              <w:rPr>
                <w:rFonts w:ascii="Arial" w:eastAsia="Times New Roman" w:hAnsi="Arial" w:cs="Arial"/>
                <w:color w:val="000000"/>
                <w:sz w:val="18"/>
                <w:szCs w:val="18"/>
                <w:lang w:val="es-CO" w:eastAsia="es-CO"/>
              </w:rPr>
            </w:pPr>
          </w:p>
        </w:tc>
      </w:tr>
      <w:tr w:rsidR="005A730B" w14:paraId="5BE80B18"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416D6235"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Reservas (2) - (3) </w:t>
            </w:r>
          </w:p>
        </w:tc>
        <w:tc>
          <w:tcPr>
            <w:tcW w:w="1177" w:type="dxa"/>
            <w:tcBorders>
              <w:top w:val="nil"/>
              <w:left w:val="single" w:sz="8" w:space="0" w:color="60497A"/>
              <w:bottom w:val="single" w:sz="8" w:space="0" w:color="60497A"/>
              <w:right w:val="single" w:sz="8" w:space="0" w:color="60497A"/>
            </w:tcBorders>
            <w:noWrap/>
            <w:vAlign w:val="center"/>
            <w:hideMark/>
          </w:tcPr>
          <w:p w14:paraId="1C5D6BB0"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$6.545</w:t>
            </w:r>
          </w:p>
        </w:tc>
        <w:tc>
          <w:tcPr>
            <w:tcW w:w="215" w:type="dxa"/>
            <w:vAlign w:val="center"/>
            <w:hideMark/>
          </w:tcPr>
          <w:p w14:paraId="46F91003" w14:textId="77777777" w:rsidR="005A730B" w:rsidRDefault="005A730B">
            <w:pPr>
              <w:rPr>
                <w:rFonts w:ascii="Arial" w:eastAsia="Times New Roman" w:hAnsi="Arial" w:cs="Arial"/>
                <w:color w:val="000000"/>
                <w:sz w:val="18"/>
                <w:szCs w:val="18"/>
                <w:lang w:val="es-CO" w:eastAsia="es-CO"/>
              </w:rPr>
            </w:pPr>
          </w:p>
        </w:tc>
      </w:tr>
      <w:tr w:rsidR="005A730B" w14:paraId="47B2550D" w14:textId="77777777" w:rsidTr="005A730B">
        <w:trPr>
          <w:trHeight w:val="207"/>
          <w:jc w:val="center"/>
        </w:trPr>
        <w:tc>
          <w:tcPr>
            <w:tcW w:w="5225" w:type="dxa"/>
            <w:tcBorders>
              <w:top w:val="nil"/>
              <w:left w:val="single" w:sz="8" w:space="0" w:color="666699"/>
              <w:bottom w:val="single" w:sz="8" w:space="0" w:color="666699"/>
              <w:right w:val="nil"/>
            </w:tcBorders>
            <w:noWrap/>
            <w:vAlign w:val="center"/>
            <w:hideMark/>
          </w:tcPr>
          <w:p w14:paraId="6FFE86E9"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Cuentas por pagar (3) - (4) </w:t>
            </w:r>
          </w:p>
        </w:tc>
        <w:tc>
          <w:tcPr>
            <w:tcW w:w="1177" w:type="dxa"/>
            <w:tcBorders>
              <w:top w:val="nil"/>
              <w:left w:val="single" w:sz="8" w:space="0" w:color="60497A"/>
              <w:bottom w:val="single" w:sz="8" w:space="0" w:color="60497A"/>
              <w:right w:val="single" w:sz="8" w:space="0" w:color="60497A"/>
            </w:tcBorders>
            <w:noWrap/>
            <w:vAlign w:val="center"/>
            <w:hideMark/>
          </w:tcPr>
          <w:p w14:paraId="128A87C4"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$340.5</w:t>
            </w:r>
          </w:p>
        </w:tc>
        <w:tc>
          <w:tcPr>
            <w:tcW w:w="215" w:type="dxa"/>
            <w:vAlign w:val="center"/>
            <w:hideMark/>
          </w:tcPr>
          <w:p w14:paraId="67872C10" w14:textId="77777777" w:rsidR="005A730B" w:rsidRDefault="005A730B">
            <w:pPr>
              <w:rPr>
                <w:rFonts w:ascii="Arial" w:eastAsia="Times New Roman" w:hAnsi="Arial" w:cs="Arial"/>
                <w:color w:val="000000"/>
                <w:sz w:val="18"/>
                <w:szCs w:val="18"/>
                <w:lang w:val="es-CO" w:eastAsia="es-CO"/>
              </w:rPr>
            </w:pPr>
          </w:p>
        </w:tc>
      </w:tr>
      <w:tr w:rsidR="005A730B" w14:paraId="16346522" w14:textId="77777777" w:rsidTr="005A730B">
        <w:trPr>
          <w:trHeight w:val="207"/>
          <w:jc w:val="center"/>
        </w:trPr>
        <w:tc>
          <w:tcPr>
            <w:tcW w:w="5225" w:type="dxa"/>
            <w:tcBorders>
              <w:top w:val="nil"/>
              <w:left w:val="single" w:sz="8" w:space="0" w:color="666699"/>
              <w:bottom w:val="single" w:sz="8" w:space="0" w:color="60497A"/>
              <w:right w:val="nil"/>
            </w:tcBorders>
            <w:noWrap/>
            <w:vAlign w:val="center"/>
            <w:hideMark/>
          </w:tcPr>
          <w:p w14:paraId="1F75BB80" w14:textId="77777777" w:rsidR="005A730B" w:rsidRDefault="005A730B">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Saldo en </w:t>
            </w:r>
            <w:proofErr w:type="gramStart"/>
            <w:r>
              <w:rPr>
                <w:rFonts w:ascii="Arial" w:eastAsia="Times New Roman" w:hAnsi="Arial" w:cs="Arial"/>
                <w:color w:val="000000"/>
                <w:sz w:val="18"/>
                <w:szCs w:val="18"/>
                <w:lang w:val="es-CO" w:eastAsia="es-CO"/>
              </w:rPr>
              <w:t>Caja</w:t>
            </w:r>
            <w:proofErr w:type="gramEnd"/>
            <w:r>
              <w:rPr>
                <w:rFonts w:ascii="Arial" w:eastAsia="Times New Roman" w:hAnsi="Arial" w:cs="Arial"/>
                <w:color w:val="000000"/>
                <w:sz w:val="18"/>
                <w:szCs w:val="18"/>
                <w:lang w:val="es-CO" w:eastAsia="es-CO"/>
              </w:rPr>
              <w:t xml:space="preserve"> y Bancos (1) - (4) </w:t>
            </w:r>
          </w:p>
        </w:tc>
        <w:tc>
          <w:tcPr>
            <w:tcW w:w="1177" w:type="dxa"/>
            <w:tcBorders>
              <w:top w:val="nil"/>
              <w:left w:val="single" w:sz="8" w:space="0" w:color="60497A"/>
              <w:bottom w:val="single" w:sz="8" w:space="0" w:color="60497A"/>
              <w:right w:val="single" w:sz="8" w:space="0" w:color="60497A"/>
            </w:tcBorders>
            <w:noWrap/>
            <w:vAlign w:val="center"/>
            <w:hideMark/>
          </w:tcPr>
          <w:p w14:paraId="02A6E6E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$23.084</w:t>
            </w:r>
          </w:p>
        </w:tc>
        <w:tc>
          <w:tcPr>
            <w:tcW w:w="215" w:type="dxa"/>
            <w:vAlign w:val="center"/>
            <w:hideMark/>
          </w:tcPr>
          <w:p w14:paraId="57F61299" w14:textId="77777777" w:rsidR="005A730B" w:rsidRDefault="005A730B">
            <w:pPr>
              <w:rPr>
                <w:rFonts w:ascii="Arial" w:eastAsia="Times New Roman" w:hAnsi="Arial" w:cs="Arial"/>
                <w:color w:val="000000"/>
                <w:sz w:val="18"/>
                <w:szCs w:val="18"/>
                <w:lang w:val="es-CO" w:eastAsia="es-CO"/>
              </w:rPr>
            </w:pPr>
          </w:p>
        </w:tc>
      </w:tr>
    </w:tbl>
    <w:p w14:paraId="731882E5" w14:textId="77777777" w:rsidR="005A730B" w:rsidRDefault="005A730B" w:rsidP="005A730B">
      <w:pPr>
        <w:jc w:val="center"/>
        <w:rPr>
          <w:rFonts w:ascii="Arial" w:hAnsi="Arial" w:cs="Arial"/>
          <w:sz w:val="16"/>
          <w:szCs w:val="16"/>
        </w:rPr>
      </w:pPr>
      <w:r>
        <w:rPr>
          <w:rFonts w:ascii="Arial" w:hAnsi="Arial" w:cs="Arial"/>
          <w:sz w:val="16"/>
          <w:szCs w:val="16"/>
        </w:rPr>
        <w:t>Fuente: Ejecución presupuestal FLS- reportada a través del CHIP. Corte diciembre 2021</w:t>
      </w:r>
    </w:p>
    <w:p w14:paraId="0E627837" w14:textId="77777777" w:rsidR="005A730B" w:rsidRDefault="005A730B" w:rsidP="005A730B">
      <w:pPr>
        <w:jc w:val="both"/>
        <w:rPr>
          <w:rFonts w:ascii="Arial" w:hAnsi="Arial" w:cs="Arial"/>
          <w:b/>
          <w:sz w:val="21"/>
          <w:szCs w:val="21"/>
        </w:rPr>
      </w:pPr>
    </w:p>
    <w:p w14:paraId="72AA948B" w14:textId="77777777" w:rsidR="005A730B" w:rsidRDefault="005A730B" w:rsidP="005A730B">
      <w:pPr>
        <w:jc w:val="both"/>
        <w:rPr>
          <w:rFonts w:ascii="Arial" w:hAnsi="Arial" w:cs="Arial"/>
          <w:sz w:val="21"/>
          <w:szCs w:val="21"/>
        </w:rPr>
      </w:pPr>
      <w:r>
        <w:rPr>
          <w:rFonts w:ascii="Arial" w:hAnsi="Arial" w:cs="Arial"/>
          <w:sz w:val="21"/>
          <w:szCs w:val="21"/>
        </w:rPr>
        <w:t>En resumen, la Entidad para el Sector Salud durante la vigencia 2021 recaudó ingresos por $63.126 millones, comprometió recursos $46.928 millones, generó obligaciones por $40.383 millones y efectuó pagos por $40.042 millones, generando así un superávit presupuestal de $16.198 millones; además de lo anterior, debió constituir reservas presupuestales por $6.545 millones y cuentas por pagar por $341 millones, valores que son coherentes con los actos administrativos de constitución de reservas y cuentas por pagar (Resolución No. 016 del 13 de enero de 2022, por el cual se constituyen las reservas presupuestales de la secretaria de salud por $6.545 millones y Resolución No. 03 del 5 de enero de 2022, por la cual se constituyen las cuentas por pagar del Sector Salud por $340.5 millones).</w:t>
      </w:r>
    </w:p>
    <w:p w14:paraId="15118C0A" w14:textId="77777777" w:rsidR="005A730B" w:rsidRDefault="005A730B" w:rsidP="005A730B">
      <w:pPr>
        <w:jc w:val="both"/>
        <w:rPr>
          <w:rFonts w:ascii="Arial" w:hAnsi="Arial" w:cs="Arial"/>
          <w:sz w:val="21"/>
          <w:szCs w:val="21"/>
          <w:highlight w:val="yellow"/>
        </w:rPr>
      </w:pPr>
    </w:p>
    <w:p w14:paraId="5D3612B4" w14:textId="77777777" w:rsidR="005A730B" w:rsidRDefault="005A730B" w:rsidP="005A730B">
      <w:pPr>
        <w:jc w:val="both"/>
        <w:rPr>
          <w:rFonts w:ascii="Arial" w:hAnsi="Arial" w:cs="Arial"/>
          <w:sz w:val="21"/>
          <w:szCs w:val="21"/>
        </w:rPr>
      </w:pPr>
      <w:r>
        <w:rPr>
          <w:rFonts w:ascii="Arial" w:hAnsi="Arial" w:cs="Arial"/>
          <w:sz w:val="21"/>
          <w:szCs w:val="21"/>
        </w:rPr>
        <w:t>Por otra parte, en relación con la ejecución de reservas constituidas al cierre de la vigencia 2020 y ejecutadas en la vigencia 2021, de acuerdo con la información entregada por el Departamento, al finalizar la vigencia 2021 se registraron pagos por $1.157 millones, correspondiente al 21</w:t>
      </w:r>
      <w:r w:rsidR="00A57834">
        <w:rPr>
          <w:rFonts w:ascii="Arial" w:hAnsi="Arial" w:cs="Arial"/>
          <w:sz w:val="21"/>
          <w:szCs w:val="21"/>
        </w:rPr>
        <w:t>%</w:t>
      </w:r>
      <w:r>
        <w:rPr>
          <w:rFonts w:ascii="Arial" w:hAnsi="Arial" w:cs="Arial"/>
          <w:sz w:val="21"/>
          <w:szCs w:val="21"/>
        </w:rPr>
        <w:t xml:space="preserve"> de la apropiación inicial, frente a lo cual cabe destacar que la Entidad reporta cancelación de reservas por $4.183 millones, por lo que el porcentaje de ejecución aumenta a 100</w:t>
      </w:r>
      <w:r w:rsidR="00A57834">
        <w:rPr>
          <w:rFonts w:ascii="Arial" w:hAnsi="Arial" w:cs="Arial"/>
          <w:sz w:val="21"/>
          <w:szCs w:val="21"/>
        </w:rPr>
        <w:t>%</w:t>
      </w:r>
      <w:r>
        <w:rPr>
          <w:rFonts w:ascii="Arial" w:hAnsi="Arial" w:cs="Arial"/>
          <w:sz w:val="21"/>
          <w:szCs w:val="21"/>
        </w:rPr>
        <w:t>. Así mismo, frente a las cuentas por pagar constituidas al cierre de la vigencia 2020 y ejecutadas en la vigencia 2021, con base en la información suministrada por la Entidad Territorial, se evidencia una ejecución del 100</w:t>
      </w:r>
      <w:r w:rsidR="00A57834">
        <w:rPr>
          <w:rFonts w:ascii="Arial" w:hAnsi="Arial" w:cs="Arial"/>
          <w:sz w:val="21"/>
          <w:szCs w:val="21"/>
        </w:rPr>
        <w:t>%</w:t>
      </w:r>
      <w:r>
        <w:rPr>
          <w:rFonts w:ascii="Arial" w:hAnsi="Arial" w:cs="Arial"/>
          <w:sz w:val="21"/>
          <w:szCs w:val="21"/>
        </w:rPr>
        <w:t xml:space="preserve"> correspondiente a pagos efectuados del orden de $3.089 millones.</w:t>
      </w:r>
    </w:p>
    <w:p w14:paraId="7E7870A2" w14:textId="77777777" w:rsidR="005A730B" w:rsidRDefault="005A730B" w:rsidP="005A730B">
      <w:pPr>
        <w:jc w:val="both"/>
        <w:rPr>
          <w:rFonts w:ascii="Arial" w:hAnsi="Arial" w:cs="Arial"/>
          <w:sz w:val="21"/>
          <w:szCs w:val="21"/>
        </w:rPr>
      </w:pPr>
    </w:p>
    <w:p w14:paraId="6D85F09C" w14:textId="77777777" w:rsidR="005A730B" w:rsidRDefault="005A730B" w:rsidP="005A730B">
      <w:pPr>
        <w:jc w:val="both"/>
        <w:rPr>
          <w:rFonts w:ascii="Arial" w:hAnsi="Arial" w:cs="Arial"/>
          <w:sz w:val="21"/>
          <w:szCs w:val="21"/>
        </w:rPr>
      </w:pPr>
      <w:r>
        <w:rPr>
          <w:rFonts w:ascii="Arial" w:hAnsi="Arial" w:cs="Arial"/>
          <w:sz w:val="21"/>
          <w:szCs w:val="21"/>
        </w:rPr>
        <w:t>Se evidencia, además, que fueron ejecutadas el 100</w:t>
      </w:r>
      <w:r w:rsidR="00A57834">
        <w:rPr>
          <w:rFonts w:ascii="Arial" w:hAnsi="Arial" w:cs="Arial"/>
          <w:sz w:val="21"/>
          <w:szCs w:val="21"/>
        </w:rPr>
        <w:t>%</w:t>
      </w:r>
      <w:r>
        <w:rPr>
          <w:rFonts w:ascii="Arial" w:hAnsi="Arial" w:cs="Arial"/>
          <w:sz w:val="21"/>
          <w:szCs w:val="21"/>
        </w:rPr>
        <w:t xml:space="preserve"> de las vigencias expiradas constituidas durante la vigencia 2019 para el Sector Salud correspondientes a saldos del SGP no ejecutados por valor de $350.1 millones, las cuales estuvieron respaldadas por la </w:t>
      </w:r>
      <w:r>
        <w:rPr>
          <w:rFonts w:ascii="Arial" w:hAnsi="Arial" w:cs="Arial"/>
          <w:iCs/>
          <w:sz w:val="21"/>
          <w:szCs w:val="21"/>
        </w:rPr>
        <w:t>Resolución 1334 del 16 de diciembre de 2020; de igual forma el secretario técnico de Presupuesto del</w:t>
      </w:r>
      <w:r>
        <w:rPr>
          <w:rFonts w:ascii="Arial" w:hAnsi="Arial" w:cs="Arial"/>
          <w:sz w:val="21"/>
          <w:szCs w:val="21"/>
        </w:rPr>
        <w:t xml:space="preserve"> Departamento de Caquetá certifica que para la vigencia 2021 no existen vigencias expiradas.</w:t>
      </w:r>
    </w:p>
    <w:p w14:paraId="466C70F4" w14:textId="77777777" w:rsidR="005A730B" w:rsidRDefault="005A730B" w:rsidP="005A730B">
      <w:pPr>
        <w:jc w:val="both"/>
        <w:rPr>
          <w:rFonts w:ascii="Arial" w:hAnsi="Arial" w:cs="Arial"/>
          <w:sz w:val="21"/>
          <w:szCs w:val="21"/>
        </w:rPr>
      </w:pPr>
    </w:p>
    <w:p w14:paraId="49362A37" w14:textId="77777777" w:rsidR="005A730B" w:rsidRDefault="005A730B" w:rsidP="005A730B">
      <w:pPr>
        <w:jc w:val="both"/>
        <w:rPr>
          <w:rFonts w:ascii="Arial" w:hAnsi="Arial" w:cs="Arial"/>
          <w:sz w:val="21"/>
          <w:szCs w:val="21"/>
        </w:rPr>
      </w:pPr>
      <w:r>
        <w:rPr>
          <w:rFonts w:ascii="Arial" w:hAnsi="Arial" w:cs="Arial"/>
          <w:sz w:val="21"/>
          <w:szCs w:val="21"/>
        </w:rPr>
        <w:t>Con respecto a la constitución de reservas presupuestales, cabe precisar que las mismas deben constituirse sobre aquellos compromisos contenidos en el presupuesto que se programaron y contrataron para ser ejecutados en su totalidad, es decir para recibir los bienes a satisfacción durante la vigencia en que fueron contratados y que por alguna circunstancia excepcional no se cumplió con ese plazo.</w:t>
      </w:r>
    </w:p>
    <w:p w14:paraId="3DFE5733" w14:textId="77777777" w:rsidR="005A730B" w:rsidRDefault="005A730B" w:rsidP="005A730B">
      <w:pPr>
        <w:jc w:val="both"/>
        <w:rPr>
          <w:rFonts w:ascii="Arial" w:hAnsi="Arial" w:cs="Arial"/>
          <w:sz w:val="21"/>
          <w:szCs w:val="21"/>
        </w:rPr>
      </w:pPr>
    </w:p>
    <w:p w14:paraId="6164037C" w14:textId="77777777" w:rsidR="005A730B" w:rsidRDefault="005A730B" w:rsidP="005A730B">
      <w:pPr>
        <w:jc w:val="both"/>
        <w:rPr>
          <w:rFonts w:ascii="Arial" w:hAnsi="Arial" w:cs="Arial"/>
          <w:sz w:val="21"/>
          <w:szCs w:val="21"/>
        </w:rPr>
      </w:pPr>
      <w:r>
        <w:rPr>
          <w:rFonts w:ascii="Arial" w:hAnsi="Arial" w:cs="Arial"/>
          <w:sz w:val="21"/>
          <w:szCs w:val="21"/>
        </w:rPr>
        <w:t>De otro lado, según el reporte del formato FUT_ Tesorería_ Fondo _ Salud al cierre de la vigencia 2021, la Entidad Territorial contaba con saldos en las Cuentas Maestras de Salud y otras cuentas de $20.961 millones, como se evidencia en la siguiente tabla:</w:t>
      </w:r>
    </w:p>
    <w:p w14:paraId="54E6A295" w14:textId="77777777" w:rsidR="005A730B" w:rsidRDefault="005A730B" w:rsidP="005A730B">
      <w:pPr>
        <w:jc w:val="both"/>
        <w:rPr>
          <w:rFonts w:ascii="Arial" w:hAnsi="Arial" w:cs="Arial"/>
          <w:sz w:val="21"/>
          <w:szCs w:val="21"/>
        </w:rPr>
      </w:pPr>
    </w:p>
    <w:p w14:paraId="2EF8159B" w14:textId="77777777" w:rsidR="003A3307" w:rsidRDefault="003A3307" w:rsidP="005A730B">
      <w:pPr>
        <w:jc w:val="center"/>
        <w:rPr>
          <w:rFonts w:ascii="Arial" w:hAnsi="Arial" w:cs="Arial"/>
          <w:b/>
          <w:bCs/>
          <w:sz w:val="20"/>
          <w:szCs w:val="20"/>
        </w:rPr>
      </w:pPr>
    </w:p>
    <w:p w14:paraId="7E61AF3A" w14:textId="77777777" w:rsidR="005A730B" w:rsidRDefault="005A730B" w:rsidP="005A730B">
      <w:pPr>
        <w:jc w:val="center"/>
        <w:rPr>
          <w:rFonts w:ascii="Arial" w:hAnsi="Arial" w:cs="Arial"/>
          <w:sz w:val="20"/>
          <w:szCs w:val="20"/>
        </w:rPr>
      </w:pPr>
      <w:r>
        <w:rPr>
          <w:rFonts w:ascii="Arial" w:hAnsi="Arial" w:cs="Arial"/>
          <w:b/>
          <w:bCs/>
          <w:sz w:val="20"/>
          <w:szCs w:val="20"/>
        </w:rPr>
        <w:t>Tabla No. 8</w:t>
      </w:r>
    </w:p>
    <w:tbl>
      <w:tblPr>
        <w:tblStyle w:val="Tablanormal2"/>
        <w:tblW w:w="0" w:type="auto"/>
        <w:jc w:val="center"/>
        <w:tblInd w:w="0" w:type="dxa"/>
        <w:tblLook w:val="04A0" w:firstRow="1" w:lastRow="0" w:firstColumn="1" w:lastColumn="0" w:noHBand="0" w:noVBand="1"/>
      </w:tblPr>
      <w:tblGrid>
        <w:gridCol w:w="2868"/>
        <w:gridCol w:w="2377"/>
      </w:tblGrid>
      <w:tr w:rsidR="005A730B" w14:paraId="35639532" w14:textId="77777777" w:rsidTr="005A730B">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868" w:type="dxa"/>
            <w:tcBorders>
              <w:top w:val="single" w:sz="4" w:space="0" w:color="7F7F7F" w:themeColor="text1" w:themeTint="80"/>
              <w:left w:val="nil"/>
              <w:right w:val="nil"/>
            </w:tcBorders>
            <w:hideMark/>
          </w:tcPr>
          <w:p w14:paraId="048C2EB2" w14:textId="77777777" w:rsidR="005A730B" w:rsidRDefault="005A730B">
            <w:pPr>
              <w:jc w:val="center"/>
              <w:rPr>
                <w:rFonts w:ascii="Arial" w:eastAsia="Calibri" w:hAnsi="Arial" w:cs="Arial"/>
                <w:sz w:val="18"/>
                <w:szCs w:val="18"/>
                <w:lang w:val="es-CO" w:eastAsia="en-US"/>
              </w:rPr>
            </w:pPr>
            <w:r>
              <w:rPr>
                <w:rFonts w:ascii="Arial" w:eastAsia="Calibri" w:hAnsi="Arial" w:cs="Arial"/>
                <w:sz w:val="18"/>
                <w:szCs w:val="18"/>
                <w:lang w:val="es-CO" w:eastAsia="en-US"/>
              </w:rPr>
              <w:t>Componente</w:t>
            </w:r>
          </w:p>
        </w:tc>
        <w:tc>
          <w:tcPr>
            <w:tcW w:w="2377" w:type="dxa"/>
            <w:tcBorders>
              <w:top w:val="single" w:sz="4" w:space="0" w:color="7F7F7F" w:themeColor="text1" w:themeTint="80"/>
              <w:left w:val="nil"/>
              <w:right w:val="nil"/>
            </w:tcBorders>
            <w:hideMark/>
          </w:tcPr>
          <w:p w14:paraId="10E8286D" w14:textId="77777777" w:rsidR="005A730B" w:rsidRDefault="005A730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s-CO" w:eastAsia="en-US"/>
              </w:rPr>
            </w:pPr>
            <w:r>
              <w:rPr>
                <w:rFonts w:ascii="Arial" w:eastAsia="Calibri" w:hAnsi="Arial" w:cs="Arial"/>
                <w:sz w:val="18"/>
                <w:szCs w:val="18"/>
                <w:lang w:val="es-CO" w:eastAsia="en-US"/>
              </w:rPr>
              <w:t>Saldo en millones de ($)</w:t>
            </w:r>
          </w:p>
        </w:tc>
      </w:tr>
      <w:tr w:rsidR="005A730B" w14:paraId="5684241F" w14:textId="77777777" w:rsidTr="005A730B">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68" w:type="dxa"/>
            <w:tcBorders>
              <w:left w:val="nil"/>
              <w:right w:val="nil"/>
            </w:tcBorders>
            <w:hideMark/>
          </w:tcPr>
          <w:p w14:paraId="485F7076" w14:textId="77777777" w:rsidR="005A730B" w:rsidRDefault="005A730B">
            <w:pPr>
              <w:jc w:val="both"/>
              <w:rPr>
                <w:rFonts w:ascii="Arial" w:eastAsia="Calibri" w:hAnsi="Arial" w:cs="Arial"/>
                <w:b w:val="0"/>
                <w:sz w:val="18"/>
                <w:szCs w:val="18"/>
                <w:lang w:val="es-CO" w:eastAsia="en-US"/>
              </w:rPr>
            </w:pPr>
            <w:r>
              <w:rPr>
                <w:rFonts w:ascii="Arial" w:eastAsia="Calibri" w:hAnsi="Arial" w:cs="Arial"/>
                <w:b w:val="0"/>
                <w:sz w:val="18"/>
                <w:szCs w:val="18"/>
                <w:lang w:val="es-CO" w:eastAsia="en-US"/>
              </w:rPr>
              <w:lastRenderedPageBreak/>
              <w:t>Régimen subsidiado</w:t>
            </w:r>
          </w:p>
        </w:tc>
        <w:tc>
          <w:tcPr>
            <w:tcW w:w="2377" w:type="dxa"/>
            <w:tcBorders>
              <w:left w:val="nil"/>
              <w:right w:val="nil"/>
            </w:tcBorders>
            <w:hideMark/>
          </w:tcPr>
          <w:p w14:paraId="106A3BC8" w14:textId="77777777" w:rsidR="005A730B" w:rsidRDefault="005A730B">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CO" w:eastAsia="en-US"/>
              </w:rPr>
            </w:pPr>
            <w:r>
              <w:rPr>
                <w:rFonts w:ascii="Arial" w:eastAsia="Calibri" w:hAnsi="Arial" w:cs="Arial"/>
                <w:sz w:val="18"/>
                <w:szCs w:val="18"/>
                <w:lang w:val="es-CO" w:eastAsia="en-US"/>
              </w:rPr>
              <w:t>265</w:t>
            </w:r>
          </w:p>
        </w:tc>
      </w:tr>
      <w:tr w:rsidR="005A730B" w14:paraId="3CBFEB99" w14:textId="77777777" w:rsidTr="005A730B">
        <w:trPr>
          <w:trHeight w:val="241"/>
          <w:jc w:val="center"/>
        </w:trPr>
        <w:tc>
          <w:tcPr>
            <w:cnfStyle w:val="001000000000" w:firstRow="0" w:lastRow="0" w:firstColumn="1" w:lastColumn="0" w:oddVBand="0" w:evenVBand="0" w:oddHBand="0" w:evenHBand="0" w:firstRowFirstColumn="0" w:firstRowLastColumn="0" w:lastRowFirstColumn="0" w:lastRowLastColumn="0"/>
            <w:tcW w:w="2868" w:type="dxa"/>
            <w:tcBorders>
              <w:top w:val="nil"/>
              <w:left w:val="nil"/>
              <w:bottom w:val="nil"/>
              <w:right w:val="nil"/>
            </w:tcBorders>
            <w:hideMark/>
          </w:tcPr>
          <w:p w14:paraId="266AA982" w14:textId="77777777" w:rsidR="005A730B" w:rsidRDefault="005A730B">
            <w:pPr>
              <w:jc w:val="both"/>
              <w:rPr>
                <w:rFonts w:ascii="Arial" w:eastAsia="Calibri" w:hAnsi="Arial" w:cs="Arial"/>
                <w:b w:val="0"/>
                <w:sz w:val="18"/>
                <w:szCs w:val="18"/>
                <w:lang w:val="es-CO" w:eastAsia="en-US"/>
              </w:rPr>
            </w:pPr>
            <w:r>
              <w:rPr>
                <w:rFonts w:ascii="Arial" w:eastAsia="Calibri" w:hAnsi="Arial" w:cs="Arial"/>
                <w:b w:val="0"/>
                <w:sz w:val="18"/>
                <w:szCs w:val="18"/>
                <w:lang w:val="es-CO" w:eastAsia="en-US"/>
              </w:rPr>
              <w:t>Prestación de Servicios</w:t>
            </w:r>
          </w:p>
        </w:tc>
        <w:tc>
          <w:tcPr>
            <w:tcW w:w="2377" w:type="dxa"/>
            <w:tcBorders>
              <w:top w:val="nil"/>
              <w:left w:val="nil"/>
              <w:bottom w:val="nil"/>
              <w:right w:val="nil"/>
            </w:tcBorders>
            <w:hideMark/>
          </w:tcPr>
          <w:p w14:paraId="64F59772" w14:textId="77777777" w:rsidR="005A730B" w:rsidRDefault="005A730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CO" w:eastAsia="en-US"/>
              </w:rPr>
            </w:pPr>
            <w:r>
              <w:rPr>
                <w:rFonts w:ascii="Arial" w:eastAsia="Calibri" w:hAnsi="Arial" w:cs="Arial"/>
                <w:sz w:val="18"/>
                <w:szCs w:val="18"/>
                <w:lang w:val="es-CO" w:eastAsia="en-US"/>
              </w:rPr>
              <w:t>7.338</w:t>
            </w:r>
          </w:p>
        </w:tc>
      </w:tr>
      <w:tr w:rsidR="005A730B" w14:paraId="5729611A" w14:textId="77777777" w:rsidTr="005A730B">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68" w:type="dxa"/>
            <w:tcBorders>
              <w:left w:val="nil"/>
              <w:right w:val="nil"/>
            </w:tcBorders>
            <w:hideMark/>
          </w:tcPr>
          <w:p w14:paraId="29BE17BD" w14:textId="77777777" w:rsidR="005A730B" w:rsidRDefault="005A730B">
            <w:pPr>
              <w:jc w:val="both"/>
              <w:rPr>
                <w:rFonts w:ascii="Arial" w:eastAsia="Calibri" w:hAnsi="Arial" w:cs="Arial"/>
                <w:b w:val="0"/>
                <w:sz w:val="18"/>
                <w:szCs w:val="18"/>
                <w:lang w:val="es-CO" w:eastAsia="en-US"/>
              </w:rPr>
            </w:pPr>
            <w:r>
              <w:rPr>
                <w:rFonts w:ascii="Arial" w:eastAsia="Calibri" w:hAnsi="Arial" w:cs="Arial"/>
                <w:b w:val="0"/>
                <w:sz w:val="18"/>
                <w:szCs w:val="18"/>
                <w:lang w:val="es-CO" w:eastAsia="en-US"/>
              </w:rPr>
              <w:t>Salud Pública</w:t>
            </w:r>
          </w:p>
        </w:tc>
        <w:tc>
          <w:tcPr>
            <w:tcW w:w="2377" w:type="dxa"/>
            <w:tcBorders>
              <w:left w:val="nil"/>
              <w:right w:val="nil"/>
            </w:tcBorders>
            <w:hideMark/>
          </w:tcPr>
          <w:p w14:paraId="7CA16840" w14:textId="77777777" w:rsidR="005A730B" w:rsidRDefault="005A730B">
            <w:pPr>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CO" w:eastAsia="en-US"/>
              </w:rPr>
            </w:pPr>
            <w:r>
              <w:rPr>
                <w:rFonts w:ascii="Arial" w:eastAsia="Calibri" w:hAnsi="Arial" w:cs="Arial"/>
                <w:sz w:val="18"/>
                <w:szCs w:val="18"/>
                <w:lang w:val="es-CO" w:eastAsia="en-US"/>
              </w:rPr>
              <w:t>6.657</w:t>
            </w:r>
          </w:p>
        </w:tc>
      </w:tr>
      <w:tr w:rsidR="005A730B" w14:paraId="30000738" w14:textId="77777777" w:rsidTr="005A730B">
        <w:trPr>
          <w:trHeight w:val="241"/>
          <w:jc w:val="center"/>
        </w:trPr>
        <w:tc>
          <w:tcPr>
            <w:cnfStyle w:val="001000000000" w:firstRow="0" w:lastRow="0" w:firstColumn="1" w:lastColumn="0" w:oddVBand="0" w:evenVBand="0" w:oddHBand="0" w:evenHBand="0" w:firstRowFirstColumn="0" w:firstRowLastColumn="0" w:lastRowFirstColumn="0" w:lastRowLastColumn="0"/>
            <w:tcW w:w="2868" w:type="dxa"/>
            <w:tcBorders>
              <w:top w:val="nil"/>
              <w:left w:val="nil"/>
              <w:bottom w:val="single" w:sz="4" w:space="0" w:color="7F7F7F" w:themeColor="text1" w:themeTint="80"/>
              <w:right w:val="nil"/>
            </w:tcBorders>
            <w:hideMark/>
          </w:tcPr>
          <w:p w14:paraId="697EF40A" w14:textId="77777777" w:rsidR="005A730B" w:rsidRDefault="005A730B">
            <w:pPr>
              <w:jc w:val="both"/>
              <w:rPr>
                <w:rFonts w:ascii="Arial" w:eastAsia="Calibri" w:hAnsi="Arial" w:cs="Arial"/>
                <w:b w:val="0"/>
                <w:sz w:val="18"/>
                <w:szCs w:val="18"/>
                <w:lang w:val="es-CO" w:eastAsia="en-US"/>
              </w:rPr>
            </w:pPr>
            <w:r>
              <w:rPr>
                <w:rFonts w:ascii="Arial" w:eastAsia="Calibri" w:hAnsi="Arial" w:cs="Arial"/>
                <w:b w:val="0"/>
                <w:sz w:val="18"/>
                <w:szCs w:val="18"/>
                <w:lang w:val="es-CO" w:eastAsia="en-US"/>
              </w:rPr>
              <w:t>Otros gastos en salud</w:t>
            </w:r>
          </w:p>
        </w:tc>
        <w:tc>
          <w:tcPr>
            <w:tcW w:w="2377" w:type="dxa"/>
            <w:tcBorders>
              <w:top w:val="nil"/>
              <w:left w:val="nil"/>
              <w:bottom w:val="single" w:sz="4" w:space="0" w:color="7F7F7F" w:themeColor="text1" w:themeTint="80"/>
              <w:right w:val="nil"/>
            </w:tcBorders>
            <w:hideMark/>
          </w:tcPr>
          <w:p w14:paraId="46651C6B" w14:textId="77777777" w:rsidR="005A730B" w:rsidRDefault="005A730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CO" w:eastAsia="en-US"/>
              </w:rPr>
            </w:pPr>
            <w:r>
              <w:rPr>
                <w:rFonts w:ascii="Arial" w:eastAsia="Calibri" w:hAnsi="Arial" w:cs="Arial"/>
                <w:sz w:val="18"/>
                <w:szCs w:val="18"/>
                <w:lang w:val="es-CO" w:eastAsia="en-US"/>
              </w:rPr>
              <w:t>6.699</w:t>
            </w:r>
          </w:p>
        </w:tc>
      </w:tr>
    </w:tbl>
    <w:p w14:paraId="0C21BABA" w14:textId="77777777" w:rsidR="005A730B" w:rsidRDefault="005A730B" w:rsidP="005A730B">
      <w:pPr>
        <w:jc w:val="center"/>
        <w:rPr>
          <w:rFonts w:ascii="Arial" w:hAnsi="Arial" w:cs="Arial"/>
          <w:sz w:val="16"/>
          <w:szCs w:val="16"/>
        </w:rPr>
      </w:pPr>
      <w:r>
        <w:rPr>
          <w:rFonts w:ascii="Arial" w:hAnsi="Arial" w:cs="Arial"/>
          <w:sz w:val="16"/>
          <w:szCs w:val="16"/>
        </w:rPr>
        <w:t>Fuente: Ejecución presupuestal FLS- reportada a través del CHIP. Corte diciembre 2021</w:t>
      </w:r>
    </w:p>
    <w:p w14:paraId="05051AB6" w14:textId="77777777" w:rsidR="005A730B" w:rsidRDefault="005A730B" w:rsidP="005A730B">
      <w:pPr>
        <w:jc w:val="center"/>
        <w:rPr>
          <w:rFonts w:ascii="Arial" w:hAnsi="Arial" w:cs="Arial"/>
          <w:sz w:val="16"/>
          <w:szCs w:val="16"/>
        </w:rPr>
      </w:pPr>
    </w:p>
    <w:p w14:paraId="2FDE60E1" w14:textId="77777777" w:rsidR="005A730B" w:rsidRDefault="005A730B" w:rsidP="005A730B">
      <w:pPr>
        <w:jc w:val="both"/>
        <w:rPr>
          <w:rFonts w:ascii="Arial" w:eastAsia="Calibri" w:hAnsi="Arial" w:cs="Arial"/>
          <w:i/>
          <w:sz w:val="21"/>
          <w:szCs w:val="21"/>
          <w:lang w:val="es-CO" w:eastAsia="en-US"/>
        </w:rPr>
      </w:pPr>
      <w:r>
        <w:rPr>
          <w:rFonts w:ascii="Arial" w:eastAsia="Calibri" w:hAnsi="Arial" w:cs="Arial"/>
          <w:sz w:val="21"/>
          <w:szCs w:val="21"/>
          <w:lang w:val="es-CO" w:eastAsia="en-US"/>
        </w:rPr>
        <w:t xml:space="preserve">Lo anterior es consistente con el cierre de tesorería del Fondo Local de Salud suministrado por la Entidad Territorial, el cual indica que los saldos al cierre de la vigencia en las Cuentas Maestras así: i) Régimen Subsidiado $265 millones, </w:t>
      </w:r>
      <w:proofErr w:type="spellStart"/>
      <w:r>
        <w:rPr>
          <w:rFonts w:ascii="Arial" w:eastAsia="Calibri" w:hAnsi="Arial" w:cs="Arial"/>
          <w:sz w:val="21"/>
          <w:szCs w:val="21"/>
          <w:lang w:val="es-CO" w:eastAsia="en-US"/>
        </w:rPr>
        <w:t>ii</w:t>
      </w:r>
      <w:proofErr w:type="spellEnd"/>
      <w:r>
        <w:rPr>
          <w:rFonts w:ascii="Arial" w:eastAsia="Calibri" w:hAnsi="Arial" w:cs="Arial"/>
          <w:sz w:val="21"/>
          <w:szCs w:val="21"/>
          <w:lang w:val="es-CO" w:eastAsia="en-US"/>
        </w:rPr>
        <w:t xml:space="preserve">) Prestación de Servicios $7.338 millones y </w:t>
      </w:r>
      <w:proofErr w:type="spellStart"/>
      <w:r>
        <w:rPr>
          <w:rFonts w:ascii="Arial" w:eastAsia="Calibri" w:hAnsi="Arial" w:cs="Arial"/>
          <w:sz w:val="21"/>
          <w:szCs w:val="21"/>
          <w:lang w:val="es-CO" w:eastAsia="en-US"/>
        </w:rPr>
        <w:t>iii</w:t>
      </w:r>
      <w:proofErr w:type="spellEnd"/>
      <w:r>
        <w:rPr>
          <w:rFonts w:ascii="Arial" w:eastAsia="Calibri" w:hAnsi="Arial" w:cs="Arial"/>
          <w:sz w:val="21"/>
          <w:szCs w:val="21"/>
          <w:lang w:val="es-CO" w:eastAsia="en-US"/>
        </w:rPr>
        <w:t>) Salud Pública $6.657 millones y en la cuenta de Otros Gastos en Salud el valor fue de $6.699 millones. De igual forma, al cotejar los valores informados en los extractos bancarios de cada una de las cuentas los mismo registran consistencia.</w:t>
      </w:r>
    </w:p>
    <w:p w14:paraId="01376A63" w14:textId="77777777" w:rsidR="005A730B" w:rsidRDefault="005A730B" w:rsidP="005A730B">
      <w:pPr>
        <w:jc w:val="both"/>
        <w:rPr>
          <w:rFonts w:ascii="Arial" w:eastAsia="Calibri" w:hAnsi="Arial" w:cs="Arial"/>
          <w:sz w:val="21"/>
          <w:szCs w:val="21"/>
          <w:lang w:val="es-CO" w:eastAsia="en-US"/>
        </w:rPr>
      </w:pPr>
    </w:p>
    <w:p w14:paraId="45F918DA" w14:textId="77777777" w:rsidR="005A730B" w:rsidRDefault="005A730B" w:rsidP="005A730B">
      <w:pPr>
        <w:jc w:val="both"/>
        <w:rPr>
          <w:rFonts w:ascii="Arial" w:hAnsi="Arial" w:cs="Arial"/>
          <w:sz w:val="21"/>
          <w:szCs w:val="21"/>
        </w:rPr>
      </w:pPr>
      <w:r>
        <w:rPr>
          <w:rFonts w:ascii="Arial" w:hAnsi="Arial" w:cs="Arial"/>
          <w:sz w:val="21"/>
          <w:szCs w:val="21"/>
        </w:rPr>
        <w:t xml:space="preserve">Ahora bien, al comparar la información reportada al cierre de la vigencia 2021 en el FUT, la cual indica que la Entidad Territorial debía contar con un saldo mínimo en </w:t>
      </w:r>
      <w:proofErr w:type="gramStart"/>
      <w:r>
        <w:rPr>
          <w:rFonts w:ascii="Arial" w:hAnsi="Arial" w:cs="Arial"/>
          <w:sz w:val="21"/>
          <w:szCs w:val="21"/>
        </w:rPr>
        <w:t>caja</w:t>
      </w:r>
      <w:proofErr w:type="gramEnd"/>
      <w:r>
        <w:rPr>
          <w:rFonts w:ascii="Arial" w:hAnsi="Arial" w:cs="Arial"/>
          <w:sz w:val="21"/>
          <w:szCs w:val="21"/>
        </w:rPr>
        <w:t xml:space="preserve"> y bancos por $23.084 millones, con el valor del saldo en Cuentas Maestras reportado en el FUT en la Categoría Tesorería Fondo Salud el cual ascendió a $20.961 millones, este último resulta insuficiente para cubrir las cuentas por pagar y las reservas.</w:t>
      </w:r>
    </w:p>
    <w:p w14:paraId="003B4894" w14:textId="77777777" w:rsidR="005A730B" w:rsidRDefault="005A730B" w:rsidP="005A730B">
      <w:pPr>
        <w:jc w:val="both"/>
        <w:rPr>
          <w:rFonts w:ascii="Arial" w:hAnsi="Arial" w:cs="Arial"/>
          <w:sz w:val="21"/>
          <w:szCs w:val="21"/>
          <w:highlight w:val="yellow"/>
        </w:rPr>
      </w:pPr>
    </w:p>
    <w:p w14:paraId="7D5C0B7C" w14:textId="77777777" w:rsidR="005A730B" w:rsidRDefault="005A730B" w:rsidP="005A730B">
      <w:pPr>
        <w:jc w:val="both"/>
        <w:rPr>
          <w:rFonts w:ascii="Arial" w:hAnsi="Arial" w:cs="Arial"/>
          <w:sz w:val="21"/>
          <w:szCs w:val="21"/>
        </w:rPr>
      </w:pPr>
      <w:r>
        <w:rPr>
          <w:rFonts w:ascii="Arial" w:hAnsi="Arial" w:cs="Arial"/>
          <w:sz w:val="21"/>
          <w:szCs w:val="21"/>
        </w:rPr>
        <w:t>Por lo anterior, existen diferencias significativas en la ejecución presupuestal tanto de ingreso como de gastos, así como también, en el cierre de tesorería.</w:t>
      </w:r>
    </w:p>
    <w:p w14:paraId="4F319D51" w14:textId="77777777" w:rsidR="005A730B" w:rsidRDefault="005A730B" w:rsidP="005A730B">
      <w:pPr>
        <w:jc w:val="both"/>
        <w:rPr>
          <w:rFonts w:ascii="Arial" w:hAnsi="Arial" w:cs="Arial"/>
          <w:sz w:val="21"/>
          <w:szCs w:val="21"/>
        </w:rPr>
      </w:pPr>
    </w:p>
    <w:p w14:paraId="3D6D0BA9" w14:textId="77777777" w:rsidR="005A730B" w:rsidRDefault="005A730B" w:rsidP="005A730B">
      <w:pPr>
        <w:jc w:val="both"/>
        <w:rPr>
          <w:rFonts w:ascii="Arial" w:hAnsi="Arial" w:cs="Arial"/>
          <w:sz w:val="21"/>
          <w:szCs w:val="21"/>
        </w:rPr>
      </w:pPr>
      <w:r>
        <w:rPr>
          <w:rFonts w:ascii="Arial" w:hAnsi="Arial" w:cs="Arial"/>
          <w:sz w:val="21"/>
          <w:szCs w:val="21"/>
        </w:rPr>
        <w:t>Del mismo modo, para la vigencia 2021 se observó una baja ejecución de los recursos programados frente a los ejecutados (78</w:t>
      </w:r>
      <w:r w:rsidR="00A57834">
        <w:rPr>
          <w:rFonts w:ascii="Arial" w:hAnsi="Arial" w:cs="Arial"/>
          <w:sz w:val="21"/>
          <w:szCs w:val="21"/>
        </w:rPr>
        <w:t>%</w:t>
      </w:r>
      <w:r>
        <w:rPr>
          <w:rFonts w:ascii="Arial" w:hAnsi="Arial" w:cs="Arial"/>
          <w:sz w:val="21"/>
          <w:szCs w:val="21"/>
        </w:rPr>
        <w:t>), situación que es más crítica, en el componente de Salud Pública en donde la ejecución fue de 76</w:t>
      </w:r>
      <w:r w:rsidR="00A57834">
        <w:rPr>
          <w:rFonts w:ascii="Arial" w:hAnsi="Arial" w:cs="Arial"/>
          <w:sz w:val="21"/>
          <w:szCs w:val="21"/>
        </w:rPr>
        <w:t>%</w:t>
      </w:r>
      <w:r>
        <w:rPr>
          <w:rFonts w:ascii="Arial" w:hAnsi="Arial" w:cs="Arial"/>
          <w:sz w:val="21"/>
          <w:szCs w:val="21"/>
        </w:rPr>
        <w:t>, en medio de la situación de pandemia que se presentó. Lo anterior evidencia, problemas en la planeación y en la ejecución de los recursos, particularmente en los del Sistema General de Participaciones.</w:t>
      </w:r>
    </w:p>
    <w:p w14:paraId="1B652711" w14:textId="77777777" w:rsidR="005A730B" w:rsidRDefault="005A730B" w:rsidP="005A730B">
      <w:pPr>
        <w:jc w:val="both"/>
        <w:rPr>
          <w:rFonts w:ascii="Arial" w:hAnsi="Arial" w:cs="Arial"/>
          <w:sz w:val="21"/>
          <w:szCs w:val="21"/>
        </w:rPr>
      </w:pPr>
    </w:p>
    <w:p w14:paraId="12987465" w14:textId="77777777" w:rsidR="005A730B" w:rsidRDefault="005A730B" w:rsidP="005A730B">
      <w:pPr>
        <w:pStyle w:val="Prrafodelista"/>
        <w:numPr>
          <w:ilvl w:val="1"/>
          <w:numId w:val="19"/>
        </w:numPr>
        <w:jc w:val="both"/>
        <w:rPr>
          <w:rFonts w:ascii="Arial" w:hAnsi="Arial" w:cs="Arial"/>
          <w:b/>
          <w:sz w:val="21"/>
          <w:szCs w:val="21"/>
        </w:rPr>
      </w:pPr>
      <w:r>
        <w:rPr>
          <w:rFonts w:ascii="Arial" w:hAnsi="Arial" w:cs="Arial"/>
          <w:b/>
          <w:sz w:val="21"/>
          <w:szCs w:val="21"/>
        </w:rPr>
        <w:t xml:space="preserve"> Análisis contable.</w:t>
      </w:r>
    </w:p>
    <w:p w14:paraId="7DB60986" w14:textId="77777777" w:rsidR="005A730B" w:rsidRDefault="005A730B" w:rsidP="005A730B">
      <w:pPr>
        <w:jc w:val="both"/>
        <w:rPr>
          <w:rFonts w:ascii="Arial" w:hAnsi="Arial" w:cs="Arial"/>
          <w:b/>
          <w:sz w:val="21"/>
          <w:szCs w:val="21"/>
        </w:rPr>
      </w:pPr>
    </w:p>
    <w:p w14:paraId="4B985AC8" w14:textId="77777777" w:rsidR="005A730B" w:rsidRDefault="005A730B" w:rsidP="005A730B">
      <w:pPr>
        <w:jc w:val="both"/>
        <w:rPr>
          <w:rFonts w:ascii="Arial" w:eastAsia="Calibri" w:hAnsi="Arial" w:cs="Arial"/>
          <w:sz w:val="21"/>
          <w:szCs w:val="21"/>
        </w:rPr>
      </w:pPr>
      <w:r>
        <w:rPr>
          <w:rFonts w:ascii="Arial" w:eastAsia="Calibri" w:hAnsi="Arial" w:cs="Arial"/>
          <w:sz w:val="21"/>
          <w:szCs w:val="21"/>
        </w:rPr>
        <w:t>La Entidad Territorial presenta una desagregación contable independiente para el Fondo Local de Salud dentro del sistema contable general. En ese orden, los códigos contables de las cuentas y subcuentas, así como las operaciones contables están ajustados de acuerdo con lo dispuesto en el Manual de Procedimientos Contables de la Contaduría General de la Nación.</w:t>
      </w:r>
    </w:p>
    <w:p w14:paraId="2EDF834C" w14:textId="77777777" w:rsidR="005A730B" w:rsidRDefault="005A730B" w:rsidP="005A730B">
      <w:pPr>
        <w:jc w:val="both"/>
        <w:rPr>
          <w:rFonts w:ascii="Arial" w:eastAsia="Calibri" w:hAnsi="Arial" w:cs="Arial"/>
          <w:sz w:val="21"/>
          <w:szCs w:val="21"/>
        </w:rPr>
      </w:pPr>
    </w:p>
    <w:p w14:paraId="4FBCCFE1" w14:textId="77777777" w:rsidR="005A730B" w:rsidRDefault="005A730B" w:rsidP="005A730B">
      <w:pPr>
        <w:jc w:val="both"/>
        <w:rPr>
          <w:rFonts w:ascii="Arial" w:eastAsia="Calibri" w:hAnsi="Arial" w:cs="Arial"/>
          <w:sz w:val="21"/>
          <w:szCs w:val="21"/>
        </w:rPr>
      </w:pPr>
      <w:r>
        <w:rPr>
          <w:rFonts w:ascii="Arial" w:eastAsia="Calibri" w:hAnsi="Arial" w:cs="Arial"/>
          <w:sz w:val="21"/>
          <w:szCs w:val="21"/>
        </w:rPr>
        <w:t>El balance general a 31 de diciembre de 2020, el activo ascendió a $1,3 billones, el pasivo a $599.765 millones y el patrimonio a $698.853 millones, resaltando que la presentación de la información de la Entidad maneja cuentas que están por fuera de la normatividad contable, como es el de presentar los ingresos y los gastos en los resultados del balance; ahora, al tomar los datos reportados por la Entidad en el FUT, se evidencia que ésta reporta su contabilidad balanceada.</w:t>
      </w:r>
    </w:p>
    <w:p w14:paraId="197FB957" w14:textId="77777777" w:rsidR="005A730B" w:rsidRDefault="005A730B" w:rsidP="005A730B">
      <w:pPr>
        <w:jc w:val="both"/>
        <w:rPr>
          <w:rFonts w:ascii="Arial" w:eastAsia="Calibri" w:hAnsi="Arial" w:cs="Arial"/>
          <w:sz w:val="21"/>
          <w:szCs w:val="21"/>
        </w:rPr>
      </w:pPr>
    </w:p>
    <w:p w14:paraId="53F606D6" w14:textId="77777777" w:rsidR="005A730B" w:rsidRDefault="005A730B" w:rsidP="005A730B">
      <w:pPr>
        <w:jc w:val="both"/>
        <w:rPr>
          <w:rFonts w:ascii="Arial" w:eastAsia="Calibri" w:hAnsi="Arial" w:cs="Arial"/>
          <w:sz w:val="21"/>
          <w:szCs w:val="21"/>
        </w:rPr>
      </w:pPr>
      <w:r>
        <w:rPr>
          <w:rFonts w:ascii="Arial" w:eastAsia="Calibri" w:hAnsi="Arial" w:cs="Arial"/>
          <w:sz w:val="21"/>
          <w:szCs w:val="21"/>
        </w:rPr>
        <w:t>Para la vigencia 2021 en el balance general, el activo ascendió a $23.373 millones, el pasivo a $17.574 millones y el patrimonio a $5.799 millones. Cabe resaltar que, en la solicitud de información de prediagnóstico, la secretaría de Salud envió la contabilidad consolidada con la Entidad Territorial; sin embargo, para esta etapa se entregó de manera separada lo correspondiente al Fondo Local de Salud.</w:t>
      </w:r>
    </w:p>
    <w:p w14:paraId="20711D7B" w14:textId="77777777" w:rsidR="005A730B" w:rsidRDefault="005A730B" w:rsidP="005A730B">
      <w:pPr>
        <w:jc w:val="both"/>
        <w:rPr>
          <w:rFonts w:ascii="Arial" w:eastAsia="Calibri" w:hAnsi="Arial" w:cs="Arial"/>
          <w:sz w:val="21"/>
          <w:szCs w:val="21"/>
        </w:rPr>
      </w:pPr>
    </w:p>
    <w:p w14:paraId="2E84B414" w14:textId="77777777" w:rsidR="005A730B" w:rsidRDefault="005A730B" w:rsidP="005A730B">
      <w:pPr>
        <w:jc w:val="both"/>
        <w:rPr>
          <w:rFonts w:ascii="Arial" w:eastAsia="Calibri" w:hAnsi="Arial" w:cs="Arial"/>
          <w:sz w:val="21"/>
          <w:szCs w:val="21"/>
        </w:rPr>
      </w:pPr>
      <w:r>
        <w:rPr>
          <w:rFonts w:ascii="Arial" w:eastAsia="Calibri" w:hAnsi="Arial" w:cs="Arial"/>
          <w:sz w:val="21"/>
          <w:szCs w:val="21"/>
        </w:rPr>
        <w:t xml:space="preserve">En cuanto al reporte del proceso contable, en el Formulario Único Territorial - FUT de la Categoría Información Contable Pública, no es posible identificar con precisión el origen y </w:t>
      </w:r>
      <w:r>
        <w:rPr>
          <w:rFonts w:ascii="Arial" w:eastAsia="Calibri" w:hAnsi="Arial" w:cs="Arial"/>
          <w:sz w:val="21"/>
          <w:szCs w:val="21"/>
        </w:rPr>
        <w:lastRenderedPageBreak/>
        <w:t>destinación de los recursos de cada una de las fuentes de este, debido a que la información se refleja consolida; es decir, no está discriminada lo correspondiente al Fondo Local de Salud.</w:t>
      </w:r>
    </w:p>
    <w:p w14:paraId="33FD262D" w14:textId="77777777" w:rsidR="005A730B" w:rsidRDefault="005A730B" w:rsidP="005A730B">
      <w:pPr>
        <w:jc w:val="both"/>
        <w:rPr>
          <w:rFonts w:ascii="Arial" w:eastAsia="Calibri" w:hAnsi="Arial" w:cs="Arial"/>
          <w:sz w:val="21"/>
          <w:szCs w:val="21"/>
        </w:rPr>
      </w:pPr>
    </w:p>
    <w:p w14:paraId="11AE6E0F" w14:textId="77777777" w:rsidR="005A730B" w:rsidRDefault="005A730B" w:rsidP="005A730B">
      <w:pPr>
        <w:pStyle w:val="Prrafodelista"/>
        <w:numPr>
          <w:ilvl w:val="0"/>
          <w:numId w:val="19"/>
        </w:numPr>
        <w:jc w:val="both"/>
        <w:rPr>
          <w:rFonts w:ascii="Arial" w:hAnsi="Arial" w:cs="Arial"/>
          <w:b/>
          <w:sz w:val="21"/>
          <w:szCs w:val="21"/>
        </w:rPr>
      </w:pPr>
      <w:r>
        <w:rPr>
          <w:rFonts w:ascii="Arial" w:hAnsi="Arial" w:cs="Arial"/>
          <w:b/>
          <w:sz w:val="21"/>
          <w:szCs w:val="21"/>
        </w:rPr>
        <w:t>Régimen Subsidiado.</w:t>
      </w:r>
    </w:p>
    <w:p w14:paraId="6BC0E387" w14:textId="77777777" w:rsidR="005A730B" w:rsidRDefault="005A730B" w:rsidP="005A730B">
      <w:pPr>
        <w:jc w:val="both"/>
        <w:rPr>
          <w:rFonts w:ascii="Arial" w:hAnsi="Arial" w:cs="Arial"/>
          <w:b/>
          <w:sz w:val="21"/>
          <w:szCs w:val="21"/>
        </w:rPr>
      </w:pPr>
    </w:p>
    <w:p w14:paraId="61E5A714" w14:textId="77777777" w:rsidR="005A730B" w:rsidRDefault="005A730B" w:rsidP="005A730B">
      <w:pPr>
        <w:jc w:val="both"/>
        <w:rPr>
          <w:rFonts w:ascii="Arial" w:hAnsi="Arial" w:cs="Arial"/>
          <w:sz w:val="21"/>
          <w:szCs w:val="21"/>
          <w:highlight w:val="yellow"/>
        </w:rPr>
      </w:pPr>
      <w:r>
        <w:rPr>
          <w:rFonts w:ascii="Arial" w:hAnsi="Arial" w:cs="Arial"/>
          <w:sz w:val="21"/>
          <w:szCs w:val="21"/>
        </w:rPr>
        <w:t>De conformidad con lo establecido en el artículo 43 de la Ley 715 de 2001, los departamentos son responsables de dirigir, coordinar y vigilar el Sector Salud y el Sistema General de Seguridad Social en Salud en el territorio de su jurisdicción. Frente al aseguramiento, les corresponde vigilar y controlar el aseguramiento en el Sistema General de Seguridad Social en Salud y en los regímenes de excepción definidos en la Ley 100 de 1993, así como cofinanciar la prestación de servicios a la población pobre afiliada al Régimen Subsidiado.</w:t>
      </w:r>
    </w:p>
    <w:p w14:paraId="42479FFA" w14:textId="77777777" w:rsidR="005A730B" w:rsidRDefault="005A730B" w:rsidP="005A730B">
      <w:pPr>
        <w:jc w:val="both"/>
        <w:rPr>
          <w:rFonts w:ascii="Arial" w:hAnsi="Arial" w:cs="Arial"/>
          <w:sz w:val="21"/>
          <w:szCs w:val="21"/>
          <w:highlight w:val="yellow"/>
        </w:rPr>
      </w:pPr>
    </w:p>
    <w:p w14:paraId="50D1215F" w14:textId="77777777" w:rsidR="005A730B" w:rsidRDefault="005A730B" w:rsidP="005A730B">
      <w:pPr>
        <w:jc w:val="both"/>
        <w:rPr>
          <w:rFonts w:ascii="Arial" w:hAnsi="Arial" w:cs="Arial"/>
          <w:i/>
          <w:sz w:val="21"/>
          <w:szCs w:val="21"/>
        </w:rPr>
      </w:pPr>
      <w:r>
        <w:rPr>
          <w:rFonts w:ascii="Arial" w:hAnsi="Arial" w:cs="Arial"/>
          <w:sz w:val="21"/>
          <w:szCs w:val="21"/>
        </w:rPr>
        <w:t xml:space="preserve">En cumplimiento a los artículos 2.3.2.2.2 y 2.3.2.2.3 del Decreto 780 de 2016, la Entidad Territorial expidió la Resolución No. 176 del 22 de febrero de 2021, por medio de la cual se estableció que el costo total de aseguramiento para la vigencia 2021 fue de $9.864 millones los cuales se ajustan a los proyectados por el MSPS en su matriz de cofinanciación, publicada en la página </w:t>
      </w:r>
      <w:r>
        <w:rPr>
          <w:rFonts w:ascii="Arial" w:hAnsi="Arial" w:cs="Arial"/>
          <w:i/>
          <w:iCs/>
          <w:sz w:val="21"/>
          <w:szCs w:val="21"/>
        </w:rPr>
        <w:t>Web</w:t>
      </w:r>
      <w:r>
        <w:rPr>
          <w:rFonts w:ascii="Arial" w:hAnsi="Arial" w:cs="Arial"/>
          <w:sz w:val="21"/>
          <w:szCs w:val="21"/>
        </w:rPr>
        <w:t xml:space="preserve"> de este Ministerio.</w:t>
      </w:r>
    </w:p>
    <w:p w14:paraId="01FA1467" w14:textId="77777777" w:rsidR="005A730B" w:rsidRDefault="005A730B" w:rsidP="005A730B">
      <w:pPr>
        <w:jc w:val="both"/>
        <w:rPr>
          <w:rFonts w:ascii="Arial" w:eastAsia="Calibri" w:hAnsi="Arial" w:cs="Arial"/>
          <w:sz w:val="21"/>
          <w:szCs w:val="21"/>
        </w:rPr>
      </w:pPr>
    </w:p>
    <w:p w14:paraId="71ED738E" w14:textId="77777777" w:rsidR="005A730B" w:rsidRDefault="005A730B" w:rsidP="005A730B">
      <w:pPr>
        <w:jc w:val="both"/>
        <w:rPr>
          <w:rFonts w:ascii="Arial" w:eastAsia="Calibri" w:hAnsi="Arial" w:cs="Arial"/>
          <w:sz w:val="21"/>
          <w:szCs w:val="21"/>
        </w:rPr>
      </w:pPr>
      <w:r>
        <w:rPr>
          <w:rFonts w:ascii="Arial" w:hAnsi="Arial" w:cs="Arial"/>
          <w:sz w:val="21"/>
          <w:szCs w:val="21"/>
        </w:rPr>
        <w:t>Ahora bien, de acuerdo con la Matriz de Continuidad del MSPS (ejecución) de la vigencia 2021, el monto ejecutado de cofinanciación con recursos de esfuerzo propio se estimó en $11.995 millones y con base en la ejecución presupuestal de gastos al cierre de 2021, se comprometieron $12.787 millones y se realizaron giros por el mismo valor, mostrando que al cierre de la vigencia 2021, si bien la Entidad realizó la totalidad del pago señalado por el MSPS en la Matriz de Continuidad respectiva, el mismo fue superado en $481 millones, por lo</w:t>
      </w:r>
      <w:r>
        <w:rPr>
          <w:rFonts w:ascii="Arial" w:eastAsia="Calibri" w:hAnsi="Arial" w:cs="Arial"/>
          <w:sz w:val="21"/>
          <w:szCs w:val="21"/>
        </w:rPr>
        <w:t xml:space="preserve"> que la Entidad dio cumplimiento con el monto a cofinanciar en el Régimen Subsidiado. </w:t>
      </w:r>
    </w:p>
    <w:p w14:paraId="3D76FB03" w14:textId="77777777" w:rsidR="005A730B" w:rsidRDefault="005A730B" w:rsidP="005A730B">
      <w:pPr>
        <w:jc w:val="both"/>
        <w:rPr>
          <w:rFonts w:ascii="Arial" w:hAnsi="Arial" w:cs="Arial"/>
          <w:sz w:val="21"/>
          <w:szCs w:val="21"/>
        </w:rPr>
      </w:pPr>
    </w:p>
    <w:p w14:paraId="18886634" w14:textId="77777777" w:rsidR="005A730B" w:rsidRDefault="005A730B" w:rsidP="005A730B">
      <w:pPr>
        <w:jc w:val="both"/>
        <w:rPr>
          <w:rFonts w:ascii="Arial" w:hAnsi="Arial" w:cs="Arial"/>
          <w:sz w:val="21"/>
          <w:szCs w:val="21"/>
        </w:rPr>
      </w:pPr>
      <w:r>
        <w:rPr>
          <w:rFonts w:ascii="Arial" w:hAnsi="Arial" w:cs="Arial"/>
          <w:sz w:val="21"/>
          <w:szCs w:val="21"/>
        </w:rPr>
        <w:t>En cuanto al seguimiento y control del Régimen Subsidiado el Departamento informa que la Secretaría de Salud Departamental, dentro de las competencias de inspección y vigilancia a los municipios de su jurisdicción y a las EPS que operan en el Departamento, realiza asistencias técnicas a la totalidad de los municipios en Auditorias en la prestación del Servicio de Salud, Prevención y Promoción - P y P, afiliaciones, novedades, procesos COVID y demás derivados, como también acciones de inspección, vigilancia, monitoreo y seguimiento a las Entidades Administradoras de Planes de Beneficios de Salud - EAPB en procesos de aseguramiento, procesos de vacunación COVID, procesos de atención integral COVID y Resolución 521 de 2020.</w:t>
      </w:r>
    </w:p>
    <w:p w14:paraId="43C590A3" w14:textId="77777777" w:rsidR="005A730B" w:rsidRDefault="005A730B" w:rsidP="005A730B">
      <w:pPr>
        <w:jc w:val="both"/>
        <w:rPr>
          <w:rFonts w:ascii="Arial" w:hAnsi="Arial" w:cs="Arial"/>
          <w:sz w:val="21"/>
          <w:szCs w:val="21"/>
        </w:rPr>
      </w:pPr>
    </w:p>
    <w:p w14:paraId="0D4A9C74" w14:textId="77777777" w:rsidR="005A730B" w:rsidRDefault="005A730B" w:rsidP="005A730B">
      <w:pPr>
        <w:jc w:val="both"/>
        <w:rPr>
          <w:rFonts w:ascii="Arial" w:hAnsi="Arial" w:cs="Arial"/>
          <w:sz w:val="21"/>
          <w:szCs w:val="21"/>
        </w:rPr>
      </w:pPr>
      <w:r>
        <w:rPr>
          <w:rFonts w:ascii="Arial" w:hAnsi="Arial" w:cs="Arial"/>
          <w:sz w:val="21"/>
          <w:szCs w:val="21"/>
        </w:rPr>
        <w:t>En cuanto al proceso de afiliación se destaca:</w:t>
      </w:r>
    </w:p>
    <w:p w14:paraId="0260BC73" w14:textId="77777777" w:rsidR="005A730B" w:rsidRDefault="005A730B" w:rsidP="005A730B">
      <w:pPr>
        <w:jc w:val="both"/>
        <w:rPr>
          <w:rFonts w:ascii="Arial" w:hAnsi="Arial" w:cs="Arial"/>
          <w:sz w:val="21"/>
          <w:szCs w:val="21"/>
        </w:rPr>
      </w:pPr>
    </w:p>
    <w:p w14:paraId="542A44FE"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La Dirección de Aseguramiento del Departamento ha liderado diferentes estrategias con las alcaldías municipales para garantizar la afiliación inmediata de la población no asegurada al SGSSS, así:</w:t>
      </w:r>
    </w:p>
    <w:p w14:paraId="74A5AD79" w14:textId="77777777" w:rsidR="005A730B" w:rsidRDefault="005A730B" w:rsidP="005A730B">
      <w:pPr>
        <w:autoSpaceDE w:val="0"/>
        <w:autoSpaceDN w:val="0"/>
        <w:adjustRightInd w:val="0"/>
        <w:jc w:val="both"/>
        <w:rPr>
          <w:rFonts w:ascii="Arial" w:hAnsi="Arial" w:cs="Arial"/>
          <w:sz w:val="21"/>
          <w:szCs w:val="21"/>
        </w:rPr>
      </w:pPr>
    </w:p>
    <w:p w14:paraId="12FCECB4"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Capacitaciones a alcaldías municipales.</w:t>
      </w:r>
    </w:p>
    <w:p w14:paraId="0C115EAE"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Asistencias técnicas presenciales.</w:t>
      </w:r>
    </w:p>
    <w:p w14:paraId="1169EFE9"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Asistencias técnicas virtuales.</w:t>
      </w:r>
    </w:p>
    <w:p w14:paraId="2825880D"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 xml:space="preserve">Campañas publicitarias para afiliaciones: presenciales: enero y febrero y virtuales: marzo a diciembre (gran </w:t>
      </w:r>
      <w:proofErr w:type="spellStart"/>
      <w:r>
        <w:rPr>
          <w:rFonts w:ascii="Arial" w:hAnsi="Arial" w:cs="Arial"/>
          <w:sz w:val="21"/>
          <w:szCs w:val="21"/>
        </w:rPr>
        <w:t>afiliatón</w:t>
      </w:r>
      <w:proofErr w:type="spellEnd"/>
      <w:r>
        <w:rPr>
          <w:rFonts w:ascii="Arial" w:hAnsi="Arial" w:cs="Arial"/>
          <w:sz w:val="21"/>
          <w:szCs w:val="21"/>
        </w:rPr>
        <w:t xml:space="preserve"> virtual).</w:t>
      </w:r>
    </w:p>
    <w:p w14:paraId="42E11C5C"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Construcción, divulgación y aplicación de la ruta para afiliación de la población no asegurada al SGSSS en los municipios, EPS e IPS, de acuerdo con lo establecido en el Decreto 064 de 2020 y Resolución 1128/2020.</w:t>
      </w:r>
    </w:p>
    <w:p w14:paraId="5109D3C2"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lastRenderedPageBreak/>
        <w:t>Asistencia técnica y asesoría constante a las alcaldías municipales en los procesos de afiliación.</w:t>
      </w:r>
    </w:p>
    <w:p w14:paraId="010D8742"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Gestión de la afiliación inmediata a pacientes hospitalizados.</w:t>
      </w:r>
    </w:p>
    <w:p w14:paraId="7F0A90EA"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Seguimiento al Plan de Acción para la focalización y afiliación de la población no asegurada realizado por los municipios.</w:t>
      </w:r>
    </w:p>
    <w:p w14:paraId="53666C13" w14:textId="77777777" w:rsidR="005A730B" w:rsidRDefault="005A730B" w:rsidP="005A730B">
      <w:pPr>
        <w:pStyle w:val="Prrafodelista"/>
        <w:numPr>
          <w:ilvl w:val="1"/>
          <w:numId w:val="38"/>
        </w:numPr>
        <w:autoSpaceDE w:val="0"/>
        <w:autoSpaceDN w:val="0"/>
        <w:adjustRightInd w:val="0"/>
        <w:ind w:left="426" w:hanging="426"/>
        <w:jc w:val="both"/>
        <w:rPr>
          <w:rFonts w:ascii="Arial" w:hAnsi="Arial" w:cs="Arial"/>
          <w:sz w:val="21"/>
          <w:szCs w:val="21"/>
        </w:rPr>
      </w:pPr>
      <w:r>
        <w:rPr>
          <w:rFonts w:ascii="Arial" w:hAnsi="Arial" w:cs="Arial"/>
          <w:sz w:val="21"/>
          <w:szCs w:val="21"/>
        </w:rPr>
        <w:t>Capacitación y seguimiento a alcaldías municipales y ESE en la implementación y operación del Sistema de Afiliación Transaccional - SAT.</w:t>
      </w:r>
    </w:p>
    <w:p w14:paraId="1B4CFF14" w14:textId="77777777" w:rsidR="005A730B" w:rsidRDefault="005A730B" w:rsidP="005A730B">
      <w:pPr>
        <w:autoSpaceDE w:val="0"/>
        <w:autoSpaceDN w:val="0"/>
        <w:adjustRightInd w:val="0"/>
        <w:jc w:val="both"/>
        <w:rPr>
          <w:rFonts w:ascii="Arial" w:hAnsi="Arial" w:cs="Arial"/>
          <w:sz w:val="21"/>
          <w:szCs w:val="21"/>
        </w:rPr>
      </w:pPr>
    </w:p>
    <w:p w14:paraId="73E26480" w14:textId="77777777" w:rsidR="005A730B" w:rsidRDefault="005A730B" w:rsidP="005A730B">
      <w:pPr>
        <w:jc w:val="both"/>
        <w:rPr>
          <w:rFonts w:ascii="Arial" w:hAnsi="Arial" w:cs="Arial"/>
          <w:sz w:val="21"/>
          <w:szCs w:val="21"/>
        </w:rPr>
      </w:pPr>
      <w:r>
        <w:rPr>
          <w:rFonts w:ascii="Arial" w:hAnsi="Arial" w:cs="Arial"/>
          <w:sz w:val="21"/>
          <w:szCs w:val="21"/>
        </w:rPr>
        <w:t>A corte de diciembre de 2020 se logró incrementar en un 2</w:t>
      </w:r>
      <w:r w:rsidR="00A57834">
        <w:rPr>
          <w:rFonts w:ascii="Arial" w:hAnsi="Arial" w:cs="Arial"/>
          <w:sz w:val="21"/>
          <w:szCs w:val="21"/>
        </w:rPr>
        <w:t>%</w:t>
      </w:r>
      <w:r>
        <w:rPr>
          <w:rFonts w:ascii="Arial" w:hAnsi="Arial" w:cs="Arial"/>
          <w:sz w:val="21"/>
          <w:szCs w:val="21"/>
        </w:rPr>
        <w:t xml:space="preserve"> la cobertura en Salud, alcanzando actualmente un 99</w:t>
      </w:r>
      <w:r w:rsidR="00A57834">
        <w:rPr>
          <w:rFonts w:ascii="Arial" w:hAnsi="Arial" w:cs="Arial"/>
          <w:sz w:val="21"/>
          <w:szCs w:val="21"/>
        </w:rPr>
        <w:t>%</w:t>
      </w:r>
      <w:r>
        <w:rPr>
          <w:rFonts w:ascii="Arial" w:hAnsi="Arial" w:cs="Arial"/>
          <w:sz w:val="21"/>
          <w:szCs w:val="21"/>
        </w:rPr>
        <w:t xml:space="preserve"> de la meta establecida por el Gobierno Nacional. Durante la vigencia 2020 se han realizado 29.684 afiliaciones al Régimen Subsidiado, lo que refleja las actuaciones realizadas por las entidades territoriales en articulación con la Dirección de Salud Departamental, en aras de lograr la cobertura universal de la población pobre y vulnerable del Departamento.</w:t>
      </w:r>
    </w:p>
    <w:p w14:paraId="4F367238" w14:textId="77777777" w:rsidR="005A730B" w:rsidRDefault="005A730B" w:rsidP="005A730B">
      <w:pPr>
        <w:jc w:val="both"/>
        <w:rPr>
          <w:rFonts w:ascii="Arial" w:hAnsi="Arial" w:cs="Arial"/>
          <w:sz w:val="21"/>
          <w:szCs w:val="21"/>
        </w:rPr>
      </w:pPr>
    </w:p>
    <w:p w14:paraId="76C8A196" w14:textId="77777777" w:rsidR="005A730B" w:rsidRDefault="005A730B" w:rsidP="005A730B">
      <w:pPr>
        <w:pStyle w:val="Default"/>
        <w:jc w:val="both"/>
        <w:rPr>
          <w:sz w:val="21"/>
          <w:szCs w:val="21"/>
        </w:rPr>
      </w:pPr>
      <w:r>
        <w:rPr>
          <w:sz w:val="21"/>
          <w:szCs w:val="21"/>
        </w:rPr>
        <w:t>En cuanto a las auditorías realizadas por el Departamento en el marco de su competencia de control, fue posible observar el cumplimiento de estas; del informe se destaca que, de los 16 municipios, 15 reportaron a tiempo los informes de autorías y su resultado se muestra a continuación:</w:t>
      </w:r>
    </w:p>
    <w:p w14:paraId="09EBF021" w14:textId="77777777" w:rsidR="005A730B" w:rsidRDefault="005A730B" w:rsidP="005A730B">
      <w:pPr>
        <w:pStyle w:val="Default"/>
        <w:rPr>
          <w:sz w:val="21"/>
          <w:szCs w:val="21"/>
        </w:rPr>
      </w:pPr>
    </w:p>
    <w:p w14:paraId="3B67E68C" w14:textId="77777777" w:rsidR="005A730B" w:rsidRDefault="005A730B" w:rsidP="005A730B">
      <w:pPr>
        <w:pStyle w:val="Prrafodelista"/>
        <w:numPr>
          <w:ilvl w:val="0"/>
          <w:numId w:val="39"/>
        </w:numPr>
        <w:autoSpaceDE w:val="0"/>
        <w:autoSpaceDN w:val="0"/>
        <w:adjustRightInd w:val="0"/>
        <w:jc w:val="both"/>
        <w:rPr>
          <w:rFonts w:ascii="Arial" w:eastAsiaTheme="minorHAnsi" w:hAnsi="Arial" w:cs="Arial"/>
          <w:color w:val="000000"/>
          <w:sz w:val="21"/>
          <w:szCs w:val="21"/>
          <w:lang w:val="es-CO" w:eastAsia="en-US"/>
        </w:rPr>
      </w:pPr>
      <w:r>
        <w:rPr>
          <w:rFonts w:ascii="Arial" w:eastAsiaTheme="minorHAnsi" w:hAnsi="Arial" w:cs="Arial"/>
          <w:color w:val="000000"/>
          <w:sz w:val="21"/>
          <w:szCs w:val="21"/>
          <w:lang w:val="es-CO" w:eastAsia="en-US"/>
        </w:rPr>
        <w:t xml:space="preserve">Cuatro (4) municipios (Curillo, Milán, San Vicente del </w:t>
      </w:r>
      <w:proofErr w:type="spellStart"/>
      <w:r>
        <w:rPr>
          <w:rFonts w:ascii="Arial" w:eastAsiaTheme="minorHAnsi" w:hAnsi="Arial" w:cs="Arial"/>
          <w:color w:val="000000"/>
          <w:sz w:val="21"/>
          <w:szCs w:val="21"/>
          <w:lang w:val="es-CO" w:eastAsia="en-US"/>
        </w:rPr>
        <w:t>Caguan</w:t>
      </w:r>
      <w:proofErr w:type="spellEnd"/>
      <w:r>
        <w:rPr>
          <w:rFonts w:ascii="Arial" w:eastAsiaTheme="minorHAnsi" w:hAnsi="Arial" w:cs="Arial"/>
          <w:color w:val="000000"/>
          <w:sz w:val="21"/>
          <w:szCs w:val="21"/>
          <w:lang w:val="es-CO" w:eastAsia="en-US"/>
        </w:rPr>
        <w:t xml:space="preserve"> y El Paujil) obtienen calificación de tres (3) - satisfactoria inspección, vigilancia y gestión en el proceso de auditoría arrojando un 25</w:t>
      </w:r>
      <w:r w:rsidR="00A57834">
        <w:rPr>
          <w:rFonts w:ascii="Arial" w:eastAsiaTheme="minorHAnsi" w:hAnsi="Arial" w:cs="Arial"/>
          <w:color w:val="000000"/>
          <w:sz w:val="21"/>
          <w:szCs w:val="21"/>
          <w:lang w:val="es-CO" w:eastAsia="en-US"/>
        </w:rPr>
        <w:t>%</w:t>
      </w:r>
      <w:r>
        <w:rPr>
          <w:rFonts w:ascii="Arial" w:eastAsiaTheme="minorHAnsi" w:hAnsi="Arial" w:cs="Arial"/>
          <w:color w:val="000000"/>
          <w:sz w:val="21"/>
          <w:szCs w:val="21"/>
          <w:lang w:val="es-CO" w:eastAsia="en-US"/>
        </w:rPr>
        <w:t xml:space="preserve"> del total de municipios ubicados en dicha escala.</w:t>
      </w:r>
    </w:p>
    <w:p w14:paraId="1C046A6B" w14:textId="77777777" w:rsidR="005A730B" w:rsidRDefault="005A730B" w:rsidP="005A730B">
      <w:pPr>
        <w:pStyle w:val="Prrafodelista"/>
        <w:numPr>
          <w:ilvl w:val="0"/>
          <w:numId w:val="39"/>
        </w:numPr>
        <w:autoSpaceDE w:val="0"/>
        <w:autoSpaceDN w:val="0"/>
        <w:adjustRightInd w:val="0"/>
        <w:jc w:val="both"/>
        <w:rPr>
          <w:rFonts w:ascii="Arial" w:eastAsiaTheme="minorHAnsi" w:hAnsi="Arial" w:cs="Arial"/>
          <w:color w:val="000000"/>
          <w:sz w:val="21"/>
          <w:szCs w:val="21"/>
          <w:lang w:val="es-CO" w:eastAsia="en-US"/>
        </w:rPr>
      </w:pPr>
      <w:r>
        <w:rPr>
          <w:rFonts w:ascii="Arial" w:eastAsiaTheme="minorHAnsi" w:hAnsi="Arial" w:cs="Arial"/>
          <w:color w:val="000000"/>
          <w:sz w:val="21"/>
          <w:szCs w:val="21"/>
          <w:lang w:val="es-CO" w:eastAsia="en-US"/>
        </w:rPr>
        <w:t xml:space="preserve">Diez (10) municipios (Albania, Belén de los </w:t>
      </w:r>
      <w:proofErr w:type="spellStart"/>
      <w:r>
        <w:rPr>
          <w:rFonts w:ascii="Arial" w:eastAsiaTheme="minorHAnsi" w:hAnsi="Arial" w:cs="Arial"/>
          <w:color w:val="000000"/>
          <w:sz w:val="21"/>
          <w:szCs w:val="21"/>
          <w:lang w:val="es-CO" w:eastAsia="en-US"/>
        </w:rPr>
        <w:t>Andaquies</w:t>
      </w:r>
      <w:proofErr w:type="spellEnd"/>
      <w:r>
        <w:rPr>
          <w:rFonts w:ascii="Arial" w:eastAsiaTheme="minorHAnsi" w:hAnsi="Arial" w:cs="Arial"/>
          <w:color w:val="000000"/>
          <w:sz w:val="21"/>
          <w:szCs w:val="21"/>
          <w:lang w:val="es-CO" w:eastAsia="en-US"/>
        </w:rPr>
        <w:t>, Cartagena del Chaira, El Doncello, Florencia, Morelia, Puerto Rico, San Jose del Fragua, Solano y Solita) obtienen calificación de dos (2) - aceptable inspección, vigilancia y gestión en el proceso de auditoría arrojando un 62,5</w:t>
      </w:r>
      <w:r w:rsidR="00A57834">
        <w:rPr>
          <w:rFonts w:ascii="Arial" w:eastAsiaTheme="minorHAnsi" w:hAnsi="Arial" w:cs="Arial"/>
          <w:color w:val="000000"/>
          <w:sz w:val="21"/>
          <w:szCs w:val="21"/>
          <w:lang w:val="es-CO" w:eastAsia="en-US"/>
        </w:rPr>
        <w:t>%</w:t>
      </w:r>
      <w:r>
        <w:rPr>
          <w:rFonts w:ascii="Arial" w:eastAsiaTheme="minorHAnsi" w:hAnsi="Arial" w:cs="Arial"/>
          <w:color w:val="000000"/>
          <w:sz w:val="21"/>
          <w:szCs w:val="21"/>
          <w:lang w:val="es-CO" w:eastAsia="en-US"/>
        </w:rPr>
        <w:t xml:space="preserve"> del total de municipios ubicados en dicha escala.</w:t>
      </w:r>
    </w:p>
    <w:p w14:paraId="70735160" w14:textId="77777777" w:rsidR="005A730B" w:rsidRDefault="005A730B" w:rsidP="005A730B">
      <w:pPr>
        <w:pStyle w:val="Prrafodelista"/>
        <w:numPr>
          <w:ilvl w:val="0"/>
          <w:numId w:val="39"/>
        </w:numPr>
        <w:autoSpaceDE w:val="0"/>
        <w:autoSpaceDN w:val="0"/>
        <w:adjustRightInd w:val="0"/>
        <w:jc w:val="both"/>
        <w:rPr>
          <w:rFonts w:ascii="Arial" w:eastAsiaTheme="minorHAnsi" w:hAnsi="Arial" w:cs="Arial"/>
          <w:color w:val="000000"/>
          <w:sz w:val="21"/>
          <w:szCs w:val="21"/>
          <w:lang w:val="es-CO" w:eastAsia="en-US"/>
        </w:rPr>
      </w:pPr>
      <w:r>
        <w:rPr>
          <w:rFonts w:ascii="Arial" w:eastAsiaTheme="minorHAnsi" w:hAnsi="Arial" w:cs="Arial"/>
          <w:color w:val="000000"/>
          <w:sz w:val="21"/>
          <w:szCs w:val="21"/>
          <w:lang w:val="es-CO" w:eastAsia="en-US"/>
        </w:rPr>
        <w:t>Un (1) municipio (La Montañita) obtiene calificación de 1 - deficiente inspección, vigilancia y gestión en el proceso de auditoría arrojando un 6,25</w:t>
      </w:r>
      <w:r w:rsidR="00A57834">
        <w:rPr>
          <w:rFonts w:ascii="Arial" w:eastAsiaTheme="minorHAnsi" w:hAnsi="Arial" w:cs="Arial"/>
          <w:color w:val="000000"/>
          <w:sz w:val="21"/>
          <w:szCs w:val="21"/>
          <w:lang w:val="es-CO" w:eastAsia="en-US"/>
        </w:rPr>
        <w:t>%</w:t>
      </w:r>
      <w:r>
        <w:rPr>
          <w:rFonts w:ascii="Arial" w:eastAsiaTheme="minorHAnsi" w:hAnsi="Arial" w:cs="Arial"/>
          <w:color w:val="000000"/>
          <w:sz w:val="21"/>
          <w:szCs w:val="21"/>
          <w:lang w:val="es-CO" w:eastAsia="en-US"/>
        </w:rPr>
        <w:t xml:space="preserve"> del total de municipios ubicados en dicha escala.</w:t>
      </w:r>
    </w:p>
    <w:p w14:paraId="1305CD28" w14:textId="77777777" w:rsidR="005A730B" w:rsidRDefault="005A730B" w:rsidP="005A730B">
      <w:pPr>
        <w:pStyle w:val="Prrafodelista"/>
        <w:numPr>
          <w:ilvl w:val="0"/>
          <w:numId w:val="39"/>
        </w:numPr>
        <w:autoSpaceDE w:val="0"/>
        <w:autoSpaceDN w:val="0"/>
        <w:adjustRightInd w:val="0"/>
        <w:jc w:val="both"/>
        <w:rPr>
          <w:rFonts w:ascii="Arial" w:eastAsiaTheme="minorHAnsi" w:hAnsi="Arial" w:cs="Arial"/>
          <w:color w:val="000000"/>
          <w:sz w:val="21"/>
          <w:szCs w:val="21"/>
          <w:lang w:val="es-CO" w:eastAsia="en-US"/>
        </w:rPr>
      </w:pPr>
      <w:r>
        <w:rPr>
          <w:rFonts w:ascii="Arial" w:eastAsiaTheme="minorHAnsi" w:hAnsi="Arial" w:cs="Arial"/>
          <w:color w:val="000000"/>
          <w:sz w:val="21"/>
          <w:szCs w:val="21"/>
          <w:lang w:val="es-CO" w:eastAsia="en-US"/>
        </w:rPr>
        <w:t>Un (1) municipio (Valparaíso) obtiene calificación de 0 - nula inspección, vigilancia y gestión en el proceso de auditoria arrojando un 6,25</w:t>
      </w:r>
      <w:r w:rsidR="00A57834">
        <w:rPr>
          <w:rFonts w:ascii="Arial" w:eastAsiaTheme="minorHAnsi" w:hAnsi="Arial" w:cs="Arial"/>
          <w:color w:val="000000"/>
          <w:sz w:val="21"/>
          <w:szCs w:val="21"/>
          <w:lang w:val="es-CO" w:eastAsia="en-US"/>
        </w:rPr>
        <w:t>%</w:t>
      </w:r>
      <w:r>
        <w:rPr>
          <w:rFonts w:ascii="Arial" w:eastAsiaTheme="minorHAnsi" w:hAnsi="Arial" w:cs="Arial"/>
          <w:color w:val="000000"/>
          <w:sz w:val="21"/>
          <w:szCs w:val="21"/>
          <w:lang w:val="es-CO" w:eastAsia="en-US"/>
        </w:rPr>
        <w:t xml:space="preserve"> del total de municipios ubicados en dicha escala (Lo anterior teniendo en cuenta que no presentó informe de auditoría).</w:t>
      </w:r>
    </w:p>
    <w:p w14:paraId="609C45FB" w14:textId="77777777" w:rsidR="005A730B" w:rsidRDefault="005A730B" w:rsidP="005A730B">
      <w:pPr>
        <w:ind w:firstLine="45"/>
        <w:jc w:val="both"/>
        <w:rPr>
          <w:rFonts w:ascii="Arial" w:eastAsiaTheme="minorHAnsi" w:hAnsi="Arial" w:cs="Arial"/>
          <w:color w:val="000000"/>
          <w:sz w:val="21"/>
          <w:szCs w:val="21"/>
          <w:lang w:val="es-CO" w:eastAsia="en-US"/>
        </w:rPr>
      </w:pPr>
    </w:p>
    <w:p w14:paraId="66358ED7" w14:textId="77777777" w:rsidR="005A730B" w:rsidRDefault="005A730B" w:rsidP="005A730B">
      <w:pPr>
        <w:jc w:val="both"/>
        <w:rPr>
          <w:rFonts w:ascii="Arial" w:hAnsi="Arial" w:cs="Arial"/>
          <w:sz w:val="21"/>
          <w:szCs w:val="21"/>
        </w:rPr>
      </w:pPr>
      <w:r>
        <w:rPr>
          <w:rFonts w:ascii="Arial" w:hAnsi="Arial" w:cs="Arial"/>
          <w:sz w:val="21"/>
          <w:szCs w:val="21"/>
        </w:rPr>
        <w:t>Así mismo, la Dirección de Aseguramiento del Departamento informa que se está realizando estricto seguimiento a los compromisos firmados por las partes (ERP – EBP), con el fin de garantizar un adecuado flujo de recursos a las ESE e IPS privadas del Departamento de Caquetá, para que estas puedan afrontar la emergencia sanitaria a causa del COVID-19. Por lo tanto, el resultado del cumplimiento es informado a la Superintendencia Nacional de Salud y los incumplimientos son incluidos en los expedientes de hallazgos de las EPS para apertura de investigación y/o sanción, lo cual se traslada de manera semestral.</w:t>
      </w:r>
    </w:p>
    <w:p w14:paraId="2FB5B416" w14:textId="77777777" w:rsidR="005A730B" w:rsidRDefault="005A730B" w:rsidP="005A730B">
      <w:pPr>
        <w:jc w:val="both"/>
        <w:rPr>
          <w:rFonts w:ascii="Arial" w:hAnsi="Arial" w:cs="Arial"/>
          <w:sz w:val="21"/>
          <w:szCs w:val="21"/>
        </w:rPr>
      </w:pPr>
    </w:p>
    <w:p w14:paraId="68CA6BA2" w14:textId="77777777" w:rsidR="005A730B" w:rsidRDefault="005A730B" w:rsidP="005A730B">
      <w:pPr>
        <w:pStyle w:val="Default"/>
        <w:rPr>
          <w:sz w:val="21"/>
          <w:szCs w:val="21"/>
        </w:rPr>
      </w:pPr>
      <w:r>
        <w:rPr>
          <w:sz w:val="21"/>
          <w:szCs w:val="21"/>
        </w:rPr>
        <w:t>En la vigencia 2021 se realizaron las siguientes actividades:</w:t>
      </w:r>
    </w:p>
    <w:p w14:paraId="3890162B" w14:textId="77777777" w:rsidR="005A730B" w:rsidRDefault="005A730B" w:rsidP="005A730B">
      <w:pPr>
        <w:pStyle w:val="Default"/>
        <w:rPr>
          <w:sz w:val="21"/>
          <w:szCs w:val="21"/>
        </w:rPr>
      </w:pPr>
    </w:p>
    <w:p w14:paraId="0AAF542E"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Mesas de saneamiento de cartera vigencia 2021, de las cuales se han realizado dos (2) convocatorias de manera virtual por la emergencia sanitaria COVID-19, donde participaron las ESE e IPS privadas y las ERP que operan en el Departamento del Caquetá y fuera de éste, logrando avances significativos en pagos y depuración de cartera.</w:t>
      </w:r>
    </w:p>
    <w:p w14:paraId="033D130D" w14:textId="77777777" w:rsidR="005A730B" w:rsidRDefault="005A730B" w:rsidP="005A730B">
      <w:pPr>
        <w:autoSpaceDE w:val="0"/>
        <w:autoSpaceDN w:val="0"/>
        <w:adjustRightInd w:val="0"/>
        <w:rPr>
          <w:rFonts w:ascii="Arial" w:hAnsi="Arial" w:cs="Arial"/>
          <w:sz w:val="21"/>
          <w:szCs w:val="21"/>
        </w:rPr>
      </w:pPr>
    </w:p>
    <w:p w14:paraId="59107EE3" w14:textId="77777777" w:rsidR="005A730B" w:rsidRDefault="005A730B" w:rsidP="005A730B">
      <w:pPr>
        <w:pStyle w:val="Prrafodelista"/>
        <w:numPr>
          <w:ilvl w:val="0"/>
          <w:numId w:val="40"/>
        </w:numPr>
        <w:autoSpaceDE w:val="0"/>
        <w:autoSpaceDN w:val="0"/>
        <w:adjustRightInd w:val="0"/>
        <w:rPr>
          <w:rFonts w:ascii="Arial" w:hAnsi="Arial" w:cs="Arial"/>
          <w:sz w:val="21"/>
          <w:szCs w:val="21"/>
        </w:rPr>
      </w:pPr>
      <w:r>
        <w:rPr>
          <w:rFonts w:ascii="Arial" w:hAnsi="Arial" w:cs="Arial"/>
          <w:sz w:val="21"/>
          <w:szCs w:val="21"/>
        </w:rPr>
        <w:t>Mesas de flujo de recursos de manera virtual por la emergencia sanitaria COVID-19, en coordinación con el Despacho del Superintendente Nacional de Salud.</w:t>
      </w:r>
    </w:p>
    <w:p w14:paraId="68E0A7E7" w14:textId="77777777" w:rsidR="005A730B" w:rsidRDefault="005A730B" w:rsidP="005A730B">
      <w:pPr>
        <w:autoSpaceDE w:val="0"/>
        <w:autoSpaceDN w:val="0"/>
        <w:adjustRightInd w:val="0"/>
        <w:rPr>
          <w:rFonts w:ascii="Arial" w:hAnsi="Arial" w:cs="Arial"/>
          <w:sz w:val="21"/>
          <w:szCs w:val="21"/>
        </w:rPr>
      </w:pPr>
    </w:p>
    <w:p w14:paraId="0D9626CE" w14:textId="77777777" w:rsidR="005A730B" w:rsidRDefault="005A730B" w:rsidP="005A730B">
      <w:pPr>
        <w:pStyle w:val="Prrafodelista"/>
        <w:numPr>
          <w:ilvl w:val="0"/>
          <w:numId w:val="40"/>
        </w:numPr>
        <w:autoSpaceDE w:val="0"/>
        <w:autoSpaceDN w:val="0"/>
        <w:adjustRightInd w:val="0"/>
        <w:jc w:val="both"/>
        <w:rPr>
          <w:rFonts w:ascii="Arial" w:hAnsi="Arial" w:cs="Arial"/>
          <w:sz w:val="21"/>
          <w:szCs w:val="21"/>
        </w:rPr>
      </w:pPr>
      <w:r>
        <w:rPr>
          <w:rFonts w:ascii="Arial" w:hAnsi="Arial" w:cs="Arial"/>
          <w:sz w:val="21"/>
          <w:szCs w:val="21"/>
        </w:rPr>
        <w:t>Mesas de trabajo extraordinarias de flujo de recursos, coordinadas por la Dirección de Aseguramiento de la secretaría de Salud, en la cual se convocó a la ESE Hospital Departamental María Inmaculada con las Entidades Responsables de Pago – ERP del Departamento de Caquetá.</w:t>
      </w:r>
    </w:p>
    <w:p w14:paraId="545B772A" w14:textId="77777777" w:rsidR="005A730B" w:rsidRDefault="005A730B" w:rsidP="005A730B">
      <w:pPr>
        <w:autoSpaceDE w:val="0"/>
        <w:autoSpaceDN w:val="0"/>
        <w:adjustRightInd w:val="0"/>
        <w:rPr>
          <w:rFonts w:ascii="Arial" w:hAnsi="Arial" w:cs="Arial"/>
          <w:sz w:val="21"/>
          <w:szCs w:val="21"/>
        </w:rPr>
      </w:pPr>
    </w:p>
    <w:p w14:paraId="53F7674A" w14:textId="77777777" w:rsidR="005A730B" w:rsidRDefault="005A730B" w:rsidP="005A730B">
      <w:pPr>
        <w:pStyle w:val="Prrafodelista"/>
        <w:numPr>
          <w:ilvl w:val="0"/>
          <w:numId w:val="19"/>
        </w:numPr>
        <w:jc w:val="both"/>
        <w:rPr>
          <w:rFonts w:ascii="Arial" w:eastAsiaTheme="minorHAnsi" w:hAnsi="Arial" w:cs="Arial"/>
          <w:sz w:val="21"/>
          <w:szCs w:val="21"/>
          <w:lang w:val="es-CO" w:eastAsia="en-US"/>
        </w:rPr>
      </w:pPr>
      <w:r>
        <w:rPr>
          <w:rFonts w:ascii="Arial" w:eastAsiaTheme="minorHAnsi" w:hAnsi="Arial" w:cs="Arial"/>
          <w:b/>
          <w:sz w:val="21"/>
          <w:szCs w:val="21"/>
          <w:lang w:val="es-CO" w:eastAsia="en-US"/>
        </w:rPr>
        <w:t xml:space="preserve">Subsidio a la oferta y Reorganización de la </w:t>
      </w:r>
      <w:proofErr w:type="gramStart"/>
      <w:r>
        <w:rPr>
          <w:rFonts w:ascii="Arial" w:eastAsiaTheme="minorHAnsi" w:hAnsi="Arial" w:cs="Arial"/>
          <w:b/>
          <w:sz w:val="21"/>
          <w:szCs w:val="21"/>
          <w:lang w:val="es-CO" w:eastAsia="en-US"/>
        </w:rPr>
        <w:t>Red .</w:t>
      </w:r>
      <w:proofErr w:type="gramEnd"/>
    </w:p>
    <w:p w14:paraId="55426456" w14:textId="77777777" w:rsidR="005A730B" w:rsidRDefault="005A730B" w:rsidP="005A730B">
      <w:pPr>
        <w:pStyle w:val="Prrafodelista"/>
        <w:ind w:left="357"/>
        <w:jc w:val="both"/>
        <w:rPr>
          <w:rFonts w:ascii="Arial" w:hAnsi="Arial" w:cs="Arial"/>
          <w:b/>
          <w:sz w:val="21"/>
          <w:szCs w:val="21"/>
        </w:rPr>
      </w:pPr>
    </w:p>
    <w:p w14:paraId="6F102B01" w14:textId="77777777" w:rsidR="005A730B" w:rsidRDefault="005A730B" w:rsidP="005A730B">
      <w:pPr>
        <w:pStyle w:val="Prrafodelista"/>
        <w:ind w:left="357"/>
        <w:jc w:val="both"/>
        <w:rPr>
          <w:rFonts w:ascii="Arial" w:hAnsi="Arial" w:cs="Arial"/>
          <w:b/>
          <w:sz w:val="21"/>
          <w:szCs w:val="21"/>
        </w:rPr>
      </w:pPr>
    </w:p>
    <w:p w14:paraId="5A4EB78D" w14:textId="77777777" w:rsidR="005A730B" w:rsidRDefault="005A730B" w:rsidP="005A730B">
      <w:pPr>
        <w:pStyle w:val="Prrafodelista"/>
        <w:numPr>
          <w:ilvl w:val="1"/>
          <w:numId w:val="19"/>
        </w:numPr>
        <w:jc w:val="both"/>
        <w:rPr>
          <w:rFonts w:ascii="Arial" w:hAnsi="Arial" w:cs="Arial"/>
          <w:b/>
          <w:sz w:val="21"/>
          <w:szCs w:val="21"/>
        </w:rPr>
      </w:pPr>
      <w:r>
        <w:rPr>
          <w:rFonts w:ascii="Arial" w:hAnsi="Arial" w:cs="Arial"/>
          <w:b/>
          <w:sz w:val="21"/>
          <w:szCs w:val="21"/>
          <w:lang w:val="es-CO" w:eastAsia="en-US"/>
        </w:rPr>
        <w:t>Ejecución de recursos del Subsidio a la oferta.</w:t>
      </w:r>
    </w:p>
    <w:p w14:paraId="18E49589" w14:textId="77777777" w:rsidR="005A730B" w:rsidRDefault="005A730B" w:rsidP="005A730B">
      <w:pPr>
        <w:rPr>
          <w:rFonts w:ascii="Arial" w:hAnsi="Arial" w:cs="Arial"/>
          <w:sz w:val="21"/>
          <w:szCs w:val="21"/>
          <w:lang w:val="es-CO" w:eastAsia="en-US"/>
        </w:rPr>
      </w:pPr>
    </w:p>
    <w:p w14:paraId="14495F2C" w14:textId="77777777" w:rsidR="005A730B" w:rsidRDefault="005A730B" w:rsidP="005A730B">
      <w:pPr>
        <w:pStyle w:val="Default"/>
        <w:jc w:val="both"/>
        <w:rPr>
          <w:color w:val="auto"/>
          <w:sz w:val="21"/>
          <w:szCs w:val="21"/>
        </w:rPr>
      </w:pPr>
      <w:r>
        <w:rPr>
          <w:color w:val="auto"/>
          <w:sz w:val="21"/>
          <w:szCs w:val="21"/>
        </w:rPr>
        <w:t xml:space="preserve">De acuerdo con la información remitida por el Departamento y con base en el listado de las ESE o administradores de infraestructura pública publicado en la </w:t>
      </w:r>
      <w:r>
        <w:rPr>
          <w:i/>
          <w:iCs/>
          <w:color w:val="auto"/>
          <w:sz w:val="21"/>
          <w:szCs w:val="21"/>
        </w:rPr>
        <w:t>Web</w:t>
      </w:r>
      <w:r>
        <w:rPr>
          <w:color w:val="auto"/>
          <w:sz w:val="21"/>
          <w:szCs w:val="21"/>
        </w:rPr>
        <w:t xml:space="preserve"> del MSPS se evidencia que las ESE corresponden a las instituciones objeto de la asignación de recursos del componente de Subsidio a la Oferta del SGP y son con las que la Entidad Territorial puede suscribir el respectivo convenio para su ejecución.</w:t>
      </w:r>
    </w:p>
    <w:p w14:paraId="5DD4C983" w14:textId="77777777" w:rsidR="005A730B" w:rsidRDefault="005A730B" w:rsidP="005A730B">
      <w:pPr>
        <w:pStyle w:val="Default"/>
        <w:jc w:val="both"/>
        <w:rPr>
          <w:color w:val="auto"/>
          <w:sz w:val="21"/>
          <w:szCs w:val="21"/>
        </w:rPr>
      </w:pPr>
    </w:p>
    <w:p w14:paraId="47439F13" w14:textId="77777777" w:rsidR="005A730B" w:rsidRDefault="005A730B" w:rsidP="005A730B">
      <w:pPr>
        <w:pStyle w:val="Default"/>
        <w:jc w:val="both"/>
        <w:rPr>
          <w:rFonts w:eastAsia="MS Mincho"/>
          <w:color w:val="auto"/>
          <w:sz w:val="21"/>
          <w:szCs w:val="21"/>
          <w:lang w:val="es-ES" w:eastAsia="es-ES"/>
        </w:rPr>
      </w:pPr>
      <w:r>
        <w:rPr>
          <w:rFonts w:eastAsia="MS Mincho"/>
          <w:color w:val="auto"/>
          <w:sz w:val="21"/>
          <w:szCs w:val="21"/>
          <w:lang w:val="es-ES" w:eastAsia="es-ES"/>
        </w:rPr>
        <w:t>En cuanto a los convenios para la vigencia 2020, fue posible identificar la consistencia entre los valores distribuidos por el Departamento y el valor incluido en cada uno de los contratos interadministrativos, conforme a lo identificado en los informes de supervisión a los mismos. Ahora, se encontró que la fecha de contratación con las ESE no fue oportuna, pues la contratación se realizó a finales de octubre.</w:t>
      </w:r>
    </w:p>
    <w:p w14:paraId="083A78BE" w14:textId="77777777" w:rsidR="005A730B" w:rsidRDefault="005A730B" w:rsidP="005A730B">
      <w:pPr>
        <w:pStyle w:val="Default"/>
        <w:jc w:val="both"/>
        <w:rPr>
          <w:rFonts w:eastAsia="MS Mincho"/>
          <w:color w:val="auto"/>
          <w:sz w:val="21"/>
          <w:szCs w:val="21"/>
          <w:lang w:val="es-ES" w:eastAsia="es-ES"/>
        </w:rPr>
      </w:pPr>
    </w:p>
    <w:p w14:paraId="4636C686" w14:textId="77777777" w:rsidR="005A730B" w:rsidRDefault="005A730B" w:rsidP="005A730B">
      <w:pPr>
        <w:pStyle w:val="Default"/>
        <w:jc w:val="both"/>
        <w:rPr>
          <w:color w:val="000000" w:themeColor="text1"/>
          <w:sz w:val="21"/>
          <w:szCs w:val="21"/>
        </w:rPr>
      </w:pPr>
      <w:r>
        <w:rPr>
          <w:color w:val="000000" w:themeColor="text1"/>
          <w:sz w:val="21"/>
          <w:szCs w:val="21"/>
        </w:rPr>
        <w:t xml:space="preserve">Para la vigencia 2020, la Entidad envió Informes de supervisión a los contratos o convenios suscritos con las ESE y la copia de las actas de pagos anticipados de las seis (6) ESE en la vigencia, en estas la Entidad certifica el cumplimiento de las actividades contempladas en el respectivo contrato. No obstante, verificado el enlace correspondiente al cargue de los contratos en el SECOP I y SECOP II, estos fueron identificados, situación que además fue corroborada a través de consulta en la página </w:t>
      </w:r>
      <w:r>
        <w:rPr>
          <w:i/>
          <w:iCs/>
          <w:color w:val="000000" w:themeColor="text1"/>
          <w:sz w:val="21"/>
          <w:szCs w:val="21"/>
        </w:rPr>
        <w:t>Web</w:t>
      </w:r>
      <w:r>
        <w:rPr>
          <w:color w:val="000000" w:themeColor="text1"/>
          <w:sz w:val="21"/>
          <w:szCs w:val="21"/>
        </w:rPr>
        <w:t xml:space="preserve"> del SECOP.</w:t>
      </w:r>
    </w:p>
    <w:p w14:paraId="3E6AD0AE" w14:textId="77777777" w:rsidR="005A730B" w:rsidRDefault="005A730B" w:rsidP="005A730B">
      <w:pPr>
        <w:pStyle w:val="Default"/>
        <w:jc w:val="both"/>
        <w:rPr>
          <w:rFonts w:eastAsia="MS Mincho"/>
          <w:color w:val="auto"/>
          <w:sz w:val="21"/>
          <w:szCs w:val="21"/>
          <w:lang w:val="es-ES" w:eastAsia="es-ES"/>
        </w:rPr>
      </w:pPr>
    </w:p>
    <w:p w14:paraId="22D4806D"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Tabla No 9</w:t>
      </w:r>
    </w:p>
    <w:p w14:paraId="4D4F8793"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 xml:space="preserve"> Asignación recursos subsidio a la oferta 2020</w:t>
      </w:r>
    </w:p>
    <w:p w14:paraId="7F10F228" w14:textId="77777777" w:rsidR="005A730B" w:rsidRDefault="005A730B" w:rsidP="005A730B">
      <w:pPr>
        <w:pStyle w:val="Default"/>
        <w:jc w:val="right"/>
        <w:rPr>
          <w:rFonts w:eastAsia="MS Mincho"/>
          <w:b/>
          <w:color w:val="auto"/>
          <w:sz w:val="22"/>
          <w:szCs w:val="22"/>
          <w:lang w:val="es-ES" w:eastAsia="es-ES"/>
        </w:rPr>
      </w:pPr>
      <w:r>
        <w:rPr>
          <w:rFonts w:eastAsia="Times New Roman"/>
          <w:sz w:val="18"/>
          <w:szCs w:val="18"/>
          <w:lang w:eastAsia="es-CO"/>
        </w:rPr>
        <w:t>Cifras en Millones de $</w:t>
      </w:r>
    </w:p>
    <w:tbl>
      <w:tblPr>
        <w:tblW w:w="5000" w:type="pct"/>
        <w:tblCellMar>
          <w:left w:w="70" w:type="dxa"/>
          <w:right w:w="70" w:type="dxa"/>
        </w:tblCellMar>
        <w:tblLook w:val="04A0" w:firstRow="1" w:lastRow="0" w:firstColumn="1" w:lastColumn="0" w:noHBand="0" w:noVBand="1"/>
      </w:tblPr>
      <w:tblGrid>
        <w:gridCol w:w="1708"/>
        <w:gridCol w:w="2387"/>
        <w:gridCol w:w="2605"/>
        <w:gridCol w:w="2128"/>
      </w:tblGrid>
      <w:tr w:rsidR="005A730B" w14:paraId="1CDAFF5C" w14:textId="77777777" w:rsidTr="005A730B">
        <w:trPr>
          <w:trHeight w:val="224"/>
        </w:trPr>
        <w:tc>
          <w:tcPr>
            <w:tcW w:w="952" w:type="pct"/>
            <w:vMerge w:val="restart"/>
            <w:tcBorders>
              <w:top w:val="single" w:sz="4" w:space="0" w:color="auto"/>
              <w:left w:val="single" w:sz="4" w:space="0" w:color="auto"/>
              <w:bottom w:val="single" w:sz="4" w:space="0" w:color="auto"/>
              <w:right w:val="single" w:sz="4" w:space="0" w:color="auto"/>
            </w:tcBorders>
            <w:shd w:val="clear" w:color="auto" w:fill="366092"/>
            <w:noWrap/>
            <w:vAlign w:val="center"/>
            <w:hideMark/>
          </w:tcPr>
          <w:p w14:paraId="4826EDFA"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MUNICIPIO</w:t>
            </w:r>
          </w:p>
        </w:tc>
        <w:tc>
          <w:tcPr>
            <w:tcW w:w="1411" w:type="pct"/>
            <w:vMerge w:val="restart"/>
            <w:tcBorders>
              <w:top w:val="single" w:sz="4" w:space="0" w:color="auto"/>
              <w:left w:val="single" w:sz="4" w:space="0" w:color="auto"/>
              <w:bottom w:val="single" w:sz="4" w:space="0" w:color="auto"/>
              <w:right w:val="single" w:sz="4" w:space="0" w:color="auto"/>
            </w:tcBorders>
            <w:shd w:val="clear" w:color="auto" w:fill="366092"/>
            <w:noWrap/>
            <w:vAlign w:val="center"/>
            <w:hideMark/>
          </w:tcPr>
          <w:p w14:paraId="18847CFE"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EMPRESA SOCIAL DEL ESTADO</w:t>
            </w:r>
          </w:p>
        </w:tc>
        <w:tc>
          <w:tcPr>
            <w:tcW w:w="2637" w:type="pct"/>
            <w:gridSpan w:val="2"/>
            <w:tcBorders>
              <w:top w:val="single" w:sz="4" w:space="0" w:color="auto"/>
              <w:left w:val="nil"/>
              <w:bottom w:val="single" w:sz="4" w:space="0" w:color="auto"/>
              <w:right w:val="single" w:sz="4" w:space="0" w:color="auto"/>
            </w:tcBorders>
            <w:shd w:val="clear" w:color="auto" w:fill="366092"/>
            <w:noWrap/>
            <w:vAlign w:val="center"/>
            <w:hideMark/>
          </w:tcPr>
          <w:p w14:paraId="2DBBE8B4"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TOTAL</w:t>
            </w:r>
          </w:p>
        </w:tc>
      </w:tr>
      <w:tr w:rsidR="005A730B" w14:paraId="44B44581" w14:textId="77777777" w:rsidTr="005A730B">
        <w:trPr>
          <w:trHeight w:val="2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32838" w14:textId="77777777" w:rsidR="005A730B" w:rsidRDefault="005A730B">
            <w:pPr>
              <w:rPr>
                <w:rFonts w:ascii="Arial" w:eastAsia="Times New Roman" w:hAnsi="Arial" w:cs="Arial"/>
                <w:color w:val="FFFFFF"/>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A9DDE" w14:textId="77777777" w:rsidR="005A730B" w:rsidRDefault="005A730B">
            <w:pPr>
              <w:rPr>
                <w:rFonts w:ascii="Arial" w:eastAsia="Times New Roman" w:hAnsi="Arial" w:cs="Arial"/>
                <w:color w:val="FFFFFF"/>
                <w:sz w:val="18"/>
                <w:szCs w:val="18"/>
                <w:lang w:val="es-CO" w:eastAsia="es-CO"/>
              </w:rPr>
            </w:pPr>
          </w:p>
        </w:tc>
        <w:tc>
          <w:tcPr>
            <w:tcW w:w="1451" w:type="pct"/>
            <w:tcBorders>
              <w:top w:val="nil"/>
              <w:left w:val="nil"/>
              <w:bottom w:val="single" w:sz="4" w:space="0" w:color="auto"/>
              <w:right w:val="single" w:sz="4" w:space="0" w:color="auto"/>
            </w:tcBorders>
            <w:shd w:val="clear" w:color="auto" w:fill="366092"/>
            <w:noWrap/>
            <w:vAlign w:val="center"/>
            <w:hideMark/>
          </w:tcPr>
          <w:p w14:paraId="7E775052"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VALOR ASIGNADO POR MUNICIPIO</w:t>
            </w:r>
          </w:p>
        </w:tc>
        <w:tc>
          <w:tcPr>
            <w:tcW w:w="1186" w:type="pct"/>
            <w:tcBorders>
              <w:top w:val="nil"/>
              <w:left w:val="nil"/>
              <w:bottom w:val="single" w:sz="4" w:space="0" w:color="auto"/>
              <w:right w:val="single" w:sz="4" w:space="0" w:color="auto"/>
            </w:tcBorders>
            <w:shd w:val="clear" w:color="auto" w:fill="366092"/>
            <w:noWrap/>
            <w:vAlign w:val="center"/>
            <w:hideMark/>
          </w:tcPr>
          <w:p w14:paraId="42515199"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VALOR ASIGNADO POR ESE</w:t>
            </w:r>
          </w:p>
        </w:tc>
      </w:tr>
      <w:tr w:rsidR="005A730B" w14:paraId="572B63A8"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52DB476B"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San Vicente del Caguán</w:t>
            </w:r>
          </w:p>
        </w:tc>
        <w:tc>
          <w:tcPr>
            <w:tcW w:w="1411" w:type="pct"/>
            <w:tcBorders>
              <w:top w:val="nil"/>
              <w:left w:val="nil"/>
              <w:bottom w:val="single" w:sz="4" w:space="0" w:color="auto"/>
              <w:right w:val="single" w:sz="4" w:space="0" w:color="auto"/>
            </w:tcBorders>
            <w:noWrap/>
            <w:vAlign w:val="center"/>
            <w:hideMark/>
          </w:tcPr>
          <w:p w14:paraId="414FC0BE"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ESE Hospital San Rafael</w:t>
            </w:r>
          </w:p>
        </w:tc>
        <w:tc>
          <w:tcPr>
            <w:tcW w:w="1451" w:type="pct"/>
            <w:tcBorders>
              <w:top w:val="nil"/>
              <w:left w:val="nil"/>
              <w:bottom w:val="single" w:sz="4" w:space="0" w:color="auto"/>
              <w:right w:val="single" w:sz="4" w:space="0" w:color="auto"/>
            </w:tcBorders>
            <w:noWrap/>
            <w:vAlign w:val="center"/>
            <w:hideMark/>
          </w:tcPr>
          <w:p w14:paraId="2BA20FF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$495,3</w:t>
            </w:r>
          </w:p>
        </w:tc>
        <w:tc>
          <w:tcPr>
            <w:tcW w:w="1186" w:type="pct"/>
            <w:tcBorders>
              <w:top w:val="nil"/>
              <w:left w:val="nil"/>
              <w:bottom w:val="single" w:sz="4" w:space="0" w:color="auto"/>
              <w:right w:val="single" w:sz="4" w:space="0" w:color="auto"/>
            </w:tcBorders>
            <w:noWrap/>
            <w:vAlign w:val="center"/>
            <w:hideMark/>
          </w:tcPr>
          <w:p w14:paraId="034A5F0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$495,3</w:t>
            </w:r>
          </w:p>
        </w:tc>
      </w:tr>
      <w:tr w:rsidR="005A730B" w14:paraId="4AB48286"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369B0A03"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Florencia</w:t>
            </w:r>
          </w:p>
        </w:tc>
        <w:tc>
          <w:tcPr>
            <w:tcW w:w="1411" w:type="pct"/>
            <w:tcBorders>
              <w:top w:val="nil"/>
              <w:left w:val="nil"/>
              <w:bottom w:val="single" w:sz="4" w:space="0" w:color="auto"/>
              <w:right w:val="single" w:sz="4" w:space="0" w:color="auto"/>
            </w:tcBorders>
            <w:noWrap/>
            <w:vAlign w:val="center"/>
            <w:hideMark/>
          </w:tcPr>
          <w:p w14:paraId="74DBE7BC"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ESE Hospital comunal Malvinas</w:t>
            </w:r>
          </w:p>
        </w:tc>
        <w:tc>
          <w:tcPr>
            <w:tcW w:w="1451" w:type="pct"/>
            <w:tcBorders>
              <w:top w:val="nil"/>
              <w:left w:val="nil"/>
              <w:bottom w:val="single" w:sz="4" w:space="0" w:color="auto"/>
              <w:right w:val="single" w:sz="4" w:space="0" w:color="auto"/>
            </w:tcBorders>
            <w:noWrap/>
            <w:vAlign w:val="center"/>
            <w:hideMark/>
          </w:tcPr>
          <w:p w14:paraId="3355FE8D"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$391,9</w:t>
            </w:r>
          </w:p>
        </w:tc>
        <w:tc>
          <w:tcPr>
            <w:tcW w:w="1186" w:type="pct"/>
            <w:tcBorders>
              <w:top w:val="nil"/>
              <w:left w:val="nil"/>
              <w:bottom w:val="single" w:sz="4" w:space="0" w:color="auto"/>
              <w:right w:val="single" w:sz="4" w:space="0" w:color="auto"/>
            </w:tcBorders>
            <w:noWrap/>
            <w:vAlign w:val="center"/>
            <w:hideMark/>
          </w:tcPr>
          <w:p w14:paraId="05132664"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$391,9</w:t>
            </w:r>
          </w:p>
        </w:tc>
      </w:tr>
      <w:tr w:rsidR="005A730B" w14:paraId="34062BF9" w14:textId="77777777" w:rsidTr="005A730B">
        <w:trPr>
          <w:trHeight w:val="281"/>
        </w:trPr>
        <w:tc>
          <w:tcPr>
            <w:tcW w:w="952" w:type="pct"/>
            <w:tcBorders>
              <w:top w:val="nil"/>
              <w:left w:val="single" w:sz="4" w:space="0" w:color="auto"/>
              <w:bottom w:val="single" w:sz="4" w:space="0" w:color="auto"/>
              <w:right w:val="single" w:sz="4" w:space="0" w:color="auto"/>
            </w:tcBorders>
            <w:noWrap/>
            <w:vAlign w:val="center"/>
            <w:hideMark/>
          </w:tcPr>
          <w:p w14:paraId="0A00315D"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La Montañita</w:t>
            </w:r>
          </w:p>
        </w:tc>
        <w:tc>
          <w:tcPr>
            <w:tcW w:w="1411" w:type="pct"/>
            <w:vMerge w:val="restart"/>
            <w:tcBorders>
              <w:top w:val="nil"/>
              <w:left w:val="single" w:sz="4" w:space="0" w:color="auto"/>
              <w:bottom w:val="single" w:sz="4" w:space="0" w:color="auto"/>
              <w:right w:val="single" w:sz="4" w:space="0" w:color="auto"/>
            </w:tcBorders>
            <w:vAlign w:val="center"/>
            <w:hideMark/>
          </w:tcPr>
          <w:p w14:paraId="447278BA"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ESE Hospital Departamental María Inmaculada</w:t>
            </w:r>
          </w:p>
        </w:tc>
        <w:tc>
          <w:tcPr>
            <w:tcW w:w="1451" w:type="pct"/>
            <w:tcBorders>
              <w:top w:val="nil"/>
              <w:left w:val="nil"/>
              <w:bottom w:val="single" w:sz="4" w:space="0" w:color="auto"/>
              <w:right w:val="single" w:sz="4" w:space="0" w:color="auto"/>
            </w:tcBorders>
            <w:noWrap/>
            <w:vAlign w:val="center"/>
            <w:hideMark/>
          </w:tcPr>
          <w:p w14:paraId="768E5D65"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$631,8</w:t>
            </w:r>
          </w:p>
        </w:tc>
        <w:tc>
          <w:tcPr>
            <w:tcW w:w="1186" w:type="pct"/>
            <w:vMerge w:val="restart"/>
            <w:tcBorders>
              <w:top w:val="nil"/>
              <w:left w:val="single" w:sz="4" w:space="0" w:color="auto"/>
              <w:bottom w:val="single" w:sz="4" w:space="0" w:color="auto"/>
              <w:right w:val="single" w:sz="4" w:space="0" w:color="auto"/>
            </w:tcBorders>
            <w:noWrap/>
            <w:vAlign w:val="center"/>
            <w:hideMark/>
          </w:tcPr>
          <w:p w14:paraId="4EA1E620"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$1.234,8</w:t>
            </w:r>
          </w:p>
        </w:tc>
      </w:tr>
      <w:tr w:rsidR="005A730B" w14:paraId="6D1B456B"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6BD1BAD5"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Morelia</w:t>
            </w:r>
          </w:p>
        </w:tc>
        <w:tc>
          <w:tcPr>
            <w:tcW w:w="0" w:type="auto"/>
            <w:vMerge/>
            <w:tcBorders>
              <w:top w:val="nil"/>
              <w:left w:val="single" w:sz="4" w:space="0" w:color="auto"/>
              <w:bottom w:val="single" w:sz="4" w:space="0" w:color="auto"/>
              <w:right w:val="single" w:sz="4" w:space="0" w:color="auto"/>
            </w:tcBorders>
            <w:vAlign w:val="center"/>
            <w:hideMark/>
          </w:tcPr>
          <w:p w14:paraId="67F9733D" w14:textId="77777777" w:rsidR="005A730B" w:rsidRDefault="005A730B">
            <w:pPr>
              <w:rPr>
                <w:rFonts w:ascii="Arial" w:eastAsia="Times New Roman" w:hAnsi="Arial" w:cs="Arial"/>
                <w:sz w:val="18"/>
                <w:szCs w:val="18"/>
                <w:lang w:val="es-CO" w:eastAsia="es-CO"/>
              </w:rPr>
            </w:pPr>
          </w:p>
        </w:tc>
        <w:tc>
          <w:tcPr>
            <w:tcW w:w="1451" w:type="pct"/>
            <w:tcBorders>
              <w:top w:val="nil"/>
              <w:left w:val="nil"/>
              <w:bottom w:val="single" w:sz="4" w:space="0" w:color="auto"/>
              <w:right w:val="single" w:sz="4" w:space="0" w:color="auto"/>
            </w:tcBorders>
            <w:noWrap/>
            <w:vAlign w:val="center"/>
            <w:hideMark/>
          </w:tcPr>
          <w:p w14:paraId="67C6E0B8"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$602,9</w:t>
            </w:r>
          </w:p>
        </w:tc>
        <w:tc>
          <w:tcPr>
            <w:tcW w:w="0" w:type="auto"/>
            <w:vMerge/>
            <w:tcBorders>
              <w:top w:val="nil"/>
              <w:left w:val="single" w:sz="4" w:space="0" w:color="auto"/>
              <w:bottom w:val="single" w:sz="4" w:space="0" w:color="auto"/>
              <w:right w:val="single" w:sz="4" w:space="0" w:color="auto"/>
            </w:tcBorders>
            <w:vAlign w:val="center"/>
            <w:hideMark/>
          </w:tcPr>
          <w:p w14:paraId="53A7F2D2" w14:textId="77777777" w:rsidR="005A730B" w:rsidRDefault="005A730B">
            <w:pPr>
              <w:rPr>
                <w:rFonts w:ascii="Arial" w:eastAsia="Times New Roman" w:hAnsi="Arial" w:cs="Arial"/>
                <w:sz w:val="18"/>
                <w:szCs w:val="18"/>
                <w:lang w:val="es-CO" w:eastAsia="es-CO"/>
              </w:rPr>
            </w:pPr>
          </w:p>
        </w:tc>
      </w:tr>
      <w:tr w:rsidR="005A730B" w14:paraId="3749E46F"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4A42FFA0"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Albania</w:t>
            </w:r>
          </w:p>
        </w:tc>
        <w:tc>
          <w:tcPr>
            <w:tcW w:w="1411" w:type="pct"/>
            <w:vMerge w:val="restart"/>
            <w:tcBorders>
              <w:top w:val="nil"/>
              <w:left w:val="single" w:sz="4" w:space="0" w:color="auto"/>
              <w:bottom w:val="single" w:sz="4" w:space="0" w:color="auto"/>
              <w:right w:val="single" w:sz="4" w:space="0" w:color="auto"/>
            </w:tcBorders>
            <w:noWrap/>
            <w:vAlign w:val="center"/>
            <w:hideMark/>
          </w:tcPr>
          <w:p w14:paraId="07556A6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ESE Rafael Tovar Poveda</w:t>
            </w:r>
          </w:p>
        </w:tc>
        <w:tc>
          <w:tcPr>
            <w:tcW w:w="1451" w:type="pct"/>
            <w:tcBorders>
              <w:top w:val="nil"/>
              <w:left w:val="nil"/>
              <w:bottom w:val="single" w:sz="4" w:space="0" w:color="auto"/>
              <w:right w:val="single" w:sz="4" w:space="0" w:color="auto"/>
            </w:tcBorders>
            <w:noWrap/>
            <w:vAlign w:val="center"/>
            <w:hideMark/>
          </w:tcPr>
          <w:p w14:paraId="72DEC920"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$341,4</w:t>
            </w:r>
          </w:p>
        </w:tc>
        <w:tc>
          <w:tcPr>
            <w:tcW w:w="1186" w:type="pct"/>
            <w:vMerge w:val="restart"/>
            <w:tcBorders>
              <w:top w:val="nil"/>
              <w:left w:val="single" w:sz="4" w:space="0" w:color="auto"/>
              <w:bottom w:val="single" w:sz="4" w:space="0" w:color="auto"/>
              <w:right w:val="single" w:sz="4" w:space="0" w:color="auto"/>
            </w:tcBorders>
            <w:noWrap/>
            <w:vAlign w:val="center"/>
            <w:hideMark/>
          </w:tcPr>
          <w:p w14:paraId="67D6D22D"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$923,2</w:t>
            </w:r>
          </w:p>
        </w:tc>
      </w:tr>
      <w:tr w:rsidR="005A730B" w14:paraId="377972A3"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28CD593B"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Belén de los Andaquíes</w:t>
            </w:r>
          </w:p>
        </w:tc>
        <w:tc>
          <w:tcPr>
            <w:tcW w:w="0" w:type="auto"/>
            <w:vMerge/>
            <w:tcBorders>
              <w:top w:val="nil"/>
              <w:left w:val="single" w:sz="4" w:space="0" w:color="auto"/>
              <w:bottom w:val="single" w:sz="4" w:space="0" w:color="auto"/>
              <w:right w:val="single" w:sz="4" w:space="0" w:color="auto"/>
            </w:tcBorders>
            <w:vAlign w:val="center"/>
            <w:hideMark/>
          </w:tcPr>
          <w:p w14:paraId="68E4FD47" w14:textId="77777777" w:rsidR="005A730B" w:rsidRDefault="005A730B">
            <w:pPr>
              <w:rPr>
                <w:rFonts w:ascii="Arial" w:eastAsia="Times New Roman" w:hAnsi="Arial" w:cs="Arial"/>
                <w:sz w:val="18"/>
                <w:szCs w:val="18"/>
                <w:lang w:val="es-CO" w:eastAsia="es-CO"/>
              </w:rPr>
            </w:pPr>
          </w:p>
        </w:tc>
        <w:tc>
          <w:tcPr>
            <w:tcW w:w="1451" w:type="pct"/>
            <w:tcBorders>
              <w:top w:val="nil"/>
              <w:left w:val="nil"/>
              <w:bottom w:val="single" w:sz="4" w:space="0" w:color="auto"/>
              <w:right w:val="single" w:sz="4" w:space="0" w:color="auto"/>
            </w:tcBorders>
            <w:noWrap/>
            <w:vAlign w:val="center"/>
            <w:hideMark/>
          </w:tcPr>
          <w:p w14:paraId="33D58C9F"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$285,60</w:t>
            </w:r>
          </w:p>
        </w:tc>
        <w:tc>
          <w:tcPr>
            <w:tcW w:w="0" w:type="auto"/>
            <w:vMerge/>
            <w:tcBorders>
              <w:top w:val="nil"/>
              <w:left w:val="single" w:sz="4" w:space="0" w:color="auto"/>
              <w:bottom w:val="single" w:sz="4" w:space="0" w:color="auto"/>
              <w:right w:val="single" w:sz="4" w:space="0" w:color="auto"/>
            </w:tcBorders>
            <w:vAlign w:val="center"/>
            <w:hideMark/>
          </w:tcPr>
          <w:p w14:paraId="228084F5" w14:textId="77777777" w:rsidR="005A730B" w:rsidRDefault="005A730B">
            <w:pPr>
              <w:rPr>
                <w:rFonts w:ascii="Arial" w:eastAsia="Times New Roman" w:hAnsi="Arial" w:cs="Arial"/>
                <w:sz w:val="18"/>
                <w:szCs w:val="18"/>
                <w:lang w:val="es-CO" w:eastAsia="es-CO"/>
              </w:rPr>
            </w:pPr>
          </w:p>
        </w:tc>
      </w:tr>
      <w:tr w:rsidR="005A730B" w14:paraId="60290EB5"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492FA391"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San José del Fragua</w:t>
            </w:r>
          </w:p>
        </w:tc>
        <w:tc>
          <w:tcPr>
            <w:tcW w:w="0" w:type="auto"/>
            <w:vMerge/>
            <w:tcBorders>
              <w:top w:val="nil"/>
              <w:left w:val="single" w:sz="4" w:space="0" w:color="auto"/>
              <w:bottom w:val="single" w:sz="4" w:space="0" w:color="auto"/>
              <w:right w:val="single" w:sz="4" w:space="0" w:color="auto"/>
            </w:tcBorders>
            <w:vAlign w:val="center"/>
            <w:hideMark/>
          </w:tcPr>
          <w:p w14:paraId="43A2CF09" w14:textId="77777777" w:rsidR="005A730B" w:rsidRDefault="005A730B">
            <w:pPr>
              <w:rPr>
                <w:rFonts w:ascii="Arial" w:eastAsia="Times New Roman" w:hAnsi="Arial" w:cs="Arial"/>
                <w:sz w:val="18"/>
                <w:szCs w:val="18"/>
                <w:lang w:val="es-CO" w:eastAsia="es-CO"/>
              </w:rPr>
            </w:pPr>
          </w:p>
        </w:tc>
        <w:tc>
          <w:tcPr>
            <w:tcW w:w="1451" w:type="pct"/>
            <w:tcBorders>
              <w:top w:val="nil"/>
              <w:left w:val="nil"/>
              <w:bottom w:val="single" w:sz="4" w:space="0" w:color="auto"/>
              <w:right w:val="single" w:sz="4" w:space="0" w:color="auto"/>
            </w:tcBorders>
            <w:noWrap/>
            <w:vAlign w:val="center"/>
            <w:hideMark/>
          </w:tcPr>
          <w:p w14:paraId="57ED728C"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$296,1</w:t>
            </w:r>
          </w:p>
        </w:tc>
        <w:tc>
          <w:tcPr>
            <w:tcW w:w="0" w:type="auto"/>
            <w:vMerge/>
            <w:tcBorders>
              <w:top w:val="nil"/>
              <w:left w:val="single" w:sz="4" w:space="0" w:color="auto"/>
              <w:bottom w:val="single" w:sz="4" w:space="0" w:color="auto"/>
              <w:right w:val="single" w:sz="4" w:space="0" w:color="auto"/>
            </w:tcBorders>
            <w:vAlign w:val="center"/>
            <w:hideMark/>
          </w:tcPr>
          <w:p w14:paraId="4B503C60" w14:textId="77777777" w:rsidR="005A730B" w:rsidRDefault="005A730B">
            <w:pPr>
              <w:rPr>
                <w:rFonts w:ascii="Arial" w:eastAsia="Times New Roman" w:hAnsi="Arial" w:cs="Arial"/>
                <w:sz w:val="18"/>
                <w:szCs w:val="18"/>
                <w:lang w:val="es-CO" w:eastAsia="es-CO"/>
              </w:rPr>
            </w:pPr>
          </w:p>
        </w:tc>
      </w:tr>
      <w:tr w:rsidR="005A730B" w14:paraId="091652F1"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22261BCF"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El Paujil</w:t>
            </w:r>
          </w:p>
        </w:tc>
        <w:tc>
          <w:tcPr>
            <w:tcW w:w="1411" w:type="pct"/>
            <w:tcBorders>
              <w:top w:val="nil"/>
              <w:left w:val="nil"/>
              <w:bottom w:val="single" w:sz="4" w:space="0" w:color="auto"/>
              <w:right w:val="single" w:sz="4" w:space="0" w:color="auto"/>
            </w:tcBorders>
            <w:noWrap/>
            <w:vAlign w:val="center"/>
            <w:hideMark/>
          </w:tcPr>
          <w:p w14:paraId="2B0596D0"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ESE Sor Teresa Adele</w:t>
            </w:r>
          </w:p>
        </w:tc>
        <w:tc>
          <w:tcPr>
            <w:tcW w:w="1451" w:type="pct"/>
            <w:tcBorders>
              <w:top w:val="nil"/>
              <w:left w:val="nil"/>
              <w:bottom w:val="single" w:sz="4" w:space="0" w:color="auto"/>
              <w:right w:val="single" w:sz="4" w:space="0" w:color="auto"/>
            </w:tcBorders>
            <w:noWrap/>
            <w:vAlign w:val="center"/>
            <w:hideMark/>
          </w:tcPr>
          <w:p w14:paraId="10776F66"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$475,5</w:t>
            </w:r>
          </w:p>
        </w:tc>
        <w:tc>
          <w:tcPr>
            <w:tcW w:w="1186" w:type="pct"/>
            <w:tcBorders>
              <w:top w:val="nil"/>
              <w:left w:val="nil"/>
              <w:bottom w:val="single" w:sz="4" w:space="0" w:color="auto"/>
              <w:right w:val="single" w:sz="4" w:space="0" w:color="auto"/>
            </w:tcBorders>
            <w:noWrap/>
            <w:vAlign w:val="center"/>
            <w:hideMark/>
          </w:tcPr>
          <w:p w14:paraId="50F95A9E"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$475,5</w:t>
            </w:r>
          </w:p>
        </w:tc>
      </w:tr>
      <w:tr w:rsidR="005A730B" w14:paraId="7E716362"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38789E79"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Milán</w:t>
            </w:r>
          </w:p>
        </w:tc>
        <w:tc>
          <w:tcPr>
            <w:tcW w:w="1411" w:type="pct"/>
            <w:vMerge w:val="restart"/>
            <w:tcBorders>
              <w:top w:val="nil"/>
              <w:left w:val="single" w:sz="4" w:space="0" w:color="auto"/>
              <w:bottom w:val="single" w:sz="4" w:space="0" w:color="auto"/>
              <w:right w:val="single" w:sz="4" w:space="0" w:color="auto"/>
            </w:tcBorders>
            <w:noWrap/>
            <w:vAlign w:val="center"/>
            <w:hideMark/>
          </w:tcPr>
          <w:p w14:paraId="06646745"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ESE Fabio Jaramillo Londoño</w:t>
            </w:r>
          </w:p>
        </w:tc>
        <w:tc>
          <w:tcPr>
            <w:tcW w:w="1451" w:type="pct"/>
            <w:tcBorders>
              <w:top w:val="nil"/>
              <w:left w:val="nil"/>
              <w:bottom w:val="single" w:sz="4" w:space="0" w:color="auto"/>
              <w:right w:val="single" w:sz="4" w:space="0" w:color="auto"/>
            </w:tcBorders>
            <w:noWrap/>
            <w:vAlign w:val="center"/>
            <w:hideMark/>
          </w:tcPr>
          <w:p w14:paraId="54DA7757"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$345,6</w:t>
            </w:r>
          </w:p>
        </w:tc>
        <w:tc>
          <w:tcPr>
            <w:tcW w:w="1186" w:type="pct"/>
            <w:vMerge w:val="restart"/>
            <w:tcBorders>
              <w:top w:val="nil"/>
              <w:left w:val="single" w:sz="4" w:space="0" w:color="auto"/>
              <w:bottom w:val="single" w:sz="4" w:space="0" w:color="auto"/>
              <w:right w:val="single" w:sz="4" w:space="0" w:color="auto"/>
            </w:tcBorders>
            <w:noWrap/>
            <w:vAlign w:val="center"/>
            <w:hideMark/>
          </w:tcPr>
          <w:p w14:paraId="5C212410"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$1.515,9</w:t>
            </w:r>
          </w:p>
        </w:tc>
      </w:tr>
      <w:tr w:rsidR="005A730B" w14:paraId="4C19ECF6"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5EFEA42E"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Solano</w:t>
            </w:r>
          </w:p>
        </w:tc>
        <w:tc>
          <w:tcPr>
            <w:tcW w:w="0" w:type="auto"/>
            <w:vMerge/>
            <w:tcBorders>
              <w:top w:val="nil"/>
              <w:left w:val="single" w:sz="4" w:space="0" w:color="auto"/>
              <w:bottom w:val="single" w:sz="4" w:space="0" w:color="auto"/>
              <w:right w:val="single" w:sz="4" w:space="0" w:color="auto"/>
            </w:tcBorders>
            <w:vAlign w:val="center"/>
            <w:hideMark/>
          </w:tcPr>
          <w:p w14:paraId="69ED6308" w14:textId="77777777" w:rsidR="005A730B" w:rsidRDefault="005A730B">
            <w:pPr>
              <w:rPr>
                <w:rFonts w:ascii="Arial" w:eastAsia="Times New Roman" w:hAnsi="Arial" w:cs="Arial"/>
                <w:sz w:val="18"/>
                <w:szCs w:val="18"/>
                <w:lang w:val="es-CO" w:eastAsia="es-CO"/>
              </w:rPr>
            </w:pPr>
          </w:p>
        </w:tc>
        <w:tc>
          <w:tcPr>
            <w:tcW w:w="1451" w:type="pct"/>
            <w:tcBorders>
              <w:top w:val="nil"/>
              <w:left w:val="nil"/>
              <w:bottom w:val="single" w:sz="4" w:space="0" w:color="auto"/>
              <w:right w:val="single" w:sz="4" w:space="0" w:color="auto"/>
            </w:tcBorders>
            <w:noWrap/>
            <w:vAlign w:val="center"/>
            <w:hideMark/>
          </w:tcPr>
          <w:p w14:paraId="52FD207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$474,0</w:t>
            </w:r>
          </w:p>
        </w:tc>
        <w:tc>
          <w:tcPr>
            <w:tcW w:w="0" w:type="auto"/>
            <w:vMerge/>
            <w:tcBorders>
              <w:top w:val="nil"/>
              <w:left w:val="single" w:sz="4" w:space="0" w:color="auto"/>
              <w:bottom w:val="single" w:sz="4" w:space="0" w:color="auto"/>
              <w:right w:val="single" w:sz="4" w:space="0" w:color="auto"/>
            </w:tcBorders>
            <w:vAlign w:val="center"/>
            <w:hideMark/>
          </w:tcPr>
          <w:p w14:paraId="53D27687" w14:textId="77777777" w:rsidR="005A730B" w:rsidRDefault="005A730B">
            <w:pPr>
              <w:rPr>
                <w:rFonts w:ascii="Arial" w:eastAsia="Times New Roman" w:hAnsi="Arial" w:cs="Arial"/>
                <w:sz w:val="18"/>
                <w:szCs w:val="18"/>
                <w:lang w:val="es-CO" w:eastAsia="es-CO"/>
              </w:rPr>
            </w:pPr>
          </w:p>
        </w:tc>
      </w:tr>
      <w:tr w:rsidR="005A730B" w14:paraId="7FCD229E"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19A483FE"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Solita</w:t>
            </w:r>
          </w:p>
        </w:tc>
        <w:tc>
          <w:tcPr>
            <w:tcW w:w="0" w:type="auto"/>
            <w:vMerge/>
            <w:tcBorders>
              <w:top w:val="nil"/>
              <w:left w:val="single" w:sz="4" w:space="0" w:color="auto"/>
              <w:bottom w:val="single" w:sz="4" w:space="0" w:color="auto"/>
              <w:right w:val="single" w:sz="4" w:space="0" w:color="auto"/>
            </w:tcBorders>
            <w:vAlign w:val="center"/>
            <w:hideMark/>
          </w:tcPr>
          <w:p w14:paraId="57686CF5" w14:textId="77777777" w:rsidR="005A730B" w:rsidRDefault="005A730B">
            <w:pPr>
              <w:rPr>
                <w:rFonts w:ascii="Arial" w:eastAsia="Times New Roman" w:hAnsi="Arial" w:cs="Arial"/>
                <w:sz w:val="18"/>
                <w:szCs w:val="18"/>
                <w:lang w:val="es-CO" w:eastAsia="es-CO"/>
              </w:rPr>
            </w:pPr>
          </w:p>
        </w:tc>
        <w:tc>
          <w:tcPr>
            <w:tcW w:w="1451" w:type="pct"/>
            <w:tcBorders>
              <w:top w:val="nil"/>
              <w:left w:val="nil"/>
              <w:bottom w:val="single" w:sz="4" w:space="0" w:color="auto"/>
              <w:right w:val="single" w:sz="4" w:space="0" w:color="auto"/>
            </w:tcBorders>
            <w:noWrap/>
            <w:vAlign w:val="center"/>
            <w:hideMark/>
          </w:tcPr>
          <w:p w14:paraId="5C28C9FF"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$329,6</w:t>
            </w:r>
          </w:p>
        </w:tc>
        <w:tc>
          <w:tcPr>
            <w:tcW w:w="0" w:type="auto"/>
            <w:vMerge/>
            <w:tcBorders>
              <w:top w:val="nil"/>
              <w:left w:val="single" w:sz="4" w:space="0" w:color="auto"/>
              <w:bottom w:val="single" w:sz="4" w:space="0" w:color="auto"/>
              <w:right w:val="single" w:sz="4" w:space="0" w:color="auto"/>
            </w:tcBorders>
            <w:vAlign w:val="center"/>
            <w:hideMark/>
          </w:tcPr>
          <w:p w14:paraId="23DA110F" w14:textId="77777777" w:rsidR="005A730B" w:rsidRDefault="005A730B">
            <w:pPr>
              <w:rPr>
                <w:rFonts w:ascii="Arial" w:eastAsia="Times New Roman" w:hAnsi="Arial" w:cs="Arial"/>
                <w:sz w:val="18"/>
                <w:szCs w:val="18"/>
                <w:lang w:val="es-CO" w:eastAsia="es-CO"/>
              </w:rPr>
            </w:pPr>
          </w:p>
        </w:tc>
      </w:tr>
      <w:tr w:rsidR="005A730B" w14:paraId="550B027E" w14:textId="77777777" w:rsidTr="005A730B">
        <w:trPr>
          <w:trHeight w:val="224"/>
        </w:trPr>
        <w:tc>
          <w:tcPr>
            <w:tcW w:w="952" w:type="pct"/>
            <w:tcBorders>
              <w:top w:val="nil"/>
              <w:left w:val="single" w:sz="4" w:space="0" w:color="auto"/>
              <w:bottom w:val="single" w:sz="4" w:space="0" w:color="auto"/>
              <w:right w:val="single" w:sz="4" w:space="0" w:color="auto"/>
            </w:tcBorders>
            <w:noWrap/>
            <w:vAlign w:val="center"/>
            <w:hideMark/>
          </w:tcPr>
          <w:p w14:paraId="7BB6141C"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Valparaíso</w:t>
            </w:r>
          </w:p>
        </w:tc>
        <w:tc>
          <w:tcPr>
            <w:tcW w:w="0" w:type="auto"/>
            <w:vMerge/>
            <w:tcBorders>
              <w:top w:val="nil"/>
              <w:left w:val="single" w:sz="4" w:space="0" w:color="auto"/>
              <w:bottom w:val="single" w:sz="4" w:space="0" w:color="auto"/>
              <w:right w:val="single" w:sz="4" w:space="0" w:color="auto"/>
            </w:tcBorders>
            <w:vAlign w:val="center"/>
            <w:hideMark/>
          </w:tcPr>
          <w:p w14:paraId="132E7B2C" w14:textId="77777777" w:rsidR="005A730B" w:rsidRDefault="005A730B">
            <w:pPr>
              <w:rPr>
                <w:rFonts w:ascii="Arial" w:eastAsia="Times New Roman" w:hAnsi="Arial" w:cs="Arial"/>
                <w:sz w:val="18"/>
                <w:szCs w:val="18"/>
                <w:lang w:val="es-CO" w:eastAsia="es-CO"/>
              </w:rPr>
            </w:pPr>
          </w:p>
        </w:tc>
        <w:tc>
          <w:tcPr>
            <w:tcW w:w="1451" w:type="pct"/>
            <w:tcBorders>
              <w:top w:val="nil"/>
              <w:left w:val="nil"/>
              <w:bottom w:val="single" w:sz="4" w:space="0" w:color="auto"/>
              <w:right w:val="single" w:sz="4" w:space="0" w:color="auto"/>
            </w:tcBorders>
            <w:noWrap/>
            <w:vAlign w:val="center"/>
            <w:hideMark/>
          </w:tcPr>
          <w:p w14:paraId="79380A57"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$366,6</w:t>
            </w:r>
          </w:p>
        </w:tc>
        <w:tc>
          <w:tcPr>
            <w:tcW w:w="0" w:type="auto"/>
            <w:vMerge/>
            <w:tcBorders>
              <w:top w:val="nil"/>
              <w:left w:val="single" w:sz="4" w:space="0" w:color="auto"/>
              <w:bottom w:val="single" w:sz="4" w:space="0" w:color="auto"/>
              <w:right w:val="single" w:sz="4" w:space="0" w:color="auto"/>
            </w:tcBorders>
            <w:vAlign w:val="center"/>
            <w:hideMark/>
          </w:tcPr>
          <w:p w14:paraId="75F1B71E" w14:textId="77777777" w:rsidR="005A730B" w:rsidRDefault="005A730B">
            <w:pPr>
              <w:rPr>
                <w:rFonts w:ascii="Arial" w:eastAsia="Times New Roman" w:hAnsi="Arial" w:cs="Arial"/>
                <w:sz w:val="18"/>
                <w:szCs w:val="18"/>
                <w:lang w:val="es-CO" w:eastAsia="es-CO"/>
              </w:rPr>
            </w:pPr>
          </w:p>
        </w:tc>
      </w:tr>
      <w:tr w:rsidR="005A730B" w14:paraId="4DDFEEB5" w14:textId="77777777" w:rsidTr="005A730B">
        <w:trPr>
          <w:trHeight w:val="224"/>
        </w:trPr>
        <w:tc>
          <w:tcPr>
            <w:tcW w:w="3814" w:type="pct"/>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226B7AB6"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color w:val="FFFFFF"/>
                <w:sz w:val="18"/>
                <w:szCs w:val="18"/>
                <w:lang w:val="es-CO" w:eastAsia="es-CO"/>
              </w:rPr>
              <w:lastRenderedPageBreak/>
              <w:t>Total</w:t>
            </w:r>
          </w:p>
        </w:tc>
        <w:tc>
          <w:tcPr>
            <w:tcW w:w="1186" w:type="pct"/>
            <w:tcBorders>
              <w:top w:val="nil"/>
              <w:left w:val="nil"/>
              <w:bottom w:val="single" w:sz="4" w:space="0" w:color="auto"/>
              <w:right w:val="single" w:sz="4" w:space="0" w:color="auto"/>
            </w:tcBorders>
            <w:shd w:val="clear" w:color="auto" w:fill="365F91" w:themeFill="accent1" w:themeFillShade="BF"/>
            <w:noWrap/>
            <w:vAlign w:val="center"/>
            <w:hideMark/>
          </w:tcPr>
          <w:p w14:paraId="104F50EB"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color w:val="FFFFFF"/>
                <w:sz w:val="18"/>
                <w:szCs w:val="18"/>
                <w:lang w:val="es-CO" w:eastAsia="es-CO"/>
              </w:rPr>
              <w:t>$5.036,7</w:t>
            </w:r>
          </w:p>
        </w:tc>
      </w:tr>
    </w:tbl>
    <w:p w14:paraId="22D57D75" w14:textId="77777777" w:rsidR="005A730B" w:rsidRDefault="005A730B" w:rsidP="005A730B">
      <w:pPr>
        <w:pStyle w:val="Default"/>
        <w:jc w:val="center"/>
        <w:rPr>
          <w:color w:val="auto"/>
          <w:sz w:val="16"/>
          <w:szCs w:val="16"/>
        </w:rPr>
      </w:pPr>
      <w:r>
        <w:rPr>
          <w:rFonts w:eastAsia="MS Mincho"/>
          <w:color w:val="auto"/>
          <w:sz w:val="16"/>
          <w:szCs w:val="16"/>
          <w:lang w:val="es-ES" w:eastAsia="es-ES"/>
        </w:rPr>
        <w:t>Fuente: Información de la Entidad Territorial requerimiento 27.</w:t>
      </w:r>
    </w:p>
    <w:p w14:paraId="733AB3F6" w14:textId="77777777" w:rsidR="005A730B" w:rsidRDefault="005A730B" w:rsidP="005A730B">
      <w:pPr>
        <w:pStyle w:val="Default"/>
        <w:jc w:val="both"/>
        <w:rPr>
          <w:color w:val="auto"/>
          <w:sz w:val="21"/>
          <w:szCs w:val="21"/>
        </w:rPr>
      </w:pPr>
    </w:p>
    <w:p w14:paraId="2E16E8FE" w14:textId="77777777" w:rsidR="005A730B" w:rsidRDefault="005A730B" w:rsidP="005A730B">
      <w:pPr>
        <w:pStyle w:val="Default"/>
        <w:jc w:val="both"/>
        <w:rPr>
          <w:color w:val="000000" w:themeColor="text1"/>
          <w:sz w:val="21"/>
          <w:szCs w:val="21"/>
        </w:rPr>
      </w:pPr>
      <w:r>
        <w:rPr>
          <w:color w:val="000000" w:themeColor="text1"/>
          <w:sz w:val="21"/>
          <w:szCs w:val="21"/>
        </w:rPr>
        <w:t>Al comparar los datos reportados en el Cuadro anterior con los recursos distribuidos del SGP Subsidio a la Oferta, es posible determinar su consistencia con las once doceavas de 2020 en cuanto a zonas especiales, (reporta recursos por $5.036 millones), ahora no se incluyeron los recursos de la última doceava de 2019 que se giraron en la vigencia 2020 por $354 millones. Adicionalmente, se destinaron recursos para operación de monopolios trazadores por valor de $4.590 millones, para un total de $10.744 millones. Del Cuadro anterior, es posible verificar la distribución del recurso por zonas especiales, no así los destinados para la operación de monopolios trazadores.</w:t>
      </w:r>
    </w:p>
    <w:p w14:paraId="3FF51F3B" w14:textId="77777777" w:rsidR="005A730B" w:rsidRDefault="005A730B" w:rsidP="005A730B">
      <w:pPr>
        <w:pStyle w:val="Default"/>
        <w:jc w:val="both"/>
        <w:rPr>
          <w:color w:val="000000" w:themeColor="text1"/>
          <w:sz w:val="21"/>
          <w:szCs w:val="21"/>
        </w:rPr>
      </w:pPr>
    </w:p>
    <w:p w14:paraId="39BBF4CC" w14:textId="77777777" w:rsidR="005A730B" w:rsidRDefault="005A730B" w:rsidP="005A730B">
      <w:pPr>
        <w:pStyle w:val="Default"/>
        <w:jc w:val="both"/>
        <w:rPr>
          <w:color w:val="000000" w:themeColor="text1"/>
          <w:sz w:val="21"/>
          <w:szCs w:val="21"/>
        </w:rPr>
      </w:pPr>
      <w:r>
        <w:rPr>
          <w:color w:val="000000" w:themeColor="text1"/>
          <w:sz w:val="21"/>
          <w:szCs w:val="21"/>
        </w:rPr>
        <w:t>En cuanto al cumplimiento de los expuesto en la Resolución 857 de 2020, en los artículos 3, 4 y 5, se pudo constatar el contenido de los convenios, en los que se identifica:</w:t>
      </w:r>
    </w:p>
    <w:p w14:paraId="7AAB1231" w14:textId="77777777" w:rsidR="005A730B" w:rsidRDefault="005A730B" w:rsidP="005A730B">
      <w:pPr>
        <w:pStyle w:val="Default"/>
        <w:jc w:val="both"/>
        <w:rPr>
          <w:color w:val="000000" w:themeColor="text1"/>
          <w:sz w:val="21"/>
          <w:szCs w:val="21"/>
        </w:rPr>
      </w:pPr>
    </w:p>
    <w:p w14:paraId="0FE5EB13" w14:textId="77777777" w:rsidR="005A730B" w:rsidRDefault="005A730B" w:rsidP="005A730B">
      <w:pPr>
        <w:pStyle w:val="Default"/>
        <w:numPr>
          <w:ilvl w:val="0"/>
          <w:numId w:val="26"/>
        </w:numPr>
        <w:contextualSpacing/>
        <w:jc w:val="both"/>
        <w:rPr>
          <w:color w:val="000000" w:themeColor="text1"/>
          <w:sz w:val="21"/>
          <w:szCs w:val="21"/>
        </w:rPr>
      </w:pPr>
      <w:r>
        <w:rPr>
          <w:color w:val="000000" w:themeColor="text1"/>
          <w:sz w:val="21"/>
          <w:szCs w:val="21"/>
        </w:rPr>
        <w:t>El objeto del convenio.</w:t>
      </w:r>
    </w:p>
    <w:p w14:paraId="0277E264" w14:textId="77777777" w:rsidR="005A730B" w:rsidRDefault="005A730B" w:rsidP="005A730B">
      <w:pPr>
        <w:pStyle w:val="Default"/>
        <w:numPr>
          <w:ilvl w:val="0"/>
          <w:numId w:val="26"/>
        </w:numPr>
        <w:contextualSpacing/>
        <w:jc w:val="both"/>
        <w:rPr>
          <w:color w:val="000000" w:themeColor="text1"/>
          <w:sz w:val="21"/>
          <w:szCs w:val="21"/>
        </w:rPr>
      </w:pPr>
      <w:r>
        <w:rPr>
          <w:color w:val="000000" w:themeColor="text1"/>
          <w:sz w:val="21"/>
          <w:szCs w:val="21"/>
        </w:rPr>
        <w:t>El término.</w:t>
      </w:r>
    </w:p>
    <w:p w14:paraId="4C34C96E" w14:textId="77777777" w:rsidR="005A730B" w:rsidRDefault="005A730B" w:rsidP="005A730B">
      <w:pPr>
        <w:pStyle w:val="Default"/>
        <w:numPr>
          <w:ilvl w:val="0"/>
          <w:numId w:val="26"/>
        </w:numPr>
        <w:contextualSpacing/>
        <w:jc w:val="both"/>
        <w:rPr>
          <w:color w:val="000000" w:themeColor="text1"/>
          <w:sz w:val="21"/>
          <w:szCs w:val="21"/>
        </w:rPr>
      </w:pPr>
      <w:r>
        <w:rPr>
          <w:color w:val="000000" w:themeColor="text1"/>
          <w:sz w:val="21"/>
          <w:szCs w:val="21"/>
        </w:rPr>
        <w:t>Designación del supervisor.</w:t>
      </w:r>
    </w:p>
    <w:p w14:paraId="20205629" w14:textId="77777777" w:rsidR="005A730B" w:rsidRDefault="005A730B" w:rsidP="005A730B">
      <w:pPr>
        <w:pStyle w:val="Default"/>
        <w:numPr>
          <w:ilvl w:val="0"/>
          <w:numId w:val="26"/>
        </w:numPr>
        <w:contextualSpacing/>
        <w:jc w:val="both"/>
        <w:rPr>
          <w:color w:val="000000" w:themeColor="text1"/>
          <w:sz w:val="21"/>
          <w:szCs w:val="21"/>
        </w:rPr>
      </w:pPr>
      <w:r>
        <w:rPr>
          <w:color w:val="000000" w:themeColor="text1"/>
          <w:sz w:val="21"/>
          <w:szCs w:val="21"/>
        </w:rPr>
        <w:t>Garantía de la operación.</w:t>
      </w:r>
    </w:p>
    <w:p w14:paraId="13961B2B" w14:textId="77777777" w:rsidR="005A730B" w:rsidRDefault="005A730B" w:rsidP="005A730B">
      <w:pPr>
        <w:pStyle w:val="Default"/>
        <w:numPr>
          <w:ilvl w:val="0"/>
          <w:numId w:val="26"/>
        </w:numPr>
        <w:contextualSpacing/>
        <w:jc w:val="both"/>
        <w:rPr>
          <w:color w:val="000000" w:themeColor="text1"/>
          <w:sz w:val="21"/>
          <w:szCs w:val="21"/>
        </w:rPr>
      </w:pPr>
      <w:r>
        <w:rPr>
          <w:color w:val="000000" w:themeColor="text1"/>
          <w:sz w:val="21"/>
          <w:szCs w:val="21"/>
        </w:rPr>
        <w:t>Indicadores y metas para cumplir.</w:t>
      </w:r>
    </w:p>
    <w:p w14:paraId="009D03E9" w14:textId="77777777" w:rsidR="005A730B" w:rsidRDefault="005A730B" w:rsidP="005A730B">
      <w:pPr>
        <w:pStyle w:val="Default"/>
        <w:numPr>
          <w:ilvl w:val="0"/>
          <w:numId w:val="26"/>
        </w:numPr>
        <w:contextualSpacing/>
        <w:jc w:val="both"/>
        <w:rPr>
          <w:color w:val="000000" w:themeColor="text1"/>
          <w:sz w:val="21"/>
          <w:szCs w:val="21"/>
        </w:rPr>
      </w:pPr>
      <w:r>
        <w:rPr>
          <w:color w:val="000000" w:themeColor="text1"/>
          <w:sz w:val="21"/>
          <w:szCs w:val="21"/>
        </w:rPr>
        <w:t>Giro de los recursos realizado según lo expuesto en el contrato interadministrativo.</w:t>
      </w:r>
    </w:p>
    <w:p w14:paraId="22ABB978" w14:textId="77777777" w:rsidR="005A730B" w:rsidRDefault="005A730B" w:rsidP="005A730B">
      <w:pPr>
        <w:pStyle w:val="Default"/>
        <w:jc w:val="both"/>
        <w:rPr>
          <w:color w:val="000000" w:themeColor="text1"/>
          <w:sz w:val="21"/>
          <w:szCs w:val="21"/>
        </w:rPr>
      </w:pPr>
    </w:p>
    <w:p w14:paraId="30F6F06F" w14:textId="77777777" w:rsidR="005A730B" w:rsidRDefault="005A730B" w:rsidP="005A730B">
      <w:pPr>
        <w:pStyle w:val="Default"/>
        <w:jc w:val="both"/>
        <w:rPr>
          <w:rFonts w:eastAsia="MS Mincho"/>
          <w:color w:val="auto"/>
          <w:sz w:val="21"/>
          <w:szCs w:val="21"/>
          <w:lang w:val="es-ES" w:eastAsia="es-ES"/>
        </w:rPr>
      </w:pPr>
      <w:r>
        <w:rPr>
          <w:rFonts w:eastAsia="MS Mincho"/>
          <w:color w:val="auto"/>
          <w:sz w:val="21"/>
          <w:szCs w:val="21"/>
          <w:lang w:val="es-ES" w:eastAsia="es-ES"/>
        </w:rPr>
        <w:t>Para el 2021 se tiene una asignación de recursos por el mismo concepto de $11.141 millones, incluidos zonas especiales y monopolios trazadores y ultima doceava de 2020.</w:t>
      </w:r>
    </w:p>
    <w:p w14:paraId="0C72AE61" w14:textId="77777777" w:rsidR="005A730B" w:rsidRDefault="005A730B" w:rsidP="005A730B">
      <w:pPr>
        <w:pStyle w:val="Default"/>
        <w:rPr>
          <w:rFonts w:eastAsia="MS Mincho"/>
          <w:b/>
          <w:color w:val="auto"/>
          <w:sz w:val="21"/>
          <w:szCs w:val="21"/>
          <w:lang w:val="es-ES" w:eastAsia="es-ES"/>
        </w:rPr>
      </w:pPr>
    </w:p>
    <w:p w14:paraId="2698651E" w14:textId="77777777" w:rsidR="005A730B" w:rsidRDefault="005A730B" w:rsidP="005A730B">
      <w:pPr>
        <w:pStyle w:val="Default"/>
        <w:rPr>
          <w:rFonts w:eastAsia="MS Mincho"/>
          <w:b/>
          <w:color w:val="auto"/>
          <w:sz w:val="21"/>
          <w:szCs w:val="21"/>
          <w:lang w:val="es-ES" w:eastAsia="es-ES"/>
        </w:rPr>
      </w:pPr>
    </w:p>
    <w:p w14:paraId="3F6BEFA0"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Tabla No. 9A</w:t>
      </w:r>
    </w:p>
    <w:p w14:paraId="2AD4A667"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Asignación recursos subsidio a la oferta 2021</w:t>
      </w:r>
    </w:p>
    <w:p w14:paraId="3B009456" w14:textId="77777777" w:rsidR="005A730B" w:rsidRDefault="005A730B" w:rsidP="005A730B">
      <w:pPr>
        <w:pStyle w:val="Default"/>
        <w:jc w:val="right"/>
        <w:rPr>
          <w:rFonts w:eastAsia="MS Mincho"/>
          <w:b/>
          <w:color w:val="auto"/>
          <w:sz w:val="18"/>
          <w:szCs w:val="18"/>
          <w:lang w:val="es-ES" w:eastAsia="es-ES"/>
        </w:rPr>
      </w:pPr>
      <w:r>
        <w:rPr>
          <w:rFonts w:eastAsia="Times New Roman"/>
          <w:sz w:val="18"/>
          <w:szCs w:val="18"/>
          <w:lang w:eastAsia="es-CO"/>
        </w:rPr>
        <w:t>Cifras en Millones de $</w:t>
      </w:r>
    </w:p>
    <w:tbl>
      <w:tblPr>
        <w:tblW w:w="8836" w:type="dxa"/>
        <w:tblInd w:w="-10" w:type="dxa"/>
        <w:tblCellMar>
          <w:left w:w="70" w:type="dxa"/>
          <w:right w:w="70" w:type="dxa"/>
        </w:tblCellMar>
        <w:tblLook w:val="04A0" w:firstRow="1" w:lastRow="0" w:firstColumn="1" w:lastColumn="0" w:noHBand="0" w:noVBand="1"/>
      </w:tblPr>
      <w:tblGrid>
        <w:gridCol w:w="2209"/>
        <w:gridCol w:w="1787"/>
        <w:gridCol w:w="1537"/>
        <w:gridCol w:w="1613"/>
        <w:gridCol w:w="1690"/>
      </w:tblGrid>
      <w:tr w:rsidR="005A730B" w14:paraId="452E918F" w14:textId="77777777" w:rsidTr="005A730B">
        <w:trPr>
          <w:trHeight w:val="276"/>
          <w:tblHeader/>
        </w:trPr>
        <w:tc>
          <w:tcPr>
            <w:tcW w:w="2209" w:type="dxa"/>
            <w:vMerge w:val="restart"/>
            <w:tcBorders>
              <w:top w:val="single" w:sz="8" w:space="0" w:color="auto"/>
              <w:left w:val="single" w:sz="8" w:space="0" w:color="auto"/>
              <w:bottom w:val="single" w:sz="8" w:space="0" w:color="000000"/>
              <w:right w:val="single" w:sz="8" w:space="0" w:color="auto"/>
            </w:tcBorders>
            <w:shd w:val="clear" w:color="auto" w:fill="366092"/>
            <w:vAlign w:val="center"/>
            <w:hideMark/>
          </w:tcPr>
          <w:p w14:paraId="204775B2"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EMPRESA SOCIAL DEL ESTADO</w:t>
            </w:r>
          </w:p>
        </w:tc>
        <w:tc>
          <w:tcPr>
            <w:tcW w:w="1786" w:type="dxa"/>
            <w:vMerge w:val="restart"/>
            <w:tcBorders>
              <w:top w:val="single" w:sz="8" w:space="0" w:color="auto"/>
              <w:left w:val="single" w:sz="8" w:space="0" w:color="auto"/>
              <w:bottom w:val="single" w:sz="8" w:space="0" w:color="000000"/>
              <w:right w:val="single" w:sz="8" w:space="0" w:color="auto"/>
            </w:tcBorders>
            <w:shd w:val="clear" w:color="auto" w:fill="366092"/>
            <w:vAlign w:val="center"/>
            <w:hideMark/>
          </w:tcPr>
          <w:p w14:paraId="707AE7F5"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Municipio</w:t>
            </w:r>
          </w:p>
        </w:tc>
        <w:tc>
          <w:tcPr>
            <w:tcW w:w="1537" w:type="dxa"/>
            <w:vMerge w:val="restart"/>
            <w:tcBorders>
              <w:top w:val="single" w:sz="8" w:space="0" w:color="auto"/>
              <w:left w:val="single" w:sz="8" w:space="0" w:color="auto"/>
              <w:bottom w:val="single" w:sz="8" w:space="0" w:color="000000"/>
              <w:right w:val="single" w:sz="8" w:space="0" w:color="auto"/>
            </w:tcBorders>
            <w:shd w:val="clear" w:color="auto" w:fill="366092"/>
            <w:vAlign w:val="center"/>
            <w:hideMark/>
          </w:tcPr>
          <w:p w14:paraId="362187FB"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Asignación recursos saldo de la vigencia 2020</w:t>
            </w:r>
          </w:p>
        </w:tc>
        <w:tc>
          <w:tcPr>
            <w:tcW w:w="1613" w:type="dxa"/>
            <w:vMerge w:val="restart"/>
            <w:tcBorders>
              <w:top w:val="single" w:sz="8" w:space="0" w:color="auto"/>
              <w:left w:val="single" w:sz="8" w:space="0" w:color="auto"/>
              <w:bottom w:val="single" w:sz="8" w:space="0" w:color="000000"/>
              <w:right w:val="single" w:sz="8" w:space="0" w:color="auto"/>
            </w:tcBorders>
            <w:shd w:val="clear" w:color="auto" w:fill="366092"/>
            <w:vAlign w:val="center"/>
            <w:hideMark/>
          </w:tcPr>
          <w:p w14:paraId="3F6A8A44"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Valor Asignación Recursos 2021</w:t>
            </w:r>
          </w:p>
        </w:tc>
        <w:tc>
          <w:tcPr>
            <w:tcW w:w="1690" w:type="dxa"/>
            <w:vMerge w:val="restart"/>
            <w:tcBorders>
              <w:top w:val="single" w:sz="8" w:space="0" w:color="auto"/>
              <w:left w:val="single" w:sz="8" w:space="0" w:color="auto"/>
              <w:bottom w:val="single" w:sz="8" w:space="0" w:color="000000"/>
              <w:right w:val="single" w:sz="8" w:space="0" w:color="auto"/>
            </w:tcBorders>
            <w:shd w:val="clear" w:color="auto" w:fill="366092"/>
            <w:vAlign w:val="center"/>
            <w:hideMark/>
          </w:tcPr>
          <w:p w14:paraId="7547239F" w14:textId="77777777" w:rsidR="005A730B" w:rsidRDefault="005A730B">
            <w:pPr>
              <w:jc w:val="center"/>
              <w:rPr>
                <w:rFonts w:ascii="Arial" w:eastAsia="Times New Roman" w:hAnsi="Arial" w:cs="Arial"/>
                <w:b/>
                <w:bCs/>
                <w:color w:val="FFFFFF"/>
                <w:sz w:val="18"/>
                <w:szCs w:val="18"/>
                <w:lang w:val="es-CO" w:eastAsia="es-CO"/>
              </w:rPr>
            </w:pPr>
            <w:proofErr w:type="gramStart"/>
            <w:r>
              <w:rPr>
                <w:rFonts w:ascii="Arial" w:eastAsia="Times New Roman" w:hAnsi="Arial" w:cs="Arial"/>
                <w:b/>
                <w:bCs/>
                <w:color w:val="FFFFFF"/>
                <w:sz w:val="18"/>
                <w:szCs w:val="18"/>
                <w:lang w:val="es-CO" w:eastAsia="es-CO"/>
              </w:rPr>
              <w:t>TOTAL</w:t>
            </w:r>
            <w:proofErr w:type="gramEnd"/>
            <w:r>
              <w:rPr>
                <w:rFonts w:ascii="Arial" w:eastAsia="Times New Roman" w:hAnsi="Arial" w:cs="Arial"/>
                <w:b/>
                <w:bCs/>
                <w:color w:val="FFFFFF"/>
                <w:sz w:val="18"/>
                <w:szCs w:val="18"/>
                <w:lang w:val="es-CO" w:eastAsia="es-CO"/>
              </w:rPr>
              <w:t xml:space="preserve"> RECURSOS ASIGNADOS</w:t>
            </w:r>
          </w:p>
        </w:tc>
      </w:tr>
      <w:tr w:rsidR="005A730B" w14:paraId="4A6904C1" w14:textId="77777777" w:rsidTr="005A730B">
        <w:trPr>
          <w:trHeight w:val="276"/>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92EC19"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784A0E"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BDE629"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2337C1A"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2CB6AE" w14:textId="77777777" w:rsidR="005A730B" w:rsidRDefault="005A730B">
            <w:pPr>
              <w:rPr>
                <w:rFonts w:ascii="Arial" w:eastAsia="Times New Roman" w:hAnsi="Arial" w:cs="Arial"/>
                <w:b/>
                <w:bCs/>
                <w:color w:val="FFFFFF"/>
                <w:sz w:val="18"/>
                <w:szCs w:val="18"/>
                <w:lang w:val="es-CO" w:eastAsia="es-CO"/>
              </w:rPr>
            </w:pPr>
          </w:p>
        </w:tc>
      </w:tr>
      <w:tr w:rsidR="005A730B" w14:paraId="00047F6A" w14:textId="77777777" w:rsidTr="005A730B">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E84E42"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0F1444"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D8949D1"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E1E451"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00C7F9" w14:textId="77777777" w:rsidR="005A730B" w:rsidRDefault="005A730B">
            <w:pPr>
              <w:rPr>
                <w:rFonts w:ascii="Arial" w:eastAsia="Times New Roman" w:hAnsi="Arial" w:cs="Arial"/>
                <w:b/>
                <w:bCs/>
                <w:color w:val="FFFFFF"/>
                <w:sz w:val="18"/>
                <w:szCs w:val="18"/>
                <w:lang w:val="es-CO" w:eastAsia="es-CO"/>
              </w:rPr>
            </w:pPr>
          </w:p>
        </w:tc>
      </w:tr>
      <w:tr w:rsidR="005A730B" w14:paraId="26F00CD8" w14:textId="77777777" w:rsidTr="005A730B">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798C4F9"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C95887"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56131A"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27A10A"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59D93F" w14:textId="77777777" w:rsidR="005A730B" w:rsidRDefault="005A730B">
            <w:pPr>
              <w:rPr>
                <w:rFonts w:ascii="Arial" w:eastAsia="Times New Roman" w:hAnsi="Arial" w:cs="Arial"/>
                <w:b/>
                <w:bCs/>
                <w:color w:val="FFFFFF"/>
                <w:sz w:val="18"/>
                <w:szCs w:val="18"/>
                <w:lang w:val="es-CO" w:eastAsia="es-CO"/>
              </w:rPr>
            </w:pPr>
          </w:p>
        </w:tc>
      </w:tr>
      <w:tr w:rsidR="005A730B" w14:paraId="1E421A7D" w14:textId="77777777" w:rsidTr="005A730B">
        <w:trPr>
          <w:trHeight w:val="189"/>
        </w:trPr>
        <w:tc>
          <w:tcPr>
            <w:tcW w:w="2209" w:type="dxa"/>
            <w:tcBorders>
              <w:top w:val="nil"/>
              <w:left w:val="single" w:sz="8" w:space="0" w:color="auto"/>
              <w:bottom w:val="single" w:sz="8" w:space="0" w:color="auto"/>
              <w:right w:val="single" w:sz="8" w:space="0" w:color="auto"/>
            </w:tcBorders>
            <w:shd w:val="clear" w:color="auto" w:fill="EAEAEA"/>
            <w:vAlign w:val="center"/>
            <w:hideMark/>
          </w:tcPr>
          <w:p w14:paraId="622994D5"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Hospital San Rafael</w:t>
            </w:r>
          </w:p>
        </w:tc>
        <w:tc>
          <w:tcPr>
            <w:tcW w:w="1786" w:type="dxa"/>
            <w:tcBorders>
              <w:top w:val="nil"/>
              <w:left w:val="nil"/>
              <w:bottom w:val="single" w:sz="8" w:space="0" w:color="auto"/>
              <w:right w:val="single" w:sz="8" w:space="0" w:color="auto"/>
            </w:tcBorders>
            <w:shd w:val="clear" w:color="auto" w:fill="EAEAEA"/>
            <w:noWrap/>
            <w:vAlign w:val="center"/>
            <w:hideMark/>
          </w:tcPr>
          <w:p w14:paraId="703F8B77"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San Vicente del Caguán</w:t>
            </w:r>
          </w:p>
        </w:tc>
        <w:tc>
          <w:tcPr>
            <w:tcW w:w="1537" w:type="dxa"/>
            <w:tcBorders>
              <w:top w:val="nil"/>
              <w:left w:val="nil"/>
              <w:bottom w:val="single" w:sz="8" w:space="0" w:color="auto"/>
              <w:right w:val="single" w:sz="8" w:space="0" w:color="auto"/>
            </w:tcBorders>
            <w:shd w:val="clear" w:color="auto" w:fill="EAEAEA"/>
            <w:noWrap/>
            <w:vAlign w:val="center"/>
            <w:hideMark/>
          </w:tcPr>
          <w:p w14:paraId="50D63723"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$2.186,6</w:t>
            </w:r>
          </w:p>
        </w:tc>
        <w:tc>
          <w:tcPr>
            <w:tcW w:w="1613" w:type="dxa"/>
            <w:tcBorders>
              <w:top w:val="nil"/>
              <w:left w:val="nil"/>
              <w:bottom w:val="single" w:sz="8" w:space="0" w:color="auto"/>
              <w:right w:val="single" w:sz="8" w:space="0" w:color="auto"/>
            </w:tcBorders>
            <w:shd w:val="clear" w:color="auto" w:fill="EAEAEA"/>
            <w:noWrap/>
            <w:vAlign w:val="center"/>
            <w:hideMark/>
          </w:tcPr>
          <w:p w14:paraId="450E0A90"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$1.929,4</w:t>
            </w:r>
          </w:p>
        </w:tc>
        <w:tc>
          <w:tcPr>
            <w:tcW w:w="1690" w:type="dxa"/>
            <w:tcBorders>
              <w:top w:val="nil"/>
              <w:left w:val="nil"/>
              <w:bottom w:val="single" w:sz="8" w:space="0" w:color="auto"/>
              <w:right w:val="single" w:sz="8" w:space="0" w:color="auto"/>
            </w:tcBorders>
            <w:shd w:val="clear" w:color="auto" w:fill="EAEAEA"/>
            <w:noWrap/>
            <w:vAlign w:val="center"/>
            <w:hideMark/>
          </w:tcPr>
          <w:p w14:paraId="46B80FC7"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$4.116,1</w:t>
            </w:r>
          </w:p>
        </w:tc>
      </w:tr>
      <w:tr w:rsidR="005A730B" w14:paraId="4F3728FD" w14:textId="77777777" w:rsidTr="005A730B">
        <w:trPr>
          <w:trHeight w:val="315"/>
        </w:trPr>
        <w:tc>
          <w:tcPr>
            <w:tcW w:w="2209" w:type="dxa"/>
            <w:tcBorders>
              <w:top w:val="nil"/>
              <w:left w:val="single" w:sz="8" w:space="0" w:color="auto"/>
              <w:bottom w:val="single" w:sz="8" w:space="0" w:color="auto"/>
              <w:right w:val="single" w:sz="8" w:space="0" w:color="auto"/>
            </w:tcBorders>
            <w:shd w:val="clear" w:color="auto" w:fill="EAEAEA"/>
            <w:vAlign w:val="center"/>
            <w:hideMark/>
          </w:tcPr>
          <w:p w14:paraId="68FEF50A"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Hospital comunal Malvinas</w:t>
            </w:r>
          </w:p>
        </w:tc>
        <w:tc>
          <w:tcPr>
            <w:tcW w:w="1786" w:type="dxa"/>
            <w:tcBorders>
              <w:top w:val="nil"/>
              <w:left w:val="nil"/>
              <w:bottom w:val="single" w:sz="8" w:space="0" w:color="auto"/>
              <w:right w:val="single" w:sz="8" w:space="0" w:color="auto"/>
            </w:tcBorders>
            <w:shd w:val="clear" w:color="auto" w:fill="EAEAEA"/>
            <w:noWrap/>
            <w:vAlign w:val="center"/>
            <w:hideMark/>
          </w:tcPr>
          <w:p w14:paraId="180B735A"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Florencia</w:t>
            </w:r>
          </w:p>
        </w:tc>
        <w:tc>
          <w:tcPr>
            <w:tcW w:w="1537" w:type="dxa"/>
            <w:tcBorders>
              <w:top w:val="nil"/>
              <w:left w:val="nil"/>
              <w:bottom w:val="single" w:sz="8" w:space="0" w:color="auto"/>
              <w:right w:val="single" w:sz="8" w:space="0" w:color="auto"/>
            </w:tcBorders>
            <w:shd w:val="clear" w:color="auto" w:fill="EAEAEA"/>
            <w:noWrap/>
            <w:vAlign w:val="center"/>
            <w:hideMark/>
          </w:tcPr>
          <w:p w14:paraId="0A54FAB2"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79223E93"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$557,7</w:t>
            </w:r>
          </w:p>
        </w:tc>
        <w:tc>
          <w:tcPr>
            <w:tcW w:w="1690" w:type="dxa"/>
            <w:tcBorders>
              <w:top w:val="nil"/>
              <w:left w:val="nil"/>
              <w:bottom w:val="single" w:sz="8" w:space="0" w:color="auto"/>
              <w:right w:val="single" w:sz="8" w:space="0" w:color="auto"/>
            </w:tcBorders>
            <w:shd w:val="clear" w:color="auto" w:fill="EAEAEA"/>
            <w:noWrap/>
            <w:vAlign w:val="center"/>
            <w:hideMark/>
          </w:tcPr>
          <w:p w14:paraId="31C78B48"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$557,7</w:t>
            </w:r>
          </w:p>
        </w:tc>
      </w:tr>
      <w:tr w:rsidR="005A730B" w14:paraId="0D9BAF82" w14:textId="77777777" w:rsidTr="005A730B">
        <w:trPr>
          <w:trHeight w:val="189"/>
        </w:trPr>
        <w:tc>
          <w:tcPr>
            <w:tcW w:w="2209" w:type="dxa"/>
            <w:vMerge w:val="restart"/>
            <w:tcBorders>
              <w:top w:val="nil"/>
              <w:left w:val="single" w:sz="8" w:space="0" w:color="auto"/>
              <w:bottom w:val="single" w:sz="8" w:space="0" w:color="000000"/>
              <w:right w:val="single" w:sz="8" w:space="0" w:color="auto"/>
            </w:tcBorders>
            <w:shd w:val="clear" w:color="auto" w:fill="EAEAEA"/>
            <w:vAlign w:val="center"/>
            <w:hideMark/>
          </w:tcPr>
          <w:p w14:paraId="122C57F7"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Hospital Departamental María Inmaculada</w:t>
            </w:r>
          </w:p>
        </w:tc>
        <w:tc>
          <w:tcPr>
            <w:tcW w:w="1786" w:type="dxa"/>
            <w:tcBorders>
              <w:top w:val="nil"/>
              <w:left w:val="nil"/>
              <w:bottom w:val="single" w:sz="8" w:space="0" w:color="auto"/>
              <w:right w:val="single" w:sz="8" w:space="0" w:color="auto"/>
            </w:tcBorders>
            <w:shd w:val="clear" w:color="auto" w:fill="EAEAEA"/>
            <w:noWrap/>
            <w:vAlign w:val="center"/>
            <w:hideMark/>
          </w:tcPr>
          <w:p w14:paraId="4A376157"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La Montañita</w:t>
            </w:r>
          </w:p>
        </w:tc>
        <w:tc>
          <w:tcPr>
            <w:tcW w:w="1537" w:type="dxa"/>
            <w:tcBorders>
              <w:top w:val="nil"/>
              <w:left w:val="nil"/>
              <w:bottom w:val="single" w:sz="8" w:space="0" w:color="auto"/>
              <w:right w:val="single" w:sz="8" w:space="0" w:color="auto"/>
            </w:tcBorders>
            <w:shd w:val="clear" w:color="auto" w:fill="EAEAEA"/>
            <w:noWrap/>
            <w:vAlign w:val="center"/>
            <w:hideMark/>
          </w:tcPr>
          <w:p w14:paraId="499E32CD"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$394,2</w:t>
            </w:r>
          </w:p>
        </w:tc>
        <w:tc>
          <w:tcPr>
            <w:tcW w:w="1613" w:type="dxa"/>
            <w:tcBorders>
              <w:top w:val="nil"/>
              <w:left w:val="nil"/>
              <w:bottom w:val="single" w:sz="8" w:space="0" w:color="auto"/>
              <w:right w:val="single" w:sz="8" w:space="0" w:color="auto"/>
            </w:tcBorders>
            <w:shd w:val="clear" w:color="auto" w:fill="EAEAEA"/>
            <w:noWrap/>
            <w:vAlign w:val="center"/>
            <w:hideMark/>
          </w:tcPr>
          <w:p w14:paraId="550FC766"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$765,6</w:t>
            </w:r>
          </w:p>
        </w:tc>
        <w:tc>
          <w:tcPr>
            <w:tcW w:w="1690" w:type="dxa"/>
            <w:tcBorders>
              <w:top w:val="nil"/>
              <w:left w:val="nil"/>
              <w:bottom w:val="single" w:sz="8" w:space="0" w:color="auto"/>
              <w:right w:val="single" w:sz="8" w:space="0" w:color="auto"/>
            </w:tcBorders>
            <w:shd w:val="clear" w:color="auto" w:fill="EAEAEA"/>
            <w:noWrap/>
            <w:vAlign w:val="center"/>
            <w:hideMark/>
          </w:tcPr>
          <w:p w14:paraId="59618798"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$1.159,9</w:t>
            </w:r>
          </w:p>
        </w:tc>
      </w:tr>
      <w:tr w:rsidR="005A730B" w14:paraId="4DE56099" w14:textId="77777777" w:rsidTr="005A730B">
        <w:trPr>
          <w:trHeight w:val="189"/>
        </w:trPr>
        <w:tc>
          <w:tcPr>
            <w:tcW w:w="0" w:type="auto"/>
            <w:vMerge/>
            <w:tcBorders>
              <w:top w:val="nil"/>
              <w:left w:val="single" w:sz="8" w:space="0" w:color="auto"/>
              <w:bottom w:val="single" w:sz="8" w:space="0" w:color="000000"/>
              <w:right w:val="single" w:sz="8" w:space="0" w:color="auto"/>
            </w:tcBorders>
            <w:vAlign w:val="center"/>
            <w:hideMark/>
          </w:tcPr>
          <w:p w14:paraId="28A8C72C" w14:textId="77777777" w:rsidR="005A730B" w:rsidRDefault="005A730B">
            <w:pPr>
              <w:rPr>
                <w:rFonts w:ascii="Arial" w:eastAsia="Times New Roman" w:hAnsi="Arial" w:cs="Arial"/>
                <w:color w:val="000000"/>
                <w:sz w:val="18"/>
                <w:szCs w:val="18"/>
                <w:lang w:val="es-CO" w:eastAsia="es-CO"/>
              </w:rPr>
            </w:pPr>
          </w:p>
        </w:tc>
        <w:tc>
          <w:tcPr>
            <w:tcW w:w="1786" w:type="dxa"/>
            <w:tcBorders>
              <w:top w:val="nil"/>
              <w:left w:val="nil"/>
              <w:bottom w:val="single" w:sz="8" w:space="0" w:color="auto"/>
              <w:right w:val="single" w:sz="8" w:space="0" w:color="auto"/>
            </w:tcBorders>
            <w:shd w:val="clear" w:color="auto" w:fill="EAEAEA"/>
            <w:noWrap/>
            <w:vAlign w:val="center"/>
            <w:hideMark/>
          </w:tcPr>
          <w:p w14:paraId="6DEDBE9F"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Morelia</w:t>
            </w:r>
          </w:p>
        </w:tc>
        <w:tc>
          <w:tcPr>
            <w:tcW w:w="1537" w:type="dxa"/>
            <w:tcBorders>
              <w:top w:val="nil"/>
              <w:left w:val="nil"/>
              <w:bottom w:val="single" w:sz="8" w:space="0" w:color="auto"/>
              <w:right w:val="single" w:sz="8" w:space="0" w:color="auto"/>
            </w:tcBorders>
            <w:shd w:val="clear" w:color="auto" w:fill="EAEAEA"/>
            <w:noWrap/>
            <w:vAlign w:val="center"/>
            <w:hideMark/>
          </w:tcPr>
          <w:p w14:paraId="54B6B938"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00EC8312"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$484,9</w:t>
            </w:r>
          </w:p>
        </w:tc>
        <w:tc>
          <w:tcPr>
            <w:tcW w:w="1690" w:type="dxa"/>
            <w:tcBorders>
              <w:top w:val="nil"/>
              <w:left w:val="nil"/>
              <w:bottom w:val="single" w:sz="8" w:space="0" w:color="auto"/>
              <w:right w:val="single" w:sz="8" w:space="0" w:color="auto"/>
            </w:tcBorders>
            <w:shd w:val="clear" w:color="auto" w:fill="EAEAEA"/>
            <w:noWrap/>
            <w:vAlign w:val="center"/>
            <w:hideMark/>
          </w:tcPr>
          <w:p w14:paraId="0C6D0855"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$484,9</w:t>
            </w:r>
          </w:p>
        </w:tc>
      </w:tr>
      <w:tr w:rsidR="005A730B" w14:paraId="59CD7CFB" w14:textId="77777777" w:rsidTr="005A730B">
        <w:trPr>
          <w:trHeight w:val="189"/>
        </w:trPr>
        <w:tc>
          <w:tcPr>
            <w:tcW w:w="2209" w:type="dxa"/>
            <w:vMerge w:val="restart"/>
            <w:tcBorders>
              <w:top w:val="nil"/>
              <w:left w:val="single" w:sz="8" w:space="0" w:color="auto"/>
              <w:bottom w:val="single" w:sz="8" w:space="0" w:color="000000"/>
              <w:right w:val="single" w:sz="8" w:space="0" w:color="auto"/>
            </w:tcBorders>
            <w:shd w:val="clear" w:color="auto" w:fill="EAEAEA"/>
            <w:vAlign w:val="center"/>
            <w:hideMark/>
          </w:tcPr>
          <w:p w14:paraId="73B7AA01"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Rafael Tovar Poveda</w:t>
            </w:r>
          </w:p>
        </w:tc>
        <w:tc>
          <w:tcPr>
            <w:tcW w:w="1786" w:type="dxa"/>
            <w:tcBorders>
              <w:top w:val="nil"/>
              <w:left w:val="nil"/>
              <w:bottom w:val="single" w:sz="8" w:space="0" w:color="auto"/>
              <w:right w:val="single" w:sz="8" w:space="0" w:color="auto"/>
            </w:tcBorders>
            <w:shd w:val="clear" w:color="auto" w:fill="EAEAEA"/>
            <w:noWrap/>
            <w:vAlign w:val="center"/>
            <w:hideMark/>
          </w:tcPr>
          <w:p w14:paraId="6801D768"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Albania</w:t>
            </w:r>
          </w:p>
        </w:tc>
        <w:tc>
          <w:tcPr>
            <w:tcW w:w="1537" w:type="dxa"/>
            <w:tcBorders>
              <w:top w:val="nil"/>
              <w:left w:val="nil"/>
              <w:bottom w:val="single" w:sz="8" w:space="0" w:color="auto"/>
              <w:right w:val="single" w:sz="8" w:space="0" w:color="auto"/>
            </w:tcBorders>
            <w:shd w:val="clear" w:color="auto" w:fill="EAEAEA"/>
            <w:noWrap/>
            <w:vAlign w:val="center"/>
            <w:hideMark/>
          </w:tcPr>
          <w:p w14:paraId="29B1921D"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1C3F3A81"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$691,9</w:t>
            </w:r>
          </w:p>
        </w:tc>
        <w:tc>
          <w:tcPr>
            <w:tcW w:w="1690" w:type="dxa"/>
            <w:tcBorders>
              <w:top w:val="nil"/>
              <w:left w:val="nil"/>
              <w:bottom w:val="single" w:sz="8" w:space="0" w:color="auto"/>
              <w:right w:val="single" w:sz="8" w:space="0" w:color="auto"/>
            </w:tcBorders>
            <w:shd w:val="clear" w:color="auto" w:fill="EAEAEA"/>
            <w:noWrap/>
            <w:vAlign w:val="center"/>
            <w:hideMark/>
          </w:tcPr>
          <w:p w14:paraId="40B423C8"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$691,9</w:t>
            </w:r>
          </w:p>
        </w:tc>
      </w:tr>
      <w:tr w:rsidR="005A730B" w14:paraId="490E4BDA" w14:textId="77777777" w:rsidTr="005A730B">
        <w:trPr>
          <w:trHeight w:val="189"/>
        </w:trPr>
        <w:tc>
          <w:tcPr>
            <w:tcW w:w="0" w:type="auto"/>
            <w:vMerge/>
            <w:tcBorders>
              <w:top w:val="nil"/>
              <w:left w:val="single" w:sz="8" w:space="0" w:color="auto"/>
              <w:bottom w:val="single" w:sz="8" w:space="0" w:color="000000"/>
              <w:right w:val="single" w:sz="8" w:space="0" w:color="auto"/>
            </w:tcBorders>
            <w:vAlign w:val="center"/>
            <w:hideMark/>
          </w:tcPr>
          <w:p w14:paraId="3B409468" w14:textId="77777777" w:rsidR="005A730B" w:rsidRDefault="005A730B">
            <w:pPr>
              <w:rPr>
                <w:rFonts w:ascii="Arial" w:eastAsia="Times New Roman" w:hAnsi="Arial" w:cs="Arial"/>
                <w:color w:val="000000"/>
                <w:sz w:val="18"/>
                <w:szCs w:val="18"/>
                <w:lang w:val="es-CO" w:eastAsia="es-CO"/>
              </w:rPr>
            </w:pPr>
          </w:p>
        </w:tc>
        <w:tc>
          <w:tcPr>
            <w:tcW w:w="1786" w:type="dxa"/>
            <w:tcBorders>
              <w:top w:val="nil"/>
              <w:left w:val="nil"/>
              <w:bottom w:val="single" w:sz="8" w:space="0" w:color="auto"/>
              <w:right w:val="single" w:sz="8" w:space="0" w:color="auto"/>
            </w:tcBorders>
            <w:shd w:val="clear" w:color="auto" w:fill="EAEAEA"/>
            <w:noWrap/>
            <w:vAlign w:val="center"/>
            <w:hideMark/>
          </w:tcPr>
          <w:p w14:paraId="378A30D9"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Belén de Los </w:t>
            </w:r>
            <w:proofErr w:type="spellStart"/>
            <w:r>
              <w:rPr>
                <w:rFonts w:ascii="Arial" w:eastAsia="Times New Roman" w:hAnsi="Arial" w:cs="Arial"/>
                <w:color w:val="000000"/>
                <w:sz w:val="18"/>
                <w:szCs w:val="18"/>
                <w:lang w:val="es-CO" w:eastAsia="es-CO"/>
              </w:rPr>
              <w:t>Andaquies</w:t>
            </w:r>
            <w:proofErr w:type="spellEnd"/>
          </w:p>
        </w:tc>
        <w:tc>
          <w:tcPr>
            <w:tcW w:w="1537" w:type="dxa"/>
            <w:tcBorders>
              <w:top w:val="nil"/>
              <w:left w:val="nil"/>
              <w:bottom w:val="single" w:sz="8" w:space="0" w:color="auto"/>
              <w:right w:val="single" w:sz="8" w:space="0" w:color="auto"/>
            </w:tcBorders>
            <w:shd w:val="clear" w:color="auto" w:fill="EAEAEA"/>
            <w:noWrap/>
            <w:vAlign w:val="center"/>
            <w:hideMark/>
          </w:tcPr>
          <w:p w14:paraId="4B80D138"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27E729C3"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$697,2</w:t>
            </w:r>
          </w:p>
        </w:tc>
        <w:tc>
          <w:tcPr>
            <w:tcW w:w="1690" w:type="dxa"/>
            <w:tcBorders>
              <w:top w:val="nil"/>
              <w:left w:val="nil"/>
              <w:bottom w:val="single" w:sz="8" w:space="0" w:color="auto"/>
              <w:right w:val="single" w:sz="8" w:space="0" w:color="auto"/>
            </w:tcBorders>
            <w:shd w:val="clear" w:color="auto" w:fill="EAEAEA"/>
            <w:noWrap/>
            <w:vAlign w:val="center"/>
            <w:hideMark/>
          </w:tcPr>
          <w:p w14:paraId="6A39DE33"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$697,2</w:t>
            </w:r>
          </w:p>
        </w:tc>
      </w:tr>
      <w:tr w:rsidR="005A730B" w14:paraId="78544690" w14:textId="77777777" w:rsidTr="005A730B">
        <w:trPr>
          <w:trHeight w:val="189"/>
        </w:trPr>
        <w:tc>
          <w:tcPr>
            <w:tcW w:w="0" w:type="auto"/>
            <w:vMerge/>
            <w:tcBorders>
              <w:top w:val="nil"/>
              <w:left w:val="single" w:sz="8" w:space="0" w:color="auto"/>
              <w:bottom w:val="single" w:sz="8" w:space="0" w:color="000000"/>
              <w:right w:val="single" w:sz="8" w:space="0" w:color="auto"/>
            </w:tcBorders>
            <w:vAlign w:val="center"/>
            <w:hideMark/>
          </w:tcPr>
          <w:p w14:paraId="4480D7AA" w14:textId="77777777" w:rsidR="005A730B" w:rsidRDefault="005A730B">
            <w:pPr>
              <w:rPr>
                <w:rFonts w:ascii="Arial" w:eastAsia="Times New Roman" w:hAnsi="Arial" w:cs="Arial"/>
                <w:color w:val="000000"/>
                <w:sz w:val="18"/>
                <w:szCs w:val="18"/>
                <w:lang w:val="es-CO" w:eastAsia="es-CO"/>
              </w:rPr>
            </w:pPr>
          </w:p>
        </w:tc>
        <w:tc>
          <w:tcPr>
            <w:tcW w:w="1786" w:type="dxa"/>
            <w:tcBorders>
              <w:top w:val="nil"/>
              <w:left w:val="nil"/>
              <w:bottom w:val="single" w:sz="8" w:space="0" w:color="auto"/>
              <w:right w:val="single" w:sz="8" w:space="0" w:color="auto"/>
            </w:tcBorders>
            <w:shd w:val="clear" w:color="auto" w:fill="EAEAEA"/>
            <w:noWrap/>
            <w:vAlign w:val="center"/>
            <w:hideMark/>
          </w:tcPr>
          <w:p w14:paraId="1DDE7D0F"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San José del Fragua</w:t>
            </w:r>
          </w:p>
        </w:tc>
        <w:tc>
          <w:tcPr>
            <w:tcW w:w="1537" w:type="dxa"/>
            <w:tcBorders>
              <w:top w:val="nil"/>
              <w:left w:val="nil"/>
              <w:bottom w:val="single" w:sz="8" w:space="0" w:color="auto"/>
              <w:right w:val="single" w:sz="8" w:space="0" w:color="auto"/>
            </w:tcBorders>
            <w:shd w:val="clear" w:color="auto" w:fill="EAEAEA"/>
            <w:noWrap/>
            <w:vAlign w:val="center"/>
            <w:hideMark/>
          </w:tcPr>
          <w:p w14:paraId="7B707C4A"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255D2CE7"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$744,2</w:t>
            </w:r>
          </w:p>
        </w:tc>
        <w:tc>
          <w:tcPr>
            <w:tcW w:w="1690" w:type="dxa"/>
            <w:tcBorders>
              <w:top w:val="nil"/>
              <w:left w:val="nil"/>
              <w:bottom w:val="single" w:sz="8" w:space="0" w:color="auto"/>
              <w:right w:val="single" w:sz="8" w:space="0" w:color="auto"/>
            </w:tcBorders>
            <w:shd w:val="clear" w:color="auto" w:fill="EAEAEA"/>
            <w:noWrap/>
            <w:vAlign w:val="center"/>
            <w:hideMark/>
          </w:tcPr>
          <w:p w14:paraId="029063E0"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$744,2</w:t>
            </w:r>
          </w:p>
        </w:tc>
      </w:tr>
      <w:tr w:rsidR="005A730B" w14:paraId="63DC1533" w14:textId="77777777" w:rsidTr="005A730B">
        <w:trPr>
          <w:trHeight w:val="189"/>
        </w:trPr>
        <w:tc>
          <w:tcPr>
            <w:tcW w:w="2209" w:type="dxa"/>
            <w:tcBorders>
              <w:top w:val="nil"/>
              <w:left w:val="single" w:sz="8" w:space="0" w:color="auto"/>
              <w:bottom w:val="single" w:sz="8" w:space="0" w:color="auto"/>
              <w:right w:val="single" w:sz="8" w:space="0" w:color="auto"/>
            </w:tcBorders>
            <w:shd w:val="clear" w:color="auto" w:fill="EAEAEA"/>
            <w:vAlign w:val="center"/>
            <w:hideMark/>
          </w:tcPr>
          <w:p w14:paraId="5423F960"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sor Teresa Adele</w:t>
            </w:r>
          </w:p>
        </w:tc>
        <w:tc>
          <w:tcPr>
            <w:tcW w:w="1786" w:type="dxa"/>
            <w:tcBorders>
              <w:top w:val="nil"/>
              <w:left w:val="nil"/>
              <w:bottom w:val="single" w:sz="8" w:space="0" w:color="auto"/>
              <w:right w:val="single" w:sz="8" w:space="0" w:color="auto"/>
            </w:tcBorders>
            <w:shd w:val="clear" w:color="auto" w:fill="EAEAEA"/>
            <w:noWrap/>
            <w:vAlign w:val="center"/>
            <w:hideMark/>
          </w:tcPr>
          <w:p w14:paraId="0322BA69"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El Paujil</w:t>
            </w:r>
          </w:p>
        </w:tc>
        <w:tc>
          <w:tcPr>
            <w:tcW w:w="1537" w:type="dxa"/>
            <w:tcBorders>
              <w:top w:val="nil"/>
              <w:left w:val="nil"/>
              <w:bottom w:val="single" w:sz="8" w:space="0" w:color="auto"/>
              <w:right w:val="single" w:sz="8" w:space="0" w:color="auto"/>
            </w:tcBorders>
            <w:shd w:val="clear" w:color="auto" w:fill="EAEAEA"/>
            <w:noWrap/>
            <w:vAlign w:val="center"/>
            <w:hideMark/>
          </w:tcPr>
          <w:p w14:paraId="6655FC26"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0BB72BE1"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$1.702,3</w:t>
            </w:r>
          </w:p>
        </w:tc>
        <w:tc>
          <w:tcPr>
            <w:tcW w:w="1690" w:type="dxa"/>
            <w:tcBorders>
              <w:top w:val="nil"/>
              <w:left w:val="nil"/>
              <w:bottom w:val="single" w:sz="8" w:space="0" w:color="auto"/>
              <w:right w:val="single" w:sz="8" w:space="0" w:color="auto"/>
            </w:tcBorders>
            <w:shd w:val="clear" w:color="auto" w:fill="EAEAEA"/>
            <w:noWrap/>
            <w:vAlign w:val="center"/>
            <w:hideMark/>
          </w:tcPr>
          <w:p w14:paraId="0D1B1AB4"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$1.702,3</w:t>
            </w:r>
          </w:p>
        </w:tc>
      </w:tr>
      <w:tr w:rsidR="005A730B" w14:paraId="314D57D1" w14:textId="77777777" w:rsidTr="005A730B">
        <w:trPr>
          <w:trHeight w:val="189"/>
        </w:trPr>
        <w:tc>
          <w:tcPr>
            <w:tcW w:w="2209" w:type="dxa"/>
            <w:vMerge w:val="restart"/>
            <w:tcBorders>
              <w:top w:val="nil"/>
              <w:left w:val="single" w:sz="8" w:space="0" w:color="auto"/>
              <w:bottom w:val="single" w:sz="8" w:space="0" w:color="000000"/>
              <w:right w:val="single" w:sz="8" w:space="0" w:color="auto"/>
            </w:tcBorders>
            <w:shd w:val="clear" w:color="auto" w:fill="EAEAEA"/>
            <w:vAlign w:val="center"/>
            <w:hideMark/>
          </w:tcPr>
          <w:p w14:paraId="0D262D02"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Fabio Jaramillo Londoño</w:t>
            </w:r>
          </w:p>
        </w:tc>
        <w:tc>
          <w:tcPr>
            <w:tcW w:w="1786" w:type="dxa"/>
            <w:tcBorders>
              <w:top w:val="nil"/>
              <w:left w:val="nil"/>
              <w:bottom w:val="single" w:sz="8" w:space="0" w:color="auto"/>
              <w:right w:val="single" w:sz="8" w:space="0" w:color="auto"/>
            </w:tcBorders>
            <w:shd w:val="clear" w:color="auto" w:fill="EAEAEA"/>
            <w:noWrap/>
            <w:vAlign w:val="center"/>
            <w:hideMark/>
          </w:tcPr>
          <w:p w14:paraId="0C995349"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Milán</w:t>
            </w:r>
          </w:p>
        </w:tc>
        <w:tc>
          <w:tcPr>
            <w:tcW w:w="1537" w:type="dxa"/>
            <w:tcBorders>
              <w:top w:val="nil"/>
              <w:left w:val="nil"/>
              <w:bottom w:val="single" w:sz="8" w:space="0" w:color="auto"/>
              <w:right w:val="single" w:sz="8" w:space="0" w:color="auto"/>
            </w:tcBorders>
            <w:shd w:val="clear" w:color="auto" w:fill="EAEAEA"/>
            <w:noWrap/>
            <w:vAlign w:val="center"/>
            <w:hideMark/>
          </w:tcPr>
          <w:p w14:paraId="711CDBC7"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$273,2</w:t>
            </w:r>
          </w:p>
        </w:tc>
        <w:tc>
          <w:tcPr>
            <w:tcW w:w="1613" w:type="dxa"/>
            <w:tcBorders>
              <w:top w:val="nil"/>
              <w:left w:val="nil"/>
              <w:bottom w:val="single" w:sz="8" w:space="0" w:color="auto"/>
              <w:right w:val="single" w:sz="8" w:space="0" w:color="auto"/>
            </w:tcBorders>
            <w:shd w:val="clear" w:color="auto" w:fill="EAEAEA"/>
            <w:noWrap/>
            <w:vAlign w:val="center"/>
            <w:hideMark/>
          </w:tcPr>
          <w:p w14:paraId="7B284D56"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$855,8</w:t>
            </w:r>
          </w:p>
        </w:tc>
        <w:tc>
          <w:tcPr>
            <w:tcW w:w="1690" w:type="dxa"/>
            <w:tcBorders>
              <w:top w:val="nil"/>
              <w:left w:val="nil"/>
              <w:bottom w:val="single" w:sz="8" w:space="0" w:color="auto"/>
              <w:right w:val="single" w:sz="8" w:space="0" w:color="auto"/>
            </w:tcBorders>
            <w:shd w:val="clear" w:color="auto" w:fill="EAEAEA"/>
            <w:noWrap/>
            <w:vAlign w:val="center"/>
            <w:hideMark/>
          </w:tcPr>
          <w:p w14:paraId="542BD9BF"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$1.129,1</w:t>
            </w:r>
          </w:p>
        </w:tc>
      </w:tr>
      <w:tr w:rsidR="005A730B" w14:paraId="35BD2FE2" w14:textId="77777777" w:rsidTr="005A730B">
        <w:trPr>
          <w:trHeight w:val="189"/>
        </w:trPr>
        <w:tc>
          <w:tcPr>
            <w:tcW w:w="0" w:type="auto"/>
            <w:vMerge/>
            <w:tcBorders>
              <w:top w:val="nil"/>
              <w:left w:val="single" w:sz="8" w:space="0" w:color="auto"/>
              <w:bottom w:val="single" w:sz="8" w:space="0" w:color="000000"/>
              <w:right w:val="single" w:sz="8" w:space="0" w:color="auto"/>
            </w:tcBorders>
            <w:vAlign w:val="center"/>
            <w:hideMark/>
          </w:tcPr>
          <w:p w14:paraId="7F2EC82F" w14:textId="77777777" w:rsidR="005A730B" w:rsidRDefault="005A730B">
            <w:pPr>
              <w:rPr>
                <w:rFonts w:ascii="Arial" w:eastAsia="Times New Roman" w:hAnsi="Arial" w:cs="Arial"/>
                <w:color w:val="000000"/>
                <w:sz w:val="18"/>
                <w:szCs w:val="18"/>
                <w:lang w:val="es-CO" w:eastAsia="es-CO"/>
              </w:rPr>
            </w:pPr>
          </w:p>
        </w:tc>
        <w:tc>
          <w:tcPr>
            <w:tcW w:w="1786" w:type="dxa"/>
            <w:tcBorders>
              <w:top w:val="nil"/>
              <w:left w:val="nil"/>
              <w:bottom w:val="single" w:sz="8" w:space="0" w:color="auto"/>
              <w:right w:val="single" w:sz="8" w:space="0" w:color="auto"/>
            </w:tcBorders>
            <w:shd w:val="clear" w:color="auto" w:fill="EAEAEA"/>
            <w:noWrap/>
            <w:vAlign w:val="center"/>
            <w:hideMark/>
          </w:tcPr>
          <w:p w14:paraId="40C2BC6B"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Solano</w:t>
            </w:r>
          </w:p>
        </w:tc>
        <w:tc>
          <w:tcPr>
            <w:tcW w:w="1537" w:type="dxa"/>
            <w:tcBorders>
              <w:top w:val="nil"/>
              <w:left w:val="nil"/>
              <w:bottom w:val="single" w:sz="8" w:space="0" w:color="auto"/>
              <w:right w:val="single" w:sz="8" w:space="0" w:color="auto"/>
            </w:tcBorders>
            <w:shd w:val="clear" w:color="auto" w:fill="EAEAEA"/>
            <w:noWrap/>
            <w:vAlign w:val="center"/>
            <w:hideMark/>
          </w:tcPr>
          <w:p w14:paraId="09C32CC4"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$591,7</w:t>
            </w:r>
          </w:p>
        </w:tc>
        <w:tc>
          <w:tcPr>
            <w:tcW w:w="1613" w:type="dxa"/>
            <w:tcBorders>
              <w:top w:val="nil"/>
              <w:left w:val="nil"/>
              <w:bottom w:val="single" w:sz="8" w:space="0" w:color="auto"/>
              <w:right w:val="single" w:sz="8" w:space="0" w:color="auto"/>
            </w:tcBorders>
            <w:shd w:val="clear" w:color="auto" w:fill="EAEAEA"/>
            <w:noWrap/>
            <w:vAlign w:val="center"/>
            <w:hideMark/>
          </w:tcPr>
          <w:p w14:paraId="1F991127"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$1.004,8</w:t>
            </w:r>
          </w:p>
        </w:tc>
        <w:tc>
          <w:tcPr>
            <w:tcW w:w="1690" w:type="dxa"/>
            <w:tcBorders>
              <w:top w:val="nil"/>
              <w:left w:val="nil"/>
              <w:bottom w:val="single" w:sz="8" w:space="0" w:color="auto"/>
              <w:right w:val="single" w:sz="8" w:space="0" w:color="auto"/>
            </w:tcBorders>
            <w:shd w:val="clear" w:color="auto" w:fill="EAEAEA"/>
            <w:noWrap/>
            <w:vAlign w:val="center"/>
            <w:hideMark/>
          </w:tcPr>
          <w:p w14:paraId="4E33D69D"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$1.596,5</w:t>
            </w:r>
          </w:p>
        </w:tc>
      </w:tr>
      <w:tr w:rsidR="005A730B" w14:paraId="4227862F" w14:textId="77777777" w:rsidTr="005A730B">
        <w:trPr>
          <w:trHeight w:val="189"/>
        </w:trPr>
        <w:tc>
          <w:tcPr>
            <w:tcW w:w="0" w:type="auto"/>
            <w:vMerge/>
            <w:tcBorders>
              <w:top w:val="nil"/>
              <w:left w:val="single" w:sz="8" w:space="0" w:color="auto"/>
              <w:bottom w:val="single" w:sz="8" w:space="0" w:color="000000"/>
              <w:right w:val="single" w:sz="8" w:space="0" w:color="auto"/>
            </w:tcBorders>
            <w:vAlign w:val="center"/>
            <w:hideMark/>
          </w:tcPr>
          <w:p w14:paraId="35E2CBB1" w14:textId="77777777" w:rsidR="005A730B" w:rsidRDefault="005A730B">
            <w:pPr>
              <w:rPr>
                <w:rFonts w:ascii="Arial" w:eastAsia="Times New Roman" w:hAnsi="Arial" w:cs="Arial"/>
                <w:color w:val="000000"/>
                <w:sz w:val="18"/>
                <w:szCs w:val="18"/>
                <w:lang w:val="es-CO" w:eastAsia="es-CO"/>
              </w:rPr>
            </w:pPr>
          </w:p>
        </w:tc>
        <w:tc>
          <w:tcPr>
            <w:tcW w:w="1786" w:type="dxa"/>
            <w:tcBorders>
              <w:top w:val="nil"/>
              <w:left w:val="nil"/>
              <w:bottom w:val="single" w:sz="8" w:space="0" w:color="auto"/>
              <w:right w:val="single" w:sz="8" w:space="0" w:color="auto"/>
            </w:tcBorders>
            <w:shd w:val="clear" w:color="auto" w:fill="EAEAEA"/>
            <w:noWrap/>
            <w:vAlign w:val="center"/>
            <w:hideMark/>
          </w:tcPr>
          <w:p w14:paraId="58AD0FEE"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Solita</w:t>
            </w:r>
          </w:p>
        </w:tc>
        <w:tc>
          <w:tcPr>
            <w:tcW w:w="1537" w:type="dxa"/>
            <w:tcBorders>
              <w:top w:val="nil"/>
              <w:left w:val="nil"/>
              <w:bottom w:val="single" w:sz="8" w:space="0" w:color="auto"/>
              <w:right w:val="single" w:sz="8" w:space="0" w:color="auto"/>
            </w:tcBorders>
            <w:shd w:val="clear" w:color="auto" w:fill="EAEAEA"/>
            <w:noWrap/>
            <w:vAlign w:val="center"/>
            <w:hideMark/>
          </w:tcPr>
          <w:p w14:paraId="0248F402"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43C59C56"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$929,5</w:t>
            </w:r>
          </w:p>
        </w:tc>
        <w:tc>
          <w:tcPr>
            <w:tcW w:w="1690" w:type="dxa"/>
            <w:tcBorders>
              <w:top w:val="nil"/>
              <w:left w:val="nil"/>
              <w:bottom w:val="single" w:sz="8" w:space="0" w:color="auto"/>
              <w:right w:val="single" w:sz="8" w:space="0" w:color="auto"/>
            </w:tcBorders>
            <w:shd w:val="clear" w:color="auto" w:fill="EAEAEA"/>
            <w:noWrap/>
            <w:vAlign w:val="center"/>
            <w:hideMark/>
          </w:tcPr>
          <w:p w14:paraId="0F0B5E26"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$929,5</w:t>
            </w:r>
          </w:p>
        </w:tc>
      </w:tr>
      <w:tr w:rsidR="005A730B" w14:paraId="69868DA0" w14:textId="77777777" w:rsidTr="005A730B">
        <w:trPr>
          <w:trHeight w:val="189"/>
        </w:trPr>
        <w:tc>
          <w:tcPr>
            <w:tcW w:w="0" w:type="auto"/>
            <w:vMerge/>
            <w:tcBorders>
              <w:top w:val="nil"/>
              <w:left w:val="single" w:sz="8" w:space="0" w:color="auto"/>
              <w:bottom w:val="single" w:sz="8" w:space="0" w:color="000000"/>
              <w:right w:val="single" w:sz="8" w:space="0" w:color="auto"/>
            </w:tcBorders>
            <w:vAlign w:val="center"/>
            <w:hideMark/>
          </w:tcPr>
          <w:p w14:paraId="0153A3A0" w14:textId="77777777" w:rsidR="005A730B" w:rsidRDefault="005A730B">
            <w:pPr>
              <w:rPr>
                <w:rFonts w:ascii="Arial" w:eastAsia="Times New Roman" w:hAnsi="Arial" w:cs="Arial"/>
                <w:color w:val="000000"/>
                <w:sz w:val="18"/>
                <w:szCs w:val="18"/>
                <w:lang w:val="es-CO" w:eastAsia="es-CO"/>
              </w:rPr>
            </w:pPr>
          </w:p>
        </w:tc>
        <w:tc>
          <w:tcPr>
            <w:tcW w:w="1786" w:type="dxa"/>
            <w:tcBorders>
              <w:top w:val="nil"/>
              <w:left w:val="nil"/>
              <w:bottom w:val="single" w:sz="8" w:space="0" w:color="auto"/>
              <w:right w:val="single" w:sz="8" w:space="0" w:color="auto"/>
            </w:tcBorders>
            <w:shd w:val="clear" w:color="auto" w:fill="EAEAEA"/>
            <w:noWrap/>
            <w:vAlign w:val="center"/>
            <w:hideMark/>
          </w:tcPr>
          <w:p w14:paraId="00B8EFD8"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Valparaíso</w:t>
            </w:r>
          </w:p>
        </w:tc>
        <w:tc>
          <w:tcPr>
            <w:tcW w:w="1537" w:type="dxa"/>
            <w:tcBorders>
              <w:top w:val="nil"/>
              <w:left w:val="nil"/>
              <w:bottom w:val="single" w:sz="8" w:space="0" w:color="auto"/>
              <w:right w:val="single" w:sz="8" w:space="0" w:color="auto"/>
            </w:tcBorders>
            <w:shd w:val="clear" w:color="auto" w:fill="EAEAEA"/>
            <w:noWrap/>
            <w:vAlign w:val="center"/>
            <w:hideMark/>
          </w:tcPr>
          <w:p w14:paraId="51D5E638" w14:textId="77777777" w:rsidR="005A730B" w:rsidRDefault="005A730B">
            <w:pPr>
              <w:rPr>
                <w:rFonts w:ascii="Arial" w:eastAsia="Times New Roman" w:hAnsi="Arial" w:cs="Arial"/>
                <w:color w:val="000000"/>
                <w:sz w:val="18"/>
                <w:szCs w:val="18"/>
                <w:lang w:val="es-CO" w:eastAsia="es-CO"/>
              </w:rPr>
            </w:pPr>
          </w:p>
        </w:tc>
        <w:tc>
          <w:tcPr>
            <w:tcW w:w="1613" w:type="dxa"/>
            <w:tcBorders>
              <w:top w:val="nil"/>
              <w:left w:val="nil"/>
              <w:bottom w:val="single" w:sz="8" w:space="0" w:color="auto"/>
              <w:right w:val="single" w:sz="8" w:space="0" w:color="auto"/>
            </w:tcBorders>
            <w:shd w:val="clear" w:color="auto" w:fill="EAEAEA"/>
            <w:noWrap/>
            <w:vAlign w:val="center"/>
            <w:hideMark/>
          </w:tcPr>
          <w:p w14:paraId="15EDD2E4"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$777,5</w:t>
            </w:r>
          </w:p>
        </w:tc>
        <w:tc>
          <w:tcPr>
            <w:tcW w:w="1690" w:type="dxa"/>
            <w:tcBorders>
              <w:top w:val="nil"/>
              <w:left w:val="nil"/>
              <w:bottom w:val="single" w:sz="8" w:space="0" w:color="auto"/>
              <w:right w:val="single" w:sz="8" w:space="0" w:color="auto"/>
            </w:tcBorders>
            <w:shd w:val="clear" w:color="auto" w:fill="EAEAEA"/>
            <w:noWrap/>
            <w:vAlign w:val="center"/>
            <w:hideMark/>
          </w:tcPr>
          <w:p w14:paraId="5FC02634"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$777,5</w:t>
            </w:r>
          </w:p>
        </w:tc>
      </w:tr>
      <w:tr w:rsidR="005A730B" w14:paraId="4897538A" w14:textId="77777777" w:rsidTr="005A730B">
        <w:trPr>
          <w:trHeight w:val="189"/>
        </w:trPr>
        <w:tc>
          <w:tcPr>
            <w:tcW w:w="3996" w:type="dxa"/>
            <w:gridSpan w:val="2"/>
            <w:tcBorders>
              <w:top w:val="nil"/>
              <w:left w:val="single" w:sz="8" w:space="0" w:color="auto"/>
              <w:bottom w:val="single" w:sz="8" w:space="0" w:color="auto"/>
              <w:right w:val="single" w:sz="8" w:space="0" w:color="000000"/>
            </w:tcBorders>
            <w:shd w:val="clear" w:color="auto" w:fill="366092"/>
            <w:noWrap/>
            <w:vAlign w:val="center"/>
            <w:hideMark/>
          </w:tcPr>
          <w:p w14:paraId="69F4332D"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TOTAL</w:t>
            </w:r>
          </w:p>
        </w:tc>
        <w:tc>
          <w:tcPr>
            <w:tcW w:w="1537" w:type="dxa"/>
            <w:tcBorders>
              <w:top w:val="nil"/>
              <w:left w:val="nil"/>
              <w:bottom w:val="single" w:sz="8" w:space="0" w:color="auto"/>
              <w:right w:val="single" w:sz="8" w:space="0" w:color="auto"/>
            </w:tcBorders>
            <w:shd w:val="clear" w:color="auto" w:fill="366092"/>
            <w:noWrap/>
            <w:vAlign w:val="center"/>
            <w:hideMark/>
          </w:tcPr>
          <w:p w14:paraId="585C2F72" w14:textId="77777777" w:rsidR="005A730B" w:rsidRDefault="005A730B">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$3.445,9</w:t>
            </w:r>
          </w:p>
        </w:tc>
        <w:tc>
          <w:tcPr>
            <w:tcW w:w="1613" w:type="dxa"/>
            <w:tcBorders>
              <w:top w:val="nil"/>
              <w:left w:val="nil"/>
              <w:bottom w:val="single" w:sz="8" w:space="0" w:color="auto"/>
              <w:right w:val="single" w:sz="8" w:space="0" w:color="auto"/>
            </w:tcBorders>
            <w:shd w:val="clear" w:color="auto" w:fill="366092"/>
            <w:noWrap/>
            <w:vAlign w:val="center"/>
            <w:hideMark/>
          </w:tcPr>
          <w:p w14:paraId="63950A0B" w14:textId="77777777" w:rsidR="005A730B" w:rsidRDefault="005A730B">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$11.141,3</w:t>
            </w:r>
          </w:p>
        </w:tc>
        <w:tc>
          <w:tcPr>
            <w:tcW w:w="1690" w:type="dxa"/>
            <w:tcBorders>
              <w:top w:val="nil"/>
              <w:left w:val="nil"/>
              <w:bottom w:val="single" w:sz="8" w:space="0" w:color="auto"/>
              <w:right w:val="single" w:sz="8" w:space="0" w:color="auto"/>
            </w:tcBorders>
            <w:shd w:val="clear" w:color="auto" w:fill="366092"/>
            <w:noWrap/>
            <w:vAlign w:val="center"/>
            <w:hideMark/>
          </w:tcPr>
          <w:p w14:paraId="67AF3BD5" w14:textId="77777777" w:rsidR="005A730B" w:rsidRDefault="005A730B">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$14.587,3</w:t>
            </w:r>
          </w:p>
        </w:tc>
      </w:tr>
    </w:tbl>
    <w:p w14:paraId="706CA3F4" w14:textId="77777777" w:rsidR="005A730B" w:rsidRDefault="005A730B" w:rsidP="005A730B">
      <w:pPr>
        <w:pStyle w:val="Default"/>
        <w:jc w:val="center"/>
        <w:rPr>
          <w:rFonts w:eastAsia="MS Mincho"/>
          <w:color w:val="auto"/>
          <w:sz w:val="16"/>
          <w:szCs w:val="16"/>
          <w:lang w:val="es-ES" w:eastAsia="es-ES"/>
        </w:rPr>
      </w:pPr>
      <w:r>
        <w:rPr>
          <w:rFonts w:eastAsia="MS Mincho"/>
          <w:color w:val="auto"/>
          <w:sz w:val="16"/>
          <w:szCs w:val="16"/>
          <w:lang w:val="es-ES" w:eastAsia="es-ES"/>
        </w:rPr>
        <w:t>Fuente: Información de la entidad territorial requerimiento 18.</w:t>
      </w:r>
    </w:p>
    <w:p w14:paraId="12DACB25" w14:textId="77777777" w:rsidR="005A730B" w:rsidRDefault="005A730B" w:rsidP="005A730B">
      <w:pPr>
        <w:jc w:val="both"/>
        <w:rPr>
          <w:rFonts w:ascii="Arial" w:hAnsi="Arial" w:cs="Arial"/>
          <w:sz w:val="21"/>
          <w:szCs w:val="21"/>
        </w:rPr>
      </w:pPr>
    </w:p>
    <w:p w14:paraId="6EAFF586" w14:textId="77777777" w:rsidR="005A730B" w:rsidRDefault="005A730B" w:rsidP="005A730B">
      <w:pPr>
        <w:jc w:val="both"/>
        <w:rPr>
          <w:rFonts w:ascii="Arial" w:hAnsi="Arial" w:cs="Arial"/>
          <w:color w:val="000000"/>
          <w:sz w:val="21"/>
          <w:szCs w:val="21"/>
          <w:shd w:val="clear" w:color="auto" w:fill="FFFFFF"/>
        </w:rPr>
      </w:pPr>
      <w:r>
        <w:rPr>
          <w:rFonts w:ascii="Arial" w:hAnsi="Arial" w:cs="Arial"/>
          <w:sz w:val="21"/>
          <w:szCs w:val="21"/>
        </w:rPr>
        <w:t>De lo anterior, se identifica que del valor total de recursos asignados ($14.587 millones) se comprometió el 100</w:t>
      </w:r>
      <w:r w:rsidR="00A57834">
        <w:rPr>
          <w:rFonts w:ascii="Arial" w:hAnsi="Arial" w:cs="Arial"/>
          <w:sz w:val="21"/>
          <w:szCs w:val="21"/>
        </w:rPr>
        <w:t>%</w:t>
      </w:r>
      <w:r>
        <w:rPr>
          <w:rFonts w:ascii="Arial" w:hAnsi="Arial" w:cs="Arial"/>
          <w:sz w:val="21"/>
          <w:szCs w:val="21"/>
        </w:rPr>
        <w:t xml:space="preserve"> de los recursos con las Empresas Sociales del Estado, de los cuales se tienen obligaciones y pagos por $10.876 millones,</w:t>
      </w:r>
      <w:r>
        <w:rPr>
          <w:rFonts w:ascii="Arial" w:hAnsi="Arial" w:cs="Arial"/>
          <w:color w:val="000000"/>
          <w:sz w:val="21"/>
          <w:szCs w:val="21"/>
          <w:shd w:val="clear" w:color="auto" w:fill="FFFFFF"/>
        </w:rPr>
        <w:t xml:space="preserve"> valores que son consistente con la información entregada en el FUT y con el Documento de Distribución No. </w:t>
      </w:r>
      <w:r>
        <w:rPr>
          <w:rFonts w:ascii="Arial" w:hAnsi="Arial" w:cs="Arial"/>
          <w:sz w:val="21"/>
          <w:szCs w:val="21"/>
        </w:rPr>
        <w:t>SGP-54-20215</w:t>
      </w:r>
      <w:r>
        <w:rPr>
          <w:rFonts w:ascii="Arial" w:hAnsi="Arial" w:cs="Arial"/>
          <w:color w:val="000000"/>
          <w:sz w:val="21"/>
          <w:szCs w:val="21"/>
          <w:shd w:val="clear" w:color="auto" w:fill="FFFFFF"/>
        </w:rPr>
        <w:t>.</w:t>
      </w:r>
    </w:p>
    <w:p w14:paraId="6F6B0086" w14:textId="77777777" w:rsidR="005A730B" w:rsidRDefault="005A730B" w:rsidP="005A730B">
      <w:pPr>
        <w:jc w:val="both"/>
        <w:rPr>
          <w:rFonts w:ascii="Arial" w:hAnsi="Arial" w:cs="Arial"/>
          <w:color w:val="000000"/>
          <w:sz w:val="21"/>
          <w:szCs w:val="21"/>
          <w:shd w:val="clear" w:color="auto" w:fill="FFFFFF"/>
        </w:rPr>
      </w:pPr>
    </w:p>
    <w:p w14:paraId="770015C7" w14:textId="77777777" w:rsidR="005A730B" w:rsidRDefault="005A730B" w:rsidP="005A730B">
      <w:pPr>
        <w:pStyle w:val="Default"/>
        <w:jc w:val="both"/>
        <w:rPr>
          <w:sz w:val="21"/>
          <w:szCs w:val="21"/>
        </w:rPr>
      </w:pPr>
      <w:r>
        <w:rPr>
          <w:rFonts w:eastAsia="MS Mincho"/>
          <w:color w:val="auto"/>
          <w:sz w:val="21"/>
          <w:szCs w:val="21"/>
          <w:lang w:val="es-ES" w:eastAsia="es-ES"/>
        </w:rPr>
        <w:t>En cuanto a los convenios, fue posible identificar la consistencia entre los valores distribuidos por el Departamento y el valor incluido en cada uno de los contratos interadministrativos conforme a lo identificado en los informes de supervisión a estos. La contratación en la vigencia 2021 fue realizada en el mes de marzo, abril y mayo, mostrando mayor oportunidad en los procesos de planeación, así mismo se identifica que la Entidad Territorial suscribió seis (</w:t>
      </w:r>
      <w:r>
        <w:rPr>
          <w:sz w:val="21"/>
          <w:szCs w:val="21"/>
        </w:rPr>
        <w:t>6) contratos interadministrativos con las IPS públicas monopolio con servicios trazadores no sostenibles de acuerdo con el listado publicado por el Ministerio de Salud y Protección Social.</w:t>
      </w:r>
    </w:p>
    <w:p w14:paraId="5950724C" w14:textId="77777777" w:rsidR="005A730B" w:rsidRDefault="005A730B" w:rsidP="005A730B">
      <w:pPr>
        <w:pStyle w:val="Default"/>
        <w:jc w:val="both"/>
        <w:rPr>
          <w:color w:val="000000" w:themeColor="text1"/>
          <w:sz w:val="21"/>
          <w:szCs w:val="21"/>
        </w:rPr>
      </w:pPr>
    </w:p>
    <w:p w14:paraId="7E3DA2F3" w14:textId="77777777" w:rsidR="005A730B" w:rsidRDefault="005A730B" w:rsidP="005A730B">
      <w:pPr>
        <w:pStyle w:val="Default"/>
        <w:jc w:val="both"/>
        <w:rPr>
          <w:color w:val="000000" w:themeColor="text1"/>
          <w:sz w:val="21"/>
          <w:szCs w:val="21"/>
        </w:rPr>
      </w:pPr>
      <w:r>
        <w:rPr>
          <w:color w:val="000000" w:themeColor="text1"/>
          <w:sz w:val="21"/>
          <w:szCs w:val="21"/>
        </w:rPr>
        <w:t>En cuanto al cumplimiento de lo expuesto en la Resolución 857 de 2020, en los artículos 3, 4 y 5, se pudo constatar el contenido de los convenios, así:</w:t>
      </w:r>
    </w:p>
    <w:p w14:paraId="1DA14036" w14:textId="77777777" w:rsidR="005A730B" w:rsidRDefault="005A730B" w:rsidP="005A730B">
      <w:pPr>
        <w:pStyle w:val="Default"/>
        <w:jc w:val="both"/>
        <w:rPr>
          <w:color w:val="000000" w:themeColor="text1"/>
          <w:sz w:val="21"/>
          <w:szCs w:val="21"/>
        </w:rPr>
      </w:pPr>
    </w:p>
    <w:p w14:paraId="4E291BE0" w14:textId="77777777" w:rsidR="005A730B" w:rsidRDefault="005A730B" w:rsidP="005A730B">
      <w:pPr>
        <w:pStyle w:val="Default"/>
        <w:numPr>
          <w:ilvl w:val="0"/>
          <w:numId w:val="28"/>
        </w:numPr>
        <w:contextualSpacing/>
        <w:jc w:val="both"/>
        <w:rPr>
          <w:color w:val="000000" w:themeColor="text1"/>
          <w:sz w:val="21"/>
          <w:szCs w:val="21"/>
        </w:rPr>
      </w:pPr>
      <w:r>
        <w:rPr>
          <w:color w:val="000000" w:themeColor="text1"/>
          <w:sz w:val="21"/>
          <w:szCs w:val="21"/>
        </w:rPr>
        <w:t>El objeto del convenio.</w:t>
      </w:r>
    </w:p>
    <w:p w14:paraId="1A1F4C6D" w14:textId="77777777" w:rsidR="005A730B" w:rsidRDefault="005A730B" w:rsidP="005A730B">
      <w:pPr>
        <w:pStyle w:val="Default"/>
        <w:numPr>
          <w:ilvl w:val="0"/>
          <w:numId w:val="28"/>
        </w:numPr>
        <w:contextualSpacing/>
        <w:jc w:val="both"/>
        <w:rPr>
          <w:color w:val="000000" w:themeColor="text1"/>
          <w:sz w:val="21"/>
          <w:szCs w:val="21"/>
        </w:rPr>
      </w:pPr>
      <w:r>
        <w:rPr>
          <w:color w:val="000000" w:themeColor="text1"/>
          <w:sz w:val="21"/>
          <w:szCs w:val="21"/>
        </w:rPr>
        <w:t>El término.</w:t>
      </w:r>
    </w:p>
    <w:p w14:paraId="3DC3A23A" w14:textId="77777777" w:rsidR="005A730B" w:rsidRDefault="005A730B" w:rsidP="005A730B">
      <w:pPr>
        <w:pStyle w:val="Default"/>
        <w:numPr>
          <w:ilvl w:val="0"/>
          <w:numId w:val="28"/>
        </w:numPr>
        <w:contextualSpacing/>
        <w:jc w:val="both"/>
        <w:rPr>
          <w:color w:val="000000" w:themeColor="text1"/>
          <w:sz w:val="21"/>
          <w:szCs w:val="21"/>
        </w:rPr>
      </w:pPr>
      <w:r>
        <w:rPr>
          <w:color w:val="000000" w:themeColor="text1"/>
          <w:sz w:val="21"/>
          <w:szCs w:val="21"/>
        </w:rPr>
        <w:t>Designación del supervisor.</w:t>
      </w:r>
    </w:p>
    <w:p w14:paraId="1533607E" w14:textId="77777777" w:rsidR="005A730B" w:rsidRDefault="005A730B" w:rsidP="005A730B">
      <w:pPr>
        <w:pStyle w:val="Default"/>
        <w:numPr>
          <w:ilvl w:val="0"/>
          <w:numId w:val="28"/>
        </w:numPr>
        <w:contextualSpacing/>
        <w:jc w:val="both"/>
        <w:rPr>
          <w:color w:val="000000" w:themeColor="text1"/>
          <w:sz w:val="21"/>
          <w:szCs w:val="21"/>
        </w:rPr>
      </w:pPr>
      <w:r>
        <w:rPr>
          <w:color w:val="000000" w:themeColor="text1"/>
          <w:sz w:val="21"/>
          <w:szCs w:val="21"/>
        </w:rPr>
        <w:t>Garantía de la operación.</w:t>
      </w:r>
    </w:p>
    <w:p w14:paraId="6F0977F2" w14:textId="77777777" w:rsidR="005A730B" w:rsidRDefault="005A730B" w:rsidP="005A730B">
      <w:pPr>
        <w:pStyle w:val="Default"/>
        <w:numPr>
          <w:ilvl w:val="0"/>
          <w:numId w:val="28"/>
        </w:numPr>
        <w:contextualSpacing/>
        <w:jc w:val="both"/>
        <w:rPr>
          <w:color w:val="000000" w:themeColor="text1"/>
          <w:sz w:val="21"/>
          <w:szCs w:val="21"/>
        </w:rPr>
      </w:pPr>
      <w:r>
        <w:rPr>
          <w:color w:val="000000" w:themeColor="text1"/>
          <w:sz w:val="21"/>
          <w:szCs w:val="21"/>
        </w:rPr>
        <w:t>Indicadores y metas para cumplir.</w:t>
      </w:r>
    </w:p>
    <w:p w14:paraId="594B6544" w14:textId="77777777" w:rsidR="005A730B" w:rsidRDefault="005A730B" w:rsidP="005A730B">
      <w:pPr>
        <w:pStyle w:val="Default"/>
        <w:numPr>
          <w:ilvl w:val="0"/>
          <w:numId w:val="28"/>
        </w:numPr>
        <w:contextualSpacing/>
        <w:jc w:val="both"/>
        <w:rPr>
          <w:color w:val="000000" w:themeColor="text1"/>
          <w:sz w:val="21"/>
          <w:szCs w:val="21"/>
        </w:rPr>
      </w:pPr>
      <w:r>
        <w:rPr>
          <w:color w:val="000000" w:themeColor="text1"/>
          <w:sz w:val="21"/>
          <w:szCs w:val="21"/>
        </w:rPr>
        <w:t>Giro de los recursos realizado según lo expuesto en el contrato interadministrativo.</w:t>
      </w:r>
    </w:p>
    <w:p w14:paraId="3C78C057" w14:textId="77777777" w:rsidR="005A730B" w:rsidRDefault="005A730B" w:rsidP="005A730B">
      <w:pPr>
        <w:pStyle w:val="Default"/>
        <w:jc w:val="both"/>
        <w:rPr>
          <w:color w:val="000000" w:themeColor="text1"/>
          <w:sz w:val="21"/>
          <w:szCs w:val="21"/>
        </w:rPr>
      </w:pPr>
    </w:p>
    <w:p w14:paraId="7F778CE3" w14:textId="77777777" w:rsidR="005A730B" w:rsidRDefault="005A730B" w:rsidP="005A730B">
      <w:pPr>
        <w:pStyle w:val="Default"/>
        <w:jc w:val="both"/>
        <w:rPr>
          <w:color w:val="auto"/>
          <w:sz w:val="21"/>
          <w:szCs w:val="21"/>
        </w:rPr>
      </w:pPr>
      <w:r>
        <w:rPr>
          <w:sz w:val="21"/>
          <w:szCs w:val="21"/>
        </w:rPr>
        <w:t>De acuerdo con los informes de supervisión remitidos se evidencia el cumplimiento de las actividades contempladas en cada uno de los contratos suscritos con las ESE.</w:t>
      </w:r>
    </w:p>
    <w:p w14:paraId="2864E504" w14:textId="77777777" w:rsidR="005A730B" w:rsidRDefault="005A730B" w:rsidP="005A730B">
      <w:pPr>
        <w:jc w:val="both"/>
        <w:rPr>
          <w:rFonts w:ascii="Arial" w:hAnsi="Arial" w:cs="Arial"/>
          <w:color w:val="000000"/>
          <w:sz w:val="21"/>
          <w:szCs w:val="21"/>
          <w:shd w:val="clear" w:color="auto" w:fill="FFFFFF"/>
        </w:rPr>
      </w:pPr>
    </w:p>
    <w:p w14:paraId="41B28A5E" w14:textId="77777777" w:rsidR="005A730B" w:rsidRDefault="005A730B" w:rsidP="005A730B">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Adicionalmente, la Entidad Territorial evidencia la metodología para la distribución de recursos conforme a lo dispuesto en el Decreto 268 de 2020 así:</w:t>
      </w:r>
    </w:p>
    <w:p w14:paraId="79730FA9" w14:textId="77777777" w:rsidR="005A730B" w:rsidRDefault="005A730B" w:rsidP="005A730B">
      <w:pPr>
        <w:jc w:val="both"/>
        <w:rPr>
          <w:rFonts w:ascii="Arial" w:hAnsi="Arial" w:cs="Arial"/>
          <w:color w:val="000000"/>
          <w:sz w:val="21"/>
          <w:szCs w:val="21"/>
          <w:shd w:val="clear" w:color="auto" w:fill="FFFFFF"/>
        </w:rPr>
      </w:pPr>
    </w:p>
    <w:p w14:paraId="4E2CCC97"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Población Total.</w:t>
      </w:r>
    </w:p>
    <w:p w14:paraId="27B1A2FC"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eastAsiaTheme="minorHAnsi" w:hAnsi="Arial" w:cs="Arial"/>
          <w:sz w:val="21"/>
          <w:szCs w:val="21"/>
          <w:lang w:val="es-CO" w:eastAsia="en-US"/>
        </w:rPr>
        <w:t>Densidad poblacional.</w:t>
      </w:r>
    </w:p>
    <w:p w14:paraId="64C66720"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eastAsiaTheme="minorHAnsi" w:hAnsi="Arial" w:cs="Arial"/>
          <w:sz w:val="21"/>
          <w:szCs w:val="21"/>
          <w:lang w:val="es-CO" w:eastAsia="en-US"/>
        </w:rPr>
        <w:t>Acceso Geográfico.</w:t>
      </w:r>
    </w:p>
    <w:p w14:paraId="2A6F1EB4"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eastAsiaTheme="minorHAnsi" w:hAnsi="Arial" w:cs="Arial"/>
          <w:sz w:val="21"/>
          <w:szCs w:val="21"/>
          <w:lang w:val="es-CO" w:eastAsia="en-US"/>
        </w:rPr>
        <w:t>Porcentaje de población Rural.</w:t>
      </w:r>
    </w:p>
    <w:p w14:paraId="03F99E56"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eastAsiaTheme="minorHAnsi" w:hAnsi="Arial" w:cs="Arial"/>
          <w:sz w:val="21"/>
          <w:szCs w:val="21"/>
          <w:lang w:val="es-CO" w:eastAsia="en-US"/>
        </w:rPr>
        <w:t>Producción de servicios.</w:t>
      </w:r>
    </w:p>
    <w:p w14:paraId="1A3BEC89"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eastAsiaTheme="minorHAnsi" w:hAnsi="Arial" w:cs="Arial"/>
          <w:sz w:val="21"/>
          <w:szCs w:val="21"/>
          <w:lang w:val="es-CO" w:eastAsia="en-US"/>
        </w:rPr>
        <w:t>Indicadores de calidad.</w:t>
      </w:r>
    </w:p>
    <w:p w14:paraId="07EE0C74" w14:textId="77777777" w:rsidR="005A730B" w:rsidRDefault="005A730B" w:rsidP="005A730B">
      <w:pPr>
        <w:pStyle w:val="Prrafodelista"/>
        <w:numPr>
          <w:ilvl w:val="0"/>
          <w:numId w:val="41"/>
        </w:numPr>
        <w:jc w:val="both"/>
        <w:rPr>
          <w:rFonts w:ascii="Arial" w:hAnsi="Arial" w:cs="Arial"/>
          <w:color w:val="000000"/>
          <w:sz w:val="21"/>
          <w:szCs w:val="21"/>
          <w:shd w:val="clear" w:color="auto" w:fill="FFFFFF"/>
        </w:rPr>
      </w:pPr>
      <w:r>
        <w:rPr>
          <w:rFonts w:ascii="Arial" w:eastAsiaTheme="minorHAnsi" w:hAnsi="Arial" w:cs="Arial"/>
          <w:sz w:val="21"/>
          <w:szCs w:val="21"/>
          <w:lang w:val="es-CO" w:eastAsia="en-US"/>
        </w:rPr>
        <w:t>Ajustes por gastos de operación.</w:t>
      </w:r>
    </w:p>
    <w:p w14:paraId="526078F5" w14:textId="77777777" w:rsidR="005A730B" w:rsidRDefault="005A730B" w:rsidP="005A730B">
      <w:pPr>
        <w:autoSpaceDE w:val="0"/>
        <w:autoSpaceDN w:val="0"/>
        <w:adjustRightInd w:val="0"/>
        <w:jc w:val="both"/>
        <w:rPr>
          <w:rFonts w:ascii="Arial" w:eastAsiaTheme="minorHAnsi" w:hAnsi="Arial" w:cs="Arial"/>
          <w:sz w:val="21"/>
          <w:szCs w:val="21"/>
          <w:lang w:val="es-CO" w:eastAsia="en-US"/>
        </w:rPr>
      </w:pPr>
    </w:p>
    <w:p w14:paraId="5A0D3F65" w14:textId="77777777" w:rsidR="005A730B" w:rsidRDefault="005A730B" w:rsidP="005A730B">
      <w:pPr>
        <w:autoSpaceDE w:val="0"/>
        <w:autoSpaceDN w:val="0"/>
        <w:adjustRightInd w:val="0"/>
        <w:jc w:val="both"/>
        <w:rPr>
          <w:rFonts w:ascii="Arial" w:eastAsiaTheme="minorHAnsi" w:hAnsi="Arial" w:cs="Arial"/>
          <w:sz w:val="21"/>
          <w:szCs w:val="21"/>
          <w:lang w:val="es-CO" w:eastAsia="en-US"/>
        </w:rPr>
      </w:pPr>
      <w:r>
        <w:rPr>
          <w:rFonts w:ascii="Arial" w:eastAsiaTheme="minorHAnsi" w:hAnsi="Arial" w:cs="Arial"/>
          <w:sz w:val="21"/>
          <w:szCs w:val="21"/>
          <w:lang w:val="es-CO" w:eastAsia="en-US"/>
        </w:rPr>
        <w:t>Y destaca:</w:t>
      </w:r>
    </w:p>
    <w:p w14:paraId="4945F137" w14:textId="77777777" w:rsidR="005A730B" w:rsidRDefault="005A730B" w:rsidP="005A730B">
      <w:pPr>
        <w:autoSpaceDE w:val="0"/>
        <w:autoSpaceDN w:val="0"/>
        <w:adjustRightInd w:val="0"/>
        <w:jc w:val="both"/>
        <w:rPr>
          <w:rFonts w:ascii="Arial" w:eastAsiaTheme="minorHAnsi" w:hAnsi="Arial" w:cs="Arial"/>
          <w:sz w:val="21"/>
          <w:szCs w:val="21"/>
          <w:lang w:val="es-CO" w:eastAsia="en-US"/>
        </w:rPr>
      </w:pPr>
    </w:p>
    <w:p w14:paraId="1B43978F" w14:textId="77777777" w:rsidR="005A730B" w:rsidRDefault="005A730B" w:rsidP="005A730B">
      <w:pPr>
        <w:autoSpaceDE w:val="0"/>
        <w:autoSpaceDN w:val="0"/>
        <w:adjustRightInd w:val="0"/>
        <w:ind w:left="357"/>
        <w:contextualSpacing/>
        <w:jc w:val="both"/>
        <w:rPr>
          <w:rFonts w:ascii="Arial" w:eastAsiaTheme="minorHAnsi" w:hAnsi="Arial" w:cs="Arial"/>
          <w:sz w:val="18"/>
          <w:szCs w:val="18"/>
          <w:lang w:val="es-CO" w:eastAsia="en-US"/>
        </w:rPr>
      </w:pPr>
      <w:r>
        <w:rPr>
          <w:rFonts w:ascii="Arial" w:eastAsiaTheme="minorHAnsi" w:hAnsi="Arial" w:cs="Arial"/>
          <w:sz w:val="18"/>
          <w:szCs w:val="18"/>
          <w:lang w:val="es-CO" w:eastAsia="en-US"/>
        </w:rPr>
        <w:t>“</w:t>
      </w:r>
      <w:r>
        <w:rPr>
          <w:rFonts w:ascii="Arial" w:eastAsiaTheme="minorHAnsi" w:hAnsi="Arial" w:cs="Arial"/>
          <w:i/>
          <w:sz w:val="18"/>
          <w:szCs w:val="18"/>
          <w:lang w:val="es-CO" w:eastAsia="en-US"/>
        </w:rPr>
        <w:t>En cada factor de ponderación se tendrá en cuenta la información disponible por municipio o sede de atención a fin de realizar una distribución unitaria por municipio, posteriormente se consolidará cada valor para establecer el consolidado por Empresa Social del Estado. Teniendo en cuenta que el fin de los recursos es ayudar a financiar la operación de servicios de salud, se tendrá como factor de ajuste el gasto operacional por Empresa Social del Estado en el último año reportado en el SIHO, es decir, el valor equivalente al gasto de funcionamiento reportado para la vigencia 2019. A cada una de estas variables se le asignó un valor porcentual para la sumatoria final de recursos del subsidio a la oferta</w:t>
      </w:r>
      <w:r>
        <w:rPr>
          <w:rStyle w:val="Refdenotaalpie"/>
          <w:rFonts w:ascii="Arial" w:eastAsiaTheme="minorHAnsi" w:hAnsi="Arial" w:cs="Arial"/>
          <w:sz w:val="18"/>
          <w:szCs w:val="18"/>
          <w:lang w:val="es-CO" w:eastAsia="en-US"/>
        </w:rPr>
        <w:footnoteReference w:id="3"/>
      </w:r>
      <w:r>
        <w:rPr>
          <w:rFonts w:ascii="Arial" w:hAnsi="Arial" w:cs="Arial"/>
          <w:color w:val="000000"/>
          <w:sz w:val="18"/>
          <w:szCs w:val="18"/>
          <w:shd w:val="clear" w:color="auto" w:fill="FFFFFF"/>
        </w:rPr>
        <w:t xml:space="preserve"> “ </w:t>
      </w:r>
    </w:p>
    <w:p w14:paraId="0B1A14DB" w14:textId="77777777" w:rsidR="005A730B" w:rsidRDefault="005A730B" w:rsidP="005A730B">
      <w:pPr>
        <w:jc w:val="both"/>
        <w:rPr>
          <w:rFonts w:ascii="Arial" w:hAnsi="Arial" w:cs="Arial"/>
          <w:b/>
          <w:sz w:val="21"/>
          <w:szCs w:val="21"/>
        </w:rPr>
      </w:pPr>
    </w:p>
    <w:p w14:paraId="029EC91D" w14:textId="77777777" w:rsidR="005A730B" w:rsidRDefault="005A730B" w:rsidP="005A730B">
      <w:pPr>
        <w:pStyle w:val="Prrafodelista"/>
        <w:numPr>
          <w:ilvl w:val="1"/>
          <w:numId w:val="19"/>
        </w:numPr>
        <w:jc w:val="both"/>
        <w:rPr>
          <w:rFonts w:ascii="Arial" w:hAnsi="Arial" w:cs="Arial"/>
          <w:b/>
          <w:sz w:val="21"/>
          <w:szCs w:val="21"/>
        </w:rPr>
      </w:pPr>
      <w:r>
        <w:rPr>
          <w:rFonts w:ascii="Arial" w:hAnsi="Arial" w:cs="Arial"/>
          <w:b/>
          <w:sz w:val="21"/>
          <w:szCs w:val="21"/>
        </w:rPr>
        <w:lastRenderedPageBreak/>
        <w:t>Evaluación de la Reorganización de la Red Pública de Prestadores viabilizada por el MSPS.</w:t>
      </w:r>
    </w:p>
    <w:p w14:paraId="20960FD0" w14:textId="77777777" w:rsidR="005A730B" w:rsidRDefault="005A730B" w:rsidP="005A730B">
      <w:pPr>
        <w:jc w:val="both"/>
        <w:rPr>
          <w:rFonts w:ascii="Arial" w:eastAsiaTheme="minorHAnsi" w:hAnsi="Arial" w:cs="Arial"/>
          <w:sz w:val="21"/>
          <w:szCs w:val="21"/>
          <w:lang w:val="es-CO" w:eastAsia="en-US"/>
        </w:rPr>
      </w:pPr>
    </w:p>
    <w:p w14:paraId="37E973D6"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Con fundamento en la categorización de riesgo que realiza anualmente el MSPS a las ESE del Departamento de Caquetá es posible evidenciar que, a partir de la vigencia 2015 se ha incrementado el deterioro financiero de estas, impidiendo su proyección de inversión y crecimiento institucional.</w:t>
      </w:r>
    </w:p>
    <w:p w14:paraId="120D97FC" w14:textId="77777777" w:rsidR="005A730B" w:rsidRDefault="005A730B" w:rsidP="005A730B">
      <w:pPr>
        <w:autoSpaceDE w:val="0"/>
        <w:autoSpaceDN w:val="0"/>
        <w:adjustRightInd w:val="0"/>
        <w:jc w:val="both"/>
        <w:rPr>
          <w:rFonts w:ascii="Arial" w:hAnsi="Arial" w:cs="Arial"/>
          <w:sz w:val="21"/>
          <w:szCs w:val="21"/>
        </w:rPr>
      </w:pPr>
    </w:p>
    <w:p w14:paraId="2E8C5DB6"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En el año 2020 debido a la pandemia por SAR COV 2 no se realizó categorización por parte del MSPS; no obstante, en el marco del seguimiento que realiza la secretaría de Salud Departamental según lo definido en la Resolución 2509 del 2012, se efectuó la categorización de las ESE, evidenciándose que el 66,4</w:t>
      </w:r>
      <w:r w:rsidR="00A57834">
        <w:rPr>
          <w:rFonts w:ascii="Arial" w:hAnsi="Arial" w:cs="Arial"/>
          <w:sz w:val="21"/>
          <w:szCs w:val="21"/>
        </w:rPr>
        <w:t>%</w:t>
      </w:r>
      <w:r>
        <w:rPr>
          <w:rFonts w:ascii="Arial" w:hAnsi="Arial" w:cs="Arial"/>
          <w:sz w:val="21"/>
          <w:szCs w:val="21"/>
        </w:rPr>
        <w:t xml:space="preserve"> de la Red Pública del Departamento tiene algún tipo de riesgo, situación que ha dificultado la implementación de lo previsto en el documento de </w:t>
      </w:r>
      <w:r>
        <w:rPr>
          <w:rFonts w:ascii="Arial" w:hAnsi="Arial" w:cs="Arial"/>
          <w:b/>
          <w:sz w:val="21"/>
          <w:szCs w:val="21"/>
        </w:rPr>
        <w:t>Reorganización de la Red Pública de Prestadores viabilizada por el MSPS</w:t>
      </w:r>
      <w:r>
        <w:rPr>
          <w:rFonts w:ascii="Arial" w:hAnsi="Arial" w:cs="Arial"/>
          <w:sz w:val="21"/>
          <w:szCs w:val="21"/>
        </w:rPr>
        <w:t xml:space="preserve"> viabilizado en la vigencia 2014, aun cuando se han venido fortaleciendo los servicios de baja complejidad habilitados para lograr su sostenibilidad.</w:t>
      </w:r>
    </w:p>
    <w:p w14:paraId="59F3EDAD" w14:textId="77777777" w:rsidR="005A730B" w:rsidRDefault="005A730B" w:rsidP="005A730B">
      <w:pPr>
        <w:autoSpaceDE w:val="0"/>
        <w:autoSpaceDN w:val="0"/>
        <w:adjustRightInd w:val="0"/>
        <w:jc w:val="both"/>
        <w:rPr>
          <w:rFonts w:ascii="Arial" w:hAnsi="Arial" w:cs="Arial"/>
          <w:sz w:val="21"/>
          <w:szCs w:val="21"/>
        </w:rPr>
      </w:pPr>
    </w:p>
    <w:p w14:paraId="7DF1E886" w14:textId="77777777" w:rsidR="005A730B" w:rsidRDefault="005A730B" w:rsidP="005A730B">
      <w:pPr>
        <w:autoSpaceDE w:val="0"/>
        <w:autoSpaceDN w:val="0"/>
        <w:adjustRightInd w:val="0"/>
        <w:rPr>
          <w:rFonts w:ascii="Arial" w:hAnsi="Arial" w:cs="Arial"/>
          <w:sz w:val="21"/>
          <w:szCs w:val="21"/>
        </w:rPr>
      </w:pPr>
      <w:r>
        <w:rPr>
          <w:rFonts w:ascii="Arial" w:hAnsi="Arial" w:cs="Arial"/>
          <w:sz w:val="21"/>
          <w:szCs w:val="21"/>
        </w:rPr>
        <w:t>En cuanto a la reorganización de la Red, el documento establece un marco de organización de la Red basados en Subredes así:</w:t>
      </w:r>
    </w:p>
    <w:p w14:paraId="44726559" w14:textId="77777777" w:rsidR="005A730B" w:rsidRDefault="005A730B" w:rsidP="005A730B">
      <w:pPr>
        <w:autoSpaceDE w:val="0"/>
        <w:autoSpaceDN w:val="0"/>
        <w:adjustRightInd w:val="0"/>
        <w:rPr>
          <w:rFonts w:ascii="Arial" w:hAnsi="Arial" w:cs="Arial"/>
          <w:sz w:val="21"/>
          <w:szCs w:val="21"/>
        </w:rPr>
      </w:pPr>
    </w:p>
    <w:p w14:paraId="73A6ED28"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 xml:space="preserve">La del Norte 1 Sor Teresa Adele, </w:t>
      </w:r>
      <w:proofErr w:type="gramStart"/>
      <w:r>
        <w:rPr>
          <w:rFonts w:ascii="Arial" w:hAnsi="Arial" w:cs="Arial"/>
          <w:sz w:val="21"/>
          <w:szCs w:val="21"/>
        </w:rPr>
        <w:t>Sub Red</w:t>
      </w:r>
      <w:proofErr w:type="gramEnd"/>
      <w:r>
        <w:rPr>
          <w:rFonts w:ascii="Arial" w:hAnsi="Arial" w:cs="Arial"/>
          <w:sz w:val="21"/>
          <w:szCs w:val="21"/>
        </w:rPr>
        <w:t xml:space="preserve"> Norte2 ESE Hospital San Rafael, Sub Red Centro ESE Hospital Comunal Malvinas y la ESE Hospital Departamental María Inmaculada, Sur Red ESE Rafael Tovar Poveda y Sub Red de los Ríos, ESE Fabio Jaramillo Londoño.</w:t>
      </w:r>
    </w:p>
    <w:p w14:paraId="65E511F6" w14:textId="77777777" w:rsidR="005A730B" w:rsidRDefault="005A730B" w:rsidP="005A730B">
      <w:pPr>
        <w:autoSpaceDE w:val="0"/>
        <w:autoSpaceDN w:val="0"/>
        <w:adjustRightInd w:val="0"/>
        <w:jc w:val="both"/>
        <w:rPr>
          <w:rFonts w:ascii="Arial" w:hAnsi="Arial" w:cs="Arial"/>
          <w:sz w:val="21"/>
          <w:szCs w:val="21"/>
        </w:rPr>
      </w:pPr>
    </w:p>
    <w:p w14:paraId="1FEF0314"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Este rediseño busca responder a criterios de racionalidad técnica, administrativa y financiera, así como a elementos relacionados con el área de influencia, las características de la población, sus flujos y vínculos, condiciones de salud, accesibilidad a los Servicios de Salud y de su funcionamiento en red, se conformarán 5 Subredes Regionales, que se corresponden con 5 Empresas Sociales del Estado de baja complejidad existentes en el territorio caqueteño y como centro de referencia de mediana y alta complejidad el Hospital Departamental María Inmaculada.</w:t>
      </w:r>
    </w:p>
    <w:p w14:paraId="2F55E1A5" w14:textId="77777777" w:rsidR="005A730B" w:rsidRDefault="005A730B" w:rsidP="005A730B">
      <w:pPr>
        <w:autoSpaceDE w:val="0"/>
        <w:autoSpaceDN w:val="0"/>
        <w:adjustRightInd w:val="0"/>
        <w:jc w:val="both"/>
        <w:rPr>
          <w:rFonts w:ascii="Arial" w:hAnsi="Arial" w:cs="Arial"/>
          <w:sz w:val="21"/>
          <w:szCs w:val="21"/>
        </w:rPr>
      </w:pPr>
    </w:p>
    <w:p w14:paraId="0CBE4672"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Dentro de la problemática para la implementación de los pilares contemplados en el documento de Red viabilizado en la vigencia 2014, se destaca la cartera por venta de Servicios de Salud de las ESE de la Red Pública, la cual se ha constituido en una limitante importante dentro de su presupuesto y sus resultados financieros, aunado al castigo de carteras de difícil cobro, sobre todo de las seguradoras en liquidación que se vuelven irrecuperables; circunstancias que han hecho que los planes de inversión y fortalecimiento de los servicios se minimicen o no se lleven a cabo.</w:t>
      </w:r>
    </w:p>
    <w:p w14:paraId="7AA12C2C" w14:textId="77777777" w:rsidR="005A730B" w:rsidRDefault="005A730B" w:rsidP="005A730B">
      <w:pPr>
        <w:autoSpaceDE w:val="0"/>
        <w:autoSpaceDN w:val="0"/>
        <w:adjustRightInd w:val="0"/>
        <w:jc w:val="both"/>
        <w:rPr>
          <w:rFonts w:ascii="Arial" w:hAnsi="Arial" w:cs="Arial"/>
          <w:sz w:val="21"/>
          <w:szCs w:val="21"/>
        </w:rPr>
      </w:pPr>
    </w:p>
    <w:p w14:paraId="14288CFF" w14:textId="77777777" w:rsidR="005A730B" w:rsidRDefault="005A730B" w:rsidP="005A730B">
      <w:pPr>
        <w:autoSpaceDE w:val="0"/>
        <w:autoSpaceDN w:val="0"/>
        <w:adjustRightInd w:val="0"/>
        <w:jc w:val="both"/>
        <w:rPr>
          <w:rFonts w:ascii="Arial" w:hAnsi="Arial" w:cs="Arial"/>
          <w:sz w:val="21"/>
          <w:szCs w:val="21"/>
        </w:rPr>
      </w:pPr>
      <w:r>
        <w:rPr>
          <w:rFonts w:ascii="Arial" w:hAnsi="Arial" w:cs="Arial"/>
          <w:sz w:val="21"/>
          <w:szCs w:val="21"/>
        </w:rPr>
        <w:t>Por lo anterior, la información entregada por la Entidad Territorial muestra el bajo avance obtenido en la implementación del modelo de Red, el cual, además no se tiene actualizado.</w:t>
      </w:r>
    </w:p>
    <w:p w14:paraId="72B5D399" w14:textId="77777777" w:rsidR="005A730B" w:rsidRDefault="005A730B" w:rsidP="005A730B">
      <w:pPr>
        <w:autoSpaceDE w:val="0"/>
        <w:autoSpaceDN w:val="0"/>
        <w:adjustRightInd w:val="0"/>
        <w:jc w:val="both"/>
        <w:rPr>
          <w:rFonts w:ascii="Arial" w:hAnsi="Arial" w:cs="Arial"/>
          <w:sz w:val="21"/>
          <w:szCs w:val="21"/>
        </w:rPr>
      </w:pPr>
    </w:p>
    <w:p w14:paraId="448380EE" w14:textId="77777777" w:rsidR="005A730B" w:rsidRDefault="005A730B" w:rsidP="005A730B">
      <w:pPr>
        <w:autoSpaceDE w:val="0"/>
        <w:autoSpaceDN w:val="0"/>
        <w:adjustRightInd w:val="0"/>
        <w:jc w:val="both"/>
        <w:rPr>
          <w:rFonts w:ascii="Arial" w:hAnsi="Arial" w:cs="Arial"/>
          <w:sz w:val="21"/>
          <w:szCs w:val="21"/>
        </w:rPr>
      </w:pPr>
    </w:p>
    <w:p w14:paraId="03F5F71E" w14:textId="77777777" w:rsidR="005A730B" w:rsidRDefault="005A730B" w:rsidP="005A730B">
      <w:pPr>
        <w:jc w:val="both"/>
        <w:rPr>
          <w:rFonts w:ascii="Arial" w:hAnsi="Arial" w:cs="Arial"/>
          <w:b/>
          <w:sz w:val="21"/>
          <w:szCs w:val="21"/>
          <w:lang w:val="es-CO" w:eastAsia="en-US"/>
        </w:rPr>
      </w:pPr>
    </w:p>
    <w:p w14:paraId="0E15E669" w14:textId="77777777" w:rsidR="005A730B" w:rsidRDefault="005A730B" w:rsidP="005A730B">
      <w:pPr>
        <w:jc w:val="both"/>
        <w:rPr>
          <w:rFonts w:ascii="Arial" w:hAnsi="Arial" w:cs="Arial"/>
          <w:sz w:val="21"/>
          <w:szCs w:val="21"/>
          <w:lang w:val="es-CO" w:eastAsia="en-US"/>
        </w:rPr>
      </w:pPr>
    </w:p>
    <w:p w14:paraId="7934F992" w14:textId="77777777" w:rsidR="005A730B" w:rsidRDefault="005A730B" w:rsidP="005A730B">
      <w:pPr>
        <w:pStyle w:val="Prrafodelista"/>
        <w:numPr>
          <w:ilvl w:val="0"/>
          <w:numId w:val="19"/>
        </w:numPr>
        <w:jc w:val="both"/>
        <w:rPr>
          <w:rFonts w:ascii="Arial" w:eastAsia="Times New Roman" w:hAnsi="Arial" w:cs="Arial"/>
          <w:b/>
          <w:sz w:val="21"/>
          <w:szCs w:val="21"/>
        </w:rPr>
      </w:pPr>
      <w:r>
        <w:rPr>
          <w:rFonts w:ascii="Arial" w:eastAsia="Times New Roman" w:hAnsi="Arial" w:cs="Arial"/>
          <w:b/>
          <w:sz w:val="21"/>
          <w:szCs w:val="21"/>
        </w:rPr>
        <w:t>Salud Pública.</w:t>
      </w:r>
    </w:p>
    <w:p w14:paraId="0057556C" w14:textId="77777777" w:rsidR="005A730B" w:rsidRDefault="005A730B" w:rsidP="005A730B">
      <w:pPr>
        <w:jc w:val="both"/>
        <w:rPr>
          <w:rFonts w:ascii="Arial" w:eastAsia="Times New Roman" w:hAnsi="Arial" w:cs="Arial"/>
          <w:b/>
          <w:sz w:val="21"/>
          <w:szCs w:val="21"/>
        </w:rPr>
      </w:pPr>
    </w:p>
    <w:p w14:paraId="3174BB9E" w14:textId="77777777" w:rsidR="005A730B" w:rsidRDefault="005A730B" w:rsidP="005A730B">
      <w:pPr>
        <w:pStyle w:val="Prrafodelista"/>
        <w:numPr>
          <w:ilvl w:val="1"/>
          <w:numId w:val="19"/>
        </w:numPr>
        <w:jc w:val="both"/>
        <w:rPr>
          <w:rFonts w:ascii="Arial" w:hAnsi="Arial" w:cs="Arial"/>
          <w:b/>
          <w:bCs/>
          <w:sz w:val="21"/>
          <w:szCs w:val="21"/>
        </w:rPr>
      </w:pPr>
      <w:r>
        <w:rPr>
          <w:rFonts w:ascii="Arial" w:hAnsi="Arial" w:cs="Arial"/>
          <w:b/>
          <w:bCs/>
          <w:sz w:val="21"/>
          <w:szCs w:val="21"/>
        </w:rPr>
        <w:t xml:space="preserve"> Planeación integral de los recursos.</w:t>
      </w:r>
    </w:p>
    <w:p w14:paraId="664E7CC1" w14:textId="77777777" w:rsidR="005A730B" w:rsidRDefault="005A730B" w:rsidP="005A730B">
      <w:pPr>
        <w:jc w:val="both"/>
        <w:rPr>
          <w:rFonts w:ascii="Arial" w:hAnsi="Arial" w:cs="Arial"/>
          <w:sz w:val="21"/>
          <w:szCs w:val="21"/>
        </w:rPr>
      </w:pPr>
    </w:p>
    <w:p w14:paraId="6C14F6F7" w14:textId="77777777" w:rsidR="005A730B" w:rsidRDefault="005A730B" w:rsidP="005A730B">
      <w:pPr>
        <w:jc w:val="both"/>
        <w:rPr>
          <w:rFonts w:ascii="Arial" w:hAnsi="Arial" w:cs="Arial"/>
          <w:sz w:val="21"/>
          <w:szCs w:val="21"/>
        </w:rPr>
      </w:pPr>
      <w:r>
        <w:rPr>
          <w:rFonts w:ascii="Arial" w:hAnsi="Arial" w:cs="Arial"/>
          <w:sz w:val="21"/>
          <w:szCs w:val="21"/>
        </w:rPr>
        <w:lastRenderedPageBreak/>
        <w:t xml:space="preserve">A partir de la información suministrada por el Departamento, de evidenció que la Entidad Territorial cuenta con las herramientas de planeación como, Plan de Acción en Salud - PAS y Componente Operativo y de Inversiones en Salud - COAI. En cuanto al Plan Territorial en Salud se verificó la publicación en la página </w:t>
      </w:r>
      <w:r>
        <w:rPr>
          <w:rFonts w:ascii="Arial" w:hAnsi="Arial" w:cs="Arial"/>
          <w:i/>
          <w:iCs/>
          <w:sz w:val="21"/>
          <w:szCs w:val="21"/>
        </w:rPr>
        <w:t>Web</w:t>
      </w:r>
      <w:r>
        <w:rPr>
          <w:rFonts w:ascii="Arial" w:hAnsi="Arial" w:cs="Arial"/>
          <w:sz w:val="21"/>
          <w:szCs w:val="21"/>
        </w:rPr>
        <w:t xml:space="preserve"> de la Entidad y hace parte integral del Plan de Desarrollo de la Entidad Territorial.</w:t>
      </w:r>
    </w:p>
    <w:p w14:paraId="7B534F6C" w14:textId="77777777" w:rsidR="005A730B" w:rsidRDefault="005A730B" w:rsidP="005A730B">
      <w:pPr>
        <w:jc w:val="both"/>
        <w:rPr>
          <w:rFonts w:ascii="Arial" w:hAnsi="Arial" w:cs="Arial"/>
          <w:sz w:val="21"/>
          <w:szCs w:val="21"/>
        </w:rPr>
      </w:pPr>
    </w:p>
    <w:p w14:paraId="461ADF71" w14:textId="77777777" w:rsidR="005A730B" w:rsidRDefault="005A730B" w:rsidP="005A730B">
      <w:pPr>
        <w:jc w:val="both"/>
        <w:rPr>
          <w:rFonts w:ascii="Arial" w:hAnsi="Arial" w:cs="Arial"/>
          <w:sz w:val="21"/>
          <w:szCs w:val="21"/>
        </w:rPr>
      </w:pPr>
      <w:r>
        <w:rPr>
          <w:rFonts w:ascii="Arial" w:hAnsi="Arial" w:cs="Arial"/>
          <w:sz w:val="21"/>
          <w:szCs w:val="21"/>
        </w:rPr>
        <w:t xml:space="preserve">De acuerdo con la información reportada en la página </w:t>
      </w:r>
      <w:r>
        <w:rPr>
          <w:rFonts w:ascii="Arial" w:hAnsi="Arial" w:cs="Arial"/>
          <w:i/>
          <w:iCs/>
          <w:sz w:val="21"/>
          <w:szCs w:val="21"/>
        </w:rPr>
        <w:t>Web</w:t>
      </w:r>
      <w:r>
        <w:rPr>
          <w:rStyle w:val="Refdenotaalpie"/>
          <w:rFonts w:ascii="Arial" w:hAnsi="Arial" w:cs="Arial"/>
          <w:sz w:val="21"/>
          <w:szCs w:val="21"/>
        </w:rPr>
        <w:footnoteReference w:id="4"/>
      </w:r>
      <w:r>
        <w:rPr>
          <w:rFonts w:ascii="Arial" w:hAnsi="Arial" w:cs="Arial"/>
          <w:sz w:val="21"/>
          <w:szCs w:val="21"/>
        </w:rPr>
        <w:t xml:space="preserve"> del Ministerio de Salud y Protección Social, el índice de eficacia financiera anual calculada por el Departamento en la vigencia 2020 fue de 84,58</w:t>
      </w:r>
      <w:r w:rsidR="00A57834">
        <w:rPr>
          <w:rFonts w:ascii="Arial" w:hAnsi="Arial" w:cs="Arial"/>
          <w:sz w:val="21"/>
          <w:szCs w:val="21"/>
        </w:rPr>
        <w:t>%</w:t>
      </w:r>
      <w:r>
        <w:rPr>
          <w:rFonts w:ascii="Arial" w:hAnsi="Arial" w:cs="Arial"/>
          <w:sz w:val="21"/>
          <w:szCs w:val="21"/>
        </w:rPr>
        <w:t>, frente al cual se destaca la baja ejecución en las siguientes dimensiones; Seguridad Alimentaria y Nutricional 2</w:t>
      </w:r>
      <w:r w:rsidR="00A57834">
        <w:rPr>
          <w:rFonts w:ascii="Arial" w:hAnsi="Arial" w:cs="Arial"/>
          <w:sz w:val="21"/>
          <w:szCs w:val="21"/>
        </w:rPr>
        <w:t>%</w:t>
      </w:r>
      <w:r>
        <w:rPr>
          <w:rFonts w:ascii="Arial" w:hAnsi="Arial" w:cs="Arial"/>
          <w:sz w:val="21"/>
          <w:szCs w:val="21"/>
        </w:rPr>
        <w:t>, Vida Saludable y Enfermedades Transmisibles 47,19</w:t>
      </w:r>
      <w:r w:rsidR="00A57834">
        <w:rPr>
          <w:rFonts w:ascii="Arial" w:hAnsi="Arial" w:cs="Arial"/>
          <w:sz w:val="21"/>
          <w:szCs w:val="21"/>
        </w:rPr>
        <w:t>%</w:t>
      </w:r>
      <w:r>
        <w:rPr>
          <w:rFonts w:ascii="Arial" w:hAnsi="Arial" w:cs="Arial"/>
          <w:sz w:val="21"/>
          <w:szCs w:val="21"/>
        </w:rPr>
        <w:t>; Vida Saludable y Condiciones No Transmisibles 58</w:t>
      </w:r>
      <w:r w:rsidR="00A57834">
        <w:rPr>
          <w:rFonts w:ascii="Arial" w:hAnsi="Arial" w:cs="Arial"/>
          <w:sz w:val="21"/>
          <w:szCs w:val="21"/>
        </w:rPr>
        <w:t>%</w:t>
      </w:r>
      <w:r>
        <w:rPr>
          <w:rFonts w:ascii="Arial" w:hAnsi="Arial" w:cs="Arial"/>
          <w:sz w:val="21"/>
          <w:szCs w:val="21"/>
        </w:rPr>
        <w:t xml:space="preserve"> y Convivencia Social y Salud Mental 52</w:t>
      </w:r>
      <w:r w:rsidR="00A57834">
        <w:rPr>
          <w:rFonts w:ascii="Arial" w:hAnsi="Arial" w:cs="Arial"/>
          <w:sz w:val="21"/>
          <w:szCs w:val="21"/>
        </w:rPr>
        <w:t>%</w:t>
      </w:r>
      <w:r>
        <w:rPr>
          <w:rFonts w:ascii="Arial" w:hAnsi="Arial" w:cs="Arial"/>
          <w:sz w:val="21"/>
          <w:szCs w:val="21"/>
        </w:rPr>
        <w:t>.</w:t>
      </w:r>
    </w:p>
    <w:p w14:paraId="0FFAB99C" w14:textId="77777777" w:rsidR="005A730B" w:rsidRDefault="005A730B" w:rsidP="005A730B">
      <w:pPr>
        <w:jc w:val="both"/>
        <w:rPr>
          <w:rFonts w:ascii="Arial" w:hAnsi="Arial" w:cs="Arial"/>
          <w:sz w:val="21"/>
          <w:szCs w:val="21"/>
        </w:rPr>
      </w:pPr>
    </w:p>
    <w:p w14:paraId="20AF5B0F" w14:textId="77777777" w:rsidR="005A730B" w:rsidRDefault="005A730B" w:rsidP="005A730B">
      <w:pPr>
        <w:jc w:val="both"/>
        <w:rPr>
          <w:rFonts w:ascii="Arial" w:hAnsi="Arial" w:cs="Arial"/>
          <w:sz w:val="21"/>
          <w:szCs w:val="21"/>
        </w:rPr>
      </w:pPr>
      <w:r>
        <w:rPr>
          <w:rFonts w:ascii="Arial" w:hAnsi="Arial" w:cs="Arial"/>
          <w:sz w:val="21"/>
          <w:szCs w:val="21"/>
        </w:rPr>
        <w:t>De acuerdo con el PAS presentado por la Entidad Territorial para la vigencia 2021, la totalidad de recursos programados para el Plan de Intervención Colectiva - PIC y Gestión de la Salud Pública - GSP con recursos de Salud Pública fueron $8.481 millones, de los cuales el 64</w:t>
      </w:r>
      <w:r w:rsidR="00A57834">
        <w:rPr>
          <w:rFonts w:ascii="Arial" w:hAnsi="Arial" w:cs="Arial"/>
          <w:sz w:val="21"/>
          <w:szCs w:val="21"/>
        </w:rPr>
        <w:t>%</w:t>
      </w:r>
      <w:r>
        <w:rPr>
          <w:rFonts w:ascii="Arial" w:hAnsi="Arial" w:cs="Arial"/>
          <w:sz w:val="21"/>
          <w:szCs w:val="21"/>
        </w:rPr>
        <w:t xml:space="preserve"> ($5.431 millones) correspondió GSP y el 36</w:t>
      </w:r>
      <w:r w:rsidR="00A57834">
        <w:rPr>
          <w:rFonts w:ascii="Arial" w:hAnsi="Arial" w:cs="Arial"/>
          <w:sz w:val="21"/>
          <w:szCs w:val="21"/>
        </w:rPr>
        <w:t>%</w:t>
      </w:r>
      <w:r>
        <w:rPr>
          <w:rFonts w:ascii="Arial" w:hAnsi="Arial" w:cs="Arial"/>
          <w:sz w:val="21"/>
          <w:szCs w:val="21"/>
        </w:rPr>
        <w:t xml:space="preserve"> ($3.050 millones) a PIC, la totalidad de los recursos tienen como fuente el SGP.</w:t>
      </w:r>
    </w:p>
    <w:p w14:paraId="02450992" w14:textId="77777777" w:rsidR="005A730B" w:rsidRDefault="005A730B" w:rsidP="005A730B">
      <w:pPr>
        <w:jc w:val="both"/>
        <w:rPr>
          <w:rFonts w:ascii="Arial" w:hAnsi="Arial" w:cs="Arial"/>
          <w:sz w:val="21"/>
          <w:szCs w:val="21"/>
        </w:rPr>
      </w:pPr>
    </w:p>
    <w:p w14:paraId="2D8CE594" w14:textId="77777777" w:rsidR="005A730B" w:rsidRDefault="005A730B" w:rsidP="005A730B">
      <w:pPr>
        <w:jc w:val="both"/>
        <w:rPr>
          <w:rFonts w:ascii="Arial" w:hAnsi="Arial" w:cs="Arial"/>
          <w:sz w:val="21"/>
          <w:szCs w:val="21"/>
        </w:rPr>
      </w:pPr>
      <w:r>
        <w:rPr>
          <w:rFonts w:ascii="Arial" w:hAnsi="Arial" w:cs="Arial"/>
          <w:sz w:val="21"/>
          <w:szCs w:val="21"/>
        </w:rPr>
        <w:t>Ahora bien, la Eficacia Financiera de Gestión de la Salud Publica y PIC con la totalidad de las fuentes de financiación, evidencia que el Departamento para la línea operativa de GSP programó en el COAI (2020-2023). $44.587 millones con una ejecución de $34.976 para un porcentaje de ejecución de 78,5</w:t>
      </w:r>
      <w:r w:rsidR="00A57834">
        <w:rPr>
          <w:rFonts w:ascii="Arial" w:hAnsi="Arial" w:cs="Arial"/>
          <w:sz w:val="21"/>
          <w:szCs w:val="21"/>
        </w:rPr>
        <w:t>%</w:t>
      </w:r>
      <w:r>
        <w:rPr>
          <w:rFonts w:ascii="Arial" w:hAnsi="Arial" w:cs="Arial"/>
          <w:sz w:val="21"/>
          <w:szCs w:val="21"/>
        </w:rPr>
        <w:t xml:space="preserve">. </w:t>
      </w:r>
    </w:p>
    <w:p w14:paraId="115039CF" w14:textId="77777777" w:rsidR="005A730B" w:rsidRDefault="005A730B" w:rsidP="005A730B">
      <w:pPr>
        <w:jc w:val="both"/>
        <w:rPr>
          <w:rFonts w:ascii="Arial" w:hAnsi="Arial" w:cs="Arial"/>
          <w:sz w:val="21"/>
          <w:szCs w:val="21"/>
        </w:rPr>
      </w:pPr>
    </w:p>
    <w:p w14:paraId="4DC678EA" w14:textId="77777777" w:rsidR="005A730B" w:rsidRDefault="005A730B" w:rsidP="005A730B">
      <w:pPr>
        <w:pStyle w:val="Prrafodelista"/>
        <w:numPr>
          <w:ilvl w:val="1"/>
          <w:numId w:val="19"/>
        </w:numPr>
        <w:jc w:val="both"/>
        <w:rPr>
          <w:rFonts w:ascii="Arial" w:hAnsi="Arial" w:cs="Arial"/>
          <w:b/>
          <w:bCs/>
          <w:sz w:val="21"/>
          <w:szCs w:val="21"/>
        </w:rPr>
      </w:pPr>
      <w:r>
        <w:rPr>
          <w:rFonts w:ascii="Arial" w:hAnsi="Arial" w:cs="Arial"/>
          <w:b/>
          <w:bCs/>
          <w:sz w:val="21"/>
          <w:szCs w:val="21"/>
        </w:rPr>
        <w:t>Análisis de PIC.</w:t>
      </w:r>
    </w:p>
    <w:p w14:paraId="5219841F" w14:textId="77777777" w:rsidR="005A730B" w:rsidRDefault="005A730B" w:rsidP="005A730B">
      <w:pPr>
        <w:jc w:val="both"/>
        <w:rPr>
          <w:rFonts w:ascii="Arial" w:hAnsi="Arial" w:cs="Arial"/>
          <w:sz w:val="21"/>
          <w:szCs w:val="21"/>
          <w:lang w:val="es-CO" w:eastAsia="en-US"/>
        </w:rPr>
      </w:pPr>
    </w:p>
    <w:p w14:paraId="37EE6E4E" w14:textId="77777777" w:rsidR="005A730B" w:rsidRDefault="005A730B" w:rsidP="005A730B">
      <w:pPr>
        <w:jc w:val="both"/>
        <w:rPr>
          <w:rFonts w:ascii="Arial" w:hAnsi="Arial" w:cs="Arial"/>
          <w:sz w:val="21"/>
          <w:szCs w:val="21"/>
        </w:rPr>
      </w:pPr>
      <w:r>
        <w:rPr>
          <w:rFonts w:ascii="Arial" w:hAnsi="Arial" w:cs="Arial"/>
          <w:sz w:val="21"/>
          <w:szCs w:val="21"/>
        </w:rPr>
        <w:t>En la vigencia 2021 la Entidad contrató nuevamente con las ESE del Departamento, cuyo objeto consistió en “</w:t>
      </w:r>
      <w:r>
        <w:rPr>
          <w:rFonts w:ascii="Arial" w:hAnsi="Arial" w:cs="Arial"/>
          <w:i/>
          <w:iCs/>
          <w:sz w:val="21"/>
          <w:szCs w:val="21"/>
        </w:rPr>
        <w:t>Contratar los servicios para el desarrollo de las acciones del Plan de Intervenciones Colectivas de la secretaria de Salud Departamental, en la vigencia 2021</w:t>
      </w:r>
      <w:r>
        <w:rPr>
          <w:rFonts w:ascii="Arial" w:hAnsi="Arial" w:cs="Arial"/>
          <w:sz w:val="21"/>
          <w:szCs w:val="21"/>
        </w:rPr>
        <w:t>”. El contrato inició el 31 de marzo de 2021 y finalizó el 31 de diciembre de 2021. Consultado el SECOP, se evidenció el cargue de todos los soportes correspondientes a los contratos celebrados.</w:t>
      </w:r>
    </w:p>
    <w:p w14:paraId="510A8665" w14:textId="77777777" w:rsidR="005A730B" w:rsidRDefault="005A730B" w:rsidP="005A730B">
      <w:pPr>
        <w:jc w:val="both"/>
        <w:rPr>
          <w:rFonts w:ascii="Arial" w:hAnsi="Arial" w:cs="Arial"/>
          <w:sz w:val="21"/>
          <w:szCs w:val="21"/>
        </w:rPr>
      </w:pPr>
    </w:p>
    <w:p w14:paraId="1BD2A54A" w14:textId="77777777" w:rsidR="005A730B" w:rsidRDefault="005A730B" w:rsidP="005A730B">
      <w:pPr>
        <w:jc w:val="both"/>
        <w:rPr>
          <w:rFonts w:ascii="Arial" w:hAnsi="Arial" w:cs="Arial"/>
          <w:sz w:val="21"/>
          <w:szCs w:val="21"/>
        </w:rPr>
      </w:pPr>
      <w:r>
        <w:rPr>
          <w:rFonts w:ascii="Arial" w:hAnsi="Arial" w:cs="Arial"/>
          <w:sz w:val="21"/>
          <w:szCs w:val="21"/>
        </w:rPr>
        <w:t>El valor final de los contratos fue de $3.050 millones, lo cual difiere con la ejecución presupuestal remitida por la Entidad para los componentes de Gestión del Riesgo y Promoción de la Salud Pública en tanto que el reporte es de $7.795 millones. Adicionalmente es preciso señalar que de acuerdo con la ejecución presupuestal de la Entidad Territorial dichas acciones fueron igualmente financiadas con recursos del SGP.</w:t>
      </w:r>
    </w:p>
    <w:p w14:paraId="7B1BBE21" w14:textId="77777777" w:rsidR="005A730B" w:rsidRDefault="005A730B" w:rsidP="005A730B">
      <w:pPr>
        <w:jc w:val="both"/>
        <w:rPr>
          <w:rFonts w:ascii="Arial" w:hAnsi="Arial" w:cs="Arial"/>
          <w:sz w:val="21"/>
          <w:szCs w:val="21"/>
        </w:rPr>
      </w:pPr>
    </w:p>
    <w:p w14:paraId="7259E54E"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Tabla No. 10</w:t>
      </w:r>
    </w:p>
    <w:p w14:paraId="7DBEE222" w14:textId="77777777" w:rsidR="005A730B" w:rsidRDefault="005A730B" w:rsidP="005A730B">
      <w:pPr>
        <w:jc w:val="center"/>
        <w:rPr>
          <w:rFonts w:ascii="Arial" w:hAnsi="Arial" w:cs="Arial"/>
          <w:b/>
          <w:sz w:val="20"/>
          <w:szCs w:val="20"/>
        </w:rPr>
      </w:pPr>
      <w:r>
        <w:rPr>
          <w:rFonts w:ascii="Arial" w:hAnsi="Arial" w:cs="Arial"/>
          <w:b/>
          <w:sz w:val="20"/>
          <w:szCs w:val="20"/>
        </w:rPr>
        <w:t>Contratación PIC 2021</w:t>
      </w:r>
    </w:p>
    <w:p w14:paraId="1EF63BD9" w14:textId="77777777" w:rsidR="005A730B" w:rsidRDefault="005A730B" w:rsidP="005A730B">
      <w:pPr>
        <w:pStyle w:val="Default"/>
        <w:ind w:left="6372"/>
        <w:contextualSpacing/>
        <w:jc w:val="center"/>
        <w:rPr>
          <w:rFonts w:eastAsia="MS Mincho"/>
          <w:b/>
          <w:color w:val="auto"/>
          <w:sz w:val="18"/>
          <w:szCs w:val="18"/>
          <w:lang w:val="es-ES" w:eastAsia="es-ES"/>
        </w:rPr>
      </w:pPr>
      <w:r>
        <w:rPr>
          <w:rFonts w:eastAsia="Times New Roman"/>
          <w:sz w:val="18"/>
          <w:szCs w:val="18"/>
          <w:lang w:eastAsia="es-CO"/>
        </w:rPr>
        <w:t>Cifras en Millones de $</w:t>
      </w:r>
    </w:p>
    <w:tbl>
      <w:tblPr>
        <w:tblW w:w="8770" w:type="dxa"/>
        <w:tblInd w:w="-10" w:type="dxa"/>
        <w:tblCellMar>
          <w:left w:w="70" w:type="dxa"/>
          <w:right w:w="70" w:type="dxa"/>
        </w:tblCellMar>
        <w:tblLook w:val="04A0" w:firstRow="1" w:lastRow="0" w:firstColumn="1" w:lastColumn="0" w:noHBand="0" w:noVBand="1"/>
      </w:tblPr>
      <w:tblGrid>
        <w:gridCol w:w="2014"/>
        <w:gridCol w:w="1503"/>
        <w:gridCol w:w="3262"/>
        <w:gridCol w:w="1991"/>
      </w:tblGrid>
      <w:tr w:rsidR="005A730B" w14:paraId="57164A3B" w14:textId="77777777" w:rsidTr="005A730B">
        <w:trPr>
          <w:trHeight w:val="276"/>
          <w:tblHeader/>
        </w:trPr>
        <w:tc>
          <w:tcPr>
            <w:tcW w:w="2014" w:type="dxa"/>
            <w:vMerge w:val="restart"/>
            <w:tcBorders>
              <w:top w:val="single" w:sz="8" w:space="0" w:color="000000"/>
              <w:left w:val="single" w:sz="8" w:space="0" w:color="000000"/>
              <w:bottom w:val="single" w:sz="8" w:space="0" w:color="000000"/>
              <w:right w:val="single" w:sz="4" w:space="0" w:color="000000"/>
            </w:tcBorders>
            <w:shd w:val="clear" w:color="auto" w:fill="305496"/>
            <w:vAlign w:val="center"/>
            <w:hideMark/>
          </w:tcPr>
          <w:p w14:paraId="6762B34B"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No. DE CONTRATO</w:t>
            </w:r>
          </w:p>
        </w:tc>
        <w:tc>
          <w:tcPr>
            <w:tcW w:w="1503" w:type="dxa"/>
            <w:vMerge w:val="restart"/>
            <w:tcBorders>
              <w:top w:val="single" w:sz="8" w:space="0" w:color="000000"/>
              <w:left w:val="single" w:sz="4" w:space="0" w:color="000000"/>
              <w:bottom w:val="single" w:sz="8" w:space="0" w:color="000000"/>
              <w:right w:val="single" w:sz="4" w:space="0" w:color="000000"/>
            </w:tcBorders>
            <w:shd w:val="clear" w:color="auto" w:fill="305496"/>
            <w:vAlign w:val="center"/>
            <w:hideMark/>
          </w:tcPr>
          <w:p w14:paraId="50853EAE"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FECHA DE SUSCRIPCIÓN</w:t>
            </w:r>
          </w:p>
        </w:tc>
        <w:tc>
          <w:tcPr>
            <w:tcW w:w="3261" w:type="dxa"/>
            <w:vMerge w:val="restart"/>
            <w:tcBorders>
              <w:top w:val="single" w:sz="8" w:space="0" w:color="000000"/>
              <w:left w:val="single" w:sz="4" w:space="0" w:color="000000"/>
              <w:bottom w:val="single" w:sz="8" w:space="0" w:color="000000"/>
              <w:right w:val="single" w:sz="4" w:space="0" w:color="000000"/>
            </w:tcBorders>
            <w:shd w:val="clear" w:color="auto" w:fill="305496"/>
            <w:vAlign w:val="center"/>
            <w:hideMark/>
          </w:tcPr>
          <w:p w14:paraId="22C26B69"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CONTRATISTA</w:t>
            </w:r>
          </w:p>
        </w:tc>
        <w:tc>
          <w:tcPr>
            <w:tcW w:w="1991" w:type="dxa"/>
            <w:vMerge w:val="restart"/>
            <w:tcBorders>
              <w:top w:val="single" w:sz="8" w:space="0" w:color="000000"/>
              <w:left w:val="single" w:sz="4" w:space="0" w:color="000000"/>
              <w:bottom w:val="single" w:sz="8" w:space="0" w:color="000000"/>
              <w:right w:val="single" w:sz="4" w:space="0" w:color="000000"/>
            </w:tcBorders>
            <w:shd w:val="clear" w:color="auto" w:fill="305496"/>
            <w:vAlign w:val="center"/>
            <w:hideMark/>
          </w:tcPr>
          <w:p w14:paraId="179F5897"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VALOR</w:t>
            </w:r>
          </w:p>
        </w:tc>
      </w:tr>
      <w:tr w:rsidR="005A730B" w14:paraId="68A5BA63" w14:textId="77777777" w:rsidTr="005A730B">
        <w:trPr>
          <w:trHeight w:val="276"/>
        </w:trPr>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0D2AAE2D"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14:paraId="3968A7AD"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14:paraId="7EF55B94" w14:textId="77777777" w:rsidR="005A730B" w:rsidRDefault="005A730B">
            <w:pPr>
              <w:rPr>
                <w:rFonts w:ascii="Arial" w:eastAsia="Times New Roman" w:hAnsi="Arial" w:cs="Arial"/>
                <w:b/>
                <w:bCs/>
                <w:color w:val="FFFFFF"/>
                <w:sz w:val="18"/>
                <w:szCs w:val="18"/>
                <w:lang w:val="es-CO" w:eastAsia="es-CO"/>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14:paraId="25C744C3" w14:textId="77777777" w:rsidR="005A730B" w:rsidRDefault="005A730B">
            <w:pPr>
              <w:rPr>
                <w:rFonts w:ascii="Arial" w:eastAsia="Times New Roman" w:hAnsi="Arial" w:cs="Arial"/>
                <w:b/>
                <w:bCs/>
                <w:color w:val="FFFFFF"/>
                <w:sz w:val="18"/>
                <w:szCs w:val="18"/>
                <w:lang w:val="es-CO" w:eastAsia="es-CO"/>
              </w:rPr>
            </w:pPr>
          </w:p>
        </w:tc>
      </w:tr>
      <w:tr w:rsidR="005A730B" w14:paraId="537DCF6F" w14:textId="77777777" w:rsidTr="005A730B">
        <w:trPr>
          <w:trHeight w:val="112"/>
        </w:trPr>
        <w:tc>
          <w:tcPr>
            <w:tcW w:w="2014" w:type="dxa"/>
            <w:tcBorders>
              <w:top w:val="nil"/>
              <w:left w:val="single" w:sz="8" w:space="0" w:color="000000"/>
              <w:bottom w:val="single" w:sz="4" w:space="0" w:color="000000"/>
              <w:right w:val="single" w:sz="4" w:space="0" w:color="000000"/>
            </w:tcBorders>
            <w:vAlign w:val="center"/>
            <w:hideMark/>
          </w:tcPr>
          <w:p w14:paraId="38EC681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202100000213</w:t>
            </w:r>
          </w:p>
        </w:tc>
        <w:tc>
          <w:tcPr>
            <w:tcW w:w="1503" w:type="dxa"/>
            <w:tcBorders>
              <w:top w:val="single" w:sz="4" w:space="0" w:color="000000"/>
              <w:left w:val="nil"/>
              <w:bottom w:val="single" w:sz="4" w:space="0" w:color="000000"/>
              <w:right w:val="single" w:sz="4" w:space="0" w:color="000000"/>
            </w:tcBorders>
            <w:vAlign w:val="center"/>
            <w:hideMark/>
          </w:tcPr>
          <w:p w14:paraId="60622B6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31/3/2021</w:t>
            </w:r>
          </w:p>
        </w:tc>
        <w:tc>
          <w:tcPr>
            <w:tcW w:w="3261" w:type="dxa"/>
            <w:tcBorders>
              <w:top w:val="single" w:sz="4" w:space="0" w:color="000000"/>
              <w:left w:val="nil"/>
              <w:bottom w:val="single" w:sz="4" w:space="0" w:color="000000"/>
              <w:right w:val="single" w:sz="4" w:space="0" w:color="000000"/>
            </w:tcBorders>
            <w:noWrap/>
            <w:vAlign w:val="center"/>
            <w:hideMark/>
          </w:tcPr>
          <w:p w14:paraId="3128ABBF"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RAFAEL TOVAR POVEDA</w:t>
            </w:r>
          </w:p>
        </w:tc>
        <w:tc>
          <w:tcPr>
            <w:tcW w:w="1991" w:type="dxa"/>
            <w:tcBorders>
              <w:top w:val="single" w:sz="4" w:space="0" w:color="000000"/>
              <w:left w:val="nil"/>
              <w:bottom w:val="single" w:sz="4" w:space="0" w:color="000000"/>
              <w:right w:val="single" w:sz="4" w:space="0" w:color="000000"/>
            </w:tcBorders>
            <w:noWrap/>
            <w:vAlign w:val="center"/>
            <w:hideMark/>
          </w:tcPr>
          <w:p w14:paraId="00518C3E"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$621</w:t>
            </w:r>
          </w:p>
        </w:tc>
      </w:tr>
      <w:tr w:rsidR="005A730B" w14:paraId="59E01420" w14:textId="77777777" w:rsidTr="005A730B">
        <w:trPr>
          <w:trHeight w:val="112"/>
        </w:trPr>
        <w:tc>
          <w:tcPr>
            <w:tcW w:w="2014" w:type="dxa"/>
            <w:tcBorders>
              <w:top w:val="nil"/>
              <w:left w:val="single" w:sz="8" w:space="0" w:color="000000"/>
              <w:bottom w:val="single" w:sz="4" w:space="0" w:color="000000"/>
              <w:right w:val="single" w:sz="4" w:space="0" w:color="000000"/>
            </w:tcBorders>
            <w:vAlign w:val="center"/>
            <w:hideMark/>
          </w:tcPr>
          <w:p w14:paraId="1C8BB5E9"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202100000210</w:t>
            </w:r>
          </w:p>
        </w:tc>
        <w:tc>
          <w:tcPr>
            <w:tcW w:w="1503" w:type="dxa"/>
            <w:tcBorders>
              <w:top w:val="nil"/>
              <w:left w:val="nil"/>
              <w:bottom w:val="single" w:sz="4" w:space="0" w:color="000000"/>
              <w:right w:val="single" w:sz="4" w:space="0" w:color="000000"/>
            </w:tcBorders>
            <w:vAlign w:val="center"/>
            <w:hideMark/>
          </w:tcPr>
          <w:p w14:paraId="36CE72A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31/3/2021</w:t>
            </w:r>
          </w:p>
        </w:tc>
        <w:tc>
          <w:tcPr>
            <w:tcW w:w="3261" w:type="dxa"/>
            <w:tcBorders>
              <w:top w:val="nil"/>
              <w:left w:val="nil"/>
              <w:bottom w:val="single" w:sz="4" w:space="0" w:color="000000"/>
              <w:right w:val="single" w:sz="4" w:space="0" w:color="000000"/>
            </w:tcBorders>
            <w:noWrap/>
            <w:vAlign w:val="center"/>
            <w:hideMark/>
          </w:tcPr>
          <w:p w14:paraId="2912382E"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HOSPITAL SAN RAFAEL</w:t>
            </w:r>
          </w:p>
        </w:tc>
        <w:tc>
          <w:tcPr>
            <w:tcW w:w="1991" w:type="dxa"/>
            <w:tcBorders>
              <w:top w:val="nil"/>
              <w:left w:val="nil"/>
              <w:bottom w:val="single" w:sz="4" w:space="0" w:color="000000"/>
              <w:right w:val="single" w:sz="4" w:space="0" w:color="000000"/>
            </w:tcBorders>
            <w:noWrap/>
            <w:vAlign w:val="center"/>
            <w:hideMark/>
          </w:tcPr>
          <w:p w14:paraId="3B0214A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$359,05</w:t>
            </w:r>
          </w:p>
        </w:tc>
      </w:tr>
      <w:tr w:rsidR="005A730B" w14:paraId="2F99C7E5" w14:textId="77777777" w:rsidTr="005A730B">
        <w:trPr>
          <w:trHeight w:val="112"/>
        </w:trPr>
        <w:tc>
          <w:tcPr>
            <w:tcW w:w="2014" w:type="dxa"/>
            <w:tcBorders>
              <w:top w:val="nil"/>
              <w:left w:val="single" w:sz="8" w:space="0" w:color="000000"/>
              <w:bottom w:val="single" w:sz="4" w:space="0" w:color="000000"/>
              <w:right w:val="single" w:sz="4" w:space="0" w:color="000000"/>
            </w:tcBorders>
            <w:vAlign w:val="center"/>
            <w:hideMark/>
          </w:tcPr>
          <w:p w14:paraId="0471035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202100000215</w:t>
            </w:r>
          </w:p>
        </w:tc>
        <w:tc>
          <w:tcPr>
            <w:tcW w:w="1503" w:type="dxa"/>
            <w:tcBorders>
              <w:top w:val="nil"/>
              <w:left w:val="nil"/>
              <w:bottom w:val="single" w:sz="4" w:space="0" w:color="000000"/>
              <w:right w:val="single" w:sz="4" w:space="0" w:color="000000"/>
            </w:tcBorders>
            <w:vAlign w:val="center"/>
            <w:hideMark/>
          </w:tcPr>
          <w:p w14:paraId="7E98FF4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31/3/2021</w:t>
            </w:r>
          </w:p>
        </w:tc>
        <w:tc>
          <w:tcPr>
            <w:tcW w:w="3261" w:type="dxa"/>
            <w:tcBorders>
              <w:top w:val="nil"/>
              <w:left w:val="nil"/>
              <w:bottom w:val="single" w:sz="4" w:space="0" w:color="000000"/>
              <w:right w:val="single" w:sz="4" w:space="0" w:color="000000"/>
            </w:tcBorders>
            <w:noWrap/>
            <w:vAlign w:val="center"/>
            <w:hideMark/>
          </w:tcPr>
          <w:p w14:paraId="4E866A96"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SOR TERESA ADELE</w:t>
            </w:r>
          </w:p>
        </w:tc>
        <w:tc>
          <w:tcPr>
            <w:tcW w:w="1991" w:type="dxa"/>
            <w:tcBorders>
              <w:top w:val="nil"/>
              <w:left w:val="nil"/>
              <w:bottom w:val="single" w:sz="4" w:space="0" w:color="000000"/>
              <w:right w:val="single" w:sz="4" w:space="0" w:color="000000"/>
            </w:tcBorders>
            <w:noWrap/>
            <w:vAlign w:val="center"/>
            <w:hideMark/>
          </w:tcPr>
          <w:p w14:paraId="15B3D90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w:t>
            </w:r>
          </w:p>
        </w:tc>
      </w:tr>
      <w:tr w:rsidR="005A730B" w14:paraId="4D9C0C1B" w14:textId="77777777" w:rsidTr="005A730B">
        <w:trPr>
          <w:trHeight w:val="112"/>
        </w:trPr>
        <w:tc>
          <w:tcPr>
            <w:tcW w:w="2014" w:type="dxa"/>
            <w:tcBorders>
              <w:top w:val="nil"/>
              <w:left w:val="single" w:sz="8" w:space="0" w:color="000000"/>
              <w:bottom w:val="single" w:sz="4" w:space="0" w:color="000000"/>
              <w:right w:val="single" w:sz="4" w:space="0" w:color="000000"/>
            </w:tcBorders>
            <w:vAlign w:val="center"/>
            <w:hideMark/>
          </w:tcPr>
          <w:p w14:paraId="39967AA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202100000204</w:t>
            </w:r>
          </w:p>
        </w:tc>
        <w:tc>
          <w:tcPr>
            <w:tcW w:w="1503" w:type="dxa"/>
            <w:tcBorders>
              <w:top w:val="nil"/>
              <w:left w:val="nil"/>
              <w:bottom w:val="single" w:sz="4" w:space="0" w:color="000000"/>
              <w:right w:val="single" w:sz="4" w:space="0" w:color="000000"/>
            </w:tcBorders>
            <w:vAlign w:val="center"/>
            <w:hideMark/>
          </w:tcPr>
          <w:p w14:paraId="5CED1A8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31/3/2021</w:t>
            </w:r>
          </w:p>
        </w:tc>
        <w:tc>
          <w:tcPr>
            <w:tcW w:w="3261" w:type="dxa"/>
            <w:tcBorders>
              <w:top w:val="nil"/>
              <w:left w:val="nil"/>
              <w:bottom w:val="single" w:sz="4" w:space="0" w:color="000000"/>
              <w:right w:val="single" w:sz="4" w:space="0" w:color="000000"/>
            </w:tcBorders>
            <w:noWrap/>
            <w:vAlign w:val="center"/>
            <w:hideMark/>
          </w:tcPr>
          <w:p w14:paraId="0F20C661"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HOSPITAL DEPARTAMENTAL MARIA INMACULADA</w:t>
            </w:r>
          </w:p>
        </w:tc>
        <w:tc>
          <w:tcPr>
            <w:tcW w:w="1991" w:type="dxa"/>
            <w:tcBorders>
              <w:top w:val="nil"/>
              <w:left w:val="nil"/>
              <w:bottom w:val="single" w:sz="4" w:space="0" w:color="000000"/>
              <w:right w:val="single" w:sz="4" w:space="0" w:color="000000"/>
            </w:tcBorders>
            <w:noWrap/>
            <w:vAlign w:val="center"/>
            <w:hideMark/>
          </w:tcPr>
          <w:p w14:paraId="77673653"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$444,5</w:t>
            </w:r>
          </w:p>
        </w:tc>
      </w:tr>
      <w:tr w:rsidR="005A730B" w14:paraId="38DF136D" w14:textId="77777777" w:rsidTr="005A730B">
        <w:trPr>
          <w:trHeight w:val="112"/>
        </w:trPr>
        <w:tc>
          <w:tcPr>
            <w:tcW w:w="2014" w:type="dxa"/>
            <w:tcBorders>
              <w:top w:val="nil"/>
              <w:left w:val="single" w:sz="8" w:space="0" w:color="000000"/>
              <w:bottom w:val="single" w:sz="4" w:space="0" w:color="000000"/>
              <w:right w:val="single" w:sz="4" w:space="0" w:color="000000"/>
            </w:tcBorders>
            <w:vAlign w:val="center"/>
            <w:hideMark/>
          </w:tcPr>
          <w:p w14:paraId="76894EA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202100000217</w:t>
            </w:r>
          </w:p>
        </w:tc>
        <w:tc>
          <w:tcPr>
            <w:tcW w:w="1503" w:type="dxa"/>
            <w:tcBorders>
              <w:top w:val="nil"/>
              <w:left w:val="nil"/>
              <w:bottom w:val="single" w:sz="4" w:space="0" w:color="000000"/>
              <w:right w:val="single" w:sz="4" w:space="0" w:color="000000"/>
            </w:tcBorders>
            <w:vAlign w:val="center"/>
            <w:hideMark/>
          </w:tcPr>
          <w:p w14:paraId="0C9C787A"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31/3/2021</w:t>
            </w:r>
          </w:p>
        </w:tc>
        <w:tc>
          <w:tcPr>
            <w:tcW w:w="3261" w:type="dxa"/>
            <w:tcBorders>
              <w:top w:val="nil"/>
              <w:left w:val="nil"/>
              <w:bottom w:val="single" w:sz="4" w:space="0" w:color="000000"/>
              <w:right w:val="single" w:sz="4" w:space="0" w:color="000000"/>
            </w:tcBorders>
            <w:noWrap/>
            <w:vAlign w:val="center"/>
            <w:hideMark/>
          </w:tcPr>
          <w:p w14:paraId="69C69F2F"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E.S.E FABIO JARAMILLO LONDOÑO</w:t>
            </w:r>
          </w:p>
        </w:tc>
        <w:tc>
          <w:tcPr>
            <w:tcW w:w="1991" w:type="dxa"/>
            <w:tcBorders>
              <w:top w:val="nil"/>
              <w:left w:val="nil"/>
              <w:bottom w:val="single" w:sz="4" w:space="0" w:color="000000"/>
              <w:right w:val="single" w:sz="4" w:space="0" w:color="000000"/>
            </w:tcBorders>
            <w:noWrap/>
            <w:vAlign w:val="center"/>
            <w:hideMark/>
          </w:tcPr>
          <w:p w14:paraId="03D5B72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$825,45</w:t>
            </w:r>
          </w:p>
        </w:tc>
      </w:tr>
      <w:tr w:rsidR="005A730B" w14:paraId="5C1C52A4" w14:textId="77777777" w:rsidTr="005A730B">
        <w:trPr>
          <w:trHeight w:val="362"/>
        </w:trPr>
        <w:tc>
          <w:tcPr>
            <w:tcW w:w="6779" w:type="dxa"/>
            <w:gridSpan w:val="3"/>
            <w:tcBorders>
              <w:top w:val="single" w:sz="4" w:space="0" w:color="auto"/>
              <w:left w:val="single" w:sz="4" w:space="0" w:color="auto"/>
              <w:bottom w:val="single" w:sz="4" w:space="0" w:color="auto"/>
              <w:right w:val="single" w:sz="4" w:space="0" w:color="auto"/>
            </w:tcBorders>
            <w:noWrap/>
            <w:vAlign w:val="center"/>
            <w:hideMark/>
          </w:tcPr>
          <w:p w14:paraId="60F91D67"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lastRenderedPageBreak/>
              <w:t>Total</w:t>
            </w:r>
          </w:p>
        </w:tc>
        <w:tc>
          <w:tcPr>
            <w:tcW w:w="1991" w:type="dxa"/>
            <w:tcBorders>
              <w:top w:val="nil"/>
              <w:left w:val="nil"/>
              <w:bottom w:val="single" w:sz="4" w:space="0" w:color="000000"/>
              <w:right w:val="single" w:sz="4" w:space="0" w:color="000000"/>
            </w:tcBorders>
            <w:noWrap/>
            <w:vAlign w:val="center"/>
            <w:hideMark/>
          </w:tcPr>
          <w:p w14:paraId="4FE9EC55" w14:textId="77777777" w:rsidR="005A730B" w:rsidRDefault="005A730B">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$3.050,0</w:t>
            </w:r>
          </w:p>
        </w:tc>
      </w:tr>
    </w:tbl>
    <w:p w14:paraId="459B4EA5" w14:textId="77777777" w:rsidR="005A730B" w:rsidRDefault="005A730B" w:rsidP="005A730B">
      <w:pPr>
        <w:jc w:val="center"/>
        <w:rPr>
          <w:rFonts w:ascii="Arial" w:hAnsi="Arial" w:cs="Arial"/>
          <w:b/>
          <w:bCs/>
          <w:sz w:val="16"/>
          <w:szCs w:val="16"/>
        </w:rPr>
      </w:pPr>
      <w:r>
        <w:rPr>
          <w:rFonts w:ascii="Arial" w:hAnsi="Arial" w:cs="Arial"/>
          <w:sz w:val="16"/>
          <w:szCs w:val="16"/>
        </w:rPr>
        <w:t>Fuente: Información de la entidad territorial</w:t>
      </w:r>
    </w:p>
    <w:p w14:paraId="7224ED73" w14:textId="77777777" w:rsidR="005A730B" w:rsidRDefault="005A730B" w:rsidP="005A730B">
      <w:pPr>
        <w:jc w:val="both"/>
        <w:rPr>
          <w:rFonts w:ascii="Arial" w:hAnsi="Arial" w:cs="Arial"/>
          <w:b/>
          <w:bCs/>
          <w:sz w:val="21"/>
          <w:szCs w:val="21"/>
        </w:rPr>
      </w:pPr>
    </w:p>
    <w:p w14:paraId="0DB648FF" w14:textId="77777777" w:rsidR="005A730B" w:rsidRDefault="005A730B" w:rsidP="005A730B">
      <w:pPr>
        <w:jc w:val="both"/>
        <w:rPr>
          <w:rFonts w:ascii="Arial" w:hAnsi="Arial" w:cs="Arial"/>
          <w:sz w:val="21"/>
          <w:szCs w:val="21"/>
        </w:rPr>
      </w:pPr>
      <w:r>
        <w:rPr>
          <w:rFonts w:ascii="Arial" w:hAnsi="Arial" w:cs="Arial"/>
          <w:bCs/>
          <w:sz w:val="21"/>
          <w:szCs w:val="21"/>
        </w:rPr>
        <w:t>De la revisión aleatoria de los contratos suscritos con las ESE, f</w:t>
      </w:r>
      <w:r>
        <w:rPr>
          <w:rFonts w:ascii="Arial" w:hAnsi="Arial" w:cs="Arial"/>
          <w:sz w:val="21"/>
          <w:szCs w:val="21"/>
        </w:rPr>
        <w:t>rente a los contenidos de los contratos de las vigencias 2020 y 2021 en cuanto a sus anexos técnicos, estudios previos y demás documentos que hacen parte integral de estos, no fue posible identificar los criterios y metodología o mecanismo para el monitoreo, evaluación y auditoría de los contratos suscritos. Lo anterior, de acuerdo con los parámetros de contratación establecidos en la Resolución 3280 de 2018 para las intervenciones colectivas.</w:t>
      </w:r>
    </w:p>
    <w:p w14:paraId="251B07A0" w14:textId="77777777" w:rsidR="005A730B" w:rsidRDefault="005A730B" w:rsidP="005A730B">
      <w:pPr>
        <w:jc w:val="both"/>
        <w:rPr>
          <w:rFonts w:ascii="Arial" w:hAnsi="Arial" w:cs="Arial"/>
          <w:sz w:val="21"/>
          <w:szCs w:val="21"/>
        </w:rPr>
      </w:pPr>
    </w:p>
    <w:p w14:paraId="19004651" w14:textId="77777777" w:rsidR="005A730B" w:rsidRDefault="005A730B" w:rsidP="005A730B">
      <w:pPr>
        <w:pStyle w:val="Prrafodelista"/>
        <w:numPr>
          <w:ilvl w:val="1"/>
          <w:numId w:val="19"/>
        </w:numPr>
        <w:jc w:val="both"/>
        <w:rPr>
          <w:rFonts w:ascii="Arial" w:hAnsi="Arial" w:cs="Arial"/>
          <w:b/>
          <w:bCs/>
          <w:sz w:val="21"/>
          <w:szCs w:val="21"/>
        </w:rPr>
      </w:pPr>
      <w:r>
        <w:rPr>
          <w:rFonts w:ascii="Arial" w:hAnsi="Arial" w:cs="Arial"/>
          <w:b/>
          <w:bCs/>
          <w:sz w:val="21"/>
          <w:szCs w:val="21"/>
        </w:rPr>
        <w:t xml:space="preserve"> Gestión en Salud Publica.</w:t>
      </w:r>
    </w:p>
    <w:p w14:paraId="3A9645F4" w14:textId="77777777" w:rsidR="005A730B" w:rsidRDefault="005A730B" w:rsidP="005A730B">
      <w:pPr>
        <w:jc w:val="both"/>
        <w:rPr>
          <w:rFonts w:ascii="Arial" w:hAnsi="Arial" w:cs="Arial"/>
          <w:b/>
          <w:bCs/>
          <w:sz w:val="21"/>
          <w:szCs w:val="21"/>
        </w:rPr>
      </w:pPr>
    </w:p>
    <w:p w14:paraId="320661C8" w14:textId="77777777" w:rsidR="005A730B" w:rsidRDefault="005A730B" w:rsidP="005A730B">
      <w:pPr>
        <w:pStyle w:val="Prrafodelista"/>
        <w:numPr>
          <w:ilvl w:val="2"/>
          <w:numId w:val="19"/>
        </w:numPr>
        <w:jc w:val="both"/>
        <w:rPr>
          <w:rFonts w:ascii="Arial" w:hAnsi="Arial" w:cs="Arial"/>
          <w:b/>
          <w:bCs/>
          <w:sz w:val="21"/>
          <w:szCs w:val="21"/>
        </w:rPr>
      </w:pPr>
      <w:r>
        <w:rPr>
          <w:rFonts w:ascii="Arial" w:hAnsi="Arial" w:cs="Arial"/>
          <w:b/>
          <w:bCs/>
          <w:sz w:val="21"/>
          <w:szCs w:val="21"/>
        </w:rPr>
        <w:t>Análisis de los procesos de Gestión de la Salud Publica Financiados con el SGP:</w:t>
      </w:r>
    </w:p>
    <w:p w14:paraId="39E1FBB7" w14:textId="77777777" w:rsidR="005A730B" w:rsidRDefault="005A730B" w:rsidP="005A730B">
      <w:pPr>
        <w:jc w:val="both"/>
        <w:rPr>
          <w:rFonts w:ascii="Arial" w:hAnsi="Arial" w:cs="Arial"/>
          <w:b/>
          <w:bCs/>
          <w:sz w:val="21"/>
          <w:szCs w:val="21"/>
        </w:rPr>
      </w:pPr>
    </w:p>
    <w:p w14:paraId="2D826EF4" w14:textId="77777777" w:rsidR="005A730B" w:rsidRDefault="005A730B" w:rsidP="005A730B">
      <w:pPr>
        <w:jc w:val="both"/>
        <w:rPr>
          <w:rFonts w:ascii="Arial" w:hAnsi="Arial" w:cs="Arial"/>
          <w:bCs/>
          <w:sz w:val="21"/>
          <w:szCs w:val="21"/>
        </w:rPr>
      </w:pPr>
      <w:r>
        <w:rPr>
          <w:rFonts w:ascii="Arial" w:hAnsi="Arial" w:cs="Arial"/>
          <w:sz w:val="21"/>
          <w:szCs w:val="21"/>
        </w:rPr>
        <w:t xml:space="preserve">La Entidad Territorial remitió a esta Dirección el Informe de Gestión de Salud Pública, </w:t>
      </w:r>
      <w:r>
        <w:rPr>
          <w:rFonts w:ascii="Arial" w:hAnsi="Arial" w:cs="Arial"/>
          <w:bCs/>
          <w:sz w:val="21"/>
          <w:szCs w:val="21"/>
        </w:rPr>
        <w:t>en el que menciona:</w:t>
      </w:r>
    </w:p>
    <w:p w14:paraId="7FE74773" w14:textId="77777777" w:rsidR="005A730B" w:rsidRDefault="005A730B" w:rsidP="005A730B">
      <w:pPr>
        <w:jc w:val="both"/>
        <w:rPr>
          <w:rFonts w:ascii="Arial" w:hAnsi="Arial" w:cs="Arial"/>
          <w:bCs/>
          <w:sz w:val="21"/>
          <w:szCs w:val="21"/>
        </w:rPr>
      </w:pPr>
    </w:p>
    <w:p w14:paraId="66AD0B8C" w14:textId="77777777" w:rsidR="005A730B" w:rsidRDefault="005A730B" w:rsidP="005A730B">
      <w:pPr>
        <w:ind w:left="708"/>
        <w:contextualSpacing/>
        <w:jc w:val="both"/>
        <w:rPr>
          <w:rFonts w:ascii="Arial" w:hAnsi="Arial" w:cs="Arial"/>
          <w:bCs/>
          <w:sz w:val="18"/>
          <w:szCs w:val="18"/>
        </w:rPr>
      </w:pPr>
      <w:r>
        <w:rPr>
          <w:rFonts w:ascii="Arial" w:hAnsi="Arial" w:cs="Arial"/>
          <w:bCs/>
          <w:sz w:val="18"/>
          <w:szCs w:val="18"/>
        </w:rPr>
        <w:t>“</w:t>
      </w:r>
      <w:r>
        <w:rPr>
          <w:rFonts w:ascii="Arial" w:hAnsi="Arial" w:cs="Arial"/>
          <w:bCs/>
          <w:i/>
          <w:iCs/>
          <w:sz w:val="18"/>
          <w:szCs w:val="18"/>
        </w:rPr>
        <w:t>A corte del 31 de diciembre de 2021, desde la Dirección Técnica de Salud Pública se ha radicado a bancos de proyectos un total de 12 proyectos presupuestados en $14.659.796.898; es importante mencionar que estos proyectos no afectaron el total de recursos dispuestos para la Vigencia el cual según informe financiero para los procesos de Salud Pública se determinó en un total de $15.545.547.462 dejándose de comprometer un total de $885</w:t>
      </w:r>
      <w:r>
        <w:rPr>
          <w:rFonts w:ascii="Arial" w:hAnsi="Arial" w:cs="Arial"/>
          <w:i/>
          <w:iCs/>
          <w:sz w:val="18"/>
          <w:szCs w:val="18"/>
        </w:rPr>
        <w:t>.</w:t>
      </w:r>
      <w:r>
        <w:rPr>
          <w:rFonts w:ascii="Arial" w:hAnsi="Arial" w:cs="Arial"/>
          <w:bCs/>
          <w:i/>
          <w:iCs/>
          <w:sz w:val="18"/>
          <w:szCs w:val="18"/>
        </w:rPr>
        <w:t>750.564 correspondientes a recursos del Balance de SGP de la vigencia 2020; entre los recursos proyectos se encuentran: recursos del SGP (78%), Transferencia Nacionales (20%) y Recursos Propios (3%), con el fin de dar respuesta a las competencias básicas de Salud Pública en el Departamento; A partir de dichos proyectos se actualiza el Plan de Acción en Salud Pública dando como resultado el planteamiento de 50 metas de producto y 210 actividades específicas en Salud Pública</w:t>
      </w:r>
      <w:r>
        <w:rPr>
          <w:rFonts w:ascii="Arial" w:hAnsi="Arial" w:cs="Arial"/>
          <w:bCs/>
          <w:sz w:val="18"/>
          <w:szCs w:val="18"/>
        </w:rPr>
        <w:t>”.</w:t>
      </w:r>
    </w:p>
    <w:p w14:paraId="17A0F4F8" w14:textId="77777777" w:rsidR="005A730B" w:rsidRDefault="005A730B" w:rsidP="005A730B">
      <w:pPr>
        <w:jc w:val="both"/>
        <w:rPr>
          <w:rFonts w:ascii="Arial" w:hAnsi="Arial" w:cs="Arial"/>
          <w:sz w:val="21"/>
          <w:szCs w:val="21"/>
        </w:rPr>
      </w:pPr>
    </w:p>
    <w:p w14:paraId="14E29248" w14:textId="77777777" w:rsidR="005A730B" w:rsidRDefault="005A730B" w:rsidP="005A730B">
      <w:pPr>
        <w:jc w:val="both"/>
        <w:rPr>
          <w:rFonts w:ascii="Arial" w:hAnsi="Arial" w:cs="Arial"/>
          <w:sz w:val="21"/>
          <w:szCs w:val="21"/>
        </w:rPr>
      </w:pPr>
      <w:r>
        <w:rPr>
          <w:rFonts w:ascii="Arial" w:hAnsi="Arial" w:cs="Arial"/>
          <w:sz w:val="21"/>
          <w:szCs w:val="21"/>
        </w:rPr>
        <w:t>De igual forma, la Dirección Técnica de Salud Pública del Departamento desarrolla su informe destacando los avances por dimensión, los compromisos adquiridos y el cumplimiento de metas en el marco del Plan de Desarrollo y el Plan de Acción en Salud. Así mismo, es posible identificar los objetivos, componentes, metas, actividades y evaluación por cada una de las dimensiones.</w:t>
      </w:r>
    </w:p>
    <w:p w14:paraId="531292DF" w14:textId="77777777" w:rsidR="005A730B" w:rsidRDefault="005A730B" w:rsidP="005A730B">
      <w:pPr>
        <w:jc w:val="both"/>
        <w:rPr>
          <w:rFonts w:ascii="Arial" w:hAnsi="Arial" w:cs="Arial"/>
          <w:sz w:val="21"/>
          <w:szCs w:val="21"/>
        </w:rPr>
      </w:pPr>
    </w:p>
    <w:p w14:paraId="0A995021" w14:textId="77777777" w:rsidR="005A730B" w:rsidRDefault="005A730B" w:rsidP="005A730B">
      <w:pPr>
        <w:jc w:val="both"/>
        <w:rPr>
          <w:rFonts w:ascii="Arial" w:hAnsi="Arial" w:cs="Arial"/>
          <w:sz w:val="21"/>
          <w:szCs w:val="21"/>
        </w:rPr>
      </w:pPr>
      <w:r>
        <w:rPr>
          <w:rFonts w:ascii="Arial" w:hAnsi="Arial" w:cs="Arial"/>
          <w:sz w:val="21"/>
          <w:szCs w:val="21"/>
        </w:rPr>
        <w:t>En este sentido, los informes hacen una descripción detallada de la situación del Departamento en cuanto a la gestión de la Salud Pública; sin embrago, este no atendió a lo requerido en el numeral dieciséis (16) del archivo de solicitud de información “</w:t>
      </w:r>
      <w:r>
        <w:rPr>
          <w:rFonts w:ascii="Arial" w:hAnsi="Arial" w:cs="Arial"/>
          <w:i/>
          <w:iCs/>
          <w:sz w:val="21"/>
          <w:szCs w:val="21"/>
        </w:rPr>
        <w:t xml:space="preserve">informe Ejecutivo en donde se permita evidenciar las acciones y productos esperados frente </w:t>
      </w:r>
      <w:r>
        <w:rPr>
          <w:rFonts w:ascii="Arial" w:hAnsi="Arial" w:cs="Arial"/>
          <w:b/>
          <w:i/>
          <w:iCs/>
          <w:sz w:val="21"/>
          <w:szCs w:val="21"/>
        </w:rPr>
        <w:t>a cada proceso de gestión de la salud pública que son financiados con el SGP de acuerdo a lo previsto en el Documento técnico “Directrices para la caracterización y ejecución de los procesos para la Gestión de la Salud Pública en el contexto de la Política de Atención Integral en Salud</w:t>
      </w:r>
      <w:r>
        <w:rPr>
          <w:rFonts w:ascii="Arial" w:hAnsi="Arial" w:cs="Arial"/>
          <w:i/>
          <w:iCs/>
          <w:sz w:val="21"/>
          <w:szCs w:val="21"/>
        </w:rPr>
        <w:t>, en el que se pueda identificar cada uno de los procesos de la coordinación sectorial</w:t>
      </w:r>
      <w:r>
        <w:rPr>
          <w:rStyle w:val="Refdenotaalpie"/>
          <w:rFonts w:ascii="Arial" w:hAnsi="Arial" w:cs="Arial"/>
          <w:i/>
          <w:iCs/>
          <w:sz w:val="21"/>
          <w:szCs w:val="21"/>
        </w:rPr>
        <w:footnoteReference w:id="5"/>
      </w:r>
      <w:r>
        <w:rPr>
          <w:rFonts w:ascii="Arial" w:hAnsi="Arial" w:cs="Arial"/>
          <w:i/>
          <w:iCs/>
          <w:sz w:val="21"/>
          <w:szCs w:val="21"/>
        </w:rPr>
        <w:t xml:space="preserve"> financiados con recursos del SGP</w:t>
      </w:r>
      <w:r>
        <w:rPr>
          <w:rFonts w:ascii="Arial" w:hAnsi="Arial" w:cs="Arial"/>
          <w:sz w:val="21"/>
          <w:szCs w:val="21"/>
        </w:rPr>
        <w:t>” así:</w:t>
      </w:r>
    </w:p>
    <w:p w14:paraId="36A3B0AB" w14:textId="77777777" w:rsidR="005A730B" w:rsidRDefault="005A730B" w:rsidP="005A730B">
      <w:pPr>
        <w:jc w:val="both"/>
        <w:rPr>
          <w:rFonts w:ascii="Arial" w:hAnsi="Arial" w:cs="Arial"/>
          <w:sz w:val="21"/>
          <w:szCs w:val="21"/>
        </w:rPr>
      </w:pPr>
    </w:p>
    <w:p w14:paraId="40BD702E" w14:textId="77777777" w:rsidR="005A730B" w:rsidRDefault="005A730B" w:rsidP="005A730B">
      <w:pPr>
        <w:pStyle w:val="Prrafodelista"/>
        <w:numPr>
          <w:ilvl w:val="0"/>
          <w:numId w:val="30"/>
        </w:numPr>
        <w:jc w:val="both"/>
        <w:rPr>
          <w:rFonts w:ascii="Arial" w:hAnsi="Arial" w:cs="Arial"/>
          <w:bCs/>
          <w:sz w:val="21"/>
          <w:szCs w:val="21"/>
        </w:rPr>
      </w:pPr>
      <w:r>
        <w:rPr>
          <w:rFonts w:ascii="Arial" w:hAnsi="Arial" w:cs="Arial"/>
          <w:bCs/>
          <w:sz w:val="21"/>
          <w:szCs w:val="21"/>
        </w:rPr>
        <w:t>Coordinación intersectorial.</w:t>
      </w:r>
    </w:p>
    <w:p w14:paraId="3E85694E"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bCs/>
          <w:sz w:val="21"/>
          <w:szCs w:val="21"/>
        </w:rPr>
        <w:t>Desarrollo de capacidades.</w:t>
      </w:r>
    </w:p>
    <w:p w14:paraId="1F25B1F3"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sz w:val="21"/>
          <w:szCs w:val="21"/>
        </w:rPr>
        <w:lastRenderedPageBreak/>
        <w:t>Participación social.</w:t>
      </w:r>
    </w:p>
    <w:p w14:paraId="04287E3D"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bCs/>
          <w:sz w:val="21"/>
          <w:szCs w:val="21"/>
        </w:rPr>
        <w:t>Gestión del conocimiento.</w:t>
      </w:r>
    </w:p>
    <w:p w14:paraId="207F9E2A"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bCs/>
          <w:sz w:val="21"/>
          <w:szCs w:val="21"/>
        </w:rPr>
        <w:t>Vigilancia en Salud Publica.</w:t>
      </w:r>
    </w:p>
    <w:p w14:paraId="5AE366FB"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bCs/>
          <w:sz w:val="21"/>
          <w:szCs w:val="21"/>
        </w:rPr>
        <w:t>Inspección, vigilancia y control.</w:t>
      </w:r>
    </w:p>
    <w:p w14:paraId="60F28E16"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bCs/>
          <w:sz w:val="21"/>
          <w:szCs w:val="21"/>
        </w:rPr>
        <w:t>Gestión de insumos de interés en Salud Publica.</w:t>
      </w:r>
    </w:p>
    <w:p w14:paraId="5441D934"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sz w:val="21"/>
          <w:szCs w:val="21"/>
        </w:rPr>
        <w:t>Prestación de servicios individuales.</w:t>
      </w:r>
    </w:p>
    <w:p w14:paraId="7D36795A"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sz w:val="21"/>
          <w:szCs w:val="21"/>
        </w:rPr>
        <w:t>Gestión de las intervenciones colectivas.</w:t>
      </w:r>
    </w:p>
    <w:p w14:paraId="2DDA6D41"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sz w:val="21"/>
          <w:szCs w:val="21"/>
        </w:rPr>
        <w:t>Gestión del aseguramiento.</w:t>
      </w:r>
    </w:p>
    <w:p w14:paraId="2F9E1E52"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sz w:val="21"/>
          <w:szCs w:val="21"/>
        </w:rPr>
        <w:t>Gestión del talento humano.</w:t>
      </w:r>
    </w:p>
    <w:p w14:paraId="5FFE031C" w14:textId="77777777" w:rsidR="005A730B" w:rsidRDefault="005A730B" w:rsidP="005A730B">
      <w:pPr>
        <w:pStyle w:val="Prrafodelista"/>
        <w:numPr>
          <w:ilvl w:val="0"/>
          <w:numId w:val="30"/>
        </w:numPr>
        <w:jc w:val="both"/>
        <w:rPr>
          <w:rFonts w:ascii="Arial" w:hAnsi="Arial" w:cs="Arial"/>
          <w:sz w:val="21"/>
          <w:szCs w:val="21"/>
        </w:rPr>
      </w:pPr>
      <w:r>
        <w:rPr>
          <w:rFonts w:ascii="Arial" w:hAnsi="Arial" w:cs="Arial"/>
          <w:sz w:val="21"/>
          <w:szCs w:val="21"/>
        </w:rPr>
        <w:t>Gestión de insumos de interés en Salud Pública.</w:t>
      </w:r>
    </w:p>
    <w:p w14:paraId="2ECA226A" w14:textId="77777777" w:rsidR="005A730B" w:rsidRDefault="005A730B" w:rsidP="005A730B">
      <w:pPr>
        <w:jc w:val="both"/>
        <w:rPr>
          <w:rFonts w:ascii="Arial" w:hAnsi="Arial" w:cs="Arial"/>
          <w:sz w:val="21"/>
          <w:szCs w:val="21"/>
        </w:rPr>
      </w:pPr>
    </w:p>
    <w:p w14:paraId="1B96FCCD" w14:textId="77777777" w:rsidR="005A730B" w:rsidRDefault="005A730B" w:rsidP="005A730B">
      <w:pPr>
        <w:jc w:val="both"/>
        <w:rPr>
          <w:rFonts w:ascii="Arial" w:hAnsi="Arial" w:cs="Arial"/>
          <w:sz w:val="21"/>
          <w:szCs w:val="21"/>
        </w:rPr>
      </w:pPr>
      <w:r>
        <w:rPr>
          <w:rFonts w:ascii="Arial" w:hAnsi="Arial" w:cs="Arial"/>
          <w:sz w:val="21"/>
          <w:szCs w:val="21"/>
        </w:rPr>
        <w:t>Por lo anterior, no es posible hacer el análisis correspondiente a cada proceso ni permite identificar la distribución y ejecución de los recursos asignados a través del SGP, de las acciones realizadas en los procesos descritos anteriormente.</w:t>
      </w:r>
    </w:p>
    <w:p w14:paraId="0A6CF21C" w14:textId="77777777" w:rsidR="005A730B" w:rsidRDefault="005A730B" w:rsidP="005A730B">
      <w:pPr>
        <w:jc w:val="both"/>
        <w:rPr>
          <w:rFonts w:ascii="Arial" w:hAnsi="Arial" w:cs="Arial"/>
          <w:sz w:val="21"/>
          <w:szCs w:val="21"/>
        </w:rPr>
      </w:pPr>
    </w:p>
    <w:p w14:paraId="1090C10A" w14:textId="77777777" w:rsidR="005A730B" w:rsidRDefault="005A730B" w:rsidP="005A730B">
      <w:pPr>
        <w:jc w:val="both"/>
        <w:rPr>
          <w:rFonts w:ascii="Arial" w:hAnsi="Arial" w:cs="Arial"/>
          <w:sz w:val="21"/>
          <w:szCs w:val="21"/>
        </w:rPr>
      </w:pPr>
      <w:r>
        <w:rPr>
          <w:rFonts w:ascii="Arial" w:hAnsi="Arial" w:cs="Arial"/>
          <w:sz w:val="21"/>
          <w:szCs w:val="21"/>
        </w:rPr>
        <w:t>Finalmente, la Entidad de manera general informa que “</w:t>
      </w:r>
      <w:r>
        <w:rPr>
          <w:rFonts w:ascii="Arial" w:hAnsi="Arial" w:cs="Arial"/>
          <w:i/>
          <w:iCs/>
          <w:sz w:val="21"/>
          <w:szCs w:val="21"/>
        </w:rPr>
        <w:t>[…] se puede evidenciar un cumplimiento efectivo del 100% en las 50 metas programadas para la vigencia 2021 en el plan operativo anual para la Dirección de Salud Pública</w:t>
      </w:r>
      <w:r>
        <w:rPr>
          <w:rFonts w:ascii="Arial" w:hAnsi="Arial" w:cs="Arial"/>
          <w:sz w:val="21"/>
          <w:szCs w:val="21"/>
        </w:rPr>
        <w:t>”.</w:t>
      </w:r>
    </w:p>
    <w:p w14:paraId="1C4A5E33" w14:textId="77777777" w:rsidR="005A730B" w:rsidRDefault="005A730B" w:rsidP="005A730B">
      <w:pPr>
        <w:jc w:val="both"/>
        <w:rPr>
          <w:rFonts w:ascii="Arial" w:hAnsi="Arial" w:cs="Arial"/>
          <w:sz w:val="21"/>
          <w:szCs w:val="21"/>
        </w:rPr>
      </w:pPr>
    </w:p>
    <w:p w14:paraId="6C0C7B87" w14:textId="77777777" w:rsidR="005A730B" w:rsidRDefault="005A730B" w:rsidP="005A730B">
      <w:pPr>
        <w:pStyle w:val="Prrafodelista"/>
        <w:numPr>
          <w:ilvl w:val="2"/>
          <w:numId w:val="19"/>
        </w:numPr>
        <w:jc w:val="both"/>
        <w:rPr>
          <w:rFonts w:ascii="Arial" w:hAnsi="Arial" w:cs="Arial"/>
          <w:b/>
          <w:bCs/>
          <w:sz w:val="21"/>
          <w:szCs w:val="21"/>
        </w:rPr>
      </w:pPr>
      <w:r>
        <w:rPr>
          <w:rFonts w:ascii="Arial" w:hAnsi="Arial" w:cs="Arial"/>
          <w:b/>
          <w:bCs/>
          <w:sz w:val="21"/>
          <w:szCs w:val="21"/>
        </w:rPr>
        <w:t>Contratación gestión de la Salud Pública 2020 y 2021.</w:t>
      </w:r>
    </w:p>
    <w:p w14:paraId="35EBE24E" w14:textId="77777777" w:rsidR="005A730B" w:rsidRDefault="005A730B" w:rsidP="005A730B">
      <w:pPr>
        <w:jc w:val="both"/>
        <w:rPr>
          <w:rFonts w:ascii="Arial" w:hAnsi="Arial" w:cs="Arial"/>
          <w:b/>
          <w:bCs/>
          <w:sz w:val="21"/>
          <w:szCs w:val="21"/>
        </w:rPr>
      </w:pPr>
    </w:p>
    <w:p w14:paraId="35559258" w14:textId="77777777" w:rsidR="005A730B" w:rsidRDefault="005A730B" w:rsidP="005A730B">
      <w:pPr>
        <w:pStyle w:val="Prrafodelista"/>
        <w:numPr>
          <w:ilvl w:val="0"/>
          <w:numId w:val="31"/>
        </w:numPr>
        <w:jc w:val="both"/>
        <w:rPr>
          <w:rFonts w:ascii="Arial" w:hAnsi="Arial" w:cs="Arial"/>
          <w:b/>
          <w:bCs/>
          <w:sz w:val="21"/>
          <w:szCs w:val="21"/>
        </w:rPr>
      </w:pPr>
      <w:r>
        <w:rPr>
          <w:rFonts w:ascii="Arial" w:hAnsi="Arial" w:cs="Arial"/>
          <w:b/>
          <w:bCs/>
          <w:sz w:val="21"/>
          <w:szCs w:val="21"/>
        </w:rPr>
        <w:t>Vigencia 2020.</w:t>
      </w:r>
    </w:p>
    <w:p w14:paraId="2EDC02CD" w14:textId="77777777" w:rsidR="005A730B" w:rsidRDefault="005A730B" w:rsidP="005A730B">
      <w:pPr>
        <w:jc w:val="both"/>
        <w:rPr>
          <w:rFonts w:ascii="Arial" w:hAnsi="Arial" w:cs="Arial"/>
          <w:bCs/>
          <w:sz w:val="21"/>
          <w:szCs w:val="21"/>
        </w:rPr>
      </w:pPr>
    </w:p>
    <w:p w14:paraId="49643B3A" w14:textId="77777777" w:rsidR="005A730B" w:rsidRDefault="005A730B" w:rsidP="005A730B">
      <w:pPr>
        <w:jc w:val="both"/>
        <w:rPr>
          <w:rFonts w:ascii="Arial" w:hAnsi="Arial" w:cs="Arial"/>
          <w:bCs/>
          <w:sz w:val="21"/>
          <w:szCs w:val="21"/>
        </w:rPr>
      </w:pPr>
      <w:r>
        <w:rPr>
          <w:rFonts w:ascii="Arial" w:hAnsi="Arial" w:cs="Arial"/>
          <w:bCs/>
          <w:sz w:val="21"/>
          <w:szCs w:val="21"/>
        </w:rPr>
        <w:t xml:space="preserve">Para la ejecución de acciones relacionadas con la gestión de la salud pública, con corte al cierre de 2020, la Entidad reportó un total de 307 contratos, comprometiendo un total de $6.943 millones provenientes del SGP- Salud Pública, recursos propios y transferencia nacional tuberculosis - </w:t>
      </w:r>
      <w:proofErr w:type="spellStart"/>
      <w:r>
        <w:rPr>
          <w:rFonts w:ascii="Arial" w:hAnsi="Arial" w:cs="Arial"/>
          <w:bCs/>
          <w:sz w:val="21"/>
          <w:szCs w:val="21"/>
        </w:rPr>
        <w:t>tbc</w:t>
      </w:r>
      <w:proofErr w:type="spellEnd"/>
      <w:r>
        <w:rPr>
          <w:rFonts w:ascii="Arial" w:hAnsi="Arial" w:cs="Arial"/>
          <w:bCs/>
          <w:sz w:val="21"/>
          <w:szCs w:val="21"/>
        </w:rPr>
        <w:t xml:space="preserve"> y lepra.</w:t>
      </w:r>
    </w:p>
    <w:p w14:paraId="25410839" w14:textId="77777777" w:rsidR="005A730B" w:rsidRDefault="005A730B" w:rsidP="005A730B">
      <w:pPr>
        <w:jc w:val="both"/>
        <w:rPr>
          <w:rFonts w:ascii="Arial" w:hAnsi="Arial" w:cs="Arial"/>
          <w:bCs/>
          <w:sz w:val="21"/>
          <w:szCs w:val="21"/>
        </w:rPr>
      </w:pPr>
    </w:p>
    <w:p w14:paraId="4AE5389D" w14:textId="77777777" w:rsidR="005A730B" w:rsidRDefault="005A730B" w:rsidP="005A730B">
      <w:pPr>
        <w:jc w:val="both"/>
        <w:rPr>
          <w:rFonts w:ascii="Arial" w:hAnsi="Arial" w:cs="Arial"/>
          <w:bCs/>
          <w:sz w:val="21"/>
          <w:szCs w:val="21"/>
        </w:rPr>
      </w:pPr>
      <w:r>
        <w:rPr>
          <w:rFonts w:ascii="Arial" w:hAnsi="Arial" w:cs="Arial"/>
          <w:bCs/>
          <w:sz w:val="21"/>
          <w:szCs w:val="21"/>
        </w:rPr>
        <w:t>De acuerdo con la modalidad de selección y tipo de contrato realizado con fuente SGP – Salud Pública, se evidenció lo siguiente:</w:t>
      </w:r>
    </w:p>
    <w:p w14:paraId="56B9CAEE" w14:textId="77777777" w:rsidR="005A730B" w:rsidRDefault="005A730B" w:rsidP="005A730B">
      <w:pPr>
        <w:jc w:val="both"/>
        <w:rPr>
          <w:rFonts w:ascii="Arial" w:hAnsi="Arial" w:cs="Arial"/>
          <w:bCs/>
          <w:sz w:val="21"/>
          <w:szCs w:val="21"/>
        </w:rPr>
      </w:pPr>
    </w:p>
    <w:p w14:paraId="30AAFBE1" w14:textId="77777777" w:rsidR="005A730B" w:rsidRDefault="005A730B" w:rsidP="005A730B">
      <w:pPr>
        <w:pStyle w:val="Prrafodelista"/>
        <w:jc w:val="center"/>
        <w:rPr>
          <w:rFonts w:ascii="Arial" w:hAnsi="Arial" w:cs="Arial"/>
          <w:b/>
          <w:bCs/>
          <w:sz w:val="20"/>
          <w:szCs w:val="20"/>
        </w:rPr>
      </w:pPr>
      <w:r>
        <w:rPr>
          <w:rFonts w:ascii="Arial" w:hAnsi="Arial" w:cs="Arial"/>
          <w:b/>
          <w:bCs/>
          <w:sz w:val="20"/>
          <w:szCs w:val="20"/>
        </w:rPr>
        <w:t>Tabla No. 11</w:t>
      </w:r>
    </w:p>
    <w:p w14:paraId="2A8DC466" w14:textId="77777777" w:rsidR="005A730B" w:rsidRDefault="005A730B" w:rsidP="005A730B">
      <w:pPr>
        <w:pStyle w:val="Prrafodelista"/>
        <w:ind w:right="616"/>
        <w:jc w:val="right"/>
        <w:rPr>
          <w:rFonts w:ascii="Arial" w:hAnsi="Arial" w:cs="Arial"/>
          <w:sz w:val="18"/>
          <w:szCs w:val="18"/>
        </w:rPr>
      </w:pPr>
      <w:r>
        <w:rPr>
          <w:rFonts w:ascii="Arial" w:hAnsi="Arial" w:cs="Arial"/>
          <w:sz w:val="18"/>
          <w:szCs w:val="18"/>
        </w:rPr>
        <w:t>Cifras en Millones</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2"/>
        <w:gridCol w:w="3360"/>
      </w:tblGrid>
      <w:tr w:rsidR="005A730B" w14:paraId="3B9598D5"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1BB458D8" w14:textId="77777777" w:rsidR="005A730B" w:rsidRDefault="005A730B">
            <w:pP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Contratación Gestión 2020 SGP</w:t>
            </w:r>
          </w:p>
        </w:tc>
        <w:tc>
          <w:tcPr>
            <w:tcW w:w="336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70C11D80" w14:textId="77777777" w:rsidR="005A730B" w:rsidRDefault="005A730B">
            <w:pPr>
              <w:jc w:val="cente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VALOR FINAL DEL CONTRATO</w:t>
            </w:r>
          </w:p>
        </w:tc>
      </w:tr>
      <w:tr w:rsidR="005A730B" w14:paraId="706FC89D"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noWrap/>
            <w:vAlign w:val="bottom"/>
            <w:hideMark/>
          </w:tcPr>
          <w:p w14:paraId="7514FB6B"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CONTRATACIÓN DIRECTA</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40FE221F" w14:textId="77777777" w:rsidR="005A730B" w:rsidRDefault="005A730B">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$5.470,00</w:t>
            </w:r>
          </w:p>
        </w:tc>
      </w:tr>
      <w:tr w:rsidR="005A730B" w14:paraId="3CD79C3E"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noWrap/>
            <w:vAlign w:val="bottom"/>
            <w:hideMark/>
          </w:tcPr>
          <w:p w14:paraId="0B702893" w14:textId="77777777" w:rsidR="005A730B" w:rsidRDefault="005A730B">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PRESTACIÓN DE SERVICIOS</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68D1347D"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$5.450,00</w:t>
            </w:r>
          </w:p>
        </w:tc>
      </w:tr>
      <w:tr w:rsidR="005A730B" w14:paraId="5112E88B"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noWrap/>
            <w:vAlign w:val="bottom"/>
            <w:hideMark/>
          </w:tcPr>
          <w:p w14:paraId="3691C187" w14:textId="77777777" w:rsidR="005A730B" w:rsidRDefault="005A730B">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SUMINISTRO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10BA2B11"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$20,00</w:t>
            </w:r>
          </w:p>
        </w:tc>
      </w:tr>
      <w:tr w:rsidR="005A730B" w14:paraId="347C67A1"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noWrap/>
            <w:vAlign w:val="bottom"/>
            <w:hideMark/>
          </w:tcPr>
          <w:p w14:paraId="5D6FED44"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MÍNIMA CUANTÍA</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29EE4290" w14:textId="77777777" w:rsidR="005A730B" w:rsidRDefault="005A730B">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$206,00</w:t>
            </w:r>
          </w:p>
        </w:tc>
      </w:tr>
      <w:tr w:rsidR="005A730B" w14:paraId="23088AF2"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noWrap/>
            <w:vAlign w:val="bottom"/>
            <w:hideMark/>
          </w:tcPr>
          <w:p w14:paraId="23A052BF" w14:textId="77777777" w:rsidR="005A730B" w:rsidRDefault="005A730B">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PRESTACIÓN DE SERVICIOS</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58933942"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$80,00</w:t>
            </w:r>
          </w:p>
        </w:tc>
      </w:tr>
      <w:tr w:rsidR="005A730B" w14:paraId="334AA2F9"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noWrap/>
            <w:vAlign w:val="bottom"/>
            <w:hideMark/>
          </w:tcPr>
          <w:p w14:paraId="19C723F5" w14:textId="77777777" w:rsidR="005A730B" w:rsidRDefault="005A730B">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SUMINISTRO</w:t>
            </w:r>
          </w:p>
        </w:tc>
        <w:tc>
          <w:tcPr>
            <w:tcW w:w="3360" w:type="dxa"/>
            <w:tcBorders>
              <w:top w:val="single" w:sz="4" w:space="0" w:color="auto"/>
              <w:left w:val="single" w:sz="4" w:space="0" w:color="auto"/>
              <w:bottom w:val="single" w:sz="4" w:space="0" w:color="auto"/>
              <w:right w:val="single" w:sz="4" w:space="0" w:color="auto"/>
            </w:tcBorders>
            <w:noWrap/>
            <w:vAlign w:val="center"/>
            <w:hideMark/>
          </w:tcPr>
          <w:p w14:paraId="07BB30C5"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$125,00</w:t>
            </w:r>
          </w:p>
        </w:tc>
      </w:tr>
      <w:tr w:rsidR="005A730B" w14:paraId="779EC063" w14:textId="77777777" w:rsidTr="005A730B">
        <w:trPr>
          <w:trHeight w:val="203"/>
          <w:jc w:val="center"/>
        </w:trPr>
        <w:tc>
          <w:tcPr>
            <w:tcW w:w="4312"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515B0725" w14:textId="77777777" w:rsidR="005A730B" w:rsidRDefault="005A730B">
            <w:pPr>
              <w:rPr>
                <w:rFonts w:ascii="Arial" w:eastAsia="Times New Roman" w:hAnsi="Arial" w:cs="Arial"/>
                <w:b/>
                <w:bCs/>
                <w:color w:val="FFFFFF" w:themeColor="background1"/>
                <w:sz w:val="18"/>
                <w:szCs w:val="18"/>
                <w:lang w:val="es-CO" w:eastAsia="es-CO"/>
              </w:rPr>
            </w:pPr>
            <w:proofErr w:type="gramStart"/>
            <w:r>
              <w:rPr>
                <w:rFonts w:ascii="Arial" w:eastAsia="Times New Roman" w:hAnsi="Arial" w:cs="Arial"/>
                <w:b/>
                <w:bCs/>
                <w:color w:val="FFFFFF" w:themeColor="background1"/>
                <w:sz w:val="18"/>
                <w:szCs w:val="18"/>
                <w:lang w:val="es-CO" w:eastAsia="es-CO"/>
              </w:rPr>
              <w:t>Total</w:t>
            </w:r>
            <w:proofErr w:type="gramEnd"/>
            <w:r>
              <w:rPr>
                <w:rFonts w:ascii="Arial" w:eastAsia="Times New Roman" w:hAnsi="Arial" w:cs="Arial"/>
                <w:b/>
                <w:bCs/>
                <w:color w:val="FFFFFF" w:themeColor="background1"/>
                <w:sz w:val="18"/>
                <w:szCs w:val="18"/>
                <w:lang w:val="es-CO" w:eastAsia="es-CO"/>
              </w:rPr>
              <w:t xml:space="preserve"> general</w:t>
            </w:r>
          </w:p>
        </w:tc>
        <w:tc>
          <w:tcPr>
            <w:tcW w:w="3360"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2C2DE45E" w14:textId="77777777" w:rsidR="005A730B" w:rsidRDefault="005A730B">
            <w:pPr>
              <w:jc w:val="right"/>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$5.677,00</w:t>
            </w:r>
          </w:p>
        </w:tc>
      </w:tr>
    </w:tbl>
    <w:p w14:paraId="204798CB" w14:textId="77777777" w:rsidR="005A730B" w:rsidRDefault="005A730B" w:rsidP="005A730B">
      <w:pPr>
        <w:jc w:val="center"/>
        <w:rPr>
          <w:rFonts w:ascii="Arial" w:hAnsi="Arial" w:cs="Arial"/>
          <w:bCs/>
          <w:sz w:val="16"/>
          <w:szCs w:val="16"/>
        </w:rPr>
      </w:pPr>
      <w:r>
        <w:rPr>
          <w:rFonts w:ascii="Arial" w:hAnsi="Arial" w:cs="Arial"/>
          <w:bCs/>
          <w:sz w:val="16"/>
          <w:szCs w:val="16"/>
        </w:rPr>
        <w:t>Fuente: DAF con Información de la Entidad.</w:t>
      </w:r>
    </w:p>
    <w:p w14:paraId="75BD5CEA" w14:textId="77777777" w:rsidR="005A730B" w:rsidRDefault="005A730B" w:rsidP="005A730B">
      <w:pPr>
        <w:jc w:val="both"/>
        <w:rPr>
          <w:rFonts w:ascii="Arial" w:hAnsi="Arial" w:cs="Arial"/>
          <w:bCs/>
          <w:sz w:val="21"/>
          <w:szCs w:val="21"/>
        </w:rPr>
      </w:pPr>
    </w:p>
    <w:p w14:paraId="7CA26D8C" w14:textId="77777777" w:rsidR="005A730B" w:rsidRDefault="005A730B" w:rsidP="005A730B">
      <w:pPr>
        <w:jc w:val="both"/>
        <w:rPr>
          <w:rFonts w:ascii="Arial" w:hAnsi="Arial" w:cs="Arial"/>
          <w:bCs/>
          <w:sz w:val="21"/>
          <w:szCs w:val="21"/>
        </w:rPr>
      </w:pPr>
      <w:r>
        <w:rPr>
          <w:rFonts w:ascii="Arial" w:hAnsi="Arial" w:cs="Arial"/>
          <w:bCs/>
          <w:sz w:val="21"/>
          <w:szCs w:val="21"/>
        </w:rPr>
        <w:t>Con recurso del SGP, se identificaron 185 contratos por valor de $5.677 millones, los cuales se pudieron verificar en la plataforma de contratación SECOP II, con el enlace enviado por la Entidad. En este enlace se identificó cada una de las etapas precontractuales y contractuales, cargue de CDP, RP, términos de referencia (en los casos que aplica), hojas de vida, oferta y documentos de los contratistas. De manera aleatoria se tomó una muestra de quince (15) contratos a los que se les realizó la verificación del cumplimiento de los requisitos contractuales, así como la correcta utilización del recurso en las distintas posibilidades de gasto así:</w:t>
      </w:r>
    </w:p>
    <w:p w14:paraId="7E518D77" w14:textId="77777777" w:rsidR="005A730B" w:rsidRDefault="005A730B" w:rsidP="005A730B">
      <w:pPr>
        <w:rPr>
          <w:rFonts w:ascii="Arial" w:hAnsi="Arial" w:cs="Arial"/>
          <w:b/>
          <w:sz w:val="21"/>
          <w:szCs w:val="21"/>
        </w:rPr>
      </w:pPr>
      <w:r>
        <w:rPr>
          <w:b/>
          <w:sz w:val="21"/>
          <w:szCs w:val="21"/>
        </w:rPr>
        <w:br w:type="page"/>
      </w:r>
    </w:p>
    <w:p w14:paraId="19AD06F1"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lastRenderedPageBreak/>
        <w:t>Tabla No. 12</w:t>
      </w:r>
    </w:p>
    <w:p w14:paraId="1DF01702" w14:textId="77777777" w:rsidR="005A730B" w:rsidRDefault="005A730B" w:rsidP="005A730B">
      <w:pPr>
        <w:jc w:val="both"/>
        <w:rPr>
          <w:rFonts w:ascii="Arial" w:hAnsi="Arial" w:cs="Arial"/>
          <w:bCs/>
          <w:sz w:val="21"/>
          <w:szCs w:val="21"/>
        </w:rPr>
      </w:pPr>
      <w:r>
        <w:rPr>
          <w:rFonts w:ascii="Arial" w:hAnsi="Arial" w:cs="Arial"/>
          <w:noProof/>
          <w:sz w:val="21"/>
          <w:szCs w:val="21"/>
          <w:lang w:val="es-CO" w:eastAsia="es-CO"/>
        </w:rPr>
        <w:drawing>
          <wp:inline distT="0" distB="0" distL="0" distR="0" wp14:anchorId="355E6938" wp14:editId="01F75374">
            <wp:extent cx="5600700" cy="3524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0700" cy="3524250"/>
                    </a:xfrm>
                    <a:prstGeom prst="rect">
                      <a:avLst/>
                    </a:prstGeom>
                    <a:noFill/>
                    <a:ln>
                      <a:noFill/>
                    </a:ln>
                  </pic:spPr>
                </pic:pic>
              </a:graphicData>
            </a:graphic>
          </wp:inline>
        </w:drawing>
      </w:r>
    </w:p>
    <w:p w14:paraId="1EAF57D5" w14:textId="77777777" w:rsidR="005A730B" w:rsidRDefault="005A730B" w:rsidP="005A730B">
      <w:pPr>
        <w:jc w:val="center"/>
        <w:rPr>
          <w:rFonts w:ascii="Arial" w:hAnsi="Arial" w:cs="Arial"/>
          <w:bCs/>
          <w:sz w:val="16"/>
          <w:szCs w:val="16"/>
        </w:rPr>
      </w:pPr>
      <w:r>
        <w:rPr>
          <w:rFonts w:ascii="Arial" w:hAnsi="Arial" w:cs="Arial"/>
          <w:bCs/>
          <w:sz w:val="16"/>
          <w:szCs w:val="16"/>
        </w:rPr>
        <w:t>Fuente: Entidad Territorial - Valores en pesos.</w:t>
      </w:r>
    </w:p>
    <w:p w14:paraId="47C95162" w14:textId="77777777" w:rsidR="005A730B" w:rsidRDefault="005A730B" w:rsidP="005A730B">
      <w:pPr>
        <w:jc w:val="both"/>
        <w:rPr>
          <w:rFonts w:ascii="Arial" w:hAnsi="Arial" w:cs="Arial"/>
          <w:bCs/>
          <w:sz w:val="21"/>
          <w:szCs w:val="21"/>
        </w:rPr>
      </w:pPr>
    </w:p>
    <w:p w14:paraId="1143EFA0" w14:textId="77777777" w:rsidR="005A730B" w:rsidRDefault="005A730B" w:rsidP="005A730B">
      <w:pPr>
        <w:jc w:val="both"/>
        <w:rPr>
          <w:rFonts w:ascii="Arial" w:hAnsi="Arial" w:cs="Arial"/>
          <w:bCs/>
          <w:sz w:val="21"/>
          <w:szCs w:val="21"/>
        </w:rPr>
      </w:pPr>
      <w:r>
        <w:rPr>
          <w:rFonts w:ascii="Arial" w:hAnsi="Arial" w:cs="Arial"/>
          <w:bCs/>
          <w:sz w:val="21"/>
          <w:szCs w:val="21"/>
        </w:rPr>
        <w:t>De la revisión de la base reportada por la Entidad, se encontró lo siguiente:</w:t>
      </w:r>
    </w:p>
    <w:p w14:paraId="764C8A7D" w14:textId="77777777" w:rsidR="005A730B" w:rsidRDefault="005A730B" w:rsidP="005A730B">
      <w:pPr>
        <w:jc w:val="both"/>
        <w:rPr>
          <w:rFonts w:ascii="Arial" w:hAnsi="Arial" w:cs="Arial"/>
          <w:bCs/>
          <w:sz w:val="21"/>
          <w:szCs w:val="21"/>
        </w:rPr>
      </w:pPr>
    </w:p>
    <w:p w14:paraId="7169D48B" w14:textId="77777777" w:rsidR="005A730B" w:rsidRDefault="005A730B" w:rsidP="005A730B">
      <w:pPr>
        <w:jc w:val="both"/>
        <w:rPr>
          <w:rFonts w:ascii="Arial" w:hAnsi="Arial" w:cs="Arial"/>
          <w:bCs/>
          <w:sz w:val="21"/>
          <w:szCs w:val="21"/>
        </w:rPr>
      </w:pPr>
      <w:r>
        <w:rPr>
          <w:rFonts w:ascii="Arial" w:hAnsi="Arial" w:cs="Arial"/>
          <w:bCs/>
          <w:sz w:val="21"/>
          <w:szCs w:val="21"/>
        </w:rPr>
        <w:t>Contrato No 202000000873 por $11,4 millones cuyo objeto consistió en la</w:t>
      </w:r>
      <w:r>
        <w:rPr>
          <w:rFonts w:ascii="Arial" w:hAnsi="Arial" w:cs="Arial"/>
          <w:bCs/>
          <w:i/>
          <w:sz w:val="21"/>
          <w:szCs w:val="21"/>
        </w:rPr>
        <w:t xml:space="preserve"> “Compra de Normas Técnicas Colombianas para garantizar el adecuado funcionamiento y operación, conforme los estándares de calidad, en el Laboratorio de Salud Pública de la Secretaria de Salud Departamental del Caquetá</w:t>
      </w:r>
      <w:r>
        <w:rPr>
          <w:rFonts w:ascii="Arial" w:hAnsi="Arial" w:cs="Arial"/>
          <w:bCs/>
          <w:sz w:val="21"/>
          <w:szCs w:val="21"/>
        </w:rPr>
        <w:t>”, financiado con recursos del SGP, bajo la modalidad de Contratación Directa en el componente de GESTIÓN, en el proceso GESTIÓN DE INSUMOS DE INTERÉS EN SALUD PÚBLICA, el cual según la Resolución 518 de 2015, determina que el gasto en este proceso se debe hacer en: “</w:t>
      </w:r>
      <w:r>
        <w:rPr>
          <w:rFonts w:ascii="Arial" w:hAnsi="Arial" w:cs="Arial"/>
          <w:bCs/>
          <w:i/>
          <w:iCs/>
          <w:sz w:val="21"/>
          <w:szCs w:val="21"/>
        </w:rPr>
        <w:t>Gestión de insumos de interés en salud pública para garantizar a la población del territorio nacional que presenta eventos de interés en salud pública los medicamentos, biológicos. reactivos de laboratorio, insecticidas, equipos y otros insumos para el control de riesgos, bajo principios de calidad y pertinencia</w:t>
      </w:r>
      <w:r>
        <w:rPr>
          <w:rFonts w:ascii="Arial" w:hAnsi="Arial" w:cs="Arial"/>
          <w:bCs/>
          <w:sz w:val="21"/>
          <w:szCs w:val="21"/>
        </w:rPr>
        <w:t>”. Con lo que se puede concluir que dicho gasto no está autorizado con los recursos del SGP Gestión de la Salud Pública.</w:t>
      </w:r>
    </w:p>
    <w:p w14:paraId="040BD182" w14:textId="77777777" w:rsidR="005A730B" w:rsidRDefault="005A730B" w:rsidP="005A730B">
      <w:pPr>
        <w:jc w:val="both"/>
        <w:rPr>
          <w:rFonts w:ascii="Arial" w:hAnsi="Arial" w:cs="Arial"/>
          <w:b/>
          <w:bCs/>
          <w:sz w:val="21"/>
          <w:szCs w:val="21"/>
        </w:rPr>
      </w:pPr>
    </w:p>
    <w:p w14:paraId="54712930" w14:textId="77777777" w:rsidR="005A730B" w:rsidRDefault="005A730B" w:rsidP="005A730B">
      <w:pPr>
        <w:pStyle w:val="Prrafodelista"/>
        <w:numPr>
          <w:ilvl w:val="0"/>
          <w:numId w:val="31"/>
        </w:numPr>
        <w:jc w:val="both"/>
        <w:rPr>
          <w:rFonts w:ascii="Arial" w:hAnsi="Arial" w:cs="Arial"/>
          <w:bCs/>
          <w:sz w:val="21"/>
          <w:szCs w:val="21"/>
        </w:rPr>
      </w:pPr>
      <w:r>
        <w:rPr>
          <w:rFonts w:ascii="Arial" w:hAnsi="Arial" w:cs="Arial"/>
          <w:b/>
          <w:bCs/>
          <w:sz w:val="21"/>
          <w:szCs w:val="21"/>
        </w:rPr>
        <w:t>Vigencia 2021.</w:t>
      </w:r>
    </w:p>
    <w:p w14:paraId="144602C9" w14:textId="77777777" w:rsidR="005A730B" w:rsidRDefault="005A730B" w:rsidP="005A730B">
      <w:pPr>
        <w:jc w:val="both"/>
        <w:rPr>
          <w:rFonts w:ascii="Arial" w:hAnsi="Arial" w:cs="Arial"/>
          <w:bCs/>
          <w:sz w:val="21"/>
          <w:szCs w:val="21"/>
        </w:rPr>
      </w:pPr>
    </w:p>
    <w:p w14:paraId="5CE5A585" w14:textId="77777777" w:rsidR="005A730B" w:rsidRDefault="005A730B" w:rsidP="005A730B">
      <w:pPr>
        <w:jc w:val="both"/>
        <w:rPr>
          <w:rFonts w:ascii="Arial" w:hAnsi="Arial" w:cs="Arial"/>
          <w:bCs/>
          <w:sz w:val="21"/>
          <w:szCs w:val="21"/>
        </w:rPr>
      </w:pPr>
      <w:r>
        <w:rPr>
          <w:rFonts w:ascii="Arial" w:hAnsi="Arial" w:cs="Arial"/>
          <w:bCs/>
          <w:sz w:val="21"/>
          <w:szCs w:val="21"/>
        </w:rPr>
        <w:t xml:space="preserve">Para la ejecución de acciones relacionadas con la Gestión de la Salud Pública con corte al cierre de 2021, la Entidad reportó un total de 198 contratos, comprometiendo un total de $8.055 millones provenientes del SGP- Salud Pública, recursos propios y transferencia nacional tuberculosis - </w:t>
      </w:r>
      <w:proofErr w:type="spellStart"/>
      <w:r>
        <w:rPr>
          <w:rFonts w:ascii="Arial" w:hAnsi="Arial" w:cs="Arial"/>
          <w:bCs/>
          <w:sz w:val="21"/>
          <w:szCs w:val="21"/>
        </w:rPr>
        <w:t>tbc</w:t>
      </w:r>
      <w:proofErr w:type="spellEnd"/>
      <w:r>
        <w:rPr>
          <w:rFonts w:ascii="Arial" w:hAnsi="Arial" w:cs="Arial"/>
          <w:bCs/>
          <w:sz w:val="21"/>
          <w:szCs w:val="21"/>
        </w:rPr>
        <w:t xml:space="preserve"> y lepra.</w:t>
      </w:r>
    </w:p>
    <w:p w14:paraId="710BCA9C" w14:textId="77777777" w:rsidR="005A730B" w:rsidRDefault="005A730B" w:rsidP="005A730B">
      <w:pPr>
        <w:jc w:val="both"/>
        <w:rPr>
          <w:rFonts w:ascii="Arial" w:hAnsi="Arial" w:cs="Arial"/>
          <w:bCs/>
          <w:sz w:val="21"/>
          <w:szCs w:val="21"/>
        </w:rPr>
      </w:pPr>
    </w:p>
    <w:p w14:paraId="6C68C711" w14:textId="77777777" w:rsidR="005A730B" w:rsidRDefault="005A730B" w:rsidP="005A730B">
      <w:pPr>
        <w:jc w:val="both"/>
        <w:rPr>
          <w:rFonts w:ascii="Arial" w:hAnsi="Arial" w:cs="Arial"/>
          <w:bCs/>
          <w:sz w:val="21"/>
          <w:szCs w:val="21"/>
        </w:rPr>
      </w:pPr>
      <w:r>
        <w:rPr>
          <w:rFonts w:ascii="Arial" w:hAnsi="Arial" w:cs="Arial"/>
          <w:bCs/>
          <w:sz w:val="21"/>
          <w:szCs w:val="21"/>
        </w:rPr>
        <w:t>De acuerdo con la modalidad de selección y tipo de contrato realizado, con fuente SGP – Salud Pública, se evidenció lo siguiente:</w:t>
      </w:r>
    </w:p>
    <w:p w14:paraId="0AA9D5E2" w14:textId="77777777" w:rsidR="005A730B" w:rsidRDefault="005A730B" w:rsidP="005A730B">
      <w:pPr>
        <w:jc w:val="both"/>
        <w:rPr>
          <w:rFonts w:ascii="Arial" w:hAnsi="Arial" w:cs="Arial"/>
          <w:bCs/>
          <w:sz w:val="21"/>
          <w:szCs w:val="21"/>
        </w:rPr>
      </w:pPr>
    </w:p>
    <w:p w14:paraId="307EF893" w14:textId="77777777" w:rsidR="005A730B" w:rsidRDefault="005A730B" w:rsidP="005A730B">
      <w:pPr>
        <w:pStyle w:val="Prrafodelista"/>
        <w:jc w:val="center"/>
        <w:rPr>
          <w:rFonts w:ascii="Arial" w:hAnsi="Arial" w:cs="Arial"/>
          <w:b/>
          <w:bCs/>
          <w:sz w:val="20"/>
          <w:szCs w:val="20"/>
        </w:rPr>
      </w:pPr>
      <w:r>
        <w:rPr>
          <w:rFonts w:ascii="Arial" w:hAnsi="Arial" w:cs="Arial"/>
          <w:b/>
          <w:bCs/>
          <w:sz w:val="20"/>
          <w:szCs w:val="20"/>
        </w:rPr>
        <w:t>Tabla No. 13 Cifras en Millones</w:t>
      </w:r>
    </w:p>
    <w:tbl>
      <w:tblPr>
        <w:tblW w:w="7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9"/>
        <w:gridCol w:w="4313"/>
      </w:tblGrid>
      <w:tr w:rsidR="005A730B" w14:paraId="5E00A8B6" w14:textId="77777777" w:rsidTr="005A730B">
        <w:trPr>
          <w:trHeight w:val="277"/>
          <w:tblHeader/>
          <w:jc w:val="center"/>
        </w:trPr>
        <w:tc>
          <w:tcPr>
            <w:tcW w:w="3579"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1212DF18" w14:textId="77777777" w:rsidR="005A730B" w:rsidRDefault="005A730B">
            <w:pP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lastRenderedPageBreak/>
              <w:t xml:space="preserve">Contratación Gestión 2021 SGP </w:t>
            </w:r>
          </w:p>
        </w:tc>
        <w:tc>
          <w:tcPr>
            <w:tcW w:w="4313"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79055E54" w14:textId="77777777" w:rsidR="005A730B" w:rsidRDefault="005A730B">
            <w:pPr>
              <w:jc w:val="right"/>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VALOR FINAL DEL CONTRATO</w:t>
            </w:r>
          </w:p>
        </w:tc>
      </w:tr>
      <w:tr w:rsidR="005A730B" w14:paraId="7AB1050D" w14:textId="77777777" w:rsidTr="005A730B">
        <w:trPr>
          <w:trHeight w:val="277"/>
          <w:jc w:val="center"/>
        </w:trPr>
        <w:tc>
          <w:tcPr>
            <w:tcW w:w="3579" w:type="dxa"/>
            <w:tcBorders>
              <w:top w:val="single" w:sz="4" w:space="0" w:color="auto"/>
              <w:left w:val="single" w:sz="4" w:space="0" w:color="auto"/>
              <w:bottom w:val="single" w:sz="4" w:space="0" w:color="auto"/>
              <w:right w:val="single" w:sz="4" w:space="0" w:color="auto"/>
            </w:tcBorders>
            <w:noWrap/>
            <w:vAlign w:val="bottom"/>
            <w:hideMark/>
          </w:tcPr>
          <w:p w14:paraId="5A55330B" w14:textId="77777777" w:rsidR="005A730B" w:rsidRDefault="005A730B">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GESTION DE LA SALUD PÚBLICA</w:t>
            </w:r>
          </w:p>
        </w:tc>
        <w:tc>
          <w:tcPr>
            <w:tcW w:w="4313" w:type="dxa"/>
            <w:tcBorders>
              <w:top w:val="single" w:sz="4" w:space="0" w:color="auto"/>
              <w:left w:val="single" w:sz="4" w:space="0" w:color="auto"/>
              <w:bottom w:val="single" w:sz="4" w:space="0" w:color="auto"/>
              <w:right w:val="single" w:sz="4" w:space="0" w:color="auto"/>
            </w:tcBorders>
            <w:noWrap/>
            <w:vAlign w:val="bottom"/>
            <w:hideMark/>
          </w:tcPr>
          <w:p w14:paraId="1194208A" w14:textId="77777777" w:rsidR="005A730B" w:rsidRDefault="005A730B">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$5.706,36</w:t>
            </w:r>
          </w:p>
        </w:tc>
      </w:tr>
      <w:tr w:rsidR="005A730B" w14:paraId="402E8D0D" w14:textId="77777777" w:rsidTr="005A730B">
        <w:trPr>
          <w:trHeight w:val="277"/>
          <w:jc w:val="center"/>
        </w:trPr>
        <w:tc>
          <w:tcPr>
            <w:tcW w:w="3579" w:type="dxa"/>
            <w:tcBorders>
              <w:top w:val="single" w:sz="4" w:space="0" w:color="auto"/>
              <w:left w:val="single" w:sz="4" w:space="0" w:color="auto"/>
              <w:bottom w:val="single" w:sz="4" w:space="0" w:color="auto"/>
              <w:right w:val="single" w:sz="4" w:space="0" w:color="auto"/>
            </w:tcBorders>
            <w:noWrap/>
            <w:vAlign w:val="bottom"/>
            <w:hideMark/>
          </w:tcPr>
          <w:p w14:paraId="741BC964" w14:textId="77777777" w:rsidR="005A730B" w:rsidRDefault="005A730B">
            <w:pPr>
              <w:ind w:firstLineChars="100" w:firstLine="181"/>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CONTRATACIÓN DIRECTA</w:t>
            </w:r>
          </w:p>
        </w:tc>
        <w:tc>
          <w:tcPr>
            <w:tcW w:w="4313" w:type="dxa"/>
            <w:tcBorders>
              <w:top w:val="single" w:sz="4" w:space="0" w:color="auto"/>
              <w:left w:val="single" w:sz="4" w:space="0" w:color="auto"/>
              <w:bottom w:val="single" w:sz="4" w:space="0" w:color="auto"/>
              <w:right w:val="single" w:sz="4" w:space="0" w:color="auto"/>
            </w:tcBorders>
            <w:noWrap/>
            <w:vAlign w:val="bottom"/>
            <w:hideMark/>
          </w:tcPr>
          <w:p w14:paraId="690A0354" w14:textId="77777777" w:rsidR="005A730B" w:rsidRDefault="005A730B">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$5.587,47</w:t>
            </w:r>
          </w:p>
        </w:tc>
      </w:tr>
      <w:tr w:rsidR="005A730B" w14:paraId="3F7DC7CA" w14:textId="77777777" w:rsidTr="005A730B">
        <w:trPr>
          <w:trHeight w:val="277"/>
          <w:jc w:val="center"/>
        </w:trPr>
        <w:tc>
          <w:tcPr>
            <w:tcW w:w="3579" w:type="dxa"/>
            <w:tcBorders>
              <w:top w:val="single" w:sz="4" w:space="0" w:color="auto"/>
              <w:left w:val="single" w:sz="4" w:space="0" w:color="auto"/>
              <w:bottom w:val="single" w:sz="4" w:space="0" w:color="auto"/>
              <w:right w:val="single" w:sz="4" w:space="0" w:color="auto"/>
            </w:tcBorders>
            <w:noWrap/>
            <w:vAlign w:val="bottom"/>
            <w:hideMark/>
          </w:tcPr>
          <w:p w14:paraId="54E5F5E7" w14:textId="77777777" w:rsidR="005A730B" w:rsidRDefault="005A730B">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PRESTACIÓN DE SERVICIOS</w:t>
            </w:r>
          </w:p>
        </w:tc>
        <w:tc>
          <w:tcPr>
            <w:tcW w:w="4313" w:type="dxa"/>
            <w:tcBorders>
              <w:top w:val="single" w:sz="4" w:space="0" w:color="auto"/>
              <w:left w:val="single" w:sz="4" w:space="0" w:color="auto"/>
              <w:bottom w:val="single" w:sz="4" w:space="0" w:color="auto"/>
              <w:right w:val="single" w:sz="4" w:space="0" w:color="auto"/>
            </w:tcBorders>
            <w:noWrap/>
            <w:vAlign w:val="bottom"/>
            <w:hideMark/>
          </w:tcPr>
          <w:p w14:paraId="15177204"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$5.587,47</w:t>
            </w:r>
          </w:p>
        </w:tc>
      </w:tr>
      <w:tr w:rsidR="005A730B" w14:paraId="1EC83BE0" w14:textId="77777777" w:rsidTr="005A730B">
        <w:trPr>
          <w:trHeight w:val="277"/>
          <w:jc w:val="center"/>
        </w:trPr>
        <w:tc>
          <w:tcPr>
            <w:tcW w:w="3579" w:type="dxa"/>
            <w:tcBorders>
              <w:top w:val="single" w:sz="4" w:space="0" w:color="auto"/>
              <w:left w:val="single" w:sz="4" w:space="0" w:color="auto"/>
              <w:bottom w:val="single" w:sz="4" w:space="0" w:color="auto"/>
              <w:right w:val="single" w:sz="4" w:space="0" w:color="auto"/>
            </w:tcBorders>
            <w:noWrap/>
            <w:vAlign w:val="bottom"/>
            <w:hideMark/>
          </w:tcPr>
          <w:p w14:paraId="57665D09" w14:textId="77777777" w:rsidR="005A730B" w:rsidRDefault="005A730B">
            <w:pPr>
              <w:ind w:firstLineChars="100" w:firstLine="181"/>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MÍNIMA CUANTÍA</w:t>
            </w:r>
          </w:p>
        </w:tc>
        <w:tc>
          <w:tcPr>
            <w:tcW w:w="4313" w:type="dxa"/>
            <w:tcBorders>
              <w:top w:val="single" w:sz="4" w:space="0" w:color="auto"/>
              <w:left w:val="single" w:sz="4" w:space="0" w:color="auto"/>
              <w:bottom w:val="single" w:sz="4" w:space="0" w:color="auto"/>
              <w:right w:val="single" w:sz="4" w:space="0" w:color="auto"/>
            </w:tcBorders>
            <w:noWrap/>
            <w:vAlign w:val="bottom"/>
            <w:hideMark/>
          </w:tcPr>
          <w:p w14:paraId="0D0BF525" w14:textId="77777777" w:rsidR="005A730B" w:rsidRDefault="005A730B">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$118,89</w:t>
            </w:r>
          </w:p>
        </w:tc>
      </w:tr>
      <w:tr w:rsidR="005A730B" w14:paraId="629E283E" w14:textId="77777777" w:rsidTr="005A730B">
        <w:trPr>
          <w:trHeight w:val="277"/>
          <w:jc w:val="center"/>
        </w:trPr>
        <w:tc>
          <w:tcPr>
            <w:tcW w:w="3579" w:type="dxa"/>
            <w:tcBorders>
              <w:top w:val="single" w:sz="4" w:space="0" w:color="auto"/>
              <w:left w:val="single" w:sz="4" w:space="0" w:color="auto"/>
              <w:bottom w:val="single" w:sz="4" w:space="0" w:color="auto"/>
              <w:right w:val="single" w:sz="4" w:space="0" w:color="auto"/>
            </w:tcBorders>
            <w:noWrap/>
            <w:vAlign w:val="bottom"/>
            <w:hideMark/>
          </w:tcPr>
          <w:p w14:paraId="02ADB308" w14:textId="77777777" w:rsidR="005A730B" w:rsidRDefault="005A730B">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PRESTACIÓN DE SERVICIOS</w:t>
            </w:r>
          </w:p>
        </w:tc>
        <w:tc>
          <w:tcPr>
            <w:tcW w:w="4313" w:type="dxa"/>
            <w:tcBorders>
              <w:top w:val="single" w:sz="4" w:space="0" w:color="auto"/>
              <w:left w:val="single" w:sz="4" w:space="0" w:color="auto"/>
              <w:bottom w:val="single" w:sz="4" w:space="0" w:color="auto"/>
              <w:right w:val="single" w:sz="4" w:space="0" w:color="auto"/>
            </w:tcBorders>
            <w:noWrap/>
            <w:vAlign w:val="bottom"/>
            <w:hideMark/>
          </w:tcPr>
          <w:p w14:paraId="5CB9E54A" w14:textId="77777777" w:rsidR="005A730B" w:rsidRDefault="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$118,89</w:t>
            </w:r>
          </w:p>
        </w:tc>
      </w:tr>
      <w:tr w:rsidR="005A730B" w14:paraId="2277AA4A" w14:textId="77777777" w:rsidTr="005A730B">
        <w:trPr>
          <w:trHeight w:val="277"/>
          <w:jc w:val="center"/>
        </w:trPr>
        <w:tc>
          <w:tcPr>
            <w:tcW w:w="3579"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687AB3A1" w14:textId="77777777" w:rsidR="005A730B" w:rsidRDefault="005A730B">
            <w:pPr>
              <w:rPr>
                <w:rFonts w:ascii="Arial" w:eastAsia="Times New Roman" w:hAnsi="Arial" w:cs="Arial"/>
                <w:b/>
                <w:bCs/>
                <w:color w:val="FFFFFF" w:themeColor="background1"/>
                <w:sz w:val="18"/>
                <w:szCs w:val="18"/>
                <w:lang w:val="es-CO" w:eastAsia="es-CO"/>
              </w:rPr>
            </w:pPr>
            <w:proofErr w:type="gramStart"/>
            <w:r>
              <w:rPr>
                <w:rFonts w:ascii="Arial" w:eastAsia="Times New Roman" w:hAnsi="Arial" w:cs="Arial"/>
                <w:b/>
                <w:bCs/>
                <w:color w:val="FFFFFF" w:themeColor="background1"/>
                <w:sz w:val="18"/>
                <w:szCs w:val="18"/>
                <w:lang w:val="es-CO" w:eastAsia="es-CO"/>
              </w:rPr>
              <w:t>Total</w:t>
            </w:r>
            <w:proofErr w:type="gramEnd"/>
            <w:r>
              <w:rPr>
                <w:rFonts w:ascii="Arial" w:eastAsia="Times New Roman" w:hAnsi="Arial" w:cs="Arial"/>
                <w:b/>
                <w:bCs/>
                <w:color w:val="FFFFFF" w:themeColor="background1"/>
                <w:sz w:val="18"/>
                <w:szCs w:val="18"/>
                <w:lang w:val="es-CO" w:eastAsia="es-CO"/>
              </w:rPr>
              <w:t xml:space="preserve"> general</w:t>
            </w:r>
          </w:p>
        </w:tc>
        <w:tc>
          <w:tcPr>
            <w:tcW w:w="4313"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bottom"/>
            <w:hideMark/>
          </w:tcPr>
          <w:p w14:paraId="464A10EA" w14:textId="77777777" w:rsidR="005A730B" w:rsidRDefault="005A730B">
            <w:pPr>
              <w:jc w:val="right"/>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$5.706,36</w:t>
            </w:r>
          </w:p>
        </w:tc>
      </w:tr>
    </w:tbl>
    <w:p w14:paraId="63CCA515" w14:textId="77777777" w:rsidR="005A730B" w:rsidRDefault="005A730B" w:rsidP="005A730B">
      <w:pPr>
        <w:jc w:val="center"/>
        <w:rPr>
          <w:rFonts w:ascii="Arial" w:hAnsi="Arial" w:cs="Arial"/>
          <w:sz w:val="16"/>
          <w:szCs w:val="16"/>
        </w:rPr>
      </w:pPr>
      <w:r>
        <w:rPr>
          <w:rFonts w:ascii="Arial" w:hAnsi="Arial" w:cs="Arial"/>
          <w:sz w:val="16"/>
          <w:szCs w:val="16"/>
        </w:rPr>
        <w:t>Fuente: DAF con información de la Entidad Territorial</w:t>
      </w:r>
    </w:p>
    <w:p w14:paraId="3CE60C6B" w14:textId="77777777" w:rsidR="005A730B" w:rsidRDefault="005A730B" w:rsidP="005A730B">
      <w:pPr>
        <w:jc w:val="both"/>
        <w:rPr>
          <w:rFonts w:ascii="Arial" w:hAnsi="Arial" w:cs="Arial"/>
          <w:bCs/>
          <w:sz w:val="21"/>
          <w:szCs w:val="21"/>
        </w:rPr>
      </w:pPr>
    </w:p>
    <w:p w14:paraId="60772D06" w14:textId="77777777" w:rsidR="005A730B" w:rsidRDefault="005A730B" w:rsidP="005A730B">
      <w:pPr>
        <w:jc w:val="both"/>
        <w:rPr>
          <w:rFonts w:ascii="Arial" w:hAnsi="Arial" w:cs="Arial"/>
          <w:bCs/>
          <w:sz w:val="21"/>
          <w:szCs w:val="21"/>
        </w:rPr>
      </w:pPr>
      <w:r>
        <w:rPr>
          <w:rFonts w:ascii="Arial" w:hAnsi="Arial" w:cs="Arial"/>
          <w:bCs/>
          <w:sz w:val="21"/>
          <w:szCs w:val="21"/>
        </w:rPr>
        <w:t>Se identificaron 185 contratos de la vigencia 2021, por valor de $5.706 millones con recursos del SGP, los cuales se pudieron verificar en la plataforma de contratación SECOP II, con el enlace enviado por la Entidad. De manera aleatoria se tomó una muestra de quince (15) contratos, de los cuales se pudo corroborar que catorce (14) corresponden a las posibilidades de gasto establecidos en la normatividad vigente frente el uso de los recursos del SGP Salud Pública y uno (1) en el que el objeto contractual, no se encuentra permitido, los contratos son:</w:t>
      </w:r>
    </w:p>
    <w:p w14:paraId="57073C4F" w14:textId="77777777" w:rsidR="005A730B" w:rsidRDefault="005A730B" w:rsidP="005A730B">
      <w:pPr>
        <w:jc w:val="both"/>
        <w:rPr>
          <w:rFonts w:ascii="Arial" w:hAnsi="Arial" w:cs="Arial"/>
          <w:bCs/>
          <w:sz w:val="21"/>
          <w:szCs w:val="21"/>
        </w:rPr>
      </w:pPr>
    </w:p>
    <w:p w14:paraId="4BA18993"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Tabla No. 14</w:t>
      </w:r>
    </w:p>
    <w:p w14:paraId="0F27B54E" w14:textId="77777777" w:rsidR="005A730B" w:rsidRDefault="005A730B" w:rsidP="005A730B">
      <w:pPr>
        <w:jc w:val="both"/>
        <w:rPr>
          <w:rFonts w:ascii="Arial" w:hAnsi="Arial" w:cs="Arial"/>
          <w:bCs/>
          <w:sz w:val="21"/>
          <w:szCs w:val="21"/>
        </w:rPr>
      </w:pPr>
      <w:r>
        <w:rPr>
          <w:rFonts w:ascii="Arial" w:hAnsi="Arial" w:cs="Arial"/>
          <w:noProof/>
          <w:sz w:val="21"/>
          <w:szCs w:val="21"/>
          <w:lang w:val="es-CO" w:eastAsia="es-CO"/>
        </w:rPr>
        <w:drawing>
          <wp:inline distT="0" distB="0" distL="0" distR="0" wp14:anchorId="08492EE9" wp14:editId="7A9942BC">
            <wp:extent cx="5619750"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0" cy="3219450"/>
                    </a:xfrm>
                    <a:prstGeom prst="rect">
                      <a:avLst/>
                    </a:prstGeom>
                    <a:noFill/>
                    <a:ln>
                      <a:noFill/>
                    </a:ln>
                  </pic:spPr>
                </pic:pic>
              </a:graphicData>
            </a:graphic>
          </wp:inline>
        </w:drawing>
      </w:r>
    </w:p>
    <w:p w14:paraId="01633034" w14:textId="77777777" w:rsidR="005A730B" w:rsidRDefault="005A730B" w:rsidP="005A730B">
      <w:pPr>
        <w:jc w:val="center"/>
        <w:rPr>
          <w:rFonts w:ascii="Arial" w:hAnsi="Arial" w:cs="Arial"/>
          <w:bCs/>
          <w:sz w:val="16"/>
          <w:szCs w:val="16"/>
        </w:rPr>
      </w:pPr>
      <w:r>
        <w:rPr>
          <w:rFonts w:ascii="Arial" w:hAnsi="Arial" w:cs="Arial"/>
          <w:bCs/>
          <w:sz w:val="16"/>
          <w:szCs w:val="16"/>
        </w:rPr>
        <w:t>Fuente: requerimiento 14 A Entidad Territorial. - valores en pesos.</w:t>
      </w:r>
    </w:p>
    <w:p w14:paraId="553CFD93" w14:textId="77777777" w:rsidR="005A730B" w:rsidRDefault="005A730B" w:rsidP="005A730B">
      <w:pPr>
        <w:jc w:val="both"/>
        <w:rPr>
          <w:rFonts w:ascii="Arial" w:hAnsi="Arial" w:cs="Arial"/>
          <w:bCs/>
          <w:sz w:val="21"/>
          <w:szCs w:val="21"/>
        </w:rPr>
      </w:pPr>
    </w:p>
    <w:p w14:paraId="1FD8E392" w14:textId="77777777" w:rsidR="005A730B" w:rsidRDefault="005A730B" w:rsidP="005A730B">
      <w:pPr>
        <w:jc w:val="both"/>
        <w:rPr>
          <w:rFonts w:ascii="Arial" w:hAnsi="Arial" w:cs="Arial"/>
          <w:bCs/>
          <w:sz w:val="21"/>
          <w:szCs w:val="21"/>
        </w:rPr>
      </w:pPr>
      <w:r>
        <w:rPr>
          <w:rFonts w:ascii="Arial" w:hAnsi="Arial" w:cs="Arial"/>
          <w:bCs/>
          <w:sz w:val="21"/>
          <w:szCs w:val="21"/>
        </w:rPr>
        <w:t>De la revisión aleatoria de los contratos reportados por la Entidad se validó el Contrato No. 20210000043 que tiene como objeto “</w:t>
      </w:r>
      <w:r>
        <w:rPr>
          <w:rFonts w:ascii="Arial" w:hAnsi="Arial" w:cs="Arial"/>
          <w:bCs/>
          <w:i/>
          <w:iCs/>
          <w:sz w:val="21"/>
          <w:szCs w:val="21"/>
        </w:rPr>
        <w:t xml:space="preserve">Prestar los servicios como operador logístico para garantizar la presencialidad de los pueblos indígenas en la mesa de concertación permanente en el marco de la formulación/concertación del plan de intervenciones colectivas 2022 con enfoque </w:t>
      </w:r>
      <w:proofErr w:type="spellStart"/>
      <w:r>
        <w:rPr>
          <w:rFonts w:ascii="Arial" w:hAnsi="Arial" w:cs="Arial"/>
          <w:bCs/>
          <w:i/>
          <w:iCs/>
          <w:sz w:val="21"/>
          <w:szCs w:val="21"/>
        </w:rPr>
        <w:t>etnocultural</w:t>
      </w:r>
      <w:proofErr w:type="spellEnd"/>
      <w:r>
        <w:rPr>
          <w:rFonts w:ascii="Arial" w:hAnsi="Arial" w:cs="Arial"/>
          <w:bCs/>
          <w:i/>
          <w:iCs/>
          <w:sz w:val="21"/>
          <w:szCs w:val="21"/>
        </w:rPr>
        <w:t xml:space="preserve"> en el departamento de Caquetá, de acuerdo a los lineamientos nacionales vigentes en la materia</w:t>
      </w:r>
      <w:r>
        <w:rPr>
          <w:rFonts w:ascii="Arial" w:hAnsi="Arial" w:cs="Arial"/>
          <w:bCs/>
          <w:sz w:val="21"/>
          <w:szCs w:val="21"/>
        </w:rPr>
        <w:t>”; el cual, de acuerdo con relación de contratos presentada por la Entidad Territorial fue financiado con fuente SGP - Salud Pública. No obstante, a partir de la consulta de los documentos publicados en el SECOP se identificó que la fuente de financiación del citado Contrato en el Certificado de Disponibilidad Presupuestal (CDP 2021101265), correspondió a Otros Aportes o Transferencia de la Nación.</w:t>
      </w:r>
    </w:p>
    <w:p w14:paraId="5E9F1DF2" w14:textId="77777777" w:rsidR="005A730B" w:rsidRDefault="005A730B" w:rsidP="005A730B">
      <w:pPr>
        <w:jc w:val="both"/>
        <w:rPr>
          <w:rFonts w:ascii="Arial" w:hAnsi="Arial" w:cs="Arial"/>
          <w:bCs/>
          <w:sz w:val="21"/>
          <w:szCs w:val="21"/>
        </w:rPr>
      </w:pPr>
    </w:p>
    <w:p w14:paraId="194CB8D0" w14:textId="77777777" w:rsidR="005A730B" w:rsidRDefault="005A730B" w:rsidP="005A730B">
      <w:pPr>
        <w:jc w:val="both"/>
        <w:rPr>
          <w:rFonts w:ascii="Arial" w:hAnsi="Arial" w:cs="Arial"/>
          <w:bCs/>
          <w:sz w:val="21"/>
          <w:szCs w:val="21"/>
        </w:rPr>
      </w:pPr>
      <w:r>
        <w:rPr>
          <w:rFonts w:ascii="Arial" w:hAnsi="Arial" w:cs="Arial"/>
          <w:bCs/>
          <w:sz w:val="21"/>
          <w:szCs w:val="21"/>
        </w:rPr>
        <w:t>Por otro lado, se identificó el Contrato No 20210000029 por valor de $47.120.000, cuyo objeto consistió en “</w:t>
      </w:r>
      <w:r>
        <w:rPr>
          <w:rFonts w:ascii="Arial" w:hAnsi="Arial" w:cs="Arial"/>
          <w:bCs/>
          <w:i/>
          <w:iCs/>
          <w:sz w:val="21"/>
          <w:szCs w:val="21"/>
        </w:rPr>
        <w:t>Suministro a precios unitarios y monto agotable de insumos y elementos de papelería, para la operación del fondo rotatorio de estupefacientes y el desarrollo de estrategias implementadas desde la dirección técnica de salud pública, adscritos a la secretaría de salud departamental, específicamente en lo relacionado a objetivos asociadas medidas de prevención y control en salud ambiental</w:t>
      </w:r>
      <w:r>
        <w:rPr>
          <w:rFonts w:ascii="Arial" w:hAnsi="Arial" w:cs="Arial"/>
          <w:bCs/>
          <w:sz w:val="21"/>
          <w:szCs w:val="21"/>
        </w:rPr>
        <w:t>”, financiado con recursos del SGP - Salud Pública y recursos propios de conformidad con el CDP No 2021050620 en el que se detalla la fuente SGP como “</w:t>
      </w:r>
      <w:r>
        <w:rPr>
          <w:rFonts w:ascii="Arial" w:hAnsi="Arial" w:cs="Arial"/>
          <w:bCs/>
          <w:i/>
          <w:iCs/>
          <w:sz w:val="21"/>
          <w:szCs w:val="21"/>
        </w:rPr>
        <w:t>1G260SGP SALUD ONCE DOCEAVAS VIGENCIA</w:t>
      </w:r>
      <w:r>
        <w:rPr>
          <w:rFonts w:ascii="Arial" w:hAnsi="Arial" w:cs="Arial"/>
          <w:bCs/>
          <w:sz w:val="21"/>
          <w:szCs w:val="21"/>
        </w:rPr>
        <w:t>” por $12.120.000, recurso con los que se realizó la compra de mapas de georreferenciación y carnets de vacunación, los cuales no están autorizados.</w:t>
      </w:r>
    </w:p>
    <w:p w14:paraId="2F5ACC9E" w14:textId="77777777" w:rsidR="005A730B" w:rsidRDefault="005A730B" w:rsidP="005A730B">
      <w:pPr>
        <w:jc w:val="both"/>
        <w:rPr>
          <w:rFonts w:ascii="Arial" w:hAnsi="Arial" w:cs="Arial"/>
          <w:bCs/>
          <w:sz w:val="21"/>
          <w:szCs w:val="21"/>
        </w:rPr>
      </w:pPr>
    </w:p>
    <w:p w14:paraId="4968A70F" w14:textId="77777777" w:rsidR="005A730B" w:rsidRDefault="005A730B" w:rsidP="005A730B">
      <w:pPr>
        <w:jc w:val="both"/>
        <w:rPr>
          <w:rFonts w:ascii="Arial" w:hAnsi="Arial" w:cs="Arial"/>
          <w:bCs/>
          <w:sz w:val="21"/>
          <w:szCs w:val="21"/>
        </w:rPr>
      </w:pPr>
      <w:r>
        <w:rPr>
          <w:rFonts w:ascii="Arial" w:hAnsi="Arial" w:cs="Arial"/>
          <w:bCs/>
          <w:sz w:val="21"/>
          <w:szCs w:val="21"/>
        </w:rPr>
        <w:t>Para la contención de la pandemia derivada del COVID 19 se realizaron veintiséis (26) contratos en la vigencia 2021, enmarcados principalmente en el Programa Ampliado de Inmunizaciones - PAI, comprometiendo recursos del SGP - Salud Pública por $718.5 millones. Ahora, al revisar la ejecución presupuestal, en la cuenta GESTIÓN DEL RIESGO EN ENFERMEDADES INMUNOPREVENIBLES – PAI, se evidencian compromisos por $1.335 millones, obligaciones $806 millones y pagos por $793 millones, valores que difieren con la base entregada por la Entidad Territorial, por lo que se puede concluir que no se reportaron la totalidad de los contratos elaborados en el marco del PAI.</w:t>
      </w:r>
    </w:p>
    <w:p w14:paraId="4EDDC63C" w14:textId="77777777" w:rsidR="005A730B" w:rsidRDefault="005A730B" w:rsidP="005A730B">
      <w:pPr>
        <w:jc w:val="both"/>
        <w:rPr>
          <w:rFonts w:ascii="Arial" w:hAnsi="Arial" w:cs="Arial"/>
          <w:bCs/>
          <w:sz w:val="21"/>
          <w:szCs w:val="21"/>
        </w:rPr>
      </w:pPr>
    </w:p>
    <w:p w14:paraId="2D0AD932" w14:textId="77777777" w:rsidR="005A730B" w:rsidRDefault="005A730B" w:rsidP="005A730B">
      <w:pPr>
        <w:jc w:val="both"/>
        <w:rPr>
          <w:rFonts w:ascii="Arial" w:hAnsi="Arial" w:cs="Arial"/>
          <w:bCs/>
          <w:sz w:val="21"/>
          <w:szCs w:val="21"/>
        </w:rPr>
      </w:pPr>
      <w:r>
        <w:rPr>
          <w:rFonts w:ascii="Arial" w:hAnsi="Arial" w:cs="Arial"/>
          <w:bCs/>
          <w:sz w:val="21"/>
          <w:szCs w:val="21"/>
        </w:rPr>
        <w:t>En cuanto a la información relacionada con los gastos de funcionamiento, se observa en la base de datos una asignación de recursos para pago de nómina en el marco del programa de CONDICIONES ENDEMO-EPIDEMICAS, por valor de $1.723 millones, con fuente de financiación TRANSFERENCIA NACIONAL ETV, en la que se evidencia como forma de pago “UNICO PAGO”, correspondiente a nómina.</w:t>
      </w:r>
    </w:p>
    <w:p w14:paraId="143B0E23" w14:textId="77777777" w:rsidR="005A730B" w:rsidRDefault="005A730B" w:rsidP="005A730B">
      <w:pPr>
        <w:jc w:val="both"/>
        <w:rPr>
          <w:rFonts w:ascii="Arial" w:hAnsi="Arial" w:cs="Arial"/>
          <w:bCs/>
          <w:sz w:val="21"/>
          <w:szCs w:val="21"/>
        </w:rPr>
      </w:pPr>
    </w:p>
    <w:p w14:paraId="389A0651" w14:textId="77777777" w:rsidR="005A730B" w:rsidRDefault="005A730B" w:rsidP="005A730B">
      <w:pPr>
        <w:jc w:val="both"/>
        <w:rPr>
          <w:rFonts w:ascii="Arial" w:hAnsi="Arial" w:cs="Arial"/>
          <w:bCs/>
          <w:sz w:val="21"/>
          <w:szCs w:val="21"/>
        </w:rPr>
      </w:pPr>
      <w:r>
        <w:rPr>
          <w:rFonts w:ascii="Arial" w:hAnsi="Arial" w:cs="Arial"/>
          <w:bCs/>
          <w:sz w:val="21"/>
          <w:szCs w:val="21"/>
        </w:rPr>
        <w:t>Como resultado del análisis contractual se evidenció la contratación de personal por periodos cortos (4 a 6 meses) los cuales, al finalizar, fueron modificados o se le generan nuevos contratos con el mismo objeto contractual, situación que muestra problemas en la planeación, como se muestra en el siguiente cuadro:</w:t>
      </w:r>
    </w:p>
    <w:p w14:paraId="07F134B6" w14:textId="77777777" w:rsidR="005A730B" w:rsidRDefault="005A730B" w:rsidP="005A730B">
      <w:pPr>
        <w:jc w:val="both"/>
        <w:rPr>
          <w:rFonts w:ascii="Arial" w:hAnsi="Arial" w:cs="Arial"/>
          <w:bCs/>
          <w:sz w:val="21"/>
          <w:szCs w:val="21"/>
        </w:rPr>
      </w:pPr>
    </w:p>
    <w:p w14:paraId="4B7FD114" w14:textId="77777777" w:rsidR="005A730B" w:rsidRDefault="005A730B" w:rsidP="005A730B">
      <w:pPr>
        <w:pStyle w:val="Default"/>
        <w:jc w:val="center"/>
        <w:rPr>
          <w:rFonts w:eastAsia="MS Mincho"/>
          <w:b/>
          <w:color w:val="auto"/>
          <w:sz w:val="20"/>
          <w:szCs w:val="20"/>
          <w:lang w:val="es-ES" w:eastAsia="es-ES"/>
        </w:rPr>
      </w:pPr>
      <w:r>
        <w:rPr>
          <w:rFonts w:eastAsia="MS Mincho"/>
          <w:b/>
          <w:color w:val="auto"/>
          <w:sz w:val="20"/>
          <w:szCs w:val="20"/>
          <w:lang w:val="es-ES" w:eastAsia="es-ES"/>
        </w:rPr>
        <w:t>Tabla No. 15</w:t>
      </w:r>
    </w:p>
    <w:tbl>
      <w:tblPr>
        <w:tblW w:w="8583" w:type="dxa"/>
        <w:tblCellMar>
          <w:left w:w="70" w:type="dxa"/>
          <w:right w:w="70" w:type="dxa"/>
        </w:tblCellMar>
        <w:tblLook w:val="04A0" w:firstRow="1" w:lastRow="0" w:firstColumn="1" w:lastColumn="0" w:noHBand="0" w:noVBand="1"/>
      </w:tblPr>
      <w:tblGrid>
        <w:gridCol w:w="2937"/>
        <w:gridCol w:w="2559"/>
        <w:gridCol w:w="3087"/>
      </w:tblGrid>
      <w:tr w:rsidR="005A730B" w14:paraId="21F3ECA3" w14:textId="77777777" w:rsidTr="005A730B">
        <w:trPr>
          <w:trHeight w:val="424"/>
          <w:tblHeader/>
        </w:trPr>
        <w:tc>
          <w:tcPr>
            <w:tcW w:w="2937" w:type="dxa"/>
            <w:tcBorders>
              <w:top w:val="single" w:sz="8" w:space="0" w:color="auto"/>
              <w:left w:val="single" w:sz="8" w:space="0" w:color="auto"/>
              <w:bottom w:val="nil"/>
              <w:right w:val="single" w:sz="4" w:space="0" w:color="auto"/>
            </w:tcBorders>
            <w:shd w:val="clear" w:color="auto" w:fill="2F75B5"/>
            <w:noWrap/>
            <w:vAlign w:val="center"/>
            <w:hideMark/>
          </w:tcPr>
          <w:p w14:paraId="0184D77E"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No. DE CONTRATO / ACTO ADMINISTRATIVO*1</w:t>
            </w:r>
          </w:p>
        </w:tc>
        <w:tc>
          <w:tcPr>
            <w:tcW w:w="2559" w:type="dxa"/>
            <w:tcBorders>
              <w:top w:val="single" w:sz="4" w:space="0" w:color="auto"/>
              <w:left w:val="single" w:sz="4" w:space="0" w:color="auto"/>
              <w:bottom w:val="nil"/>
              <w:right w:val="single" w:sz="4" w:space="0" w:color="auto"/>
            </w:tcBorders>
            <w:shd w:val="clear" w:color="auto" w:fill="2F75B5"/>
            <w:noWrap/>
            <w:vAlign w:val="center"/>
            <w:hideMark/>
          </w:tcPr>
          <w:p w14:paraId="604BAD7A"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FECHA DE SUSCRIPCIÓN</w:t>
            </w:r>
          </w:p>
        </w:tc>
        <w:tc>
          <w:tcPr>
            <w:tcW w:w="3087" w:type="dxa"/>
            <w:tcBorders>
              <w:top w:val="single" w:sz="4" w:space="0" w:color="auto"/>
              <w:left w:val="nil"/>
              <w:bottom w:val="nil"/>
              <w:right w:val="single" w:sz="4" w:space="0" w:color="auto"/>
            </w:tcBorders>
            <w:shd w:val="clear" w:color="auto" w:fill="2F75B5"/>
            <w:noWrap/>
            <w:vAlign w:val="center"/>
            <w:hideMark/>
          </w:tcPr>
          <w:p w14:paraId="524AFDB5"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CONTRATISTA</w:t>
            </w:r>
          </w:p>
        </w:tc>
      </w:tr>
      <w:tr w:rsidR="005A730B" w14:paraId="4FCC303D" w14:textId="77777777" w:rsidTr="005A730B">
        <w:trPr>
          <w:trHeight w:val="331"/>
        </w:trPr>
        <w:tc>
          <w:tcPr>
            <w:tcW w:w="2937" w:type="dxa"/>
            <w:tcBorders>
              <w:top w:val="nil"/>
              <w:left w:val="single" w:sz="4" w:space="0" w:color="000000"/>
              <w:bottom w:val="single" w:sz="4" w:space="0" w:color="000000"/>
              <w:right w:val="nil"/>
            </w:tcBorders>
            <w:shd w:val="clear" w:color="auto" w:fill="FFFFFF"/>
            <w:vAlign w:val="center"/>
            <w:hideMark/>
          </w:tcPr>
          <w:p w14:paraId="25C9E190"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202000000913</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4CDF1B9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263163BE"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MARTHA LILIANA LEON LOPEZ</w:t>
            </w:r>
          </w:p>
        </w:tc>
      </w:tr>
      <w:tr w:rsidR="005A730B" w14:paraId="7F14CEEC" w14:textId="77777777" w:rsidTr="005A730B">
        <w:trPr>
          <w:trHeight w:val="295"/>
        </w:trPr>
        <w:tc>
          <w:tcPr>
            <w:tcW w:w="2937" w:type="dxa"/>
            <w:tcBorders>
              <w:top w:val="nil"/>
              <w:left w:val="single" w:sz="4" w:space="0" w:color="000000"/>
              <w:bottom w:val="single" w:sz="4" w:space="0" w:color="000000"/>
              <w:right w:val="nil"/>
            </w:tcBorders>
            <w:shd w:val="clear" w:color="auto" w:fill="FFFFFF"/>
            <w:vAlign w:val="center"/>
            <w:hideMark/>
          </w:tcPr>
          <w:p w14:paraId="6763612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202100000442</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6A943DC9"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27/07/2021</w:t>
            </w:r>
          </w:p>
        </w:tc>
        <w:tc>
          <w:tcPr>
            <w:tcW w:w="3087" w:type="dxa"/>
            <w:tcBorders>
              <w:top w:val="nil"/>
              <w:left w:val="nil"/>
              <w:bottom w:val="single" w:sz="4" w:space="0" w:color="auto"/>
              <w:right w:val="single" w:sz="4" w:space="0" w:color="auto"/>
            </w:tcBorders>
            <w:shd w:val="clear" w:color="auto" w:fill="FFFFFF"/>
            <w:noWrap/>
            <w:vAlign w:val="center"/>
            <w:hideMark/>
          </w:tcPr>
          <w:p w14:paraId="54132F92"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MARTHA LILIANA LEON LOPEZ</w:t>
            </w:r>
          </w:p>
        </w:tc>
      </w:tr>
      <w:tr w:rsidR="005A730B" w14:paraId="6091B18E" w14:textId="77777777" w:rsidTr="005A730B">
        <w:trPr>
          <w:trHeight w:val="420"/>
        </w:trPr>
        <w:tc>
          <w:tcPr>
            <w:tcW w:w="2937" w:type="dxa"/>
            <w:tcBorders>
              <w:top w:val="nil"/>
              <w:left w:val="single" w:sz="4" w:space="0" w:color="000000"/>
              <w:bottom w:val="single" w:sz="4" w:space="0" w:color="000000"/>
              <w:right w:val="nil"/>
            </w:tcBorders>
            <w:shd w:val="clear" w:color="auto" w:fill="FFFFFF"/>
            <w:vAlign w:val="center"/>
            <w:hideMark/>
          </w:tcPr>
          <w:p w14:paraId="5C534099"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202000000948</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00E21A0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7D0C6BD4"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NELLY JOHANNA BOCANEGRA CAMACHO</w:t>
            </w:r>
          </w:p>
        </w:tc>
      </w:tr>
      <w:tr w:rsidR="005A730B" w14:paraId="0E58379B" w14:textId="77777777" w:rsidTr="005A730B">
        <w:trPr>
          <w:trHeight w:val="247"/>
        </w:trPr>
        <w:tc>
          <w:tcPr>
            <w:tcW w:w="2937" w:type="dxa"/>
            <w:tcBorders>
              <w:top w:val="nil"/>
              <w:left w:val="single" w:sz="4" w:space="0" w:color="000000"/>
              <w:bottom w:val="single" w:sz="4" w:space="0" w:color="000000"/>
              <w:right w:val="nil"/>
            </w:tcBorders>
            <w:shd w:val="clear" w:color="auto" w:fill="FFFFFF"/>
            <w:vAlign w:val="center"/>
            <w:hideMark/>
          </w:tcPr>
          <w:p w14:paraId="50557E9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202100000481</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7AE70155"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17/08/2021</w:t>
            </w:r>
          </w:p>
        </w:tc>
        <w:tc>
          <w:tcPr>
            <w:tcW w:w="3087" w:type="dxa"/>
            <w:tcBorders>
              <w:top w:val="nil"/>
              <w:left w:val="nil"/>
              <w:bottom w:val="single" w:sz="4" w:space="0" w:color="auto"/>
              <w:right w:val="single" w:sz="4" w:space="0" w:color="auto"/>
            </w:tcBorders>
            <w:shd w:val="clear" w:color="auto" w:fill="FFFFFF"/>
            <w:noWrap/>
            <w:vAlign w:val="center"/>
            <w:hideMark/>
          </w:tcPr>
          <w:p w14:paraId="0B2B11D8"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NELLY JOHANNA BOCANEGRA CAMACHO</w:t>
            </w:r>
          </w:p>
        </w:tc>
      </w:tr>
      <w:tr w:rsidR="005A730B" w14:paraId="55609E1B" w14:textId="77777777" w:rsidTr="005A730B">
        <w:trPr>
          <w:trHeight w:val="334"/>
        </w:trPr>
        <w:tc>
          <w:tcPr>
            <w:tcW w:w="2937" w:type="dxa"/>
            <w:tcBorders>
              <w:top w:val="nil"/>
              <w:left w:val="single" w:sz="4" w:space="0" w:color="000000"/>
              <w:bottom w:val="single" w:sz="4" w:space="0" w:color="000000"/>
              <w:right w:val="nil"/>
            </w:tcBorders>
            <w:shd w:val="clear" w:color="auto" w:fill="FFFFFF"/>
            <w:vAlign w:val="center"/>
            <w:hideMark/>
          </w:tcPr>
          <w:p w14:paraId="6959E84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202000000926</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39301999"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0552D276"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NESTOR JAVIER SALAS DURAN</w:t>
            </w:r>
          </w:p>
        </w:tc>
      </w:tr>
      <w:tr w:rsidR="005A730B" w14:paraId="453B724E" w14:textId="77777777" w:rsidTr="005A730B">
        <w:trPr>
          <w:trHeight w:val="291"/>
        </w:trPr>
        <w:tc>
          <w:tcPr>
            <w:tcW w:w="2937" w:type="dxa"/>
            <w:tcBorders>
              <w:top w:val="nil"/>
              <w:left w:val="single" w:sz="4" w:space="0" w:color="000000"/>
              <w:bottom w:val="single" w:sz="4" w:space="0" w:color="000000"/>
              <w:right w:val="nil"/>
            </w:tcBorders>
            <w:shd w:val="clear" w:color="auto" w:fill="FFFFFF"/>
            <w:vAlign w:val="center"/>
            <w:hideMark/>
          </w:tcPr>
          <w:p w14:paraId="769E5636"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202100000433</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335E3EBE"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27/07/2021</w:t>
            </w:r>
          </w:p>
        </w:tc>
        <w:tc>
          <w:tcPr>
            <w:tcW w:w="3087" w:type="dxa"/>
            <w:tcBorders>
              <w:top w:val="nil"/>
              <w:left w:val="nil"/>
              <w:bottom w:val="single" w:sz="4" w:space="0" w:color="auto"/>
              <w:right w:val="single" w:sz="4" w:space="0" w:color="auto"/>
            </w:tcBorders>
            <w:shd w:val="clear" w:color="auto" w:fill="FFFFFF"/>
            <w:noWrap/>
            <w:vAlign w:val="center"/>
            <w:hideMark/>
          </w:tcPr>
          <w:p w14:paraId="4199D2DE"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NESTOR JAVIER SALAS DURAN</w:t>
            </w:r>
          </w:p>
        </w:tc>
      </w:tr>
      <w:tr w:rsidR="005A730B" w14:paraId="774D1D15" w14:textId="77777777" w:rsidTr="005A730B">
        <w:trPr>
          <w:trHeight w:val="319"/>
        </w:trPr>
        <w:tc>
          <w:tcPr>
            <w:tcW w:w="2937" w:type="dxa"/>
            <w:tcBorders>
              <w:top w:val="nil"/>
              <w:left w:val="single" w:sz="4" w:space="0" w:color="000000"/>
              <w:bottom w:val="single" w:sz="4" w:space="0" w:color="000000"/>
              <w:right w:val="nil"/>
            </w:tcBorders>
            <w:shd w:val="clear" w:color="auto" w:fill="FFFFFF"/>
            <w:vAlign w:val="center"/>
            <w:hideMark/>
          </w:tcPr>
          <w:p w14:paraId="149CE425"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202000000949</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61E90FB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450BF89B"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OMAIRA ANTE RAMOS</w:t>
            </w:r>
          </w:p>
        </w:tc>
      </w:tr>
      <w:tr w:rsidR="005A730B" w14:paraId="74D5F471" w14:textId="77777777" w:rsidTr="005A730B">
        <w:trPr>
          <w:trHeight w:val="311"/>
        </w:trPr>
        <w:tc>
          <w:tcPr>
            <w:tcW w:w="2937" w:type="dxa"/>
            <w:tcBorders>
              <w:top w:val="nil"/>
              <w:left w:val="single" w:sz="4" w:space="0" w:color="000000"/>
              <w:bottom w:val="single" w:sz="4" w:space="0" w:color="000000"/>
              <w:right w:val="nil"/>
            </w:tcBorders>
            <w:shd w:val="clear" w:color="auto" w:fill="FFFFFF"/>
            <w:vAlign w:val="center"/>
            <w:hideMark/>
          </w:tcPr>
          <w:p w14:paraId="6461B97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202100000480</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141520C4"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17/08/2021</w:t>
            </w:r>
          </w:p>
        </w:tc>
        <w:tc>
          <w:tcPr>
            <w:tcW w:w="3087" w:type="dxa"/>
            <w:tcBorders>
              <w:top w:val="nil"/>
              <w:left w:val="nil"/>
              <w:bottom w:val="single" w:sz="4" w:space="0" w:color="auto"/>
              <w:right w:val="single" w:sz="4" w:space="0" w:color="auto"/>
            </w:tcBorders>
            <w:shd w:val="clear" w:color="auto" w:fill="FFFFFF"/>
            <w:noWrap/>
            <w:vAlign w:val="center"/>
            <w:hideMark/>
          </w:tcPr>
          <w:p w14:paraId="0996AF76"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OMAIRA ANTE RAMOS</w:t>
            </w:r>
          </w:p>
        </w:tc>
      </w:tr>
      <w:tr w:rsidR="005A730B" w14:paraId="3CBABEE5" w14:textId="77777777" w:rsidTr="005A730B">
        <w:trPr>
          <w:trHeight w:val="272"/>
        </w:trPr>
        <w:tc>
          <w:tcPr>
            <w:tcW w:w="2937" w:type="dxa"/>
            <w:tcBorders>
              <w:top w:val="nil"/>
              <w:left w:val="single" w:sz="4" w:space="0" w:color="000000"/>
              <w:bottom w:val="single" w:sz="4" w:space="0" w:color="000000"/>
              <w:right w:val="nil"/>
            </w:tcBorders>
            <w:shd w:val="clear" w:color="auto" w:fill="FFFFFF"/>
            <w:vAlign w:val="center"/>
            <w:hideMark/>
          </w:tcPr>
          <w:p w14:paraId="4F0F843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202000000960</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214F306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7601C3A0"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WILLAN LOZADA CARVAJAL</w:t>
            </w:r>
          </w:p>
        </w:tc>
      </w:tr>
      <w:tr w:rsidR="005A730B" w14:paraId="384F5BB5" w14:textId="77777777" w:rsidTr="005A730B">
        <w:trPr>
          <w:trHeight w:val="310"/>
        </w:trPr>
        <w:tc>
          <w:tcPr>
            <w:tcW w:w="2937" w:type="dxa"/>
            <w:tcBorders>
              <w:top w:val="nil"/>
              <w:left w:val="single" w:sz="4" w:space="0" w:color="000000"/>
              <w:bottom w:val="single" w:sz="4" w:space="0" w:color="000000"/>
              <w:right w:val="nil"/>
            </w:tcBorders>
            <w:shd w:val="clear" w:color="auto" w:fill="FFFFFF"/>
            <w:vAlign w:val="center"/>
            <w:hideMark/>
          </w:tcPr>
          <w:p w14:paraId="633A3513"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202100000504</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4B130A98"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6/09/2021</w:t>
            </w:r>
          </w:p>
        </w:tc>
        <w:tc>
          <w:tcPr>
            <w:tcW w:w="3087" w:type="dxa"/>
            <w:tcBorders>
              <w:top w:val="nil"/>
              <w:left w:val="nil"/>
              <w:bottom w:val="single" w:sz="4" w:space="0" w:color="auto"/>
              <w:right w:val="single" w:sz="4" w:space="0" w:color="auto"/>
            </w:tcBorders>
            <w:shd w:val="clear" w:color="auto" w:fill="FFFFFF"/>
            <w:noWrap/>
            <w:vAlign w:val="center"/>
            <w:hideMark/>
          </w:tcPr>
          <w:p w14:paraId="348A4A40"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WILLAN LOZADA CARVAJAL</w:t>
            </w:r>
          </w:p>
        </w:tc>
      </w:tr>
      <w:tr w:rsidR="005A730B" w14:paraId="142624EA" w14:textId="77777777" w:rsidTr="005A730B">
        <w:trPr>
          <w:trHeight w:val="194"/>
        </w:trPr>
        <w:tc>
          <w:tcPr>
            <w:tcW w:w="2937" w:type="dxa"/>
            <w:tcBorders>
              <w:top w:val="nil"/>
              <w:left w:val="single" w:sz="4" w:space="0" w:color="000000"/>
              <w:bottom w:val="single" w:sz="4" w:space="0" w:color="000000"/>
              <w:right w:val="nil"/>
            </w:tcBorders>
            <w:shd w:val="clear" w:color="auto" w:fill="FFFFFF"/>
            <w:vAlign w:val="center"/>
            <w:hideMark/>
          </w:tcPr>
          <w:p w14:paraId="577DFC27"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202000000910</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173F565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73E0DA5D"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YAMILETH PAEZ PULIDO</w:t>
            </w:r>
          </w:p>
        </w:tc>
      </w:tr>
      <w:tr w:rsidR="005A730B" w14:paraId="6A5C490B" w14:textId="77777777" w:rsidTr="005A730B">
        <w:trPr>
          <w:trHeight w:val="264"/>
        </w:trPr>
        <w:tc>
          <w:tcPr>
            <w:tcW w:w="2937" w:type="dxa"/>
            <w:tcBorders>
              <w:top w:val="nil"/>
              <w:left w:val="single" w:sz="4" w:space="0" w:color="000000"/>
              <w:bottom w:val="single" w:sz="4" w:space="0" w:color="000000"/>
              <w:right w:val="nil"/>
            </w:tcBorders>
            <w:shd w:val="clear" w:color="auto" w:fill="FFFFFF"/>
            <w:vAlign w:val="center"/>
            <w:hideMark/>
          </w:tcPr>
          <w:p w14:paraId="1662D3B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202100000435</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685FE6FE"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27/07/2021</w:t>
            </w:r>
          </w:p>
        </w:tc>
        <w:tc>
          <w:tcPr>
            <w:tcW w:w="3087" w:type="dxa"/>
            <w:tcBorders>
              <w:top w:val="nil"/>
              <w:left w:val="nil"/>
              <w:bottom w:val="single" w:sz="4" w:space="0" w:color="auto"/>
              <w:right w:val="single" w:sz="4" w:space="0" w:color="auto"/>
            </w:tcBorders>
            <w:shd w:val="clear" w:color="auto" w:fill="FFFFFF"/>
            <w:noWrap/>
            <w:vAlign w:val="center"/>
            <w:hideMark/>
          </w:tcPr>
          <w:p w14:paraId="422D993B"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YAMILETH PAEZ PULIDO</w:t>
            </w:r>
          </w:p>
        </w:tc>
      </w:tr>
      <w:tr w:rsidR="005A730B" w14:paraId="06F4B83F" w14:textId="77777777" w:rsidTr="005A730B">
        <w:trPr>
          <w:trHeight w:val="313"/>
        </w:trPr>
        <w:tc>
          <w:tcPr>
            <w:tcW w:w="2937" w:type="dxa"/>
            <w:tcBorders>
              <w:top w:val="nil"/>
              <w:left w:val="single" w:sz="4" w:space="0" w:color="000000"/>
              <w:bottom w:val="single" w:sz="4" w:space="0" w:color="000000"/>
              <w:right w:val="nil"/>
            </w:tcBorders>
            <w:shd w:val="clear" w:color="auto" w:fill="FFFFFF"/>
            <w:vAlign w:val="center"/>
            <w:hideMark/>
          </w:tcPr>
          <w:p w14:paraId="716B1850"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lastRenderedPageBreak/>
              <w:t>202000000923</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3490B5CA"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28/12/2020</w:t>
            </w:r>
          </w:p>
        </w:tc>
        <w:tc>
          <w:tcPr>
            <w:tcW w:w="3087" w:type="dxa"/>
            <w:tcBorders>
              <w:top w:val="nil"/>
              <w:left w:val="nil"/>
              <w:bottom w:val="single" w:sz="4" w:space="0" w:color="auto"/>
              <w:right w:val="single" w:sz="4" w:space="0" w:color="auto"/>
            </w:tcBorders>
            <w:shd w:val="clear" w:color="auto" w:fill="FFFFFF"/>
            <w:noWrap/>
            <w:vAlign w:val="center"/>
            <w:hideMark/>
          </w:tcPr>
          <w:p w14:paraId="2E9AE29F"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YOICESMID SANCHEZ CHACON</w:t>
            </w:r>
          </w:p>
        </w:tc>
      </w:tr>
      <w:tr w:rsidR="005A730B" w14:paraId="2BEDC2C8" w14:textId="77777777" w:rsidTr="005A730B">
        <w:trPr>
          <w:trHeight w:val="293"/>
        </w:trPr>
        <w:tc>
          <w:tcPr>
            <w:tcW w:w="2937" w:type="dxa"/>
            <w:tcBorders>
              <w:top w:val="nil"/>
              <w:left w:val="single" w:sz="4" w:space="0" w:color="000000"/>
              <w:bottom w:val="single" w:sz="4" w:space="0" w:color="000000"/>
              <w:right w:val="nil"/>
            </w:tcBorders>
            <w:shd w:val="clear" w:color="auto" w:fill="FFFFFF"/>
            <w:vAlign w:val="center"/>
            <w:hideMark/>
          </w:tcPr>
          <w:p w14:paraId="754CEB20"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202100000443</w:t>
            </w:r>
          </w:p>
        </w:tc>
        <w:tc>
          <w:tcPr>
            <w:tcW w:w="2559" w:type="dxa"/>
            <w:tcBorders>
              <w:top w:val="nil"/>
              <w:left w:val="single" w:sz="4" w:space="0" w:color="auto"/>
              <w:bottom w:val="single" w:sz="4" w:space="0" w:color="auto"/>
              <w:right w:val="single" w:sz="4" w:space="0" w:color="auto"/>
            </w:tcBorders>
            <w:shd w:val="clear" w:color="auto" w:fill="FFFFFF"/>
            <w:noWrap/>
            <w:vAlign w:val="center"/>
            <w:hideMark/>
          </w:tcPr>
          <w:p w14:paraId="22E52B34"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27/07/2021</w:t>
            </w:r>
          </w:p>
        </w:tc>
        <w:tc>
          <w:tcPr>
            <w:tcW w:w="3087" w:type="dxa"/>
            <w:tcBorders>
              <w:top w:val="nil"/>
              <w:left w:val="nil"/>
              <w:bottom w:val="single" w:sz="4" w:space="0" w:color="auto"/>
              <w:right w:val="single" w:sz="4" w:space="0" w:color="auto"/>
            </w:tcBorders>
            <w:shd w:val="clear" w:color="auto" w:fill="FFFFFF"/>
            <w:noWrap/>
            <w:vAlign w:val="center"/>
            <w:hideMark/>
          </w:tcPr>
          <w:p w14:paraId="4CB7380A" w14:textId="77777777" w:rsidR="005A730B" w:rsidRDefault="005A730B">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YOICESMID SANCHEZ CHACON</w:t>
            </w:r>
          </w:p>
        </w:tc>
      </w:tr>
    </w:tbl>
    <w:p w14:paraId="5B5642C1" w14:textId="77777777" w:rsidR="005A730B" w:rsidRDefault="005A730B" w:rsidP="005A730B">
      <w:pPr>
        <w:jc w:val="center"/>
        <w:rPr>
          <w:rFonts w:ascii="Arial" w:hAnsi="Arial" w:cs="Arial"/>
          <w:bCs/>
          <w:sz w:val="16"/>
          <w:szCs w:val="16"/>
        </w:rPr>
      </w:pPr>
      <w:r>
        <w:rPr>
          <w:rFonts w:ascii="Arial" w:hAnsi="Arial" w:cs="Arial"/>
          <w:sz w:val="16"/>
          <w:szCs w:val="16"/>
        </w:rPr>
        <w:t>Fuente: DAF con información de la Entidad Territorial.</w:t>
      </w:r>
    </w:p>
    <w:p w14:paraId="174BC6A0" w14:textId="77777777" w:rsidR="005A730B" w:rsidRDefault="005A730B" w:rsidP="005A730B">
      <w:pPr>
        <w:jc w:val="both"/>
        <w:rPr>
          <w:rFonts w:ascii="Arial" w:hAnsi="Arial" w:cs="Arial"/>
          <w:b/>
          <w:bCs/>
          <w:sz w:val="21"/>
          <w:szCs w:val="21"/>
        </w:rPr>
      </w:pPr>
    </w:p>
    <w:p w14:paraId="510F99CD" w14:textId="77777777" w:rsidR="005A730B" w:rsidRDefault="005A730B" w:rsidP="005A730B">
      <w:pPr>
        <w:pStyle w:val="Prrafodelista"/>
        <w:numPr>
          <w:ilvl w:val="1"/>
          <w:numId w:val="19"/>
        </w:numPr>
        <w:jc w:val="both"/>
        <w:rPr>
          <w:rFonts w:ascii="Arial" w:hAnsi="Arial" w:cs="Arial"/>
          <w:b/>
          <w:sz w:val="21"/>
          <w:szCs w:val="21"/>
        </w:rPr>
      </w:pPr>
      <w:r>
        <w:rPr>
          <w:rFonts w:ascii="Arial" w:hAnsi="Arial" w:cs="Arial"/>
          <w:b/>
          <w:sz w:val="21"/>
          <w:szCs w:val="21"/>
        </w:rPr>
        <w:t xml:space="preserve"> Red de laboratorios y laboratorios en Salud Pública.</w:t>
      </w:r>
    </w:p>
    <w:p w14:paraId="5E8C37B8" w14:textId="77777777" w:rsidR="005A730B" w:rsidRDefault="005A730B" w:rsidP="005A730B">
      <w:pPr>
        <w:jc w:val="both"/>
        <w:rPr>
          <w:rFonts w:ascii="Arial" w:hAnsi="Arial" w:cs="Arial"/>
          <w:sz w:val="21"/>
          <w:szCs w:val="21"/>
        </w:rPr>
      </w:pPr>
    </w:p>
    <w:p w14:paraId="44427D69" w14:textId="77777777" w:rsidR="005A730B" w:rsidRDefault="005A730B" w:rsidP="005A730B">
      <w:pPr>
        <w:jc w:val="both"/>
        <w:rPr>
          <w:rFonts w:ascii="Arial" w:hAnsi="Arial" w:cs="Arial"/>
          <w:bCs/>
          <w:sz w:val="21"/>
          <w:szCs w:val="21"/>
        </w:rPr>
      </w:pPr>
      <w:r>
        <w:rPr>
          <w:rFonts w:ascii="Arial" w:hAnsi="Arial" w:cs="Arial"/>
          <w:bCs/>
          <w:sz w:val="21"/>
          <w:szCs w:val="21"/>
        </w:rPr>
        <w:t>Con fundamento en lo previsto por el artículo 13 del Decreto 2323 de 2006 a saber “</w:t>
      </w:r>
      <w:r>
        <w:rPr>
          <w:rFonts w:ascii="Arial" w:hAnsi="Arial" w:cs="Arial"/>
          <w:bCs/>
          <w:i/>
          <w:iCs/>
          <w:sz w:val="21"/>
          <w:szCs w:val="21"/>
        </w:rPr>
        <w:t>Los departamentos y el distrito capital crearán Comités Técnicos en sus respectivas jurisdicciones, integrados por representantes regionales de los distintos sectores involucrados en el desarrollo de la Red</w:t>
      </w:r>
      <w:r>
        <w:rPr>
          <w:rFonts w:ascii="Arial" w:hAnsi="Arial" w:cs="Arial"/>
          <w:bCs/>
          <w:sz w:val="21"/>
          <w:szCs w:val="21"/>
        </w:rPr>
        <w:t xml:space="preserve">”; a partir de la información suministrada por la Entidad Territorial se evidenció el incumplimiento a lo allí dispuesto; toda vez que, manifiesta frente a las obligaciones de la Red Pública de laboratorios que; </w:t>
      </w:r>
      <w:r>
        <w:rPr>
          <w:rFonts w:ascii="Arial Narrow" w:hAnsi="Arial Narrow"/>
          <w:iCs/>
          <w:sz w:val="22"/>
          <w:szCs w:val="22"/>
        </w:rPr>
        <w:t>“</w:t>
      </w:r>
      <w:r>
        <w:rPr>
          <w:rFonts w:ascii="Arial Narrow" w:hAnsi="Arial Narrow"/>
          <w:i/>
          <w:sz w:val="22"/>
          <w:szCs w:val="22"/>
        </w:rPr>
        <w:t>[</w:t>
      </w:r>
      <w:r>
        <w:rPr>
          <w:rFonts w:ascii="Arial Narrow" w:hAnsi="Arial Narrow"/>
          <w:iCs/>
          <w:sz w:val="22"/>
          <w:szCs w:val="22"/>
        </w:rPr>
        <w:t>…</w:t>
      </w:r>
      <w:r>
        <w:rPr>
          <w:rFonts w:ascii="Arial Narrow" w:hAnsi="Arial Narrow"/>
          <w:i/>
          <w:sz w:val="22"/>
          <w:szCs w:val="22"/>
        </w:rPr>
        <w:t>] la Secretaría de Salud Departamental aún no tiene conformado el comité técnico departamental, debido a que el Laboratorio de Salud Pública se encuentra en un proceso de transición a la modernización</w:t>
      </w:r>
      <w:r>
        <w:rPr>
          <w:rFonts w:ascii="Arial" w:hAnsi="Arial" w:cs="Arial"/>
          <w:bCs/>
          <w:i/>
          <w:sz w:val="21"/>
          <w:szCs w:val="21"/>
        </w:rPr>
        <w:t>”,</w:t>
      </w:r>
      <w:r>
        <w:rPr>
          <w:rFonts w:ascii="Arial" w:hAnsi="Arial" w:cs="Arial"/>
          <w:bCs/>
          <w:sz w:val="21"/>
          <w:szCs w:val="21"/>
        </w:rPr>
        <w:t xml:space="preserve"> situación que impacta el adecuado funcionamiento de la Red Nacional de Laboratorios en el ámbito departamental toda vez que limita las funciones que tendría dicho Comité frente a brindar asesoría y apoyo a las secretarías de salud departamentales o distritales en la adopción e implementación de los lineamientos dados por el nivel nacional para la Red Nacional de Laboratorios; proponer mecanismos que permitan mejorar el funcionamiento del Laboratorio de Salud Pública en consonancia con las normas técnicas y administrativas que establezca el Ministerio de Salud y Protección Social; recomendar la formulación de planes, programas y proyectos destinados a garantizar la gestión y operación de la Red de Laboratorios en su jurisdicción, de acuerdo con los lineamientos nacionales; orientar la toma de decisiones con base en información generada por la Red de Laboratorios de su jurisdicción y promover la realización de alianzas estratégicas intersectoriales en su jurisdicción.</w:t>
      </w:r>
    </w:p>
    <w:p w14:paraId="45D210BE" w14:textId="77777777" w:rsidR="005A730B" w:rsidRDefault="005A730B" w:rsidP="005A730B">
      <w:pPr>
        <w:jc w:val="both"/>
        <w:rPr>
          <w:rFonts w:ascii="Arial" w:hAnsi="Arial" w:cs="Arial"/>
          <w:sz w:val="21"/>
          <w:szCs w:val="21"/>
        </w:rPr>
      </w:pPr>
    </w:p>
    <w:p w14:paraId="26D91C92" w14:textId="77777777" w:rsidR="005A730B" w:rsidRDefault="005A730B" w:rsidP="005A730B">
      <w:pPr>
        <w:jc w:val="both"/>
        <w:rPr>
          <w:rFonts w:ascii="Arial" w:hAnsi="Arial" w:cs="Arial"/>
          <w:bCs/>
          <w:sz w:val="21"/>
          <w:szCs w:val="21"/>
        </w:rPr>
      </w:pPr>
      <w:r>
        <w:rPr>
          <w:rFonts w:ascii="Arial" w:hAnsi="Arial" w:cs="Arial"/>
          <w:bCs/>
          <w:sz w:val="21"/>
          <w:szCs w:val="21"/>
        </w:rPr>
        <w:t>De otro lado, frente al cumplimiento de lo establecido en el Decreto 2323 de 2006 y la Resolución 1619 de 2015, conforme al documento “</w:t>
      </w:r>
      <w:r>
        <w:rPr>
          <w:rFonts w:ascii="Arial" w:hAnsi="Arial" w:cs="Arial"/>
          <w:bCs/>
          <w:i/>
          <w:iCs/>
          <w:sz w:val="21"/>
          <w:szCs w:val="21"/>
        </w:rPr>
        <w:t>Diagnóstico de los Laboratorios de Salud Pública de Colombia, Vigencia 2020</w:t>
      </w:r>
      <w:r>
        <w:rPr>
          <w:rFonts w:ascii="Arial" w:hAnsi="Arial" w:cs="Arial"/>
          <w:bCs/>
          <w:sz w:val="21"/>
          <w:szCs w:val="21"/>
        </w:rPr>
        <w:t>” del Ministerio de Salud y Protección Social, el Laboratorio de Salud Pública del Departamento de Caquetá incumple los siguientes Estándares de Calidad en Salud Pública - ECS que el Instituto Nacional de Salud - INS y del Instituto Nacional de Vigilancia de Medicamentos y Alimentos - INVIMA han determinado, así como también los componentes misionales y las capacidades básicas que ha definido el Ministerio de Salud y Protección Social:</w:t>
      </w:r>
    </w:p>
    <w:p w14:paraId="7229D4D1" w14:textId="77777777" w:rsidR="005A730B" w:rsidRDefault="005A730B" w:rsidP="005A730B">
      <w:pPr>
        <w:jc w:val="both"/>
        <w:rPr>
          <w:rFonts w:ascii="Arial" w:hAnsi="Arial" w:cs="Arial"/>
          <w:bCs/>
          <w:sz w:val="21"/>
          <w:szCs w:val="21"/>
        </w:rPr>
      </w:pPr>
    </w:p>
    <w:p w14:paraId="49D65694" w14:textId="77777777" w:rsidR="005A730B" w:rsidRDefault="005A730B" w:rsidP="005A730B">
      <w:pPr>
        <w:jc w:val="center"/>
        <w:rPr>
          <w:rFonts w:ascii="Arial" w:hAnsi="Arial" w:cs="Arial"/>
          <w:b/>
          <w:bCs/>
          <w:sz w:val="20"/>
          <w:szCs w:val="20"/>
        </w:rPr>
      </w:pPr>
      <w:r>
        <w:rPr>
          <w:rFonts w:ascii="Arial" w:hAnsi="Arial" w:cs="Arial"/>
          <w:b/>
          <w:bCs/>
          <w:sz w:val="20"/>
          <w:szCs w:val="20"/>
        </w:rPr>
        <w:t>Tabla No. 16</w:t>
      </w:r>
    </w:p>
    <w:p w14:paraId="3EC440F6" w14:textId="77777777" w:rsidR="005A730B" w:rsidRDefault="005A730B" w:rsidP="005A730B">
      <w:pPr>
        <w:jc w:val="center"/>
        <w:rPr>
          <w:rFonts w:ascii="Arial" w:hAnsi="Arial" w:cs="Arial"/>
          <w:b/>
          <w:bCs/>
          <w:sz w:val="20"/>
          <w:szCs w:val="20"/>
        </w:rPr>
      </w:pPr>
      <w:r>
        <w:rPr>
          <w:rFonts w:ascii="Arial" w:hAnsi="Arial" w:cs="Arial"/>
          <w:b/>
          <w:bCs/>
          <w:sz w:val="20"/>
          <w:szCs w:val="20"/>
        </w:rPr>
        <w:t>EVALUACIÓN DE ESTÁNDARES DE CALIDAD DEL LABORATORIO DE SALUD PÚBLICA.</w:t>
      </w:r>
    </w:p>
    <w:tbl>
      <w:tblPr>
        <w:tblW w:w="8868" w:type="dxa"/>
        <w:tblLook w:val="04A0" w:firstRow="1" w:lastRow="0" w:firstColumn="1" w:lastColumn="0" w:noHBand="0" w:noVBand="1"/>
      </w:tblPr>
      <w:tblGrid>
        <w:gridCol w:w="3473"/>
        <w:gridCol w:w="5395"/>
      </w:tblGrid>
      <w:tr w:rsidR="005A730B" w14:paraId="45E9FD5A" w14:textId="77777777" w:rsidTr="005A730B">
        <w:trPr>
          <w:trHeight w:val="268"/>
        </w:trPr>
        <w:tc>
          <w:tcPr>
            <w:tcW w:w="8868" w:type="dxa"/>
            <w:gridSpan w:val="2"/>
            <w:tcBorders>
              <w:top w:val="single" w:sz="8" w:space="0" w:color="auto"/>
              <w:left w:val="single" w:sz="8" w:space="0" w:color="auto"/>
              <w:bottom w:val="single" w:sz="4" w:space="0" w:color="auto"/>
              <w:right w:val="single" w:sz="8" w:space="0" w:color="000000"/>
            </w:tcBorders>
            <w:shd w:val="clear" w:color="auto" w:fill="1F4E78"/>
            <w:tcMar>
              <w:top w:w="15" w:type="dxa"/>
              <w:left w:w="15" w:type="dxa"/>
              <w:bottom w:w="15" w:type="dxa"/>
              <w:right w:w="15" w:type="dxa"/>
            </w:tcMar>
            <w:vAlign w:val="center"/>
            <w:hideMark/>
          </w:tcPr>
          <w:p w14:paraId="09FCE501"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rPr>
              <w:t>Evaluación de Estándares de Calidad</w:t>
            </w:r>
          </w:p>
        </w:tc>
      </w:tr>
      <w:tr w:rsidR="005A730B" w14:paraId="3DC4054D" w14:textId="77777777" w:rsidTr="005A730B">
        <w:trPr>
          <w:trHeight w:val="268"/>
        </w:trPr>
        <w:tc>
          <w:tcPr>
            <w:tcW w:w="3473" w:type="dxa"/>
            <w:tcBorders>
              <w:top w:val="single" w:sz="4" w:space="0" w:color="auto"/>
              <w:left w:val="single" w:sz="8" w:space="0" w:color="auto"/>
              <w:bottom w:val="single" w:sz="4" w:space="0" w:color="auto"/>
              <w:right w:val="single" w:sz="4" w:space="0" w:color="auto"/>
            </w:tcBorders>
            <w:tcMar>
              <w:top w:w="15" w:type="dxa"/>
              <w:left w:w="15" w:type="dxa"/>
              <w:bottom w:w="15" w:type="dxa"/>
              <w:right w:w="15" w:type="dxa"/>
            </w:tcMar>
            <w:vAlign w:val="center"/>
            <w:hideMark/>
          </w:tcPr>
          <w:p w14:paraId="3CA9430E"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 xml:space="preserve">Evaluación calidad en SP por el INS </w:t>
            </w:r>
          </w:p>
        </w:tc>
        <w:tc>
          <w:tcPr>
            <w:tcW w:w="5394" w:type="dxa"/>
            <w:tcBorders>
              <w:top w:val="single" w:sz="4" w:space="0" w:color="auto"/>
              <w:left w:val="nil"/>
              <w:bottom w:val="single" w:sz="4" w:space="0" w:color="auto"/>
              <w:right w:val="single" w:sz="8" w:space="0" w:color="auto"/>
            </w:tcBorders>
            <w:shd w:val="clear" w:color="auto" w:fill="FFFF00"/>
            <w:tcMar>
              <w:top w:w="15" w:type="dxa"/>
              <w:left w:w="15" w:type="dxa"/>
              <w:bottom w:w="15" w:type="dxa"/>
              <w:right w:w="15" w:type="dxa"/>
            </w:tcMar>
            <w:vAlign w:val="center"/>
            <w:hideMark/>
          </w:tcPr>
          <w:p w14:paraId="447E565D"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PLAN DE MEJORAMIENTO</w:t>
            </w:r>
          </w:p>
        </w:tc>
      </w:tr>
      <w:tr w:rsidR="005A730B" w14:paraId="1398AB71" w14:textId="77777777" w:rsidTr="005A730B">
        <w:trPr>
          <w:trHeight w:val="268"/>
        </w:trPr>
        <w:tc>
          <w:tcPr>
            <w:tcW w:w="3473" w:type="dxa"/>
            <w:tcBorders>
              <w:top w:val="single" w:sz="4" w:space="0" w:color="auto"/>
              <w:left w:val="single" w:sz="8" w:space="0" w:color="auto"/>
              <w:bottom w:val="single" w:sz="8" w:space="0" w:color="auto"/>
              <w:right w:val="single" w:sz="4" w:space="0" w:color="auto"/>
            </w:tcBorders>
            <w:tcMar>
              <w:top w:w="15" w:type="dxa"/>
              <w:left w:w="15" w:type="dxa"/>
              <w:bottom w:w="15" w:type="dxa"/>
              <w:right w:w="15" w:type="dxa"/>
            </w:tcMar>
            <w:vAlign w:val="center"/>
            <w:hideMark/>
          </w:tcPr>
          <w:p w14:paraId="240C3ACF"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Evaluación de Calidad en SP por INVIMA</w:t>
            </w:r>
          </w:p>
        </w:tc>
        <w:tc>
          <w:tcPr>
            <w:tcW w:w="5394" w:type="dxa"/>
            <w:tcBorders>
              <w:top w:val="single" w:sz="4" w:space="0" w:color="auto"/>
              <w:left w:val="nil"/>
              <w:bottom w:val="single" w:sz="8" w:space="0" w:color="auto"/>
              <w:right w:val="single" w:sz="8" w:space="0" w:color="auto"/>
            </w:tcBorders>
            <w:shd w:val="clear" w:color="auto" w:fill="FFFF00"/>
            <w:tcMar>
              <w:top w:w="15" w:type="dxa"/>
              <w:left w:w="15" w:type="dxa"/>
              <w:bottom w:w="15" w:type="dxa"/>
              <w:right w:w="15" w:type="dxa"/>
            </w:tcMar>
            <w:vAlign w:val="center"/>
            <w:hideMark/>
          </w:tcPr>
          <w:p w14:paraId="0438D6E4"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PLAN DE MEJORAMIENTO</w:t>
            </w:r>
          </w:p>
        </w:tc>
      </w:tr>
    </w:tbl>
    <w:p w14:paraId="62F5D3E2" w14:textId="77777777" w:rsidR="005A730B" w:rsidRDefault="005A730B" w:rsidP="005A730B">
      <w:pPr>
        <w:jc w:val="center"/>
        <w:rPr>
          <w:rFonts w:ascii="Arial" w:hAnsi="Arial" w:cs="Arial"/>
          <w:sz w:val="16"/>
          <w:szCs w:val="16"/>
        </w:rPr>
      </w:pPr>
      <w:r>
        <w:rPr>
          <w:rFonts w:ascii="Arial" w:hAnsi="Arial" w:cs="Arial"/>
          <w:sz w:val="16"/>
          <w:szCs w:val="16"/>
        </w:rPr>
        <w:t>Fuente: elaboración Propia a partir de Diagnóstico de los Laboratorios de Salud Pública de Colombia.</w:t>
      </w:r>
    </w:p>
    <w:p w14:paraId="0BCE6A09" w14:textId="77777777" w:rsidR="005A730B" w:rsidRDefault="005A730B" w:rsidP="005A730B">
      <w:pPr>
        <w:rPr>
          <w:rFonts w:ascii="Arial" w:hAnsi="Arial" w:cs="Arial"/>
          <w:b/>
          <w:bCs/>
          <w:sz w:val="21"/>
          <w:szCs w:val="21"/>
        </w:rPr>
      </w:pPr>
      <w:r>
        <w:rPr>
          <w:rFonts w:ascii="Arial" w:hAnsi="Arial" w:cs="Arial"/>
          <w:b/>
          <w:bCs/>
          <w:sz w:val="21"/>
          <w:szCs w:val="21"/>
        </w:rPr>
        <w:br w:type="page"/>
      </w:r>
    </w:p>
    <w:p w14:paraId="08C68216" w14:textId="77777777" w:rsidR="005A730B" w:rsidRDefault="005A730B" w:rsidP="005A730B">
      <w:pPr>
        <w:jc w:val="center"/>
        <w:rPr>
          <w:rFonts w:ascii="Arial" w:hAnsi="Arial" w:cs="Arial"/>
          <w:b/>
          <w:bCs/>
          <w:sz w:val="20"/>
          <w:szCs w:val="20"/>
        </w:rPr>
      </w:pPr>
      <w:r>
        <w:rPr>
          <w:rFonts w:ascii="Arial" w:hAnsi="Arial" w:cs="Arial"/>
          <w:b/>
          <w:bCs/>
          <w:sz w:val="20"/>
          <w:szCs w:val="20"/>
        </w:rPr>
        <w:lastRenderedPageBreak/>
        <w:t>Tabla No. 17</w:t>
      </w:r>
    </w:p>
    <w:p w14:paraId="42793CEA" w14:textId="77777777" w:rsidR="005A730B" w:rsidRDefault="005A730B" w:rsidP="005A730B">
      <w:pPr>
        <w:jc w:val="center"/>
        <w:rPr>
          <w:rFonts w:ascii="Arial" w:hAnsi="Arial" w:cs="Arial"/>
          <w:b/>
          <w:bCs/>
          <w:sz w:val="20"/>
          <w:szCs w:val="20"/>
        </w:rPr>
      </w:pPr>
      <w:r>
        <w:rPr>
          <w:rFonts w:ascii="Arial" w:hAnsi="Arial" w:cs="Arial"/>
          <w:b/>
          <w:bCs/>
          <w:sz w:val="20"/>
          <w:szCs w:val="20"/>
        </w:rPr>
        <w:t>EVALUACIÓN DE COMPONENTES MISIONAL Y DE CAPACIDADES BÁSICAS.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841"/>
        <w:gridCol w:w="841"/>
        <w:gridCol w:w="1256"/>
        <w:gridCol w:w="1178"/>
        <w:gridCol w:w="822"/>
        <w:gridCol w:w="1024"/>
        <w:gridCol w:w="1187"/>
        <w:gridCol w:w="677"/>
      </w:tblGrid>
      <w:tr w:rsidR="005A730B" w14:paraId="075234A5" w14:textId="77777777" w:rsidTr="005A730B">
        <w:trPr>
          <w:trHeight w:val="215"/>
        </w:trPr>
        <w:tc>
          <w:tcPr>
            <w:tcW w:w="567" w:type="pct"/>
            <w:vMerge w:val="restar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4022BC51" w14:textId="77777777" w:rsidR="005A730B" w:rsidRDefault="005A730B">
            <w:pPr>
              <w:jc w:val="cente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rPr>
              <w:t>Laboratorio de Salud Publica</w:t>
            </w:r>
          </w:p>
        </w:tc>
        <w:tc>
          <w:tcPr>
            <w:tcW w:w="952" w:type="pct"/>
            <w:gridSpan w:val="2"/>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0F9F4B11" w14:textId="77777777" w:rsidR="005A730B" w:rsidRDefault="005A730B">
            <w:pPr>
              <w:jc w:val="center"/>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MISIONAL</w:t>
            </w:r>
          </w:p>
        </w:tc>
        <w:tc>
          <w:tcPr>
            <w:tcW w:w="3480" w:type="pct"/>
            <w:gridSpan w:val="6"/>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6D0F8445" w14:textId="77777777" w:rsidR="005A730B" w:rsidRDefault="005A730B">
            <w:pPr>
              <w:jc w:val="center"/>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CAPACIDADES BASICAS</w:t>
            </w:r>
          </w:p>
        </w:tc>
      </w:tr>
      <w:tr w:rsidR="005A730B" w14:paraId="6ABB2D12" w14:textId="77777777" w:rsidTr="005A730B">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A4EDE" w14:textId="77777777" w:rsidR="005A730B" w:rsidRDefault="005A730B">
            <w:pPr>
              <w:rPr>
                <w:rFonts w:ascii="Arial" w:eastAsia="Times New Roman" w:hAnsi="Arial" w:cs="Arial"/>
                <w:b/>
                <w:bCs/>
                <w:color w:val="FFFFFF" w:themeColor="background1"/>
                <w:sz w:val="18"/>
                <w:szCs w:val="18"/>
                <w:lang w:val="es-CO" w:eastAsia="es-CO"/>
              </w:rPr>
            </w:pPr>
          </w:p>
        </w:tc>
        <w:tc>
          <w:tcPr>
            <w:tcW w:w="476"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41708BF1" w14:textId="77777777" w:rsidR="005A730B" w:rsidRDefault="008F59B6">
            <w:pPr>
              <w:jc w:val="center"/>
              <w:rPr>
                <w:rFonts w:ascii="Arial" w:eastAsia="Times New Roman" w:hAnsi="Arial" w:cs="Arial"/>
                <w:b/>
                <w:bCs/>
                <w:color w:val="FFFFFF" w:themeColor="background1"/>
                <w:sz w:val="18"/>
                <w:szCs w:val="18"/>
                <w:u w:val="single"/>
              </w:rPr>
            </w:pPr>
            <w:hyperlink r:id="rId20" w:anchor="RANGE!_ftn3" w:history="1">
              <w:r w:rsidR="005A730B">
                <w:rPr>
                  <w:rStyle w:val="Hipervnculo"/>
                  <w:rFonts w:ascii="Arial" w:eastAsia="Times New Roman" w:hAnsi="Arial" w:cs="Arial"/>
                  <w:b/>
                  <w:bCs/>
                  <w:color w:val="FFFFFF" w:themeColor="background1"/>
                  <w:sz w:val="18"/>
                  <w:szCs w:val="18"/>
                </w:rPr>
                <w:t>Vigilancia en Salud Pública [3]</w:t>
              </w:r>
            </w:hyperlink>
          </w:p>
        </w:tc>
        <w:tc>
          <w:tcPr>
            <w:tcW w:w="476"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15B5689B" w14:textId="77777777" w:rsidR="005A730B" w:rsidRDefault="008F59B6">
            <w:pPr>
              <w:jc w:val="center"/>
              <w:rPr>
                <w:rFonts w:ascii="Arial" w:eastAsia="Times New Roman" w:hAnsi="Arial" w:cs="Arial"/>
                <w:b/>
                <w:bCs/>
                <w:color w:val="FFFFFF" w:themeColor="background1"/>
                <w:sz w:val="18"/>
                <w:szCs w:val="18"/>
                <w:u w:val="single"/>
              </w:rPr>
            </w:pPr>
            <w:hyperlink r:id="rId21" w:anchor="RANGE!_ftn4" w:history="1">
              <w:r w:rsidR="005A730B">
                <w:rPr>
                  <w:rStyle w:val="Hipervnculo"/>
                  <w:rFonts w:ascii="Arial" w:eastAsia="Times New Roman" w:hAnsi="Arial" w:cs="Arial"/>
                  <w:b/>
                  <w:bCs/>
                  <w:color w:val="FFFFFF" w:themeColor="background1"/>
                  <w:sz w:val="18"/>
                  <w:szCs w:val="18"/>
                </w:rPr>
                <w:t>Vigilancia Sanitaria [4]</w:t>
              </w:r>
            </w:hyperlink>
          </w:p>
        </w:tc>
        <w:tc>
          <w:tcPr>
            <w:tcW w:w="711"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6B7AC3CB" w14:textId="77777777" w:rsidR="005A730B" w:rsidRDefault="005A730B">
            <w:pPr>
              <w:jc w:val="center"/>
              <w:rPr>
                <w:rFonts w:ascii="Arial" w:eastAsia="Times New Roman" w:hAnsi="Arial" w:cs="Arial"/>
                <w:b/>
                <w:bCs/>
                <w:color w:val="FFFFFF" w:themeColor="background1"/>
                <w:sz w:val="18"/>
                <w:szCs w:val="18"/>
                <w:u w:val="single"/>
              </w:rPr>
            </w:pPr>
            <w:r>
              <w:rPr>
                <w:rFonts w:ascii="Arial" w:eastAsia="Times New Roman" w:hAnsi="Arial" w:cs="Arial"/>
                <w:b/>
                <w:bCs/>
                <w:color w:val="FFFFFF" w:themeColor="background1"/>
                <w:sz w:val="18"/>
                <w:szCs w:val="18"/>
                <w:u w:val="single"/>
              </w:rPr>
              <w:t>Infraestructura física</w:t>
            </w:r>
          </w:p>
        </w:tc>
        <w:tc>
          <w:tcPr>
            <w:tcW w:w="667"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5FB63981" w14:textId="77777777" w:rsidR="005A730B" w:rsidRDefault="008F59B6">
            <w:pPr>
              <w:jc w:val="center"/>
              <w:rPr>
                <w:rFonts w:ascii="Arial" w:eastAsia="Times New Roman" w:hAnsi="Arial" w:cs="Arial"/>
                <w:b/>
                <w:bCs/>
                <w:color w:val="FFFFFF" w:themeColor="background1"/>
                <w:sz w:val="18"/>
                <w:szCs w:val="18"/>
                <w:u w:val="single"/>
              </w:rPr>
            </w:pPr>
            <w:hyperlink r:id="rId22" w:anchor="RANGE!_ftn5" w:history="1">
              <w:r w:rsidR="005A730B">
                <w:rPr>
                  <w:rStyle w:val="Hipervnculo"/>
                  <w:rFonts w:ascii="Arial" w:eastAsia="Times New Roman" w:hAnsi="Arial" w:cs="Arial"/>
                  <w:b/>
                  <w:bCs/>
                  <w:color w:val="FFFFFF" w:themeColor="background1"/>
                  <w:sz w:val="18"/>
                  <w:szCs w:val="18"/>
                </w:rPr>
                <w:t>Equipamiento [5]</w:t>
              </w:r>
            </w:hyperlink>
          </w:p>
        </w:tc>
        <w:tc>
          <w:tcPr>
            <w:tcW w:w="465"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6CC90651" w14:textId="77777777" w:rsidR="005A730B" w:rsidRDefault="008F59B6">
            <w:pPr>
              <w:jc w:val="center"/>
              <w:rPr>
                <w:rFonts w:ascii="Arial" w:eastAsia="Times New Roman" w:hAnsi="Arial" w:cs="Arial"/>
                <w:b/>
                <w:bCs/>
                <w:color w:val="FFFFFF" w:themeColor="background1"/>
                <w:sz w:val="18"/>
                <w:szCs w:val="18"/>
                <w:u w:val="single"/>
              </w:rPr>
            </w:pPr>
            <w:hyperlink r:id="rId23" w:anchor="RANGE!_ftn6" w:history="1">
              <w:r w:rsidR="005A730B">
                <w:rPr>
                  <w:rStyle w:val="Hipervnculo"/>
                  <w:rFonts w:ascii="Arial" w:eastAsia="Times New Roman" w:hAnsi="Arial" w:cs="Arial"/>
                  <w:b/>
                  <w:bCs/>
                  <w:color w:val="FFFFFF" w:themeColor="background1"/>
                  <w:sz w:val="18"/>
                  <w:szCs w:val="18"/>
                </w:rPr>
                <w:t>Talento Humano [6]</w:t>
              </w:r>
            </w:hyperlink>
          </w:p>
        </w:tc>
        <w:tc>
          <w:tcPr>
            <w:tcW w:w="580"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77044650" w14:textId="77777777" w:rsidR="005A730B" w:rsidRDefault="005A730B">
            <w:pPr>
              <w:jc w:val="center"/>
              <w:rPr>
                <w:rFonts w:ascii="Arial" w:eastAsia="Times New Roman" w:hAnsi="Arial" w:cs="Arial"/>
                <w:b/>
                <w:bCs/>
                <w:color w:val="FFFFFF" w:themeColor="background1"/>
                <w:sz w:val="18"/>
                <w:szCs w:val="18"/>
                <w:u w:val="single"/>
              </w:rPr>
            </w:pPr>
            <w:r>
              <w:rPr>
                <w:rFonts w:ascii="Arial" w:eastAsia="Times New Roman" w:hAnsi="Arial" w:cs="Arial"/>
                <w:b/>
                <w:bCs/>
                <w:color w:val="FFFFFF" w:themeColor="background1"/>
                <w:sz w:val="18"/>
                <w:szCs w:val="18"/>
                <w:u w:val="single"/>
              </w:rPr>
              <w:t>Sistemas de Información</w:t>
            </w:r>
          </w:p>
        </w:tc>
        <w:tc>
          <w:tcPr>
            <w:tcW w:w="672"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7A0A52AF" w14:textId="77777777" w:rsidR="005A730B" w:rsidRDefault="008F59B6">
            <w:pPr>
              <w:jc w:val="center"/>
              <w:rPr>
                <w:rFonts w:ascii="Arial" w:eastAsia="Times New Roman" w:hAnsi="Arial" w:cs="Arial"/>
                <w:b/>
                <w:bCs/>
                <w:color w:val="FFFFFF" w:themeColor="background1"/>
                <w:sz w:val="18"/>
                <w:szCs w:val="18"/>
                <w:u w:val="single"/>
              </w:rPr>
            </w:pPr>
            <w:hyperlink r:id="rId24" w:anchor="RANGE!_ftn7" w:history="1">
              <w:r w:rsidR="005A730B">
                <w:rPr>
                  <w:rStyle w:val="Hipervnculo"/>
                  <w:rFonts w:ascii="Arial" w:eastAsia="Times New Roman" w:hAnsi="Arial" w:cs="Arial"/>
                  <w:b/>
                  <w:bCs/>
                  <w:color w:val="FFFFFF" w:themeColor="background1"/>
                  <w:sz w:val="18"/>
                  <w:szCs w:val="18"/>
                </w:rPr>
                <w:t>Gestión del Conocimiento [7]</w:t>
              </w:r>
            </w:hyperlink>
          </w:p>
        </w:tc>
        <w:tc>
          <w:tcPr>
            <w:tcW w:w="383" w:type="pc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79130BDE" w14:textId="77777777" w:rsidR="005A730B" w:rsidRDefault="005A730B">
            <w:pPr>
              <w:jc w:val="center"/>
              <w:rPr>
                <w:rFonts w:ascii="Arial" w:eastAsia="Times New Roman" w:hAnsi="Arial" w:cs="Arial"/>
                <w:b/>
                <w:bCs/>
                <w:color w:val="FFFFFF"/>
                <w:sz w:val="18"/>
                <w:szCs w:val="18"/>
                <w:u w:val="single"/>
              </w:rPr>
            </w:pPr>
            <w:r>
              <w:rPr>
                <w:rFonts w:ascii="Arial" w:eastAsia="Times New Roman" w:hAnsi="Arial" w:cs="Arial"/>
                <w:b/>
                <w:bCs/>
                <w:color w:val="FFFFFF"/>
                <w:sz w:val="18"/>
                <w:szCs w:val="18"/>
                <w:u w:val="single"/>
              </w:rPr>
              <w:t>Gestión de Calidad</w:t>
            </w:r>
          </w:p>
        </w:tc>
      </w:tr>
      <w:tr w:rsidR="005A730B" w14:paraId="1B2C27DD" w14:textId="77777777" w:rsidTr="005A730B">
        <w:trPr>
          <w:trHeight w:val="215"/>
        </w:trPr>
        <w:tc>
          <w:tcPr>
            <w:tcW w:w="567" w:type="pct"/>
            <w:tcBorders>
              <w:top w:val="single" w:sz="4" w:space="0" w:color="auto"/>
              <w:left w:val="single" w:sz="4" w:space="0" w:color="auto"/>
              <w:bottom w:val="single" w:sz="4" w:space="0" w:color="auto"/>
              <w:right w:val="single" w:sz="4" w:space="0" w:color="auto"/>
            </w:tcBorders>
            <w:shd w:val="clear" w:color="auto" w:fill="AEAAAA"/>
            <w:tcMar>
              <w:top w:w="15" w:type="dxa"/>
              <w:left w:w="15" w:type="dxa"/>
              <w:bottom w:w="15" w:type="dxa"/>
              <w:right w:w="15" w:type="dxa"/>
            </w:tcMar>
            <w:vAlign w:val="center"/>
            <w:hideMark/>
          </w:tcPr>
          <w:p w14:paraId="29BCFB42"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Caquetá</w:t>
            </w:r>
          </w:p>
        </w:tc>
        <w:tc>
          <w:tcPr>
            <w:tcW w:w="476"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14:paraId="51FFE625"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Cumple Parcial</w:t>
            </w:r>
          </w:p>
        </w:tc>
        <w:tc>
          <w:tcPr>
            <w:tcW w:w="476"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14:paraId="612D0B1B"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Cumple Parcial</w:t>
            </w:r>
          </w:p>
        </w:tc>
        <w:tc>
          <w:tcPr>
            <w:tcW w:w="711"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center"/>
            <w:hideMark/>
          </w:tcPr>
          <w:p w14:paraId="180FF9B5"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Cumple Parcial</w:t>
            </w:r>
          </w:p>
        </w:tc>
        <w:tc>
          <w:tcPr>
            <w:tcW w:w="667" w:type="pct"/>
            <w:tcBorders>
              <w:top w:val="single" w:sz="4" w:space="0" w:color="auto"/>
              <w:left w:val="single" w:sz="4" w:space="0" w:color="auto"/>
              <w:bottom w:val="single" w:sz="4" w:space="0" w:color="auto"/>
              <w:right w:val="single" w:sz="4" w:space="0" w:color="auto"/>
            </w:tcBorders>
            <w:shd w:val="clear" w:color="auto" w:fill="F8CBAD"/>
            <w:tcMar>
              <w:top w:w="15" w:type="dxa"/>
              <w:left w:w="15" w:type="dxa"/>
              <w:bottom w:w="15" w:type="dxa"/>
              <w:right w:w="15" w:type="dxa"/>
            </w:tcMar>
            <w:vAlign w:val="center"/>
            <w:hideMark/>
          </w:tcPr>
          <w:p w14:paraId="37EB41A3"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Insuficiente</w:t>
            </w:r>
          </w:p>
        </w:tc>
        <w:tc>
          <w:tcPr>
            <w:tcW w:w="465"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15" w:type="dxa"/>
              <w:right w:w="15" w:type="dxa"/>
            </w:tcMar>
            <w:vAlign w:val="bottom"/>
            <w:hideMark/>
          </w:tcPr>
          <w:p w14:paraId="5741DC7C"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Mayor que el promedio</w:t>
            </w:r>
          </w:p>
        </w:tc>
        <w:tc>
          <w:tcPr>
            <w:tcW w:w="580" w:type="pct"/>
            <w:tcBorders>
              <w:top w:val="single" w:sz="4" w:space="0" w:color="auto"/>
              <w:left w:val="single" w:sz="4" w:space="0" w:color="auto"/>
              <w:bottom w:val="single" w:sz="4" w:space="0" w:color="auto"/>
              <w:right w:val="single" w:sz="4" w:space="0" w:color="auto"/>
            </w:tcBorders>
            <w:shd w:val="clear" w:color="auto" w:fill="F8CBAD"/>
            <w:tcMar>
              <w:top w:w="15" w:type="dxa"/>
              <w:left w:w="15" w:type="dxa"/>
              <w:bottom w:w="15" w:type="dxa"/>
              <w:right w:w="15" w:type="dxa"/>
            </w:tcMar>
            <w:vAlign w:val="center"/>
            <w:hideMark/>
          </w:tcPr>
          <w:p w14:paraId="14B46BD3"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cumple</w:t>
            </w:r>
          </w:p>
        </w:tc>
        <w:tc>
          <w:tcPr>
            <w:tcW w:w="672" w:type="pct"/>
            <w:tcBorders>
              <w:top w:val="single" w:sz="4" w:space="0" w:color="auto"/>
              <w:left w:val="single" w:sz="4" w:space="0" w:color="auto"/>
              <w:bottom w:val="single" w:sz="4" w:space="0" w:color="auto"/>
              <w:right w:val="single" w:sz="4" w:space="0" w:color="auto"/>
            </w:tcBorders>
            <w:shd w:val="clear" w:color="auto" w:fill="F8CBAD"/>
            <w:tcMar>
              <w:top w:w="15" w:type="dxa"/>
              <w:left w:w="15" w:type="dxa"/>
              <w:bottom w:w="15" w:type="dxa"/>
              <w:right w:w="15" w:type="dxa"/>
            </w:tcMar>
            <w:vAlign w:val="center"/>
            <w:hideMark/>
          </w:tcPr>
          <w:p w14:paraId="68992AE8"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publico Articulo</w:t>
            </w:r>
          </w:p>
        </w:tc>
        <w:tc>
          <w:tcPr>
            <w:tcW w:w="383" w:type="pct"/>
            <w:tcBorders>
              <w:top w:val="single" w:sz="4" w:space="0" w:color="auto"/>
              <w:left w:val="single" w:sz="4" w:space="0" w:color="auto"/>
              <w:bottom w:val="single" w:sz="4" w:space="0" w:color="auto"/>
              <w:right w:val="single" w:sz="4" w:space="0" w:color="auto"/>
            </w:tcBorders>
            <w:shd w:val="clear" w:color="auto" w:fill="F8CBAD"/>
            <w:tcMar>
              <w:top w:w="15" w:type="dxa"/>
              <w:left w:w="15" w:type="dxa"/>
              <w:bottom w:w="15" w:type="dxa"/>
              <w:right w:w="15" w:type="dxa"/>
            </w:tcMar>
            <w:vAlign w:val="center"/>
            <w:hideMark/>
          </w:tcPr>
          <w:p w14:paraId="570FFB65"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No Cumple </w:t>
            </w:r>
          </w:p>
        </w:tc>
      </w:tr>
    </w:tbl>
    <w:p w14:paraId="0801F86B" w14:textId="77777777" w:rsidR="005A730B" w:rsidRDefault="005A730B" w:rsidP="005A730B">
      <w:pPr>
        <w:jc w:val="center"/>
        <w:rPr>
          <w:rFonts w:ascii="Arial" w:hAnsi="Arial" w:cs="Arial"/>
          <w:sz w:val="16"/>
          <w:szCs w:val="16"/>
        </w:rPr>
      </w:pPr>
      <w:r>
        <w:rPr>
          <w:rFonts w:ascii="Arial" w:hAnsi="Arial" w:cs="Arial"/>
          <w:sz w:val="16"/>
          <w:szCs w:val="16"/>
        </w:rPr>
        <w:t>Fuente: Elaboración Propia a partir de Diagnóstico de los Laboratorios de Salud Pública de Colombia</w:t>
      </w:r>
    </w:p>
    <w:p w14:paraId="4EA3DE03" w14:textId="77777777" w:rsidR="005A730B" w:rsidRDefault="005A730B" w:rsidP="005A730B">
      <w:pPr>
        <w:jc w:val="both"/>
        <w:rPr>
          <w:rFonts w:ascii="Arial" w:hAnsi="Arial" w:cs="Arial"/>
          <w:sz w:val="21"/>
          <w:szCs w:val="21"/>
        </w:rPr>
      </w:pPr>
    </w:p>
    <w:p w14:paraId="7F88FB51" w14:textId="77777777" w:rsidR="005A730B" w:rsidRDefault="005A730B" w:rsidP="005A730B">
      <w:pPr>
        <w:jc w:val="both"/>
        <w:rPr>
          <w:rFonts w:ascii="Arial" w:hAnsi="Arial" w:cs="Arial"/>
          <w:bCs/>
          <w:sz w:val="21"/>
          <w:szCs w:val="21"/>
        </w:rPr>
      </w:pPr>
      <w:r>
        <w:rPr>
          <w:rFonts w:ascii="Arial" w:hAnsi="Arial" w:cs="Arial"/>
          <w:bCs/>
          <w:sz w:val="21"/>
          <w:szCs w:val="21"/>
        </w:rPr>
        <w:t>Lo anterior, evidencia además del incumplimiento a los requisitos indispensables para desarrollar las funciones esenciales en Salud Pública en el territorio, la afectación del correcto funcionamiento del Laboratorio de Salud Pública Departamental, de su adecuada incorporación a la Red Nacional de Laboratorios de Salud Pública incidiendo en el desarrollo de actividades de vigilancia en Salud Pública, prestación de servicios, gestión de la calidad e investigación, así como también de su efectivo desarrollo de acciones técnico administrativas realizadas frente a la atención de las personas y el medio ambiente.</w:t>
      </w:r>
    </w:p>
    <w:p w14:paraId="451E57A6" w14:textId="77777777" w:rsidR="005A730B" w:rsidRDefault="005A730B" w:rsidP="005A730B">
      <w:pPr>
        <w:jc w:val="both"/>
        <w:rPr>
          <w:rFonts w:ascii="Arial" w:hAnsi="Arial" w:cs="Arial"/>
          <w:bCs/>
          <w:sz w:val="21"/>
          <w:szCs w:val="21"/>
        </w:rPr>
      </w:pPr>
    </w:p>
    <w:p w14:paraId="381553A5" w14:textId="77777777" w:rsidR="005A730B" w:rsidRDefault="005A730B" w:rsidP="005A730B">
      <w:pPr>
        <w:jc w:val="both"/>
        <w:rPr>
          <w:rFonts w:ascii="Arial" w:hAnsi="Arial" w:cs="Arial"/>
          <w:bCs/>
          <w:sz w:val="21"/>
          <w:szCs w:val="21"/>
        </w:rPr>
      </w:pPr>
      <w:r>
        <w:rPr>
          <w:rFonts w:ascii="Arial" w:hAnsi="Arial" w:cs="Arial"/>
          <w:bCs/>
          <w:sz w:val="21"/>
          <w:szCs w:val="21"/>
        </w:rPr>
        <w:t>De igual forma, la Entidad Territorial no aportó el acto administrativo y las actas de reunión correspondientes que permitan verificar el cumplimiento a lo dispuesto en los artículos 13 y 14 del Decreto 2323 de 2006 en relación con la creación del Comité Técnico Departamental y las funciones que deben desarrollar los mismos frente a la red nacional de laboratorios. Al respecto la Entidad en su informe menciona:</w:t>
      </w:r>
    </w:p>
    <w:p w14:paraId="2536C0B4" w14:textId="77777777" w:rsidR="005A730B" w:rsidRDefault="005A730B" w:rsidP="005A730B">
      <w:pPr>
        <w:pStyle w:val="Default"/>
        <w:rPr>
          <w:sz w:val="21"/>
          <w:szCs w:val="21"/>
        </w:rPr>
      </w:pPr>
    </w:p>
    <w:p w14:paraId="408B721D" w14:textId="77777777" w:rsidR="005A730B" w:rsidRDefault="005A730B" w:rsidP="005A730B">
      <w:pPr>
        <w:ind w:left="567"/>
        <w:contextualSpacing/>
        <w:jc w:val="both"/>
        <w:rPr>
          <w:rFonts w:ascii="Arial" w:hAnsi="Arial" w:cs="Arial"/>
          <w:i/>
          <w:sz w:val="18"/>
          <w:szCs w:val="18"/>
        </w:rPr>
      </w:pPr>
      <w:r>
        <w:rPr>
          <w:rFonts w:ascii="Arial" w:hAnsi="Arial" w:cs="Arial"/>
          <w:i/>
          <w:sz w:val="18"/>
          <w:szCs w:val="18"/>
        </w:rPr>
        <w:t xml:space="preserve">“[…] la Secretaría de Salud Departamental aún no tiene conformado el comité técnico departamental, debido a que el Laboratorio de Salud Pública se encuentra en un proceso de transición a la modernización, esto soportado mediante la ejecución del proyecto "FORTALECIMIENTO DE CAPACIDADES INSTALADAS DE CIENCIA Y TECNOLOGÍA DEL LABORATORIO DE SALUD PÚBLICA PARA ATENDER PROBLEMÁTICAS ASOCIADAS CON AGENTES BIOLÓGICOS DE ALTO RIESGO PARA LA SALUD HUMANA DEL DEPARTAMENTO DEL CAQUETÁ"; el cual, abarca no solamente construcción del nuevo laboratorio de salud pública, cumpliendo con la infraestructura requerida en la normatividad legal vigente, si no también, con la dotación necesaria para cumplir a cabalidad con las actividades y funciones que le asigna la Ley. </w:t>
      </w:r>
    </w:p>
    <w:p w14:paraId="40A58945" w14:textId="77777777" w:rsidR="005A730B" w:rsidRDefault="005A730B" w:rsidP="005A730B">
      <w:pPr>
        <w:pStyle w:val="Default"/>
        <w:ind w:left="567"/>
        <w:contextualSpacing/>
        <w:jc w:val="both"/>
        <w:rPr>
          <w:rFonts w:eastAsia="MS Mincho"/>
          <w:i/>
          <w:color w:val="auto"/>
          <w:sz w:val="18"/>
          <w:szCs w:val="18"/>
          <w:lang w:val="es-ES" w:eastAsia="es-ES"/>
        </w:rPr>
      </w:pPr>
    </w:p>
    <w:p w14:paraId="298FE187" w14:textId="77777777" w:rsidR="005A730B" w:rsidRDefault="005A730B" w:rsidP="005A730B">
      <w:pPr>
        <w:ind w:left="567"/>
        <w:contextualSpacing/>
        <w:jc w:val="both"/>
        <w:rPr>
          <w:rFonts w:ascii="Arial" w:hAnsi="Arial" w:cs="Arial"/>
          <w:i/>
          <w:sz w:val="18"/>
          <w:szCs w:val="18"/>
        </w:rPr>
      </w:pPr>
      <w:r>
        <w:rPr>
          <w:rFonts w:ascii="Arial" w:hAnsi="Arial" w:cs="Arial"/>
          <w:i/>
          <w:sz w:val="18"/>
          <w:szCs w:val="18"/>
        </w:rPr>
        <w:t xml:space="preserve">De igual forma, en el Laboratorio de Salud Pública también ha venido realizando implementación del Sistema de Gestión de Calidad, basado en la NTC ISO/IEC 17025 y se encuentra en la etapa de transición de la versión 2005 a la versión 2017. Con el ánimo de dar cumplimiento a la estructuración de procesos y procedimientos del Laboratorio de Salud Pública. Dichos procesos, establecerán de manera eficiente la operatividad del Laboratorio de Salud Pública Departamental permitiendo la organización </w:t>
      </w:r>
      <w:proofErr w:type="gramStart"/>
      <w:r>
        <w:rPr>
          <w:rFonts w:ascii="Arial" w:hAnsi="Arial" w:cs="Arial"/>
          <w:i/>
          <w:sz w:val="18"/>
          <w:szCs w:val="18"/>
        </w:rPr>
        <w:t>técnico administrativa</w:t>
      </w:r>
      <w:proofErr w:type="gramEnd"/>
      <w:r>
        <w:rPr>
          <w:rFonts w:ascii="Arial" w:hAnsi="Arial" w:cs="Arial"/>
          <w:i/>
          <w:sz w:val="18"/>
          <w:szCs w:val="18"/>
        </w:rPr>
        <w:t xml:space="preserve"> del mismo”.</w:t>
      </w:r>
    </w:p>
    <w:p w14:paraId="0FCBBA22" w14:textId="77777777" w:rsidR="005A730B" w:rsidRDefault="005A730B" w:rsidP="005A730B">
      <w:pPr>
        <w:jc w:val="both"/>
        <w:rPr>
          <w:rFonts w:ascii="Arial" w:hAnsi="Arial" w:cs="Arial"/>
          <w:i/>
          <w:sz w:val="21"/>
          <w:szCs w:val="21"/>
        </w:rPr>
      </w:pPr>
    </w:p>
    <w:p w14:paraId="15B065C6" w14:textId="77777777" w:rsidR="005A730B" w:rsidRDefault="005A730B" w:rsidP="005A730B">
      <w:pPr>
        <w:pStyle w:val="Prrafodelista"/>
        <w:numPr>
          <w:ilvl w:val="0"/>
          <w:numId w:val="19"/>
        </w:numPr>
        <w:jc w:val="both"/>
        <w:rPr>
          <w:rFonts w:ascii="Arial" w:hAnsi="Arial" w:cs="Arial"/>
          <w:b/>
          <w:sz w:val="21"/>
          <w:szCs w:val="21"/>
        </w:rPr>
      </w:pPr>
      <w:r>
        <w:rPr>
          <w:rFonts w:ascii="Arial" w:hAnsi="Arial" w:cs="Arial"/>
          <w:b/>
          <w:sz w:val="21"/>
          <w:szCs w:val="21"/>
        </w:rPr>
        <w:t>Análisis Jurídico.</w:t>
      </w:r>
    </w:p>
    <w:p w14:paraId="2B3D11FB" w14:textId="77777777" w:rsidR="005A730B" w:rsidRDefault="005A730B" w:rsidP="005A730B">
      <w:pPr>
        <w:jc w:val="both"/>
        <w:rPr>
          <w:rFonts w:ascii="Arial" w:eastAsia="Calibri" w:hAnsi="Arial" w:cs="Arial"/>
          <w:sz w:val="21"/>
          <w:szCs w:val="21"/>
          <w:lang w:val="es-CO" w:eastAsia="en-US"/>
        </w:rPr>
      </w:pPr>
    </w:p>
    <w:p w14:paraId="60E794BC" w14:textId="77777777" w:rsidR="005A730B" w:rsidRDefault="005A730B" w:rsidP="005A730B">
      <w:pPr>
        <w:jc w:val="both"/>
        <w:rPr>
          <w:rFonts w:ascii="Arial" w:hAnsi="Arial" w:cs="Arial"/>
          <w:sz w:val="21"/>
          <w:szCs w:val="21"/>
        </w:rPr>
      </w:pPr>
      <w:r>
        <w:rPr>
          <w:rFonts w:ascii="Arial" w:hAnsi="Arial" w:cs="Arial"/>
          <w:sz w:val="21"/>
          <w:szCs w:val="21"/>
        </w:rPr>
        <w:t>El Departamento de Caquetá, hizo entrega del informe de procesos judiciales que cursan actualmente en contra del Departamento relacionados específicamente con la Secretaría de Salud, en el cual se identificaron un total de 115 procesos, cuyas pretensiones se establecieron en $34.014 millones, los cuales se relacionan a continuación en atención a la jurisdicción y al tipo de acción judicial.</w:t>
      </w:r>
    </w:p>
    <w:p w14:paraId="2F41E63C" w14:textId="77777777" w:rsidR="005A730B" w:rsidRDefault="005A730B" w:rsidP="005A730B">
      <w:pPr>
        <w:rPr>
          <w:rFonts w:ascii="Arial" w:hAnsi="Arial" w:cs="Arial"/>
          <w:sz w:val="21"/>
          <w:szCs w:val="21"/>
        </w:rPr>
      </w:pPr>
      <w:r>
        <w:rPr>
          <w:rFonts w:ascii="Arial" w:hAnsi="Arial" w:cs="Arial"/>
          <w:sz w:val="21"/>
          <w:szCs w:val="21"/>
        </w:rPr>
        <w:br w:type="page"/>
      </w:r>
    </w:p>
    <w:p w14:paraId="0E2A61E5" w14:textId="77777777" w:rsidR="005A730B" w:rsidRDefault="005A730B" w:rsidP="005A730B">
      <w:pPr>
        <w:jc w:val="center"/>
        <w:rPr>
          <w:rFonts w:ascii="Arial" w:hAnsi="Arial" w:cs="Arial"/>
          <w:b/>
          <w:sz w:val="20"/>
          <w:szCs w:val="20"/>
        </w:rPr>
      </w:pPr>
      <w:r>
        <w:rPr>
          <w:rFonts w:ascii="Arial" w:hAnsi="Arial" w:cs="Arial"/>
          <w:b/>
          <w:sz w:val="20"/>
          <w:szCs w:val="20"/>
        </w:rPr>
        <w:lastRenderedPageBreak/>
        <w:t>Tabla No. 18</w:t>
      </w:r>
    </w:p>
    <w:p w14:paraId="0AFA365B" w14:textId="77777777" w:rsidR="005A730B" w:rsidRDefault="005A730B" w:rsidP="005A730B">
      <w:pPr>
        <w:jc w:val="both"/>
        <w:rPr>
          <w:rFonts w:ascii="Arial" w:eastAsia="Calibri" w:hAnsi="Arial" w:cs="Arial"/>
          <w:sz w:val="21"/>
          <w:szCs w:val="21"/>
          <w:lang w:val="es-CO" w:eastAsia="en-US"/>
        </w:rPr>
      </w:pPr>
      <w:r>
        <w:rPr>
          <w:rFonts w:ascii="Arial" w:hAnsi="Arial" w:cs="Arial"/>
          <w:noProof/>
          <w:sz w:val="21"/>
          <w:szCs w:val="21"/>
          <w:lang w:val="es-CO" w:eastAsia="es-CO"/>
        </w:rPr>
        <w:drawing>
          <wp:inline distT="0" distB="0" distL="0" distR="0" wp14:anchorId="64A22FEE" wp14:editId="3D15A1F1">
            <wp:extent cx="5553075" cy="2771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53075" cy="2771775"/>
                    </a:xfrm>
                    <a:prstGeom prst="rect">
                      <a:avLst/>
                    </a:prstGeom>
                    <a:noFill/>
                    <a:ln>
                      <a:noFill/>
                    </a:ln>
                  </pic:spPr>
                </pic:pic>
              </a:graphicData>
            </a:graphic>
          </wp:inline>
        </w:drawing>
      </w:r>
    </w:p>
    <w:p w14:paraId="3C040252" w14:textId="77777777" w:rsidR="005A730B" w:rsidRDefault="005A730B" w:rsidP="005A730B">
      <w:pPr>
        <w:jc w:val="center"/>
        <w:rPr>
          <w:rFonts w:ascii="Arial" w:eastAsia="Calibri" w:hAnsi="Arial" w:cs="Arial"/>
          <w:sz w:val="16"/>
          <w:szCs w:val="16"/>
          <w:lang w:val="es-CO" w:eastAsia="en-US"/>
        </w:rPr>
      </w:pPr>
      <w:r>
        <w:rPr>
          <w:rFonts w:ascii="Arial" w:eastAsia="Calibri" w:hAnsi="Arial" w:cs="Arial"/>
          <w:sz w:val="16"/>
          <w:szCs w:val="16"/>
          <w:lang w:val="es-CO" w:eastAsia="en-US"/>
        </w:rPr>
        <w:t>Fuente: Entidad Territorial- Valores en pesos.</w:t>
      </w:r>
    </w:p>
    <w:p w14:paraId="00D9E5A6" w14:textId="77777777" w:rsidR="005A730B" w:rsidRDefault="005A730B" w:rsidP="005A730B">
      <w:pPr>
        <w:jc w:val="both"/>
        <w:rPr>
          <w:rFonts w:ascii="Arial" w:hAnsi="Arial" w:cs="Arial"/>
          <w:sz w:val="21"/>
          <w:szCs w:val="21"/>
        </w:rPr>
      </w:pPr>
    </w:p>
    <w:p w14:paraId="424BCD53" w14:textId="77777777" w:rsidR="005A730B" w:rsidRDefault="005A730B" w:rsidP="005A730B">
      <w:pPr>
        <w:jc w:val="both"/>
        <w:rPr>
          <w:rFonts w:ascii="Arial" w:hAnsi="Arial" w:cs="Arial"/>
          <w:sz w:val="21"/>
          <w:szCs w:val="21"/>
        </w:rPr>
      </w:pPr>
      <w:r>
        <w:rPr>
          <w:rFonts w:ascii="Arial" w:hAnsi="Arial" w:cs="Arial"/>
          <w:sz w:val="21"/>
          <w:szCs w:val="21"/>
        </w:rPr>
        <w:t>De acuerdo con lo anterior, se identifica que la situación de judicialización del Departamento si bien es crítica en relación con la cuantía de las pretensiones, no lo es frente a la probabilidad de fallo en contra de la Entidad en relación con los ingresos totales de la Secretaría de Salud Departamental y frente a los ingresos por concepto del Sistema General de Participaciones, como se detalla a continuación:</w:t>
      </w:r>
    </w:p>
    <w:p w14:paraId="7110AF95" w14:textId="77777777" w:rsidR="005A730B" w:rsidRDefault="005A730B" w:rsidP="005A730B">
      <w:pPr>
        <w:rPr>
          <w:rFonts w:ascii="Arial" w:hAnsi="Arial" w:cs="Arial"/>
          <w:b/>
          <w:sz w:val="21"/>
          <w:szCs w:val="21"/>
        </w:rPr>
      </w:pPr>
    </w:p>
    <w:p w14:paraId="282CE8E8" w14:textId="77777777" w:rsidR="005A730B" w:rsidRDefault="005A730B" w:rsidP="005A730B">
      <w:pPr>
        <w:jc w:val="center"/>
        <w:rPr>
          <w:rFonts w:ascii="Arial" w:hAnsi="Arial" w:cs="Arial"/>
          <w:b/>
          <w:sz w:val="20"/>
          <w:szCs w:val="20"/>
        </w:rPr>
      </w:pPr>
      <w:r>
        <w:rPr>
          <w:rFonts w:ascii="Arial" w:hAnsi="Arial" w:cs="Arial"/>
          <w:b/>
          <w:sz w:val="20"/>
          <w:szCs w:val="20"/>
        </w:rPr>
        <w:t>Tabla No 19</w:t>
      </w:r>
    </w:p>
    <w:p w14:paraId="5DEFD6D5" w14:textId="77777777" w:rsidR="005A730B" w:rsidRDefault="005A730B" w:rsidP="005A730B">
      <w:pPr>
        <w:ind w:right="191"/>
        <w:contextualSpacing/>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(Cifras en millones $)</w:t>
      </w:r>
    </w:p>
    <w:tbl>
      <w:tblPr>
        <w:tblW w:w="4931" w:type="pct"/>
        <w:tblCellMar>
          <w:left w:w="70" w:type="dxa"/>
          <w:right w:w="70" w:type="dxa"/>
        </w:tblCellMar>
        <w:tblLook w:val="04A0" w:firstRow="1" w:lastRow="0" w:firstColumn="1" w:lastColumn="0" w:noHBand="0" w:noVBand="1"/>
      </w:tblPr>
      <w:tblGrid>
        <w:gridCol w:w="3359"/>
        <w:gridCol w:w="4717"/>
        <w:gridCol w:w="630"/>
      </w:tblGrid>
      <w:tr w:rsidR="005A730B" w14:paraId="2019BC85" w14:textId="77777777" w:rsidTr="005A730B">
        <w:trPr>
          <w:trHeight w:val="206"/>
        </w:trPr>
        <w:tc>
          <w:tcPr>
            <w:tcW w:w="5000" w:type="pct"/>
            <w:gridSpan w:val="3"/>
            <w:tcBorders>
              <w:top w:val="single" w:sz="4" w:space="0" w:color="auto"/>
              <w:left w:val="single" w:sz="4" w:space="0" w:color="auto"/>
              <w:bottom w:val="single" w:sz="4" w:space="0" w:color="auto"/>
              <w:right w:val="single" w:sz="4" w:space="0" w:color="auto"/>
            </w:tcBorders>
            <w:shd w:val="clear" w:color="auto" w:fill="2F75B5"/>
            <w:noWrap/>
            <w:vAlign w:val="bottom"/>
            <w:hideMark/>
          </w:tcPr>
          <w:p w14:paraId="55119F51"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SECRETARIA DE SALUD DEPARTAMENTAL - FONDO LOCAL ED SALUD</w:t>
            </w:r>
          </w:p>
        </w:tc>
      </w:tr>
      <w:tr w:rsidR="005A730B" w14:paraId="70CB91C3" w14:textId="77777777" w:rsidTr="005A730B">
        <w:trPr>
          <w:trHeight w:val="276"/>
        </w:trPr>
        <w:tc>
          <w:tcPr>
            <w:tcW w:w="1929" w:type="pct"/>
            <w:vMerge w:val="restart"/>
            <w:tcBorders>
              <w:top w:val="nil"/>
              <w:left w:val="single" w:sz="4" w:space="0" w:color="auto"/>
              <w:bottom w:val="single" w:sz="4" w:space="0" w:color="auto"/>
              <w:right w:val="single" w:sz="4" w:space="0" w:color="auto"/>
            </w:tcBorders>
            <w:shd w:val="clear" w:color="auto" w:fill="2F75B5"/>
            <w:vAlign w:val="center"/>
            <w:hideMark/>
          </w:tcPr>
          <w:p w14:paraId="166208D8" w14:textId="77777777" w:rsidR="005A730B" w:rsidRDefault="005A730B">
            <w:pP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INGRESOS FONDO LOCAL DE SALUD PRESUPUESTO DEFINITIVO</w:t>
            </w:r>
          </w:p>
        </w:tc>
        <w:tc>
          <w:tcPr>
            <w:tcW w:w="2709" w:type="pct"/>
            <w:vMerge w:val="restart"/>
            <w:tcBorders>
              <w:top w:val="nil"/>
              <w:left w:val="single" w:sz="4" w:space="0" w:color="auto"/>
              <w:bottom w:val="single" w:sz="4" w:space="0" w:color="auto"/>
              <w:right w:val="single" w:sz="4" w:space="0" w:color="auto"/>
            </w:tcBorders>
            <w:shd w:val="clear" w:color="auto" w:fill="2F75B5"/>
            <w:noWrap/>
            <w:vAlign w:val="center"/>
            <w:hideMark/>
          </w:tcPr>
          <w:p w14:paraId="49FA07BB"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Cuantía de Procesos con probabilidad de fallo en contra</w:t>
            </w:r>
          </w:p>
        </w:tc>
        <w:tc>
          <w:tcPr>
            <w:tcW w:w="362" w:type="pct"/>
            <w:vMerge w:val="restart"/>
            <w:tcBorders>
              <w:top w:val="nil"/>
              <w:left w:val="single" w:sz="4" w:space="0" w:color="auto"/>
              <w:bottom w:val="single" w:sz="4" w:space="0" w:color="auto"/>
              <w:right w:val="single" w:sz="4" w:space="0" w:color="auto"/>
            </w:tcBorders>
            <w:shd w:val="clear" w:color="auto" w:fill="2F75B5"/>
            <w:noWrap/>
            <w:vAlign w:val="center"/>
            <w:hideMark/>
          </w:tcPr>
          <w:p w14:paraId="180772CB"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w:t>
            </w:r>
          </w:p>
        </w:tc>
      </w:tr>
      <w:tr w:rsidR="005A730B" w14:paraId="29F52D4D" w14:textId="77777777" w:rsidTr="005A730B">
        <w:trPr>
          <w:trHeight w:val="276"/>
        </w:trPr>
        <w:tc>
          <w:tcPr>
            <w:tcW w:w="0" w:type="auto"/>
            <w:vMerge/>
            <w:tcBorders>
              <w:top w:val="nil"/>
              <w:left w:val="single" w:sz="4" w:space="0" w:color="auto"/>
              <w:bottom w:val="single" w:sz="4" w:space="0" w:color="auto"/>
              <w:right w:val="single" w:sz="4" w:space="0" w:color="auto"/>
            </w:tcBorders>
            <w:vAlign w:val="center"/>
            <w:hideMark/>
          </w:tcPr>
          <w:p w14:paraId="4CA3D2A3" w14:textId="77777777" w:rsidR="005A730B" w:rsidRDefault="005A730B">
            <w:pPr>
              <w:rPr>
                <w:rFonts w:ascii="Arial" w:eastAsia="Times New Roman" w:hAnsi="Arial" w:cs="Arial"/>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43D4872A" w14:textId="77777777" w:rsidR="005A730B" w:rsidRDefault="005A730B">
            <w:pPr>
              <w:rPr>
                <w:rFonts w:ascii="Arial" w:eastAsia="Times New Roman" w:hAnsi="Arial" w:cs="Arial"/>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4B5228D4" w14:textId="77777777" w:rsidR="005A730B" w:rsidRDefault="005A730B">
            <w:pPr>
              <w:rPr>
                <w:rFonts w:ascii="Arial" w:eastAsia="Times New Roman" w:hAnsi="Arial" w:cs="Arial"/>
                <w:color w:val="FFFFFF"/>
                <w:sz w:val="18"/>
                <w:szCs w:val="18"/>
                <w:lang w:val="es-CO" w:eastAsia="es-CO"/>
              </w:rPr>
            </w:pPr>
          </w:p>
        </w:tc>
      </w:tr>
      <w:tr w:rsidR="005A730B" w14:paraId="0F037E3A" w14:textId="77777777" w:rsidTr="005A730B">
        <w:trPr>
          <w:trHeight w:val="231"/>
        </w:trPr>
        <w:tc>
          <w:tcPr>
            <w:tcW w:w="1929" w:type="pct"/>
            <w:tcBorders>
              <w:top w:val="nil"/>
              <w:left w:val="single" w:sz="4" w:space="0" w:color="auto"/>
              <w:bottom w:val="single" w:sz="4" w:space="0" w:color="auto"/>
              <w:right w:val="single" w:sz="4" w:space="0" w:color="auto"/>
            </w:tcBorders>
            <w:noWrap/>
            <w:vAlign w:val="center"/>
            <w:hideMark/>
          </w:tcPr>
          <w:p w14:paraId="3DD7A61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$63.126.</w:t>
            </w:r>
          </w:p>
        </w:tc>
        <w:tc>
          <w:tcPr>
            <w:tcW w:w="2709" w:type="pct"/>
            <w:tcBorders>
              <w:top w:val="nil"/>
              <w:left w:val="nil"/>
              <w:bottom w:val="single" w:sz="4" w:space="0" w:color="auto"/>
              <w:right w:val="single" w:sz="4" w:space="0" w:color="auto"/>
            </w:tcBorders>
            <w:noWrap/>
            <w:vAlign w:val="center"/>
            <w:hideMark/>
          </w:tcPr>
          <w:p w14:paraId="150C506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$6.543</w:t>
            </w:r>
          </w:p>
        </w:tc>
        <w:tc>
          <w:tcPr>
            <w:tcW w:w="362" w:type="pct"/>
            <w:tcBorders>
              <w:top w:val="nil"/>
              <w:left w:val="nil"/>
              <w:bottom w:val="single" w:sz="4" w:space="0" w:color="auto"/>
              <w:right w:val="single" w:sz="4" w:space="0" w:color="auto"/>
            </w:tcBorders>
            <w:noWrap/>
            <w:vAlign w:val="center"/>
            <w:hideMark/>
          </w:tcPr>
          <w:p w14:paraId="14760752"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w:t>
            </w:r>
            <w:r w:rsidR="00A57834">
              <w:rPr>
                <w:rFonts w:ascii="Arial" w:eastAsia="Times New Roman" w:hAnsi="Arial" w:cs="Arial"/>
                <w:color w:val="000000"/>
                <w:sz w:val="18"/>
                <w:szCs w:val="18"/>
                <w:lang w:val="es-CO" w:eastAsia="es-CO"/>
              </w:rPr>
              <w:t>%</w:t>
            </w:r>
          </w:p>
        </w:tc>
      </w:tr>
      <w:tr w:rsidR="005A730B" w14:paraId="60592EC4" w14:textId="77777777" w:rsidTr="005A730B">
        <w:trPr>
          <w:trHeight w:val="276"/>
        </w:trPr>
        <w:tc>
          <w:tcPr>
            <w:tcW w:w="1929" w:type="pct"/>
            <w:vMerge w:val="restart"/>
            <w:tcBorders>
              <w:top w:val="nil"/>
              <w:left w:val="single" w:sz="4" w:space="0" w:color="auto"/>
              <w:bottom w:val="single" w:sz="4" w:space="0" w:color="auto"/>
              <w:right w:val="single" w:sz="4" w:space="0" w:color="auto"/>
            </w:tcBorders>
            <w:shd w:val="clear" w:color="auto" w:fill="2F75B5"/>
            <w:vAlign w:val="center"/>
            <w:hideMark/>
          </w:tcPr>
          <w:p w14:paraId="140E3BB5" w14:textId="77777777" w:rsidR="005A730B" w:rsidRDefault="005A730B">
            <w:pP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INGRESOS SGP PRESUPUESTO DEFINITIVO</w:t>
            </w:r>
          </w:p>
        </w:tc>
        <w:tc>
          <w:tcPr>
            <w:tcW w:w="2709" w:type="pct"/>
            <w:vMerge w:val="restart"/>
            <w:tcBorders>
              <w:top w:val="nil"/>
              <w:left w:val="single" w:sz="4" w:space="0" w:color="auto"/>
              <w:bottom w:val="single" w:sz="4" w:space="0" w:color="auto"/>
              <w:right w:val="single" w:sz="4" w:space="0" w:color="auto"/>
            </w:tcBorders>
            <w:shd w:val="clear" w:color="auto" w:fill="2F75B5"/>
            <w:noWrap/>
            <w:vAlign w:val="center"/>
            <w:hideMark/>
          </w:tcPr>
          <w:p w14:paraId="011550EB"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Cuantía de Procesos con probabilidad de fallo en contra</w:t>
            </w:r>
          </w:p>
        </w:tc>
        <w:tc>
          <w:tcPr>
            <w:tcW w:w="362" w:type="pct"/>
            <w:vMerge w:val="restart"/>
            <w:tcBorders>
              <w:top w:val="nil"/>
              <w:left w:val="single" w:sz="4" w:space="0" w:color="auto"/>
              <w:bottom w:val="single" w:sz="4" w:space="0" w:color="auto"/>
              <w:right w:val="single" w:sz="4" w:space="0" w:color="auto"/>
            </w:tcBorders>
            <w:shd w:val="clear" w:color="auto" w:fill="2F75B5"/>
            <w:noWrap/>
            <w:vAlign w:val="center"/>
            <w:hideMark/>
          </w:tcPr>
          <w:p w14:paraId="29CE09C2"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w:t>
            </w:r>
          </w:p>
        </w:tc>
      </w:tr>
      <w:tr w:rsidR="005A730B" w14:paraId="385F7076" w14:textId="77777777" w:rsidTr="005A730B">
        <w:trPr>
          <w:trHeight w:val="276"/>
        </w:trPr>
        <w:tc>
          <w:tcPr>
            <w:tcW w:w="0" w:type="auto"/>
            <w:vMerge/>
            <w:tcBorders>
              <w:top w:val="nil"/>
              <w:left w:val="single" w:sz="4" w:space="0" w:color="auto"/>
              <w:bottom w:val="single" w:sz="4" w:space="0" w:color="auto"/>
              <w:right w:val="single" w:sz="4" w:space="0" w:color="auto"/>
            </w:tcBorders>
            <w:vAlign w:val="center"/>
            <w:hideMark/>
          </w:tcPr>
          <w:p w14:paraId="586411FF" w14:textId="77777777" w:rsidR="005A730B" w:rsidRDefault="005A730B">
            <w:pPr>
              <w:rPr>
                <w:rFonts w:ascii="Arial" w:eastAsia="Times New Roman" w:hAnsi="Arial" w:cs="Arial"/>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12133E4E" w14:textId="77777777" w:rsidR="005A730B" w:rsidRDefault="005A730B">
            <w:pPr>
              <w:rPr>
                <w:rFonts w:ascii="Arial" w:eastAsia="Times New Roman" w:hAnsi="Arial" w:cs="Arial"/>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0749E193" w14:textId="77777777" w:rsidR="005A730B" w:rsidRDefault="005A730B">
            <w:pPr>
              <w:rPr>
                <w:rFonts w:ascii="Arial" w:eastAsia="Times New Roman" w:hAnsi="Arial" w:cs="Arial"/>
                <w:color w:val="FFFFFF"/>
                <w:sz w:val="18"/>
                <w:szCs w:val="18"/>
                <w:lang w:val="es-CO" w:eastAsia="es-CO"/>
              </w:rPr>
            </w:pPr>
          </w:p>
        </w:tc>
      </w:tr>
      <w:tr w:rsidR="005A730B" w14:paraId="03ED6ADD" w14:textId="77777777" w:rsidTr="005A730B">
        <w:trPr>
          <w:trHeight w:val="271"/>
        </w:trPr>
        <w:tc>
          <w:tcPr>
            <w:tcW w:w="1929" w:type="pct"/>
            <w:tcBorders>
              <w:top w:val="nil"/>
              <w:left w:val="single" w:sz="4" w:space="0" w:color="auto"/>
              <w:bottom w:val="single" w:sz="4" w:space="0" w:color="auto"/>
              <w:right w:val="single" w:sz="4" w:space="0" w:color="auto"/>
            </w:tcBorders>
            <w:noWrap/>
            <w:vAlign w:val="center"/>
            <w:hideMark/>
          </w:tcPr>
          <w:p w14:paraId="406A3137"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$20.580</w:t>
            </w:r>
          </w:p>
        </w:tc>
        <w:tc>
          <w:tcPr>
            <w:tcW w:w="2709" w:type="pct"/>
            <w:tcBorders>
              <w:top w:val="nil"/>
              <w:left w:val="nil"/>
              <w:bottom w:val="single" w:sz="4" w:space="0" w:color="auto"/>
              <w:right w:val="single" w:sz="4" w:space="0" w:color="auto"/>
            </w:tcBorders>
            <w:noWrap/>
            <w:vAlign w:val="center"/>
            <w:hideMark/>
          </w:tcPr>
          <w:p w14:paraId="44EED65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$6.543</w:t>
            </w:r>
          </w:p>
        </w:tc>
        <w:tc>
          <w:tcPr>
            <w:tcW w:w="362" w:type="pct"/>
            <w:tcBorders>
              <w:top w:val="nil"/>
              <w:left w:val="nil"/>
              <w:bottom w:val="single" w:sz="4" w:space="0" w:color="auto"/>
              <w:right w:val="single" w:sz="4" w:space="0" w:color="auto"/>
            </w:tcBorders>
            <w:noWrap/>
            <w:vAlign w:val="center"/>
            <w:hideMark/>
          </w:tcPr>
          <w:p w14:paraId="19A256EC"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31</w:t>
            </w:r>
            <w:r w:rsidR="00A57834">
              <w:rPr>
                <w:rFonts w:ascii="Arial" w:eastAsia="Times New Roman" w:hAnsi="Arial" w:cs="Arial"/>
                <w:color w:val="000000"/>
                <w:sz w:val="18"/>
                <w:szCs w:val="18"/>
                <w:lang w:val="es-CO" w:eastAsia="es-CO"/>
              </w:rPr>
              <w:t>%</w:t>
            </w:r>
          </w:p>
        </w:tc>
      </w:tr>
      <w:tr w:rsidR="005A730B" w14:paraId="6F8722F1" w14:textId="77777777" w:rsidTr="005A730B">
        <w:trPr>
          <w:trHeight w:val="276"/>
        </w:trPr>
        <w:tc>
          <w:tcPr>
            <w:tcW w:w="1929" w:type="pct"/>
            <w:vMerge w:val="restart"/>
            <w:tcBorders>
              <w:top w:val="nil"/>
              <w:left w:val="single" w:sz="4" w:space="0" w:color="auto"/>
              <w:bottom w:val="single" w:sz="4" w:space="0" w:color="auto"/>
              <w:right w:val="single" w:sz="4" w:space="0" w:color="auto"/>
            </w:tcBorders>
            <w:shd w:val="clear" w:color="auto" w:fill="2F75B5"/>
            <w:vAlign w:val="center"/>
            <w:hideMark/>
          </w:tcPr>
          <w:p w14:paraId="46294C91" w14:textId="77777777" w:rsidR="005A730B" w:rsidRDefault="005A730B">
            <w:pP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RECURSOS RUBRO SENTENCIAS Y CONCILIACIONES</w:t>
            </w:r>
          </w:p>
        </w:tc>
        <w:tc>
          <w:tcPr>
            <w:tcW w:w="2709" w:type="pct"/>
            <w:vMerge w:val="restart"/>
            <w:tcBorders>
              <w:top w:val="nil"/>
              <w:left w:val="single" w:sz="4" w:space="0" w:color="auto"/>
              <w:bottom w:val="single" w:sz="4" w:space="0" w:color="auto"/>
              <w:right w:val="single" w:sz="4" w:space="0" w:color="auto"/>
            </w:tcBorders>
            <w:shd w:val="clear" w:color="auto" w:fill="2F75B5"/>
            <w:noWrap/>
            <w:vAlign w:val="center"/>
            <w:hideMark/>
          </w:tcPr>
          <w:p w14:paraId="396B3DED"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Cuantía de Procesos con probabilidad de fallo en contra</w:t>
            </w:r>
          </w:p>
        </w:tc>
        <w:tc>
          <w:tcPr>
            <w:tcW w:w="362" w:type="pct"/>
            <w:vMerge w:val="restart"/>
            <w:tcBorders>
              <w:top w:val="nil"/>
              <w:left w:val="single" w:sz="4" w:space="0" w:color="auto"/>
              <w:bottom w:val="single" w:sz="4" w:space="0" w:color="auto"/>
              <w:right w:val="single" w:sz="4" w:space="0" w:color="auto"/>
            </w:tcBorders>
            <w:shd w:val="clear" w:color="auto" w:fill="2F75B5"/>
            <w:noWrap/>
            <w:vAlign w:val="center"/>
            <w:hideMark/>
          </w:tcPr>
          <w:p w14:paraId="62339279"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w:t>
            </w:r>
          </w:p>
        </w:tc>
      </w:tr>
      <w:tr w:rsidR="005A730B" w14:paraId="4112CAD3" w14:textId="77777777" w:rsidTr="005A730B">
        <w:trPr>
          <w:trHeight w:val="276"/>
        </w:trPr>
        <w:tc>
          <w:tcPr>
            <w:tcW w:w="0" w:type="auto"/>
            <w:vMerge/>
            <w:tcBorders>
              <w:top w:val="nil"/>
              <w:left w:val="single" w:sz="4" w:space="0" w:color="auto"/>
              <w:bottom w:val="single" w:sz="4" w:space="0" w:color="auto"/>
              <w:right w:val="single" w:sz="4" w:space="0" w:color="auto"/>
            </w:tcBorders>
            <w:vAlign w:val="center"/>
            <w:hideMark/>
          </w:tcPr>
          <w:p w14:paraId="2E54627A" w14:textId="77777777" w:rsidR="005A730B" w:rsidRDefault="005A730B">
            <w:pPr>
              <w:rPr>
                <w:rFonts w:ascii="Arial" w:eastAsia="Times New Roman" w:hAnsi="Arial" w:cs="Arial"/>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76529D96" w14:textId="77777777" w:rsidR="005A730B" w:rsidRDefault="005A730B">
            <w:pPr>
              <w:rPr>
                <w:rFonts w:ascii="Arial" w:eastAsia="Times New Roman" w:hAnsi="Arial" w:cs="Arial"/>
                <w:color w:val="FFFFFF"/>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14:paraId="5A747754" w14:textId="77777777" w:rsidR="005A730B" w:rsidRDefault="005A730B">
            <w:pPr>
              <w:rPr>
                <w:rFonts w:ascii="Arial" w:eastAsia="Times New Roman" w:hAnsi="Arial" w:cs="Arial"/>
                <w:color w:val="FFFFFF"/>
                <w:sz w:val="18"/>
                <w:szCs w:val="18"/>
                <w:lang w:val="es-CO" w:eastAsia="es-CO"/>
              </w:rPr>
            </w:pPr>
          </w:p>
        </w:tc>
      </w:tr>
      <w:tr w:rsidR="005A730B" w14:paraId="444527F8" w14:textId="77777777" w:rsidTr="005A730B">
        <w:trPr>
          <w:trHeight w:val="255"/>
        </w:trPr>
        <w:tc>
          <w:tcPr>
            <w:tcW w:w="1929" w:type="pct"/>
            <w:tcBorders>
              <w:top w:val="nil"/>
              <w:left w:val="single" w:sz="4" w:space="0" w:color="auto"/>
              <w:bottom w:val="single" w:sz="4" w:space="0" w:color="auto"/>
              <w:right w:val="single" w:sz="4" w:space="0" w:color="auto"/>
            </w:tcBorders>
            <w:noWrap/>
            <w:vAlign w:val="center"/>
            <w:hideMark/>
          </w:tcPr>
          <w:p w14:paraId="08FBDD6B"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N/A</w:t>
            </w:r>
          </w:p>
        </w:tc>
        <w:tc>
          <w:tcPr>
            <w:tcW w:w="2709" w:type="pct"/>
            <w:tcBorders>
              <w:top w:val="nil"/>
              <w:left w:val="nil"/>
              <w:bottom w:val="single" w:sz="4" w:space="0" w:color="auto"/>
              <w:right w:val="single" w:sz="4" w:space="0" w:color="auto"/>
            </w:tcBorders>
            <w:noWrap/>
            <w:vAlign w:val="center"/>
            <w:hideMark/>
          </w:tcPr>
          <w:p w14:paraId="416A0067"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$6.543</w:t>
            </w:r>
          </w:p>
        </w:tc>
        <w:tc>
          <w:tcPr>
            <w:tcW w:w="362" w:type="pct"/>
            <w:tcBorders>
              <w:top w:val="nil"/>
              <w:left w:val="nil"/>
              <w:bottom w:val="single" w:sz="4" w:space="0" w:color="auto"/>
              <w:right w:val="single" w:sz="4" w:space="0" w:color="auto"/>
            </w:tcBorders>
            <w:noWrap/>
            <w:vAlign w:val="center"/>
            <w:hideMark/>
          </w:tcPr>
          <w:p w14:paraId="1A9E418B"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N/A</w:t>
            </w:r>
          </w:p>
        </w:tc>
      </w:tr>
    </w:tbl>
    <w:p w14:paraId="2C1B30F5" w14:textId="77777777" w:rsidR="005A730B" w:rsidRDefault="005A730B" w:rsidP="005A730B">
      <w:pPr>
        <w:jc w:val="center"/>
        <w:rPr>
          <w:rFonts w:ascii="Arial" w:eastAsia="ヒラギノ角ゴ Pro W3" w:hAnsi="Arial" w:cs="Arial"/>
          <w:iCs/>
          <w:sz w:val="16"/>
          <w:szCs w:val="16"/>
          <w:lang w:val="es-CO"/>
        </w:rPr>
      </w:pPr>
      <w:r>
        <w:rPr>
          <w:rFonts w:ascii="Arial" w:eastAsia="ヒラギノ角ゴ Pro W3" w:hAnsi="Arial" w:cs="Arial"/>
          <w:iCs/>
          <w:sz w:val="16"/>
          <w:szCs w:val="16"/>
          <w:lang w:val="es-CO"/>
        </w:rPr>
        <w:t xml:space="preserve">Fuente: Departamento de Caquetá, Elaborado por la DAF. </w:t>
      </w:r>
    </w:p>
    <w:p w14:paraId="2A31F502" w14:textId="77777777" w:rsidR="005A730B" w:rsidRDefault="005A730B" w:rsidP="005A730B">
      <w:pPr>
        <w:jc w:val="both"/>
        <w:rPr>
          <w:rFonts w:ascii="Arial" w:eastAsiaTheme="minorHAnsi" w:hAnsi="Arial" w:cs="Arial"/>
          <w:i/>
          <w:sz w:val="21"/>
          <w:szCs w:val="21"/>
          <w:lang w:val="es-CO" w:eastAsia="en-US"/>
        </w:rPr>
      </w:pPr>
    </w:p>
    <w:p w14:paraId="59910493" w14:textId="77777777" w:rsidR="005A730B" w:rsidRDefault="005A730B" w:rsidP="005A730B">
      <w:pPr>
        <w:jc w:val="both"/>
        <w:rPr>
          <w:rFonts w:ascii="Arial" w:hAnsi="Arial" w:cs="Arial"/>
          <w:sz w:val="21"/>
          <w:szCs w:val="21"/>
        </w:rPr>
      </w:pPr>
      <w:r>
        <w:rPr>
          <w:rFonts w:ascii="Arial" w:hAnsi="Arial" w:cs="Arial"/>
          <w:sz w:val="21"/>
          <w:szCs w:val="21"/>
        </w:rPr>
        <w:t xml:space="preserve">De acuerdo con lo anterior, la cuantía de los recursos en litigio cuya probabilidad de fallo en contra </w:t>
      </w:r>
      <w:proofErr w:type="spellStart"/>
      <w:r>
        <w:rPr>
          <w:rFonts w:ascii="Arial" w:hAnsi="Arial" w:cs="Arial"/>
          <w:sz w:val="21"/>
          <w:szCs w:val="21"/>
        </w:rPr>
        <w:t>corresponde</w:t>
      </w:r>
      <w:proofErr w:type="spellEnd"/>
      <w:r>
        <w:rPr>
          <w:rFonts w:ascii="Arial" w:hAnsi="Arial" w:cs="Arial"/>
          <w:sz w:val="21"/>
          <w:szCs w:val="21"/>
        </w:rPr>
        <w:t xml:space="preserve"> al 11</w:t>
      </w:r>
      <w:r w:rsidR="00A57834">
        <w:rPr>
          <w:rFonts w:ascii="Arial" w:hAnsi="Arial" w:cs="Arial"/>
          <w:sz w:val="21"/>
          <w:szCs w:val="21"/>
        </w:rPr>
        <w:t>%</w:t>
      </w:r>
      <w:r>
        <w:rPr>
          <w:rFonts w:ascii="Arial" w:hAnsi="Arial" w:cs="Arial"/>
          <w:sz w:val="21"/>
          <w:szCs w:val="21"/>
        </w:rPr>
        <w:t xml:space="preserve"> de los ingresos totales de la secretaría de Salud Departamental – Fondo Local de Salud; por su parte, los ingresos de la Participación de Salud del Sistema General de Participaciones – Salud (Salud Pública,) corresponden al 31</w:t>
      </w:r>
      <w:r w:rsidR="00A57834">
        <w:rPr>
          <w:rFonts w:ascii="Arial" w:hAnsi="Arial" w:cs="Arial"/>
          <w:sz w:val="21"/>
          <w:szCs w:val="21"/>
        </w:rPr>
        <w:t>%</w:t>
      </w:r>
      <w:r>
        <w:rPr>
          <w:rFonts w:ascii="Arial" w:hAnsi="Arial" w:cs="Arial"/>
          <w:sz w:val="21"/>
          <w:szCs w:val="21"/>
        </w:rPr>
        <w:t xml:space="preserve"> de los recursos en litigio. Ahora el superávit generado por la Entidad no es suficiente para cancelar los recursos en litigio con probabilidad de fallo en contra. En cuanto al rubro de sentencias y conciliaciones no fue posible identificar en el presupuesto el valor programado para este tipo de provisión, situación contraria a la obligatoriedad de las entidades territoriales por conformar el fondo de contingencias. Ahora, contablemente se identifica el Rubro 2.4.60 de créditos judiciales con un </w:t>
      </w:r>
      <w:r>
        <w:rPr>
          <w:rFonts w:ascii="Arial" w:hAnsi="Arial" w:cs="Arial"/>
          <w:sz w:val="21"/>
          <w:szCs w:val="21"/>
        </w:rPr>
        <w:lastRenderedPageBreak/>
        <w:t>saldo final de $169 millones, valor insuficiente para el apalancamiento de los procesos con alta probabilidad de perdida por la Entidad.</w:t>
      </w:r>
    </w:p>
    <w:p w14:paraId="2B6953BF" w14:textId="77777777" w:rsidR="005A730B" w:rsidRDefault="005A730B" w:rsidP="005A730B">
      <w:pPr>
        <w:jc w:val="both"/>
        <w:rPr>
          <w:rFonts w:ascii="Arial" w:hAnsi="Arial" w:cs="Arial"/>
          <w:sz w:val="21"/>
          <w:szCs w:val="21"/>
        </w:rPr>
      </w:pPr>
    </w:p>
    <w:p w14:paraId="02BE7FC9" w14:textId="77777777" w:rsidR="005A730B" w:rsidRDefault="005A730B" w:rsidP="005A730B">
      <w:pPr>
        <w:jc w:val="both"/>
        <w:rPr>
          <w:rFonts w:ascii="Arial" w:hAnsi="Arial" w:cs="Arial"/>
          <w:sz w:val="21"/>
          <w:szCs w:val="21"/>
        </w:rPr>
      </w:pPr>
      <w:r>
        <w:rPr>
          <w:rFonts w:ascii="Arial" w:hAnsi="Arial" w:cs="Arial"/>
          <w:sz w:val="21"/>
          <w:szCs w:val="21"/>
        </w:rPr>
        <w:t>Por otra parte, en relación con los procesos de reparación directa, los cuales corresponden al 12,5</w:t>
      </w:r>
      <w:r w:rsidR="00A57834">
        <w:rPr>
          <w:rFonts w:ascii="Arial" w:hAnsi="Arial" w:cs="Arial"/>
          <w:sz w:val="21"/>
          <w:szCs w:val="21"/>
        </w:rPr>
        <w:t>%</w:t>
      </w:r>
      <w:r>
        <w:rPr>
          <w:rFonts w:ascii="Arial" w:hAnsi="Arial" w:cs="Arial"/>
          <w:sz w:val="21"/>
          <w:szCs w:val="21"/>
        </w:rPr>
        <w:t xml:space="preserve"> del total de los recursos en litigio en atención con probabilidad de fallo en contra, son de $824 millones lo que representa un riesgo aceptable para Entidad.</w:t>
      </w:r>
    </w:p>
    <w:p w14:paraId="6138FABD" w14:textId="77777777" w:rsidR="005A730B" w:rsidRDefault="005A730B" w:rsidP="005A730B">
      <w:pPr>
        <w:jc w:val="both"/>
        <w:rPr>
          <w:rFonts w:ascii="Arial" w:hAnsi="Arial" w:cs="Arial"/>
          <w:sz w:val="21"/>
          <w:szCs w:val="21"/>
        </w:rPr>
      </w:pPr>
    </w:p>
    <w:p w14:paraId="61F811C2" w14:textId="77777777" w:rsidR="005A730B" w:rsidRDefault="005A730B" w:rsidP="005A730B">
      <w:pPr>
        <w:jc w:val="center"/>
        <w:rPr>
          <w:rFonts w:ascii="Arial" w:hAnsi="Arial" w:cs="Arial"/>
          <w:b/>
          <w:sz w:val="20"/>
          <w:szCs w:val="20"/>
        </w:rPr>
      </w:pPr>
      <w:r>
        <w:rPr>
          <w:rFonts w:ascii="Arial" w:hAnsi="Arial" w:cs="Arial"/>
          <w:b/>
          <w:sz w:val="20"/>
          <w:szCs w:val="20"/>
        </w:rPr>
        <w:t>Tabla No. 20</w:t>
      </w:r>
    </w:p>
    <w:p w14:paraId="04CE1BF1" w14:textId="77777777" w:rsidR="005A730B" w:rsidRDefault="005A730B" w:rsidP="005A730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(Cifras en millones $)</w:t>
      </w:r>
    </w:p>
    <w:tbl>
      <w:tblPr>
        <w:tblW w:w="5000" w:type="pct"/>
        <w:tblCellMar>
          <w:left w:w="70" w:type="dxa"/>
          <w:right w:w="70" w:type="dxa"/>
        </w:tblCellMar>
        <w:tblLook w:val="04A0" w:firstRow="1" w:lastRow="0" w:firstColumn="1" w:lastColumn="0" w:noHBand="0" w:noVBand="1"/>
      </w:tblPr>
      <w:tblGrid>
        <w:gridCol w:w="3097"/>
        <w:gridCol w:w="2009"/>
        <w:gridCol w:w="1298"/>
        <w:gridCol w:w="2424"/>
      </w:tblGrid>
      <w:tr w:rsidR="005A730B" w14:paraId="56CA06B8" w14:textId="77777777" w:rsidTr="005A730B">
        <w:trPr>
          <w:trHeight w:val="325"/>
        </w:trPr>
        <w:tc>
          <w:tcPr>
            <w:tcW w:w="1754" w:type="pct"/>
            <w:tcBorders>
              <w:top w:val="single" w:sz="4" w:space="0" w:color="auto"/>
              <w:left w:val="single" w:sz="4" w:space="0" w:color="auto"/>
              <w:bottom w:val="single" w:sz="4" w:space="0" w:color="auto"/>
              <w:right w:val="single" w:sz="4" w:space="0" w:color="auto"/>
            </w:tcBorders>
            <w:shd w:val="clear" w:color="auto" w:fill="2F75B5"/>
            <w:noWrap/>
            <w:vAlign w:val="center"/>
            <w:hideMark/>
          </w:tcPr>
          <w:p w14:paraId="7212A592"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ACCIÓN</w:t>
            </w:r>
          </w:p>
        </w:tc>
        <w:tc>
          <w:tcPr>
            <w:tcW w:w="1138" w:type="pct"/>
            <w:tcBorders>
              <w:top w:val="single" w:sz="4" w:space="0" w:color="auto"/>
              <w:left w:val="nil"/>
              <w:bottom w:val="single" w:sz="4" w:space="0" w:color="auto"/>
              <w:right w:val="single" w:sz="4" w:space="0" w:color="auto"/>
            </w:tcBorders>
            <w:shd w:val="clear" w:color="auto" w:fill="2F75B5"/>
            <w:noWrap/>
            <w:vAlign w:val="center"/>
            <w:hideMark/>
          </w:tcPr>
          <w:p w14:paraId="5066B4A5"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No PROCESOS</w:t>
            </w:r>
          </w:p>
        </w:tc>
        <w:tc>
          <w:tcPr>
            <w:tcW w:w="735" w:type="pct"/>
            <w:tcBorders>
              <w:top w:val="single" w:sz="4" w:space="0" w:color="auto"/>
              <w:left w:val="nil"/>
              <w:bottom w:val="single" w:sz="4" w:space="0" w:color="auto"/>
              <w:right w:val="single" w:sz="4" w:space="0" w:color="auto"/>
            </w:tcBorders>
            <w:shd w:val="clear" w:color="auto" w:fill="2F75B5"/>
            <w:noWrap/>
            <w:vAlign w:val="center"/>
            <w:hideMark/>
          </w:tcPr>
          <w:p w14:paraId="0F2CF948"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CUANTIA</w:t>
            </w:r>
          </w:p>
        </w:tc>
        <w:tc>
          <w:tcPr>
            <w:tcW w:w="1373" w:type="pct"/>
            <w:tcBorders>
              <w:top w:val="single" w:sz="4" w:space="0" w:color="auto"/>
              <w:left w:val="nil"/>
              <w:bottom w:val="single" w:sz="4" w:space="0" w:color="auto"/>
              <w:right w:val="single" w:sz="4" w:space="0" w:color="auto"/>
            </w:tcBorders>
            <w:shd w:val="clear" w:color="auto" w:fill="2F75B5"/>
            <w:vAlign w:val="center"/>
            <w:hideMark/>
          </w:tcPr>
          <w:p w14:paraId="4B6402BE" w14:textId="77777777" w:rsidR="005A730B" w:rsidRDefault="005A730B">
            <w:pP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PROBABILIDAD DE FALLO</w:t>
            </w:r>
          </w:p>
        </w:tc>
      </w:tr>
      <w:tr w:rsidR="005A730B" w14:paraId="4250BB46" w14:textId="77777777" w:rsidTr="005A730B">
        <w:trPr>
          <w:trHeight w:val="203"/>
        </w:trPr>
        <w:tc>
          <w:tcPr>
            <w:tcW w:w="1754" w:type="pct"/>
            <w:tcBorders>
              <w:top w:val="nil"/>
              <w:left w:val="single" w:sz="4" w:space="0" w:color="auto"/>
              <w:bottom w:val="single" w:sz="4" w:space="0" w:color="auto"/>
              <w:right w:val="single" w:sz="4" w:space="0" w:color="auto"/>
            </w:tcBorders>
            <w:noWrap/>
            <w:vAlign w:val="center"/>
            <w:hideMark/>
          </w:tcPr>
          <w:p w14:paraId="1F709690"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REPARACION DIRECTA</w:t>
            </w:r>
          </w:p>
        </w:tc>
        <w:tc>
          <w:tcPr>
            <w:tcW w:w="1138" w:type="pct"/>
            <w:tcBorders>
              <w:top w:val="single" w:sz="4" w:space="0" w:color="auto"/>
              <w:left w:val="nil"/>
              <w:bottom w:val="single" w:sz="4" w:space="0" w:color="auto"/>
              <w:right w:val="single" w:sz="4" w:space="0" w:color="auto"/>
            </w:tcBorders>
            <w:noWrap/>
            <w:vAlign w:val="center"/>
            <w:hideMark/>
          </w:tcPr>
          <w:p w14:paraId="3D4CE45C"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w:t>
            </w:r>
          </w:p>
        </w:tc>
        <w:tc>
          <w:tcPr>
            <w:tcW w:w="735" w:type="pct"/>
            <w:tcBorders>
              <w:top w:val="single" w:sz="4" w:space="0" w:color="auto"/>
              <w:left w:val="nil"/>
              <w:bottom w:val="single" w:sz="4" w:space="0" w:color="auto"/>
              <w:right w:val="single" w:sz="4" w:space="0" w:color="auto"/>
            </w:tcBorders>
            <w:noWrap/>
            <w:vAlign w:val="center"/>
            <w:hideMark/>
          </w:tcPr>
          <w:p w14:paraId="49E1734A"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$824.0</w:t>
            </w:r>
          </w:p>
        </w:tc>
        <w:tc>
          <w:tcPr>
            <w:tcW w:w="1373" w:type="pct"/>
            <w:tcBorders>
              <w:top w:val="single" w:sz="4" w:space="0" w:color="auto"/>
              <w:left w:val="nil"/>
              <w:bottom w:val="single" w:sz="4" w:space="0" w:color="auto"/>
              <w:right w:val="single" w:sz="4" w:space="0" w:color="auto"/>
            </w:tcBorders>
            <w:noWrap/>
            <w:vAlign w:val="center"/>
            <w:hideMark/>
          </w:tcPr>
          <w:p w14:paraId="6910BDDD"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EN CONTRA</w:t>
            </w:r>
          </w:p>
        </w:tc>
      </w:tr>
    </w:tbl>
    <w:p w14:paraId="2E2D4D2A" w14:textId="77777777" w:rsidR="005A730B" w:rsidRDefault="005A730B" w:rsidP="005A730B">
      <w:pPr>
        <w:jc w:val="center"/>
        <w:rPr>
          <w:rFonts w:ascii="Arial" w:eastAsiaTheme="minorHAnsi" w:hAnsi="Arial" w:cs="Arial"/>
          <w:iCs/>
          <w:sz w:val="16"/>
          <w:szCs w:val="16"/>
          <w:lang w:val="es-CO" w:eastAsia="en-US"/>
        </w:rPr>
      </w:pPr>
      <w:r>
        <w:rPr>
          <w:rFonts w:ascii="Arial" w:eastAsia="ヒラギノ角ゴ Pro W3" w:hAnsi="Arial" w:cs="Arial"/>
          <w:iCs/>
          <w:sz w:val="16"/>
          <w:szCs w:val="16"/>
          <w:lang w:val="es-CO"/>
        </w:rPr>
        <w:t>Fuente: Departamento de Caquetá. Elaborado por la DAF</w:t>
      </w:r>
    </w:p>
    <w:p w14:paraId="1AF60AD8" w14:textId="77777777" w:rsidR="005A730B" w:rsidRDefault="005A730B" w:rsidP="005A730B">
      <w:pPr>
        <w:jc w:val="both"/>
        <w:rPr>
          <w:rFonts w:ascii="Arial" w:eastAsiaTheme="minorHAnsi" w:hAnsi="Arial" w:cs="Arial"/>
          <w:sz w:val="21"/>
          <w:szCs w:val="21"/>
          <w:lang w:val="es-CO" w:eastAsia="en-US"/>
        </w:rPr>
      </w:pPr>
    </w:p>
    <w:p w14:paraId="6C0AB7FD" w14:textId="77777777" w:rsidR="005A730B" w:rsidRDefault="005A730B" w:rsidP="005A730B">
      <w:pPr>
        <w:jc w:val="both"/>
        <w:rPr>
          <w:rFonts w:ascii="Arial" w:hAnsi="Arial" w:cs="Arial"/>
          <w:sz w:val="21"/>
          <w:szCs w:val="21"/>
        </w:rPr>
      </w:pPr>
      <w:r>
        <w:rPr>
          <w:rFonts w:ascii="Arial" w:hAnsi="Arial" w:cs="Arial"/>
          <w:sz w:val="21"/>
          <w:szCs w:val="21"/>
        </w:rPr>
        <w:t>Respecto de los procesos Ejecutivos que corresponden al 26</w:t>
      </w:r>
      <w:r w:rsidR="00A57834">
        <w:rPr>
          <w:rFonts w:ascii="Arial" w:hAnsi="Arial" w:cs="Arial"/>
          <w:sz w:val="21"/>
          <w:szCs w:val="21"/>
        </w:rPr>
        <w:t>%</w:t>
      </w:r>
      <w:r>
        <w:rPr>
          <w:rFonts w:ascii="Arial" w:hAnsi="Arial" w:cs="Arial"/>
          <w:sz w:val="21"/>
          <w:szCs w:val="21"/>
        </w:rPr>
        <w:t xml:space="preserve"> del total de los recursos en litigio en atención a la cuantía de estos, se determinó a partir de la relación entregada por la Entidad que las pretensiones se encuentran directamente relacionadas con el pago de facturas por prestación de Servicios de Salud, cuya probabilidad de fallo es en contra en los seis (6) procesos.</w:t>
      </w:r>
    </w:p>
    <w:p w14:paraId="72415599" w14:textId="77777777" w:rsidR="005A730B" w:rsidRDefault="005A730B" w:rsidP="005A730B">
      <w:pPr>
        <w:jc w:val="both"/>
        <w:rPr>
          <w:rFonts w:ascii="Arial" w:hAnsi="Arial" w:cs="Arial"/>
          <w:sz w:val="21"/>
          <w:szCs w:val="21"/>
        </w:rPr>
      </w:pPr>
    </w:p>
    <w:p w14:paraId="4F7DD5FA" w14:textId="77777777" w:rsidR="005A730B" w:rsidRDefault="005A730B" w:rsidP="005A730B">
      <w:pPr>
        <w:jc w:val="center"/>
        <w:rPr>
          <w:rFonts w:ascii="Arial" w:hAnsi="Arial" w:cs="Arial"/>
          <w:b/>
          <w:sz w:val="20"/>
          <w:szCs w:val="20"/>
        </w:rPr>
      </w:pPr>
      <w:r>
        <w:rPr>
          <w:rFonts w:ascii="Arial" w:hAnsi="Arial" w:cs="Arial"/>
          <w:b/>
          <w:sz w:val="20"/>
          <w:szCs w:val="20"/>
        </w:rPr>
        <w:t>Tabla No. 21</w:t>
      </w:r>
    </w:p>
    <w:p w14:paraId="2986BA5A" w14:textId="77777777" w:rsidR="005A730B" w:rsidRDefault="005A730B" w:rsidP="005A730B">
      <w:pPr>
        <w:ind w:left="2832" w:firstLine="708"/>
        <w:contextualSpacing/>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(Cifras en millones $)</w:t>
      </w:r>
    </w:p>
    <w:tbl>
      <w:tblPr>
        <w:tblW w:w="5066" w:type="pct"/>
        <w:tblCellMar>
          <w:left w:w="70" w:type="dxa"/>
          <w:right w:w="70" w:type="dxa"/>
        </w:tblCellMar>
        <w:tblLook w:val="04A0" w:firstRow="1" w:lastRow="0" w:firstColumn="1" w:lastColumn="0" w:noHBand="0" w:noVBand="1"/>
      </w:tblPr>
      <w:tblGrid>
        <w:gridCol w:w="1533"/>
        <w:gridCol w:w="2342"/>
        <w:gridCol w:w="1460"/>
        <w:gridCol w:w="2120"/>
        <w:gridCol w:w="1490"/>
      </w:tblGrid>
      <w:tr w:rsidR="005A730B" w14:paraId="6887C3AA" w14:textId="77777777" w:rsidTr="005A730B">
        <w:trPr>
          <w:trHeight w:val="229"/>
        </w:trPr>
        <w:tc>
          <w:tcPr>
            <w:tcW w:w="857" w:type="pct"/>
            <w:tcBorders>
              <w:top w:val="single" w:sz="4" w:space="0" w:color="auto"/>
              <w:left w:val="single" w:sz="4" w:space="0" w:color="auto"/>
              <w:bottom w:val="single" w:sz="4" w:space="0" w:color="auto"/>
              <w:right w:val="single" w:sz="4" w:space="0" w:color="auto"/>
            </w:tcBorders>
            <w:shd w:val="clear" w:color="auto" w:fill="2F75B5"/>
            <w:noWrap/>
            <w:vAlign w:val="center"/>
            <w:hideMark/>
          </w:tcPr>
          <w:p w14:paraId="30A7E311"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ACCIÓN</w:t>
            </w:r>
          </w:p>
        </w:tc>
        <w:tc>
          <w:tcPr>
            <w:tcW w:w="1309" w:type="pct"/>
            <w:tcBorders>
              <w:top w:val="single" w:sz="4" w:space="0" w:color="auto"/>
              <w:left w:val="nil"/>
              <w:bottom w:val="single" w:sz="4" w:space="0" w:color="auto"/>
              <w:right w:val="single" w:sz="4" w:space="0" w:color="auto"/>
            </w:tcBorders>
            <w:shd w:val="clear" w:color="auto" w:fill="2F75B5"/>
            <w:noWrap/>
            <w:vAlign w:val="center"/>
            <w:hideMark/>
          </w:tcPr>
          <w:p w14:paraId="33BECAE2"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MOTIVO</w:t>
            </w:r>
          </w:p>
        </w:tc>
        <w:tc>
          <w:tcPr>
            <w:tcW w:w="816" w:type="pct"/>
            <w:tcBorders>
              <w:top w:val="single" w:sz="4" w:space="0" w:color="auto"/>
              <w:left w:val="nil"/>
              <w:bottom w:val="single" w:sz="4" w:space="0" w:color="auto"/>
              <w:right w:val="single" w:sz="4" w:space="0" w:color="auto"/>
            </w:tcBorders>
            <w:shd w:val="clear" w:color="auto" w:fill="2F75B5"/>
            <w:noWrap/>
            <w:vAlign w:val="center"/>
            <w:hideMark/>
          </w:tcPr>
          <w:p w14:paraId="397A136C"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No PROCESOS</w:t>
            </w:r>
          </w:p>
        </w:tc>
        <w:tc>
          <w:tcPr>
            <w:tcW w:w="1185" w:type="pct"/>
            <w:tcBorders>
              <w:top w:val="single" w:sz="4" w:space="0" w:color="auto"/>
              <w:left w:val="nil"/>
              <w:bottom w:val="single" w:sz="4" w:space="0" w:color="auto"/>
              <w:right w:val="single" w:sz="4" w:space="0" w:color="auto"/>
            </w:tcBorders>
            <w:shd w:val="clear" w:color="auto" w:fill="2F75B5"/>
            <w:noWrap/>
            <w:vAlign w:val="center"/>
            <w:hideMark/>
          </w:tcPr>
          <w:p w14:paraId="1B47EF7A"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CUANTIA</w:t>
            </w:r>
          </w:p>
        </w:tc>
        <w:tc>
          <w:tcPr>
            <w:tcW w:w="833" w:type="pct"/>
            <w:tcBorders>
              <w:top w:val="single" w:sz="4" w:space="0" w:color="auto"/>
              <w:left w:val="nil"/>
              <w:bottom w:val="single" w:sz="4" w:space="0" w:color="auto"/>
              <w:right w:val="single" w:sz="4" w:space="0" w:color="auto"/>
            </w:tcBorders>
            <w:shd w:val="clear" w:color="auto" w:fill="2F75B5"/>
            <w:vAlign w:val="center"/>
            <w:hideMark/>
          </w:tcPr>
          <w:p w14:paraId="31BADB9C" w14:textId="77777777" w:rsidR="005A730B" w:rsidRDefault="005A730B">
            <w:pP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PROBABILIDAD DE FALLO</w:t>
            </w:r>
          </w:p>
        </w:tc>
      </w:tr>
      <w:tr w:rsidR="005A730B" w14:paraId="26196DC6" w14:textId="77777777" w:rsidTr="005A730B">
        <w:trPr>
          <w:trHeight w:val="229"/>
        </w:trPr>
        <w:tc>
          <w:tcPr>
            <w:tcW w:w="857" w:type="pct"/>
            <w:tcBorders>
              <w:top w:val="nil"/>
              <w:left w:val="single" w:sz="4" w:space="0" w:color="auto"/>
              <w:bottom w:val="single" w:sz="4" w:space="0" w:color="auto"/>
              <w:right w:val="single" w:sz="4" w:space="0" w:color="auto"/>
            </w:tcBorders>
            <w:noWrap/>
            <w:vAlign w:val="center"/>
            <w:hideMark/>
          </w:tcPr>
          <w:p w14:paraId="3B6A425A"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EJECUTIVO</w:t>
            </w:r>
          </w:p>
        </w:tc>
        <w:tc>
          <w:tcPr>
            <w:tcW w:w="1309" w:type="pct"/>
            <w:tcBorders>
              <w:top w:val="nil"/>
              <w:left w:val="nil"/>
              <w:bottom w:val="single" w:sz="4" w:space="0" w:color="auto"/>
              <w:right w:val="single" w:sz="4" w:space="0" w:color="auto"/>
            </w:tcBorders>
            <w:noWrap/>
            <w:vAlign w:val="center"/>
            <w:hideMark/>
          </w:tcPr>
          <w:p w14:paraId="76803841"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PAGO DE FACTURACION</w:t>
            </w:r>
          </w:p>
        </w:tc>
        <w:tc>
          <w:tcPr>
            <w:tcW w:w="816" w:type="pct"/>
            <w:tcBorders>
              <w:top w:val="nil"/>
              <w:left w:val="nil"/>
              <w:bottom w:val="single" w:sz="4" w:space="0" w:color="auto"/>
              <w:right w:val="single" w:sz="4" w:space="0" w:color="auto"/>
            </w:tcBorders>
            <w:noWrap/>
            <w:vAlign w:val="center"/>
            <w:hideMark/>
          </w:tcPr>
          <w:p w14:paraId="2FFB1358"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10</w:t>
            </w:r>
          </w:p>
        </w:tc>
        <w:tc>
          <w:tcPr>
            <w:tcW w:w="1185" w:type="pct"/>
            <w:tcBorders>
              <w:top w:val="nil"/>
              <w:left w:val="nil"/>
              <w:bottom w:val="single" w:sz="4" w:space="0" w:color="auto"/>
              <w:right w:val="single" w:sz="4" w:space="0" w:color="auto"/>
            </w:tcBorders>
            <w:noWrap/>
            <w:vAlign w:val="center"/>
            <w:hideMark/>
          </w:tcPr>
          <w:p w14:paraId="4E21E904" w14:textId="77777777" w:rsidR="005A730B" w:rsidRDefault="005A730B">
            <w:pPr>
              <w:jc w:val="center"/>
              <w:rPr>
                <w:rFonts w:ascii="Arial" w:eastAsia="Times New Roman" w:hAnsi="Arial" w:cs="Arial"/>
                <w:sz w:val="18"/>
                <w:szCs w:val="18"/>
                <w:lang w:val="es-CO" w:eastAsia="es-CO"/>
              </w:rPr>
            </w:pPr>
            <w:r>
              <w:rPr>
                <w:rFonts w:ascii="Arial" w:eastAsia="Times New Roman" w:hAnsi="Arial" w:cs="Arial"/>
                <w:sz w:val="18"/>
                <w:szCs w:val="18"/>
                <w:lang w:val="es-CO" w:eastAsia="es-CO"/>
              </w:rPr>
              <w:t>$3.814</w:t>
            </w:r>
          </w:p>
        </w:tc>
        <w:tc>
          <w:tcPr>
            <w:tcW w:w="833" w:type="pct"/>
            <w:tcBorders>
              <w:top w:val="nil"/>
              <w:left w:val="nil"/>
              <w:bottom w:val="single" w:sz="4" w:space="0" w:color="auto"/>
              <w:right w:val="single" w:sz="4" w:space="0" w:color="auto"/>
            </w:tcBorders>
            <w:noWrap/>
            <w:vAlign w:val="center"/>
            <w:hideMark/>
          </w:tcPr>
          <w:p w14:paraId="05F51453" w14:textId="77777777" w:rsidR="005A730B" w:rsidRDefault="005A730B">
            <w:pPr>
              <w:rPr>
                <w:rFonts w:ascii="Arial" w:eastAsia="Times New Roman" w:hAnsi="Arial" w:cs="Arial"/>
                <w:sz w:val="18"/>
                <w:szCs w:val="18"/>
                <w:lang w:val="es-CO" w:eastAsia="es-CO"/>
              </w:rPr>
            </w:pPr>
            <w:r>
              <w:rPr>
                <w:rFonts w:ascii="Arial" w:eastAsia="Times New Roman" w:hAnsi="Arial" w:cs="Arial"/>
                <w:sz w:val="18"/>
                <w:szCs w:val="18"/>
                <w:lang w:val="es-CO" w:eastAsia="es-CO"/>
              </w:rPr>
              <w:t>EN CONTRA</w:t>
            </w:r>
          </w:p>
        </w:tc>
      </w:tr>
    </w:tbl>
    <w:p w14:paraId="3895128E" w14:textId="77777777" w:rsidR="005A730B" w:rsidRDefault="005A730B" w:rsidP="005A730B">
      <w:pPr>
        <w:jc w:val="center"/>
        <w:rPr>
          <w:rFonts w:ascii="Arial" w:eastAsiaTheme="minorHAnsi" w:hAnsi="Arial" w:cs="Arial"/>
          <w:iCs/>
          <w:sz w:val="16"/>
          <w:szCs w:val="16"/>
          <w:lang w:val="es-CO" w:eastAsia="en-US"/>
        </w:rPr>
      </w:pPr>
      <w:r>
        <w:rPr>
          <w:rFonts w:ascii="Arial" w:eastAsia="ヒラギノ角ゴ Pro W3" w:hAnsi="Arial" w:cs="Arial"/>
          <w:iCs/>
          <w:sz w:val="16"/>
          <w:szCs w:val="16"/>
          <w:lang w:val="es-CO"/>
        </w:rPr>
        <w:t>Fuente: Departamento de Caquetá. Elaborado por la DAF</w:t>
      </w:r>
    </w:p>
    <w:p w14:paraId="49F5B251" w14:textId="77777777" w:rsidR="005A730B" w:rsidRDefault="005A730B" w:rsidP="005A730B">
      <w:pPr>
        <w:jc w:val="both"/>
        <w:rPr>
          <w:rFonts w:ascii="Arial" w:eastAsia="Times New Roman" w:hAnsi="Arial" w:cs="Arial"/>
          <w:sz w:val="21"/>
          <w:szCs w:val="21"/>
        </w:rPr>
      </w:pPr>
    </w:p>
    <w:p w14:paraId="71C6BA5E" w14:textId="77777777" w:rsidR="005A730B" w:rsidRDefault="005A730B" w:rsidP="005A730B">
      <w:pPr>
        <w:jc w:val="both"/>
        <w:rPr>
          <w:rFonts w:ascii="Arial" w:hAnsi="Arial" w:cs="Arial"/>
          <w:sz w:val="21"/>
          <w:szCs w:val="21"/>
        </w:rPr>
      </w:pPr>
      <w:r>
        <w:rPr>
          <w:rFonts w:ascii="Arial" w:hAnsi="Arial" w:cs="Arial"/>
          <w:sz w:val="21"/>
          <w:szCs w:val="21"/>
        </w:rPr>
        <w:t>Finalmente, sobre la relación de procesos entregados, la Administración señala que dos (2) de los procesos cuentan con medida cautelar de embargo. Así mismo, remite una certificación en la cual señala que las siguientes cuentas pertenecientes a la Secretaría de Salud, presentan embargos. Es importante precisar que las cuentas embargadas no corresponden a Cuentas Maestras:</w:t>
      </w:r>
    </w:p>
    <w:p w14:paraId="6FE8AC65" w14:textId="77777777" w:rsidR="005A730B" w:rsidRDefault="005A730B" w:rsidP="005A730B">
      <w:pPr>
        <w:jc w:val="both"/>
        <w:rPr>
          <w:rFonts w:ascii="Arial" w:hAnsi="Arial" w:cs="Arial"/>
          <w:sz w:val="21"/>
          <w:szCs w:val="21"/>
        </w:rPr>
      </w:pPr>
    </w:p>
    <w:p w14:paraId="4C2A8F75" w14:textId="77777777" w:rsidR="005A730B" w:rsidRDefault="005A730B" w:rsidP="005A730B">
      <w:pPr>
        <w:jc w:val="center"/>
        <w:rPr>
          <w:rFonts w:ascii="Arial" w:hAnsi="Arial" w:cs="Arial"/>
          <w:b/>
          <w:sz w:val="20"/>
          <w:szCs w:val="20"/>
        </w:rPr>
      </w:pPr>
      <w:r>
        <w:rPr>
          <w:rFonts w:ascii="Arial" w:hAnsi="Arial" w:cs="Arial"/>
          <w:b/>
          <w:sz w:val="20"/>
          <w:szCs w:val="20"/>
        </w:rPr>
        <w:t>Tabla No. 22</w:t>
      </w:r>
    </w:p>
    <w:p w14:paraId="17CE6395" w14:textId="77777777" w:rsidR="005A730B" w:rsidRDefault="005A730B" w:rsidP="005A730B">
      <w:pPr>
        <w:ind w:left="2832" w:firstLine="708"/>
        <w:contextualSpacing/>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(Cifras en millones $)</w:t>
      </w:r>
    </w:p>
    <w:tbl>
      <w:tblPr>
        <w:tblW w:w="8931" w:type="dxa"/>
        <w:tblInd w:w="-5" w:type="dxa"/>
        <w:tblCellMar>
          <w:left w:w="70" w:type="dxa"/>
          <w:right w:w="70" w:type="dxa"/>
        </w:tblCellMar>
        <w:tblLook w:val="04A0" w:firstRow="1" w:lastRow="0" w:firstColumn="1" w:lastColumn="0" w:noHBand="0" w:noVBand="1"/>
      </w:tblPr>
      <w:tblGrid>
        <w:gridCol w:w="1414"/>
        <w:gridCol w:w="1676"/>
        <w:gridCol w:w="2593"/>
        <w:gridCol w:w="3248"/>
      </w:tblGrid>
      <w:tr w:rsidR="005A730B" w14:paraId="03C33FB3" w14:textId="77777777" w:rsidTr="005A730B">
        <w:trPr>
          <w:trHeight w:val="289"/>
        </w:trPr>
        <w:tc>
          <w:tcPr>
            <w:tcW w:w="1414" w:type="dxa"/>
            <w:tcBorders>
              <w:top w:val="single" w:sz="4" w:space="0" w:color="auto"/>
              <w:left w:val="single" w:sz="4" w:space="0" w:color="auto"/>
              <w:bottom w:val="single" w:sz="4" w:space="0" w:color="auto"/>
              <w:right w:val="single" w:sz="4" w:space="0" w:color="auto"/>
            </w:tcBorders>
            <w:shd w:val="clear" w:color="auto" w:fill="2F75B5"/>
            <w:noWrap/>
            <w:vAlign w:val="bottom"/>
            <w:hideMark/>
          </w:tcPr>
          <w:p w14:paraId="63CF0A11"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eastAsia="es-CO"/>
              </w:rPr>
              <w:t>Banco</w:t>
            </w:r>
          </w:p>
        </w:tc>
        <w:tc>
          <w:tcPr>
            <w:tcW w:w="1676" w:type="dxa"/>
            <w:tcBorders>
              <w:top w:val="single" w:sz="4" w:space="0" w:color="auto"/>
              <w:left w:val="nil"/>
              <w:bottom w:val="single" w:sz="4" w:space="0" w:color="auto"/>
              <w:right w:val="single" w:sz="4" w:space="0" w:color="auto"/>
            </w:tcBorders>
            <w:shd w:val="clear" w:color="auto" w:fill="2F75B5"/>
            <w:noWrap/>
            <w:vAlign w:val="bottom"/>
            <w:hideMark/>
          </w:tcPr>
          <w:p w14:paraId="18C21E32"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eastAsia="es-CO"/>
              </w:rPr>
              <w:t>No. De cuenta</w:t>
            </w:r>
          </w:p>
        </w:tc>
        <w:tc>
          <w:tcPr>
            <w:tcW w:w="2593" w:type="dxa"/>
            <w:tcBorders>
              <w:top w:val="single" w:sz="4" w:space="0" w:color="auto"/>
              <w:left w:val="nil"/>
              <w:bottom w:val="single" w:sz="4" w:space="0" w:color="auto"/>
              <w:right w:val="single" w:sz="4" w:space="0" w:color="auto"/>
            </w:tcBorders>
            <w:shd w:val="clear" w:color="auto" w:fill="2F75B5"/>
            <w:noWrap/>
            <w:vAlign w:val="bottom"/>
            <w:hideMark/>
          </w:tcPr>
          <w:p w14:paraId="6A0D2CD8"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eastAsia="es-CO"/>
              </w:rPr>
              <w:t>Valor</w:t>
            </w:r>
          </w:p>
        </w:tc>
        <w:tc>
          <w:tcPr>
            <w:tcW w:w="3248" w:type="dxa"/>
            <w:tcBorders>
              <w:top w:val="single" w:sz="4" w:space="0" w:color="auto"/>
              <w:left w:val="nil"/>
              <w:bottom w:val="single" w:sz="4" w:space="0" w:color="auto"/>
              <w:right w:val="single" w:sz="4" w:space="0" w:color="auto"/>
            </w:tcBorders>
            <w:shd w:val="clear" w:color="auto" w:fill="2F75B5"/>
            <w:noWrap/>
            <w:vAlign w:val="bottom"/>
            <w:hideMark/>
          </w:tcPr>
          <w:p w14:paraId="167E3BA7" w14:textId="77777777" w:rsidR="005A730B" w:rsidRDefault="005A730B">
            <w:pPr>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eastAsia="es-CO"/>
              </w:rPr>
              <w:t>Demandante</w:t>
            </w:r>
          </w:p>
        </w:tc>
      </w:tr>
      <w:tr w:rsidR="005A730B" w14:paraId="043296C1" w14:textId="77777777" w:rsidTr="005A730B">
        <w:trPr>
          <w:trHeight w:val="434"/>
        </w:trPr>
        <w:tc>
          <w:tcPr>
            <w:tcW w:w="1414" w:type="dxa"/>
            <w:tcBorders>
              <w:top w:val="nil"/>
              <w:left w:val="single" w:sz="4" w:space="0" w:color="auto"/>
              <w:bottom w:val="single" w:sz="4" w:space="0" w:color="auto"/>
              <w:right w:val="single" w:sz="4" w:space="0" w:color="auto"/>
            </w:tcBorders>
            <w:vAlign w:val="center"/>
            <w:hideMark/>
          </w:tcPr>
          <w:p w14:paraId="746F7B2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Banco de Occidente</w:t>
            </w:r>
          </w:p>
        </w:tc>
        <w:tc>
          <w:tcPr>
            <w:tcW w:w="1676" w:type="dxa"/>
            <w:tcBorders>
              <w:top w:val="nil"/>
              <w:left w:val="nil"/>
              <w:bottom w:val="single" w:sz="4" w:space="0" w:color="auto"/>
              <w:right w:val="single" w:sz="4" w:space="0" w:color="auto"/>
            </w:tcBorders>
            <w:vAlign w:val="center"/>
            <w:hideMark/>
          </w:tcPr>
          <w:p w14:paraId="73D5AD03"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500867262</w:t>
            </w:r>
          </w:p>
        </w:tc>
        <w:tc>
          <w:tcPr>
            <w:tcW w:w="2593" w:type="dxa"/>
            <w:tcBorders>
              <w:top w:val="nil"/>
              <w:left w:val="nil"/>
              <w:bottom w:val="single" w:sz="4" w:space="0" w:color="auto"/>
              <w:right w:val="single" w:sz="4" w:space="0" w:color="auto"/>
            </w:tcBorders>
            <w:vAlign w:val="center"/>
            <w:hideMark/>
          </w:tcPr>
          <w:p w14:paraId="675B3E81"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$1.155.2</w:t>
            </w:r>
          </w:p>
        </w:tc>
        <w:tc>
          <w:tcPr>
            <w:tcW w:w="3248" w:type="dxa"/>
            <w:tcBorders>
              <w:top w:val="nil"/>
              <w:left w:val="nil"/>
              <w:bottom w:val="single" w:sz="4" w:space="0" w:color="auto"/>
              <w:right w:val="single" w:sz="4" w:space="0" w:color="auto"/>
            </w:tcBorders>
            <w:vAlign w:val="center"/>
            <w:hideMark/>
          </w:tcPr>
          <w:p w14:paraId="3279C2CA"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ASMET SALUD ESS EPS</w:t>
            </w:r>
          </w:p>
        </w:tc>
      </w:tr>
      <w:tr w:rsidR="005A730B" w14:paraId="31490B03" w14:textId="77777777" w:rsidTr="005A730B">
        <w:trPr>
          <w:trHeight w:val="502"/>
        </w:trPr>
        <w:tc>
          <w:tcPr>
            <w:tcW w:w="1414" w:type="dxa"/>
            <w:tcBorders>
              <w:top w:val="nil"/>
              <w:left w:val="single" w:sz="4" w:space="0" w:color="auto"/>
              <w:bottom w:val="single" w:sz="4" w:space="0" w:color="auto"/>
              <w:right w:val="single" w:sz="4" w:space="0" w:color="auto"/>
            </w:tcBorders>
            <w:vAlign w:val="center"/>
            <w:hideMark/>
          </w:tcPr>
          <w:p w14:paraId="23CE15A6"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Banco de Occidente</w:t>
            </w:r>
          </w:p>
        </w:tc>
        <w:tc>
          <w:tcPr>
            <w:tcW w:w="1676" w:type="dxa"/>
            <w:tcBorders>
              <w:top w:val="nil"/>
              <w:left w:val="nil"/>
              <w:bottom w:val="single" w:sz="4" w:space="0" w:color="auto"/>
              <w:right w:val="single" w:sz="4" w:space="0" w:color="auto"/>
            </w:tcBorders>
            <w:vAlign w:val="center"/>
            <w:hideMark/>
          </w:tcPr>
          <w:p w14:paraId="3421493D"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500008016</w:t>
            </w:r>
          </w:p>
        </w:tc>
        <w:tc>
          <w:tcPr>
            <w:tcW w:w="2593" w:type="dxa"/>
            <w:tcBorders>
              <w:top w:val="nil"/>
              <w:left w:val="nil"/>
              <w:bottom w:val="single" w:sz="4" w:space="0" w:color="auto"/>
              <w:right w:val="single" w:sz="4" w:space="0" w:color="auto"/>
            </w:tcBorders>
            <w:vAlign w:val="center"/>
            <w:hideMark/>
          </w:tcPr>
          <w:p w14:paraId="7C036B05"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$60.0</w:t>
            </w:r>
          </w:p>
        </w:tc>
        <w:tc>
          <w:tcPr>
            <w:tcW w:w="3248" w:type="dxa"/>
            <w:tcBorders>
              <w:top w:val="nil"/>
              <w:left w:val="nil"/>
              <w:bottom w:val="single" w:sz="4" w:space="0" w:color="auto"/>
              <w:right w:val="single" w:sz="4" w:space="0" w:color="auto"/>
            </w:tcBorders>
            <w:vAlign w:val="center"/>
            <w:hideMark/>
          </w:tcPr>
          <w:p w14:paraId="2A2D920F" w14:textId="77777777" w:rsidR="005A730B" w:rsidRDefault="005A730B">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Hospital universitario departamental Nariño</w:t>
            </w:r>
          </w:p>
        </w:tc>
      </w:tr>
    </w:tbl>
    <w:p w14:paraId="5A384974" w14:textId="77777777" w:rsidR="005A730B" w:rsidRDefault="005A730B" w:rsidP="005A730B">
      <w:pPr>
        <w:jc w:val="center"/>
        <w:rPr>
          <w:rFonts w:ascii="Arial" w:eastAsiaTheme="minorHAnsi" w:hAnsi="Arial" w:cs="Arial"/>
          <w:iCs/>
          <w:sz w:val="16"/>
          <w:szCs w:val="16"/>
          <w:lang w:val="es-CO" w:eastAsia="en-US"/>
        </w:rPr>
      </w:pPr>
      <w:r>
        <w:rPr>
          <w:rFonts w:ascii="Arial" w:eastAsia="ヒラギノ角ゴ Pro W3" w:hAnsi="Arial" w:cs="Arial"/>
          <w:iCs/>
          <w:sz w:val="16"/>
          <w:szCs w:val="16"/>
          <w:lang w:val="es-CO"/>
        </w:rPr>
        <w:t>Fuente: Departamento de Caquetá Elaborado por la DAF</w:t>
      </w:r>
    </w:p>
    <w:p w14:paraId="3C66DF67" w14:textId="77777777" w:rsidR="005A730B" w:rsidRDefault="005A730B" w:rsidP="005A730B">
      <w:pPr>
        <w:jc w:val="both"/>
        <w:rPr>
          <w:rFonts w:ascii="Arial" w:eastAsia="Times New Roman" w:hAnsi="Arial" w:cs="Arial"/>
          <w:bCs/>
          <w:iCs/>
          <w:sz w:val="21"/>
          <w:szCs w:val="21"/>
        </w:rPr>
      </w:pPr>
    </w:p>
    <w:p w14:paraId="51953A59" w14:textId="77777777" w:rsidR="005A730B" w:rsidRDefault="005A730B" w:rsidP="005A730B">
      <w:pPr>
        <w:jc w:val="both"/>
        <w:rPr>
          <w:rFonts w:ascii="Arial" w:hAnsi="Arial" w:cs="Arial"/>
          <w:sz w:val="21"/>
          <w:szCs w:val="21"/>
        </w:rPr>
      </w:pPr>
      <w:r>
        <w:rPr>
          <w:rFonts w:ascii="Arial" w:hAnsi="Arial" w:cs="Arial"/>
          <w:sz w:val="21"/>
          <w:szCs w:val="21"/>
        </w:rPr>
        <w:t>Por su parte el Tesorero Departamental adjunta certificación sobre el embargo de la cuenta correspondiente a estupefacientes No 4960-6999-6866 del banco Davivienda.</w:t>
      </w:r>
    </w:p>
    <w:p w14:paraId="64EC508E" w14:textId="77777777" w:rsidR="005A730B" w:rsidRDefault="005A730B" w:rsidP="005A730B">
      <w:pPr>
        <w:jc w:val="both"/>
        <w:rPr>
          <w:rFonts w:ascii="Arial" w:hAnsi="Arial" w:cs="Arial"/>
          <w:sz w:val="21"/>
          <w:szCs w:val="21"/>
        </w:rPr>
      </w:pPr>
    </w:p>
    <w:p w14:paraId="58DB4AD3" w14:textId="77777777" w:rsidR="005A730B" w:rsidRDefault="005A730B" w:rsidP="005A730B">
      <w:pPr>
        <w:pStyle w:val="Prrafodelista"/>
        <w:numPr>
          <w:ilvl w:val="0"/>
          <w:numId w:val="16"/>
        </w:numPr>
        <w:jc w:val="both"/>
        <w:rPr>
          <w:rFonts w:ascii="Arial" w:eastAsia="Times New Roman" w:hAnsi="Arial" w:cs="Arial"/>
          <w:b/>
          <w:sz w:val="21"/>
          <w:szCs w:val="21"/>
          <w:lang w:eastAsia="en-US"/>
        </w:rPr>
      </w:pPr>
      <w:r>
        <w:rPr>
          <w:rFonts w:ascii="Arial" w:eastAsia="Times New Roman" w:hAnsi="Arial" w:cs="Arial"/>
          <w:b/>
          <w:sz w:val="21"/>
          <w:szCs w:val="21"/>
          <w:lang w:eastAsia="en-US"/>
        </w:rPr>
        <w:t>PROBLEMÁTICA.</w:t>
      </w:r>
    </w:p>
    <w:p w14:paraId="6FD2686D" w14:textId="77777777" w:rsidR="005A730B" w:rsidRDefault="005A730B" w:rsidP="005A730B">
      <w:pPr>
        <w:jc w:val="both"/>
        <w:rPr>
          <w:rFonts w:ascii="Arial" w:eastAsia="Calibri" w:hAnsi="Arial" w:cs="Arial"/>
          <w:sz w:val="21"/>
          <w:szCs w:val="21"/>
          <w:highlight w:val="yellow"/>
          <w:lang w:val="es-ES_tradnl" w:eastAsia="en-US"/>
        </w:rPr>
      </w:pPr>
    </w:p>
    <w:p w14:paraId="75FD0D63" w14:textId="77777777" w:rsidR="005A730B" w:rsidRDefault="005A730B" w:rsidP="005A730B">
      <w:pPr>
        <w:jc w:val="both"/>
        <w:rPr>
          <w:rFonts w:ascii="Arial" w:hAnsi="Arial" w:cs="Arial"/>
          <w:sz w:val="21"/>
          <w:szCs w:val="21"/>
        </w:rPr>
      </w:pPr>
      <w:r>
        <w:rPr>
          <w:rFonts w:ascii="Arial" w:hAnsi="Arial" w:cs="Arial"/>
          <w:sz w:val="21"/>
          <w:szCs w:val="21"/>
        </w:rPr>
        <w:t xml:space="preserve">Con fundamento en lo expuesto se evidenció que el Departamento de Caquetá presenta deficiencias en el componente financiero, contable y de tesorería del Fondo Local de Salud - FLS asociadas a: i) la baja ejecución de recursos particularmente en el componente de Salud Pública y </w:t>
      </w:r>
      <w:proofErr w:type="spellStart"/>
      <w:r>
        <w:rPr>
          <w:rFonts w:ascii="Arial" w:hAnsi="Arial" w:cs="Arial"/>
          <w:sz w:val="21"/>
          <w:szCs w:val="21"/>
        </w:rPr>
        <w:t>ii</w:t>
      </w:r>
      <w:proofErr w:type="spellEnd"/>
      <w:r>
        <w:rPr>
          <w:rFonts w:ascii="Arial" w:hAnsi="Arial" w:cs="Arial"/>
          <w:sz w:val="21"/>
          <w:szCs w:val="21"/>
        </w:rPr>
        <w:t>) deficiencias en la calidad del reporte de información.</w:t>
      </w:r>
    </w:p>
    <w:p w14:paraId="07F78F78" w14:textId="77777777" w:rsidR="005A730B" w:rsidRDefault="005A730B" w:rsidP="005A730B">
      <w:pPr>
        <w:jc w:val="both"/>
        <w:rPr>
          <w:rFonts w:ascii="Arial" w:hAnsi="Arial" w:cs="Arial"/>
          <w:sz w:val="21"/>
          <w:szCs w:val="21"/>
        </w:rPr>
      </w:pPr>
    </w:p>
    <w:p w14:paraId="3F47B5DA" w14:textId="77777777" w:rsidR="005A730B" w:rsidRDefault="005A730B" w:rsidP="005A730B">
      <w:pPr>
        <w:jc w:val="both"/>
        <w:rPr>
          <w:rFonts w:ascii="Arial" w:hAnsi="Arial" w:cs="Arial"/>
          <w:sz w:val="21"/>
          <w:szCs w:val="21"/>
        </w:rPr>
      </w:pPr>
      <w:r>
        <w:rPr>
          <w:rFonts w:ascii="Arial" w:hAnsi="Arial" w:cs="Arial"/>
          <w:sz w:val="21"/>
          <w:szCs w:val="21"/>
        </w:rPr>
        <w:lastRenderedPageBreak/>
        <w:t>La información reportada a través del Formulario Único Territorial – FUT frente a la información reportada en las ejecuciones presupuestales remitidas por la Entidad Territorial se identifican inconsistencias en los valores reportados tanto en el presupuesto definitivo como en el recaudo así: a) presupuesto definitivo vigencia 2021 en el total de ingresos $56.145 millones, reportados por la Entidad en su ejecución, frente a $60.253 millones registrados en el FUT.</w:t>
      </w:r>
    </w:p>
    <w:p w14:paraId="3D183C12" w14:textId="77777777" w:rsidR="005A730B" w:rsidRDefault="005A730B" w:rsidP="005A730B">
      <w:pPr>
        <w:jc w:val="both"/>
        <w:rPr>
          <w:rFonts w:ascii="Arial" w:hAnsi="Arial" w:cs="Arial"/>
          <w:sz w:val="21"/>
          <w:szCs w:val="21"/>
        </w:rPr>
      </w:pPr>
    </w:p>
    <w:p w14:paraId="65C54A24" w14:textId="77777777" w:rsidR="005A730B" w:rsidRDefault="005A730B" w:rsidP="005A730B">
      <w:pPr>
        <w:jc w:val="both"/>
        <w:rPr>
          <w:rFonts w:ascii="Arial" w:hAnsi="Arial" w:cs="Arial"/>
          <w:sz w:val="21"/>
          <w:szCs w:val="21"/>
        </w:rPr>
      </w:pPr>
      <w:r>
        <w:rPr>
          <w:rFonts w:ascii="Arial" w:hAnsi="Arial" w:cs="Arial"/>
          <w:sz w:val="21"/>
          <w:szCs w:val="21"/>
        </w:rPr>
        <w:t>Frente al Régimen Subsidiado no se observan inconsistencias.</w:t>
      </w:r>
    </w:p>
    <w:p w14:paraId="5CBA2B7B" w14:textId="77777777" w:rsidR="005A730B" w:rsidRDefault="005A730B" w:rsidP="005A730B">
      <w:pPr>
        <w:jc w:val="both"/>
        <w:rPr>
          <w:rFonts w:ascii="Arial" w:hAnsi="Arial" w:cs="Arial"/>
          <w:sz w:val="21"/>
          <w:szCs w:val="21"/>
        </w:rPr>
      </w:pPr>
    </w:p>
    <w:p w14:paraId="6D22F6CE" w14:textId="77777777" w:rsidR="005A730B" w:rsidRDefault="005A730B" w:rsidP="005A730B">
      <w:pPr>
        <w:jc w:val="both"/>
        <w:rPr>
          <w:rFonts w:ascii="Arial" w:hAnsi="Arial" w:cs="Arial"/>
          <w:sz w:val="21"/>
          <w:szCs w:val="21"/>
        </w:rPr>
      </w:pPr>
      <w:r>
        <w:rPr>
          <w:rFonts w:ascii="Arial" w:hAnsi="Arial" w:cs="Arial"/>
          <w:sz w:val="21"/>
          <w:szCs w:val="21"/>
        </w:rPr>
        <w:t>En el componente de oferta, se encontró que la fecha de contratación con las ESE no fue oportuna para la vigencia 2020, pues la contratación se realizó a finales de octubre. Situación que fue superada en el 2021 en donde fue realizada en el mes de mayo, mostrando mayor oportunidad en los procesos de planeación, así mismo se identifica, que la Entidad Territorial suscribió seis (6) contratos interadministrativos con las IPS públicas monopolio con servicios trazadores no sostenibles de acuerdo con el listado publicado por el Ministerio de Salud y Protección Social.</w:t>
      </w:r>
    </w:p>
    <w:p w14:paraId="716336F7" w14:textId="77777777" w:rsidR="005A730B" w:rsidRDefault="005A730B" w:rsidP="005A730B">
      <w:pPr>
        <w:pStyle w:val="Default"/>
        <w:jc w:val="both"/>
        <w:rPr>
          <w:color w:val="000000" w:themeColor="text1"/>
          <w:sz w:val="21"/>
          <w:szCs w:val="21"/>
        </w:rPr>
      </w:pPr>
    </w:p>
    <w:p w14:paraId="0640A4EF" w14:textId="77777777" w:rsidR="005A730B" w:rsidRDefault="005A730B" w:rsidP="005A730B">
      <w:pPr>
        <w:pStyle w:val="Default"/>
        <w:jc w:val="both"/>
        <w:rPr>
          <w:color w:val="000000" w:themeColor="text1"/>
          <w:sz w:val="21"/>
          <w:szCs w:val="21"/>
        </w:rPr>
      </w:pPr>
      <w:r>
        <w:rPr>
          <w:color w:val="000000" w:themeColor="text1"/>
          <w:sz w:val="21"/>
          <w:szCs w:val="21"/>
        </w:rPr>
        <w:t>En cuanto al cumplimiento de lo expuesto en la Resolución 857 de 2020, en los artículos 3, 4 y 5, se pudo constatar el contenido de los convenios, así:</w:t>
      </w:r>
    </w:p>
    <w:p w14:paraId="79041A65" w14:textId="77777777" w:rsidR="005A730B" w:rsidRDefault="005A730B" w:rsidP="005A730B">
      <w:pPr>
        <w:pStyle w:val="Default"/>
        <w:jc w:val="both"/>
        <w:rPr>
          <w:color w:val="000000" w:themeColor="text1"/>
          <w:sz w:val="21"/>
          <w:szCs w:val="21"/>
        </w:rPr>
      </w:pPr>
    </w:p>
    <w:p w14:paraId="2D759006" w14:textId="77777777" w:rsidR="005A730B" w:rsidRDefault="005A730B" w:rsidP="005A730B">
      <w:pPr>
        <w:pStyle w:val="Default"/>
        <w:numPr>
          <w:ilvl w:val="0"/>
          <w:numId w:val="33"/>
        </w:numPr>
        <w:contextualSpacing/>
        <w:jc w:val="both"/>
        <w:rPr>
          <w:color w:val="000000" w:themeColor="text1"/>
          <w:sz w:val="21"/>
          <w:szCs w:val="21"/>
        </w:rPr>
      </w:pPr>
      <w:r>
        <w:rPr>
          <w:color w:val="000000" w:themeColor="text1"/>
          <w:sz w:val="21"/>
          <w:szCs w:val="21"/>
        </w:rPr>
        <w:t>El objeto del convenio.</w:t>
      </w:r>
    </w:p>
    <w:p w14:paraId="12230F6C" w14:textId="77777777" w:rsidR="005A730B" w:rsidRDefault="005A730B" w:rsidP="005A730B">
      <w:pPr>
        <w:pStyle w:val="Default"/>
        <w:numPr>
          <w:ilvl w:val="0"/>
          <w:numId w:val="33"/>
        </w:numPr>
        <w:contextualSpacing/>
        <w:jc w:val="both"/>
        <w:rPr>
          <w:color w:val="000000" w:themeColor="text1"/>
          <w:sz w:val="21"/>
          <w:szCs w:val="21"/>
        </w:rPr>
      </w:pPr>
      <w:r>
        <w:rPr>
          <w:color w:val="000000" w:themeColor="text1"/>
          <w:sz w:val="21"/>
          <w:szCs w:val="21"/>
        </w:rPr>
        <w:t>El término.</w:t>
      </w:r>
    </w:p>
    <w:p w14:paraId="66136285" w14:textId="77777777" w:rsidR="005A730B" w:rsidRDefault="005A730B" w:rsidP="005A730B">
      <w:pPr>
        <w:pStyle w:val="Default"/>
        <w:numPr>
          <w:ilvl w:val="0"/>
          <w:numId w:val="33"/>
        </w:numPr>
        <w:contextualSpacing/>
        <w:jc w:val="both"/>
        <w:rPr>
          <w:color w:val="000000" w:themeColor="text1"/>
          <w:sz w:val="21"/>
          <w:szCs w:val="21"/>
        </w:rPr>
      </w:pPr>
      <w:r>
        <w:rPr>
          <w:color w:val="000000" w:themeColor="text1"/>
          <w:sz w:val="21"/>
          <w:szCs w:val="21"/>
        </w:rPr>
        <w:t>Designación del supervisor.</w:t>
      </w:r>
    </w:p>
    <w:p w14:paraId="10B782AD" w14:textId="77777777" w:rsidR="005A730B" w:rsidRDefault="005A730B" w:rsidP="005A730B">
      <w:pPr>
        <w:pStyle w:val="Default"/>
        <w:numPr>
          <w:ilvl w:val="0"/>
          <w:numId w:val="33"/>
        </w:numPr>
        <w:contextualSpacing/>
        <w:jc w:val="both"/>
        <w:rPr>
          <w:color w:val="000000" w:themeColor="text1"/>
          <w:sz w:val="21"/>
          <w:szCs w:val="21"/>
        </w:rPr>
      </w:pPr>
      <w:r>
        <w:rPr>
          <w:color w:val="000000" w:themeColor="text1"/>
          <w:sz w:val="21"/>
          <w:szCs w:val="21"/>
        </w:rPr>
        <w:t>Garantía de la operación.</w:t>
      </w:r>
    </w:p>
    <w:p w14:paraId="6B1CF213" w14:textId="77777777" w:rsidR="005A730B" w:rsidRDefault="005A730B" w:rsidP="005A730B">
      <w:pPr>
        <w:pStyle w:val="Default"/>
        <w:numPr>
          <w:ilvl w:val="0"/>
          <w:numId w:val="33"/>
        </w:numPr>
        <w:contextualSpacing/>
        <w:jc w:val="both"/>
        <w:rPr>
          <w:color w:val="000000" w:themeColor="text1"/>
          <w:sz w:val="21"/>
          <w:szCs w:val="21"/>
        </w:rPr>
      </w:pPr>
      <w:r>
        <w:rPr>
          <w:color w:val="000000" w:themeColor="text1"/>
          <w:sz w:val="21"/>
          <w:szCs w:val="21"/>
        </w:rPr>
        <w:t>Indicadores y metas para cumplir.</w:t>
      </w:r>
    </w:p>
    <w:p w14:paraId="507FAAD4" w14:textId="77777777" w:rsidR="005A730B" w:rsidRDefault="005A730B" w:rsidP="005A730B">
      <w:pPr>
        <w:pStyle w:val="Default"/>
        <w:numPr>
          <w:ilvl w:val="0"/>
          <w:numId w:val="33"/>
        </w:numPr>
        <w:contextualSpacing/>
        <w:jc w:val="both"/>
        <w:rPr>
          <w:color w:val="000000" w:themeColor="text1"/>
          <w:sz w:val="21"/>
          <w:szCs w:val="21"/>
        </w:rPr>
      </w:pPr>
      <w:r>
        <w:rPr>
          <w:color w:val="000000" w:themeColor="text1"/>
          <w:sz w:val="21"/>
          <w:szCs w:val="21"/>
        </w:rPr>
        <w:t>Giro de los recursos realizado según lo expuesto en el contrato interadministrativo.</w:t>
      </w:r>
    </w:p>
    <w:p w14:paraId="4CC95E75" w14:textId="77777777" w:rsidR="005A730B" w:rsidRDefault="005A730B" w:rsidP="005A730B">
      <w:pPr>
        <w:pStyle w:val="Default"/>
        <w:jc w:val="both"/>
        <w:rPr>
          <w:color w:val="000000" w:themeColor="text1"/>
          <w:sz w:val="21"/>
          <w:szCs w:val="21"/>
        </w:rPr>
      </w:pPr>
    </w:p>
    <w:p w14:paraId="6439875E" w14:textId="77777777" w:rsidR="005A730B" w:rsidRDefault="005A730B" w:rsidP="005A730B">
      <w:pPr>
        <w:pStyle w:val="Default"/>
        <w:jc w:val="both"/>
        <w:rPr>
          <w:color w:val="auto"/>
          <w:sz w:val="21"/>
          <w:szCs w:val="21"/>
        </w:rPr>
      </w:pPr>
      <w:r>
        <w:rPr>
          <w:sz w:val="21"/>
          <w:szCs w:val="21"/>
        </w:rPr>
        <w:t>De acuerdo con los informes de supervisión remitidos se evidencia el cumplimiento de las actividades contempladas en cada uno de los contratos suscritos con las ESE.</w:t>
      </w:r>
    </w:p>
    <w:p w14:paraId="0E0B0B53" w14:textId="77777777" w:rsidR="005A730B" w:rsidRDefault="005A730B" w:rsidP="005A730B">
      <w:pPr>
        <w:jc w:val="both"/>
        <w:rPr>
          <w:rFonts w:ascii="Arial" w:hAnsi="Arial" w:cs="Arial"/>
          <w:sz w:val="21"/>
          <w:szCs w:val="21"/>
        </w:rPr>
      </w:pPr>
    </w:p>
    <w:p w14:paraId="58BE3163" w14:textId="77777777" w:rsidR="005A730B" w:rsidRDefault="005A730B" w:rsidP="005A730B">
      <w:pPr>
        <w:jc w:val="both"/>
        <w:rPr>
          <w:rFonts w:ascii="Arial" w:hAnsi="Arial" w:cs="Arial"/>
          <w:sz w:val="21"/>
          <w:szCs w:val="21"/>
        </w:rPr>
      </w:pPr>
      <w:r>
        <w:rPr>
          <w:rFonts w:ascii="Arial" w:hAnsi="Arial" w:cs="Arial"/>
          <w:sz w:val="21"/>
          <w:szCs w:val="21"/>
        </w:rPr>
        <w:t xml:space="preserve">Ahora bien, en el marco de Salud Pública, respecto a la contratación de Gestión de la Salud Pública para las vigencias 2020 y 2021 se evidenciaron situaciones como: i) uso del recurso del SGP - Salud Pública para financiar gastos no permitidos y </w:t>
      </w:r>
      <w:proofErr w:type="spellStart"/>
      <w:r>
        <w:rPr>
          <w:rFonts w:ascii="Arial" w:hAnsi="Arial" w:cs="Arial"/>
          <w:sz w:val="21"/>
          <w:szCs w:val="21"/>
        </w:rPr>
        <w:t>ii</w:t>
      </w:r>
      <w:proofErr w:type="spellEnd"/>
      <w:r>
        <w:rPr>
          <w:rFonts w:ascii="Arial" w:hAnsi="Arial" w:cs="Arial"/>
          <w:sz w:val="21"/>
          <w:szCs w:val="21"/>
        </w:rPr>
        <w:t xml:space="preserve">) contratación, por periodos muy cortos (6 meses) que son nuevamente contratados en la misma vigencia, </w:t>
      </w:r>
      <w:r>
        <w:rPr>
          <w:rFonts w:ascii="Arial" w:hAnsi="Arial" w:cs="Arial"/>
          <w:bCs/>
          <w:sz w:val="21"/>
          <w:szCs w:val="21"/>
        </w:rPr>
        <w:t>situación que muestra problemas en la planeación</w:t>
      </w:r>
      <w:r>
        <w:rPr>
          <w:rFonts w:ascii="Arial" w:hAnsi="Arial" w:cs="Arial"/>
          <w:sz w:val="21"/>
          <w:szCs w:val="21"/>
        </w:rPr>
        <w:t>.</w:t>
      </w:r>
    </w:p>
    <w:p w14:paraId="137992B0" w14:textId="77777777" w:rsidR="005A730B" w:rsidRDefault="005A730B" w:rsidP="005A730B">
      <w:pPr>
        <w:jc w:val="both"/>
        <w:rPr>
          <w:rFonts w:ascii="Arial" w:hAnsi="Arial" w:cs="Arial"/>
          <w:sz w:val="21"/>
          <w:szCs w:val="21"/>
        </w:rPr>
      </w:pPr>
    </w:p>
    <w:p w14:paraId="39FD16BF" w14:textId="77777777" w:rsidR="005A730B" w:rsidRDefault="005A730B" w:rsidP="005A730B">
      <w:pPr>
        <w:jc w:val="both"/>
        <w:rPr>
          <w:rFonts w:ascii="Arial" w:hAnsi="Arial" w:cs="Arial"/>
          <w:sz w:val="21"/>
          <w:szCs w:val="21"/>
        </w:rPr>
      </w:pPr>
      <w:r>
        <w:rPr>
          <w:rFonts w:ascii="Arial" w:hAnsi="Arial" w:cs="Arial"/>
          <w:sz w:val="21"/>
          <w:szCs w:val="21"/>
        </w:rPr>
        <w:t>En cuanto a la Red de Laboratorios de Salud Pública del Departamento se destaca que la Entidad Territorial no cuenta con el comité técnico que establece la Resolución 2323 de 2006 impactando la toma de decisiones en materia de Salud Pública en el territorio, además de incumplir los estándares de calidad en Salud Pública - ECSP que el Instituto Nacional de Salud - INS y del Instituto Nacional de Vigilancia de Medicamentos y Alimentos - Invima han determinado, así como también los componentes misionales y las capacidades básicas que ha definido el Ministerio de Salud y Protección Social.</w:t>
      </w:r>
    </w:p>
    <w:p w14:paraId="3D5E68B1" w14:textId="77777777" w:rsidR="005A730B" w:rsidRDefault="005A730B" w:rsidP="005A730B">
      <w:pPr>
        <w:jc w:val="both"/>
        <w:rPr>
          <w:rFonts w:ascii="Arial" w:hAnsi="Arial" w:cs="Arial"/>
          <w:sz w:val="21"/>
          <w:szCs w:val="21"/>
        </w:rPr>
      </w:pPr>
    </w:p>
    <w:p w14:paraId="69E316D4" w14:textId="77777777" w:rsidR="005A730B" w:rsidRDefault="005A730B" w:rsidP="005A730B">
      <w:pPr>
        <w:jc w:val="both"/>
        <w:rPr>
          <w:rFonts w:ascii="Arial" w:hAnsi="Arial" w:cs="Arial"/>
          <w:sz w:val="21"/>
          <w:szCs w:val="21"/>
        </w:rPr>
      </w:pPr>
      <w:r>
        <w:rPr>
          <w:rFonts w:ascii="Arial" w:hAnsi="Arial" w:cs="Arial"/>
          <w:sz w:val="21"/>
          <w:szCs w:val="21"/>
        </w:rPr>
        <w:t>En cuanto a los procesos judiciales se observa que, aunque se presenta un alto riesgo a las finanzas del ente territorial, por cuanto el valor de las pretensiones corresponde al 55</w:t>
      </w:r>
      <w:r w:rsidR="00A57834">
        <w:rPr>
          <w:rFonts w:ascii="Arial" w:hAnsi="Arial" w:cs="Arial"/>
          <w:sz w:val="21"/>
          <w:szCs w:val="21"/>
        </w:rPr>
        <w:t>%</w:t>
      </w:r>
      <w:r>
        <w:rPr>
          <w:rFonts w:ascii="Arial" w:hAnsi="Arial" w:cs="Arial"/>
          <w:sz w:val="21"/>
          <w:szCs w:val="21"/>
        </w:rPr>
        <w:t xml:space="preserve"> del total de ingresos, las mismas tiene una alta probabilidad de fallo a favor de la Entidad Territorial.</w:t>
      </w:r>
    </w:p>
    <w:p w14:paraId="47EFBCA0" w14:textId="77777777" w:rsidR="005A730B" w:rsidRDefault="005A730B" w:rsidP="005A730B">
      <w:pPr>
        <w:rPr>
          <w:rFonts w:ascii="Arial" w:eastAsia="Calibri" w:hAnsi="Arial" w:cs="Arial"/>
          <w:sz w:val="21"/>
          <w:szCs w:val="21"/>
          <w:lang w:val="es-CO" w:eastAsia="en-US"/>
        </w:rPr>
      </w:pPr>
      <w:r>
        <w:rPr>
          <w:rFonts w:ascii="Arial" w:eastAsia="Calibri" w:hAnsi="Arial" w:cs="Arial"/>
          <w:sz w:val="21"/>
          <w:szCs w:val="21"/>
          <w:lang w:val="es-CO" w:eastAsia="en-US"/>
        </w:rPr>
        <w:br w:type="page"/>
      </w:r>
    </w:p>
    <w:p w14:paraId="53241865" w14:textId="77777777" w:rsidR="005A730B" w:rsidRDefault="005A730B" w:rsidP="005A730B">
      <w:pPr>
        <w:pStyle w:val="Prrafodelista"/>
        <w:numPr>
          <w:ilvl w:val="0"/>
          <w:numId w:val="16"/>
        </w:numPr>
        <w:jc w:val="both"/>
        <w:rPr>
          <w:rFonts w:ascii="Arial" w:eastAsia="Calibri" w:hAnsi="Arial" w:cs="Arial"/>
          <w:b/>
          <w:bCs/>
          <w:sz w:val="21"/>
          <w:szCs w:val="21"/>
          <w:lang w:val="es-CO" w:eastAsia="en-US"/>
        </w:rPr>
      </w:pPr>
      <w:r>
        <w:rPr>
          <w:rFonts w:ascii="Arial" w:eastAsia="Calibri" w:hAnsi="Arial" w:cs="Arial"/>
          <w:b/>
          <w:bCs/>
          <w:sz w:val="21"/>
          <w:szCs w:val="21"/>
          <w:lang w:val="es-CO" w:eastAsia="en-US"/>
        </w:rPr>
        <w:lastRenderedPageBreak/>
        <w:t>CONCLUSIONES Y RECOMENDACION DE MEDIDA</w:t>
      </w:r>
    </w:p>
    <w:p w14:paraId="2AC8C577" w14:textId="77777777" w:rsidR="005A730B" w:rsidRDefault="005A730B" w:rsidP="005A730B">
      <w:pPr>
        <w:jc w:val="both"/>
        <w:rPr>
          <w:rFonts w:ascii="Arial" w:eastAsia="Calibri" w:hAnsi="Arial" w:cs="Arial"/>
          <w:sz w:val="21"/>
          <w:szCs w:val="21"/>
          <w:lang w:val="es-CO" w:eastAsia="en-US"/>
        </w:rPr>
      </w:pPr>
    </w:p>
    <w:p w14:paraId="734C39D9" w14:textId="77777777" w:rsidR="005A730B" w:rsidRDefault="005A730B" w:rsidP="005A730B">
      <w:pPr>
        <w:jc w:val="both"/>
        <w:rPr>
          <w:rFonts w:ascii="Arial" w:hAnsi="Arial" w:cs="Arial"/>
          <w:sz w:val="21"/>
          <w:szCs w:val="21"/>
        </w:rPr>
      </w:pPr>
      <w:r>
        <w:rPr>
          <w:rFonts w:ascii="Arial" w:hAnsi="Arial" w:cs="Arial"/>
          <w:sz w:val="21"/>
          <w:szCs w:val="21"/>
        </w:rPr>
        <w:t>A partir del análisis de la información remitida por el Departamento de Caquetá, se evidenció la existencia de los siguientes eventos de riesgo, definidos en el artículo 9 del Decreto 028 de 2009, en relación con el uso de los recursos del Sistema en General de Participaciones el Sector Salud: 9.4. “</w:t>
      </w:r>
      <w:r>
        <w:rPr>
          <w:rFonts w:ascii="Arial" w:hAnsi="Arial" w:cs="Arial"/>
          <w:i/>
          <w:iCs/>
          <w:sz w:val="21"/>
          <w:szCs w:val="21"/>
        </w:rPr>
        <w:t>Cambio en la destinación de los recursos</w:t>
      </w:r>
      <w:r>
        <w:rPr>
          <w:rFonts w:ascii="Arial" w:hAnsi="Arial" w:cs="Arial"/>
          <w:sz w:val="21"/>
          <w:szCs w:val="21"/>
        </w:rPr>
        <w:t>” y 9.18. “</w:t>
      </w:r>
      <w:r>
        <w:rPr>
          <w:rFonts w:ascii="Arial" w:hAnsi="Arial" w:cs="Arial"/>
          <w:i/>
          <w:iCs/>
          <w:sz w:val="21"/>
          <w:szCs w:val="21"/>
        </w:rPr>
        <w:t xml:space="preserve">Aquella situación </w:t>
      </w:r>
      <w:proofErr w:type="gramStart"/>
      <w:r>
        <w:rPr>
          <w:rFonts w:ascii="Arial" w:hAnsi="Arial" w:cs="Arial"/>
          <w:i/>
          <w:iCs/>
          <w:sz w:val="21"/>
          <w:szCs w:val="21"/>
        </w:rPr>
        <w:t>que</w:t>
      </w:r>
      <w:proofErr w:type="gramEnd"/>
      <w:r>
        <w:rPr>
          <w:rFonts w:ascii="Arial" w:hAnsi="Arial" w:cs="Arial"/>
          <w:i/>
          <w:iCs/>
          <w:sz w:val="21"/>
          <w:szCs w:val="21"/>
        </w:rPr>
        <w:t xml:space="preserv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Pr>
          <w:rFonts w:ascii="Arial" w:hAnsi="Arial" w:cs="Arial"/>
          <w:sz w:val="21"/>
          <w:szCs w:val="21"/>
        </w:rPr>
        <w:t>”.</w:t>
      </w:r>
    </w:p>
    <w:p w14:paraId="4E542EF2" w14:textId="77777777" w:rsidR="005A730B" w:rsidRDefault="005A730B" w:rsidP="005A730B">
      <w:pPr>
        <w:jc w:val="both"/>
        <w:rPr>
          <w:rFonts w:ascii="Arial" w:hAnsi="Arial" w:cs="Arial"/>
          <w:sz w:val="21"/>
          <w:szCs w:val="21"/>
        </w:rPr>
      </w:pPr>
    </w:p>
    <w:p w14:paraId="0E99D029" w14:textId="77777777" w:rsidR="005A730B" w:rsidRDefault="005A730B" w:rsidP="005A730B">
      <w:pPr>
        <w:jc w:val="both"/>
        <w:rPr>
          <w:rFonts w:ascii="Arial" w:hAnsi="Arial" w:cs="Arial"/>
          <w:sz w:val="21"/>
          <w:szCs w:val="21"/>
        </w:rPr>
      </w:pPr>
      <w:r>
        <w:rPr>
          <w:rFonts w:ascii="Arial" w:hAnsi="Arial" w:cs="Arial"/>
          <w:sz w:val="21"/>
          <w:szCs w:val="21"/>
        </w:rPr>
        <w:t xml:space="preserve">Con base en los riesgos identificados y en el marco de las funciones asignadas en los Decretos 028 de 2008 y 1068 de 2015, relacionadas con la coordinación de la ejecución de las actividades de monitoreo, seguimiento y control al uso de recursos del SGP, se recomienda la adopción de la Medida Preventiva de Plan de Desempeño en el Sector Salud, encaminada a lograr la actualización y correcta administración del Fondo Local de Salud de acuerdo con las directrices normativas vigentes, desde el ámbito presupuestal, contable y de tesorería, alcanzar niveles más eficientes en la ejecución de los recursos del Sector, mejorar la calidad y consistencia del reporte de información, mitigar el riesgo de afectación sobre los recursos del Sector derivado de actuaciones judiciales, mejorar los procesos de planeación financiera, ejecutar las actuaciones necesarias para corregir conductas en las etapas precontractuales, contractuales y </w:t>
      </w:r>
      <w:proofErr w:type="spellStart"/>
      <w:r>
        <w:rPr>
          <w:rFonts w:ascii="Arial" w:hAnsi="Arial" w:cs="Arial"/>
          <w:sz w:val="21"/>
          <w:szCs w:val="21"/>
        </w:rPr>
        <w:t>poscontractuales</w:t>
      </w:r>
      <w:proofErr w:type="spellEnd"/>
      <w:r>
        <w:rPr>
          <w:rFonts w:ascii="Arial" w:hAnsi="Arial" w:cs="Arial"/>
          <w:sz w:val="21"/>
          <w:szCs w:val="21"/>
        </w:rPr>
        <w:t xml:space="preserve"> que contribuyan en la mitigación de situaciones asociadas a la destinación y ejecución de los recursos asignados al componente de Salud Pública, conforme lo prevé la normatividad vigente; y mejorar las condiciones de operación del Laboratorio de Salud Pública..</w:t>
      </w:r>
    </w:p>
    <w:p w14:paraId="3DD36AFE" w14:textId="77777777" w:rsidR="005A730B" w:rsidRDefault="005A730B" w:rsidP="005A730B">
      <w:pPr>
        <w:jc w:val="both"/>
        <w:rPr>
          <w:rFonts w:ascii="Arial" w:hAnsi="Arial" w:cs="Arial"/>
          <w:sz w:val="21"/>
          <w:szCs w:val="21"/>
        </w:rPr>
      </w:pPr>
    </w:p>
    <w:p w14:paraId="72BC71A8" w14:textId="77777777" w:rsidR="005A730B" w:rsidRDefault="005A730B" w:rsidP="005A730B">
      <w:pPr>
        <w:pStyle w:val="Prrafodelista"/>
        <w:numPr>
          <w:ilvl w:val="0"/>
          <w:numId w:val="16"/>
        </w:numPr>
        <w:jc w:val="both"/>
        <w:rPr>
          <w:rFonts w:ascii="Arial" w:hAnsi="Arial" w:cs="Arial"/>
          <w:b/>
          <w:sz w:val="21"/>
          <w:szCs w:val="21"/>
        </w:rPr>
      </w:pPr>
      <w:r>
        <w:rPr>
          <w:rFonts w:ascii="Arial" w:hAnsi="Arial" w:cs="Arial"/>
          <w:b/>
          <w:sz w:val="21"/>
          <w:szCs w:val="21"/>
        </w:rPr>
        <w:t>EVENTOS DE RIESGO IDENTIFICADOS EN EL MARCO DEL DECRETO 028 DE 2008.</w:t>
      </w:r>
    </w:p>
    <w:p w14:paraId="42611CA3" w14:textId="77777777" w:rsidR="005A730B" w:rsidRDefault="005A730B" w:rsidP="005A730B">
      <w:pPr>
        <w:rPr>
          <w:rFonts w:ascii="Arial" w:eastAsiaTheme="minorHAnsi" w:hAnsi="Arial" w:cs="Arial"/>
          <w:sz w:val="21"/>
          <w:szCs w:val="21"/>
          <w:lang w:val="es-CO" w:eastAsia="en-US"/>
        </w:rPr>
      </w:pPr>
    </w:p>
    <w:p w14:paraId="2294748E" w14:textId="77777777" w:rsidR="005A730B" w:rsidRDefault="005A730B" w:rsidP="005A730B">
      <w:pPr>
        <w:pStyle w:val="NormalWeb"/>
        <w:spacing w:before="0" w:beforeAutospacing="0" w:after="0"/>
        <w:contextualSpacing/>
        <w:rPr>
          <w:rFonts w:ascii="Arial" w:eastAsia="Arial Narrow" w:hAnsi="Arial" w:cs="Arial"/>
          <w:b/>
          <w:bCs/>
          <w:color w:val="000000" w:themeColor="text1"/>
          <w:sz w:val="21"/>
          <w:szCs w:val="21"/>
          <w:lang w:val="es-CO" w:eastAsia="en-US"/>
        </w:rPr>
      </w:pPr>
      <w:r>
        <w:rPr>
          <w:rFonts w:ascii="Arial" w:eastAsia="Arial Narrow" w:hAnsi="Arial" w:cs="Arial"/>
          <w:b/>
          <w:bCs/>
          <w:color w:val="000000" w:themeColor="text1"/>
          <w:sz w:val="21"/>
          <w:szCs w:val="21"/>
          <w:lang w:val="es-CO" w:eastAsia="en-US"/>
        </w:rPr>
        <w:t>EVENTO DE RIESGO 9.4. “</w:t>
      </w:r>
      <w:r>
        <w:rPr>
          <w:rFonts w:ascii="Arial" w:eastAsia="Arial Narrow" w:hAnsi="Arial" w:cs="Arial"/>
          <w:b/>
          <w:bCs/>
          <w:i/>
          <w:iCs/>
          <w:color w:val="000000" w:themeColor="text1"/>
          <w:sz w:val="21"/>
          <w:szCs w:val="21"/>
          <w:lang w:val="es-CO" w:eastAsia="en-US"/>
        </w:rPr>
        <w:t>Cambio en la destinación de los recursos</w:t>
      </w:r>
      <w:r>
        <w:rPr>
          <w:rFonts w:ascii="Arial" w:eastAsia="Arial Narrow" w:hAnsi="Arial" w:cs="Arial"/>
          <w:b/>
          <w:bCs/>
          <w:color w:val="000000" w:themeColor="text1"/>
          <w:sz w:val="21"/>
          <w:szCs w:val="21"/>
          <w:lang w:val="es-CO" w:eastAsia="en-US"/>
        </w:rPr>
        <w:t>”.</w:t>
      </w:r>
    </w:p>
    <w:p w14:paraId="34482F2C" w14:textId="77777777" w:rsidR="005A730B" w:rsidRDefault="005A730B" w:rsidP="005A730B">
      <w:pPr>
        <w:jc w:val="both"/>
        <w:rPr>
          <w:rFonts w:ascii="Arial" w:eastAsia="Arial Narrow" w:hAnsi="Arial" w:cs="Arial"/>
          <w:color w:val="000000" w:themeColor="text1"/>
          <w:sz w:val="21"/>
          <w:szCs w:val="21"/>
          <w:lang w:val="es-CO" w:eastAsia="en-US"/>
        </w:rPr>
      </w:pPr>
      <w:bookmarkStart w:id="1" w:name="_Hlk103768102"/>
    </w:p>
    <w:bookmarkEnd w:id="1"/>
    <w:p w14:paraId="50467EAE" w14:textId="77777777" w:rsidR="005A730B" w:rsidRDefault="005A730B" w:rsidP="005A730B">
      <w:pPr>
        <w:jc w:val="both"/>
        <w:rPr>
          <w:rFonts w:ascii="Arial" w:eastAsia="Arial Narrow" w:hAnsi="Arial" w:cs="Arial"/>
          <w:color w:val="000000" w:themeColor="text1"/>
          <w:sz w:val="21"/>
          <w:szCs w:val="21"/>
          <w:lang w:val="es-CO" w:eastAsia="en-US"/>
        </w:rPr>
      </w:pPr>
      <w:r>
        <w:rPr>
          <w:rFonts w:ascii="Arial" w:eastAsia="Arial Narrow" w:hAnsi="Arial" w:cs="Arial"/>
          <w:color w:val="000000" w:themeColor="text1"/>
          <w:sz w:val="21"/>
          <w:szCs w:val="21"/>
          <w:lang w:val="es-CO" w:eastAsia="en-US"/>
        </w:rPr>
        <w:t>El artículo 47 de la Ley 715 de 2001 modificado por el artículo 233 de la Ley 1955 de 2019 estableció la destinación y distribución de los recursos del Sistema General de Participaciones, determinando que el 10</w:t>
      </w:r>
      <w:r w:rsidR="00A57834">
        <w:rPr>
          <w:rFonts w:ascii="Arial" w:eastAsia="Arial Narrow" w:hAnsi="Arial" w:cs="Arial"/>
          <w:color w:val="000000" w:themeColor="text1"/>
          <w:sz w:val="21"/>
          <w:szCs w:val="21"/>
          <w:lang w:val="es-CO" w:eastAsia="en-US"/>
        </w:rPr>
        <w:t>%</w:t>
      </w:r>
      <w:r>
        <w:rPr>
          <w:rFonts w:ascii="Arial" w:eastAsia="Arial Narrow" w:hAnsi="Arial" w:cs="Arial"/>
          <w:color w:val="000000" w:themeColor="text1"/>
          <w:sz w:val="21"/>
          <w:szCs w:val="21"/>
          <w:lang w:val="es-CO" w:eastAsia="en-US"/>
        </w:rPr>
        <w:t xml:space="preserve"> de destinará al componente de Salud Pública y 3</w:t>
      </w:r>
      <w:r w:rsidR="00A57834">
        <w:rPr>
          <w:rFonts w:ascii="Arial" w:eastAsia="Arial Narrow" w:hAnsi="Arial" w:cs="Arial"/>
          <w:color w:val="000000" w:themeColor="text1"/>
          <w:sz w:val="21"/>
          <w:szCs w:val="21"/>
          <w:lang w:val="es-CO" w:eastAsia="en-US"/>
        </w:rPr>
        <w:t>%</w:t>
      </w:r>
      <w:r>
        <w:rPr>
          <w:rFonts w:ascii="Arial" w:eastAsia="Arial Narrow" w:hAnsi="Arial" w:cs="Arial"/>
          <w:color w:val="000000" w:themeColor="text1"/>
          <w:sz w:val="21"/>
          <w:szCs w:val="21"/>
          <w:lang w:val="es-CO" w:eastAsia="en-US"/>
        </w:rPr>
        <w:t xml:space="preserve"> para el Subsidio a la Oferta.</w:t>
      </w:r>
    </w:p>
    <w:p w14:paraId="3B76AEEE" w14:textId="77777777" w:rsidR="005A730B" w:rsidRDefault="005A730B" w:rsidP="005A730B">
      <w:pPr>
        <w:jc w:val="both"/>
        <w:rPr>
          <w:rFonts w:ascii="Arial" w:eastAsia="Arial Narrow" w:hAnsi="Arial" w:cs="Arial"/>
          <w:color w:val="000000" w:themeColor="text1"/>
          <w:sz w:val="21"/>
          <w:szCs w:val="21"/>
          <w:lang w:val="es-CO" w:eastAsia="en-US"/>
        </w:rPr>
      </w:pPr>
    </w:p>
    <w:p w14:paraId="5321B282" w14:textId="77777777" w:rsidR="005A730B" w:rsidRDefault="005A730B" w:rsidP="005A730B">
      <w:pPr>
        <w:jc w:val="both"/>
        <w:rPr>
          <w:rStyle w:val="normaltextrun"/>
          <w:color w:val="000000"/>
          <w:shd w:val="clear" w:color="auto" w:fill="FFFFFF"/>
        </w:rPr>
      </w:pPr>
      <w:r>
        <w:rPr>
          <w:rFonts w:ascii="Arial" w:eastAsia="Arial Narrow" w:hAnsi="Arial" w:cs="Arial"/>
          <w:color w:val="000000" w:themeColor="text1"/>
          <w:sz w:val="21"/>
          <w:szCs w:val="21"/>
          <w:lang w:val="es-CO" w:eastAsia="en-US"/>
        </w:rPr>
        <w:t>Respecto del Subcomponente de Salud Pública, el numeral 43.3 del artículo 43 de la Ley 715 de 2001, establece las competencias que en este ámbito deben ejercer los Departamentos, estableciendo; entre otras, que les corresponde adoptar, difundir, implantar y ejecutar la política de Salud Pública formulada por la Nación; garantizar la financiación y la prestación de los servicios de Laboratorio de Salud Pública directamente o por contratación; formular</w:t>
      </w:r>
      <w:r>
        <w:rPr>
          <w:rStyle w:val="normaltextrun"/>
          <w:rFonts w:ascii="Arial" w:hAnsi="Arial" w:cs="Arial"/>
          <w:color w:val="000000"/>
          <w:sz w:val="21"/>
          <w:szCs w:val="21"/>
          <w:shd w:val="clear" w:color="auto" w:fill="FFFFFF"/>
        </w:rPr>
        <w:t xml:space="preserve"> y ejecutar el Plan de Atención Básica departamental; monitorear y evaluar la ejecución de los planes y acciones en Salud Pública de los municipios de su jurisdicción y coordinar, supervisar y controlar las acciones de Salud Pública que realicen en su jurisdicción las Entidades Promotoras de Salud, las demás entidades que administran el Régimen Subsidiado, las entidades transformadas y adaptadas y aquellas que hacen parte de los regímenes especiales, así como las Instituciones Prestadoras de Servicios de Salud e instituciones relacionadas.</w:t>
      </w:r>
    </w:p>
    <w:p w14:paraId="4EC9FB18" w14:textId="77777777" w:rsidR="005A730B" w:rsidRDefault="005A730B" w:rsidP="005A730B">
      <w:pPr>
        <w:jc w:val="both"/>
        <w:rPr>
          <w:rStyle w:val="normaltextrun"/>
          <w:rFonts w:ascii="Arial" w:hAnsi="Arial" w:cs="Arial"/>
          <w:color w:val="000000"/>
          <w:sz w:val="21"/>
          <w:szCs w:val="21"/>
          <w:shd w:val="clear" w:color="auto" w:fill="FFFFFF"/>
        </w:rPr>
      </w:pPr>
    </w:p>
    <w:p w14:paraId="35B2A7B4" w14:textId="77777777" w:rsidR="005A730B" w:rsidRDefault="005A730B" w:rsidP="005A730B">
      <w:pPr>
        <w:jc w:val="both"/>
        <w:rPr>
          <w:rStyle w:val="normaltextrun"/>
          <w:rFonts w:ascii="Arial" w:hAnsi="Arial" w:cs="Arial"/>
          <w:color w:val="000000"/>
          <w:sz w:val="21"/>
          <w:szCs w:val="21"/>
          <w:shd w:val="clear" w:color="auto" w:fill="FFFFFF"/>
        </w:rPr>
      </w:pPr>
      <w:r>
        <w:rPr>
          <w:rStyle w:val="normaltextrun"/>
          <w:rFonts w:ascii="Arial" w:hAnsi="Arial" w:cs="Arial"/>
          <w:color w:val="000000"/>
          <w:sz w:val="21"/>
          <w:szCs w:val="21"/>
          <w:shd w:val="clear" w:color="auto" w:fill="FFFFFF"/>
        </w:rPr>
        <w:t>En este sentido, el artículo 13 de la Resolución 3042 de 2007 establece que son gastos permitidos de la Subcuenta de Salud Pública los siguientes: “</w:t>
      </w:r>
      <w:r>
        <w:rPr>
          <w:rStyle w:val="normaltextrun"/>
          <w:rFonts w:ascii="Arial" w:hAnsi="Arial" w:cs="Arial"/>
          <w:i/>
          <w:iCs/>
          <w:color w:val="000000"/>
          <w:sz w:val="21"/>
          <w:szCs w:val="21"/>
          <w:shd w:val="clear" w:color="auto" w:fill="FFFFFF"/>
        </w:rPr>
        <w:t xml:space="preserve">1. La financiación de las acciones del Plan de intervenciones colectivas de salud pública a cargo de la entidad territorial, conforme a la reglamentación que para el efecto se expida. 2. La financiación de las acciones requeridas </w:t>
      </w:r>
      <w:r>
        <w:rPr>
          <w:rStyle w:val="normaltextrun"/>
          <w:rFonts w:ascii="Arial" w:hAnsi="Arial" w:cs="Arial"/>
          <w:i/>
          <w:iCs/>
          <w:color w:val="000000"/>
          <w:sz w:val="21"/>
          <w:szCs w:val="21"/>
          <w:shd w:val="clear" w:color="auto" w:fill="FFFFFF"/>
        </w:rPr>
        <w:lastRenderedPageBreak/>
        <w:t>para el cumplimiento de las competencias de salud pública asignadas en la Ley 715 de 2001, o en la norma que la sustituya, modifique o adicione</w:t>
      </w:r>
      <w:r>
        <w:rPr>
          <w:rStyle w:val="normaltextrun"/>
          <w:rFonts w:ascii="Arial" w:hAnsi="Arial" w:cs="Arial"/>
          <w:color w:val="000000"/>
          <w:sz w:val="21"/>
          <w:szCs w:val="21"/>
          <w:shd w:val="clear" w:color="auto" w:fill="FFFFFF"/>
        </w:rPr>
        <w:t>”.</w:t>
      </w:r>
    </w:p>
    <w:p w14:paraId="21D87205" w14:textId="77777777" w:rsidR="005A730B" w:rsidRDefault="005A730B" w:rsidP="005A730B">
      <w:pPr>
        <w:jc w:val="both"/>
        <w:rPr>
          <w:rStyle w:val="normaltextrun"/>
          <w:rFonts w:ascii="Arial" w:hAnsi="Arial" w:cs="Arial"/>
          <w:color w:val="000000"/>
          <w:sz w:val="21"/>
          <w:szCs w:val="21"/>
          <w:shd w:val="clear" w:color="auto" w:fill="FFFFFF"/>
        </w:rPr>
      </w:pPr>
    </w:p>
    <w:p w14:paraId="079AE430" w14:textId="77777777" w:rsidR="005A730B" w:rsidRDefault="005A730B" w:rsidP="005A730B">
      <w:pPr>
        <w:jc w:val="both"/>
        <w:rPr>
          <w:rStyle w:val="normaltextrun"/>
          <w:rFonts w:ascii="Arial" w:hAnsi="Arial" w:cs="Arial"/>
          <w:sz w:val="21"/>
          <w:szCs w:val="21"/>
        </w:rPr>
      </w:pPr>
      <w:r>
        <w:rPr>
          <w:rStyle w:val="normaltextrun"/>
          <w:rFonts w:ascii="Arial" w:hAnsi="Arial" w:cs="Arial"/>
          <w:color w:val="000000"/>
          <w:sz w:val="21"/>
          <w:szCs w:val="21"/>
          <w:shd w:val="clear" w:color="auto" w:fill="FFFFFF"/>
        </w:rPr>
        <w:t>Por otra parte, la Resolución 518 de 2015 del Ministerio de Salud y Protección, menciona “</w:t>
      </w:r>
      <w:r>
        <w:rPr>
          <w:rFonts w:ascii="Arial" w:hAnsi="Arial" w:cs="Arial"/>
          <w:bCs/>
          <w:i/>
          <w:iCs/>
          <w:sz w:val="21"/>
          <w:szCs w:val="21"/>
        </w:rPr>
        <w:t>Gestión de insumos de interés en salud pública para garantizar a la población del territorio nacional que presenta eventos de interés en salud pública los medicamentos, biológicos. reactivos de laboratorio, insecticidas, equipos y otros insumos para el control de riesgos, bajo principios de calidad y pertinencia</w:t>
      </w:r>
    </w:p>
    <w:p w14:paraId="5C30CC05" w14:textId="77777777" w:rsidR="005A730B" w:rsidRDefault="005A730B" w:rsidP="005A730B">
      <w:pPr>
        <w:jc w:val="both"/>
        <w:rPr>
          <w:rStyle w:val="normaltextrun"/>
          <w:rFonts w:ascii="Arial" w:hAnsi="Arial" w:cs="Arial"/>
          <w:i/>
          <w:iCs/>
          <w:color w:val="000000"/>
          <w:sz w:val="21"/>
          <w:szCs w:val="21"/>
          <w:shd w:val="clear" w:color="auto" w:fill="FFFFFF"/>
        </w:rPr>
      </w:pPr>
    </w:p>
    <w:p w14:paraId="570FB9B3" w14:textId="77777777" w:rsidR="005A730B" w:rsidRDefault="005A730B" w:rsidP="005A730B">
      <w:pPr>
        <w:rPr>
          <w:rFonts w:eastAsia="Arial Narrow"/>
          <w:b/>
          <w:bCs/>
          <w:color w:val="000000" w:themeColor="text1"/>
          <w:lang w:val="es-CO" w:eastAsia="en-US"/>
        </w:rPr>
      </w:pPr>
      <w:r>
        <w:rPr>
          <w:rFonts w:ascii="Arial" w:eastAsia="Arial Narrow" w:hAnsi="Arial" w:cs="Arial"/>
          <w:b/>
          <w:bCs/>
          <w:color w:val="000000" w:themeColor="text1"/>
          <w:sz w:val="21"/>
          <w:szCs w:val="21"/>
          <w:lang w:val="es-CO" w:eastAsia="en-US"/>
        </w:rPr>
        <w:t>1) Cambio en la destinación de los recursos SGP- Salud Pública:</w:t>
      </w:r>
    </w:p>
    <w:p w14:paraId="1153F8B9" w14:textId="77777777" w:rsidR="005A730B" w:rsidRDefault="005A730B" w:rsidP="005A730B">
      <w:pPr>
        <w:rPr>
          <w:rFonts w:ascii="Arial" w:eastAsia="Arial Narrow" w:hAnsi="Arial" w:cs="Arial"/>
          <w:b/>
          <w:bCs/>
          <w:color w:val="000000" w:themeColor="text1"/>
          <w:sz w:val="21"/>
          <w:szCs w:val="21"/>
          <w:lang w:val="es-CO" w:eastAsia="en-US"/>
        </w:rPr>
      </w:pPr>
    </w:p>
    <w:p w14:paraId="5D798BE0" w14:textId="77777777" w:rsidR="005A730B" w:rsidRDefault="005A730B" w:rsidP="005A730B">
      <w:pPr>
        <w:jc w:val="both"/>
        <w:rPr>
          <w:rFonts w:ascii="Arial" w:hAnsi="Arial" w:cs="Arial"/>
          <w:bCs/>
          <w:sz w:val="21"/>
          <w:szCs w:val="21"/>
        </w:rPr>
      </w:pPr>
      <w:r>
        <w:rPr>
          <w:rFonts w:ascii="Arial" w:hAnsi="Arial" w:cs="Arial"/>
          <w:bCs/>
          <w:sz w:val="21"/>
          <w:szCs w:val="21"/>
        </w:rPr>
        <w:t>Se identificó el Contrato No 202000000873 por $11,4 millones cuyo objeto consistió en la</w:t>
      </w:r>
      <w:r>
        <w:rPr>
          <w:rFonts w:ascii="Arial" w:hAnsi="Arial" w:cs="Arial"/>
          <w:bCs/>
          <w:i/>
          <w:sz w:val="21"/>
          <w:szCs w:val="21"/>
        </w:rPr>
        <w:t xml:space="preserve"> “Compra de Normas Técnicas Colombianas para garantizar el adecuado funcionamiento y operación, conforme los estándares de calidad, en el Laboratorio de Salud Pública de la Secretaria de Salud Departamental del Caquetá</w:t>
      </w:r>
      <w:r>
        <w:rPr>
          <w:rFonts w:ascii="Arial" w:hAnsi="Arial" w:cs="Arial"/>
          <w:bCs/>
          <w:sz w:val="21"/>
          <w:szCs w:val="21"/>
        </w:rPr>
        <w:t>”, financiado con recursos del SGP, bajo la modalidad de contratación directa en el componente de GESTIÓN, en el proceso GESTIÓN DE INSUMOS DE INTERÉS EN SALUD PÚBLICA, el cual según la Resolución 518 de 2015, determina que el gasto en este proceso se debe hacer en: “</w:t>
      </w:r>
      <w:r>
        <w:rPr>
          <w:rFonts w:ascii="Arial" w:hAnsi="Arial" w:cs="Arial"/>
          <w:bCs/>
          <w:i/>
          <w:sz w:val="21"/>
          <w:szCs w:val="21"/>
        </w:rPr>
        <w:t>Gestión de insumos de interés en salud pública para garantizar a la población del territorio nacional que presenta eventos de interés en salud pública los medicamentos, biológicos. reactivos de laboratorio, insecticidas, equipos y otros insumos para el control de riesgos, bajo principios de calidad y pertinencia</w:t>
      </w:r>
      <w:r>
        <w:rPr>
          <w:rFonts w:ascii="Arial" w:hAnsi="Arial" w:cs="Arial"/>
          <w:bCs/>
          <w:sz w:val="21"/>
          <w:szCs w:val="21"/>
        </w:rPr>
        <w:t>”. en este sentido, se identifica que dicho gasto no está autorizado con los recursos del SGP Gestión de la Salud Pública.</w:t>
      </w:r>
    </w:p>
    <w:p w14:paraId="1AF7F2D5" w14:textId="77777777" w:rsidR="005A730B" w:rsidRDefault="005A730B" w:rsidP="005A730B">
      <w:pPr>
        <w:jc w:val="both"/>
        <w:rPr>
          <w:rFonts w:ascii="Arial" w:hAnsi="Arial" w:cs="Arial"/>
          <w:bCs/>
          <w:sz w:val="21"/>
          <w:szCs w:val="21"/>
        </w:rPr>
      </w:pPr>
    </w:p>
    <w:p w14:paraId="352BA2C8" w14:textId="77777777" w:rsidR="005A730B" w:rsidRDefault="005A730B" w:rsidP="005A730B">
      <w:pPr>
        <w:jc w:val="both"/>
        <w:rPr>
          <w:rFonts w:ascii="Arial" w:hAnsi="Arial" w:cs="Arial"/>
          <w:bCs/>
          <w:sz w:val="21"/>
          <w:szCs w:val="21"/>
        </w:rPr>
      </w:pPr>
      <w:r>
        <w:rPr>
          <w:rFonts w:ascii="Arial" w:hAnsi="Arial" w:cs="Arial"/>
          <w:bCs/>
          <w:sz w:val="21"/>
          <w:szCs w:val="21"/>
        </w:rPr>
        <w:t>De otra parte, el Contrato No. 20210000029 por valor de $47.120.000 cuyo objeto consistió en el “</w:t>
      </w:r>
      <w:r>
        <w:rPr>
          <w:rFonts w:ascii="Arial" w:hAnsi="Arial" w:cs="Arial"/>
          <w:bCs/>
          <w:i/>
          <w:sz w:val="21"/>
          <w:szCs w:val="21"/>
        </w:rPr>
        <w:t>Suministro a precios unitarios y monto agotable de insumos y elementos de papelería, para la operación del fondo rotatorio de estupefacientes y el desarrollo de estrategias implementadas desde la dirección técnica de salud pública, adscritos a la secretaría de salud departamental, específicamente en lo relacionado a objetivos asociadas medidas de prevención y control en salud ambiental</w:t>
      </w:r>
      <w:r>
        <w:rPr>
          <w:rFonts w:ascii="Arial" w:hAnsi="Arial" w:cs="Arial"/>
          <w:bCs/>
          <w:sz w:val="21"/>
          <w:szCs w:val="21"/>
        </w:rPr>
        <w:t xml:space="preserve">”, financiado con recursos del SGP - Salud Pública y recursos propios de acuerdo con el CDP No 2021050620 en el que se detalla la fuente del SGP como “ </w:t>
      </w:r>
      <w:r>
        <w:rPr>
          <w:rFonts w:ascii="Arial" w:hAnsi="Arial" w:cs="Arial"/>
          <w:bCs/>
          <w:i/>
          <w:sz w:val="21"/>
          <w:szCs w:val="21"/>
        </w:rPr>
        <w:t>1G260SGP SALUD ONCE DOCEAVAS VIGENCIA” por $12.120.000</w:t>
      </w:r>
      <w:r>
        <w:rPr>
          <w:rFonts w:ascii="Arial" w:hAnsi="Arial" w:cs="Arial"/>
          <w:bCs/>
          <w:sz w:val="21"/>
          <w:szCs w:val="21"/>
        </w:rPr>
        <w:t>”, recurso con los que se realizó la compra de mapas de georreferenciación y carnets de vacunación, los cuales no están permitidos con esta fuente, situación que como se manifestó anteriormente, es contraria a la destinación dada a los citados recursos por la Ley 715 de 2001 modificada por la Ley 1955 de 2019 y por la Resolución 518 de 2015 del Ministerio de Salud y Protección Social, para el proceso de GESTIÓN DE INSUMOS DE INTERÉS EN SALUD PÚBLICA.</w:t>
      </w:r>
    </w:p>
    <w:p w14:paraId="66109E7B" w14:textId="77777777" w:rsidR="005A730B" w:rsidRDefault="005A730B" w:rsidP="005A730B">
      <w:pPr>
        <w:jc w:val="both"/>
        <w:rPr>
          <w:rFonts w:ascii="Arial" w:eastAsia="Arial Narrow" w:hAnsi="Arial" w:cs="Arial"/>
          <w:color w:val="000000" w:themeColor="text1"/>
          <w:sz w:val="21"/>
          <w:szCs w:val="21"/>
          <w:lang w:val="es-CO" w:eastAsia="en-US"/>
        </w:rPr>
      </w:pPr>
    </w:p>
    <w:p w14:paraId="269CCDFF" w14:textId="77777777" w:rsidR="005A730B" w:rsidRDefault="005A730B" w:rsidP="005A730B">
      <w:pPr>
        <w:jc w:val="both"/>
        <w:rPr>
          <w:rFonts w:ascii="Arial" w:eastAsia="Arial Narrow" w:hAnsi="Arial" w:cs="Arial"/>
          <w:b/>
          <w:color w:val="000000" w:themeColor="text1"/>
          <w:sz w:val="21"/>
          <w:szCs w:val="21"/>
          <w:lang w:val="es-CO" w:eastAsia="en-US"/>
        </w:rPr>
      </w:pPr>
      <w:r>
        <w:rPr>
          <w:rFonts w:ascii="Arial" w:eastAsia="Arial Narrow" w:hAnsi="Arial" w:cs="Arial"/>
          <w:b/>
          <w:color w:val="000000" w:themeColor="text1"/>
          <w:sz w:val="21"/>
          <w:szCs w:val="21"/>
          <w:lang w:val="es-CO" w:eastAsia="en-US"/>
        </w:rPr>
        <w:t>EVIDENCIA:</w:t>
      </w:r>
    </w:p>
    <w:p w14:paraId="68976608" w14:textId="77777777" w:rsidR="005A730B" w:rsidRDefault="005A730B" w:rsidP="005A730B">
      <w:pPr>
        <w:jc w:val="both"/>
        <w:rPr>
          <w:rFonts w:ascii="Arial" w:eastAsia="Arial Narrow" w:hAnsi="Arial" w:cs="Arial"/>
          <w:color w:val="000000" w:themeColor="text1"/>
          <w:sz w:val="21"/>
          <w:szCs w:val="21"/>
          <w:lang w:val="es-CO" w:eastAsia="en-US"/>
        </w:rPr>
      </w:pPr>
    </w:p>
    <w:p w14:paraId="13323C2B" w14:textId="77777777" w:rsidR="005A730B" w:rsidRDefault="005A730B" w:rsidP="005A730B">
      <w:pPr>
        <w:pStyle w:val="Prrafodelista"/>
        <w:numPr>
          <w:ilvl w:val="0"/>
          <w:numId w:val="34"/>
        </w:numPr>
        <w:jc w:val="both"/>
        <w:rPr>
          <w:rFonts w:ascii="Arial" w:eastAsia="Arial Narrow" w:hAnsi="Arial" w:cs="Arial"/>
          <w:color w:val="000000" w:themeColor="text1"/>
          <w:sz w:val="20"/>
          <w:szCs w:val="20"/>
          <w:lang w:val="es-CO" w:eastAsia="en-US"/>
        </w:rPr>
      </w:pPr>
      <w:r>
        <w:rPr>
          <w:rFonts w:ascii="Arial" w:eastAsia="Arial Narrow" w:hAnsi="Arial" w:cs="Arial"/>
          <w:color w:val="000000" w:themeColor="text1"/>
          <w:sz w:val="20"/>
          <w:szCs w:val="20"/>
        </w:rPr>
        <w:t xml:space="preserve">ANEXOS 1 AL 11 DD SGP 27-2021. SALUD. DEPARTAMENTO DE CAQUETA. </w:t>
      </w:r>
      <w:r>
        <w:rPr>
          <w:rFonts w:ascii="Arial" w:hAnsi="Arial" w:cs="Arial"/>
          <w:sz w:val="20"/>
          <w:szCs w:val="20"/>
        </w:rPr>
        <w:t>HISTORIAL DE SEGUIMIENTO Y CONTROL A LOS RECURSOS DEL SISTEMA GENERAL DE PARTICIPACIONES. EXPEDIENTE No 27/2021/D028-PREDI.</w:t>
      </w:r>
      <w:r>
        <w:rPr>
          <w:rFonts w:ascii="Arial" w:eastAsia="Arial Narrow" w:hAnsi="Arial" w:cs="Arial"/>
          <w:color w:val="000000" w:themeColor="text1"/>
          <w:sz w:val="20"/>
          <w:szCs w:val="20"/>
        </w:rPr>
        <w:t xml:space="preserve"> OFICIO CON RADICADO SIED NO. 1-2022-015085 DEL 25 DE MAYO DE 2022.</w:t>
      </w:r>
    </w:p>
    <w:p w14:paraId="093AE962" w14:textId="77777777" w:rsidR="005A730B" w:rsidRDefault="008F59B6" w:rsidP="005A730B">
      <w:pPr>
        <w:pStyle w:val="Prrafodelista"/>
        <w:ind w:left="1080"/>
        <w:jc w:val="both"/>
        <w:rPr>
          <w:rFonts w:ascii="Arial" w:eastAsia="Arial Narrow" w:hAnsi="Arial" w:cs="Arial"/>
          <w:color w:val="000000" w:themeColor="text1"/>
          <w:sz w:val="20"/>
          <w:szCs w:val="20"/>
          <w:lang w:val="es-CO" w:eastAsia="en-US"/>
        </w:rPr>
      </w:pPr>
      <w:hyperlink r:id="rId26" w:anchor="url-960061" w:history="1">
        <w:r w:rsidR="005A730B">
          <w:rPr>
            <w:rStyle w:val="Hipervnculo"/>
            <w:rFonts w:ascii="Arial" w:eastAsia="Arial Narrow" w:hAnsi="Arial" w:cs="Arial"/>
            <w:sz w:val="20"/>
            <w:szCs w:val="20"/>
            <w:lang w:val="es-CO" w:eastAsia="en-US"/>
          </w:rPr>
          <w:t>http://portalgestiondoc.minhacienda.red/PortalEmpleado/#url-960061</w:t>
        </w:r>
      </w:hyperlink>
    </w:p>
    <w:p w14:paraId="34180B13" w14:textId="77777777" w:rsidR="005A730B" w:rsidRDefault="005A730B" w:rsidP="005A730B">
      <w:pPr>
        <w:pStyle w:val="Prrafodelista"/>
        <w:ind w:left="1080"/>
        <w:jc w:val="both"/>
        <w:rPr>
          <w:rFonts w:ascii="Arial" w:hAnsi="Arial" w:cs="Arial"/>
          <w:sz w:val="20"/>
          <w:szCs w:val="20"/>
        </w:rPr>
      </w:pPr>
    </w:p>
    <w:p w14:paraId="196DB3C4" w14:textId="77777777" w:rsidR="005A730B" w:rsidRDefault="005A730B" w:rsidP="005A730B">
      <w:pPr>
        <w:pStyle w:val="Prrafodelista"/>
        <w:numPr>
          <w:ilvl w:val="0"/>
          <w:numId w:val="34"/>
        </w:numPr>
        <w:jc w:val="both"/>
        <w:rPr>
          <w:rFonts w:ascii="Arial" w:hAnsi="Arial" w:cs="Arial"/>
          <w:sz w:val="20"/>
          <w:szCs w:val="20"/>
        </w:rPr>
      </w:pPr>
      <w:r>
        <w:rPr>
          <w:rFonts w:ascii="Arial" w:eastAsia="Arial Narrow" w:hAnsi="Arial" w:cs="Arial"/>
          <w:color w:val="000000" w:themeColor="text1"/>
          <w:sz w:val="20"/>
          <w:szCs w:val="20"/>
          <w:lang w:val="es-CO" w:eastAsia="en-US"/>
        </w:rPr>
        <w:t xml:space="preserve">CONTRATO </w:t>
      </w:r>
      <w:r>
        <w:rPr>
          <w:rFonts w:ascii="Arial" w:hAnsi="Arial" w:cs="Arial"/>
          <w:bCs/>
          <w:sz w:val="20"/>
          <w:szCs w:val="20"/>
        </w:rPr>
        <w:t xml:space="preserve">NO 202000000873 CARGADO </w:t>
      </w:r>
      <w:r>
        <w:rPr>
          <w:rFonts w:ascii="Arial" w:eastAsia="Arial Narrow" w:hAnsi="Arial" w:cs="Arial"/>
          <w:color w:val="000000" w:themeColor="text1"/>
          <w:sz w:val="20"/>
          <w:szCs w:val="20"/>
          <w:lang w:val="es-CO" w:eastAsia="en-US"/>
        </w:rPr>
        <w:t>EN LA PLATAFORMA SECOP II.</w:t>
      </w:r>
    </w:p>
    <w:p w14:paraId="20963435" w14:textId="77777777" w:rsidR="005A730B" w:rsidRDefault="008F59B6" w:rsidP="005A730B">
      <w:pPr>
        <w:pStyle w:val="Prrafodelista"/>
        <w:ind w:left="1080"/>
        <w:jc w:val="both"/>
        <w:rPr>
          <w:rStyle w:val="Hipervnculo"/>
        </w:rPr>
      </w:pPr>
      <w:hyperlink r:id="rId27" w:history="1">
        <w:r w:rsidR="005A730B">
          <w:rPr>
            <w:rStyle w:val="Hipervnculo"/>
            <w:rFonts w:ascii="Arial" w:hAnsi="Arial" w:cs="Arial"/>
            <w:sz w:val="20"/>
            <w:szCs w:val="20"/>
          </w:rPr>
          <w:t>https://community.secop.gov.co/Public/Tendering/OpportunityDetail/Index?noticeUID=CO1.NTC.1574479&amp;isFromPublicArea=True&amp;isModal=False</w:t>
        </w:r>
      </w:hyperlink>
    </w:p>
    <w:p w14:paraId="3D5D8C1A" w14:textId="77777777" w:rsidR="005A730B" w:rsidRDefault="005A730B" w:rsidP="005A730B">
      <w:pPr>
        <w:jc w:val="both"/>
      </w:pPr>
    </w:p>
    <w:p w14:paraId="48D499C9" w14:textId="77777777" w:rsidR="005A730B" w:rsidRDefault="005A730B" w:rsidP="005A730B">
      <w:pPr>
        <w:pStyle w:val="Prrafodelista"/>
        <w:numPr>
          <w:ilvl w:val="0"/>
          <w:numId w:val="34"/>
        </w:numPr>
        <w:jc w:val="both"/>
        <w:rPr>
          <w:rFonts w:ascii="Arial" w:eastAsia="Arial Narrow" w:hAnsi="Arial" w:cs="Arial"/>
          <w:color w:val="000000" w:themeColor="text1"/>
          <w:sz w:val="20"/>
          <w:szCs w:val="20"/>
          <w:lang w:val="es-CO" w:eastAsia="en-US"/>
        </w:rPr>
      </w:pPr>
      <w:r>
        <w:rPr>
          <w:rFonts w:ascii="Arial" w:eastAsia="Arial Narrow" w:hAnsi="Arial" w:cs="Arial"/>
          <w:color w:val="000000" w:themeColor="text1"/>
          <w:sz w:val="20"/>
          <w:szCs w:val="20"/>
        </w:rPr>
        <w:lastRenderedPageBreak/>
        <w:t xml:space="preserve">ANEXOS 11 AL 20 DD SGP 27-2021. SALUD. DEPARTAMENTO DE CAQUETA. </w:t>
      </w:r>
      <w:r>
        <w:rPr>
          <w:rFonts w:ascii="Arial" w:hAnsi="Arial" w:cs="Arial"/>
          <w:sz w:val="20"/>
          <w:szCs w:val="20"/>
        </w:rPr>
        <w:t>HISTORIAL DE SEGUIMIENTO Y CONTROL A LOS RECURSOS DEL SISTEMA GENERAL DE PARTICIPACIONES. EXPEDIENTE No 27/2021/D028-PREDI.</w:t>
      </w:r>
      <w:r>
        <w:rPr>
          <w:rFonts w:ascii="Arial" w:eastAsia="Arial Narrow" w:hAnsi="Arial" w:cs="Arial"/>
          <w:color w:val="000000" w:themeColor="text1"/>
          <w:sz w:val="20"/>
          <w:szCs w:val="20"/>
        </w:rPr>
        <w:t xml:space="preserve"> OFICIO CON RADICADO SIED NO. 1-2022-015085 DEL 25 DE MAYO DE 2022.</w:t>
      </w:r>
    </w:p>
    <w:p w14:paraId="1F1C93C8" w14:textId="77777777" w:rsidR="005A730B" w:rsidRDefault="008F59B6" w:rsidP="005A730B">
      <w:pPr>
        <w:pStyle w:val="Prrafodelista"/>
        <w:ind w:left="1080"/>
        <w:jc w:val="both"/>
        <w:rPr>
          <w:rFonts w:ascii="Arial" w:eastAsia="Arial Narrow" w:hAnsi="Arial" w:cs="Arial"/>
          <w:color w:val="000000" w:themeColor="text1"/>
          <w:sz w:val="20"/>
          <w:szCs w:val="20"/>
          <w:lang w:val="es-CO" w:eastAsia="en-US"/>
        </w:rPr>
      </w:pPr>
      <w:hyperlink r:id="rId28" w:anchor="url-960061" w:history="1">
        <w:r w:rsidR="005A730B">
          <w:rPr>
            <w:rStyle w:val="Hipervnculo"/>
            <w:rFonts w:ascii="Arial" w:eastAsia="Arial Narrow" w:hAnsi="Arial" w:cs="Arial"/>
            <w:sz w:val="20"/>
            <w:szCs w:val="20"/>
            <w:lang w:val="es-CO" w:eastAsia="en-US"/>
          </w:rPr>
          <w:t>http://portalgestiondoc.minhacienda.red/PortalEmpleado/#url-960061</w:t>
        </w:r>
      </w:hyperlink>
    </w:p>
    <w:p w14:paraId="265E1861" w14:textId="77777777" w:rsidR="005A730B" w:rsidRDefault="005A730B" w:rsidP="005A730B">
      <w:pPr>
        <w:pStyle w:val="Prrafodelista"/>
        <w:ind w:left="1080"/>
        <w:jc w:val="both"/>
        <w:rPr>
          <w:rFonts w:ascii="Arial" w:eastAsia="Arial Narrow" w:hAnsi="Arial" w:cs="Arial"/>
          <w:color w:val="000000" w:themeColor="text1"/>
          <w:sz w:val="20"/>
          <w:szCs w:val="20"/>
          <w:lang w:val="es-CO" w:eastAsia="en-US"/>
        </w:rPr>
      </w:pPr>
    </w:p>
    <w:p w14:paraId="02DA07FA" w14:textId="77777777" w:rsidR="005A730B" w:rsidRDefault="005A730B" w:rsidP="005A730B">
      <w:pPr>
        <w:pStyle w:val="Prrafodelista"/>
        <w:numPr>
          <w:ilvl w:val="0"/>
          <w:numId w:val="34"/>
        </w:numPr>
        <w:jc w:val="both"/>
        <w:rPr>
          <w:rFonts w:ascii="Arial" w:eastAsia="Arial Narrow" w:hAnsi="Arial" w:cs="Arial"/>
          <w:color w:val="000000" w:themeColor="text1"/>
          <w:sz w:val="20"/>
          <w:szCs w:val="20"/>
          <w:lang w:val="es-CO" w:eastAsia="en-US"/>
        </w:rPr>
      </w:pPr>
      <w:r>
        <w:rPr>
          <w:rFonts w:ascii="Arial" w:eastAsia="Arial Narrow" w:hAnsi="Arial" w:cs="Arial"/>
          <w:color w:val="000000" w:themeColor="text1"/>
          <w:sz w:val="20"/>
          <w:szCs w:val="20"/>
        </w:rPr>
        <w:t>CONTRATO NO 20210000029 CARGADO EN LA PLATAFORMA SECOP II.</w:t>
      </w:r>
      <w:r>
        <w:rPr>
          <w:rFonts w:ascii="Arial" w:eastAsia="Arial Narrow" w:hAnsi="Arial" w:cs="Arial"/>
          <w:color w:val="000000" w:themeColor="text1"/>
          <w:sz w:val="20"/>
          <w:szCs w:val="20"/>
          <w:lang w:val="es-CO" w:eastAsia="en-US"/>
        </w:rPr>
        <w:t xml:space="preserve"> </w:t>
      </w:r>
      <w:hyperlink r:id="rId29" w:history="1">
        <w:r>
          <w:rPr>
            <w:rStyle w:val="Hipervnculo"/>
            <w:rFonts w:ascii="Arial" w:eastAsia="Arial Narrow" w:hAnsi="Arial" w:cs="Arial"/>
            <w:sz w:val="20"/>
            <w:szCs w:val="20"/>
            <w:lang w:val="es-CO" w:eastAsia="en-US"/>
          </w:rPr>
          <w:t>https://community.secop.gov.co/Public/Tendering/ContractNoticePhases/View?PPI=CO1.PPI.14946293&amp;isFromPublicArea=True&amp;isModal=False</w:t>
        </w:r>
      </w:hyperlink>
    </w:p>
    <w:p w14:paraId="0170A0EB" w14:textId="77777777" w:rsidR="005A730B" w:rsidRDefault="005A730B" w:rsidP="005A730B">
      <w:pPr>
        <w:pStyle w:val="Prrafodelista"/>
        <w:ind w:left="1080"/>
        <w:jc w:val="both"/>
        <w:rPr>
          <w:rFonts w:ascii="Arial" w:eastAsia="Arial Narrow" w:hAnsi="Arial" w:cs="Arial"/>
          <w:color w:val="000000" w:themeColor="text1"/>
          <w:sz w:val="20"/>
          <w:szCs w:val="20"/>
          <w:lang w:val="es-CO" w:eastAsia="en-US"/>
        </w:rPr>
      </w:pPr>
    </w:p>
    <w:p w14:paraId="58DA1976" w14:textId="77777777" w:rsidR="005A730B" w:rsidRDefault="005A730B" w:rsidP="005A730B">
      <w:pPr>
        <w:pStyle w:val="Prrafodelista"/>
        <w:numPr>
          <w:ilvl w:val="0"/>
          <w:numId w:val="34"/>
        </w:numPr>
        <w:jc w:val="both"/>
        <w:rPr>
          <w:rFonts w:ascii="Arial" w:eastAsia="Arial Narrow" w:hAnsi="Arial" w:cs="Arial"/>
          <w:color w:val="000000" w:themeColor="text1"/>
          <w:sz w:val="20"/>
          <w:szCs w:val="20"/>
          <w:lang w:val="es-CO" w:eastAsia="en-US"/>
        </w:rPr>
      </w:pPr>
      <w:r>
        <w:rPr>
          <w:rFonts w:ascii="Arial" w:hAnsi="Arial" w:cs="Arial"/>
          <w:bCs/>
          <w:sz w:val="20"/>
          <w:szCs w:val="20"/>
        </w:rPr>
        <w:t>CDP NO 2021050620 IDENTIFICADO EN LA PLATAFORMA SECOP II.</w:t>
      </w:r>
    </w:p>
    <w:p w14:paraId="420F9648" w14:textId="77777777" w:rsidR="005A730B" w:rsidRDefault="008F59B6" w:rsidP="005A730B">
      <w:pPr>
        <w:pStyle w:val="Prrafodelista"/>
        <w:ind w:left="1080"/>
        <w:jc w:val="both"/>
        <w:rPr>
          <w:rFonts w:ascii="Arial" w:eastAsia="Arial Narrow" w:hAnsi="Arial" w:cs="Arial"/>
          <w:color w:val="000000" w:themeColor="text1"/>
          <w:sz w:val="20"/>
          <w:szCs w:val="20"/>
          <w:lang w:val="es-CO" w:eastAsia="en-US"/>
        </w:rPr>
      </w:pPr>
      <w:hyperlink r:id="rId30" w:history="1">
        <w:r w:rsidR="005A730B">
          <w:rPr>
            <w:rStyle w:val="Hipervnculo"/>
            <w:rFonts w:ascii="Arial" w:eastAsia="Arial Narrow" w:hAnsi="Arial" w:cs="Arial"/>
            <w:sz w:val="20"/>
            <w:szCs w:val="20"/>
            <w:lang w:val="es-CO" w:eastAsia="en-US"/>
          </w:rPr>
          <w:t>https://community.secop.gov.co/Public/Tendering/ContractNoticePhases/View?PPI=CO1.PPI.14946293&amp;isFromPublicArea=True&amp;isModal=False</w:t>
        </w:r>
      </w:hyperlink>
    </w:p>
    <w:p w14:paraId="6B052DC2" w14:textId="77777777" w:rsidR="005A730B" w:rsidRDefault="005A730B" w:rsidP="005A730B">
      <w:pPr>
        <w:jc w:val="both"/>
        <w:rPr>
          <w:rFonts w:ascii="Arial" w:eastAsia="Arial Narrow" w:hAnsi="Arial" w:cs="Arial"/>
          <w:color w:val="000000" w:themeColor="text1"/>
          <w:sz w:val="21"/>
          <w:szCs w:val="21"/>
          <w:lang w:val="es-CO" w:eastAsia="en-US"/>
        </w:rPr>
      </w:pPr>
    </w:p>
    <w:p w14:paraId="40B95101" w14:textId="77777777" w:rsidR="005A730B" w:rsidRDefault="005A730B" w:rsidP="005A730B">
      <w:pPr>
        <w:jc w:val="both"/>
        <w:rPr>
          <w:rFonts w:ascii="Arial" w:hAnsi="Arial" w:cs="Arial"/>
          <w:b/>
          <w:bCs/>
          <w:sz w:val="21"/>
          <w:szCs w:val="21"/>
        </w:rPr>
      </w:pPr>
      <w:r>
        <w:rPr>
          <w:rFonts w:ascii="Arial" w:eastAsia="Calibri" w:hAnsi="Arial" w:cs="Arial"/>
          <w:b/>
          <w:bCs/>
          <w:sz w:val="21"/>
          <w:szCs w:val="21"/>
        </w:rPr>
        <w:t>EVENTO DE RIESGO</w:t>
      </w:r>
      <w:r>
        <w:rPr>
          <w:rFonts w:ascii="Arial" w:hAnsi="Arial" w:cs="Arial"/>
          <w:b/>
          <w:bCs/>
          <w:sz w:val="21"/>
          <w:szCs w:val="21"/>
        </w:rPr>
        <w:t xml:space="preserve"> 9.18. “</w:t>
      </w:r>
      <w:r>
        <w:rPr>
          <w:rFonts w:ascii="Arial" w:hAnsi="Arial" w:cs="Arial"/>
          <w:b/>
          <w:bCs/>
          <w:i/>
          <w:iCs/>
          <w:sz w:val="21"/>
          <w:szCs w:val="21"/>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Pr>
          <w:rFonts w:ascii="Arial" w:hAnsi="Arial" w:cs="Arial"/>
          <w:b/>
          <w:bCs/>
          <w:sz w:val="21"/>
          <w:szCs w:val="21"/>
        </w:rPr>
        <w:t>”.</w:t>
      </w:r>
    </w:p>
    <w:p w14:paraId="20657200" w14:textId="77777777" w:rsidR="005A730B" w:rsidRDefault="005A730B" w:rsidP="005A730B">
      <w:pPr>
        <w:jc w:val="both"/>
        <w:rPr>
          <w:rFonts w:ascii="Arial" w:eastAsia="Arial Narrow" w:hAnsi="Arial" w:cs="Arial"/>
          <w:color w:val="000000" w:themeColor="text1"/>
          <w:sz w:val="21"/>
          <w:szCs w:val="21"/>
          <w:lang w:val="es-CO" w:eastAsia="en-US"/>
        </w:rPr>
      </w:pPr>
    </w:p>
    <w:p w14:paraId="6ED32D48" w14:textId="77777777" w:rsidR="005A730B" w:rsidRDefault="005A730B" w:rsidP="005A730B">
      <w:pPr>
        <w:pStyle w:val="Prrafodelista"/>
        <w:numPr>
          <w:ilvl w:val="0"/>
          <w:numId w:val="8"/>
        </w:numPr>
        <w:jc w:val="both"/>
        <w:rPr>
          <w:rFonts w:ascii="Arial" w:eastAsia="Arial Narrow" w:hAnsi="Arial" w:cs="Arial"/>
          <w:b/>
          <w:bCs/>
          <w:color w:val="000000" w:themeColor="text1"/>
          <w:sz w:val="21"/>
          <w:szCs w:val="21"/>
        </w:rPr>
      </w:pPr>
      <w:r>
        <w:rPr>
          <w:rFonts w:ascii="Arial" w:eastAsia="Arial Narrow" w:hAnsi="Arial" w:cs="Arial"/>
          <w:b/>
          <w:bCs/>
          <w:color w:val="000000" w:themeColor="text1"/>
          <w:sz w:val="21"/>
          <w:szCs w:val="21"/>
        </w:rPr>
        <w:t xml:space="preserve">Incumplimiento de los estándares de calidad, </w:t>
      </w:r>
      <w:r>
        <w:rPr>
          <w:rFonts w:ascii="Arial" w:hAnsi="Arial" w:cs="Arial"/>
          <w:b/>
          <w:bCs/>
          <w:sz w:val="21"/>
          <w:szCs w:val="21"/>
        </w:rPr>
        <w:t>componentes misionales y capacidades básicas del Laboratorio de Salud Pública del Departamento de Caquetá.</w:t>
      </w:r>
    </w:p>
    <w:p w14:paraId="367D27B5" w14:textId="77777777" w:rsidR="005A730B" w:rsidRDefault="005A730B" w:rsidP="005A730B">
      <w:pPr>
        <w:jc w:val="both"/>
        <w:rPr>
          <w:rFonts w:ascii="Arial" w:eastAsia="Arial Narrow" w:hAnsi="Arial" w:cs="Arial"/>
          <w:color w:val="000000" w:themeColor="text1"/>
          <w:sz w:val="21"/>
          <w:szCs w:val="21"/>
        </w:rPr>
      </w:pPr>
    </w:p>
    <w:p w14:paraId="7A690AAA" w14:textId="77777777" w:rsidR="005A730B" w:rsidRDefault="005A730B" w:rsidP="005A730B">
      <w:pPr>
        <w:jc w:val="both"/>
        <w:rPr>
          <w:rFonts w:ascii="Arial" w:eastAsia="Arial Narrow" w:hAnsi="Arial" w:cs="Arial"/>
          <w:sz w:val="21"/>
          <w:szCs w:val="21"/>
        </w:rPr>
      </w:pPr>
      <w:r>
        <w:rPr>
          <w:rFonts w:ascii="Arial" w:eastAsia="Arial Narrow" w:hAnsi="Arial" w:cs="Arial"/>
          <w:sz w:val="21"/>
          <w:szCs w:val="21"/>
        </w:rPr>
        <w:t>De conformidad con lo establecido en el artículo 15 del Decreto 2323 de 2006 “</w:t>
      </w:r>
      <w:r>
        <w:rPr>
          <w:rFonts w:ascii="Arial" w:hAnsi="Arial" w:cs="Arial"/>
          <w:i/>
          <w:sz w:val="21"/>
          <w:szCs w:val="21"/>
        </w:rPr>
        <w:t xml:space="preserve">por el cual se reglamenta parcialmente la Ley 9ª de 1979 en relación con la Red Nacional de Laboratorios y se dictan otras disposiciones” </w:t>
      </w:r>
      <w:r>
        <w:rPr>
          <w:rFonts w:ascii="Arial" w:hAnsi="Arial" w:cs="Arial"/>
          <w:sz w:val="21"/>
          <w:szCs w:val="21"/>
        </w:rPr>
        <w:t>l</w:t>
      </w:r>
      <w:r>
        <w:rPr>
          <w:rFonts w:ascii="Arial" w:hAnsi="Arial" w:cs="Arial"/>
          <w:iCs/>
          <w:sz w:val="21"/>
          <w:szCs w:val="21"/>
          <w:shd w:val="clear" w:color="auto" w:fill="FFFFFF"/>
        </w:rPr>
        <w:t>a dirección de los Laboratorios de Salud Pública departamentales y del Distrito Capital estará a cargo de las correspondientes direcciones territoriales de salud, las cuales deberán garantizar el cumplimiento de las competencias en materia de vigilancia en Salud Pública, vigilancia y control sanitario.</w:t>
      </w:r>
      <w:r>
        <w:rPr>
          <w:rFonts w:ascii="Arial" w:hAnsi="Arial" w:cs="Arial"/>
          <w:sz w:val="21"/>
          <w:szCs w:val="21"/>
          <w:shd w:val="clear" w:color="auto" w:fill="FFFFFF"/>
        </w:rPr>
        <w:t xml:space="preserve"> Adicionalmente, el parágrafo del artículo 20 establece: “</w:t>
      </w:r>
      <w:r>
        <w:rPr>
          <w:rFonts w:ascii="Arial" w:hAnsi="Arial" w:cs="Arial"/>
          <w:i/>
          <w:iCs/>
          <w:sz w:val="21"/>
          <w:szCs w:val="21"/>
          <w:shd w:val="clear" w:color="auto" w:fill="FFFFFF"/>
        </w:rPr>
        <w:t xml:space="preserve">[…] </w:t>
      </w:r>
      <w:r>
        <w:rPr>
          <w:rFonts w:ascii="Arial" w:hAnsi="Arial" w:cs="Arial"/>
          <w:i/>
          <w:iCs/>
          <w:sz w:val="21"/>
          <w:szCs w:val="21"/>
        </w:rPr>
        <w:t>Los Laboratorios Nacionales de Referencia y los laboratorios de salud pública departamentales y del distrito capital deberán orientar su gestión para el cumplimiento progresivo de los estándares de calidad requeridos para su acreditación”.</w:t>
      </w:r>
    </w:p>
    <w:p w14:paraId="2ACB19A4" w14:textId="77777777" w:rsidR="005A730B" w:rsidRDefault="005A730B" w:rsidP="005A730B">
      <w:pPr>
        <w:jc w:val="both"/>
        <w:rPr>
          <w:rFonts w:ascii="Arial" w:hAnsi="Arial" w:cs="Arial"/>
          <w:sz w:val="21"/>
          <w:szCs w:val="21"/>
        </w:rPr>
      </w:pPr>
    </w:p>
    <w:p w14:paraId="4CA3620C" w14:textId="77777777" w:rsidR="005A730B" w:rsidRDefault="005A730B" w:rsidP="005A730B">
      <w:pPr>
        <w:jc w:val="both"/>
        <w:rPr>
          <w:rFonts w:ascii="Arial" w:hAnsi="Arial" w:cs="Arial"/>
          <w:sz w:val="21"/>
          <w:szCs w:val="21"/>
        </w:rPr>
      </w:pPr>
      <w:r>
        <w:rPr>
          <w:rFonts w:ascii="Arial" w:hAnsi="Arial" w:cs="Arial"/>
          <w:sz w:val="21"/>
          <w:szCs w:val="21"/>
        </w:rPr>
        <w:t>Por su parte, el artículo 14 de la Resolución 1619 de 2015 dispone: “</w:t>
      </w:r>
      <w:r>
        <w:rPr>
          <w:rFonts w:ascii="Arial" w:hAnsi="Arial" w:cs="Arial"/>
          <w:i/>
          <w:iCs/>
          <w:sz w:val="21"/>
          <w:szCs w:val="21"/>
        </w:rPr>
        <w:t>Las Entidades Territoriales de Salud, para ejercer las acciones de inspección, vigilancia y control en el marco de su competencia, adoptarán los procesos y procedimientos definidos por el Instituto Nacional de Vigilancia de Medicamentos y Alimentos - INVIMA y el Instituto Nacional de Salud – INS</w:t>
      </w:r>
      <w:r>
        <w:rPr>
          <w:rFonts w:ascii="Arial" w:hAnsi="Arial" w:cs="Arial"/>
          <w:sz w:val="21"/>
          <w:szCs w:val="21"/>
        </w:rPr>
        <w:t>”</w:t>
      </w:r>
      <w:r>
        <w:rPr>
          <w:rFonts w:ascii="Arial" w:hAnsi="Arial" w:cs="Arial"/>
          <w:i/>
          <w:iCs/>
          <w:sz w:val="21"/>
          <w:szCs w:val="21"/>
        </w:rPr>
        <w:t>.</w:t>
      </w:r>
    </w:p>
    <w:p w14:paraId="32F54C6A" w14:textId="77777777" w:rsidR="005A730B" w:rsidRDefault="005A730B" w:rsidP="005A730B">
      <w:pPr>
        <w:jc w:val="both"/>
        <w:rPr>
          <w:rFonts w:ascii="Arial" w:hAnsi="Arial" w:cs="Arial"/>
          <w:sz w:val="21"/>
          <w:szCs w:val="21"/>
        </w:rPr>
      </w:pPr>
    </w:p>
    <w:p w14:paraId="0781411F" w14:textId="77777777" w:rsidR="005A730B" w:rsidRDefault="005A730B" w:rsidP="005A730B">
      <w:pPr>
        <w:jc w:val="center"/>
        <w:rPr>
          <w:rFonts w:ascii="Arial" w:hAnsi="Arial" w:cs="Arial"/>
          <w:b/>
          <w:bCs/>
          <w:sz w:val="20"/>
          <w:szCs w:val="20"/>
        </w:rPr>
      </w:pPr>
      <w:r>
        <w:rPr>
          <w:rFonts w:ascii="Arial" w:hAnsi="Arial" w:cs="Arial"/>
          <w:b/>
          <w:bCs/>
          <w:sz w:val="20"/>
          <w:szCs w:val="20"/>
        </w:rPr>
        <w:t>Tabla No. 1</w:t>
      </w:r>
    </w:p>
    <w:tbl>
      <w:tblPr>
        <w:tblW w:w="8868" w:type="dxa"/>
        <w:tblLook w:val="04A0" w:firstRow="1" w:lastRow="0" w:firstColumn="1" w:lastColumn="0" w:noHBand="0" w:noVBand="1"/>
      </w:tblPr>
      <w:tblGrid>
        <w:gridCol w:w="3473"/>
        <w:gridCol w:w="5395"/>
      </w:tblGrid>
      <w:tr w:rsidR="005A730B" w14:paraId="56BF65A5" w14:textId="77777777" w:rsidTr="005A730B">
        <w:trPr>
          <w:trHeight w:val="268"/>
        </w:trPr>
        <w:tc>
          <w:tcPr>
            <w:tcW w:w="8868" w:type="dxa"/>
            <w:gridSpan w:val="2"/>
            <w:tcBorders>
              <w:top w:val="single" w:sz="8" w:space="0" w:color="auto"/>
              <w:left w:val="single" w:sz="8" w:space="0" w:color="auto"/>
              <w:bottom w:val="single" w:sz="4" w:space="0" w:color="auto"/>
              <w:right w:val="single" w:sz="8" w:space="0" w:color="000000"/>
            </w:tcBorders>
            <w:shd w:val="clear" w:color="auto" w:fill="1F4E78"/>
            <w:tcMar>
              <w:top w:w="15" w:type="dxa"/>
              <w:left w:w="15" w:type="dxa"/>
              <w:bottom w:w="15" w:type="dxa"/>
              <w:right w:w="15" w:type="dxa"/>
            </w:tcMar>
            <w:vAlign w:val="center"/>
            <w:hideMark/>
          </w:tcPr>
          <w:p w14:paraId="04AC0819"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rPr>
              <w:t>Evaluación de Estándares de Calidad</w:t>
            </w:r>
          </w:p>
        </w:tc>
      </w:tr>
      <w:tr w:rsidR="005A730B" w14:paraId="46A51667" w14:textId="77777777" w:rsidTr="005A730B">
        <w:trPr>
          <w:trHeight w:val="268"/>
        </w:trPr>
        <w:tc>
          <w:tcPr>
            <w:tcW w:w="3473" w:type="dxa"/>
            <w:tcBorders>
              <w:top w:val="single" w:sz="4" w:space="0" w:color="auto"/>
              <w:left w:val="single" w:sz="8" w:space="0" w:color="auto"/>
              <w:bottom w:val="single" w:sz="4" w:space="0" w:color="auto"/>
              <w:right w:val="single" w:sz="4" w:space="0" w:color="auto"/>
            </w:tcBorders>
            <w:tcMar>
              <w:top w:w="15" w:type="dxa"/>
              <w:left w:w="15" w:type="dxa"/>
              <w:bottom w:w="15" w:type="dxa"/>
              <w:right w:w="15" w:type="dxa"/>
            </w:tcMar>
            <w:vAlign w:val="center"/>
            <w:hideMark/>
          </w:tcPr>
          <w:p w14:paraId="07AB5E7C"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 xml:space="preserve">Evaluación calidad en SP por el INS </w:t>
            </w:r>
          </w:p>
        </w:tc>
        <w:tc>
          <w:tcPr>
            <w:tcW w:w="5395" w:type="dxa"/>
            <w:tcBorders>
              <w:top w:val="single" w:sz="4" w:space="0" w:color="auto"/>
              <w:left w:val="nil"/>
              <w:bottom w:val="single" w:sz="4" w:space="0" w:color="auto"/>
              <w:right w:val="single" w:sz="8" w:space="0" w:color="auto"/>
            </w:tcBorders>
            <w:shd w:val="clear" w:color="auto" w:fill="FFFF00"/>
            <w:tcMar>
              <w:top w:w="15" w:type="dxa"/>
              <w:left w:w="15" w:type="dxa"/>
              <w:bottom w:w="15" w:type="dxa"/>
              <w:right w:w="15" w:type="dxa"/>
            </w:tcMar>
            <w:vAlign w:val="center"/>
            <w:hideMark/>
          </w:tcPr>
          <w:p w14:paraId="545471F8"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PLAN DE MEJORAMIENTO</w:t>
            </w:r>
          </w:p>
        </w:tc>
      </w:tr>
      <w:tr w:rsidR="005A730B" w14:paraId="46612712" w14:textId="77777777" w:rsidTr="005A730B">
        <w:trPr>
          <w:trHeight w:val="268"/>
        </w:trPr>
        <w:tc>
          <w:tcPr>
            <w:tcW w:w="3473" w:type="dxa"/>
            <w:tcBorders>
              <w:top w:val="single" w:sz="4" w:space="0" w:color="auto"/>
              <w:left w:val="single" w:sz="8" w:space="0" w:color="auto"/>
              <w:bottom w:val="single" w:sz="8" w:space="0" w:color="auto"/>
              <w:right w:val="single" w:sz="4" w:space="0" w:color="auto"/>
            </w:tcBorders>
            <w:tcMar>
              <w:top w:w="15" w:type="dxa"/>
              <w:left w:w="15" w:type="dxa"/>
              <w:bottom w:w="15" w:type="dxa"/>
              <w:right w:w="15" w:type="dxa"/>
            </w:tcMar>
            <w:vAlign w:val="center"/>
            <w:hideMark/>
          </w:tcPr>
          <w:p w14:paraId="4659490E"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Evaluación de Calidad en SP por INVIMA</w:t>
            </w:r>
          </w:p>
        </w:tc>
        <w:tc>
          <w:tcPr>
            <w:tcW w:w="5395" w:type="dxa"/>
            <w:tcBorders>
              <w:top w:val="single" w:sz="4" w:space="0" w:color="auto"/>
              <w:left w:val="nil"/>
              <w:bottom w:val="single" w:sz="8" w:space="0" w:color="auto"/>
              <w:right w:val="single" w:sz="8" w:space="0" w:color="auto"/>
            </w:tcBorders>
            <w:shd w:val="clear" w:color="auto" w:fill="FFFF00"/>
            <w:tcMar>
              <w:top w:w="15" w:type="dxa"/>
              <w:left w:w="15" w:type="dxa"/>
              <w:bottom w:w="15" w:type="dxa"/>
              <w:right w:w="15" w:type="dxa"/>
            </w:tcMar>
            <w:vAlign w:val="center"/>
            <w:hideMark/>
          </w:tcPr>
          <w:p w14:paraId="6A547D8B" w14:textId="77777777" w:rsidR="005A730B" w:rsidRDefault="005A730B">
            <w:pPr>
              <w:rPr>
                <w:rFonts w:ascii="Arial" w:eastAsia="Times New Roman" w:hAnsi="Arial" w:cs="Arial"/>
                <w:color w:val="000000"/>
                <w:sz w:val="18"/>
                <w:szCs w:val="18"/>
              </w:rPr>
            </w:pPr>
            <w:r>
              <w:rPr>
                <w:rFonts w:ascii="Arial" w:eastAsia="Times New Roman" w:hAnsi="Arial" w:cs="Arial"/>
                <w:color w:val="000000"/>
                <w:sz w:val="18"/>
                <w:szCs w:val="18"/>
              </w:rPr>
              <w:t>PLAN DE MEJORAMIENTO</w:t>
            </w:r>
          </w:p>
        </w:tc>
      </w:tr>
    </w:tbl>
    <w:p w14:paraId="1824B4C2" w14:textId="77777777" w:rsidR="005A730B" w:rsidRDefault="005A730B" w:rsidP="005A730B">
      <w:pPr>
        <w:jc w:val="center"/>
        <w:rPr>
          <w:rFonts w:ascii="Arial" w:hAnsi="Arial" w:cs="Arial"/>
          <w:sz w:val="16"/>
          <w:szCs w:val="16"/>
        </w:rPr>
      </w:pPr>
      <w:r>
        <w:rPr>
          <w:rFonts w:ascii="Arial" w:hAnsi="Arial" w:cs="Arial"/>
          <w:sz w:val="16"/>
          <w:szCs w:val="16"/>
        </w:rPr>
        <w:t>Fuente: elaboración Propia a partir de Diagnóstico de los Laboratorios de Salud Pública de Colombia</w:t>
      </w:r>
    </w:p>
    <w:p w14:paraId="53373A70" w14:textId="77777777" w:rsidR="005A730B" w:rsidRDefault="005A730B" w:rsidP="005A730B">
      <w:pPr>
        <w:rPr>
          <w:rFonts w:ascii="Arial" w:hAnsi="Arial" w:cs="Arial"/>
          <w:sz w:val="21"/>
          <w:szCs w:val="21"/>
        </w:rPr>
      </w:pPr>
      <w:r>
        <w:rPr>
          <w:rFonts w:ascii="Arial" w:hAnsi="Arial" w:cs="Arial"/>
          <w:sz w:val="21"/>
          <w:szCs w:val="21"/>
        </w:rPr>
        <w:br w:type="page"/>
      </w:r>
    </w:p>
    <w:p w14:paraId="08C9AADD" w14:textId="77777777" w:rsidR="005A730B" w:rsidRDefault="005A730B" w:rsidP="005A730B">
      <w:pPr>
        <w:jc w:val="center"/>
        <w:rPr>
          <w:rFonts w:ascii="Arial" w:hAnsi="Arial" w:cs="Arial"/>
          <w:sz w:val="20"/>
          <w:szCs w:val="20"/>
        </w:rPr>
      </w:pPr>
      <w:r>
        <w:rPr>
          <w:rFonts w:ascii="Arial" w:hAnsi="Arial" w:cs="Arial"/>
          <w:b/>
          <w:bCs/>
          <w:sz w:val="20"/>
          <w:szCs w:val="20"/>
        </w:rPr>
        <w:lastRenderedPageBreak/>
        <w:t>Tabla No. 2</w:t>
      </w:r>
    </w:p>
    <w:tbl>
      <w:tblPr>
        <w:tblW w:w="5000" w:type="pct"/>
        <w:tblLook w:val="04A0" w:firstRow="1" w:lastRow="0" w:firstColumn="1" w:lastColumn="0" w:noHBand="0" w:noVBand="1"/>
      </w:tblPr>
      <w:tblGrid>
        <w:gridCol w:w="1002"/>
        <w:gridCol w:w="841"/>
        <w:gridCol w:w="841"/>
        <w:gridCol w:w="1256"/>
        <w:gridCol w:w="1178"/>
        <w:gridCol w:w="822"/>
        <w:gridCol w:w="1024"/>
        <w:gridCol w:w="1187"/>
        <w:gridCol w:w="677"/>
      </w:tblGrid>
      <w:tr w:rsidR="005A730B" w14:paraId="19F67B51" w14:textId="77777777" w:rsidTr="005A730B">
        <w:trPr>
          <w:trHeight w:val="215"/>
        </w:trPr>
        <w:tc>
          <w:tcPr>
            <w:tcW w:w="568" w:type="pct"/>
            <w:vMerge w:val="restart"/>
            <w:tcBorders>
              <w:top w:val="single" w:sz="4" w:space="0" w:color="auto"/>
              <w:left w:val="single" w:sz="4" w:space="0" w:color="auto"/>
              <w:bottom w:val="single" w:sz="4" w:space="0" w:color="auto"/>
              <w:right w:val="single" w:sz="4" w:space="0" w:color="auto"/>
            </w:tcBorders>
            <w:shd w:val="clear" w:color="auto" w:fill="1F4E78"/>
            <w:tcMar>
              <w:top w:w="15" w:type="dxa"/>
              <w:left w:w="15" w:type="dxa"/>
              <w:bottom w:w="15" w:type="dxa"/>
              <w:right w:w="15" w:type="dxa"/>
            </w:tcMar>
            <w:vAlign w:val="center"/>
            <w:hideMark/>
          </w:tcPr>
          <w:p w14:paraId="3BACA166"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rPr>
              <w:t>Laboratorio de Salud Publica</w:t>
            </w:r>
          </w:p>
        </w:tc>
        <w:tc>
          <w:tcPr>
            <w:tcW w:w="953" w:type="pct"/>
            <w:gridSpan w:val="2"/>
            <w:tcBorders>
              <w:top w:val="single" w:sz="4" w:space="0" w:color="auto"/>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68B899F9" w14:textId="77777777" w:rsidR="005A730B" w:rsidRDefault="005A730B">
            <w:pPr>
              <w:jc w:val="center"/>
              <w:rPr>
                <w:rFonts w:ascii="Arial" w:eastAsia="Times New Roman" w:hAnsi="Arial" w:cs="Arial"/>
                <w:b/>
                <w:bCs/>
                <w:color w:val="FFFFFF"/>
                <w:sz w:val="18"/>
                <w:szCs w:val="18"/>
              </w:rPr>
            </w:pPr>
            <w:r>
              <w:rPr>
                <w:rFonts w:ascii="Arial" w:eastAsia="Times New Roman" w:hAnsi="Arial" w:cs="Arial"/>
                <w:b/>
                <w:bCs/>
                <w:color w:val="FFFFFF"/>
                <w:sz w:val="18"/>
                <w:szCs w:val="18"/>
              </w:rPr>
              <w:t>MISIONAL</w:t>
            </w:r>
          </w:p>
        </w:tc>
        <w:tc>
          <w:tcPr>
            <w:tcW w:w="3480" w:type="pct"/>
            <w:gridSpan w:val="6"/>
            <w:tcBorders>
              <w:top w:val="single" w:sz="4" w:space="0" w:color="auto"/>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0CF7D015" w14:textId="77777777" w:rsidR="005A730B" w:rsidRDefault="005A730B">
            <w:pPr>
              <w:jc w:val="center"/>
              <w:rPr>
                <w:rFonts w:ascii="Arial" w:eastAsia="Times New Roman" w:hAnsi="Arial" w:cs="Arial"/>
                <w:b/>
                <w:bCs/>
                <w:color w:val="FFFFFF"/>
                <w:sz w:val="18"/>
                <w:szCs w:val="18"/>
              </w:rPr>
            </w:pPr>
            <w:r>
              <w:rPr>
                <w:rFonts w:ascii="Arial" w:eastAsia="Times New Roman" w:hAnsi="Arial" w:cs="Arial"/>
                <w:b/>
                <w:bCs/>
                <w:color w:val="FFFFFF"/>
                <w:sz w:val="18"/>
                <w:szCs w:val="18"/>
              </w:rPr>
              <w:t>CAPACIDADES BASICAS</w:t>
            </w:r>
          </w:p>
        </w:tc>
      </w:tr>
      <w:tr w:rsidR="005A730B" w14:paraId="59DF5BC5" w14:textId="77777777" w:rsidTr="005A730B">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5830E" w14:textId="77777777" w:rsidR="005A730B" w:rsidRDefault="005A730B">
            <w:pPr>
              <w:rPr>
                <w:rFonts w:ascii="Arial" w:eastAsia="Times New Roman" w:hAnsi="Arial" w:cs="Arial"/>
                <w:b/>
                <w:bCs/>
                <w:color w:val="FFFFFF"/>
                <w:sz w:val="18"/>
                <w:szCs w:val="18"/>
                <w:lang w:val="es-CO" w:eastAsia="es-CO"/>
              </w:rPr>
            </w:pPr>
          </w:p>
        </w:tc>
        <w:tc>
          <w:tcPr>
            <w:tcW w:w="476"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42E18581" w14:textId="77777777" w:rsidR="005A730B" w:rsidRDefault="008F59B6">
            <w:pPr>
              <w:jc w:val="center"/>
              <w:rPr>
                <w:rFonts w:ascii="Arial" w:eastAsia="Times New Roman" w:hAnsi="Arial" w:cs="Arial"/>
                <w:b/>
                <w:bCs/>
                <w:color w:val="FFFFFF" w:themeColor="background1"/>
                <w:sz w:val="18"/>
                <w:szCs w:val="18"/>
                <w:u w:val="single"/>
              </w:rPr>
            </w:pPr>
            <w:hyperlink r:id="rId31" w:anchor="RANGE!_ftn3" w:history="1">
              <w:r w:rsidR="005A730B">
                <w:rPr>
                  <w:rStyle w:val="Hipervnculo"/>
                  <w:rFonts w:ascii="Arial" w:eastAsia="Times New Roman" w:hAnsi="Arial" w:cs="Arial"/>
                  <w:b/>
                  <w:bCs/>
                  <w:color w:val="FFFFFF" w:themeColor="background1"/>
                  <w:sz w:val="18"/>
                  <w:szCs w:val="18"/>
                </w:rPr>
                <w:t>Vigilancia en Salud Pública [3]</w:t>
              </w:r>
            </w:hyperlink>
          </w:p>
        </w:tc>
        <w:tc>
          <w:tcPr>
            <w:tcW w:w="476"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60CB8266" w14:textId="77777777" w:rsidR="005A730B" w:rsidRDefault="008F59B6">
            <w:pPr>
              <w:jc w:val="center"/>
              <w:rPr>
                <w:rFonts w:ascii="Arial" w:eastAsia="Times New Roman" w:hAnsi="Arial" w:cs="Arial"/>
                <w:b/>
                <w:bCs/>
                <w:color w:val="FFFFFF" w:themeColor="background1"/>
                <w:sz w:val="18"/>
                <w:szCs w:val="18"/>
                <w:u w:val="single"/>
              </w:rPr>
            </w:pPr>
            <w:hyperlink r:id="rId32" w:anchor="RANGE!_ftn4" w:history="1">
              <w:r w:rsidR="005A730B">
                <w:rPr>
                  <w:rStyle w:val="Hipervnculo"/>
                  <w:rFonts w:ascii="Arial" w:eastAsia="Times New Roman" w:hAnsi="Arial" w:cs="Arial"/>
                  <w:b/>
                  <w:bCs/>
                  <w:color w:val="FFFFFF" w:themeColor="background1"/>
                  <w:sz w:val="18"/>
                  <w:szCs w:val="18"/>
                </w:rPr>
                <w:t>Vigilancia Sanitaria [4]</w:t>
              </w:r>
            </w:hyperlink>
          </w:p>
        </w:tc>
        <w:tc>
          <w:tcPr>
            <w:tcW w:w="711"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7A566967" w14:textId="77777777" w:rsidR="005A730B" w:rsidRDefault="005A730B">
            <w:pPr>
              <w:jc w:val="center"/>
              <w:rPr>
                <w:rFonts w:ascii="Arial" w:eastAsia="Times New Roman" w:hAnsi="Arial" w:cs="Arial"/>
                <w:b/>
                <w:bCs/>
                <w:color w:val="FFFFFF" w:themeColor="background1"/>
                <w:sz w:val="18"/>
                <w:szCs w:val="18"/>
                <w:u w:val="single"/>
              </w:rPr>
            </w:pPr>
            <w:r>
              <w:rPr>
                <w:rFonts w:ascii="Arial" w:eastAsia="Times New Roman" w:hAnsi="Arial" w:cs="Arial"/>
                <w:b/>
                <w:bCs/>
                <w:color w:val="FFFFFF" w:themeColor="background1"/>
                <w:sz w:val="18"/>
                <w:szCs w:val="18"/>
                <w:u w:val="single"/>
              </w:rPr>
              <w:t>Infraestructura física</w:t>
            </w:r>
          </w:p>
        </w:tc>
        <w:tc>
          <w:tcPr>
            <w:tcW w:w="667"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60169944" w14:textId="77777777" w:rsidR="005A730B" w:rsidRDefault="008F59B6">
            <w:pPr>
              <w:jc w:val="center"/>
              <w:rPr>
                <w:rFonts w:ascii="Arial" w:eastAsia="Times New Roman" w:hAnsi="Arial" w:cs="Arial"/>
                <w:b/>
                <w:bCs/>
                <w:color w:val="FFFFFF" w:themeColor="background1"/>
                <w:sz w:val="18"/>
                <w:szCs w:val="18"/>
                <w:u w:val="single"/>
              </w:rPr>
            </w:pPr>
            <w:hyperlink r:id="rId33" w:anchor="RANGE!_ftn5" w:history="1">
              <w:r w:rsidR="005A730B">
                <w:rPr>
                  <w:rStyle w:val="Hipervnculo"/>
                  <w:rFonts w:ascii="Arial" w:eastAsia="Times New Roman" w:hAnsi="Arial" w:cs="Arial"/>
                  <w:b/>
                  <w:bCs/>
                  <w:color w:val="FFFFFF" w:themeColor="background1"/>
                  <w:sz w:val="18"/>
                  <w:szCs w:val="18"/>
                </w:rPr>
                <w:t>Equipamiento [5]</w:t>
              </w:r>
            </w:hyperlink>
          </w:p>
        </w:tc>
        <w:tc>
          <w:tcPr>
            <w:tcW w:w="466"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5E02A17D" w14:textId="77777777" w:rsidR="005A730B" w:rsidRDefault="008F59B6">
            <w:pPr>
              <w:jc w:val="center"/>
              <w:rPr>
                <w:rFonts w:ascii="Arial" w:eastAsia="Times New Roman" w:hAnsi="Arial" w:cs="Arial"/>
                <w:b/>
                <w:bCs/>
                <w:color w:val="FFFFFF" w:themeColor="background1"/>
                <w:sz w:val="18"/>
                <w:szCs w:val="18"/>
                <w:u w:val="single"/>
              </w:rPr>
            </w:pPr>
            <w:hyperlink r:id="rId34" w:anchor="RANGE!_ftn6" w:history="1">
              <w:r w:rsidR="005A730B">
                <w:rPr>
                  <w:rStyle w:val="Hipervnculo"/>
                  <w:rFonts w:ascii="Arial" w:eastAsia="Times New Roman" w:hAnsi="Arial" w:cs="Arial"/>
                  <w:b/>
                  <w:bCs/>
                  <w:color w:val="FFFFFF" w:themeColor="background1"/>
                  <w:sz w:val="18"/>
                  <w:szCs w:val="18"/>
                </w:rPr>
                <w:t>Talento Humano [6]</w:t>
              </w:r>
            </w:hyperlink>
          </w:p>
        </w:tc>
        <w:tc>
          <w:tcPr>
            <w:tcW w:w="580"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25FA25CF" w14:textId="77777777" w:rsidR="005A730B" w:rsidRDefault="005A730B">
            <w:pPr>
              <w:jc w:val="center"/>
              <w:rPr>
                <w:rFonts w:ascii="Arial" w:eastAsia="Times New Roman" w:hAnsi="Arial" w:cs="Arial"/>
                <w:b/>
                <w:bCs/>
                <w:color w:val="FFFFFF" w:themeColor="background1"/>
                <w:sz w:val="18"/>
                <w:szCs w:val="18"/>
                <w:u w:val="single"/>
              </w:rPr>
            </w:pPr>
            <w:r>
              <w:rPr>
                <w:rFonts w:ascii="Arial" w:eastAsia="Times New Roman" w:hAnsi="Arial" w:cs="Arial"/>
                <w:b/>
                <w:bCs/>
                <w:color w:val="FFFFFF" w:themeColor="background1"/>
                <w:sz w:val="18"/>
                <w:szCs w:val="18"/>
                <w:u w:val="single"/>
              </w:rPr>
              <w:t>Sistemas de Información</w:t>
            </w:r>
          </w:p>
        </w:tc>
        <w:tc>
          <w:tcPr>
            <w:tcW w:w="672"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0889312C" w14:textId="77777777" w:rsidR="005A730B" w:rsidRDefault="008F59B6">
            <w:pPr>
              <w:jc w:val="center"/>
              <w:rPr>
                <w:rFonts w:ascii="Arial" w:eastAsia="Times New Roman" w:hAnsi="Arial" w:cs="Arial"/>
                <w:b/>
                <w:bCs/>
                <w:color w:val="FFFFFF" w:themeColor="background1"/>
                <w:sz w:val="18"/>
                <w:szCs w:val="18"/>
                <w:u w:val="single"/>
              </w:rPr>
            </w:pPr>
            <w:hyperlink r:id="rId35" w:anchor="RANGE!_ftn7" w:history="1">
              <w:r w:rsidR="005A730B">
                <w:rPr>
                  <w:rStyle w:val="Hipervnculo"/>
                  <w:rFonts w:ascii="Arial" w:eastAsia="Times New Roman" w:hAnsi="Arial" w:cs="Arial"/>
                  <w:b/>
                  <w:bCs/>
                  <w:color w:val="FFFFFF" w:themeColor="background1"/>
                  <w:sz w:val="18"/>
                  <w:szCs w:val="18"/>
                </w:rPr>
                <w:t>Gestión del Conocimiento [7]</w:t>
              </w:r>
            </w:hyperlink>
          </w:p>
        </w:tc>
        <w:tc>
          <w:tcPr>
            <w:tcW w:w="383" w:type="pct"/>
            <w:tcBorders>
              <w:top w:val="nil"/>
              <w:left w:val="nil"/>
              <w:bottom w:val="single" w:sz="4" w:space="0" w:color="auto"/>
              <w:right w:val="single" w:sz="4" w:space="0" w:color="auto"/>
            </w:tcBorders>
            <w:shd w:val="clear" w:color="auto" w:fill="1F4E78"/>
            <w:tcMar>
              <w:top w:w="15" w:type="dxa"/>
              <w:left w:w="15" w:type="dxa"/>
              <w:bottom w:w="15" w:type="dxa"/>
              <w:right w:w="15" w:type="dxa"/>
            </w:tcMar>
            <w:vAlign w:val="center"/>
            <w:hideMark/>
          </w:tcPr>
          <w:p w14:paraId="12301697" w14:textId="77777777" w:rsidR="005A730B" w:rsidRDefault="005A730B">
            <w:pPr>
              <w:jc w:val="center"/>
              <w:rPr>
                <w:rFonts w:ascii="Arial" w:eastAsia="Times New Roman" w:hAnsi="Arial" w:cs="Arial"/>
                <w:b/>
                <w:bCs/>
                <w:color w:val="FFFFFF" w:themeColor="background1"/>
                <w:sz w:val="18"/>
                <w:szCs w:val="18"/>
                <w:u w:val="single"/>
              </w:rPr>
            </w:pPr>
            <w:r>
              <w:rPr>
                <w:rFonts w:ascii="Arial" w:eastAsia="Times New Roman" w:hAnsi="Arial" w:cs="Arial"/>
                <w:b/>
                <w:bCs/>
                <w:color w:val="FFFFFF" w:themeColor="background1"/>
                <w:sz w:val="18"/>
                <w:szCs w:val="18"/>
                <w:u w:val="single"/>
              </w:rPr>
              <w:t>Gestión de Calidad</w:t>
            </w:r>
          </w:p>
        </w:tc>
      </w:tr>
      <w:tr w:rsidR="005A730B" w14:paraId="01AD6142" w14:textId="77777777" w:rsidTr="005A730B">
        <w:trPr>
          <w:trHeight w:val="215"/>
        </w:trPr>
        <w:tc>
          <w:tcPr>
            <w:tcW w:w="568" w:type="pct"/>
            <w:tcBorders>
              <w:top w:val="single" w:sz="4" w:space="0" w:color="auto"/>
              <w:left w:val="single" w:sz="4" w:space="0" w:color="auto"/>
              <w:bottom w:val="single" w:sz="4" w:space="0" w:color="auto"/>
              <w:right w:val="single" w:sz="4" w:space="0" w:color="auto"/>
            </w:tcBorders>
            <w:shd w:val="clear" w:color="auto" w:fill="AEAAAA"/>
            <w:tcMar>
              <w:top w:w="15" w:type="dxa"/>
              <w:left w:w="15" w:type="dxa"/>
              <w:bottom w:w="15" w:type="dxa"/>
              <w:right w:w="15" w:type="dxa"/>
            </w:tcMar>
            <w:vAlign w:val="center"/>
            <w:hideMark/>
          </w:tcPr>
          <w:p w14:paraId="68D08841"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Caquetá</w:t>
            </w:r>
          </w:p>
        </w:tc>
        <w:tc>
          <w:tcPr>
            <w:tcW w:w="476"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230810D6"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Cumple Parcial</w:t>
            </w:r>
          </w:p>
        </w:tc>
        <w:tc>
          <w:tcPr>
            <w:tcW w:w="476"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077AB8D0"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Cumple Parcial</w:t>
            </w:r>
          </w:p>
        </w:tc>
        <w:tc>
          <w:tcPr>
            <w:tcW w:w="711" w:type="pct"/>
            <w:tcBorders>
              <w:top w:val="nil"/>
              <w:left w:val="nil"/>
              <w:bottom w:val="single" w:sz="4" w:space="0" w:color="auto"/>
              <w:right w:val="single" w:sz="4" w:space="0" w:color="auto"/>
            </w:tcBorders>
            <w:shd w:val="clear" w:color="auto" w:fill="FFFF00"/>
            <w:tcMar>
              <w:top w:w="15" w:type="dxa"/>
              <w:left w:w="15" w:type="dxa"/>
              <w:bottom w:w="15" w:type="dxa"/>
              <w:right w:w="15" w:type="dxa"/>
            </w:tcMar>
            <w:vAlign w:val="center"/>
            <w:hideMark/>
          </w:tcPr>
          <w:p w14:paraId="0A10B997"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Cumple Parcial</w:t>
            </w:r>
          </w:p>
        </w:tc>
        <w:tc>
          <w:tcPr>
            <w:tcW w:w="667"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3EAC87E8"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Insuficiente</w:t>
            </w:r>
          </w:p>
        </w:tc>
        <w:tc>
          <w:tcPr>
            <w:tcW w:w="466" w:type="pct"/>
            <w:tcBorders>
              <w:top w:val="single" w:sz="4" w:space="0" w:color="auto"/>
              <w:left w:val="nil"/>
              <w:bottom w:val="single" w:sz="4" w:space="0" w:color="auto"/>
              <w:right w:val="single" w:sz="4" w:space="0" w:color="auto"/>
            </w:tcBorders>
            <w:shd w:val="clear" w:color="auto" w:fill="FFFF00"/>
            <w:tcMar>
              <w:top w:w="15" w:type="dxa"/>
              <w:left w:w="15" w:type="dxa"/>
              <w:bottom w:w="15" w:type="dxa"/>
              <w:right w:w="15" w:type="dxa"/>
            </w:tcMar>
            <w:vAlign w:val="bottom"/>
            <w:hideMark/>
          </w:tcPr>
          <w:p w14:paraId="7BE6B601"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Mayor que el promedio</w:t>
            </w:r>
          </w:p>
        </w:tc>
        <w:tc>
          <w:tcPr>
            <w:tcW w:w="580"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5CE145B0"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cumple</w:t>
            </w:r>
          </w:p>
        </w:tc>
        <w:tc>
          <w:tcPr>
            <w:tcW w:w="672"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493B5E8F"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No publico Articulo</w:t>
            </w:r>
          </w:p>
        </w:tc>
        <w:tc>
          <w:tcPr>
            <w:tcW w:w="383" w:type="pct"/>
            <w:tcBorders>
              <w:top w:val="single" w:sz="4" w:space="0" w:color="auto"/>
              <w:left w:val="nil"/>
              <w:bottom w:val="single" w:sz="4" w:space="0" w:color="auto"/>
              <w:right w:val="single" w:sz="4" w:space="0" w:color="auto"/>
            </w:tcBorders>
            <w:shd w:val="clear" w:color="auto" w:fill="F8CBAD"/>
            <w:tcMar>
              <w:top w:w="15" w:type="dxa"/>
              <w:left w:w="15" w:type="dxa"/>
              <w:bottom w:w="15" w:type="dxa"/>
              <w:right w:w="15" w:type="dxa"/>
            </w:tcMar>
            <w:vAlign w:val="center"/>
            <w:hideMark/>
          </w:tcPr>
          <w:p w14:paraId="05A763D4" w14:textId="77777777" w:rsidR="005A730B" w:rsidRDefault="005A730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No Cumple </w:t>
            </w:r>
          </w:p>
        </w:tc>
      </w:tr>
    </w:tbl>
    <w:p w14:paraId="7378DF04" w14:textId="77777777" w:rsidR="005A730B" w:rsidRDefault="005A730B" w:rsidP="005A730B">
      <w:pPr>
        <w:jc w:val="center"/>
        <w:rPr>
          <w:rFonts w:ascii="Arial" w:hAnsi="Arial" w:cs="Arial"/>
          <w:sz w:val="16"/>
          <w:szCs w:val="16"/>
        </w:rPr>
      </w:pPr>
      <w:r>
        <w:rPr>
          <w:rFonts w:ascii="Arial" w:hAnsi="Arial" w:cs="Arial"/>
          <w:sz w:val="16"/>
          <w:szCs w:val="16"/>
        </w:rPr>
        <w:t>Fuente: elaboración Propia a partir de Diagnóstico de los Laboratorios de Salud Pública de Colombia</w:t>
      </w:r>
    </w:p>
    <w:p w14:paraId="7F108594" w14:textId="77777777" w:rsidR="005A730B" w:rsidRDefault="005A730B" w:rsidP="005A730B">
      <w:pPr>
        <w:jc w:val="both"/>
        <w:rPr>
          <w:rFonts w:ascii="Arial" w:hAnsi="Arial" w:cs="Arial"/>
          <w:sz w:val="21"/>
          <w:szCs w:val="21"/>
        </w:rPr>
      </w:pPr>
    </w:p>
    <w:p w14:paraId="37E1698A" w14:textId="77777777" w:rsidR="005A730B" w:rsidRDefault="005A730B" w:rsidP="005A730B">
      <w:pPr>
        <w:jc w:val="both"/>
        <w:rPr>
          <w:rFonts w:ascii="Arial" w:hAnsi="Arial" w:cs="Arial"/>
          <w:sz w:val="21"/>
          <w:szCs w:val="21"/>
        </w:rPr>
      </w:pPr>
      <w:r>
        <w:rPr>
          <w:rFonts w:ascii="Arial" w:hAnsi="Arial" w:cs="Arial"/>
          <w:sz w:val="21"/>
          <w:szCs w:val="21"/>
        </w:rPr>
        <w:t xml:space="preserve">Al respecto, se identificó el incumplimiento de los Estándares de Calidad en Salud Pública - ECSP que el Instituto Nacional de Salud - INS y el Instituto Nacional de Vigilancia de Medicamentos y Alimentos - INVIMA han determinado, así como también de los componentes misionales y las capacidades básicas que ha definido el Ministerio de Salud y Protección Social respecto al Laboratorio de Salud Pública del Departamento del Caquetá; lo anterior, conforme lo prevé el documento </w:t>
      </w:r>
      <w:r>
        <w:rPr>
          <w:rFonts w:ascii="Arial" w:hAnsi="Arial" w:cs="Arial"/>
          <w:i/>
          <w:iCs/>
          <w:sz w:val="21"/>
          <w:szCs w:val="21"/>
        </w:rPr>
        <w:t>“Diagnóstico de los Laboratorios de Salud Pública de Colombia, Vigencia 2020”</w:t>
      </w:r>
      <w:r>
        <w:rPr>
          <w:rFonts w:ascii="Arial" w:hAnsi="Arial" w:cs="Arial"/>
          <w:sz w:val="21"/>
          <w:szCs w:val="21"/>
        </w:rPr>
        <w:t xml:space="preserve"> del Ministerio de Salud y Protección Social:</w:t>
      </w:r>
    </w:p>
    <w:p w14:paraId="5D9AA6D4" w14:textId="77777777" w:rsidR="005A730B" w:rsidRDefault="005A730B" w:rsidP="005A730B">
      <w:pPr>
        <w:jc w:val="both"/>
        <w:rPr>
          <w:rFonts w:ascii="Arial" w:eastAsia="Arial Narrow" w:hAnsi="Arial" w:cs="Arial"/>
          <w:color w:val="000000" w:themeColor="text1"/>
          <w:sz w:val="21"/>
          <w:szCs w:val="21"/>
        </w:rPr>
      </w:pPr>
    </w:p>
    <w:p w14:paraId="10FEE8BD" w14:textId="77777777" w:rsidR="005A730B" w:rsidRDefault="005A730B" w:rsidP="005A730B">
      <w:pPr>
        <w:jc w:val="both"/>
        <w:rPr>
          <w:rFonts w:ascii="Arial" w:eastAsia="Calibri" w:hAnsi="Arial" w:cs="Arial"/>
          <w:b/>
          <w:sz w:val="21"/>
          <w:szCs w:val="21"/>
        </w:rPr>
      </w:pPr>
      <w:r>
        <w:rPr>
          <w:rFonts w:ascii="Arial" w:eastAsia="Calibri" w:hAnsi="Arial" w:cs="Arial"/>
          <w:b/>
          <w:sz w:val="21"/>
          <w:szCs w:val="21"/>
        </w:rPr>
        <w:t>Evidencias:</w:t>
      </w:r>
    </w:p>
    <w:p w14:paraId="1E334659" w14:textId="77777777" w:rsidR="005A730B" w:rsidRDefault="005A730B" w:rsidP="005A730B">
      <w:pPr>
        <w:jc w:val="both"/>
        <w:rPr>
          <w:rFonts w:ascii="Arial" w:eastAsia="Calibri" w:hAnsi="Arial" w:cs="Arial"/>
          <w:sz w:val="21"/>
          <w:szCs w:val="21"/>
          <w:highlight w:val="yellow"/>
        </w:rPr>
      </w:pPr>
    </w:p>
    <w:p w14:paraId="301E73D6" w14:textId="77777777" w:rsidR="005A730B" w:rsidRDefault="005A730B" w:rsidP="005A730B">
      <w:pPr>
        <w:jc w:val="both"/>
        <w:rPr>
          <w:rFonts w:ascii="Arial" w:eastAsia="Arial Narrow" w:hAnsi="Arial" w:cs="Arial"/>
          <w:color w:val="000000" w:themeColor="text1"/>
          <w:sz w:val="20"/>
          <w:szCs w:val="20"/>
        </w:rPr>
      </w:pPr>
      <w:r>
        <w:rPr>
          <w:rFonts w:ascii="Arial" w:eastAsia="Arial Narrow" w:hAnsi="Arial" w:cs="Arial"/>
          <w:color w:val="000000" w:themeColor="text1"/>
          <w:sz w:val="20"/>
          <w:szCs w:val="20"/>
        </w:rPr>
        <w:t>DIAGNOSTICO LABORATORIOS 2020 MSPS.pdf SALUD. DEPARTAMENTO DE CAQUETA /</w:t>
      </w:r>
      <w:r>
        <w:rPr>
          <w:rFonts w:ascii="Arial" w:hAnsi="Arial" w:cs="Arial"/>
          <w:sz w:val="20"/>
          <w:szCs w:val="20"/>
        </w:rPr>
        <w:t>HISTORIAL DE SEGUIMIENTO Y CONTROL A LOS RECURSOS DEL SISTEMA GENERAL DE PARTICIPACIONES</w:t>
      </w:r>
      <w:r>
        <w:rPr>
          <w:rFonts w:ascii="Arial" w:eastAsia="Arial Narrow" w:hAnsi="Arial" w:cs="Arial"/>
          <w:color w:val="000000" w:themeColor="text1"/>
          <w:sz w:val="20"/>
          <w:szCs w:val="20"/>
        </w:rPr>
        <w:t xml:space="preserve"> EXPEDIENTE DIGITAL 24/2021/D028-PREDI. RADICADO NO 1-2021-084304 / 15 de octubre de 2021:</w:t>
      </w:r>
    </w:p>
    <w:p w14:paraId="1B4EB8BA" w14:textId="77777777" w:rsidR="005A730B" w:rsidRDefault="008F59B6" w:rsidP="005A730B">
      <w:pPr>
        <w:jc w:val="both"/>
        <w:rPr>
          <w:rFonts w:ascii="Arial" w:eastAsia="Arial Narrow" w:hAnsi="Arial" w:cs="Arial"/>
          <w:color w:val="000000" w:themeColor="text1"/>
          <w:sz w:val="20"/>
          <w:szCs w:val="20"/>
        </w:rPr>
      </w:pPr>
      <w:hyperlink r:id="rId36" w:history="1">
        <w:r w:rsidR="005A730B">
          <w:rPr>
            <w:rStyle w:val="Hipervnculo"/>
            <w:rFonts w:ascii="Arial" w:eastAsia="Arial Narrow" w:hAnsi="Arial" w:cs="Arial"/>
            <w:sz w:val="20"/>
            <w:szCs w:val="20"/>
          </w:rPr>
          <w:t>http://portalgestiondoc.minhacienda.red/PortalEmpleado/viewer.jsp?config=tJKrKxGkf7IqnAhwStdbSENppAmS95W4r1YLDNsJ/DJ/c8YheOqMsuWNMaijqYfrxmq/tB/L2a4XhUW2M7FkSPXDXzk/jNY3hM8OtY9hIqmUK7bOS0EW6RP0/jCS3YHbtFgJ0rJMOut9y/pGMvOyUZ7QAKTg7ZrJjc5ExmpVbTCgN7YqGYhp5a9CtNIp5bB7&amp;guid=-7ae17f7217ed5a3a5632731&amp;idrepository=879</w:t>
        </w:r>
      </w:hyperlink>
    </w:p>
    <w:p w14:paraId="36118532" w14:textId="77777777" w:rsidR="005A730B" w:rsidRDefault="005A730B" w:rsidP="005A730B">
      <w:pPr>
        <w:jc w:val="both"/>
        <w:rPr>
          <w:rFonts w:ascii="Arial" w:eastAsia="Arial Narrow" w:hAnsi="Arial" w:cs="Arial"/>
          <w:b/>
          <w:bCs/>
          <w:color w:val="000000" w:themeColor="text1"/>
          <w:sz w:val="21"/>
          <w:szCs w:val="21"/>
        </w:rPr>
      </w:pPr>
    </w:p>
    <w:p w14:paraId="592FAFE5" w14:textId="77777777" w:rsidR="005A730B" w:rsidRPr="0054617E" w:rsidRDefault="005A730B" w:rsidP="004F404B">
      <w:pPr>
        <w:pStyle w:val="Prrafodelista"/>
        <w:numPr>
          <w:ilvl w:val="0"/>
          <w:numId w:val="8"/>
        </w:numPr>
        <w:jc w:val="both"/>
        <w:rPr>
          <w:rFonts w:ascii="Arial" w:eastAsia="Arial Narrow" w:hAnsi="Arial" w:cs="Arial"/>
          <w:b/>
          <w:bCs/>
          <w:color w:val="000000" w:themeColor="text1"/>
          <w:sz w:val="21"/>
          <w:szCs w:val="21"/>
        </w:rPr>
      </w:pPr>
      <w:r w:rsidRPr="0054617E">
        <w:rPr>
          <w:rFonts w:ascii="Arial" w:eastAsia="Arial Narrow" w:hAnsi="Arial" w:cs="Arial"/>
          <w:b/>
          <w:bCs/>
          <w:color w:val="000000" w:themeColor="text1"/>
          <w:sz w:val="21"/>
          <w:szCs w:val="21"/>
        </w:rPr>
        <w:t xml:space="preserve">Baja ejecución en los recursos de la subcuenta Salud Pública </w:t>
      </w:r>
    </w:p>
    <w:p w14:paraId="157BD124" w14:textId="77777777" w:rsidR="005A730B" w:rsidRDefault="005A730B" w:rsidP="005A730B">
      <w:pPr>
        <w:jc w:val="both"/>
        <w:rPr>
          <w:rFonts w:ascii="Arial" w:hAnsi="Arial" w:cs="Arial"/>
          <w:sz w:val="21"/>
          <w:szCs w:val="21"/>
        </w:rPr>
      </w:pPr>
      <w:r>
        <w:rPr>
          <w:rFonts w:ascii="Arial" w:hAnsi="Arial" w:cs="Arial"/>
          <w:sz w:val="21"/>
          <w:szCs w:val="21"/>
        </w:rPr>
        <w:t>Con respecto al componente de Salud Pública para la vigencia 2021, se presupuestaron recursos por $15.038 millones, de los cuales se comprometieron $11.426 millones, se efectuaron obligaciones por $8.592 millones y se realizaron pagos por $8.259 millones, mostrando una ejecución del 76</w:t>
      </w:r>
      <w:r w:rsidR="00A57834">
        <w:rPr>
          <w:rFonts w:ascii="Arial" w:hAnsi="Arial" w:cs="Arial"/>
          <w:sz w:val="21"/>
          <w:szCs w:val="21"/>
        </w:rPr>
        <w:t>%</w:t>
      </w:r>
      <w:r>
        <w:rPr>
          <w:rFonts w:ascii="Arial" w:hAnsi="Arial" w:cs="Arial"/>
          <w:sz w:val="21"/>
          <w:szCs w:val="21"/>
        </w:rPr>
        <w:t xml:space="preserve"> frente a compromisos; sin embargo, al revisar las obligaciones y los pagos el porcentaje fue de 57</w:t>
      </w:r>
      <w:r w:rsidR="00A57834">
        <w:rPr>
          <w:rFonts w:ascii="Arial" w:hAnsi="Arial" w:cs="Arial"/>
          <w:sz w:val="21"/>
          <w:szCs w:val="21"/>
        </w:rPr>
        <w:t>%</w:t>
      </w:r>
      <w:r>
        <w:rPr>
          <w:rFonts w:ascii="Arial" w:hAnsi="Arial" w:cs="Arial"/>
          <w:sz w:val="21"/>
          <w:szCs w:val="21"/>
        </w:rPr>
        <w:t xml:space="preserve"> obligaciones y 56</w:t>
      </w:r>
      <w:r w:rsidR="00A57834">
        <w:rPr>
          <w:rFonts w:ascii="Arial" w:hAnsi="Arial" w:cs="Arial"/>
          <w:sz w:val="21"/>
          <w:szCs w:val="21"/>
        </w:rPr>
        <w:t>%</w:t>
      </w:r>
      <w:r>
        <w:rPr>
          <w:rFonts w:ascii="Arial" w:hAnsi="Arial" w:cs="Arial"/>
          <w:sz w:val="21"/>
          <w:szCs w:val="21"/>
        </w:rPr>
        <w:t xml:space="preserve"> pagos. Afectando de esta forma el cumplimiento de las metas planteadas en los diferentes programas de la Salud Pública enmarcadas en el Plan Decenal de Salud 2012-2022</w:t>
      </w:r>
      <w:r>
        <w:t xml:space="preserve">, </w:t>
      </w:r>
      <w:r>
        <w:rPr>
          <w:rFonts w:ascii="Arial" w:hAnsi="Arial" w:cs="Arial"/>
          <w:sz w:val="21"/>
          <w:szCs w:val="21"/>
        </w:rPr>
        <w:t>de acuerdo con la Ley 1438 de 2011.</w:t>
      </w:r>
    </w:p>
    <w:p w14:paraId="4A13099A" w14:textId="77777777" w:rsidR="005A730B" w:rsidRDefault="005A730B" w:rsidP="005A730B">
      <w:pPr>
        <w:jc w:val="both"/>
        <w:rPr>
          <w:rFonts w:ascii="Arial" w:hAnsi="Arial" w:cs="Arial"/>
          <w:sz w:val="21"/>
          <w:szCs w:val="21"/>
        </w:rPr>
      </w:pPr>
    </w:p>
    <w:tbl>
      <w:tblPr>
        <w:tblW w:w="5000" w:type="pct"/>
        <w:tblCellMar>
          <w:left w:w="70" w:type="dxa"/>
          <w:right w:w="70" w:type="dxa"/>
        </w:tblCellMar>
        <w:tblLook w:val="04A0" w:firstRow="1" w:lastRow="0" w:firstColumn="1" w:lastColumn="0" w:noHBand="0" w:noVBand="1"/>
      </w:tblPr>
      <w:tblGrid>
        <w:gridCol w:w="1396"/>
        <w:gridCol w:w="1550"/>
        <w:gridCol w:w="1546"/>
        <w:gridCol w:w="1531"/>
        <w:gridCol w:w="1580"/>
        <w:gridCol w:w="1215"/>
      </w:tblGrid>
      <w:tr w:rsidR="005A730B" w14:paraId="37AA1576" w14:textId="77777777" w:rsidTr="005A730B">
        <w:trPr>
          <w:trHeight w:val="229"/>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244062"/>
            <w:vAlign w:val="center"/>
            <w:hideMark/>
          </w:tcPr>
          <w:p w14:paraId="57642346"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INFORMACIÓN EJECUCION REPORTADA FUT CIERRE 2021</w:t>
            </w:r>
          </w:p>
        </w:tc>
      </w:tr>
      <w:tr w:rsidR="005A730B" w14:paraId="3E1DF4FB" w14:textId="77777777" w:rsidTr="005A730B">
        <w:trPr>
          <w:trHeight w:val="381"/>
        </w:trPr>
        <w:tc>
          <w:tcPr>
            <w:tcW w:w="798" w:type="pct"/>
            <w:tcBorders>
              <w:top w:val="nil"/>
              <w:left w:val="single" w:sz="8" w:space="0" w:color="000000"/>
              <w:bottom w:val="single" w:sz="8" w:space="0" w:color="000000"/>
              <w:right w:val="single" w:sz="8" w:space="0" w:color="000000"/>
            </w:tcBorders>
            <w:shd w:val="clear" w:color="auto" w:fill="244062"/>
            <w:vAlign w:val="center"/>
            <w:hideMark/>
          </w:tcPr>
          <w:p w14:paraId="13063253" w14:textId="77777777" w:rsidR="005A730B" w:rsidRDefault="005A730B">
            <w:pPr>
              <w:jc w:val="center"/>
              <w:rPr>
                <w:rFonts w:ascii="Arial" w:eastAsia="Times New Roman" w:hAnsi="Arial" w:cs="Arial"/>
                <w:b/>
                <w:bCs/>
                <w:color w:val="FFFFFF"/>
                <w:sz w:val="20"/>
                <w:szCs w:val="20"/>
                <w:lang w:val="es-CO" w:eastAsia="es-CO"/>
              </w:rPr>
            </w:pPr>
            <w:r>
              <w:rPr>
                <w:rFonts w:ascii="Arial" w:eastAsia="Times New Roman" w:hAnsi="Arial" w:cs="Arial"/>
                <w:b/>
                <w:bCs/>
                <w:color w:val="FFFFFF"/>
                <w:sz w:val="20"/>
                <w:szCs w:val="20"/>
                <w:lang w:val="es-CO" w:eastAsia="es-CO"/>
              </w:rPr>
              <w:t>NOMBRE</w:t>
            </w:r>
          </w:p>
        </w:tc>
        <w:tc>
          <w:tcPr>
            <w:tcW w:w="885" w:type="pct"/>
            <w:tcBorders>
              <w:top w:val="nil"/>
              <w:left w:val="nil"/>
              <w:bottom w:val="single" w:sz="8" w:space="0" w:color="000000"/>
              <w:right w:val="single" w:sz="8" w:space="0" w:color="000000"/>
            </w:tcBorders>
            <w:shd w:val="clear" w:color="auto" w:fill="244062"/>
            <w:vAlign w:val="center"/>
            <w:hideMark/>
          </w:tcPr>
          <w:p w14:paraId="6FC5678D"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PRESUPUESTO DEFINITIVO</w:t>
            </w:r>
          </w:p>
        </w:tc>
        <w:tc>
          <w:tcPr>
            <w:tcW w:w="883" w:type="pct"/>
            <w:tcBorders>
              <w:top w:val="nil"/>
              <w:left w:val="nil"/>
              <w:bottom w:val="single" w:sz="8" w:space="0" w:color="000000"/>
              <w:right w:val="single" w:sz="8" w:space="0" w:color="000000"/>
            </w:tcBorders>
            <w:shd w:val="clear" w:color="auto" w:fill="244062"/>
            <w:vAlign w:val="center"/>
            <w:hideMark/>
          </w:tcPr>
          <w:p w14:paraId="03227E6B"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COMPROMISOS</w:t>
            </w:r>
          </w:p>
        </w:tc>
        <w:tc>
          <w:tcPr>
            <w:tcW w:w="837" w:type="pct"/>
            <w:tcBorders>
              <w:top w:val="nil"/>
              <w:left w:val="nil"/>
              <w:bottom w:val="single" w:sz="8" w:space="0" w:color="000000"/>
              <w:right w:val="single" w:sz="8" w:space="0" w:color="000000"/>
            </w:tcBorders>
            <w:shd w:val="clear" w:color="auto" w:fill="244062"/>
            <w:vAlign w:val="center"/>
            <w:hideMark/>
          </w:tcPr>
          <w:p w14:paraId="5D587B74"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OBLIGACIONES</w:t>
            </w:r>
          </w:p>
        </w:tc>
        <w:tc>
          <w:tcPr>
            <w:tcW w:w="902" w:type="pct"/>
            <w:tcBorders>
              <w:top w:val="nil"/>
              <w:left w:val="nil"/>
              <w:bottom w:val="single" w:sz="8" w:space="0" w:color="000000"/>
              <w:right w:val="single" w:sz="8" w:space="0" w:color="000000"/>
            </w:tcBorders>
            <w:shd w:val="clear" w:color="auto" w:fill="244062"/>
            <w:vAlign w:val="center"/>
            <w:hideMark/>
          </w:tcPr>
          <w:p w14:paraId="2684EDE8"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PAGOS</w:t>
            </w:r>
          </w:p>
        </w:tc>
        <w:tc>
          <w:tcPr>
            <w:tcW w:w="695" w:type="pct"/>
            <w:tcBorders>
              <w:top w:val="nil"/>
              <w:left w:val="nil"/>
              <w:bottom w:val="nil"/>
              <w:right w:val="single" w:sz="8" w:space="0" w:color="000000"/>
            </w:tcBorders>
            <w:shd w:val="clear" w:color="auto" w:fill="244062"/>
            <w:vAlign w:val="center"/>
            <w:hideMark/>
          </w:tcPr>
          <w:p w14:paraId="54A7A2D0" w14:textId="77777777" w:rsidR="005A730B" w:rsidRDefault="005A730B">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EJECUCION</w:t>
            </w:r>
          </w:p>
        </w:tc>
      </w:tr>
      <w:tr w:rsidR="005A730B" w14:paraId="4E76D3B5" w14:textId="77777777" w:rsidTr="005A730B">
        <w:trPr>
          <w:trHeight w:val="555"/>
        </w:trPr>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4C1ED9" w14:textId="77777777" w:rsidR="005A730B" w:rsidRDefault="005A730B">
            <w:pPr>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SUBCUENTA SALUD PÚBLICA</w:t>
            </w:r>
          </w:p>
        </w:tc>
        <w:tc>
          <w:tcPr>
            <w:tcW w:w="885" w:type="pct"/>
            <w:tcBorders>
              <w:top w:val="single" w:sz="4" w:space="0" w:color="000000"/>
              <w:left w:val="nil"/>
              <w:bottom w:val="single" w:sz="4" w:space="0" w:color="000000"/>
              <w:right w:val="single" w:sz="4" w:space="0" w:color="000000"/>
            </w:tcBorders>
            <w:shd w:val="clear" w:color="auto" w:fill="FFFFFF"/>
            <w:vAlign w:val="center"/>
            <w:hideMark/>
          </w:tcPr>
          <w:p w14:paraId="69482041" w14:textId="77777777" w:rsidR="005A730B" w:rsidRDefault="005A730B">
            <w:pPr>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$15.038</w:t>
            </w:r>
          </w:p>
        </w:tc>
        <w:tc>
          <w:tcPr>
            <w:tcW w:w="883" w:type="pct"/>
            <w:tcBorders>
              <w:top w:val="single" w:sz="4" w:space="0" w:color="000000"/>
              <w:left w:val="nil"/>
              <w:bottom w:val="single" w:sz="4" w:space="0" w:color="000000"/>
              <w:right w:val="single" w:sz="4" w:space="0" w:color="000000"/>
            </w:tcBorders>
            <w:shd w:val="clear" w:color="auto" w:fill="FFFFFF"/>
            <w:vAlign w:val="center"/>
            <w:hideMark/>
          </w:tcPr>
          <w:p w14:paraId="0F0A4B03" w14:textId="77777777" w:rsidR="005A730B" w:rsidRDefault="005A730B">
            <w:pPr>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$11.426</w:t>
            </w:r>
          </w:p>
        </w:tc>
        <w:tc>
          <w:tcPr>
            <w:tcW w:w="837" w:type="pct"/>
            <w:tcBorders>
              <w:top w:val="single" w:sz="4" w:space="0" w:color="000000"/>
              <w:left w:val="nil"/>
              <w:bottom w:val="single" w:sz="4" w:space="0" w:color="000000"/>
              <w:right w:val="single" w:sz="4" w:space="0" w:color="000000"/>
            </w:tcBorders>
            <w:shd w:val="clear" w:color="auto" w:fill="FFFFFF"/>
            <w:vAlign w:val="center"/>
            <w:hideMark/>
          </w:tcPr>
          <w:p w14:paraId="18EC6D10" w14:textId="77777777" w:rsidR="005A730B" w:rsidRDefault="005A730B">
            <w:pPr>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$8.592.</w:t>
            </w:r>
          </w:p>
        </w:tc>
        <w:tc>
          <w:tcPr>
            <w:tcW w:w="902" w:type="pct"/>
            <w:tcBorders>
              <w:top w:val="single" w:sz="4" w:space="0" w:color="000000"/>
              <w:left w:val="nil"/>
              <w:bottom w:val="single" w:sz="4" w:space="0" w:color="000000"/>
              <w:right w:val="nil"/>
            </w:tcBorders>
            <w:shd w:val="clear" w:color="auto" w:fill="FFFFFF"/>
            <w:vAlign w:val="center"/>
            <w:hideMark/>
          </w:tcPr>
          <w:p w14:paraId="4120B06A" w14:textId="77777777" w:rsidR="005A730B" w:rsidRDefault="005A730B">
            <w:pPr>
              <w:jc w:val="center"/>
              <w:rPr>
                <w:rFonts w:ascii="Arial" w:eastAsia="Times New Roman" w:hAnsi="Arial" w:cs="Arial"/>
                <w:sz w:val="20"/>
                <w:szCs w:val="20"/>
                <w:lang w:val="es-CO" w:eastAsia="es-CO"/>
              </w:rPr>
            </w:pPr>
            <w:r>
              <w:rPr>
                <w:rFonts w:ascii="Arial" w:eastAsia="Times New Roman" w:hAnsi="Arial" w:cs="Arial"/>
                <w:sz w:val="20"/>
                <w:szCs w:val="20"/>
                <w:lang w:val="es-CO" w:eastAsia="es-CO"/>
              </w:rPr>
              <w:t>$8.259</w:t>
            </w:r>
          </w:p>
        </w:tc>
        <w:tc>
          <w:tcPr>
            <w:tcW w:w="695" w:type="pct"/>
            <w:tcBorders>
              <w:top w:val="single" w:sz="4" w:space="0" w:color="auto"/>
              <w:left w:val="single" w:sz="4" w:space="0" w:color="auto"/>
              <w:bottom w:val="single" w:sz="4" w:space="0" w:color="auto"/>
              <w:right w:val="single" w:sz="4" w:space="0" w:color="auto"/>
            </w:tcBorders>
            <w:noWrap/>
            <w:vAlign w:val="center"/>
            <w:hideMark/>
          </w:tcPr>
          <w:p w14:paraId="1E1CB5CA" w14:textId="77777777" w:rsidR="005A730B" w:rsidRDefault="005A730B">
            <w:pPr>
              <w:jc w:val="center"/>
              <w:rPr>
                <w:rFonts w:ascii="Calibri" w:eastAsia="Times New Roman" w:hAnsi="Calibri" w:cs="Calibri"/>
                <w:color w:val="000000"/>
                <w:sz w:val="22"/>
                <w:szCs w:val="22"/>
                <w:lang w:val="es-CO" w:eastAsia="es-CO"/>
              </w:rPr>
            </w:pPr>
            <w:r>
              <w:rPr>
                <w:rFonts w:ascii="Arial" w:eastAsia="Times New Roman" w:hAnsi="Arial" w:cs="Arial"/>
                <w:sz w:val="20"/>
                <w:szCs w:val="20"/>
                <w:lang w:val="es-CO" w:eastAsia="es-CO"/>
              </w:rPr>
              <w:t>76</w:t>
            </w:r>
            <w:r w:rsidR="00A57834">
              <w:rPr>
                <w:rFonts w:ascii="Arial" w:eastAsia="Times New Roman" w:hAnsi="Arial" w:cs="Arial"/>
                <w:sz w:val="20"/>
                <w:szCs w:val="20"/>
                <w:lang w:val="es-CO" w:eastAsia="es-CO"/>
              </w:rPr>
              <w:t>%</w:t>
            </w:r>
          </w:p>
        </w:tc>
      </w:tr>
    </w:tbl>
    <w:p w14:paraId="3FA4B1FA" w14:textId="77777777" w:rsidR="005A730B" w:rsidRDefault="005A730B" w:rsidP="005A730B">
      <w:pPr>
        <w:rPr>
          <w:rFonts w:ascii="Arial" w:eastAsiaTheme="minorHAnsi" w:hAnsi="Arial" w:cs="Arial"/>
          <w:iCs/>
          <w:sz w:val="16"/>
          <w:szCs w:val="16"/>
          <w:lang w:val="es-CO" w:eastAsia="en-US"/>
        </w:rPr>
      </w:pPr>
      <w:r>
        <w:rPr>
          <w:rFonts w:ascii="Arial" w:eastAsia="ヒラギノ角ゴ Pro W3" w:hAnsi="Arial" w:cs="Arial"/>
          <w:iCs/>
          <w:sz w:val="16"/>
          <w:szCs w:val="16"/>
          <w:lang w:val="es-CO"/>
        </w:rPr>
        <w:t>Fuente: FUT- Elaborado por la DAF</w:t>
      </w:r>
    </w:p>
    <w:p w14:paraId="2C4C9AE3" w14:textId="77777777" w:rsidR="005A730B" w:rsidRDefault="005A730B" w:rsidP="005A730B">
      <w:pPr>
        <w:jc w:val="both"/>
        <w:rPr>
          <w:rFonts w:ascii="Arial" w:eastAsia="Calibri" w:hAnsi="Arial" w:cs="Arial"/>
          <w:b/>
          <w:sz w:val="21"/>
          <w:szCs w:val="21"/>
        </w:rPr>
      </w:pPr>
    </w:p>
    <w:p w14:paraId="11DED2DB" w14:textId="77777777" w:rsidR="005A730B" w:rsidRDefault="005A730B" w:rsidP="005A730B">
      <w:pPr>
        <w:jc w:val="both"/>
        <w:rPr>
          <w:rFonts w:ascii="Arial" w:eastAsia="Calibri" w:hAnsi="Arial" w:cs="Arial"/>
          <w:b/>
          <w:sz w:val="21"/>
          <w:szCs w:val="21"/>
        </w:rPr>
      </w:pPr>
    </w:p>
    <w:p w14:paraId="2C4BCD9D" w14:textId="77777777" w:rsidR="005A730B" w:rsidRDefault="005A730B" w:rsidP="005A730B">
      <w:pPr>
        <w:jc w:val="both"/>
        <w:rPr>
          <w:rFonts w:ascii="Arial" w:eastAsia="Calibri" w:hAnsi="Arial" w:cs="Arial"/>
          <w:b/>
          <w:sz w:val="21"/>
          <w:szCs w:val="21"/>
        </w:rPr>
      </w:pPr>
      <w:r>
        <w:rPr>
          <w:rFonts w:ascii="Arial" w:eastAsia="Calibri" w:hAnsi="Arial" w:cs="Arial"/>
          <w:b/>
          <w:sz w:val="21"/>
          <w:szCs w:val="21"/>
        </w:rPr>
        <w:t>Evidencias:</w:t>
      </w:r>
    </w:p>
    <w:p w14:paraId="731BC065" w14:textId="77777777" w:rsidR="005A730B" w:rsidRDefault="005A730B" w:rsidP="005A730B">
      <w:pPr>
        <w:jc w:val="both"/>
        <w:rPr>
          <w:rFonts w:ascii="Arial" w:eastAsia="Arial Narrow" w:hAnsi="Arial" w:cs="Arial"/>
          <w:b/>
          <w:bCs/>
          <w:color w:val="000000" w:themeColor="text1"/>
          <w:sz w:val="21"/>
          <w:szCs w:val="21"/>
        </w:rPr>
      </w:pPr>
    </w:p>
    <w:p w14:paraId="0AB0E405" w14:textId="77777777" w:rsidR="005A730B" w:rsidRDefault="005A730B" w:rsidP="005A730B">
      <w:pPr>
        <w:pStyle w:val="Prrafodelista"/>
        <w:numPr>
          <w:ilvl w:val="0"/>
          <w:numId w:val="36"/>
        </w:numPr>
        <w:jc w:val="both"/>
        <w:rPr>
          <w:rFonts w:ascii="Arial" w:eastAsia="Arial Narrow" w:hAnsi="Arial" w:cs="Arial"/>
          <w:color w:val="000000" w:themeColor="text1"/>
          <w:sz w:val="20"/>
          <w:szCs w:val="20"/>
          <w:lang w:val="es-CO" w:eastAsia="en-US"/>
        </w:rPr>
      </w:pPr>
      <w:r>
        <w:rPr>
          <w:rFonts w:ascii="Arial" w:eastAsia="Arial Narrow" w:hAnsi="Arial" w:cs="Arial"/>
          <w:color w:val="000000" w:themeColor="text1"/>
          <w:sz w:val="20"/>
          <w:szCs w:val="20"/>
        </w:rPr>
        <w:lastRenderedPageBreak/>
        <w:t xml:space="preserve">ANEXOS 1 AL 11 DD SGP 27-2021.SALUD. DEPARTAMENTO DE CAQUETA. </w:t>
      </w:r>
      <w:r>
        <w:rPr>
          <w:rFonts w:ascii="Arial" w:hAnsi="Arial" w:cs="Arial"/>
          <w:sz w:val="20"/>
          <w:szCs w:val="20"/>
        </w:rPr>
        <w:t>HISTORIAL DE SEGUIMIENTO Y CONTROL A LOS RECURSOS DEL SISTEMA GENERAL DE PARTICIPACIONES. EXPEDIENTE 27/2021/D028-PREDI.</w:t>
      </w:r>
      <w:r>
        <w:rPr>
          <w:rFonts w:ascii="Arial" w:eastAsia="Arial Narrow" w:hAnsi="Arial" w:cs="Arial"/>
          <w:color w:val="000000" w:themeColor="text1"/>
          <w:sz w:val="20"/>
          <w:szCs w:val="20"/>
        </w:rPr>
        <w:t xml:space="preserve"> OFICIO CON RADICADO SIED NO. 1-2022-015085 DEL 25 DE MAYO DE 2022.</w:t>
      </w:r>
    </w:p>
    <w:p w14:paraId="3F285B13" w14:textId="77777777" w:rsidR="005A730B" w:rsidRDefault="008F59B6" w:rsidP="005A730B">
      <w:pPr>
        <w:pStyle w:val="Prrafodelista"/>
        <w:ind w:left="1080"/>
        <w:jc w:val="both"/>
        <w:rPr>
          <w:rFonts w:ascii="Arial" w:eastAsia="Arial Narrow" w:hAnsi="Arial" w:cs="Arial"/>
          <w:color w:val="000000" w:themeColor="text1"/>
          <w:sz w:val="20"/>
          <w:szCs w:val="20"/>
          <w:lang w:val="es-CO" w:eastAsia="en-US"/>
        </w:rPr>
      </w:pPr>
      <w:hyperlink r:id="rId37" w:anchor="url-960061" w:history="1">
        <w:r w:rsidR="005A730B">
          <w:rPr>
            <w:rStyle w:val="Hipervnculo"/>
            <w:rFonts w:ascii="Arial" w:eastAsia="Arial Narrow" w:hAnsi="Arial" w:cs="Arial"/>
            <w:sz w:val="20"/>
            <w:szCs w:val="20"/>
            <w:lang w:val="es-CO" w:eastAsia="en-US"/>
          </w:rPr>
          <w:t>http://portalgestiondoc.minhacienda.red/PortalEmpleado/#url-960061</w:t>
        </w:r>
      </w:hyperlink>
    </w:p>
    <w:p w14:paraId="0A3AB7C8" w14:textId="77777777" w:rsidR="005A730B" w:rsidRDefault="005A730B" w:rsidP="005A730B">
      <w:pPr>
        <w:pStyle w:val="Prrafodelista"/>
        <w:ind w:left="1080"/>
        <w:jc w:val="both"/>
        <w:rPr>
          <w:rFonts w:ascii="Arial" w:hAnsi="Arial" w:cs="Arial"/>
          <w:sz w:val="20"/>
          <w:szCs w:val="20"/>
        </w:rPr>
      </w:pPr>
    </w:p>
    <w:p w14:paraId="09A918E6" w14:textId="77777777" w:rsidR="005A730B" w:rsidRDefault="005A730B" w:rsidP="005A730B">
      <w:pPr>
        <w:pStyle w:val="Prrafodelista"/>
        <w:numPr>
          <w:ilvl w:val="0"/>
          <w:numId w:val="36"/>
        </w:numPr>
        <w:jc w:val="both"/>
        <w:rPr>
          <w:rFonts w:ascii="Arial" w:eastAsia="Calibri" w:hAnsi="Arial" w:cs="Arial"/>
          <w:sz w:val="20"/>
          <w:szCs w:val="20"/>
        </w:rPr>
      </w:pPr>
      <w:r>
        <w:rPr>
          <w:rFonts w:ascii="Arial" w:eastAsia="Calibri" w:hAnsi="Arial" w:cs="Arial"/>
          <w:sz w:val="20"/>
          <w:szCs w:val="20"/>
        </w:rPr>
        <w:t xml:space="preserve">REPORTE DE LA ENTIDAD TERRITORIAL CARGADO EN EL CHIP: </w:t>
      </w:r>
    </w:p>
    <w:p w14:paraId="372CED99" w14:textId="77777777" w:rsidR="005A730B" w:rsidRDefault="005A730B" w:rsidP="005A730B">
      <w:pPr>
        <w:pStyle w:val="Prrafodelista"/>
        <w:ind w:left="1080"/>
        <w:jc w:val="both"/>
        <w:rPr>
          <w:rFonts w:ascii="Arial" w:eastAsia="Calibri" w:hAnsi="Arial" w:cs="Arial"/>
          <w:sz w:val="20"/>
          <w:szCs w:val="20"/>
        </w:rPr>
      </w:pPr>
      <w:r>
        <w:rPr>
          <w:rFonts w:ascii="Arial" w:eastAsia="Calibri" w:hAnsi="Arial" w:cs="Arial"/>
          <w:sz w:val="20"/>
          <w:szCs w:val="20"/>
        </w:rPr>
        <w:t>Formato: FUT_EJECUCION_FONDO_SALUD.</w:t>
      </w:r>
    </w:p>
    <w:p w14:paraId="51A3C958" w14:textId="77777777" w:rsidR="005A730B" w:rsidRDefault="008F59B6" w:rsidP="005A730B">
      <w:pPr>
        <w:pStyle w:val="Prrafodelista"/>
        <w:ind w:left="1080"/>
        <w:jc w:val="both"/>
        <w:rPr>
          <w:rFonts w:ascii="Arial" w:eastAsia="Calibri" w:hAnsi="Arial" w:cs="Arial"/>
          <w:sz w:val="20"/>
          <w:szCs w:val="20"/>
        </w:rPr>
      </w:pPr>
      <w:hyperlink r:id="rId38" w:history="1">
        <w:r w:rsidR="005A730B">
          <w:rPr>
            <w:rStyle w:val="Hipervnculo"/>
            <w:rFonts w:ascii="Arial" w:eastAsia="Calibri" w:hAnsi="Arial" w:cs="Arial"/>
            <w:sz w:val="20"/>
            <w:szCs w:val="20"/>
          </w:rPr>
          <w:t>https://www.chip.gov.co/schip_rt/index.jsf</w:t>
        </w:r>
      </w:hyperlink>
    </w:p>
    <w:p w14:paraId="137008BE" w14:textId="77777777" w:rsidR="005A730B" w:rsidRDefault="005A730B" w:rsidP="005A730B">
      <w:pPr>
        <w:jc w:val="both"/>
        <w:rPr>
          <w:rFonts w:ascii="Arial" w:eastAsia="Calibri" w:hAnsi="Arial" w:cs="Arial"/>
          <w:sz w:val="21"/>
          <w:szCs w:val="21"/>
        </w:rPr>
      </w:pPr>
    </w:p>
    <w:p w14:paraId="4C0C1759" w14:textId="77777777" w:rsidR="005A730B" w:rsidRDefault="005A730B" w:rsidP="005A730B">
      <w:pPr>
        <w:jc w:val="both"/>
        <w:rPr>
          <w:rFonts w:ascii="Arial" w:eastAsia="Times New Roman" w:hAnsi="Arial" w:cs="Arial"/>
          <w:b/>
          <w:color w:val="000000" w:themeColor="text1"/>
          <w:sz w:val="12"/>
          <w:szCs w:val="12"/>
          <w:lang w:eastAsia="en-US"/>
        </w:rPr>
      </w:pPr>
    </w:p>
    <w:p w14:paraId="06E87F43" w14:textId="77777777" w:rsidR="005A730B" w:rsidRDefault="005A730B" w:rsidP="005A730B">
      <w:pPr>
        <w:jc w:val="both"/>
        <w:rPr>
          <w:rFonts w:ascii="Arial" w:eastAsia="Times New Roman" w:hAnsi="Arial" w:cs="Arial"/>
          <w:color w:val="000000" w:themeColor="text1"/>
          <w:sz w:val="12"/>
          <w:szCs w:val="12"/>
          <w:lang w:eastAsia="en-US"/>
        </w:rPr>
      </w:pPr>
      <w:r>
        <w:rPr>
          <w:rFonts w:ascii="Arial" w:eastAsia="Times New Roman" w:hAnsi="Arial" w:cs="Arial"/>
          <w:b/>
          <w:color w:val="000000" w:themeColor="text1"/>
          <w:sz w:val="12"/>
          <w:szCs w:val="12"/>
          <w:lang w:eastAsia="en-US"/>
        </w:rPr>
        <w:t>Aprobó</w:t>
      </w:r>
      <w:r>
        <w:rPr>
          <w:rFonts w:ascii="Arial" w:eastAsia="Times New Roman" w:hAnsi="Arial" w:cs="Arial"/>
          <w:color w:val="000000" w:themeColor="text1"/>
          <w:sz w:val="12"/>
          <w:szCs w:val="12"/>
          <w:lang w:eastAsia="en-US"/>
        </w:rPr>
        <w:t xml:space="preserve">: Fernando Olivera </w:t>
      </w:r>
    </w:p>
    <w:p w14:paraId="2066DD39" w14:textId="77777777" w:rsidR="005A730B" w:rsidRDefault="005A730B" w:rsidP="005A730B">
      <w:pPr>
        <w:jc w:val="both"/>
        <w:rPr>
          <w:rFonts w:ascii="Arial" w:eastAsia="Times New Roman" w:hAnsi="Arial" w:cs="Arial"/>
          <w:color w:val="000000" w:themeColor="text1"/>
          <w:sz w:val="12"/>
          <w:szCs w:val="12"/>
          <w:lang w:eastAsia="en-US"/>
        </w:rPr>
      </w:pPr>
      <w:r>
        <w:rPr>
          <w:rFonts w:ascii="Arial" w:eastAsia="Times New Roman" w:hAnsi="Arial" w:cs="Arial"/>
          <w:b/>
          <w:color w:val="000000" w:themeColor="text1"/>
          <w:sz w:val="12"/>
          <w:szCs w:val="12"/>
          <w:lang w:eastAsia="en-US"/>
        </w:rPr>
        <w:t>Revisión Técnica</w:t>
      </w:r>
      <w:r>
        <w:rPr>
          <w:rFonts w:ascii="Arial" w:eastAsia="Times New Roman" w:hAnsi="Arial" w:cs="Arial"/>
          <w:color w:val="000000" w:themeColor="text1"/>
          <w:sz w:val="12"/>
          <w:szCs w:val="12"/>
          <w:lang w:eastAsia="en-US"/>
        </w:rPr>
        <w:t>: Patricia Peña</w:t>
      </w:r>
    </w:p>
    <w:p w14:paraId="254189CF" w14:textId="77777777" w:rsidR="005A730B" w:rsidRDefault="005A730B" w:rsidP="005A730B">
      <w:pPr>
        <w:jc w:val="both"/>
        <w:rPr>
          <w:rFonts w:ascii="Arial" w:eastAsia="Times New Roman" w:hAnsi="Arial" w:cs="Arial"/>
          <w:color w:val="000000" w:themeColor="text1"/>
          <w:sz w:val="12"/>
          <w:szCs w:val="12"/>
          <w:lang w:eastAsia="en-US"/>
        </w:rPr>
      </w:pPr>
      <w:r>
        <w:rPr>
          <w:rFonts w:ascii="Arial" w:eastAsia="Times New Roman" w:hAnsi="Arial" w:cs="Arial"/>
          <w:b/>
          <w:bCs/>
          <w:color w:val="000000" w:themeColor="text1"/>
          <w:sz w:val="12"/>
          <w:szCs w:val="12"/>
          <w:lang w:eastAsia="en-US"/>
        </w:rPr>
        <w:t xml:space="preserve">Revisión Jurídica: </w:t>
      </w:r>
      <w:r>
        <w:rPr>
          <w:rFonts w:ascii="Arial" w:eastAsia="Times New Roman" w:hAnsi="Arial" w:cs="Arial"/>
          <w:color w:val="000000" w:themeColor="text1"/>
          <w:sz w:val="12"/>
          <w:szCs w:val="12"/>
          <w:lang w:eastAsia="en-US"/>
        </w:rPr>
        <w:t>Equipo Jurídico 028</w:t>
      </w:r>
    </w:p>
    <w:p w14:paraId="5E508338" w14:textId="77777777" w:rsidR="005A730B" w:rsidRDefault="005A730B" w:rsidP="005A730B">
      <w:pPr>
        <w:jc w:val="both"/>
      </w:pPr>
      <w:r>
        <w:rPr>
          <w:rFonts w:ascii="Arial" w:eastAsia="Times New Roman" w:hAnsi="Arial" w:cs="Arial"/>
          <w:b/>
          <w:color w:val="000000" w:themeColor="text1"/>
          <w:sz w:val="12"/>
          <w:szCs w:val="12"/>
          <w:lang w:eastAsia="en-US"/>
        </w:rPr>
        <w:t>Elaboró</w:t>
      </w:r>
      <w:r>
        <w:rPr>
          <w:rFonts w:ascii="Arial" w:eastAsia="Times New Roman" w:hAnsi="Arial" w:cs="Arial"/>
          <w:color w:val="000000" w:themeColor="text1"/>
          <w:sz w:val="12"/>
          <w:szCs w:val="12"/>
          <w:lang w:eastAsia="en-US"/>
        </w:rPr>
        <w:t>: Óscar Giraldo.</w:t>
      </w:r>
    </w:p>
    <w:p w14:paraId="51C6DDF3" w14:textId="77777777" w:rsidR="00FD4185" w:rsidRPr="005A730B" w:rsidRDefault="00FD4185" w:rsidP="005A730B"/>
    <w:sectPr w:rsidR="00FD4185" w:rsidRPr="005A730B" w:rsidSect="00030DD1">
      <w:headerReference w:type="default" r:id="rId39"/>
      <w:footerReference w:type="default" r:id="rId40"/>
      <w:headerReference w:type="first" r:id="rId41"/>
      <w:footerReference w:type="first" r:id="rId42"/>
      <w:pgSz w:w="12240" w:h="15840" w:code="1"/>
      <w:pgMar w:top="1655"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FBD1" w14:textId="77777777" w:rsidR="00F52E3B" w:rsidRDefault="00F52E3B" w:rsidP="00F71345">
      <w:r>
        <w:separator/>
      </w:r>
    </w:p>
  </w:endnote>
  <w:endnote w:type="continuationSeparator" w:id="0">
    <w:p w14:paraId="7BE0645E" w14:textId="77777777" w:rsidR="00F52E3B" w:rsidRDefault="00F52E3B"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9695" w14:textId="77777777" w:rsidR="00E154F5" w:rsidRPr="00030DD1" w:rsidRDefault="00E154F5" w:rsidP="00030DD1">
    <w:pPr>
      <w:pStyle w:val="Piedepgina"/>
    </w:pPr>
    <w:r>
      <w:rPr>
        <w:noProof/>
        <w:lang w:eastAsia="es-CO"/>
      </w:rPr>
      <w:drawing>
        <wp:inline distT="0" distB="0" distL="0" distR="0" wp14:anchorId="3FA3B900" wp14:editId="06FD03C1">
          <wp:extent cx="3150870" cy="869950"/>
          <wp:effectExtent l="0" t="0" r="0" b="6350"/>
          <wp:docPr id="10" name="Imagen 10"/>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25AF" w14:textId="77777777" w:rsidR="00E154F5" w:rsidRPr="00030DD1" w:rsidRDefault="00E154F5" w:rsidP="00030DD1">
    <w:pPr>
      <w:pStyle w:val="Piedepgina"/>
    </w:pPr>
    <w:r>
      <w:rPr>
        <w:noProof/>
        <w:lang w:eastAsia="es-CO"/>
      </w:rPr>
      <w:drawing>
        <wp:inline distT="0" distB="0" distL="0" distR="0" wp14:anchorId="13CD1FCB" wp14:editId="3F496A9D">
          <wp:extent cx="3150870" cy="869950"/>
          <wp:effectExtent l="0" t="0" r="0" b="6350"/>
          <wp:docPr id="11" name="Imagen 1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0520" w14:textId="77777777" w:rsidR="00F52E3B" w:rsidRDefault="00F52E3B" w:rsidP="00F71345">
      <w:r>
        <w:separator/>
      </w:r>
    </w:p>
  </w:footnote>
  <w:footnote w:type="continuationSeparator" w:id="0">
    <w:p w14:paraId="6EB232F1" w14:textId="77777777" w:rsidR="00F52E3B" w:rsidRDefault="00F52E3B" w:rsidP="00F71345">
      <w:r>
        <w:continuationSeparator/>
      </w:r>
    </w:p>
  </w:footnote>
  <w:footnote w:id="1">
    <w:p w14:paraId="7E8BE7E4" w14:textId="77777777" w:rsidR="00E154F5" w:rsidRDefault="00E154F5" w:rsidP="005A730B">
      <w:pPr>
        <w:pStyle w:val="Textonotapie"/>
        <w:jc w:val="both"/>
        <w:rPr>
          <w:rFonts w:ascii="Arial" w:hAnsi="Arial" w:cs="Arial"/>
          <w:sz w:val="16"/>
          <w:szCs w:val="16"/>
          <w:lang w:val="es-CO"/>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lang w:val="es-CO"/>
        </w:rPr>
        <w:t>Durante las vigencias 2020 y 2021 el MSPS no efectuó categorización de riesgo a las ESE.</w:t>
      </w:r>
    </w:p>
  </w:footnote>
  <w:footnote w:id="2">
    <w:p w14:paraId="584C1461" w14:textId="77777777" w:rsidR="00E154F5" w:rsidRDefault="00E154F5" w:rsidP="005A730B">
      <w:pPr>
        <w:pStyle w:val="Textonotapie"/>
        <w:jc w:val="both"/>
        <w:rPr>
          <w:rFonts w:ascii="Arial" w:hAnsi="Arial" w:cs="Arial"/>
          <w:sz w:val="16"/>
          <w:szCs w:val="16"/>
          <w:lang w:val="es-CO"/>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lang w:val="es-CO"/>
        </w:rPr>
        <w:t>Información tomada del Informe de Viabilidad Fiscal del Departamento del Caquetá. Julio de 2021. DAF/MHCP.</w:t>
      </w:r>
    </w:p>
  </w:footnote>
  <w:footnote w:id="3">
    <w:p w14:paraId="79B6C57F" w14:textId="77777777" w:rsidR="00E154F5" w:rsidRDefault="00E154F5" w:rsidP="005A730B">
      <w:pPr>
        <w:pStyle w:val="Textonotapie"/>
        <w:rPr>
          <w:lang w:val="es-CO"/>
        </w:rPr>
      </w:pPr>
      <w:r>
        <w:rPr>
          <w:rStyle w:val="Refdenotaalpie"/>
        </w:rPr>
        <w:footnoteRef/>
      </w:r>
      <w:r>
        <w:t xml:space="preserve"> </w:t>
      </w:r>
      <w:r>
        <w:rPr>
          <w:lang w:val="es-CO"/>
        </w:rPr>
        <w:t>Requerimiento #28</w:t>
      </w:r>
    </w:p>
  </w:footnote>
  <w:footnote w:id="4">
    <w:p w14:paraId="73C3876E" w14:textId="77777777" w:rsidR="00E154F5" w:rsidRDefault="00E154F5" w:rsidP="005A730B">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hyperlink r:id="rId1" w:history="1">
        <w:r>
          <w:rPr>
            <w:rStyle w:val="Hipervnculo"/>
            <w:rFonts w:ascii="Arial" w:hAnsi="Arial" w:cs="Arial"/>
          </w:rPr>
          <w:t>https://sme-pdsp.minsalud.gov.co/Home/Tablero</w:t>
        </w:r>
      </w:hyperlink>
    </w:p>
    <w:p w14:paraId="2F2F6F30" w14:textId="77777777" w:rsidR="00E154F5" w:rsidRDefault="00E154F5" w:rsidP="005A730B">
      <w:pPr>
        <w:pStyle w:val="Textonotapie"/>
        <w:rPr>
          <w:lang w:val="es-CO"/>
        </w:rPr>
      </w:pPr>
    </w:p>
  </w:footnote>
  <w:footnote w:id="5">
    <w:p w14:paraId="49C95163" w14:textId="77777777" w:rsidR="00E154F5" w:rsidRDefault="00E154F5" w:rsidP="005A730B">
      <w:pPr>
        <w:pStyle w:val="Textonotapie"/>
        <w:jc w:val="both"/>
        <w:rPr>
          <w:rFonts w:ascii="Arial" w:hAnsi="Arial" w:cs="Arial"/>
          <w:sz w:val="16"/>
          <w:szCs w:val="16"/>
          <w:lang w:val="es-CO"/>
        </w:rPr>
      </w:pPr>
      <w:r>
        <w:rPr>
          <w:rStyle w:val="Refdenotaalpie"/>
          <w:rFonts w:ascii="Arial" w:hAnsi="Arial" w:cs="Arial"/>
          <w:sz w:val="16"/>
          <w:szCs w:val="16"/>
        </w:rPr>
        <w:footnoteRef/>
      </w:r>
      <w:r>
        <w:rPr>
          <w:rFonts w:ascii="Arial" w:hAnsi="Arial" w:cs="Arial"/>
          <w:sz w:val="16"/>
          <w:szCs w:val="16"/>
        </w:rPr>
        <w:t xml:space="preserve"> [“…los actores del Sistema de Salud deberán Gestionar la Salud Pública a través de la implementación, monitoreo y evaluación de los siguientes procesos; sin perjuicio de que cada actor defina otros adicionales, para garantizar la excelente ejecución de sus funciones y alcanzar las finalidades planteadas mediante una acción conjunta y coordinada con las demás entidades del sector o de otros sectores…”]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FD11" w14:textId="77777777" w:rsidR="00E154F5" w:rsidRDefault="00E154F5" w:rsidP="00F01F75">
    <w:pPr>
      <w:pStyle w:val="Encabezado"/>
      <w:rPr>
        <w:rFonts w:ascii="Arial" w:hAnsi="Arial" w:cs="Arial"/>
        <w:sz w:val="16"/>
        <w:szCs w:val="16"/>
      </w:rPr>
    </w:pPr>
  </w:p>
  <w:p w14:paraId="69991FE2" w14:textId="77777777" w:rsidR="00E154F5" w:rsidRDefault="00E154F5" w:rsidP="00F01F75">
    <w:pPr>
      <w:pStyle w:val="Encabezado"/>
      <w:rPr>
        <w:rFonts w:ascii="Arial" w:hAnsi="Arial" w:cs="Arial"/>
        <w:sz w:val="16"/>
        <w:szCs w:val="16"/>
      </w:rPr>
    </w:pPr>
    <w:r>
      <w:rPr>
        <w:noProof/>
        <w:lang w:eastAsia="es-CO"/>
      </w:rPr>
      <w:drawing>
        <wp:inline distT="0" distB="0" distL="0" distR="0" wp14:anchorId="0592395C" wp14:editId="55AF42D5">
          <wp:extent cx="3180715" cy="511175"/>
          <wp:effectExtent l="0" t="0" r="635" b="3175"/>
          <wp:docPr id="8" name="Imagen 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180715" cy="511175"/>
                  </a:xfrm>
                  <a:prstGeom prst="rect">
                    <a:avLst/>
                  </a:prstGeom>
                </pic:spPr>
              </pic:pic>
            </a:graphicData>
          </a:graphic>
        </wp:inline>
      </w:drawing>
    </w:r>
  </w:p>
  <w:p w14:paraId="32690F79" w14:textId="77777777" w:rsidR="00E154F5" w:rsidRDefault="00E154F5" w:rsidP="00F01F75">
    <w:pPr>
      <w:pStyle w:val="Encabezado"/>
      <w:rPr>
        <w:rFonts w:ascii="Arial" w:hAnsi="Arial" w:cs="Arial"/>
        <w:sz w:val="16"/>
        <w:szCs w:val="16"/>
      </w:rPr>
    </w:pPr>
  </w:p>
  <w:p w14:paraId="03836941" w14:textId="77777777" w:rsidR="00E154F5" w:rsidRPr="00F01F75" w:rsidRDefault="00E154F5"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Diagnóstico</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8341D3">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8341D3">
      <w:rPr>
        <w:rStyle w:val="Nmerodepgina"/>
        <w:rFonts w:ascii="Arial" w:hAnsi="Arial" w:cs="Arial"/>
        <w:noProof/>
        <w:sz w:val="16"/>
        <w:szCs w:val="16"/>
      </w:rPr>
      <w:t>37</w:t>
    </w:r>
    <w:r w:rsidRPr="00F01F75">
      <w:rPr>
        <w:rStyle w:val="Nmerodepgina"/>
        <w:rFonts w:ascii="Arial" w:hAnsi="Arial" w:cs="Arial"/>
        <w:sz w:val="16"/>
        <w:szCs w:val="16"/>
      </w:rPr>
      <w:fldChar w:fldCharType="end"/>
    </w:r>
  </w:p>
  <w:p w14:paraId="6369A359" w14:textId="77777777" w:rsidR="00E154F5" w:rsidRPr="00F01F75" w:rsidRDefault="00E154F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00C9" w14:textId="77777777" w:rsidR="00E154F5" w:rsidRDefault="00E154F5" w:rsidP="00030DD1">
    <w:pPr>
      <w:pStyle w:val="Encabezado"/>
      <w:rPr>
        <w:noProof/>
        <w:lang w:eastAsia="es-CO"/>
      </w:rPr>
    </w:pPr>
  </w:p>
  <w:p w14:paraId="59AB0EBD" w14:textId="77777777" w:rsidR="00E154F5" w:rsidRDefault="00E154F5" w:rsidP="00030DD1">
    <w:pPr>
      <w:pStyle w:val="Encabezado"/>
    </w:pPr>
    <w:r>
      <w:rPr>
        <w:noProof/>
        <w:lang w:eastAsia="es-CO"/>
      </w:rPr>
      <w:drawing>
        <wp:inline distT="0" distB="0" distL="0" distR="0" wp14:anchorId="3385B2EB" wp14:editId="2B2DB6DE">
          <wp:extent cx="3180715" cy="511175"/>
          <wp:effectExtent l="0" t="0" r="635" b="317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180715" cy="51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9DD"/>
    <w:multiLevelType w:val="hybridMultilevel"/>
    <w:tmpl w:val="3948CEDC"/>
    <w:lvl w:ilvl="0" w:tplc="240A0001">
      <w:start w:val="1"/>
      <w:numFmt w:val="bullet"/>
      <w:lvlText w:val=""/>
      <w:lvlJc w:val="left"/>
      <w:pPr>
        <w:ind w:left="720" w:hanging="360"/>
      </w:pPr>
      <w:rPr>
        <w:rFonts w:ascii="Symbol" w:hAnsi="Symbol" w:hint="default"/>
      </w:rPr>
    </w:lvl>
    <w:lvl w:ilvl="1" w:tplc="85F0BFC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93283D"/>
    <w:multiLevelType w:val="hybridMultilevel"/>
    <w:tmpl w:val="12E2E8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A4F0685"/>
    <w:multiLevelType w:val="multilevel"/>
    <w:tmpl w:val="8E328688"/>
    <w:lvl w:ilvl="0">
      <w:start w:val="1"/>
      <w:numFmt w:val="decimal"/>
      <w:lvlText w:val="%1."/>
      <w:lvlJc w:val="left"/>
      <w:pPr>
        <w:ind w:left="357" w:hanging="357"/>
      </w:pPr>
      <w:rPr>
        <w:b/>
      </w:rPr>
    </w:lvl>
    <w:lvl w:ilvl="1">
      <w:start w:val="1"/>
      <w:numFmt w:val="decimal"/>
      <w:lvlText w:val="%1.%2."/>
      <w:lvlJc w:val="left"/>
      <w:pPr>
        <w:ind w:left="357" w:hanging="357"/>
      </w:pPr>
      <w:rPr>
        <w:b/>
        <w:color w:val="auto"/>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 w15:restartNumberingAfterBreak="0">
    <w:nsid w:val="1F02466E"/>
    <w:multiLevelType w:val="hybridMultilevel"/>
    <w:tmpl w:val="C5CCB426"/>
    <w:lvl w:ilvl="0" w:tplc="8A7E6FC6">
      <w:start w:val="1"/>
      <w:numFmt w:val="decimal"/>
      <w:lvlText w:val="%1."/>
      <w:lvlJc w:val="left"/>
      <w:pPr>
        <w:ind w:left="720" w:hanging="360"/>
      </w:pPr>
      <w:rPr>
        <w:b/>
        <w:bCs/>
      </w:rPr>
    </w:lvl>
    <w:lvl w:ilvl="1" w:tplc="A16648BC">
      <w:start w:val="1"/>
      <w:numFmt w:val="lowerLetter"/>
      <w:lvlText w:val="%2."/>
      <w:lvlJc w:val="left"/>
      <w:pPr>
        <w:ind w:left="1440" w:hanging="360"/>
      </w:pPr>
    </w:lvl>
    <w:lvl w:ilvl="2" w:tplc="C2B660D8">
      <w:start w:val="1"/>
      <w:numFmt w:val="lowerRoman"/>
      <w:lvlText w:val="%3."/>
      <w:lvlJc w:val="right"/>
      <w:pPr>
        <w:ind w:left="2160" w:hanging="180"/>
      </w:pPr>
    </w:lvl>
    <w:lvl w:ilvl="3" w:tplc="CA1AE1A0">
      <w:start w:val="1"/>
      <w:numFmt w:val="decimal"/>
      <w:lvlText w:val="%4."/>
      <w:lvlJc w:val="left"/>
      <w:pPr>
        <w:ind w:left="2880" w:hanging="360"/>
      </w:pPr>
    </w:lvl>
    <w:lvl w:ilvl="4" w:tplc="76868A88">
      <w:start w:val="1"/>
      <w:numFmt w:val="lowerLetter"/>
      <w:lvlText w:val="%5."/>
      <w:lvlJc w:val="left"/>
      <w:pPr>
        <w:ind w:left="3600" w:hanging="360"/>
      </w:pPr>
    </w:lvl>
    <w:lvl w:ilvl="5" w:tplc="11844FDA">
      <w:start w:val="1"/>
      <w:numFmt w:val="lowerRoman"/>
      <w:lvlText w:val="%6."/>
      <w:lvlJc w:val="right"/>
      <w:pPr>
        <w:ind w:left="4320" w:hanging="180"/>
      </w:pPr>
    </w:lvl>
    <w:lvl w:ilvl="6" w:tplc="C03C6218">
      <w:start w:val="1"/>
      <w:numFmt w:val="decimal"/>
      <w:lvlText w:val="%7."/>
      <w:lvlJc w:val="left"/>
      <w:pPr>
        <w:ind w:left="5040" w:hanging="360"/>
      </w:pPr>
    </w:lvl>
    <w:lvl w:ilvl="7" w:tplc="B664D324">
      <w:start w:val="1"/>
      <w:numFmt w:val="lowerLetter"/>
      <w:lvlText w:val="%8."/>
      <w:lvlJc w:val="left"/>
      <w:pPr>
        <w:ind w:left="5760" w:hanging="360"/>
      </w:pPr>
    </w:lvl>
    <w:lvl w:ilvl="8" w:tplc="86725588">
      <w:start w:val="1"/>
      <w:numFmt w:val="lowerRoman"/>
      <w:lvlText w:val="%9."/>
      <w:lvlJc w:val="right"/>
      <w:pPr>
        <w:ind w:left="6480" w:hanging="180"/>
      </w:pPr>
    </w:lvl>
  </w:abstractNum>
  <w:abstractNum w:abstractNumId="4" w15:restartNumberingAfterBreak="0">
    <w:nsid w:val="28353024"/>
    <w:multiLevelType w:val="hybridMultilevel"/>
    <w:tmpl w:val="7C925E10"/>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FA2A1A"/>
    <w:multiLevelType w:val="hybridMultilevel"/>
    <w:tmpl w:val="DF042128"/>
    <w:lvl w:ilvl="0" w:tplc="6772FC9A">
      <w:start w:val="1"/>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47A9C"/>
    <w:multiLevelType w:val="hybridMultilevel"/>
    <w:tmpl w:val="259C4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8F54E3"/>
    <w:multiLevelType w:val="hybridMultilevel"/>
    <w:tmpl w:val="90DA66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C633B5"/>
    <w:multiLevelType w:val="hybridMultilevel"/>
    <w:tmpl w:val="BF8016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8B4DCE"/>
    <w:multiLevelType w:val="hybridMultilevel"/>
    <w:tmpl w:val="A4C0CA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D53E35"/>
    <w:multiLevelType w:val="hybridMultilevel"/>
    <w:tmpl w:val="81F407DA"/>
    <w:lvl w:ilvl="0" w:tplc="4274C8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EE0A05"/>
    <w:multiLevelType w:val="hybridMultilevel"/>
    <w:tmpl w:val="A4C0CA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97A61E0"/>
    <w:multiLevelType w:val="hybridMultilevel"/>
    <w:tmpl w:val="3EE2EF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394D2A"/>
    <w:multiLevelType w:val="hybridMultilevel"/>
    <w:tmpl w:val="242E39A8"/>
    <w:lvl w:ilvl="0" w:tplc="85F0BFC6">
      <w:numFmt w:val="bullet"/>
      <w:lvlText w:val="-"/>
      <w:lvlJc w:val="left"/>
      <w:pPr>
        <w:ind w:left="720" w:hanging="360"/>
      </w:pPr>
      <w:rPr>
        <w:rFonts w:ascii="Arial" w:eastAsia="MS Mincho" w:hAnsi="Arial" w:cs="Arial" w:hint="default"/>
      </w:rPr>
    </w:lvl>
    <w:lvl w:ilvl="1" w:tplc="85F0BFC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54486E"/>
    <w:multiLevelType w:val="hybridMultilevel"/>
    <w:tmpl w:val="12E2E8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268072F"/>
    <w:multiLevelType w:val="hybridMultilevel"/>
    <w:tmpl w:val="7C925E10"/>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9884139"/>
    <w:multiLevelType w:val="hybridMultilevel"/>
    <w:tmpl w:val="E19CA774"/>
    <w:lvl w:ilvl="0" w:tplc="BD7A6FB8">
      <w:start w:val="1"/>
      <w:numFmt w:val="upperLetter"/>
      <w:lvlText w:val="%1."/>
      <w:lvlJc w:val="left"/>
      <w:pPr>
        <w:ind w:left="720" w:hanging="360"/>
      </w:pPr>
      <w:rPr>
        <w:rFonts w:ascii="Arial" w:eastAsia="Calibri" w:hAnsi="Arial" w:cs="Arial" w:hint="default"/>
        <w:b/>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3B40E19"/>
    <w:multiLevelType w:val="hybridMultilevel"/>
    <w:tmpl w:val="12E2E8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775446168">
    <w:abstractNumId w:val="2"/>
  </w:num>
  <w:num w:numId="2" w16cid:durableId="620115947">
    <w:abstractNumId w:val="16"/>
  </w:num>
  <w:num w:numId="3" w16cid:durableId="490756983">
    <w:abstractNumId w:val="8"/>
  </w:num>
  <w:num w:numId="4" w16cid:durableId="206993146">
    <w:abstractNumId w:val="0"/>
  </w:num>
  <w:num w:numId="5" w16cid:durableId="1927108386">
    <w:abstractNumId w:val="7"/>
  </w:num>
  <w:num w:numId="6" w16cid:durableId="751049112">
    <w:abstractNumId w:val="12"/>
  </w:num>
  <w:num w:numId="7" w16cid:durableId="663364899">
    <w:abstractNumId w:val="6"/>
  </w:num>
  <w:num w:numId="8" w16cid:durableId="675808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2280766">
    <w:abstractNumId w:val="5"/>
  </w:num>
  <w:num w:numId="10" w16cid:durableId="548106318">
    <w:abstractNumId w:val="11"/>
  </w:num>
  <w:num w:numId="11" w16cid:durableId="1861508199">
    <w:abstractNumId w:val="9"/>
  </w:num>
  <w:num w:numId="12" w16cid:durableId="1039205953">
    <w:abstractNumId w:val="10"/>
  </w:num>
  <w:num w:numId="13" w16cid:durableId="950161898">
    <w:abstractNumId w:val="15"/>
  </w:num>
  <w:num w:numId="14" w16cid:durableId="1209488562">
    <w:abstractNumId w:val="13"/>
  </w:num>
  <w:num w:numId="15" w16cid:durableId="2104261992">
    <w:abstractNumId w:val="4"/>
  </w:num>
  <w:num w:numId="16" w16cid:durableId="774328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7563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9125588">
    <w:abstractNumId w:val="0"/>
  </w:num>
  <w:num w:numId="19" w16cid:durableId="1692949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949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7743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09560">
    <w:abstractNumId w:val="13"/>
  </w:num>
  <w:num w:numId="23" w16cid:durableId="1539901820">
    <w:abstractNumId w:val="7"/>
  </w:num>
  <w:num w:numId="24" w16cid:durableId="74473777">
    <w:abstractNumId w:val="12"/>
  </w:num>
  <w:num w:numId="25" w16cid:durableId="1050224853">
    <w:abstractNumId w:val="14"/>
  </w:num>
  <w:num w:numId="26" w16cid:durableId="1540320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0373036">
    <w:abstractNumId w:val="1"/>
  </w:num>
  <w:num w:numId="28" w16cid:durableId="930815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006216">
    <w:abstractNumId w:val="6"/>
  </w:num>
  <w:num w:numId="30" w16cid:durableId="198981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4969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83654">
    <w:abstractNumId w:val="17"/>
  </w:num>
  <w:num w:numId="33" w16cid:durableId="728308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669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2399989">
    <w:abstractNumId w:val="3"/>
  </w:num>
  <w:num w:numId="36" w16cid:durableId="2140413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1712662">
    <w:abstractNumId w:val="0"/>
  </w:num>
  <w:num w:numId="38" w16cid:durableId="999232458">
    <w:abstractNumId w:val="13"/>
  </w:num>
  <w:num w:numId="39" w16cid:durableId="458455096">
    <w:abstractNumId w:val="7"/>
  </w:num>
  <w:num w:numId="40" w16cid:durableId="711073846">
    <w:abstractNumId w:val="12"/>
  </w:num>
  <w:num w:numId="41" w16cid:durableId="79208974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0658"/>
    <w:rsid w:val="00015D8E"/>
    <w:rsid w:val="00016754"/>
    <w:rsid w:val="00030DD1"/>
    <w:rsid w:val="000322E3"/>
    <w:rsid w:val="00040BE3"/>
    <w:rsid w:val="00042D32"/>
    <w:rsid w:val="00057AF8"/>
    <w:rsid w:val="000643E9"/>
    <w:rsid w:val="00066D3A"/>
    <w:rsid w:val="00073A1F"/>
    <w:rsid w:val="00075136"/>
    <w:rsid w:val="00075AD5"/>
    <w:rsid w:val="00077AA2"/>
    <w:rsid w:val="0008210A"/>
    <w:rsid w:val="0008507C"/>
    <w:rsid w:val="000877D1"/>
    <w:rsid w:val="00093EB8"/>
    <w:rsid w:val="000A1163"/>
    <w:rsid w:val="000A2FC8"/>
    <w:rsid w:val="000A31BA"/>
    <w:rsid w:val="000A4383"/>
    <w:rsid w:val="000B20AE"/>
    <w:rsid w:val="000C2C96"/>
    <w:rsid w:val="000C4465"/>
    <w:rsid w:val="000D09AB"/>
    <w:rsid w:val="000D466B"/>
    <w:rsid w:val="000D6114"/>
    <w:rsid w:val="000E0C3E"/>
    <w:rsid w:val="000E42D0"/>
    <w:rsid w:val="000E4714"/>
    <w:rsid w:val="000E5163"/>
    <w:rsid w:val="000E6513"/>
    <w:rsid w:val="000F0EAD"/>
    <w:rsid w:val="000F1CBA"/>
    <w:rsid w:val="000F3807"/>
    <w:rsid w:val="000F7B44"/>
    <w:rsid w:val="00101484"/>
    <w:rsid w:val="00103AE9"/>
    <w:rsid w:val="0010497F"/>
    <w:rsid w:val="00107270"/>
    <w:rsid w:val="001100A5"/>
    <w:rsid w:val="0011263A"/>
    <w:rsid w:val="00113233"/>
    <w:rsid w:val="0011350E"/>
    <w:rsid w:val="00114AE3"/>
    <w:rsid w:val="00117B7B"/>
    <w:rsid w:val="00120EEB"/>
    <w:rsid w:val="001258D6"/>
    <w:rsid w:val="001339E2"/>
    <w:rsid w:val="0013472A"/>
    <w:rsid w:val="001366BB"/>
    <w:rsid w:val="00137C29"/>
    <w:rsid w:val="00144777"/>
    <w:rsid w:val="001448E3"/>
    <w:rsid w:val="00147E82"/>
    <w:rsid w:val="001515F9"/>
    <w:rsid w:val="001518F2"/>
    <w:rsid w:val="00153C65"/>
    <w:rsid w:val="00156301"/>
    <w:rsid w:val="00162E6F"/>
    <w:rsid w:val="0017111C"/>
    <w:rsid w:val="0017545B"/>
    <w:rsid w:val="00181BDE"/>
    <w:rsid w:val="00182DEA"/>
    <w:rsid w:val="001834BA"/>
    <w:rsid w:val="0019035D"/>
    <w:rsid w:val="00191D96"/>
    <w:rsid w:val="00191E93"/>
    <w:rsid w:val="00194335"/>
    <w:rsid w:val="001A1ABA"/>
    <w:rsid w:val="001B0799"/>
    <w:rsid w:val="001D1F25"/>
    <w:rsid w:val="001D36C0"/>
    <w:rsid w:val="001D7796"/>
    <w:rsid w:val="001E3E05"/>
    <w:rsid w:val="001E50F4"/>
    <w:rsid w:val="001E5520"/>
    <w:rsid w:val="001E60E2"/>
    <w:rsid w:val="001F0127"/>
    <w:rsid w:val="001F0B1A"/>
    <w:rsid w:val="001F4D1B"/>
    <w:rsid w:val="001F4ED2"/>
    <w:rsid w:val="001F53CF"/>
    <w:rsid w:val="001F6014"/>
    <w:rsid w:val="001F7009"/>
    <w:rsid w:val="001F72C4"/>
    <w:rsid w:val="00200B7F"/>
    <w:rsid w:val="00204764"/>
    <w:rsid w:val="0020773D"/>
    <w:rsid w:val="0021375B"/>
    <w:rsid w:val="002176E6"/>
    <w:rsid w:val="00220601"/>
    <w:rsid w:val="002211EF"/>
    <w:rsid w:val="00221EF1"/>
    <w:rsid w:val="0022264A"/>
    <w:rsid w:val="00226B16"/>
    <w:rsid w:val="00237795"/>
    <w:rsid w:val="00237DFE"/>
    <w:rsid w:val="002414B0"/>
    <w:rsid w:val="00242749"/>
    <w:rsid w:val="0024487B"/>
    <w:rsid w:val="002567A2"/>
    <w:rsid w:val="002658A7"/>
    <w:rsid w:val="00271E28"/>
    <w:rsid w:val="0027421A"/>
    <w:rsid w:val="00280591"/>
    <w:rsid w:val="00280A31"/>
    <w:rsid w:val="00283C5C"/>
    <w:rsid w:val="00283D9E"/>
    <w:rsid w:val="002850DB"/>
    <w:rsid w:val="00297DF6"/>
    <w:rsid w:val="002A0270"/>
    <w:rsid w:val="002A13EA"/>
    <w:rsid w:val="002A2626"/>
    <w:rsid w:val="002A6351"/>
    <w:rsid w:val="002B0FB0"/>
    <w:rsid w:val="002B2812"/>
    <w:rsid w:val="002B2E03"/>
    <w:rsid w:val="002B3410"/>
    <w:rsid w:val="002B4E93"/>
    <w:rsid w:val="002C45F1"/>
    <w:rsid w:val="002C64C1"/>
    <w:rsid w:val="002C6BBE"/>
    <w:rsid w:val="002D3CF8"/>
    <w:rsid w:val="002D4B67"/>
    <w:rsid w:val="002D6C5F"/>
    <w:rsid w:val="002E3E8B"/>
    <w:rsid w:val="002E6BE9"/>
    <w:rsid w:val="002E72FA"/>
    <w:rsid w:val="002E7640"/>
    <w:rsid w:val="002E7778"/>
    <w:rsid w:val="002F01D9"/>
    <w:rsid w:val="002F1230"/>
    <w:rsid w:val="002F464C"/>
    <w:rsid w:val="00301846"/>
    <w:rsid w:val="0030295A"/>
    <w:rsid w:val="003057C9"/>
    <w:rsid w:val="003226AB"/>
    <w:rsid w:val="0032474D"/>
    <w:rsid w:val="003300CE"/>
    <w:rsid w:val="00330AC6"/>
    <w:rsid w:val="0033289D"/>
    <w:rsid w:val="003334C8"/>
    <w:rsid w:val="0033489C"/>
    <w:rsid w:val="00336BAB"/>
    <w:rsid w:val="00340279"/>
    <w:rsid w:val="00341877"/>
    <w:rsid w:val="0034312A"/>
    <w:rsid w:val="00346EDF"/>
    <w:rsid w:val="00350C08"/>
    <w:rsid w:val="0035116E"/>
    <w:rsid w:val="003560AE"/>
    <w:rsid w:val="0036144E"/>
    <w:rsid w:val="00370540"/>
    <w:rsid w:val="00370A5A"/>
    <w:rsid w:val="0038265A"/>
    <w:rsid w:val="00384066"/>
    <w:rsid w:val="00384235"/>
    <w:rsid w:val="00385118"/>
    <w:rsid w:val="00387857"/>
    <w:rsid w:val="00391021"/>
    <w:rsid w:val="00395375"/>
    <w:rsid w:val="003A2950"/>
    <w:rsid w:val="003A3307"/>
    <w:rsid w:val="003A4D61"/>
    <w:rsid w:val="003A520B"/>
    <w:rsid w:val="003B1D05"/>
    <w:rsid w:val="003B7FE6"/>
    <w:rsid w:val="003C102D"/>
    <w:rsid w:val="003C6D25"/>
    <w:rsid w:val="003D4DD3"/>
    <w:rsid w:val="003D4E76"/>
    <w:rsid w:val="003D7FD2"/>
    <w:rsid w:val="003E31A7"/>
    <w:rsid w:val="003E59CF"/>
    <w:rsid w:val="003E632D"/>
    <w:rsid w:val="003E77FC"/>
    <w:rsid w:val="003F07EB"/>
    <w:rsid w:val="003F59D9"/>
    <w:rsid w:val="003F617A"/>
    <w:rsid w:val="003F6A30"/>
    <w:rsid w:val="003F788E"/>
    <w:rsid w:val="003F7900"/>
    <w:rsid w:val="004057C1"/>
    <w:rsid w:val="00410C94"/>
    <w:rsid w:val="00412976"/>
    <w:rsid w:val="0041494D"/>
    <w:rsid w:val="0042223C"/>
    <w:rsid w:val="004315F2"/>
    <w:rsid w:val="00434B41"/>
    <w:rsid w:val="00437A6B"/>
    <w:rsid w:val="0044344C"/>
    <w:rsid w:val="00447D2A"/>
    <w:rsid w:val="00453CE2"/>
    <w:rsid w:val="00467143"/>
    <w:rsid w:val="004700D0"/>
    <w:rsid w:val="00472DB8"/>
    <w:rsid w:val="00473B82"/>
    <w:rsid w:val="00473F70"/>
    <w:rsid w:val="00474633"/>
    <w:rsid w:val="004749EC"/>
    <w:rsid w:val="0049010D"/>
    <w:rsid w:val="004A3F43"/>
    <w:rsid w:val="004A6430"/>
    <w:rsid w:val="004A7F0D"/>
    <w:rsid w:val="004B299B"/>
    <w:rsid w:val="004D66AD"/>
    <w:rsid w:val="004E432F"/>
    <w:rsid w:val="004E47BC"/>
    <w:rsid w:val="004E4D21"/>
    <w:rsid w:val="004E7B18"/>
    <w:rsid w:val="004F2BB0"/>
    <w:rsid w:val="004F404B"/>
    <w:rsid w:val="005125B0"/>
    <w:rsid w:val="00513FEA"/>
    <w:rsid w:val="0052323E"/>
    <w:rsid w:val="0053089E"/>
    <w:rsid w:val="00532549"/>
    <w:rsid w:val="00537794"/>
    <w:rsid w:val="0053783B"/>
    <w:rsid w:val="00537AEC"/>
    <w:rsid w:val="00542591"/>
    <w:rsid w:val="005445CE"/>
    <w:rsid w:val="0054617E"/>
    <w:rsid w:val="00547308"/>
    <w:rsid w:val="00552AE0"/>
    <w:rsid w:val="00553C66"/>
    <w:rsid w:val="0055424A"/>
    <w:rsid w:val="00561999"/>
    <w:rsid w:val="00562716"/>
    <w:rsid w:val="00565905"/>
    <w:rsid w:val="00571ED1"/>
    <w:rsid w:val="00572501"/>
    <w:rsid w:val="00576F0C"/>
    <w:rsid w:val="00577153"/>
    <w:rsid w:val="00577720"/>
    <w:rsid w:val="0059166A"/>
    <w:rsid w:val="00593364"/>
    <w:rsid w:val="005A27D0"/>
    <w:rsid w:val="005A34AD"/>
    <w:rsid w:val="005A3BD8"/>
    <w:rsid w:val="005A730B"/>
    <w:rsid w:val="005C5817"/>
    <w:rsid w:val="005C61AC"/>
    <w:rsid w:val="005C6301"/>
    <w:rsid w:val="005C7523"/>
    <w:rsid w:val="005D15F4"/>
    <w:rsid w:val="005D214D"/>
    <w:rsid w:val="005E04F5"/>
    <w:rsid w:val="005E1133"/>
    <w:rsid w:val="005F0AF5"/>
    <w:rsid w:val="005F245D"/>
    <w:rsid w:val="005F726F"/>
    <w:rsid w:val="005F77DF"/>
    <w:rsid w:val="0060069D"/>
    <w:rsid w:val="00604180"/>
    <w:rsid w:val="00605557"/>
    <w:rsid w:val="00611CFE"/>
    <w:rsid w:val="00616130"/>
    <w:rsid w:val="006170E3"/>
    <w:rsid w:val="006206EE"/>
    <w:rsid w:val="006252FE"/>
    <w:rsid w:val="00625968"/>
    <w:rsid w:val="00625FC7"/>
    <w:rsid w:val="0063188F"/>
    <w:rsid w:val="00636431"/>
    <w:rsid w:val="00641321"/>
    <w:rsid w:val="00642C32"/>
    <w:rsid w:val="006473B9"/>
    <w:rsid w:val="00675B68"/>
    <w:rsid w:val="00681239"/>
    <w:rsid w:val="006845A4"/>
    <w:rsid w:val="00687E5C"/>
    <w:rsid w:val="0069486D"/>
    <w:rsid w:val="00695F10"/>
    <w:rsid w:val="006A042D"/>
    <w:rsid w:val="006A05E2"/>
    <w:rsid w:val="006A18EF"/>
    <w:rsid w:val="006A29E0"/>
    <w:rsid w:val="006A447F"/>
    <w:rsid w:val="006A7F83"/>
    <w:rsid w:val="006B559A"/>
    <w:rsid w:val="006B67C9"/>
    <w:rsid w:val="006C2B4A"/>
    <w:rsid w:val="006C3264"/>
    <w:rsid w:val="006C509B"/>
    <w:rsid w:val="006E137B"/>
    <w:rsid w:val="006E358F"/>
    <w:rsid w:val="00700F96"/>
    <w:rsid w:val="00702037"/>
    <w:rsid w:val="00705EA4"/>
    <w:rsid w:val="00711742"/>
    <w:rsid w:val="00717F9F"/>
    <w:rsid w:val="0072156C"/>
    <w:rsid w:val="00721671"/>
    <w:rsid w:val="00724108"/>
    <w:rsid w:val="007326C6"/>
    <w:rsid w:val="00736096"/>
    <w:rsid w:val="007364A7"/>
    <w:rsid w:val="00741E0C"/>
    <w:rsid w:val="0074453A"/>
    <w:rsid w:val="00747281"/>
    <w:rsid w:val="00751CA6"/>
    <w:rsid w:val="00756840"/>
    <w:rsid w:val="00775342"/>
    <w:rsid w:val="007760F2"/>
    <w:rsid w:val="0077677C"/>
    <w:rsid w:val="007810B5"/>
    <w:rsid w:val="00783FDB"/>
    <w:rsid w:val="007902C2"/>
    <w:rsid w:val="00797B07"/>
    <w:rsid w:val="00797DA6"/>
    <w:rsid w:val="007B1D31"/>
    <w:rsid w:val="007B319C"/>
    <w:rsid w:val="007D55D3"/>
    <w:rsid w:val="007E0BF0"/>
    <w:rsid w:val="007E2C10"/>
    <w:rsid w:val="007E55C0"/>
    <w:rsid w:val="007E6627"/>
    <w:rsid w:val="007E7FF9"/>
    <w:rsid w:val="0080212F"/>
    <w:rsid w:val="00804184"/>
    <w:rsid w:val="00807524"/>
    <w:rsid w:val="0081002E"/>
    <w:rsid w:val="00823102"/>
    <w:rsid w:val="00823ABF"/>
    <w:rsid w:val="008240C6"/>
    <w:rsid w:val="008341CE"/>
    <w:rsid w:val="008341D3"/>
    <w:rsid w:val="008363B6"/>
    <w:rsid w:val="00843519"/>
    <w:rsid w:val="00844E5C"/>
    <w:rsid w:val="00851356"/>
    <w:rsid w:val="008540DC"/>
    <w:rsid w:val="00854B33"/>
    <w:rsid w:val="00862A45"/>
    <w:rsid w:val="008663CA"/>
    <w:rsid w:val="008674EE"/>
    <w:rsid w:val="00870E09"/>
    <w:rsid w:val="00872A4E"/>
    <w:rsid w:val="00874628"/>
    <w:rsid w:val="00876917"/>
    <w:rsid w:val="00891CEC"/>
    <w:rsid w:val="00894E28"/>
    <w:rsid w:val="008958DB"/>
    <w:rsid w:val="008A1BA2"/>
    <w:rsid w:val="008A2D0E"/>
    <w:rsid w:val="008A2D15"/>
    <w:rsid w:val="008A4DC4"/>
    <w:rsid w:val="008A5429"/>
    <w:rsid w:val="008A73E0"/>
    <w:rsid w:val="008B3DEC"/>
    <w:rsid w:val="008C49F3"/>
    <w:rsid w:val="008C705B"/>
    <w:rsid w:val="008D2DCD"/>
    <w:rsid w:val="008D5C92"/>
    <w:rsid w:val="008D7E24"/>
    <w:rsid w:val="008E33A2"/>
    <w:rsid w:val="008F59B6"/>
    <w:rsid w:val="0090167F"/>
    <w:rsid w:val="00902163"/>
    <w:rsid w:val="00903751"/>
    <w:rsid w:val="0090467A"/>
    <w:rsid w:val="0092035F"/>
    <w:rsid w:val="00931D87"/>
    <w:rsid w:val="009436F2"/>
    <w:rsid w:val="00944394"/>
    <w:rsid w:val="00945819"/>
    <w:rsid w:val="009600C8"/>
    <w:rsid w:val="0096240B"/>
    <w:rsid w:val="009677C0"/>
    <w:rsid w:val="009714DD"/>
    <w:rsid w:val="00974B28"/>
    <w:rsid w:val="00982AC4"/>
    <w:rsid w:val="00992748"/>
    <w:rsid w:val="00996E42"/>
    <w:rsid w:val="00996E4F"/>
    <w:rsid w:val="0099728C"/>
    <w:rsid w:val="009A1CDC"/>
    <w:rsid w:val="009A32C6"/>
    <w:rsid w:val="009A34A5"/>
    <w:rsid w:val="009B2338"/>
    <w:rsid w:val="009B3C7A"/>
    <w:rsid w:val="009B4F70"/>
    <w:rsid w:val="009B62ED"/>
    <w:rsid w:val="009C1E4E"/>
    <w:rsid w:val="009C6FEB"/>
    <w:rsid w:val="009C74EE"/>
    <w:rsid w:val="009D2198"/>
    <w:rsid w:val="009D3916"/>
    <w:rsid w:val="009E36F1"/>
    <w:rsid w:val="009E52AC"/>
    <w:rsid w:val="009E6F2A"/>
    <w:rsid w:val="009F1065"/>
    <w:rsid w:val="00A00B26"/>
    <w:rsid w:val="00A01860"/>
    <w:rsid w:val="00A117D7"/>
    <w:rsid w:val="00A16E7E"/>
    <w:rsid w:val="00A21993"/>
    <w:rsid w:val="00A240A7"/>
    <w:rsid w:val="00A25DEC"/>
    <w:rsid w:val="00A36875"/>
    <w:rsid w:val="00A36898"/>
    <w:rsid w:val="00A405D3"/>
    <w:rsid w:val="00A45C91"/>
    <w:rsid w:val="00A479A9"/>
    <w:rsid w:val="00A50048"/>
    <w:rsid w:val="00A57834"/>
    <w:rsid w:val="00A62B42"/>
    <w:rsid w:val="00A63200"/>
    <w:rsid w:val="00A646FC"/>
    <w:rsid w:val="00A649C8"/>
    <w:rsid w:val="00A65BBE"/>
    <w:rsid w:val="00A65FDF"/>
    <w:rsid w:val="00A71316"/>
    <w:rsid w:val="00A76AB6"/>
    <w:rsid w:val="00A77A34"/>
    <w:rsid w:val="00A82889"/>
    <w:rsid w:val="00A914E7"/>
    <w:rsid w:val="00A9281B"/>
    <w:rsid w:val="00A963CA"/>
    <w:rsid w:val="00AA05F6"/>
    <w:rsid w:val="00AA25C3"/>
    <w:rsid w:val="00AA3408"/>
    <w:rsid w:val="00AA56AC"/>
    <w:rsid w:val="00AB3160"/>
    <w:rsid w:val="00AC0BAA"/>
    <w:rsid w:val="00AC150F"/>
    <w:rsid w:val="00AC47A2"/>
    <w:rsid w:val="00AD0830"/>
    <w:rsid w:val="00AD0A31"/>
    <w:rsid w:val="00AD3D48"/>
    <w:rsid w:val="00AD46E2"/>
    <w:rsid w:val="00AE60FB"/>
    <w:rsid w:val="00AF5DE1"/>
    <w:rsid w:val="00B01DA2"/>
    <w:rsid w:val="00B022F5"/>
    <w:rsid w:val="00B04F94"/>
    <w:rsid w:val="00B05E94"/>
    <w:rsid w:val="00B13B7F"/>
    <w:rsid w:val="00B15D52"/>
    <w:rsid w:val="00B165CB"/>
    <w:rsid w:val="00B16A12"/>
    <w:rsid w:val="00B22F0D"/>
    <w:rsid w:val="00B23027"/>
    <w:rsid w:val="00B268C2"/>
    <w:rsid w:val="00B3022D"/>
    <w:rsid w:val="00B3089A"/>
    <w:rsid w:val="00B32956"/>
    <w:rsid w:val="00B32F87"/>
    <w:rsid w:val="00B40336"/>
    <w:rsid w:val="00B41AE8"/>
    <w:rsid w:val="00B42B54"/>
    <w:rsid w:val="00B43896"/>
    <w:rsid w:val="00B44184"/>
    <w:rsid w:val="00B50692"/>
    <w:rsid w:val="00B51957"/>
    <w:rsid w:val="00B525CF"/>
    <w:rsid w:val="00B55812"/>
    <w:rsid w:val="00B56A74"/>
    <w:rsid w:val="00B61464"/>
    <w:rsid w:val="00B62D9B"/>
    <w:rsid w:val="00B62FD1"/>
    <w:rsid w:val="00B66236"/>
    <w:rsid w:val="00B667E4"/>
    <w:rsid w:val="00B73CE0"/>
    <w:rsid w:val="00B74688"/>
    <w:rsid w:val="00B81971"/>
    <w:rsid w:val="00B83530"/>
    <w:rsid w:val="00B855ED"/>
    <w:rsid w:val="00B90B4B"/>
    <w:rsid w:val="00B9309E"/>
    <w:rsid w:val="00BA08A8"/>
    <w:rsid w:val="00BA1ABA"/>
    <w:rsid w:val="00BA324E"/>
    <w:rsid w:val="00BA46B9"/>
    <w:rsid w:val="00BB23F6"/>
    <w:rsid w:val="00BB2B65"/>
    <w:rsid w:val="00BB32B6"/>
    <w:rsid w:val="00BB3FEA"/>
    <w:rsid w:val="00BB40CD"/>
    <w:rsid w:val="00BB4C7A"/>
    <w:rsid w:val="00BB5205"/>
    <w:rsid w:val="00BB5F2D"/>
    <w:rsid w:val="00BB76D5"/>
    <w:rsid w:val="00BB7F0A"/>
    <w:rsid w:val="00BC14DC"/>
    <w:rsid w:val="00BC1762"/>
    <w:rsid w:val="00BC6847"/>
    <w:rsid w:val="00BC6ABE"/>
    <w:rsid w:val="00BD75B1"/>
    <w:rsid w:val="00BE2442"/>
    <w:rsid w:val="00BF0D98"/>
    <w:rsid w:val="00BF7E7E"/>
    <w:rsid w:val="00C0298B"/>
    <w:rsid w:val="00C057ED"/>
    <w:rsid w:val="00C10D22"/>
    <w:rsid w:val="00C11141"/>
    <w:rsid w:val="00C16366"/>
    <w:rsid w:val="00C2237E"/>
    <w:rsid w:val="00C27CC8"/>
    <w:rsid w:val="00C32D7F"/>
    <w:rsid w:val="00C427C0"/>
    <w:rsid w:val="00C447A9"/>
    <w:rsid w:val="00C45AFC"/>
    <w:rsid w:val="00C47352"/>
    <w:rsid w:val="00C52A22"/>
    <w:rsid w:val="00C539EB"/>
    <w:rsid w:val="00C6415B"/>
    <w:rsid w:val="00C668DD"/>
    <w:rsid w:val="00C67A77"/>
    <w:rsid w:val="00C75DA9"/>
    <w:rsid w:val="00C77C56"/>
    <w:rsid w:val="00C90BA5"/>
    <w:rsid w:val="00C943ED"/>
    <w:rsid w:val="00C94DE4"/>
    <w:rsid w:val="00C95998"/>
    <w:rsid w:val="00CA179E"/>
    <w:rsid w:val="00CA4476"/>
    <w:rsid w:val="00CA4EF8"/>
    <w:rsid w:val="00CA5028"/>
    <w:rsid w:val="00CB6B23"/>
    <w:rsid w:val="00CB70F7"/>
    <w:rsid w:val="00CD1C0F"/>
    <w:rsid w:val="00CD2418"/>
    <w:rsid w:val="00CE7065"/>
    <w:rsid w:val="00CF5704"/>
    <w:rsid w:val="00D0144F"/>
    <w:rsid w:val="00D06885"/>
    <w:rsid w:val="00D12651"/>
    <w:rsid w:val="00D12FFB"/>
    <w:rsid w:val="00D210E1"/>
    <w:rsid w:val="00D2162C"/>
    <w:rsid w:val="00D27A6F"/>
    <w:rsid w:val="00D45F04"/>
    <w:rsid w:val="00D51954"/>
    <w:rsid w:val="00D55234"/>
    <w:rsid w:val="00D8162B"/>
    <w:rsid w:val="00D85863"/>
    <w:rsid w:val="00D9668B"/>
    <w:rsid w:val="00DA6249"/>
    <w:rsid w:val="00DB1A70"/>
    <w:rsid w:val="00DB1B9A"/>
    <w:rsid w:val="00DB264B"/>
    <w:rsid w:val="00DB59F7"/>
    <w:rsid w:val="00DC25D3"/>
    <w:rsid w:val="00DC2787"/>
    <w:rsid w:val="00DC60BE"/>
    <w:rsid w:val="00DD3C3F"/>
    <w:rsid w:val="00DD4C14"/>
    <w:rsid w:val="00DF13EB"/>
    <w:rsid w:val="00DF4CC1"/>
    <w:rsid w:val="00E02036"/>
    <w:rsid w:val="00E02276"/>
    <w:rsid w:val="00E11760"/>
    <w:rsid w:val="00E14B50"/>
    <w:rsid w:val="00E154F5"/>
    <w:rsid w:val="00E15BE8"/>
    <w:rsid w:val="00E22584"/>
    <w:rsid w:val="00E25899"/>
    <w:rsid w:val="00E30903"/>
    <w:rsid w:val="00E33180"/>
    <w:rsid w:val="00E35077"/>
    <w:rsid w:val="00E35715"/>
    <w:rsid w:val="00E35E3F"/>
    <w:rsid w:val="00E40750"/>
    <w:rsid w:val="00E45087"/>
    <w:rsid w:val="00E45BF1"/>
    <w:rsid w:val="00E543C2"/>
    <w:rsid w:val="00E5464B"/>
    <w:rsid w:val="00E5534B"/>
    <w:rsid w:val="00E569E1"/>
    <w:rsid w:val="00E603F8"/>
    <w:rsid w:val="00E60F6E"/>
    <w:rsid w:val="00E61E67"/>
    <w:rsid w:val="00E65C44"/>
    <w:rsid w:val="00E66299"/>
    <w:rsid w:val="00E674BE"/>
    <w:rsid w:val="00E678D9"/>
    <w:rsid w:val="00E71A3E"/>
    <w:rsid w:val="00E72535"/>
    <w:rsid w:val="00E73A75"/>
    <w:rsid w:val="00E84405"/>
    <w:rsid w:val="00E84A33"/>
    <w:rsid w:val="00E84BC2"/>
    <w:rsid w:val="00E96CF9"/>
    <w:rsid w:val="00E97798"/>
    <w:rsid w:val="00E97BFD"/>
    <w:rsid w:val="00EA1AF5"/>
    <w:rsid w:val="00EB2676"/>
    <w:rsid w:val="00EB2BC9"/>
    <w:rsid w:val="00EB3399"/>
    <w:rsid w:val="00EB3700"/>
    <w:rsid w:val="00EB3AAB"/>
    <w:rsid w:val="00EB51B5"/>
    <w:rsid w:val="00EB70AB"/>
    <w:rsid w:val="00ED04AC"/>
    <w:rsid w:val="00ED2360"/>
    <w:rsid w:val="00ED26A4"/>
    <w:rsid w:val="00ED3344"/>
    <w:rsid w:val="00ED42E5"/>
    <w:rsid w:val="00EE10E1"/>
    <w:rsid w:val="00EE231F"/>
    <w:rsid w:val="00EE3936"/>
    <w:rsid w:val="00EF04A8"/>
    <w:rsid w:val="00EF27B9"/>
    <w:rsid w:val="00EF3D14"/>
    <w:rsid w:val="00EF523B"/>
    <w:rsid w:val="00EF6C25"/>
    <w:rsid w:val="00F018CF"/>
    <w:rsid w:val="00F01F75"/>
    <w:rsid w:val="00F02B45"/>
    <w:rsid w:val="00F04D0A"/>
    <w:rsid w:val="00F10C44"/>
    <w:rsid w:val="00F1383E"/>
    <w:rsid w:val="00F1390E"/>
    <w:rsid w:val="00F140E1"/>
    <w:rsid w:val="00F17232"/>
    <w:rsid w:val="00F2208E"/>
    <w:rsid w:val="00F231A6"/>
    <w:rsid w:val="00F267FC"/>
    <w:rsid w:val="00F310FC"/>
    <w:rsid w:val="00F31BF9"/>
    <w:rsid w:val="00F34DFC"/>
    <w:rsid w:val="00F418EA"/>
    <w:rsid w:val="00F436BA"/>
    <w:rsid w:val="00F46181"/>
    <w:rsid w:val="00F52E3B"/>
    <w:rsid w:val="00F565B6"/>
    <w:rsid w:val="00F62974"/>
    <w:rsid w:val="00F62A45"/>
    <w:rsid w:val="00F65748"/>
    <w:rsid w:val="00F71345"/>
    <w:rsid w:val="00F77A5D"/>
    <w:rsid w:val="00F80CAD"/>
    <w:rsid w:val="00F82BD2"/>
    <w:rsid w:val="00F87245"/>
    <w:rsid w:val="00F90861"/>
    <w:rsid w:val="00F93F04"/>
    <w:rsid w:val="00F970D0"/>
    <w:rsid w:val="00FB2545"/>
    <w:rsid w:val="00FB58C7"/>
    <w:rsid w:val="00FC1BF5"/>
    <w:rsid w:val="00FC4A32"/>
    <w:rsid w:val="00FD4185"/>
    <w:rsid w:val="00FD6239"/>
    <w:rsid w:val="00FF0B33"/>
    <w:rsid w:val="00FF40D6"/>
    <w:rsid w:val="00FF4B12"/>
    <w:rsid w:val="00FF6628"/>
    <w:rsid w:val="00FF697C"/>
    <w:rsid w:val="00FF7D8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8D29D"/>
  <w15:docId w15:val="{B2B8735B-A011-43FC-9222-6799B721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A018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semiHidden/>
    <w:unhideWhenUsed/>
    <w:qFormat/>
    <w:rsid w:val="00A01860"/>
    <w:pPr>
      <w:spacing w:before="100" w:beforeAutospacing="1" w:after="100" w:afterAutospacing="1"/>
      <w:outlineLvl w:val="2"/>
    </w:pPr>
    <w:rPr>
      <w:rFonts w:eastAsia="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Ha,Bullets,List Paragraph"/>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34"/>
    <w:qFormat/>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link w:val="SinespaciadoCar"/>
    <w:uiPriority w:val="1"/>
    <w:qFormat/>
    <w:rsid w:val="007B1D31"/>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nhideWhenUsed/>
    <w:rsid w:val="00CB6B23"/>
    <w:rPr>
      <w:sz w:val="20"/>
      <w:szCs w:val="20"/>
    </w:rPr>
  </w:style>
  <w:style w:type="character" w:customStyle="1" w:styleId="TextocomentarioCar">
    <w:name w:val="Texto comentario Car"/>
    <w:basedOn w:val="Fuentedeprrafopredeter"/>
    <w:link w:val="Textocomentario"/>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2Car">
    <w:name w:val="Título 2 Car"/>
    <w:basedOn w:val="Fuentedeprrafopredeter"/>
    <w:link w:val="Ttulo2"/>
    <w:uiPriority w:val="9"/>
    <w:semiHidden/>
    <w:rsid w:val="00A01860"/>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A01860"/>
    <w:rPr>
      <w:rFonts w:ascii="Times New Roman" w:eastAsia="Times New Roman" w:hAnsi="Times New Roman" w:cs="Times New Roman"/>
      <w:b/>
      <w:bCs/>
      <w:sz w:val="27"/>
      <w:szCs w:val="27"/>
      <w:lang w:eastAsia="es-CO"/>
    </w:rPr>
  </w:style>
  <w:style w:type="character" w:styleId="Hipervnculovisitado">
    <w:name w:val="FollowedHyperlink"/>
    <w:basedOn w:val="Fuentedeprrafopredeter"/>
    <w:uiPriority w:val="99"/>
    <w:semiHidden/>
    <w:unhideWhenUsed/>
    <w:rsid w:val="00A01860"/>
    <w:rPr>
      <w:color w:val="800080" w:themeColor="followedHyperlink"/>
      <w:u w:val="single"/>
    </w:rPr>
  </w:style>
  <w:style w:type="character" w:customStyle="1" w:styleId="TextonotapieCar">
    <w:name w:val="Texto nota pie Car"/>
    <w:aliases w:val="Ref. de nota al pie1 Car,Texto de nota al pie Car,Footnotes refss Car,referencia nota al pie Car,BVI fnr Car,Ref. de nota al pie 2 Car,Footnote Text Char Car,Footnote Text Char Char Char Char Car,FA Fu Car,ft Car Car Car Car"/>
    <w:basedOn w:val="Fuentedeprrafopredeter"/>
    <w:link w:val="Textonotapie"/>
    <w:uiPriority w:val="99"/>
    <w:locked/>
    <w:rsid w:val="00A01860"/>
    <w:rPr>
      <w:rFonts w:ascii="Times New Roman" w:eastAsia="MS Mincho" w:hAnsi="Times New Roman" w:cs="Times New Roman"/>
      <w:sz w:val="20"/>
      <w:szCs w:val="20"/>
      <w:lang w:val="es-ES" w:eastAsia="es-ES"/>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ft Car Car Car"/>
    <w:basedOn w:val="Normal"/>
    <w:link w:val="TextonotapieCar"/>
    <w:uiPriority w:val="99"/>
    <w:unhideWhenUsed/>
    <w:qFormat/>
    <w:rsid w:val="00A01860"/>
    <w:rPr>
      <w:sz w:val="20"/>
      <w:szCs w:val="20"/>
    </w:rPr>
  </w:style>
  <w:style w:type="character" w:customStyle="1" w:styleId="TextonotapieCar1">
    <w:name w:val="Texto nota pie Car1"/>
    <w:aliases w:val="Ref. de nota al pie1 Car1,Texto de nota al pie Car1,Footnotes refss Car1,referencia nota al pie Car1,BVI fnr Car1,Ref. de nota al pie 2 Car1,Footnote Text Char Car1,Footnote Text Char Char Char Char Car1,FA Fu Car1"/>
    <w:basedOn w:val="Fuentedeprrafopredeter"/>
    <w:uiPriority w:val="99"/>
    <w:semiHidden/>
    <w:rsid w:val="00A01860"/>
    <w:rPr>
      <w:rFonts w:ascii="Times New Roman" w:eastAsia="MS Mincho" w:hAnsi="Times New Roman" w:cs="Times New Roman"/>
      <w:sz w:val="20"/>
      <w:szCs w:val="20"/>
      <w:lang w:val="es-ES" w:eastAsia="es-ES"/>
    </w:rPr>
  </w:style>
  <w:style w:type="character" w:customStyle="1" w:styleId="SinespaciadoCar">
    <w:name w:val="Sin espaciado Car"/>
    <w:basedOn w:val="Fuentedeprrafopredeter"/>
    <w:link w:val="Sinespaciado"/>
    <w:uiPriority w:val="1"/>
    <w:locked/>
    <w:rsid w:val="00A01860"/>
  </w:style>
  <w:style w:type="paragraph" w:customStyle="1" w:styleId="Default">
    <w:name w:val="Default"/>
    <w:uiPriority w:val="99"/>
    <w:rsid w:val="00A01860"/>
    <w:pPr>
      <w:autoSpaceDE w:val="0"/>
      <w:autoSpaceDN w:val="0"/>
      <w:adjustRightInd w:val="0"/>
    </w:pPr>
    <w:rPr>
      <w:rFonts w:ascii="Arial" w:hAnsi="Arial" w:cs="Arial"/>
      <w:color w:val="000000"/>
      <w:sz w:val="24"/>
      <w:szCs w:val="24"/>
    </w:rPr>
  </w:style>
  <w:style w:type="character" w:styleId="Refdenotaalpie">
    <w:name w:val="footnote reference"/>
    <w:aliases w:val="Texto Nota Pie de Pagina,Ref. de nota al pie2,Nota de pie,Ref,de nota al pie,Footnote symbol,Footnote,FC,Pie de pagina,Texto nota al pie,Appel note de bas de p,Ref1,16 Point,ftref,F,Pie de Página,Texto nota pie Car2 Car Car"/>
    <w:basedOn w:val="Fuentedeprrafopredeter"/>
    <w:uiPriority w:val="99"/>
    <w:unhideWhenUsed/>
    <w:qFormat/>
    <w:rsid w:val="00A01860"/>
    <w:rPr>
      <w:vertAlign w:val="superscript"/>
    </w:rPr>
  </w:style>
  <w:style w:type="character" w:customStyle="1" w:styleId="mw-headline">
    <w:name w:val="mw-headline"/>
    <w:basedOn w:val="Fuentedeprrafopredeter"/>
    <w:rsid w:val="00A01860"/>
  </w:style>
  <w:style w:type="character" w:customStyle="1" w:styleId="mw-editsection">
    <w:name w:val="mw-editsection"/>
    <w:basedOn w:val="Fuentedeprrafopredeter"/>
    <w:rsid w:val="00A01860"/>
  </w:style>
  <w:style w:type="character" w:customStyle="1" w:styleId="mw-editsection-bracket">
    <w:name w:val="mw-editsection-bracket"/>
    <w:basedOn w:val="Fuentedeprrafopredeter"/>
    <w:rsid w:val="00A01860"/>
  </w:style>
  <w:style w:type="table" w:styleId="Tablanormal2">
    <w:name w:val="Plain Table 2"/>
    <w:basedOn w:val="Tablanormal"/>
    <w:uiPriority w:val="42"/>
    <w:rsid w:val="00A01860"/>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5">
    <w:name w:val="Tabla con cuadrícula15"/>
    <w:basedOn w:val="Tablanormal"/>
    <w:uiPriority w:val="59"/>
    <w:rsid w:val="00A0186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01860"/>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titulo 3 Car,Ha Car,Bullets Car,List Paragraph Car"/>
    <w:link w:val="Prrafodelista"/>
    <w:uiPriority w:val="34"/>
    <w:locked/>
    <w:rsid w:val="00A01860"/>
    <w:rPr>
      <w:rFonts w:ascii="Times New Roman" w:eastAsia="MS Mincho" w:hAnsi="Times New Roman" w:cs="Times New Roman"/>
      <w:sz w:val="24"/>
      <w:szCs w:val="24"/>
      <w:lang w:val="es-ES" w:eastAsia="es-ES"/>
    </w:rPr>
  </w:style>
  <w:style w:type="character" w:customStyle="1" w:styleId="normaltextrun">
    <w:name w:val="normaltextrun"/>
    <w:basedOn w:val="Fuentedeprrafopredeter"/>
    <w:rsid w:val="00A01860"/>
  </w:style>
  <w:style w:type="paragraph" w:styleId="Textosinformato">
    <w:name w:val="Plain Text"/>
    <w:basedOn w:val="Normal"/>
    <w:link w:val="TextosinformatoCar"/>
    <w:uiPriority w:val="99"/>
    <w:semiHidden/>
    <w:unhideWhenUsed/>
    <w:rsid w:val="00A01860"/>
    <w:rPr>
      <w:rFonts w:ascii="Calibri" w:eastAsiaTheme="minorHAnsi" w:hAnsi="Calibri" w:cstheme="minorBidi"/>
      <w:sz w:val="22"/>
      <w:szCs w:val="21"/>
      <w:lang w:val="es-CO" w:eastAsia="en-US"/>
    </w:rPr>
  </w:style>
  <w:style w:type="character" w:customStyle="1" w:styleId="TextosinformatoCar">
    <w:name w:val="Texto sin formato Car"/>
    <w:basedOn w:val="Fuentedeprrafopredeter"/>
    <w:link w:val="Textosinformato"/>
    <w:uiPriority w:val="99"/>
    <w:semiHidden/>
    <w:rsid w:val="00A01860"/>
    <w:rPr>
      <w:rFonts w:ascii="Calibri" w:hAnsi="Calibri"/>
      <w:szCs w:val="21"/>
    </w:rPr>
  </w:style>
  <w:style w:type="character" w:customStyle="1" w:styleId="Mencinsinresolver1">
    <w:name w:val="Mención sin resolver1"/>
    <w:basedOn w:val="Fuentedeprrafopredeter"/>
    <w:uiPriority w:val="99"/>
    <w:semiHidden/>
    <w:unhideWhenUsed/>
    <w:rsid w:val="00A01860"/>
    <w:rPr>
      <w:color w:val="605E5C"/>
      <w:shd w:val="clear" w:color="auto" w:fill="E1DFDD"/>
    </w:rPr>
  </w:style>
  <w:style w:type="paragraph" w:customStyle="1" w:styleId="msonormal0">
    <w:name w:val="msonormal"/>
    <w:basedOn w:val="Normal"/>
    <w:uiPriority w:val="99"/>
    <w:rsid w:val="00BD75B1"/>
    <w:pPr>
      <w:spacing w:before="100" w:beforeAutospacing="1" w:after="119"/>
    </w:pPr>
    <w:rPr>
      <w:rFonts w:eastAsia="Calibri"/>
    </w:rPr>
  </w:style>
  <w:style w:type="paragraph" w:styleId="Revisin">
    <w:name w:val="Revision"/>
    <w:hidden/>
    <w:uiPriority w:val="99"/>
    <w:semiHidden/>
    <w:rsid w:val="00162E6F"/>
    <w:rPr>
      <w:rFonts w:ascii="Times New Roman" w:eastAsia="MS Mincho"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A16E7E"/>
    <w:rPr>
      <w:color w:val="605E5C"/>
      <w:shd w:val="clear" w:color="auto" w:fill="E1DFDD"/>
    </w:rPr>
  </w:style>
  <w:style w:type="character" w:styleId="nfasis">
    <w:name w:val="Emphasis"/>
    <w:basedOn w:val="Fuentedeprrafopredeter"/>
    <w:uiPriority w:val="20"/>
    <w:qFormat/>
    <w:rsid w:val="005A73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70368">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07466583">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26666983">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29416034">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portalgestiondoc.minhacienda.red/PortalEmpleado/" TargetMode="External"/><Relationship Id="rId39" Type="http://schemas.openxmlformats.org/officeDocument/2006/relationships/header" Target="header1.xml"/><Relationship Id="rId21" Type="http://schemas.openxmlformats.org/officeDocument/2006/relationships/hyperlink" Target="file:///D:/BK%20Oscar/DECRETO_028/DEPARTAMENTO_CAQUET&#193;/DIAGNOSTICO_2022/Plantilla%20Reconocimiento_VF.docx" TargetMode="External"/><Relationship Id="rId34" Type="http://schemas.openxmlformats.org/officeDocument/2006/relationships/hyperlink" Target="file:///D:/BK%20Oscar/DECRETO_028/DEPARTAMENTO_CAQUET&#193;/DIAGNOSTICO_2022/Plantilla%20Reconocimiento_VF.docx"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file:///D:/BK%20Oscar/DECRETO_028/DEPARTAMENTO_CAQUET&#193;/DIAGNOSTICO_2022/Plantilla%20Reconocimiento_VF.docx" TargetMode="External"/><Relationship Id="rId29" Type="http://schemas.openxmlformats.org/officeDocument/2006/relationships/hyperlink" Target="https://community.secop.gov.co/Public/Tendering/ContractNoticePhases/View?PPI=CO1.PPI.14946293&amp;isFromPublicArea=True&amp;isModal=Fals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BK%20Oscar/DECRETO_028/DEPARTAMENTO_CAQUET&#193;/DIAGNOSTICO_2022/Plantilla%20Reconocimiento_VF.docx" TargetMode="External"/><Relationship Id="rId32" Type="http://schemas.openxmlformats.org/officeDocument/2006/relationships/hyperlink" Target="file:///D:/BK%20Oscar/DECRETO_028/DEPARTAMENTO_CAQUET&#193;/DIAGNOSTICO_2022/Plantilla%20Reconocimiento_VF.docx" TargetMode="External"/><Relationship Id="rId37" Type="http://schemas.openxmlformats.org/officeDocument/2006/relationships/hyperlink" Target="http://portalgestiondoc.minhacienda.red/PortalEmpleado/" TargetMode="External"/><Relationship Id="rId40" Type="http://schemas.openxmlformats.org/officeDocument/2006/relationships/footer" Target="footer1.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file:///D:/BK%20Oscar/DECRETO_028/DEPARTAMENTO_CAQUET&#193;/DIAGNOSTICO_2022/Plantilla%20Reconocimiento_VF.docx" TargetMode="External"/><Relationship Id="rId28" Type="http://schemas.openxmlformats.org/officeDocument/2006/relationships/hyperlink" Target="http://portalgestiondoc.minhacienda.red/PortalEmpleado/" TargetMode="External"/><Relationship Id="rId36" Type="http://schemas.openxmlformats.org/officeDocument/2006/relationships/hyperlink" Target="http://portalgestiondoc.minhacienda.red/PortalEmpleado/viewer.jsp?config=tJKrKxGkf7IqnAhwStdbSENppAmS95W4r1YLDNsJ/DJ/c8YheOqMsuWNMaijqYfrxmq/tB/L2a4XhUW2M7FkSPXDXzk/jNY3hM8OtY9hIqmUK7bOS0EW6RP0/jCS3YHbtFgJ0rJMOut9y/pGMvOyUZ7QAKTg7ZrJjc5ExmpVbTCgN7YqGYhp5a9CtNIp5bB7&amp;guid=-7ae17f7217ed5a3a5632731&amp;idrepository=879"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file:///D:/BK%20Oscar/DECRETO_028/DEPARTAMENTO_CAQUET&#193;/DIAGNOSTICO_2022/Plantilla%20Reconocimiento_VF.docx" TargetMode="External"/><Relationship Id="rId44" Type="http://schemas.openxmlformats.org/officeDocument/2006/relationships/theme" Target="theme/theme1.xml"/><Relationship Id="rId43"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www.igac.gov.co" TargetMode="External"/><Relationship Id="rId22" Type="http://schemas.openxmlformats.org/officeDocument/2006/relationships/hyperlink" Target="file:///D:/BK%20Oscar/DECRETO_028/DEPARTAMENTO_CAQUET&#193;/DIAGNOSTICO_2022/Plantilla%20Reconocimiento_VF.docx" TargetMode="External"/><Relationship Id="rId27" Type="http://schemas.openxmlformats.org/officeDocument/2006/relationships/hyperlink" Target="https://community.secop.gov.co/Public/Tendering/OpportunityDetail/Index?noticeUID=CO1.NTC.1574479&amp;isFromPublicArea=True&amp;isModal=False" TargetMode="External"/><Relationship Id="rId30" Type="http://schemas.openxmlformats.org/officeDocument/2006/relationships/hyperlink" Target="https://community.secop.gov.co/Public/Tendering/ContractNoticePhases/View?PPI=CO1.PPI.14946293&amp;isFromPublicArea=True&amp;isModal=False" TargetMode="External"/><Relationship Id="rId35" Type="http://schemas.openxmlformats.org/officeDocument/2006/relationships/hyperlink" Target="file:///D:/BK%20Oscar/DECRETO_028/DEPARTAMENTO_CAQUET&#193;/DIAGNOSTICO_2022/Plantilla%20Reconocimiento_VF.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emf"/><Relationship Id="rId33" Type="http://schemas.openxmlformats.org/officeDocument/2006/relationships/hyperlink" Target="file:///D:/BK%20Oscar/DECRETO_028/DEPARTAMENTO_CAQUET&#193;/DIAGNOSTICO_2022/Plantilla%20Reconocimiento_VF.docx" TargetMode="External"/><Relationship Id="rId38" Type="http://schemas.openxmlformats.org/officeDocument/2006/relationships/hyperlink" Target="https://www.chip.gov.co/schip_rt/index.js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sme-pdsp.minsalud.gov.co/Home/Tabl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K%20Oscar\DECRETO_028\DEPARTAMENTO_CAQUET&#193;\PREDIAGN&#211;STICO_2021\INFOGRAFIA_CAQU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CO" sz="1100"/>
              <a:t>ESE CATEGORIZADAS EN RIESGO MEDIO - ALTO</a:t>
            </a:r>
          </a:p>
          <a:p>
            <a:pPr>
              <a:defRPr/>
            </a:pPr>
            <a:r>
              <a:rPr lang="es-CO" sz="800"/>
              <a:t>NÚMERO DE ESE</a:t>
            </a:r>
          </a:p>
        </c:rich>
      </c:tx>
      <c:layout>
        <c:manualLayout>
          <c:xMode val="edge"/>
          <c:yMode val="edge"/>
          <c:x val="0.25813008530183729"/>
          <c:y val="7.315045719035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barChart>
        <c:barDir val="col"/>
        <c:grouping val="clustered"/>
        <c:varyColors val="0"/>
        <c:ser>
          <c:idx val="0"/>
          <c:order val="0"/>
          <c:tx>
            <c:strRef>
              <c:f>Datos!$Q$61</c:f>
              <c:strCache>
                <c:ptCount val="1"/>
                <c:pt idx="0">
                  <c:v>RIESGO 
ALTO</c:v>
                </c:pt>
              </c:strCache>
            </c:strRef>
          </c:tx>
          <c:spPr>
            <a:solidFill>
              <a:schemeClr val="accent1"/>
            </a:solidFill>
            <a:ln>
              <a:noFill/>
            </a:ln>
            <a:effectLst/>
          </c:spPr>
          <c:invertIfNegative val="0"/>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Datos!$Q$62:$Q$69</c:f>
              <c:numCache>
                <c:formatCode>_(* #,##0_);_(* \(#,##0\);_(* "-"_);_(@_)</c:formatCode>
                <c:ptCount val="8"/>
                <c:pt idx="0">
                  <c:v>1</c:v>
                </c:pt>
                <c:pt idx="1">
                  <c:v>1</c:v>
                </c:pt>
                <c:pt idx="2">
                  <c:v>1</c:v>
                </c:pt>
                <c:pt idx="3">
                  <c:v>1</c:v>
                </c:pt>
                <c:pt idx="4">
                  <c:v>1</c:v>
                </c:pt>
                <c:pt idx="5">
                  <c:v>1</c:v>
                </c:pt>
                <c:pt idx="6">
                  <c:v>1</c:v>
                </c:pt>
                <c:pt idx="7">
                  <c:v>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8D9A-4B8B-B1C1-4262E96ED9A3}"/>
            </c:ext>
          </c:extLst>
        </c:ser>
        <c:ser>
          <c:idx val="1"/>
          <c:order val="1"/>
          <c:tx>
            <c:strRef>
              <c:f>Datos!$R$61</c:f>
              <c:strCache>
                <c:ptCount val="1"/>
                <c:pt idx="0">
                  <c:v>RIESGO 
MEDIO</c:v>
                </c:pt>
              </c:strCache>
            </c:strRef>
          </c:tx>
          <c:spPr>
            <a:solidFill>
              <a:schemeClr val="accent2"/>
            </a:solidFill>
            <a:ln>
              <a:noFill/>
            </a:ln>
            <a:effectLst/>
          </c:spPr>
          <c:invertIfNegative val="0"/>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Datos!$R$62:$R$69</c:f>
              <c:numCache>
                <c:formatCode>_(* #,##0_);_(* \(#,##0\);_(* "-"_);_(@_)</c:formatCode>
                <c:ptCount val="8"/>
                <c:pt idx="0">
                  <c:v>0</c:v>
                </c:pt>
                <c:pt idx="1">
                  <c:v>0</c:v>
                </c:pt>
                <c:pt idx="2">
                  <c:v>0</c:v>
                </c:pt>
                <c:pt idx="3">
                  <c:v>0</c:v>
                </c:pt>
                <c:pt idx="4">
                  <c:v>0</c:v>
                </c:pt>
                <c:pt idx="5">
                  <c:v>1</c:v>
                </c:pt>
                <c:pt idx="6">
                  <c:v>1</c:v>
                </c:pt>
                <c:pt idx="7">
                  <c:v>1</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8D9A-4B8B-B1C1-4262E96ED9A3}"/>
            </c:ext>
          </c:extLst>
        </c:ser>
        <c:dLbls>
          <c:showLegendKey val="0"/>
          <c:showVal val="0"/>
          <c:showCatName val="0"/>
          <c:showSerName val="0"/>
          <c:showPercent val="0"/>
          <c:showBubbleSize val="0"/>
        </c:dLbls>
        <c:gapWidth val="219"/>
        <c:overlap val="-27"/>
        <c:axId val="1762039087"/>
        <c:axId val="1762042415"/>
      </c:barChart>
      <c:lineChart>
        <c:grouping val="standard"/>
        <c:varyColors val="0"/>
        <c:ser>
          <c:idx val="2"/>
          <c:order val="2"/>
          <c:tx>
            <c:strRef>
              <c:f>Datos!$S$61</c:f>
              <c:strCache>
                <c:ptCount val="1"/>
                <c:pt idx="0">
                  <c:v>TOTAL ESE EN RIESGO</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Datos!$S$62:$S$69</c:f>
              <c:numCache>
                <c:formatCode>_(* #,##0_);_(* \(#,##0\);_(* "-"_);_(@_)</c:formatCode>
                <c:ptCount val="8"/>
                <c:pt idx="0">
                  <c:v>1</c:v>
                </c:pt>
                <c:pt idx="1">
                  <c:v>1</c:v>
                </c:pt>
                <c:pt idx="2">
                  <c:v>1</c:v>
                </c:pt>
                <c:pt idx="3">
                  <c:v>1</c:v>
                </c:pt>
                <c:pt idx="4">
                  <c:v>1</c:v>
                </c:pt>
                <c:pt idx="5">
                  <c:v>2</c:v>
                </c:pt>
                <c:pt idx="6">
                  <c:v>2</c:v>
                </c:pt>
                <c:pt idx="7">
                  <c:v>1</c:v>
                </c:pt>
              </c:numCache>
            </c:numRef>
          </c:val>
          <c:smooth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8D9A-4B8B-B1C1-4262E96ED9A3}"/>
            </c:ext>
          </c:extLst>
        </c:ser>
        <c:ser>
          <c:idx val="3"/>
          <c:order val="3"/>
          <c:tx>
            <c:strRef>
              <c:f>Datos!$T$61</c:f>
              <c:strCache>
                <c:ptCount val="1"/>
                <c:pt idx="0">
                  <c:v>TOTAL ESE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Datos!$P$62:$P$69</c:f>
              <c:strCache>
                <c:ptCount val="8"/>
                <c:pt idx="0">
                  <c:v>Año 2012 
Resol.2509</c:v>
                </c:pt>
                <c:pt idx="1">
                  <c:v>Año 2013
Resol.1877</c:v>
                </c:pt>
                <c:pt idx="2">
                  <c:v>Año 2014
Resol.2090</c:v>
                </c:pt>
                <c:pt idx="3">
                  <c:v>Año 2015
Resol.1893/5597</c:v>
                </c:pt>
                <c:pt idx="4">
                  <c:v>Año 2016
Resol.2184/3916</c:v>
                </c:pt>
                <c:pt idx="5">
                  <c:v>Año 2017
Resol.1755</c:v>
                </c:pt>
                <c:pt idx="6">
                  <c:v>Año 2018
Resol.2249</c:v>
                </c:pt>
                <c:pt idx="7">
                  <c:v>Año 2019
Resol.1342</c:v>
                </c:pt>
              </c:strCache>
            </c:strRef>
          </c:cat>
          <c:val>
            <c:numRef>
              <c:f>Datos!$T$62:$T$69</c:f>
              <c:numCache>
                <c:formatCode>_(* #,##0_);_(* \(#,##0\);_(* "-"_);_(@_)</c:formatCode>
                <c:ptCount val="8"/>
                <c:pt idx="0">
                  <c:v>6</c:v>
                </c:pt>
                <c:pt idx="1">
                  <c:v>6</c:v>
                </c:pt>
                <c:pt idx="2">
                  <c:v>6</c:v>
                </c:pt>
                <c:pt idx="3">
                  <c:v>6</c:v>
                </c:pt>
                <c:pt idx="4">
                  <c:v>6</c:v>
                </c:pt>
                <c:pt idx="5">
                  <c:v>6</c:v>
                </c:pt>
                <c:pt idx="6">
                  <c:v>6</c:v>
                </c:pt>
                <c:pt idx="7">
                  <c:v>6</c:v>
                </c:pt>
              </c:numCache>
            </c:numRef>
          </c:val>
          <c:smooth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8D9A-4B8B-B1C1-4262E96ED9A3}"/>
            </c:ext>
          </c:extLst>
        </c:ser>
        <c:dLbls>
          <c:showLegendKey val="0"/>
          <c:showVal val="0"/>
          <c:showCatName val="0"/>
          <c:showSerName val="0"/>
          <c:showPercent val="0"/>
          <c:showBubbleSize val="0"/>
        </c:dLbls>
        <c:marker val="1"/>
        <c:smooth val="0"/>
        <c:axId val="1762039087"/>
        <c:axId val="1762042415"/>
      </c:lineChart>
      <c:catAx>
        <c:axId val="176203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00" b="0" i="0" u="none" strike="noStrike" kern="1200" baseline="0">
                <a:solidFill>
                  <a:sysClr val="windowText" lastClr="000000"/>
                </a:solidFill>
                <a:latin typeface="+mn-lt"/>
                <a:ea typeface="+mn-ea"/>
                <a:cs typeface="+mn-cs"/>
              </a:defRPr>
            </a:pPr>
            <a:endParaRPr lang="es-CO"/>
          </a:p>
        </c:txPr>
        <c:crossAx val="1762042415"/>
        <c:crosses val="autoZero"/>
        <c:auto val="1"/>
        <c:lblAlgn val="ctr"/>
        <c:lblOffset val="100"/>
        <c:noMultiLvlLbl val="0"/>
      </c:catAx>
      <c:valAx>
        <c:axId val="176204241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762039087"/>
        <c:crosses val="autoZero"/>
        <c:crossBetween val="between"/>
        <c:majorUnit val="1"/>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B7D4CEDF-0CB8-49C2-8312-12D4C1957C0D}"/>
</file>

<file path=customXml/itemProps2.xml><?xml version="1.0" encoding="utf-8"?>
<ds:datastoreItem xmlns:ds="http://schemas.openxmlformats.org/officeDocument/2006/customXml" ds:itemID="{8A47B1A0-86E1-4BA5-927F-6E5DC60F051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5.xml><?xml version="1.0" encoding="utf-8"?>
<ds:datastoreItem xmlns:ds="http://schemas.openxmlformats.org/officeDocument/2006/customXml" ds:itemID="{4C445914-F0F3-4D42-BD85-F6A6C62CA6FC}"/>
</file>

<file path=docProps/app.xml><?xml version="1.0" encoding="utf-8"?>
<Properties xmlns="http://schemas.openxmlformats.org/officeDocument/2006/extended-properties" xmlns:vt="http://schemas.openxmlformats.org/officeDocument/2006/docPropsVTypes">
  <Template>Plantilla_Oficio_Comunicación_Oficial_Enviada</Template>
  <TotalTime>2</TotalTime>
  <Pages>36</Pages>
  <Words>14774</Words>
  <Characters>81257</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95840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2015-12-16T15:04:00Z</cp:lastPrinted>
  <dcterms:created xsi:type="dcterms:W3CDTF">2023-10-14T05:07:00Z</dcterms:created>
  <dcterms:modified xsi:type="dcterms:W3CDTF">2023-10-14T05:07:00Z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