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402" w:rsidRDefault="00484402" w:rsidP="00D75790">
      <w:pPr>
        <w:keepNext/>
        <w:keepLines/>
        <w:spacing w:after="5"/>
        <w:ind w:left="10" w:right="8" w:hanging="10"/>
        <w:contextualSpacing/>
        <w:jc w:val="center"/>
        <w:outlineLvl w:val="0"/>
        <w:rPr>
          <w:rFonts w:ascii="Arial" w:hAnsi="Arial" w:cs="Arial"/>
          <w:b/>
          <w:color w:val="000000"/>
          <w:sz w:val="22"/>
          <w:szCs w:val="22"/>
          <w:lang w:val="es-ES_tradnl" w:eastAsia="es-CO"/>
        </w:rPr>
      </w:pPr>
      <w:bookmarkStart w:id="0" w:name="_GoBack"/>
      <w:bookmarkEnd w:id="0"/>
      <w:r>
        <w:rPr>
          <w:rFonts w:ascii="Arial" w:hAnsi="Arial" w:cs="Arial"/>
          <w:b/>
          <w:color w:val="000000"/>
          <w:sz w:val="22"/>
          <w:szCs w:val="22"/>
          <w:lang w:val="es-ES_tradnl" w:eastAsia="es-CO"/>
        </w:rPr>
        <w:t>INFORME DIAGNÓSTICO</w:t>
      </w:r>
    </w:p>
    <w:p w:rsidR="00484402" w:rsidRDefault="00484402" w:rsidP="00D75790">
      <w:pPr>
        <w:keepNext/>
        <w:keepLines/>
        <w:spacing w:after="5"/>
        <w:ind w:left="10" w:right="8" w:hanging="10"/>
        <w:contextualSpacing/>
        <w:jc w:val="center"/>
        <w:outlineLvl w:val="0"/>
        <w:rPr>
          <w:rFonts w:ascii="Arial" w:hAnsi="Arial" w:cs="Arial"/>
          <w:b/>
          <w:color w:val="000000"/>
          <w:sz w:val="22"/>
          <w:szCs w:val="22"/>
          <w:lang w:val="es-ES_tradnl" w:eastAsia="es-CO"/>
        </w:rPr>
      </w:pPr>
      <w:r>
        <w:rPr>
          <w:rFonts w:ascii="Arial" w:hAnsi="Arial" w:cs="Arial"/>
          <w:b/>
          <w:color w:val="000000"/>
          <w:sz w:val="22"/>
          <w:szCs w:val="22"/>
          <w:lang w:val="es-ES_tradnl" w:eastAsia="es-CO"/>
        </w:rPr>
        <w:t>PARTICIPACIÓN DE AGUA POTABLE Y SANEAMIENTO BÁSICO DEL SISTEMA GENERAL DE PARTICIPACIONES</w:t>
      </w:r>
    </w:p>
    <w:p w:rsidR="00D75790" w:rsidRPr="00DC371E" w:rsidRDefault="00D75790" w:rsidP="00D75790">
      <w:pPr>
        <w:keepNext/>
        <w:keepLines/>
        <w:spacing w:after="5"/>
        <w:ind w:left="10" w:right="8" w:hanging="10"/>
        <w:contextualSpacing/>
        <w:jc w:val="center"/>
        <w:outlineLvl w:val="0"/>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t xml:space="preserve">DEPARTAMENTO ARCHIPIELAGO DE SAN ANDRÉS, PROVIDENCIA Y SANTA CATALINA </w:t>
      </w:r>
    </w:p>
    <w:p w:rsidR="00D75790" w:rsidRDefault="00D75790" w:rsidP="00D75790">
      <w:pPr>
        <w:contextualSpacing/>
        <w:jc w:val="center"/>
        <w:rPr>
          <w:rFonts w:ascii="Arial" w:hAnsi="Arial" w:cs="Arial"/>
          <w:b/>
          <w:bCs/>
          <w:sz w:val="22"/>
          <w:szCs w:val="22"/>
          <w:lang w:val="es-ES_tradnl"/>
        </w:rPr>
      </w:pPr>
    </w:p>
    <w:p w:rsidR="00484402" w:rsidRDefault="00484402" w:rsidP="00D75790">
      <w:pPr>
        <w:contextualSpacing/>
        <w:jc w:val="center"/>
        <w:rPr>
          <w:rFonts w:ascii="Arial" w:hAnsi="Arial" w:cs="Arial"/>
          <w:b/>
          <w:bCs/>
          <w:sz w:val="22"/>
          <w:szCs w:val="22"/>
          <w:lang w:val="es-ES_tradnl"/>
        </w:rPr>
      </w:pPr>
    </w:p>
    <w:p w:rsidR="00484402" w:rsidRPr="00DC371E" w:rsidRDefault="00484402" w:rsidP="00D75790">
      <w:pPr>
        <w:contextualSpacing/>
        <w:jc w:val="center"/>
        <w:rPr>
          <w:rFonts w:ascii="Arial" w:hAnsi="Arial" w:cs="Arial"/>
          <w:b/>
          <w:bCs/>
          <w:sz w:val="22"/>
          <w:szCs w:val="22"/>
          <w:lang w:val="es-ES_tradnl"/>
        </w:rPr>
      </w:pPr>
    </w:p>
    <w:p w:rsidR="00D75790" w:rsidRPr="00DC371E" w:rsidRDefault="00D75790" w:rsidP="00D75790">
      <w:pPr>
        <w:contextualSpacing/>
        <w:jc w:val="center"/>
        <w:rPr>
          <w:rFonts w:ascii="Arial" w:hAnsi="Arial" w:cs="Arial"/>
          <w:b/>
          <w:bCs/>
          <w:sz w:val="22"/>
          <w:szCs w:val="22"/>
          <w:lang w:val="es-ES_tradnl"/>
        </w:rPr>
      </w:pPr>
      <w:r w:rsidRPr="00DC371E">
        <w:rPr>
          <w:rFonts w:ascii="Arial" w:hAnsi="Arial" w:cs="Arial"/>
          <w:b/>
          <w:bCs/>
          <w:sz w:val="22"/>
          <w:szCs w:val="22"/>
          <w:lang w:val="es-ES_tradnl"/>
        </w:rPr>
        <w:t>TABLA 1. ID EXPEDIENTE SIED</w:t>
      </w:r>
    </w:p>
    <w:tbl>
      <w:tblPr>
        <w:tblStyle w:val="Tablaconcuadrcula"/>
        <w:tblW w:w="6091" w:type="dxa"/>
        <w:jc w:val="center"/>
        <w:tblBorders>
          <w:insideH w:val="single" w:sz="6" w:space="0" w:color="auto"/>
          <w:insideV w:val="single" w:sz="6" w:space="0" w:color="auto"/>
        </w:tblBorders>
        <w:tblLook w:val="04A0" w:firstRow="1" w:lastRow="0" w:firstColumn="1" w:lastColumn="0" w:noHBand="0" w:noVBand="1"/>
      </w:tblPr>
      <w:tblGrid>
        <w:gridCol w:w="2335"/>
        <w:gridCol w:w="3756"/>
      </w:tblGrid>
      <w:tr w:rsidR="00D75790" w:rsidRPr="00DC371E" w:rsidTr="00695E54">
        <w:trPr>
          <w:trHeight w:val="276"/>
          <w:jc w:val="center"/>
        </w:trPr>
        <w:tc>
          <w:tcPr>
            <w:tcW w:w="2335" w:type="dxa"/>
            <w:tcBorders>
              <w:top w:val="single" w:sz="4" w:space="0" w:color="auto"/>
            </w:tcBorders>
            <w:shd w:val="clear" w:color="auto" w:fill="DBE5F1" w:themeFill="accent1" w:themeFillTint="33"/>
            <w:hideMark/>
          </w:tcPr>
          <w:p w:rsidR="00D75790" w:rsidRPr="00DC371E" w:rsidRDefault="00D75790" w:rsidP="00695E54">
            <w:pPr>
              <w:contextualSpacing/>
              <w:rPr>
                <w:rFonts w:ascii="Arial" w:hAnsi="Arial" w:cs="Arial"/>
                <w:i/>
                <w:sz w:val="20"/>
                <w:szCs w:val="20"/>
                <w:lang w:val="es-ES_tradnl"/>
              </w:rPr>
            </w:pPr>
            <w:r w:rsidRPr="00DC371E">
              <w:rPr>
                <w:rFonts w:ascii="Arial" w:hAnsi="Arial" w:cs="Arial"/>
                <w:bCs/>
                <w:i/>
                <w:sz w:val="20"/>
                <w:szCs w:val="20"/>
                <w:lang w:val="es-ES_tradnl"/>
              </w:rPr>
              <w:t>Número de Expediente</w:t>
            </w:r>
          </w:p>
        </w:tc>
        <w:tc>
          <w:tcPr>
            <w:tcW w:w="3756" w:type="dxa"/>
            <w:tcBorders>
              <w:top w:val="single" w:sz="4" w:space="0" w:color="auto"/>
            </w:tcBorders>
            <w:shd w:val="clear" w:color="auto" w:fill="DBE5F1" w:themeFill="accent1" w:themeFillTint="33"/>
            <w:hideMark/>
          </w:tcPr>
          <w:p w:rsidR="00D75790" w:rsidRPr="00DC371E" w:rsidRDefault="00D75790" w:rsidP="00695E54">
            <w:pPr>
              <w:contextualSpacing/>
              <w:rPr>
                <w:rFonts w:ascii="Arial" w:hAnsi="Arial" w:cs="Arial"/>
                <w:b/>
                <w:bCs/>
                <w:sz w:val="20"/>
                <w:szCs w:val="20"/>
                <w:lang w:val="es-ES_tradnl"/>
              </w:rPr>
            </w:pPr>
            <w:r>
              <w:rPr>
                <w:rFonts w:ascii="Arial" w:hAnsi="Arial" w:cs="Arial"/>
                <w:b/>
                <w:bCs/>
                <w:sz w:val="20"/>
                <w:szCs w:val="20"/>
                <w:lang w:val="es-ES_tradnl"/>
              </w:rPr>
              <w:t>20/2021</w:t>
            </w:r>
            <w:r w:rsidRPr="00DC371E">
              <w:rPr>
                <w:rFonts w:ascii="Arial" w:hAnsi="Arial" w:cs="Arial"/>
                <w:b/>
                <w:bCs/>
                <w:sz w:val="20"/>
                <w:szCs w:val="20"/>
                <w:lang w:val="es-ES_tradnl"/>
              </w:rPr>
              <w:t>/D028-PREDI</w:t>
            </w:r>
          </w:p>
        </w:tc>
      </w:tr>
      <w:tr w:rsidR="00D75790" w:rsidRPr="00DC371E" w:rsidTr="00695E54">
        <w:trPr>
          <w:trHeight w:val="276"/>
          <w:jc w:val="center"/>
        </w:trPr>
        <w:tc>
          <w:tcPr>
            <w:tcW w:w="2335" w:type="dxa"/>
            <w:shd w:val="clear" w:color="auto" w:fill="DBE5F1" w:themeFill="accent1" w:themeFillTint="33"/>
            <w:hideMark/>
          </w:tcPr>
          <w:p w:rsidR="00D75790" w:rsidRPr="00DC371E" w:rsidRDefault="00D75790" w:rsidP="00695E54">
            <w:pPr>
              <w:contextualSpacing/>
              <w:rPr>
                <w:rFonts w:ascii="Arial" w:hAnsi="Arial" w:cs="Arial"/>
                <w:bCs/>
                <w:i/>
                <w:sz w:val="20"/>
                <w:szCs w:val="20"/>
                <w:lang w:val="es-ES_tradnl"/>
              </w:rPr>
            </w:pPr>
            <w:r w:rsidRPr="00DC371E">
              <w:rPr>
                <w:rFonts w:ascii="Arial" w:hAnsi="Arial" w:cs="Arial"/>
                <w:bCs/>
                <w:i/>
                <w:sz w:val="20"/>
                <w:szCs w:val="20"/>
                <w:lang w:val="es-ES_tradnl"/>
              </w:rPr>
              <w:t>Sector</w:t>
            </w:r>
          </w:p>
        </w:tc>
        <w:tc>
          <w:tcPr>
            <w:tcW w:w="3756" w:type="dxa"/>
            <w:shd w:val="clear" w:color="auto" w:fill="DBE5F1" w:themeFill="accent1" w:themeFillTint="33"/>
            <w:hideMark/>
          </w:tcPr>
          <w:p w:rsidR="00D75790" w:rsidRPr="00DC371E" w:rsidRDefault="00D75790" w:rsidP="00695E54">
            <w:pPr>
              <w:contextualSpacing/>
              <w:rPr>
                <w:rFonts w:ascii="Arial" w:hAnsi="Arial" w:cs="Arial"/>
                <w:b/>
                <w:bCs/>
                <w:sz w:val="20"/>
                <w:szCs w:val="20"/>
                <w:lang w:val="es-ES_tradnl"/>
              </w:rPr>
            </w:pPr>
            <w:r w:rsidRPr="00DC371E">
              <w:rPr>
                <w:rFonts w:ascii="Arial" w:hAnsi="Arial" w:cs="Arial"/>
                <w:b/>
                <w:bCs/>
                <w:sz w:val="20"/>
                <w:szCs w:val="20"/>
                <w:lang w:val="es-ES_tradnl"/>
              </w:rPr>
              <w:t xml:space="preserve">Agua Potable y Saneamiento Básico </w:t>
            </w:r>
          </w:p>
        </w:tc>
      </w:tr>
      <w:tr w:rsidR="00D75790" w:rsidRPr="00DC371E" w:rsidTr="00695E54">
        <w:trPr>
          <w:trHeight w:val="299"/>
          <w:jc w:val="center"/>
        </w:trPr>
        <w:tc>
          <w:tcPr>
            <w:tcW w:w="2335" w:type="dxa"/>
            <w:shd w:val="clear" w:color="auto" w:fill="DBE5F1" w:themeFill="accent1" w:themeFillTint="33"/>
            <w:hideMark/>
          </w:tcPr>
          <w:p w:rsidR="00D75790" w:rsidRPr="00DC371E" w:rsidRDefault="00D75790" w:rsidP="00695E54">
            <w:pPr>
              <w:contextualSpacing/>
              <w:rPr>
                <w:rFonts w:ascii="Arial" w:hAnsi="Arial" w:cs="Arial"/>
                <w:bCs/>
                <w:i/>
                <w:sz w:val="20"/>
                <w:szCs w:val="20"/>
                <w:lang w:val="es-ES_tradnl"/>
              </w:rPr>
            </w:pPr>
            <w:r w:rsidRPr="00DC371E">
              <w:rPr>
                <w:rFonts w:ascii="Arial" w:hAnsi="Arial" w:cs="Arial"/>
                <w:bCs/>
                <w:i/>
                <w:sz w:val="20"/>
                <w:szCs w:val="20"/>
                <w:lang w:val="es-ES_tradnl"/>
              </w:rPr>
              <w:t>Tipo de Entidad</w:t>
            </w:r>
          </w:p>
        </w:tc>
        <w:tc>
          <w:tcPr>
            <w:tcW w:w="3756" w:type="dxa"/>
            <w:shd w:val="clear" w:color="auto" w:fill="DBE5F1" w:themeFill="accent1" w:themeFillTint="33"/>
            <w:hideMark/>
          </w:tcPr>
          <w:p w:rsidR="00D75790" w:rsidRPr="00DC371E" w:rsidRDefault="00D75790" w:rsidP="00695E54">
            <w:pPr>
              <w:contextualSpacing/>
              <w:jc w:val="both"/>
              <w:rPr>
                <w:rFonts w:ascii="Arial" w:hAnsi="Arial" w:cs="Arial"/>
                <w:sz w:val="20"/>
                <w:szCs w:val="20"/>
                <w:lang w:val="es-ES_tradnl"/>
              </w:rPr>
            </w:pPr>
            <w:r w:rsidRPr="00DC371E">
              <w:rPr>
                <w:rFonts w:ascii="Arial" w:hAnsi="Arial" w:cs="Arial"/>
                <w:sz w:val="20"/>
                <w:szCs w:val="20"/>
                <w:lang w:val="es-ES_tradnl"/>
              </w:rPr>
              <w:t>Departamento</w:t>
            </w:r>
          </w:p>
        </w:tc>
      </w:tr>
      <w:tr w:rsidR="00D75790" w:rsidRPr="00DC371E" w:rsidTr="00695E54">
        <w:trPr>
          <w:trHeight w:val="276"/>
          <w:jc w:val="center"/>
        </w:trPr>
        <w:tc>
          <w:tcPr>
            <w:tcW w:w="2335" w:type="dxa"/>
            <w:tcBorders>
              <w:bottom w:val="single" w:sz="4" w:space="0" w:color="auto"/>
            </w:tcBorders>
            <w:shd w:val="clear" w:color="auto" w:fill="DBE5F1" w:themeFill="accent1" w:themeFillTint="33"/>
            <w:hideMark/>
          </w:tcPr>
          <w:p w:rsidR="00D75790" w:rsidRPr="00DC371E" w:rsidRDefault="00D75790" w:rsidP="00695E54">
            <w:pPr>
              <w:ind w:left="708" w:hanging="708"/>
              <w:contextualSpacing/>
              <w:rPr>
                <w:rFonts w:ascii="Arial" w:hAnsi="Arial" w:cs="Arial"/>
                <w:bCs/>
                <w:i/>
                <w:sz w:val="20"/>
                <w:szCs w:val="20"/>
                <w:lang w:val="es-ES_tradnl"/>
              </w:rPr>
            </w:pPr>
            <w:r w:rsidRPr="00DC371E">
              <w:rPr>
                <w:rFonts w:ascii="Arial" w:hAnsi="Arial" w:cs="Arial"/>
                <w:bCs/>
                <w:i/>
                <w:sz w:val="20"/>
                <w:szCs w:val="20"/>
                <w:lang w:val="es-ES_tradnl"/>
              </w:rPr>
              <w:t>Entidad</w:t>
            </w:r>
          </w:p>
        </w:tc>
        <w:tc>
          <w:tcPr>
            <w:tcW w:w="3756" w:type="dxa"/>
            <w:tcBorders>
              <w:bottom w:val="single" w:sz="4" w:space="0" w:color="auto"/>
            </w:tcBorders>
            <w:shd w:val="clear" w:color="auto" w:fill="DBE5F1" w:themeFill="accent1" w:themeFillTint="33"/>
            <w:hideMark/>
          </w:tcPr>
          <w:p w:rsidR="00D75790" w:rsidRPr="00DC371E" w:rsidRDefault="00D75790" w:rsidP="00695E54">
            <w:pPr>
              <w:contextualSpacing/>
              <w:jc w:val="both"/>
              <w:rPr>
                <w:rFonts w:ascii="Arial" w:hAnsi="Arial" w:cs="Arial"/>
                <w:sz w:val="20"/>
                <w:szCs w:val="20"/>
                <w:lang w:val="es-ES_tradnl"/>
              </w:rPr>
            </w:pPr>
            <w:r w:rsidRPr="00DC371E">
              <w:rPr>
                <w:rFonts w:ascii="Arial" w:hAnsi="Arial" w:cs="Arial"/>
                <w:sz w:val="20"/>
                <w:szCs w:val="20"/>
                <w:lang w:val="es-ES_tradnl"/>
              </w:rPr>
              <w:t>Archipiélago de San Andrés, Providencia y Santa Catalina</w:t>
            </w:r>
          </w:p>
        </w:tc>
      </w:tr>
    </w:tbl>
    <w:p w:rsidR="00D75790" w:rsidRPr="005E553A" w:rsidRDefault="00D75790" w:rsidP="00D75790">
      <w:pPr>
        <w:contextualSpacing/>
        <w:jc w:val="both"/>
        <w:rPr>
          <w:rFonts w:ascii="Arial" w:hAnsi="Arial" w:cs="Arial"/>
          <w:sz w:val="22"/>
          <w:szCs w:val="22"/>
          <w:lang w:val="es-ES_tradnl"/>
        </w:rPr>
      </w:pPr>
    </w:p>
    <w:p w:rsidR="00D75790" w:rsidRPr="00235A45" w:rsidRDefault="00D75790" w:rsidP="00D75790">
      <w:pPr>
        <w:spacing w:after="33"/>
        <w:ind w:left="47"/>
        <w:contextualSpacing/>
        <w:jc w:val="center"/>
        <w:rPr>
          <w:rFonts w:ascii="Arial" w:hAnsi="Arial" w:cs="Arial"/>
          <w:sz w:val="22"/>
          <w:szCs w:val="22"/>
          <w:lang w:val="es-ES_tradnl"/>
        </w:rPr>
      </w:pPr>
    </w:p>
    <w:p w:rsidR="00D75790" w:rsidRPr="00235A45" w:rsidRDefault="00D75790" w:rsidP="00D75790">
      <w:pPr>
        <w:keepNext/>
        <w:keepLines/>
        <w:ind w:left="-5" w:hanging="10"/>
        <w:contextualSpacing/>
        <w:outlineLvl w:val="0"/>
        <w:rPr>
          <w:rFonts w:ascii="Arial" w:hAnsi="Arial" w:cs="Arial"/>
          <w:b/>
          <w:color w:val="000000"/>
          <w:sz w:val="22"/>
          <w:szCs w:val="22"/>
          <w:lang w:val="es-ES_tradnl" w:eastAsia="es-CO"/>
        </w:rPr>
      </w:pPr>
      <w:r w:rsidRPr="00235A45">
        <w:rPr>
          <w:rFonts w:ascii="Arial" w:hAnsi="Arial" w:cs="Arial"/>
          <w:b/>
          <w:color w:val="000000"/>
          <w:sz w:val="22"/>
          <w:szCs w:val="22"/>
          <w:lang w:val="es-ES_tradnl" w:eastAsia="es-CO"/>
        </w:rPr>
        <w:t>1. INTRODUCCIÓN</w:t>
      </w:r>
      <w:r w:rsidR="005E553A" w:rsidRPr="00235A45">
        <w:rPr>
          <w:rFonts w:ascii="Arial" w:hAnsi="Arial" w:cs="Arial"/>
          <w:b/>
          <w:color w:val="000000"/>
          <w:sz w:val="22"/>
          <w:szCs w:val="22"/>
          <w:lang w:val="es-ES_tradnl" w:eastAsia="es-CO"/>
        </w:rPr>
        <w:t>.</w:t>
      </w:r>
    </w:p>
    <w:p w:rsidR="00D75790" w:rsidRPr="00235A45" w:rsidRDefault="00D75790" w:rsidP="00D75790">
      <w:pPr>
        <w:spacing w:after="19"/>
        <w:contextualSpacing/>
        <w:rPr>
          <w:rFonts w:ascii="Arial" w:hAnsi="Arial" w:cs="Arial"/>
          <w:sz w:val="22"/>
          <w:szCs w:val="22"/>
          <w:lang w:val="es-ES_tradnl"/>
        </w:rPr>
      </w:pPr>
    </w:p>
    <w:p w:rsidR="00D75790" w:rsidRPr="00DC371E" w:rsidRDefault="00D75790" w:rsidP="00D75790">
      <w:pPr>
        <w:ind w:left="-5"/>
        <w:contextualSpacing/>
        <w:rPr>
          <w:rFonts w:ascii="Arial" w:hAnsi="Arial" w:cs="Arial"/>
          <w:sz w:val="22"/>
          <w:szCs w:val="22"/>
          <w:lang w:val="es-ES_tradnl"/>
        </w:rPr>
      </w:pPr>
      <w:r w:rsidRPr="00DC371E">
        <w:rPr>
          <w:rFonts w:ascii="Arial" w:hAnsi="Arial" w:cs="Arial"/>
          <w:b/>
          <w:sz w:val="22"/>
          <w:szCs w:val="22"/>
          <w:lang w:val="es-ES_tradnl"/>
        </w:rPr>
        <w:t>1.1. Generalidades.</w:t>
      </w:r>
    </w:p>
    <w:p w:rsidR="00D75790" w:rsidRPr="00DC371E" w:rsidRDefault="00D75790" w:rsidP="00D75790">
      <w:pPr>
        <w:ind w:left="47"/>
        <w:contextualSpacing/>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El archipiélago de San Andrés</w:t>
      </w:r>
      <w:r>
        <w:rPr>
          <w:rFonts w:ascii="Arial" w:hAnsi="Arial" w:cs="Arial"/>
          <w:sz w:val="22"/>
          <w:szCs w:val="22"/>
          <w:lang w:val="es-ES_tradnl"/>
        </w:rPr>
        <w:t>,</w:t>
      </w:r>
      <w:r w:rsidRPr="00DC371E">
        <w:rPr>
          <w:rFonts w:ascii="Arial" w:hAnsi="Arial" w:cs="Arial"/>
          <w:sz w:val="22"/>
          <w:szCs w:val="22"/>
          <w:lang w:val="es-ES_tradnl"/>
        </w:rPr>
        <w:t xml:space="preserve"> Providencia y Santa </w:t>
      </w:r>
      <w:r w:rsidR="00E42746" w:rsidRPr="00DC371E">
        <w:rPr>
          <w:rFonts w:ascii="Arial" w:hAnsi="Arial" w:cs="Arial"/>
          <w:sz w:val="22"/>
          <w:szCs w:val="22"/>
          <w:lang w:val="es-ES_tradnl"/>
        </w:rPr>
        <w:t>Catalina</w:t>
      </w:r>
      <w:r w:rsidRPr="00DC371E">
        <w:rPr>
          <w:rFonts w:ascii="Arial" w:hAnsi="Arial" w:cs="Arial"/>
          <w:sz w:val="22"/>
          <w:szCs w:val="22"/>
          <w:lang w:val="es-ES_tradnl"/>
        </w:rPr>
        <w:t xml:space="preserve"> se encuentra ubicado en el Mar Caribe</w:t>
      </w:r>
      <w:r w:rsidRPr="00E505F1">
        <w:rPr>
          <w:rFonts w:ascii="Arial" w:hAnsi="Arial" w:cs="Arial"/>
          <w:sz w:val="22"/>
          <w:szCs w:val="22"/>
          <w:lang w:val="es-ES_tradnl"/>
        </w:rPr>
        <w:t xml:space="preserve"> </w:t>
      </w:r>
      <w:r w:rsidRPr="00DC371E">
        <w:rPr>
          <w:rFonts w:ascii="Arial" w:hAnsi="Arial" w:cs="Arial"/>
          <w:sz w:val="22"/>
          <w:szCs w:val="22"/>
          <w:lang w:val="es-ES_tradnl"/>
        </w:rPr>
        <w:t>a más de 700 km</w:t>
      </w:r>
      <w:r w:rsidR="009548C0">
        <w:rPr>
          <w:rFonts w:ascii="Arial" w:hAnsi="Arial" w:cs="Arial"/>
          <w:sz w:val="22"/>
          <w:szCs w:val="22"/>
          <w:lang w:val="es-ES_tradnl"/>
        </w:rPr>
        <w:t xml:space="preserve"> aproximadamente</w:t>
      </w:r>
      <w:r w:rsidRPr="00DC371E">
        <w:rPr>
          <w:rFonts w:ascii="Arial" w:hAnsi="Arial" w:cs="Arial"/>
          <w:sz w:val="22"/>
          <w:szCs w:val="22"/>
          <w:lang w:val="es-ES_tradnl"/>
        </w:rPr>
        <w:t xml:space="preserve"> </w:t>
      </w:r>
      <w:r w:rsidR="009548C0">
        <w:rPr>
          <w:rFonts w:ascii="Arial" w:hAnsi="Arial" w:cs="Arial"/>
          <w:sz w:val="22"/>
          <w:szCs w:val="22"/>
          <w:lang w:val="es-ES_tradnl"/>
        </w:rPr>
        <w:t>desde el</w:t>
      </w:r>
      <w:r w:rsidR="009548C0" w:rsidRPr="00DC371E">
        <w:rPr>
          <w:rFonts w:ascii="Arial" w:hAnsi="Arial" w:cs="Arial"/>
          <w:sz w:val="22"/>
          <w:szCs w:val="22"/>
          <w:lang w:val="es-ES_tradnl"/>
        </w:rPr>
        <w:t xml:space="preserve"> </w:t>
      </w:r>
      <w:r w:rsidRPr="00DC371E">
        <w:rPr>
          <w:rFonts w:ascii="Arial" w:hAnsi="Arial" w:cs="Arial"/>
          <w:sz w:val="22"/>
          <w:szCs w:val="22"/>
          <w:lang w:val="es-ES_tradnl"/>
        </w:rPr>
        <w:t>noroeste de la costa</w:t>
      </w:r>
      <w:r w:rsidR="00E42746">
        <w:rPr>
          <w:rFonts w:ascii="Arial" w:hAnsi="Arial" w:cs="Arial"/>
          <w:sz w:val="22"/>
          <w:szCs w:val="22"/>
          <w:lang w:val="es-ES_tradnl"/>
        </w:rPr>
        <w:t xml:space="preserve"> caribe</w:t>
      </w:r>
      <w:r w:rsidRPr="00DC371E">
        <w:rPr>
          <w:rFonts w:ascii="Arial" w:hAnsi="Arial" w:cs="Arial"/>
          <w:sz w:val="22"/>
          <w:szCs w:val="22"/>
          <w:lang w:val="es-ES_tradnl"/>
        </w:rPr>
        <w:t xml:space="preserve"> colombiana.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El Departamento está conformado por las Islas de San Andrés, Providencia y Santa Catalina, por los Islotes o Bancos de Alicia, Serrana, Serranilla y Quitasueño, Bajo Nuevo y por los Cayos principales denominados Alburquerque, Roncador, East South East, Blowing Rocks, Cangrejo, Casabaja, Córdoba, Valle, Hermanos, Rocoso, Rosa (Rose Cay), Santander y Sucre (Johnny Cay).</w:t>
      </w:r>
    </w:p>
    <w:p w:rsidR="00D75790" w:rsidRPr="00235A45" w:rsidRDefault="00D75790" w:rsidP="00D75790">
      <w:pPr>
        <w:ind w:left="-5"/>
        <w:contextualSpacing/>
        <w:rPr>
          <w:rFonts w:ascii="Arial" w:hAnsi="Arial" w:cs="Arial"/>
          <w:sz w:val="22"/>
          <w:szCs w:val="22"/>
          <w:lang w:val="es-ES_tradnl"/>
        </w:rPr>
      </w:pPr>
    </w:p>
    <w:p w:rsidR="00D75790" w:rsidRPr="00DC371E" w:rsidRDefault="006E598A" w:rsidP="00D75790">
      <w:pPr>
        <w:ind w:right="629"/>
        <w:contextualSpacing/>
        <w:jc w:val="right"/>
        <w:rPr>
          <w:rFonts w:ascii="Arial" w:hAnsi="Arial" w:cs="Arial"/>
          <w:lang w:val="es-ES_tradnl"/>
        </w:rPr>
      </w:pPr>
      <w:r>
        <w:rPr>
          <w:noProof/>
          <w:lang w:val="es-CO" w:eastAsia="es-CO"/>
        </w:rPr>
        <w:pict>
          <v:oval id="Elipse 14" o:spid="_x0000_s1026" style="position:absolute;left:0;text-align:left;margin-left:144.4pt;margin-top:65.55pt;width:35.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2f528f" strokeweight="1pt">
            <v:stroke joinstyle="miter"/>
            <v:path arrowok="t"/>
          </v:oval>
        </w:pict>
      </w:r>
      <w:r>
        <w:rPr>
          <w:noProof/>
          <w:lang w:val="es-CO" w:eastAsia="es-CO"/>
        </w:rPr>
        <w:pict>
          <v:shapetype id="_x0000_t202" coordsize="21600,21600" o:spt="202" path="m,l,21600r21600,l21600,xe">
            <v:stroke joinstyle="miter"/>
            <v:path gradientshapeok="t" o:connecttype="rect"/>
          </v:shapetype>
          <v:shape id="Cuadro de texto 13" o:spid="_x0000_s1027" type="#_x0000_t202" style="position:absolute;left:0;text-align:left;margin-left:108.4pt;margin-top:42.3pt;width:139.5pt;height:4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OGuwIAAMI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" filled="f" stroked="f">
            <v:textbox>
              <w:txbxContent>
                <w:p w:rsidR="00695E54" w:rsidRDefault="00695E54" w:rsidP="00D75790">
                  <w:pPr>
                    <w:ind w:right="629"/>
                    <w:jc w:val="center"/>
                    <w:rPr>
                      <w:rFonts w:ascii="Arial Narrow" w:hAnsi="Arial Narrow"/>
                      <w:noProof/>
                      <w:color w:val="000000" w:themeColor="text1"/>
                      <w:sz w:val="16"/>
                      <w:szCs w:val="16"/>
                    </w:rPr>
                  </w:pPr>
                  <w:r>
                    <w:rPr>
                      <w:rFonts w:ascii="Arial Narrow" w:hAnsi="Arial Narrow"/>
                      <w:noProof/>
                      <w:color w:val="000000" w:themeColor="text1"/>
                      <w:sz w:val="16"/>
                      <w:szCs w:val="16"/>
                    </w:rPr>
                    <w:t>San Andrès, Providencia y Santa Catalina</w:t>
                  </w:r>
                </w:p>
              </w:txbxContent>
            </v:textbox>
            <w10:wrap anchorx="margin"/>
          </v:shape>
        </w:pict>
      </w:r>
      <w:r w:rsidR="00D75790" w:rsidRPr="00A97C89">
        <w:rPr>
          <w:rFonts w:ascii="Arial" w:hAnsi="Arial" w:cs="Arial"/>
          <w:noProof/>
          <w:lang w:val="es-CO" w:eastAsia="es-CO"/>
        </w:rPr>
        <w:drawing>
          <wp:inline distT="0" distB="0" distL="0" distR="0">
            <wp:extent cx="4800600" cy="2400300"/>
            <wp:effectExtent l="0" t="0" r="0" b="0"/>
            <wp:docPr id="12" name="Imagen 12" descr="http://poblacion.population.city/images/mapcity/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poblacion.population.city/images/mapcity/8-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r w:rsidR="00D75790" w:rsidRPr="00DC371E">
        <w:rPr>
          <w:rFonts w:ascii="Arial" w:hAnsi="Arial" w:cs="Arial"/>
        </w:rPr>
        <w:t xml:space="preserve"> </w:t>
      </w:r>
    </w:p>
    <w:p w:rsidR="00D75790" w:rsidRPr="00DC371E" w:rsidRDefault="00D75790" w:rsidP="00D75790">
      <w:pPr>
        <w:spacing w:after="40"/>
        <w:ind w:left="363" w:right="355"/>
        <w:contextualSpacing/>
        <w:jc w:val="center"/>
        <w:rPr>
          <w:rFonts w:ascii="Arial" w:hAnsi="Arial" w:cs="Arial"/>
          <w:lang w:val="es-ES_tradnl"/>
        </w:rPr>
      </w:pPr>
      <w:r w:rsidRPr="00DC371E">
        <w:rPr>
          <w:rFonts w:ascii="Arial" w:hAnsi="Arial" w:cs="Arial"/>
          <w:sz w:val="16"/>
          <w:lang w:val="es-ES_tradnl"/>
        </w:rPr>
        <w:t xml:space="preserve">Fuente: </w:t>
      </w:r>
      <w:hyperlink r:id="rId12" w:history="1">
        <w:r w:rsidRPr="00DC371E">
          <w:rPr>
            <w:rStyle w:val="Hipervnculo"/>
            <w:rFonts w:ascii="Arial" w:hAnsi="Arial" w:cs="Arial"/>
            <w:sz w:val="16"/>
            <w:lang w:val="es-ES_tradnl"/>
          </w:rPr>
          <w:t>http://poblacion.population.city/colombia/san-andres/</w:t>
        </w:r>
      </w:hyperlink>
    </w:p>
    <w:p w:rsidR="00D75790" w:rsidRPr="00DC371E" w:rsidRDefault="00D75790" w:rsidP="00D75790">
      <w:pPr>
        <w:contextualSpacing/>
        <w:rPr>
          <w:rFonts w:ascii="Arial" w:hAnsi="Arial" w:cs="Arial"/>
          <w:lang w:val="es-ES_tradnl"/>
        </w:rPr>
      </w:pPr>
    </w:p>
    <w:p w:rsidR="00D75790" w:rsidRPr="00DC371E" w:rsidRDefault="00D75790" w:rsidP="00D75790">
      <w:pPr>
        <w:contextualSpacing/>
        <w:rPr>
          <w:rFonts w:ascii="Arial" w:hAnsi="Arial" w:cs="Arial"/>
          <w:lang w:val="es-ES_tradnl"/>
        </w:rPr>
      </w:pPr>
      <w:r w:rsidRPr="00DC371E">
        <w:rPr>
          <w:rFonts w:ascii="Arial" w:hAnsi="Arial" w:cs="Arial"/>
          <w:lang w:val="es-ES_tradnl"/>
        </w:rPr>
        <w:lastRenderedPageBreak/>
        <w:br w:type="page"/>
      </w:r>
    </w:p>
    <w:p w:rsidR="00D75790" w:rsidRPr="00235A45" w:rsidRDefault="00D75790" w:rsidP="00D75790">
      <w:pPr>
        <w:contextualSpacing/>
        <w:jc w:val="center"/>
        <w:rPr>
          <w:rFonts w:ascii="Arial" w:hAnsi="Arial" w:cs="Arial"/>
          <w:b/>
          <w:bCs/>
          <w:sz w:val="20"/>
          <w:szCs w:val="20"/>
          <w:lang w:val="es-ES_tradnl"/>
        </w:rPr>
      </w:pPr>
      <w:r w:rsidRPr="00235A45">
        <w:rPr>
          <w:rFonts w:ascii="Arial" w:hAnsi="Arial" w:cs="Arial"/>
          <w:b/>
          <w:bCs/>
          <w:sz w:val="20"/>
          <w:szCs w:val="20"/>
          <w:lang w:val="es-ES_tradnl"/>
        </w:rPr>
        <w:lastRenderedPageBreak/>
        <w:t>TABLA 2. GENERALIDADES</w:t>
      </w:r>
    </w:p>
    <w:tbl>
      <w:tblPr>
        <w:tblStyle w:val="Tablaconcuadrcula1"/>
        <w:tblW w:w="60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9" w:type="dxa"/>
          <w:left w:w="107" w:type="dxa"/>
          <w:right w:w="65" w:type="dxa"/>
        </w:tblCellMar>
        <w:tblLook w:val="04A0" w:firstRow="1" w:lastRow="0" w:firstColumn="1" w:lastColumn="0" w:noHBand="0" w:noVBand="1"/>
      </w:tblPr>
      <w:tblGrid>
        <w:gridCol w:w="2070"/>
        <w:gridCol w:w="4021"/>
      </w:tblGrid>
      <w:tr w:rsidR="00D75790" w:rsidRPr="00DC371E" w:rsidTr="00695E54">
        <w:trPr>
          <w:trHeight w:val="315"/>
          <w:jc w:val="center"/>
        </w:trPr>
        <w:tc>
          <w:tcPr>
            <w:tcW w:w="2070" w:type="dxa"/>
            <w:shd w:val="clear" w:color="auto" w:fill="DBE5F1"/>
            <w:hideMark/>
          </w:tcPr>
          <w:p w:rsidR="00D75790" w:rsidRPr="00DC371E" w:rsidRDefault="00D75790" w:rsidP="00695E54">
            <w:pPr>
              <w:contextualSpacing/>
              <w:rPr>
                <w:rFonts w:ascii="Arial" w:hAnsi="Arial" w:cs="Arial"/>
                <w:lang w:val="es-ES_tradnl"/>
              </w:rPr>
            </w:pPr>
            <w:r w:rsidRPr="00DC371E">
              <w:rPr>
                <w:rFonts w:ascii="Arial" w:hAnsi="Arial" w:cs="Arial"/>
                <w:sz w:val="20"/>
                <w:lang w:val="es-ES_tradnl"/>
              </w:rPr>
              <w:t>Gobernador</w:t>
            </w:r>
          </w:p>
        </w:tc>
        <w:tc>
          <w:tcPr>
            <w:tcW w:w="4021" w:type="dxa"/>
            <w:shd w:val="clear" w:color="auto" w:fill="DBE5F1"/>
            <w:hideMark/>
          </w:tcPr>
          <w:p w:rsidR="00D75790" w:rsidRPr="00DC371E" w:rsidRDefault="00D75790" w:rsidP="00695E54">
            <w:pPr>
              <w:contextualSpacing/>
              <w:rPr>
                <w:rFonts w:ascii="Arial" w:hAnsi="Arial" w:cs="Arial"/>
                <w:lang w:val="en-US"/>
              </w:rPr>
            </w:pPr>
            <w:r w:rsidRPr="00DC371E">
              <w:rPr>
                <w:rFonts w:ascii="Arial" w:hAnsi="Arial" w:cs="Arial"/>
                <w:sz w:val="20"/>
                <w:lang w:val="en-US"/>
              </w:rPr>
              <w:t xml:space="preserve">Doctor </w:t>
            </w:r>
            <w:r w:rsidRPr="00DC371E">
              <w:rPr>
                <w:rFonts w:ascii="Arial" w:hAnsi="Arial" w:cs="Arial"/>
                <w:b/>
                <w:sz w:val="20"/>
                <w:lang w:val="en-US"/>
              </w:rPr>
              <w:t>Everth Julio Hawkins Sjogreen</w:t>
            </w:r>
          </w:p>
        </w:tc>
      </w:tr>
      <w:tr w:rsidR="00D75790" w:rsidRPr="00DC371E" w:rsidTr="00695E54">
        <w:trPr>
          <w:trHeight w:val="307"/>
          <w:jc w:val="center"/>
        </w:trPr>
        <w:tc>
          <w:tcPr>
            <w:tcW w:w="2070" w:type="dxa"/>
            <w:shd w:val="clear" w:color="auto" w:fill="DBE5F1"/>
          </w:tcPr>
          <w:p w:rsidR="00D75790" w:rsidRPr="00DC371E" w:rsidRDefault="00D75790" w:rsidP="00695E54">
            <w:pPr>
              <w:contextualSpacing/>
              <w:rPr>
                <w:rFonts w:ascii="Arial" w:hAnsi="Arial" w:cs="Arial"/>
                <w:sz w:val="20"/>
                <w:lang w:val="es-ES_tradnl"/>
              </w:rPr>
            </w:pPr>
            <w:r w:rsidRPr="00DC371E">
              <w:rPr>
                <w:rFonts w:ascii="Arial" w:hAnsi="Arial" w:cs="Arial"/>
                <w:sz w:val="20"/>
                <w:lang w:val="es-ES_tradnl"/>
              </w:rPr>
              <w:t>Categoría Ley 617</w:t>
            </w:r>
          </w:p>
        </w:tc>
        <w:tc>
          <w:tcPr>
            <w:tcW w:w="4021" w:type="dxa"/>
            <w:shd w:val="clear" w:color="auto" w:fill="DBE5F1"/>
            <w:vAlign w:val="center"/>
          </w:tcPr>
          <w:p w:rsidR="00D75790" w:rsidRPr="00DC371E" w:rsidRDefault="00D75790" w:rsidP="00695E54">
            <w:pPr>
              <w:contextualSpacing/>
              <w:jc w:val="center"/>
              <w:rPr>
                <w:rFonts w:ascii="Arial" w:hAnsi="Arial" w:cs="Arial"/>
                <w:sz w:val="20"/>
                <w:lang w:val="es-ES_tradnl"/>
              </w:rPr>
            </w:pPr>
            <w:r w:rsidRPr="00DC371E">
              <w:rPr>
                <w:rFonts w:ascii="Arial" w:hAnsi="Arial" w:cs="Arial"/>
                <w:sz w:val="20"/>
                <w:lang w:val="es-ES_tradnl"/>
              </w:rPr>
              <w:t>Tercera</w:t>
            </w:r>
          </w:p>
        </w:tc>
      </w:tr>
      <w:tr w:rsidR="00D75790" w:rsidRPr="00DC371E" w:rsidTr="00695E54">
        <w:trPr>
          <w:trHeight w:val="307"/>
          <w:jc w:val="center"/>
        </w:trPr>
        <w:tc>
          <w:tcPr>
            <w:tcW w:w="2070" w:type="dxa"/>
            <w:shd w:val="clear" w:color="auto" w:fill="DBE5F1"/>
          </w:tcPr>
          <w:p w:rsidR="00D75790" w:rsidRPr="00DC371E" w:rsidRDefault="00D75790" w:rsidP="00695E54">
            <w:pPr>
              <w:contextualSpacing/>
              <w:rPr>
                <w:rFonts w:ascii="Arial" w:hAnsi="Arial" w:cs="Arial"/>
                <w:sz w:val="20"/>
                <w:lang w:val="es-ES_tradnl"/>
              </w:rPr>
            </w:pPr>
            <w:r w:rsidRPr="00DC371E">
              <w:rPr>
                <w:rFonts w:ascii="Arial" w:hAnsi="Arial" w:cs="Arial"/>
                <w:sz w:val="20"/>
                <w:lang w:val="es-ES_tradnl"/>
              </w:rPr>
              <w:t>Región</w:t>
            </w:r>
          </w:p>
        </w:tc>
        <w:tc>
          <w:tcPr>
            <w:tcW w:w="4021" w:type="dxa"/>
            <w:shd w:val="clear" w:color="auto" w:fill="DBE5F1"/>
            <w:vAlign w:val="center"/>
          </w:tcPr>
          <w:p w:rsidR="00D75790" w:rsidRPr="00DC371E" w:rsidRDefault="00D75790" w:rsidP="00695E54">
            <w:pPr>
              <w:contextualSpacing/>
              <w:jc w:val="center"/>
              <w:rPr>
                <w:rFonts w:ascii="Arial" w:hAnsi="Arial" w:cs="Arial"/>
                <w:sz w:val="20"/>
                <w:lang w:val="es-ES_tradnl"/>
              </w:rPr>
            </w:pPr>
            <w:r w:rsidRPr="00DC371E">
              <w:rPr>
                <w:rFonts w:ascii="Arial" w:hAnsi="Arial" w:cs="Arial"/>
                <w:sz w:val="20"/>
                <w:lang w:val="es-ES_tradnl"/>
              </w:rPr>
              <w:t>Caribe</w:t>
            </w:r>
          </w:p>
        </w:tc>
      </w:tr>
      <w:tr w:rsidR="00D75790" w:rsidRPr="00DC371E" w:rsidTr="00695E54">
        <w:trPr>
          <w:trHeight w:val="307"/>
          <w:jc w:val="center"/>
        </w:trPr>
        <w:tc>
          <w:tcPr>
            <w:tcW w:w="2070" w:type="dxa"/>
            <w:shd w:val="clear" w:color="auto" w:fill="DBE5F1"/>
            <w:hideMark/>
          </w:tcPr>
          <w:p w:rsidR="00D75790" w:rsidRPr="00DC371E" w:rsidRDefault="00D75790" w:rsidP="00695E54">
            <w:pPr>
              <w:contextualSpacing/>
              <w:rPr>
                <w:rFonts w:ascii="Arial" w:hAnsi="Arial" w:cs="Arial"/>
                <w:lang w:val="es-ES_tradnl"/>
              </w:rPr>
            </w:pPr>
            <w:r w:rsidRPr="00DC371E">
              <w:rPr>
                <w:rFonts w:ascii="Arial" w:hAnsi="Arial" w:cs="Arial"/>
                <w:sz w:val="20"/>
                <w:lang w:val="es-ES_tradnl"/>
              </w:rPr>
              <w:t xml:space="preserve">Población (*) </w:t>
            </w:r>
          </w:p>
        </w:tc>
        <w:tc>
          <w:tcPr>
            <w:tcW w:w="4021" w:type="dxa"/>
            <w:shd w:val="clear" w:color="auto" w:fill="DBE5F1"/>
            <w:vAlign w:val="center"/>
            <w:hideMark/>
          </w:tcPr>
          <w:p w:rsidR="00D75790" w:rsidRPr="00DC371E" w:rsidRDefault="00D75790" w:rsidP="00695E54">
            <w:pPr>
              <w:contextualSpacing/>
              <w:jc w:val="center"/>
              <w:rPr>
                <w:rFonts w:ascii="Arial" w:hAnsi="Arial" w:cs="Arial"/>
                <w:lang w:val="es-ES_tradnl"/>
              </w:rPr>
            </w:pPr>
            <w:r w:rsidRPr="00DC371E">
              <w:rPr>
                <w:rFonts w:ascii="Arial" w:hAnsi="Arial" w:cs="Arial"/>
                <w:sz w:val="20"/>
                <w:lang w:val="es-ES_tradnl"/>
              </w:rPr>
              <w:t>79.060</w:t>
            </w:r>
          </w:p>
        </w:tc>
      </w:tr>
      <w:tr w:rsidR="00D75790" w:rsidRPr="00DC371E" w:rsidTr="00695E54">
        <w:trPr>
          <w:trHeight w:val="306"/>
          <w:jc w:val="center"/>
        </w:trPr>
        <w:tc>
          <w:tcPr>
            <w:tcW w:w="2070" w:type="dxa"/>
            <w:shd w:val="clear" w:color="auto" w:fill="DBE5F1"/>
          </w:tcPr>
          <w:p w:rsidR="00D75790" w:rsidRPr="00DC371E" w:rsidRDefault="00D75790" w:rsidP="00695E54">
            <w:pPr>
              <w:contextualSpacing/>
              <w:rPr>
                <w:rFonts w:ascii="Arial" w:hAnsi="Arial" w:cs="Arial"/>
                <w:sz w:val="20"/>
                <w:lang w:val="es-ES_tradnl"/>
              </w:rPr>
            </w:pPr>
            <w:r w:rsidRPr="00DC371E">
              <w:rPr>
                <w:rFonts w:ascii="Arial" w:hAnsi="Arial" w:cs="Arial"/>
                <w:sz w:val="20"/>
                <w:lang w:val="es-ES_tradnl"/>
              </w:rPr>
              <w:t>Unidades de Vivienda. (DANE 2018)</w:t>
            </w:r>
          </w:p>
        </w:tc>
        <w:tc>
          <w:tcPr>
            <w:tcW w:w="4021" w:type="dxa"/>
            <w:shd w:val="clear" w:color="auto" w:fill="DBE5F1"/>
          </w:tcPr>
          <w:p w:rsidR="00D75790" w:rsidRPr="00DC371E" w:rsidRDefault="00D75790" w:rsidP="00695E54">
            <w:pPr>
              <w:contextualSpacing/>
              <w:jc w:val="center"/>
              <w:rPr>
                <w:rFonts w:ascii="Arial" w:hAnsi="Arial" w:cs="Arial"/>
                <w:sz w:val="20"/>
                <w:lang w:val="es-ES_tradnl"/>
              </w:rPr>
            </w:pPr>
            <w:r w:rsidRPr="00DC371E">
              <w:rPr>
                <w:rFonts w:ascii="Arial" w:hAnsi="Arial" w:cs="Arial"/>
                <w:sz w:val="20"/>
                <w:lang w:val="es-ES_tradnl"/>
              </w:rPr>
              <w:t>16.405</w:t>
            </w:r>
          </w:p>
        </w:tc>
      </w:tr>
      <w:tr w:rsidR="00D75790" w:rsidRPr="00DC371E" w:rsidTr="00695E54">
        <w:trPr>
          <w:trHeight w:val="306"/>
          <w:jc w:val="center"/>
        </w:trPr>
        <w:tc>
          <w:tcPr>
            <w:tcW w:w="2070" w:type="dxa"/>
            <w:shd w:val="clear" w:color="auto" w:fill="DBE5F1"/>
            <w:hideMark/>
          </w:tcPr>
          <w:p w:rsidR="00D75790" w:rsidRPr="00DC371E" w:rsidRDefault="00D75790" w:rsidP="00695E54">
            <w:pPr>
              <w:contextualSpacing/>
              <w:rPr>
                <w:rFonts w:ascii="Arial" w:hAnsi="Arial" w:cs="Arial"/>
                <w:lang w:val="es-ES_tradnl"/>
              </w:rPr>
            </w:pPr>
            <w:r w:rsidRPr="00DC371E">
              <w:rPr>
                <w:rFonts w:ascii="Arial" w:hAnsi="Arial" w:cs="Arial"/>
                <w:sz w:val="20"/>
                <w:lang w:val="es-ES_tradnl"/>
              </w:rPr>
              <w:t xml:space="preserve">Superficie </w:t>
            </w:r>
          </w:p>
        </w:tc>
        <w:tc>
          <w:tcPr>
            <w:tcW w:w="4021" w:type="dxa"/>
            <w:shd w:val="clear" w:color="auto" w:fill="DBE5F1"/>
            <w:hideMark/>
          </w:tcPr>
          <w:p w:rsidR="00D75790" w:rsidRPr="00DC371E" w:rsidRDefault="00D75790" w:rsidP="00695E54">
            <w:pPr>
              <w:contextualSpacing/>
              <w:jc w:val="center"/>
              <w:rPr>
                <w:rFonts w:ascii="Arial" w:hAnsi="Arial" w:cs="Arial"/>
                <w:lang w:val="es-ES_tradnl"/>
              </w:rPr>
            </w:pPr>
            <w:r w:rsidRPr="00DC371E">
              <w:rPr>
                <w:rFonts w:ascii="Arial" w:hAnsi="Arial" w:cs="Arial"/>
                <w:sz w:val="20"/>
                <w:lang w:val="es-ES_tradnl"/>
              </w:rPr>
              <w:t>52.5 Km</w:t>
            </w:r>
            <w:r w:rsidRPr="00DC371E">
              <w:rPr>
                <w:rFonts w:ascii="Arial" w:hAnsi="Arial" w:cs="Arial"/>
                <w:sz w:val="20"/>
                <w:vertAlign w:val="superscript"/>
                <w:lang w:val="es-ES_tradnl"/>
              </w:rPr>
              <w:t>2</w:t>
            </w:r>
          </w:p>
        </w:tc>
      </w:tr>
    </w:tbl>
    <w:p w:rsidR="00D75790" w:rsidRPr="00DC371E" w:rsidRDefault="00D75790" w:rsidP="00D75790">
      <w:pPr>
        <w:keepNext/>
        <w:keepLines/>
        <w:spacing w:after="293"/>
        <w:ind w:left="-5" w:hanging="10"/>
        <w:contextualSpacing/>
        <w:jc w:val="center"/>
        <w:outlineLvl w:val="1"/>
        <w:rPr>
          <w:rFonts w:ascii="Arial" w:hAnsi="Arial" w:cs="Arial"/>
          <w:sz w:val="16"/>
          <w:szCs w:val="16"/>
          <w:lang w:val="es-ES_tradnl"/>
        </w:rPr>
      </w:pPr>
      <w:r w:rsidRPr="00DC371E">
        <w:rPr>
          <w:rFonts w:ascii="Arial" w:hAnsi="Arial" w:cs="Arial"/>
          <w:b/>
          <w:color w:val="000000"/>
          <w:sz w:val="16"/>
          <w:szCs w:val="16"/>
          <w:lang w:val="es-ES_tradnl"/>
        </w:rPr>
        <w:t xml:space="preserve">(*) </w:t>
      </w:r>
      <w:r w:rsidRPr="00DC371E">
        <w:rPr>
          <w:rFonts w:ascii="Arial" w:hAnsi="Arial" w:cs="Arial"/>
          <w:sz w:val="16"/>
          <w:szCs w:val="16"/>
          <w:lang w:val="es-ES_tradnl"/>
        </w:rPr>
        <w:t>Plan de desarrollo 2020-2023 (De este total, 5.210 corresponden a habitantes de Providencia)</w:t>
      </w:r>
    </w:p>
    <w:p w:rsidR="00D75790" w:rsidRPr="00DC371E" w:rsidRDefault="00D75790" w:rsidP="00D75790">
      <w:pPr>
        <w:spacing w:after="242"/>
        <w:ind w:left="-5"/>
        <w:contextualSpacing/>
        <w:jc w:val="both"/>
        <w:rPr>
          <w:rFonts w:ascii="Arial" w:hAnsi="Arial" w:cs="Arial"/>
          <w:sz w:val="22"/>
          <w:szCs w:val="22"/>
          <w:lang w:val="es-ES_tradnl"/>
        </w:rPr>
      </w:pPr>
    </w:p>
    <w:p w:rsidR="00D75790" w:rsidRPr="00DC371E" w:rsidRDefault="00D75790" w:rsidP="00D75790">
      <w:pPr>
        <w:spacing w:after="242"/>
        <w:ind w:left="-5"/>
        <w:contextualSpacing/>
        <w:jc w:val="both"/>
        <w:rPr>
          <w:rFonts w:ascii="Arial" w:hAnsi="Arial" w:cs="Arial"/>
          <w:sz w:val="22"/>
          <w:szCs w:val="22"/>
          <w:lang w:val="es-ES_tradnl"/>
        </w:rPr>
      </w:pPr>
      <w:r w:rsidRPr="00DC371E">
        <w:rPr>
          <w:rFonts w:ascii="Arial" w:hAnsi="Arial" w:cs="Arial"/>
          <w:sz w:val="22"/>
          <w:szCs w:val="22"/>
          <w:lang w:val="es-ES_tradnl"/>
        </w:rPr>
        <w:t xml:space="preserve">El </w:t>
      </w:r>
      <w:r>
        <w:rPr>
          <w:rFonts w:ascii="Arial" w:hAnsi="Arial" w:cs="Arial"/>
          <w:sz w:val="22"/>
          <w:szCs w:val="22"/>
          <w:lang w:val="es-ES_tradnl"/>
        </w:rPr>
        <w:t>P</w:t>
      </w:r>
      <w:r w:rsidRPr="00DC371E">
        <w:rPr>
          <w:rFonts w:ascii="Arial" w:hAnsi="Arial" w:cs="Arial"/>
          <w:sz w:val="22"/>
          <w:szCs w:val="22"/>
          <w:lang w:val="es-ES_tradnl"/>
        </w:rPr>
        <w:t xml:space="preserve">lan de </w:t>
      </w:r>
      <w:r>
        <w:rPr>
          <w:rFonts w:ascii="Arial" w:hAnsi="Arial" w:cs="Arial"/>
          <w:sz w:val="22"/>
          <w:szCs w:val="22"/>
          <w:lang w:val="es-ES_tradnl"/>
        </w:rPr>
        <w:t>D</w:t>
      </w:r>
      <w:r w:rsidRPr="00DC371E">
        <w:rPr>
          <w:rFonts w:ascii="Arial" w:hAnsi="Arial" w:cs="Arial"/>
          <w:sz w:val="22"/>
          <w:szCs w:val="22"/>
          <w:lang w:val="es-ES_tradnl"/>
        </w:rPr>
        <w:t>esarrollo 2020-2023 hace referencia al contexto social, geográfico y económico de la siguiente manera:</w:t>
      </w:r>
    </w:p>
    <w:p w:rsidR="00D75790" w:rsidRPr="00DC371E" w:rsidRDefault="00D75790" w:rsidP="00D75790">
      <w:pPr>
        <w:spacing w:after="242"/>
        <w:ind w:left="-5"/>
        <w:contextualSpacing/>
        <w:jc w:val="both"/>
        <w:rPr>
          <w:rFonts w:ascii="Arial" w:hAnsi="Arial" w:cs="Arial"/>
        </w:rPr>
      </w:pPr>
    </w:p>
    <w:p w:rsidR="00D75790" w:rsidRPr="00E46D41" w:rsidRDefault="00D75790" w:rsidP="00D75790">
      <w:pPr>
        <w:spacing w:after="242"/>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San Andrés está divido administrativamente en dos sectores: North End (3,95 Kilómetros cuadrados) y la Zona Sur (22,86 Kilómetros cuadrados), esta última subdividiéndose en los sectores de la Loma y San Luis, conformando la parte rural de la Isla.</w:t>
      </w:r>
    </w:p>
    <w:p w:rsidR="00D75790" w:rsidRPr="00E46D41" w:rsidRDefault="00D75790" w:rsidP="00D75790">
      <w:pPr>
        <w:spacing w:after="242"/>
        <w:ind w:left="1416"/>
        <w:contextualSpacing/>
        <w:jc w:val="both"/>
        <w:rPr>
          <w:rFonts w:ascii="Arial" w:hAnsi="Arial" w:cs="Arial"/>
          <w:i/>
          <w:iCs/>
          <w:sz w:val="18"/>
          <w:szCs w:val="22"/>
        </w:rPr>
      </w:pPr>
    </w:p>
    <w:p w:rsidR="00D75790" w:rsidRPr="00E46D41" w:rsidRDefault="00D75790" w:rsidP="00D75790">
      <w:pPr>
        <w:spacing w:after="242"/>
        <w:ind w:left="1416"/>
        <w:contextualSpacing/>
        <w:jc w:val="both"/>
        <w:rPr>
          <w:rFonts w:ascii="Arial" w:hAnsi="Arial" w:cs="Arial"/>
          <w:i/>
          <w:iCs/>
          <w:sz w:val="18"/>
          <w:szCs w:val="22"/>
        </w:rPr>
      </w:pPr>
      <w:r w:rsidRPr="00E46D41">
        <w:rPr>
          <w:rFonts w:ascii="Arial" w:hAnsi="Arial" w:cs="Arial"/>
          <w:i/>
          <w:iCs/>
          <w:sz w:val="18"/>
          <w:szCs w:val="22"/>
        </w:rPr>
        <w:t>El departamento tiene una extensa población raizal que asciende a un poco más de 23 mil habitantes y representan el 23% de la población total. Igualmente, un poco más de 10 mil habitantes pertenecientes a las poblaciones afrodescendientes, los cuales representan el 17,5% de la población total.</w:t>
      </w:r>
    </w:p>
    <w:p w:rsidR="00D75790" w:rsidRPr="00E46D41" w:rsidRDefault="00D75790" w:rsidP="00D75790">
      <w:pPr>
        <w:spacing w:after="242"/>
        <w:ind w:left="1416"/>
        <w:contextualSpacing/>
        <w:jc w:val="both"/>
        <w:rPr>
          <w:rFonts w:ascii="Arial" w:hAnsi="Arial" w:cs="Arial"/>
          <w:i/>
          <w:iCs/>
          <w:sz w:val="18"/>
          <w:szCs w:val="22"/>
        </w:rPr>
      </w:pPr>
    </w:p>
    <w:p w:rsidR="00D75790" w:rsidRPr="00E46D41" w:rsidRDefault="00D75790" w:rsidP="00D75790">
      <w:pPr>
        <w:spacing w:after="242"/>
        <w:ind w:left="1416"/>
        <w:contextualSpacing/>
        <w:jc w:val="both"/>
        <w:rPr>
          <w:rFonts w:ascii="Arial" w:hAnsi="Arial" w:cs="Arial"/>
          <w:i/>
          <w:iCs/>
          <w:sz w:val="18"/>
          <w:szCs w:val="22"/>
        </w:rPr>
      </w:pPr>
      <w:r w:rsidRPr="00E46D41">
        <w:rPr>
          <w:rFonts w:ascii="Arial" w:hAnsi="Arial" w:cs="Arial"/>
          <w:i/>
          <w:iCs/>
          <w:sz w:val="18"/>
          <w:szCs w:val="22"/>
        </w:rPr>
        <w:t>Aunque la vocación del departamento es eminentemente turística y comercial, el departamento presenta una extensa área para producción agropecuaria, la cual se encuentra habitada por cerca del 28% de la población lo cual asciende a un poco más de 22 mil habitantes, en la cual se viene desarrollando la actividad de manera artesanal, en su gran mayoría la producción agrícola y pecuaria de la isla se realiza para el autoconsumo, con bajos niveles de tecnificación y sin tendencia al crecimiento, dado el poco interés del comercio local en estos productos. El freno de esta actividad al interior de la isla es básicamente la imposibilidad de sostener volúmenes de producción que permitan abastecer las necesidades de cerca de 80 mil habitantes de la isla y los cerca de un millón doscientos mil turistas que nos visitan al año.</w:t>
      </w:r>
    </w:p>
    <w:p w:rsidR="00D75790" w:rsidRPr="00E46D41" w:rsidRDefault="00D75790" w:rsidP="00D75790">
      <w:pPr>
        <w:spacing w:after="242"/>
        <w:ind w:left="1416"/>
        <w:contextualSpacing/>
        <w:jc w:val="both"/>
        <w:rPr>
          <w:rFonts w:ascii="Arial" w:hAnsi="Arial" w:cs="Arial"/>
          <w:i/>
          <w:iCs/>
          <w:sz w:val="18"/>
          <w:szCs w:val="22"/>
        </w:rPr>
      </w:pPr>
    </w:p>
    <w:p w:rsidR="00D75790" w:rsidRPr="00E46D41" w:rsidRDefault="00D75790" w:rsidP="00D75790">
      <w:pPr>
        <w:spacing w:after="242"/>
        <w:ind w:left="1416"/>
        <w:contextualSpacing/>
        <w:jc w:val="both"/>
        <w:rPr>
          <w:rFonts w:ascii="Arial" w:hAnsi="Arial" w:cs="Arial"/>
          <w:i/>
          <w:iCs/>
          <w:sz w:val="18"/>
          <w:szCs w:val="22"/>
        </w:rPr>
      </w:pPr>
      <w:r w:rsidRPr="00E46D41">
        <w:rPr>
          <w:rFonts w:ascii="Arial" w:hAnsi="Arial" w:cs="Arial"/>
          <w:i/>
          <w:iCs/>
          <w:sz w:val="18"/>
          <w:szCs w:val="22"/>
        </w:rPr>
        <w:t>De las 4.400 hectáreas a las que asciende el territorio habitado de la isla 3.233 están catalogadas como Unidades de Producción Agropecuaria UPA y se encuentran distribuidas de acuerdo a su extensión de la siguiente manera; 2.250 hectáreas perteneciente a pequeños productores cuyas unidades de producción oscila entre una y 20 hectáreas, con un total de 1.068 unidades de producción y 983 hectáreas que constituyen unidades de producción de más de cien hectáreas con un total de 13 unidades de producción que están en manos de ciudadanos que podrían llegar a ser grandes productores dependiendo de la dinámica que se le dé al sector.</w:t>
      </w:r>
    </w:p>
    <w:p w:rsidR="00D75790" w:rsidRPr="00E46D41" w:rsidRDefault="00D75790" w:rsidP="00D75790">
      <w:pPr>
        <w:spacing w:after="242"/>
        <w:ind w:left="1416"/>
        <w:contextualSpacing/>
        <w:jc w:val="both"/>
        <w:rPr>
          <w:rFonts w:ascii="Arial" w:hAnsi="Arial" w:cs="Arial"/>
          <w:i/>
          <w:iCs/>
          <w:sz w:val="18"/>
          <w:szCs w:val="22"/>
        </w:rPr>
      </w:pPr>
    </w:p>
    <w:p w:rsidR="00D75790" w:rsidRPr="00DC371E" w:rsidRDefault="00D75790" w:rsidP="00D75790">
      <w:pPr>
        <w:spacing w:after="242"/>
        <w:ind w:left="1416"/>
        <w:contextualSpacing/>
        <w:jc w:val="both"/>
        <w:rPr>
          <w:rFonts w:ascii="Arial" w:hAnsi="Arial" w:cs="Arial"/>
          <w:i/>
          <w:iCs/>
          <w:sz w:val="22"/>
          <w:szCs w:val="22"/>
        </w:rPr>
      </w:pPr>
      <w:r w:rsidRPr="00E46D41">
        <w:rPr>
          <w:rFonts w:ascii="Arial" w:hAnsi="Arial" w:cs="Arial"/>
          <w:i/>
          <w:iCs/>
          <w:sz w:val="18"/>
          <w:szCs w:val="22"/>
        </w:rPr>
        <w:t xml:space="preserve">De acuerdo con los datos contenidos en el informe ejecutivo de la Cámara de Comercio de San Andrés para la vigencia 2018, el departamento tenía 7.006 establecimientos de comercio registrados de los cuales 6.180 son estabelecimientos antiguos que renovaron su registro mercantil y 826 nuevos establecimientos que abrieron sus puertas en el archipiélago, esto nos demuestra que el comportamiento del sector se mantuvo con respecto al año 2017, con una leve tendencia al alza en el año 2018. Del total de establecimientos comerciales se destaca que el 25%, es decir un poco más de 1.750, se dedican a actividades hoteleras, ya sea de servicios especializados del sector o conexos, como en el caso de las posadas, hospedajes familiares y algunos establecimientos que por la necesidad del servicio que se presenta, han </w:t>
      </w:r>
      <w:r w:rsidRPr="00E46D41">
        <w:rPr>
          <w:rFonts w:ascii="Arial" w:hAnsi="Arial" w:cs="Arial"/>
          <w:i/>
          <w:iCs/>
          <w:sz w:val="18"/>
          <w:szCs w:val="22"/>
        </w:rPr>
        <w:lastRenderedPageBreak/>
        <w:t>adaptado su estructura y ofertan servicios de hospedaje. El restante 75% son establecimientos comerciales que se dedican al comercio de mercancías, algunas producciones de tipo industrial y manufacturera, operadores turísticos, panaderías, restaurantes, agencias de publicidad, transporte y almacenamiento, comunicaciones, entre otras</w:t>
      </w:r>
      <w:r w:rsidRPr="00E46D41">
        <w:rPr>
          <w:rFonts w:ascii="Arial" w:hAnsi="Arial" w:cs="Arial"/>
          <w:iCs/>
          <w:sz w:val="18"/>
          <w:szCs w:val="22"/>
        </w:rPr>
        <w:t>”.</w:t>
      </w: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Los resultados del índice del Producto Interno Bruto</w:t>
      </w:r>
      <w:r w:rsidRPr="00DC371E">
        <w:rPr>
          <w:rStyle w:val="Refdenotaalpie"/>
          <w:rFonts w:ascii="Arial" w:hAnsi="Arial" w:cs="Arial"/>
          <w:sz w:val="22"/>
          <w:szCs w:val="22"/>
          <w:lang w:val="es-ES_tradnl"/>
        </w:rPr>
        <w:footnoteReference w:id="1"/>
      </w:r>
      <w:r w:rsidRPr="00DC371E">
        <w:rPr>
          <w:rFonts w:ascii="Arial" w:hAnsi="Arial" w:cs="Arial"/>
          <w:sz w:val="22"/>
          <w:szCs w:val="22"/>
          <w:lang w:val="es-ES_tradnl"/>
        </w:rPr>
        <w:t xml:space="preserve"> </w:t>
      </w:r>
      <w:r>
        <w:rPr>
          <w:rFonts w:ascii="Arial" w:hAnsi="Arial" w:cs="Arial"/>
          <w:sz w:val="22"/>
          <w:szCs w:val="22"/>
          <w:lang w:val="es-ES_tradnl"/>
        </w:rPr>
        <w:t xml:space="preserve">- </w:t>
      </w:r>
      <w:r w:rsidRPr="00DC371E">
        <w:rPr>
          <w:rFonts w:ascii="Arial" w:hAnsi="Arial" w:cs="Arial"/>
          <w:sz w:val="22"/>
          <w:szCs w:val="22"/>
          <w:lang w:val="es-ES_tradnl"/>
        </w:rPr>
        <w:t>PIB según el Departamento Nacional de Estadística- DANE al cierre de</w:t>
      </w:r>
      <w:r>
        <w:rPr>
          <w:rFonts w:ascii="Arial" w:hAnsi="Arial" w:cs="Arial"/>
          <w:sz w:val="22"/>
          <w:szCs w:val="22"/>
          <w:lang w:val="es-ES_tradnl"/>
        </w:rPr>
        <w:t xml:space="preserve"> </w:t>
      </w:r>
      <w:r w:rsidRPr="00DC371E">
        <w:rPr>
          <w:rFonts w:ascii="Arial" w:hAnsi="Arial" w:cs="Arial"/>
          <w:sz w:val="22"/>
          <w:szCs w:val="22"/>
          <w:lang w:val="es-ES_tradnl"/>
        </w:rPr>
        <w:t xml:space="preserve">2020 a nivel </w:t>
      </w:r>
      <w:r>
        <w:rPr>
          <w:rFonts w:ascii="Arial" w:hAnsi="Arial" w:cs="Arial"/>
          <w:sz w:val="22"/>
          <w:szCs w:val="22"/>
          <w:lang w:val="es-ES_tradnl"/>
        </w:rPr>
        <w:t>P</w:t>
      </w:r>
      <w:r w:rsidRPr="00DC371E">
        <w:rPr>
          <w:rFonts w:ascii="Arial" w:hAnsi="Arial" w:cs="Arial"/>
          <w:sz w:val="22"/>
          <w:szCs w:val="22"/>
          <w:lang w:val="es-ES_tradnl"/>
        </w:rPr>
        <w:t>aís, mostraron cifras que dejan ver la caída de la actividad económica en -6,8</w:t>
      </w:r>
      <w:r>
        <w:rPr>
          <w:rFonts w:ascii="Arial" w:hAnsi="Arial" w:cs="Arial"/>
          <w:sz w:val="22"/>
          <w:szCs w:val="22"/>
          <w:lang w:val="es-ES_tradnl"/>
        </w:rPr>
        <w:t xml:space="preserve"> </w:t>
      </w:r>
      <w:r w:rsidRPr="00DC371E">
        <w:rPr>
          <w:rFonts w:ascii="Arial" w:hAnsi="Arial" w:cs="Arial"/>
          <w:sz w:val="22"/>
          <w:szCs w:val="22"/>
          <w:lang w:val="es-ES_tradnl"/>
        </w:rPr>
        <w:t>%; en este sentido existen factores fundamentales para identificar la situación social, económica, y política de San Andrés durante las vigencias 2020 y 2021, como lo son la pandemia y el paso del Huracán Iota.</w:t>
      </w: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En el desarrollo de la medición del PIB 2020, todos los departamentos registraron una significativa caída, siendo los del Cesar, La Guajira y </w:t>
      </w:r>
      <w:r w:rsidRPr="00DC371E">
        <w:rPr>
          <w:rFonts w:ascii="Arial" w:hAnsi="Arial" w:cs="Arial"/>
          <w:b/>
          <w:bCs/>
          <w:sz w:val="22"/>
          <w:szCs w:val="22"/>
          <w:lang w:val="es-ES_tradnl"/>
        </w:rPr>
        <w:t>San Andrés</w:t>
      </w:r>
      <w:r w:rsidRPr="00DC371E">
        <w:rPr>
          <w:rFonts w:ascii="Arial" w:hAnsi="Arial" w:cs="Arial"/>
          <w:sz w:val="22"/>
          <w:szCs w:val="22"/>
          <w:lang w:val="es-ES_tradnl"/>
        </w:rPr>
        <w:t>, los que registraron las mayores caídas, con -16,9</w:t>
      </w:r>
      <w:r>
        <w:rPr>
          <w:rFonts w:ascii="Arial" w:hAnsi="Arial" w:cs="Arial"/>
          <w:sz w:val="22"/>
          <w:szCs w:val="22"/>
          <w:lang w:val="es-ES_tradnl"/>
        </w:rPr>
        <w:t xml:space="preserve"> </w:t>
      </w:r>
      <w:r w:rsidRPr="00DC371E">
        <w:rPr>
          <w:rFonts w:ascii="Arial" w:hAnsi="Arial" w:cs="Arial"/>
          <w:sz w:val="22"/>
          <w:szCs w:val="22"/>
          <w:lang w:val="es-ES_tradnl"/>
        </w:rPr>
        <w:t>%, -26,9</w:t>
      </w:r>
      <w:r>
        <w:rPr>
          <w:rFonts w:ascii="Arial" w:hAnsi="Arial" w:cs="Arial"/>
          <w:sz w:val="22"/>
          <w:szCs w:val="22"/>
          <w:lang w:val="es-ES_tradnl"/>
        </w:rPr>
        <w:t xml:space="preserve"> </w:t>
      </w:r>
      <w:r w:rsidRPr="00DC371E">
        <w:rPr>
          <w:rFonts w:ascii="Arial" w:hAnsi="Arial" w:cs="Arial"/>
          <w:sz w:val="22"/>
          <w:szCs w:val="22"/>
          <w:lang w:val="es-ES_tradnl"/>
        </w:rPr>
        <w:t xml:space="preserve">% y </w:t>
      </w:r>
      <w:r w:rsidRPr="00DC371E">
        <w:rPr>
          <w:rFonts w:ascii="Arial" w:hAnsi="Arial" w:cs="Arial"/>
          <w:b/>
          <w:bCs/>
          <w:sz w:val="22"/>
          <w:szCs w:val="22"/>
          <w:lang w:val="es-ES_tradnl"/>
        </w:rPr>
        <w:t>-22,3</w:t>
      </w:r>
      <w:r>
        <w:rPr>
          <w:rFonts w:ascii="Arial" w:hAnsi="Arial" w:cs="Arial"/>
          <w:b/>
          <w:bCs/>
          <w:sz w:val="22"/>
          <w:szCs w:val="22"/>
          <w:lang w:val="es-ES_tradnl"/>
        </w:rPr>
        <w:t xml:space="preserve"> </w:t>
      </w:r>
      <w:r w:rsidRPr="00DC371E">
        <w:rPr>
          <w:rFonts w:ascii="Arial" w:hAnsi="Arial" w:cs="Arial"/>
          <w:b/>
          <w:bCs/>
          <w:sz w:val="22"/>
          <w:szCs w:val="22"/>
          <w:lang w:val="es-ES_tradnl"/>
        </w:rPr>
        <w:t>%</w:t>
      </w:r>
      <w:r w:rsidRPr="00DC371E">
        <w:rPr>
          <w:rFonts w:ascii="Arial" w:hAnsi="Arial" w:cs="Arial"/>
          <w:sz w:val="22"/>
          <w:szCs w:val="22"/>
          <w:lang w:val="es-ES_tradnl"/>
        </w:rPr>
        <w:t xml:space="preserve"> respectivamente.</w:t>
      </w: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Esto refleja la dependencia casi absoluta en la actividad económica del turismo en San Andrés, y la urgente necesidad de reactivarla.</w:t>
      </w:r>
    </w:p>
    <w:p w:rsidR="00D75790" w:rsidRPr="00DC371E" w:rsidRDefault="00D75790" w:rsidP="00D75790">
      <w:pPr>
        <w:spacing w:after="242"/>
        <w:ind w:left="-5"/>
        <w:contextualSpacing/>
        <w:jc w:val="both"/>
        <w:rPr>
          <w:rFonts w:ascii="Arial" w:hAnsi="Arial" w:cs="Arial"/>
          <w:sz w:val="22"/>
          <w:szCs w:val="22"/>
          <w:lang w:val="es-ES_tradnl"/>
        </w:rPr>
      </w:pPr>
    </w:p>
    <w:p w:rsidR="00D75790" w:rsidRPr="00DC371E" w:rsidRDefault="00D75790" w:rsidP="00D75790">
      <w:pPr>
        <w:spacing w:after="242"/>
        <w:ind w:left="-5"/>
        <w:contextualSpacing/>
        <w:jc w:val="both"/>
        <w:rPr>
          <w:rFonts w:ascii="Arial" w:hAnsi="Arial" w:cs="Arial"/>
          <w:sz w:val="22"/>
          <w:szCs w:val="22"/>
          <w:lang w:val="es-ES_tradnl"/>
        </w:rPr>
      </w:pPr>
      <w:r w:rsidRPr="00DC371E">
        <w:rPr>
          <w:rFonts w:ascii="Arial" w:hAnsi="Arial" w:cs="Arial"/>
          <w:b/>
          <w:sz w:val="22"/>
          <w:szCs w:val="22"/>
          <w:lang w:val="es-ES_tradnl"/>
        </w:rPr>
        <w:t>1.2. Antecedentes.</w:t>
      </w:r>
    </w:p>
    <w:p w:rsidR="00D75790" w:rsidRPr="00DC371E" w:rsidRDefault="00D75790" w:rsidP="00D75790">
      <w:pPr>
        <w:keepNext/>
        <w:keepLines/>
        <w:spacing w:after="268"/>
        <w:ind w:left="-5" w:hanging="10"/>
        <w:contextualSpacing/>
        <w:jc w:val="both"/>
        <w:outlineLvl w:val="2"/>
        <w:rPr>
          <w:rFonts w:ascii="Arial" w:hAnsi="Arial" w:cs="Arial"/>
          <w:b/>
          <w:color w:val="000000"/>
          <w:sz w:val="22"/>
          <w:szCs w:val="22"/>
          <w:highlight w:val="yellow"/>
          <w:lang w:val="es-ES_tradnl" w:eastAsia="es-CO"/>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El Ministerio de Vivienda, Ciudad y Territorio a través de oficio 1-2020-019965 de fecha 9 de marzo de 2020, remitió a la Dirección General de Apoyo Fiscal, el </w:t>
      </w:r>
      <w:r w:rsidRPr="00DC371E">
        <w:rPr>
          <w:rFonts w:ascii="Arial" w:hAnsi="Arial" w:cs="Arial"/>
          <w:i/>
          <w:iCs/>
          <w:sz w:val="22"/>
          <w:szCs w:val="22"/>
        </w:rPr>
        <w:t xml:space="preserve">“Informe de Diagnóstico de las vigencias 2018 y 2019 sobre el uso y ejecución de los recursos del Sistema General de Participaciones para Agua Potable y Saneamiento Básico (SGP- APSB) en el Archipiélago de San Andrés, Providencia y Santa Catalina, a la administración de dichos recursos en el marco del PDA y el aseguramiento de la prestación de los servicios de acueducto, alcantarillado y aseo”, </w:t>
      </w:r>
      <w:r w:rsidRPr="00DC371E">
        <w:rPr>
          <w:rFonts w:ascii="Arial" w:hAnsi="Arial" w:cs="Arial"/>
          <w:sz w:val="22"/>
          <w:szCs w:val="22"/>
        </w:rPr>
        <w:t>clasificando al Departamento de San Andrés y Providencia, en riesgo alto y lo priorizó para seguimiento por parte del Ministerio de Hacienda y Crédito Público.</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En el informe se desarrollaron los argumentos con los cuales el Ministerio </w:t>
      </w:r>
      <w:r w:rsidRPr="00EE6954">
        <w:rPr>
          <w:rFonts w:ascii="Arial" w:hAnsi="Arial" w:cs="Arial"/>
          <w:sz w:val="22"/>
          <w:szCs w:val="22"/>
        </w:rPr>
        <w:t>de Vivienda, Ciudad y Territorio</w:t>
      </w:r>
      <w:r w:rsidRPr="00EE6954" w:rsidDel="00EE6954">
        <w:rPr>
          <w:rFonts w:ascii="Arial" w:hAnsi="Arial" w:cs="Arial"/>
          <w:sz w:val="22"/>
          <w:szCs w:val="22"/>
        </w:rPr>
        <w:t xml:space="preserve"> </w:t>
      </w:r>
      <w:r>
        <w:rPr>
          <w:rFonts w:ascii="Arial" w:hAnsi="Arial" w:cs="Arial"/>
          <w:sz w:val="22"/>
          <w:szCs w:val="22"/>
        </w:rPr>
        <w:t xml:space="preserve">aportó pruebas de </w:t>
      </w:r>
      <w:r w:rsidRPr="00DC371E">
        <w:rPr>
          <w:rFonts w:ascii="Arial" w:hAnsi="Arial" w:cs="Arial"/>
          <w:sz w:val="22"/>
          <w:szCs w:val="22"/>
        </w:rPr>
        <w:t>riesgos</w:t>
      </w:r>
      <w:r w:rsidRPr="00DC371E">
        <w:rPr>
          <w:rStyle w:val="Refdenotaalpie"/>
          <w:rFonts w:ascii="Arial" w:hAnsi="Arial" w:cs="Arial"/>
          <w:sz w:val="22"/>
          <w:szCs w:val="22"/>
        </w:rPr>
        <w:footnoteReference w:id="2"/>
      </w:r>
      <w:r w:rsidRPr="00DC371E">
        <w:rPr>
          <w:rFonts w:ascii="Arial" w:hAnsi="Arial" w:cs="Arial"/>
          <w:sz w:val="22"/>
          <w:szCs w:val="22"/>
        </w:rPr>
        <w:t xml:space="preserve"> asociados a la planeación y ejecución de los recursos del Sistema General de Participaciones y sugirió la imposición de la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C</w:t>
      </w:r>
      <w:r w:rsidRPr="00DC371E">
        <w:rPr>
          <w:rFonts w:ascii="Arial" w:hAnsi="Arial" w:cs="Arial"/>
          <w:sz w:val="22"/>
          <w:szCs w:val="22"/>
        </w:rPr>
        <w:t xml:space="preserve">orrectiva de Asunción Temporal de la Competencia, en el marco del Decreto 028 de 2008 del </w:t>
      </w:r>
      <w:r>
        <w:rPr>
          <w:rFonts w:ascii="Arial" w:hAnsi="Arial" w:cs="Arial"/>
          <w:sz w:val="22"/>
          <w:szCs w:val="22"/>
        </w:rPr>
        <w:t>S</w:t>
      </w:r>
      <w:r w:rsidRPr="00DC371E">
        <w:rPr>
          <w:rFonts w:ascii="Arial" w:hAnsi="Arial" w:cs="Arial"/>
          <w:sz w:val="22"/>
          <w:szCs w:val="22"/>
        </w:rPr>
        <w:t>ector de Agua Potable y Saneamiento Básico.</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La Dirección General de Apoyo Fiscal en respuesta, a través de</w:t>
      </w:r>
      <w:r>
        <w:rPr>
          <w:rFonts w:ascii="Arial" w:hAnsi="Arial" w:cs="Arial"/>
          <w:sz w:val="22"/>
          <w:szCs w:val="22"/>
        </w:rPr>
        <w:t>l</w:t>
      </w:r>
      <w:r w:rsidRPr="00DC371E">
        <w:rPr>
          <w:rFonts w:ascii="Arial" w:hAnsi="Arial" w:cs="Arial"/>
          <w:sz w:val="22"/>
          <w:szCs w:val="22"/>
        </w:rPr>
        <w:t xml:space="preserve"> oficio</w:t>
      </w:r>
      <w:r>
        <w:rPr>
          <w:rFonts w:ascii="Arial" w:hAnsi="Arial" w:cs="Arial"/>
          <w:sz w:val="22"/>
          <w:szCs w:val="22"/>
        </w:rPr>
        <w:t xml:space="preserve"> con radicado número</w:t>
      </w:r>
      <w:r w:rsidRPr="00DC371E">
        <w:rPr>
          <w:rFonts w:ascii="Arial" w:hAnsi="Arial" w:cs="Arial"/>
          <w:sz w:val="22"/>
          <w:szCs w:val="22"/>
        </w:rPr>
        <w:t xml:space="preserve"> 2-2020-025018 del 11 de junio de 2020, consideró que las acciones necesarias para extinguir los riesgo</w:t>
      </w:r>
      <w:r w:rsidR="00020984">
        <w:rPr>
          <w:rFonts w:ascii="Arial" w:hAnsi="Arial" w:cs="Arial"/>
          <w:sz w:val="22"/>
          <w:szCs w:val="22"/>
        </w:rPr>
        <w:t>s</w:t>
      </w:r>
      <w:r w:rsidRPr="00DC371E">
        <w:rPr>
          <w:rFonts w:ascii="Arial" w:hAnsi="Arial" w:cs="Arial"/>
          <w:sz w:val="22"/>
          <w:szCs w:val="22"/>
        </w:rPr>
        <w:t xml:space="preserve"> </w:t>
      </w:r>
      <w:r>
        <w:rPr>
          <w:rFonts w:ascii="Arial" w:hAnsi="Arial" w:cs="Arial"/>
          <w:sz w:val="22"/>
          <w:szCs w:val="22"/>
        </w:rPr>
        <w:t>identificados y reportados</w:t>
      </w:r>
      <w:r w:rsidRPr="00DC371E">
        <w:rPr>
          <w:rFonts w:ascii="Arial" w:hAnsi="Arial" w:cs="Arial"/>
          <w:sz w:val="22"/>
          <w:szCs w:val="22"/>
        </w:rPr>
        <w:t xml:space="preserve">, no ameritaban la adopción de </w:t>
      </w:r>
      <w:r>
        <w:rPr>
          <w:rFonts w:ascii="Arial" w:hAnsi="Arial" w:cs="Arial"/>
          <w:sz w:val="22"/>
          <w:szCs w:val="22"/>
        </w:rPr>
        <w:t>l</w:t>
      </w:r>
      <w:r w:rsidRPr="00DC371E">
        <w:rPr>
          <w:rFonts w:ascii="Arial" w:hAnsi="Arial" w:cs="Arial"/>
          <w:sz w:val="22"/>
          <w:szCs w:val="22"/>
        </w:rPr>
        <w:t xml:space="preserve">a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C</w:t>
      </w:r>
      <w:r w:rsidRPr="00DC371E">
        <w:rPr>
          <w:rFonts w:ascii="Arial" w:hAnsi="Arial" w:cs="Arial"/>
          <w:sz w:val="22"/>
          <w:szCs w:val="22"/>
        </w:rPr>
        <w:t xml:space="preserve">orrectiva de Administración Temporal de la Competencia, por cuanto no se encontró probada la incapacidad de la </w:t>
      </w:r>
      <w:r>
        <w:rPr>
          <w:rFonts w:ascii="Arial" w:hAnsi="Arial" w:cs="Arial"/>
          <w:sz w:val="22"/>
          <w:szCs w:val="22"/>
        </w:rPr>
        <w:t>E</w:t>
      </w:r>
      <w:r w:rsidRPr="00DC371E">
        <w:rPr>
          <w:rFonts w:ascii="Arial" w:hAnsi="Arial" w:cs="Arial"/>
          <w:sz w:val="22"/>
          <w:szCs w:val="22"/>
        </w:rPr>
        <w:t xml:space="preserve">ntidad </w:t>
      </w:r>
      <w:r>
        <w:rPr>
          <w:rFonts w:ascii="Arial" w:hAnsi="Arial" w:cs="Arial"/>
          <w:sz w:val="22"/>
          <w:szCs w:val="22"/>
        </w:rPr>
        <w:t>T</w:t>
      </w:r>
      <w:r w:rsidRPr="00DC371E">
        <w:rPr>
          <w:rFonts w:ascii="Arial" w:hAnsi="Arial" w:cs="Arial"/>
          <w:sz w:val="22"/>
          <w:szCs w:val="22"/>
        </w:rPr>
        <w:t xml:space="preserve">erritorial en la prestación del </w:t>
      </w:r>
      <w:r>
        <w:rPr>
          <w:rFonts w:ascii="Arial" w:hAnsi="Arial" w:cs="Arial"/>
          <w:sz w:val="22"/>
          <w:szCs w:val="22"/>
        </w:rPr>
        <w:t>S</w:t>
      </w:r>
      <w:r w:rsidRPr="00DC371E">
        <w:rPr>
          <w:rFonts w:ascii="Arial" w:hAnsi="Arial" w:cs="Arial"/>
          <w:sz w:val="22"/>
          <w:szCs w:val="22"/>
        </w:rPr>
        <w:t>ervicio y</w:t>
      </w:r>
      <w:r>
        <w:rPr>
          <w:rFonts w:ascii="Arial" w:hAnsi="Arial" w:cs="Arial"/>
          <w:sz w:val="22"/>
          <w:szCs w:val="22"/>
        </w:rPr>
        <w:t>, como consecuencia de lo anterior,</w:t>
      </w:r>
      <w:r w:rsidRPr="00DC371E">
        <w:rPr>
          <w:rFonts w:ascii="Arial" w:hAnsi="Arial" w:cs="Arial"/>
          <w:sz w:val="22"/>
          <w:szCs w:val="22"/>
        </w:rPr>
        <w:t xml:space="preserve"> envió un detallado informe de reconocimiento, sugiriendo la imposición de </w:t>
      </w:r>
      <w:r>
        <w:rPr>
          <w:rFonts w:ascii="Arial" w:hAnsi="Arial" w:cs="Arial"/>
          <w:sz w:val="22"/>
          <w:szCs w:val="22"/>
        </w:rPr>
        <w:t>la</w:t>
      </w:r>
      <w:r w:rsidRPr="00DC371E">
        <w:rPr>
          <w:rFonts w:ascii="Arial" w:hAnsi="Arial" w:cs="Arial"/>
          <w:sz w:val="22"/>
          <w:szCs w:val="22"/>
        </w:rPr>
        <w:t xml:space="preserve">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P</w:t>
      </w:r>
      <w:r w:rsidRPr="00DC371E">
        <w:rPr>
          <w:rFonts w:ascii="Arial" w:hAnsi="Arial" w:cs="Arial"/>
          <w:sz w:val="22"/>
          <w:szCs w:val="22"/>
        </w:rPr>
        <w:t>reventiva</w:t>
      </w:r>
      <w:r>
        <w:rPr>
          <w:rFonts w:ascii="Arial" w:hAnsi="Arial" w:cs="Arial"/>
          <w:sz w:val="22"/>
          <w:szCs w:val="22"/>
        </w:rPr>
        <w:t xml:space="preserve"> de</w:t>
      </w:r>
      <w:r w:rsidRPr="00DC371E">
        <w:rPr>
          <w:rFonts w:ascii="Arial" w:hAnsi="Arial" w:cs="Arial"/>
          <w:sz w:val="22"/>
          <w:szCs w:val="22"/>
        </w:rPr>
        <w:t xml:space="preserve"> Plan de Desempeño.</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Pr>
          <w:rFonts w:ascii="Arial" w:hAnsi="Arial" w:cs="Arial"/>
          <w:sz w:val="22"/>
          <w:szCs w:val="22"/>
        </w:rPr>
        <w:t xml:space="preserve">Sin embargo, el Ministerio de Vivienda, Ciudad y Territorio, instó en la necesidad de </w:t>
      </w:r>
      <w:r w:rsidRPr="00DC371E">
        <w:rPr>
          <w:rFonts w:ascii="Arial" w:hAnsi="Arial" w:cs="Arial"/>
          <w:sz w:val="22"/>
          <w:szCs w:val="22"/>
        </w:rPr>
        <w:t xml:space="preserve">la imposición de la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C</w:t>
      </w:r>
      <w:r w:rsidRPr="00DC371E">
        <w:rPr>
          <w:rFonts w:ascii="Arial" w:hAnsi="Arial" w:cs="Arial"/>
          <w:sz w:val="22"/>
          <w:szCs w:val="22"/>
        </w:rPr>
        <w:t>orrectiva de la Asunción Temporal de la Competencia en las reuniones técnicas sectoriales sostenidas entre los ministerios,</w:t>
      </w:r>
      <w:r>
        <w:rPr>
          <w:rFonts w:ascii="Arial" w:hAnsi="Arial" w:cs="Arial"/>
          <w:sz w:val="22"/>
          <w:szCs w:val="22"/>
        </w:rPr>
        <w:t xml:space="preserve"> manifestando la gravedad de la situación de la prestación de los servicios públicos domiciliarios de agua potable y saneamiento básico en el Departamento, razón por la cual</w:t>
      </w:r>
      <w:r w:rsidRPr="00DC371E">
        <w:rPr>
          <w:rFonts w:ascii="Arial" w:hAnsi="Arial" w:cs="Arial"/>
          <w:sz w:val="22"/>
          <w:szCs w:val="22"/>
        </w:rPr>
        <w:t xml:space="preserve"> </w:t>
      </w:r>
      <w:r>
        <w:rPr>
          <w:rFonts w:ascii="Arial" w:hAnsi="Arial" w:cs="Arial"/>
          <w:sz w:val="22"/>
          <w:szCs w:val="22"/>
        </w:rPr>
        <w:t>esta</w:t>
      </w:r>
      <w:r w:rsidRPr="00DC371E">
        <w:rPr>
          <w:rFonts w:ascii="Arial" w:hAnsi="Arial" w:cs="Arial"/>
          <w:sz w:val="22"/>
          <w:szCs w:val="22"/>
        </w:rPr>
        <w:t xml:space="preserve"> D</w:t>
      </w:r>
      <w:r>
        <w:rPr>
          <w:rFonts w:ascii="Arial" w:hAnsi="Arial" w:cs="Arial"/>
          <w:sz w:val="22"/>
          <w:szCs w:val="22"/>
        </w:rPr>
        <w:t>irección</w:t>
      </w:r>
      <w:r w:rsidRPr="00DC371E">
        <w:rPr>
          <w:rFonts w:ascii="Arial" w:hAnsi="Arial" w:cs="Arial"/>
          <w:sz w:val="22"/>
          <w:szCs w:val="22"/>
        </w:rPr>
        <w:t xml:space="preserve"> anunció a la Entidad Territorial el inicio de la etapa de reconocimiento institucional sectorial, con el acompañamiento técnico del Ministerio de Vivienda, Ciudad y Territorio.</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En los meses de julio y agosto de 2020 de manera virtual, </w:t>
      </w:r>
      <w:r>
        <w:rPr>
          <w:rFonts w:ascii="Arial" w:hAnsi="Arial" w:cs="Arial"/>
          <w:sz w:val="22"/>
          <w:szCs w:val="22"/>
        </w:rPr>
        <w:t>esta Dirección</w:t>
      </w:r>
      <w:r w:rsidRPr="00DC371E">
        <w:rPr>
          <w:rFonts w:ascii="Arial" w:hAnsi="Arial" w:cs="Arial"/>
          <w:sz w:val="22"/>
          <w:szCs w:val="22"/>
        </w:rPr>
        <w:t xml:space="preserve"> realizó reuniones con el equipo de la Gobernación encargado del </w:t>
      </w:r>
      <w:r>
        <w:rPr>
          <w:rFonts w:ascii="Arial" w:hAnsi="Arial" w:cs="Arial"/>
          <w:sz w:val="22"/>
          <w:szCs w:val="22"/>
        </w:rPr>
        <w:t>S</w:t>
      </w:r>
      <w:r w:rsidRPr="00DC371E">
        <w:rPr>
          <w:rFonts w:ascii="Arial" w:hAnsi="Arial" w:cs="Arial"/>
          <w:sz w:val="22"/>
          <w:szCs w:val="22"/>
        </w:rPr>
        <w:t xml:space="preserve">ector (Secretarías de Planeación, Hacienda, Recursos Humanos, Secretaría de Ambiente y Servicios Públicos, CORALINA, entre otros) solicitando y recopilando información necesaria para profundizar sobre el estado de la prestación de los Servicios Públicos Domiciliarios de Acueducto, Alcantarillado y Aseo, y el uso de los recursos del Sistema General de Participaciones del </w:t>
      </w:r>
      <w:r>
        <w:rPr>
          <w:rFonts w:ascii="Arial" w:hAnsi="Arial" w:cs="Arial"/>
          <w:sz w:val="22"/>
          <w:szCs w:val="22"/>
        </w:rPr>
        <w:t>S</w:t>
      </w:r>
      <w:r w:rsidRPr="00DC371E">
        <w:rPr>
          <w:rFonts w:ascii="Arial" w:hAnsi="Arial" w:cs="Arial"/>
          <w:sz w:val="22"/>
          <w:szCs w:val="22"/>
        </w:rPr>
        <w:t>ector de Agua Potable y Saneamiento Básico.</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i/>
          <w:iCs/>
          <w:sz w:val="22"/>
          <w:szCs w:val="22"/>
        </w:rPr>
      </w:pPr>
      <w:r w:rsidRPr="00DC371E">
        <w:rPr>
          <w:rFonts w:ascii="Arial" w:hAnsi="Arial" w:cs="Arial"/>
          <w:sz w:val="22"/>
          <w:szCs w:val="22"/>
        </w:rPr>
        <w:t>En el informe elaborado por la Dirección</w:t>
      </w:r>
      <w:r>
        <w:rPr>
          <w:rFonts w:ascii="Arial" w:hAnsi="Arial" w:cs="Arial"/>
          <w:sz w:val="22"/>
          <w:szCs w:val="22"/>
        </w:rPr>
        <w:t xml:space="preserve"> General</w:t>
      </w:r>
      <w:r w:rsidRPr="00DC371E">
        <w:rPr>
          <w:rFonts w:ascii="Arial" w:hAnsi="Arial" w:cs="Arial"/>
          <w:sz w:val="22"/>
          <w:szCs w:val="22"/>
        </w:rPr>
        <w:t xml:space="preserve"> de Apoyo Fiscal, remitido al MVCT se identificó un inminente riesgo en la prestación de los Servicios Públicos de Acueducto, Alcantarillado y Aseo y el uso de los recursos del SGP APSB.</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El Ministerio de Hacienda y Crédito Público y el Ministerio de Vivienda, Ciudad y Territorio, estuvieron de acuerdo con la imposición de la </w:t>
      </w:r>
      <w:r>
        <w:rPr>
          <w:rFonts w:ascii="Arial" w:hAnsi="Arial" w:cs="Arial"/>
          <w:sz w:val="22"/>
          <w:szCs w:val="22"/>
        </w:rPr>
        <w:t>Me</w:t>
      </w:r>
      <w:r w:rsidRPr="00DC371E">
        <w:rPr>
          <w:rFonts w:ascii="Arial" w:hAnsi="Arial" w:cs="Arial"/>
          <w:sz w:val="22"/>
          <w:szCs w:val="22"/>
        </w:rPr>
        <w:t xml:space="preserve">dida </w:t>
      </w:r>
      <w:r>
        <w:rPr>
          <w:rFonts w:ascii="Arial" w:hAnsi="Arial" w:cs="Arial"/>
          <w:sz w:val="22"/>
          <w:szCs w:val="22"/>
        </w:rPr>
        <w:t>C</w:t>
      </w:r>
      <w:r w:rsidRPr="00DC371E">
        <w:rPr>
          <w:rFonts w:ascii="Arial" w:hAnsi="Arial" w:cs="Arial"/>
          <w:sz w:val="22"/>
          <w:szCs w:val="22"/>
        </w:rPr>
        <w:t xml:space="preserve">orrectiva de la Asunción Temporal de la Competencia. De esta manera, solicitaron al CONPES adelantar las convocatorias correspondientes para construir el Documento de adopción de la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C</w:t>
      </w:r>
      <w:r w:rsidRPr="00DC371E">
        <w:rPr>
          <w:rFonts w:ascii="Arial" w:hAnsi="Arial" w:cs="Arial"/>
          <w:sz w:val="22"/>
          <w:szCs w:val="22"/>
        </w:rPr>
        <w:t>orrectiva.</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La Dirección General de Apoyo Fiscal presentó al DNP a través de</w:t>
      </w:r>
      <w:r>
        <w:rPr>
          <w:rFonts w:ascii="Arial" w:hAnsi="Arial" w:cs="Arial"/>
          <w:sz w:val="22"/>
          <w:szCs w:val="22"/>
        </w:rPr>
        <w:t>l</w:t>
      </w:r>
      <w:r w:rsidRPr="00DC371E">
        <w:rPr>
          <w:rFonts w:ascii="Arial" w:hAnsi="Arial" w:cs="Arial"/>
          <w:sz w:val="22"/>
          <w:szCs w:val="22"/>
        </w:rPr>
        <w:t xml:space="preserve"> oficio </w:t>
      </w:r>
      <w:r>
        <w:rPr>
          <w:rFonts w:ascii="Arial" w:hAnsi="Arial" w:cs="Arial"/>
          <w:sz w:val="22"/>
          <w:szCs w:val="22"/>
        </w:rPr>
        <w:t xml:space="preserve">con radicado número </w:t>
      </w:r>
      <w:r w:rsidRPr="00DC371E">
        <w:rPr>
          <w:rFonts w:ascii="Arial" w:hAnsi="Arial" w:cs="Arial"/>
          <w:sz w:val="22"/>
          <w:szCs w:val="22"/>
        </w:rPr>
        <w:t>2-2020-065768 del 14 de diciembre de 2020 algunas consideraciones al documento PRECONPES, entre las cuales se manifestaron las siguientes</w:t>
      </w:r>
      <w:r>
        <w:rPr>
          <w:rFonts w:ascii="Arial" w:hAnsi="Arial" w:cs="Arial"/>
          <w:sz w:val="22"/>
          <w:szCs w:val="22"/>
        </w:rPr>
        <w:t>:</w:t>
      </w:r>
    </w:p>
    <w:p w:rsidR="00D75790" w:rsidRPr="00DC371E" w:rsidRDefault="00D75790" w:rsidP="00D75790">
      <w:pPr>
        <w:contextualSpacing/>
        <w:jc w:val="both"/>
        <w:rPr>
          <w:rFonts w:ascii="Arial" w:hAnsi="Arial" w:cs="Arial"/>
          <w:sz w:val="22"/>
          <w:szCs w:val="22"/>
        </w:rPr>
      </w:pPr>
    </w:p>
    <w:p w:rsidR="00D75790" w:rsidRPr="00E46D41" w:rsidRDefault="00D75790" w:rsidP="00D75790">
      <w:pPr>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El documento PRECONPES analizado requiere una reestructuración en la que se tenga en cuenta el diagnóstico de la DAF que evidenció y configuró los eventos de riesgo 9.4, 9.12, 9.17 y 9.18. Adicionalmente, las condiciones para el levantamiento de la medida, así como las actividades e indicadores se deben diseñar con la perspectiva de la extinción de los riesgos mencionados, sin perjuicio de las actividades adicionales, que, sin ser requisitos para el levantamiento de la medida, son esenciales para una adecuada gestión y garantía de la adecuada prestación de los servicios en el Departamento.</w:t>
      </w:r>
    </w:p>
    <w:p w:rsidR="00D75790" w:rsidRPr="00E46D41" w:rsidRDefault="00D75790" w:rsidP="00D75790">
      <w:pPr>
        <w:ind w:left="1416"/>
        <w:contextualSpacing/>
        <w:jc w:val="both"/>
        <w:rPr>
          <w:rFonts w:ascii="Arial" w:hAnsi="Arial" w:cs="Arial"/>
          <w:i/>
          <w:iCs/>
          <w:sz w:val="18"/>
          <w:szCs w:val="22"/>
        </w:rPr>
      </w:pPr>
    </w:p>
    <w:p w:rsidR="00D75790" w:rsidRPr="00DC371E" w:rsidRDefault="00D75790" w:rsidP="00D75790">
      <w:pPr>
        <w:ind w:left="1416"/>
        <w:contextualSpacing/>
        <w:jc w:val="both"/>
        <w:rPr>
          <w:rFonts w:ascii="Arial" w:hAnsi="Arial" w:cs="Arial"/>
          <w:i/>
          <w:iCs/>
          <w:sz w:val="22"/>
          <w:szCs w:val="22"/>
        </w:rPr>
      </w:pPr>
      <w:r w:rsidRPr="00E46D41">
        <w:rPr>
          <w:rFonts w:ascii="Arial" w:hAnsi="Arial" w:cs="Arial"/>
          <w:i/>
          <w:iCs/>
          <w:sz w:val="18"/>
          <w:szCs w:val="22"/>
        </w:rPr>
        <w:t xml:space="preserve">Es fundamental hacer una actualización del diagnóstico de tal forma que se puedan incorporar en este las modificaciones y eventuales eventos de riesgo adicionales que se evidencien como consecuencia del </w:t>
      </w:r>
      <w:r w:rsidRPr="00E46D41">
        <w:rPr>
          <w:rFonts w:ascii="Arial" w:hAnsi="Arial" w:cs="Arial"/>
          <w:b/>
          <w:bCs/>
          <w:i/>
          <w:iCs/>
          <w:sz w:val="18"/>
          <w:szCs w:val="22"/>
        </w:rPr>
        <w:t>desastre natural</w:t>
      </w:r>
      <w:r w:rsidRPr="00E46D41">
        <w:rPr>
          <w:rFonts w:ascii="Arial" w:hAnsi="Arial" w:cs="Arial"/>
          <w:i/>
          <w:iCs/>
          <w:sz w:val="18"/>
          <w:szCs w:val="22"/>
        </w:rPr>
        <w:t>, con el fin de que las actividades e inversiones que se realicen en el marco de la ejecución de la Medida sean más acordes a la realidad actual del Archipiélago</w:t>
      </w:r>
      <w:r w:rsidRPr="00E46D41">
        <w:rPr>
          <w:rFonts w:ascii="Arial" w:hAnsi="Arial" w:cs="Arial"/>
          <w:iCs/>
          <w:sz w:val="18"/>
          <w:szCs w:val="22"/>
        </w:rPr>
        <w:t>”.</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Por su parte el DNP </w:t>
      </w:r>
      <w:r>
        <w:rPr>
          <w:rFonts w:ascii="Arial" w:hAnsi="Arial" w:cs="Arial"/>
          <w:sz w:val="22"/>
          <w:szCs w:val="22"/>
        </w:rPr>
        <w:t>mediante</w:t>
      </w:r>
      <w:r w:rsidRPr="00DC371E">
        <w:rPr>
          <w:rFonts w:ascii="Arial" w:hAnsi="Arial" w:cs="Arial"/>
          <w:sz w:val="22"/>
          <w:szCs w:val="22"/>
        </w:rPr>
        <w:t xml:space="preserve"> oficio </w:t>
      </w:r>
      <w:r>
        <w:rPr>
          <w:rFonts w:ascii="Arial" w:hAnsi="Arial" w:cs="Arial"/>
          <w:sz w:val="22"/>
          <w:szCs w:val="22"/>
        </w:rPr>
        <w:t xml:space="preserve">con </w:t>
      </w:r>
      <w:r w:rsidRPr="00DC371E">
        <w:rPr>
          <w:rFonts w:ascii="Arial" w:hAnsi="Arial" w:cs="Arial"/>
          <w:sz w:val="22"/>
          <w:szCs w:val="22"/>
        </w:rPr>
        <w:t xml:space="preserve">radicado </w:t>
      </w:r>
      <w:r>
        <w:rPr>
          <w:rFonts w:ascii="Arial" w:hAnsi="Arial" w:cs="Arial"/>
          <w:sz w:val="22"/>
          <w:szCs w:val="22"/>
        </w:rPr>
        <w:t xml:space="preserve">No. </w:t>
      </w:r>
      <w:r w:rsidRPr="00DC371E">
        <w:rPr>
          <w:rFonts w:ascii="Arial" w:hAnsi="Arial" w:cs="Arial"/>
          <w:sz w:val="22"/>
          <w:szCs w:val="22"/>
        </w:rPr>
        <w:t>1-2021-037550 de fecha 30 de abril de 2021 informó a la DAF lo siguiente:</w:t>
      </w:r>
    </w:p>
    <w:p w:rsidR="00D75790" w:rsidRPr="00DC371E" w:rsidRDefault="00D75790" w:rsidP="00D75790">
      <w:pPr>
        <w:contextualSpacing/>
        <w:jc w:val="both"/>
        <w:rPr>
          <w:rFonts w:ascii="Arial" w:hAnsi="Arial" w:cs="Arial"/>
        </w:rPr>
      </w:pPr>
    </w:p>
    <w:p w:rsidR="00D75790" w:rsidRPr="00E46D41" w:rsidRDefault="00D75790" w:rsidP="00D75790">
      <w:pPr>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 xml:space="preserve">[…] este departamento administrativo recibió una comunicación por parte del Ministerio de Vivienda, Ciudad y Territorio (MVCT) en la cual se indica que ante la coyuntura actual en el departamento, se desiste de la solicitud de elaboración del documento CONPES en mención. </w:t>
      </w:r>
    </w:p>
    <w:p w:rsidR="00D75790" w:rsidRPr="00E46D41" w:rsidRDefault="00D75790" w:rsidP="00D75790">
      <w:pPr>
        <w:ind w:left="1416"/>
        <w:contextualSpacing/>
        <w:jc w:val="both"/>
        <w:rPr>
          <w:rFonts w:ascii="Arial" w:hAnsi="Arial" w:cs="Arial"/>
          <w:i/>
          <w:iCs/>
          <w:sz w:val="18"/>
          <w:szCs w:val="22"/>
        </w:rPr>
      </w:pPr>
    </w:p>
    <w:p w:rsidR="00D75790" w:rsidRPr="00E46D41" w:rsidRDefault="00D75790" w:rsidP="00D75790">
      <w:pPr>
        <w:ind w:left="1416"/>
        <w:contextualSpacing/>
        <w:jc w:val="both"/>
        <w:rPr>
          <w:rFonts w:ascii="Arial" w:hAnsi="Arial" w:cs="Arial"/>
          <w:i/>
          <w:iCs/>
          <w:sz w:val="18"/>
          <w:szCs w:val="22"/>
        </w:rPr>
      </w:pPr>
      <w:r w:rsidRPr="00E46D41">
        <w:rPr>
          <w:rFonts w:ascii="Arial" w:hAnsi="Arial" w:cs="Arial"/>
          <w:i/>
          <w:iCs/>
          <w:sz w:val="18"/>
          <w:szCs w:val="22"/>
        </w:rPr>
        <w:t>En consecuencia, con el fin de mitigar los eventos de riesgo identificados respecto al uso y ejecución de los recursos del Sistema General de Participaciones para Agua Potable y Saneamiento Básico (SGP-APSB) y en la prestación de los servicios públicos de acueducto, alcantarillado y aseo, el MVCT recomendará al Ministerio de Hacienda y Crédito Público la imposición de la medida preventiva de Plan de desempeño</w:t>
      </w:r>
      <w:r w:rsidRPr="00E46D41">
        <w:rPr>
          <w:rFonts w:ascii="Arial" w:hAnsi="Arial" w:cs="Arial"/>
          <w:iCs/>
          <w:sz w:val="18"/>
          <w:szCs w:val="22"/>
        </w:rPr>
        <w:t>”.</w:t>
      </w:r>
    </w:p>
    <w:p w:rsidR="00D75790" w:rsidRPr="00E46D41" w:rsidRDefault="00D75790" w:rsidP="00D75790">
      <w:pPr>
        <w:contextualSpacing/>
        <w:jc w:val="both"/>
        <w:rPr>
          <w:rFonts w:ascii="Arial" w:hAnsi="Arial" w:cs="Arial"/>
          <w:iCs/>
          <w:sz w:val="22"/>
          <w:szCs w:val="22"/>
        </w:rPr>
      </w:pPr>
    </w:p>
    <w:p w:rsidR="00D75790" w:rsidRPr="00DC371E" w:rsidRDefault="00D75790" w:rsidP="00D75790">
      <w:pPr>
        <w:contextualSpacing/>
        <w:jc w:val="both"/>
        <w:rPr>
          <w:rFonts w:ascii="Arial" w:hAnsi="Arial" w:cs="Arial"/>
          <w:sz w:val="22"/>
          <w:szCs w:val="22"/>
        </w:rPr>
      </w:pPr>
      <w:r>
        <w:rPr>
          <w:rFonts w:ascii="Arial" w:hAnsi="Arial" w:cs="Arial"/>
          <w:sz w:val="22"/>
          <w:szCs w:val="22"/>
        </w:rPr>
        <w:t>Esta Dirección</w:t>
      </w:r>
      <w:r w:rsidRPr="00DC371E">
        <w:rPr>
          <w:rFonts w:ascii="Arial" w:hAnsi="Arial" w:cs="Arial"/>
          <w:sz w:val="22"/>
          <w:szCs w:val="22"/>
        </w:rPr>
        <w:t xml:space="preserve"> no recibió de parte del MVCT</w:t>
      </w:r>
      <w:r>
        <w:rPr>
          <w:rFonts w:ascii="Arial" w:hAnsi="Arial" w:cs="Arial"/>
          <w:sz w:val="22"/>
          <w:szCs w:val="22"/>
        </w:rPr>
        <w:t xml:space="preserve"> </w:t>
      </w:r>
      <w:r w:rsidRPr="00DC371E">
        <w:rPr>
          <w:rFonts w:ascii="Arial" w:hAnsi="Arial" w:cs="Arial"/>
          <w:sz w:val="22"/>
          <w:szCs w:val="22"/>
        </w:rPr>
        <w:t>información sobre el desistimiento a la solicitud de la elaboración del CONPES, ni recomendación alguna sobre imposición de medidas en virtud del Decreto 028 de 2008.</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rPr>
      </w:pPr>
      <w:r>
        <w:rPr>
          <w:rFonts w:ascii="Arial" w:hAnsi="Arial" w:cs="Arial"/>
          <w:sz w:val="22"/>
          <w:szCs w:val="22"/>
        </w:rPr>
        <w:t>Así las cosas, e</w:t>
      </w:r>
      <w:r w:rsidRPr="00DC371E">
        <w:rPr>
          <w:rFonts w:ascii="Arial" w:hAnsi="Arial" w:cs="Arial"/>
          <w:sz w:val="22"/>
          <w:szCs w:val="22"/>
        </w:rPr>
        <w:t xml:space="preserve">l 28 de mayo de 2021, </w:t>
      </w:r>
      <w:r>
        <w:rPr>
          <w:rFonts w:ascii="Arial" w:hAnsi="Arial" w:cs="Arial"/>
          <w:sz w:val="22"/>
          <w:szCs w:val="22"/>
        </w:rPr>
        <w:t>esta Dirección</w:t>
      </w:r>
      <w:r w:rsidRPr="00DC371E">
        <w:rPr>
          <w:rFonts w:ascii="Arial" w:hAnsi="Arial" w:cs="Arial"/>
          <w:sz w:val="22"/>
          <w:szCs w:val="22"/>
        </w:rPr>
        <w:t xml:space="preserve"> a través de</w:t>
      </w:r>
      <w:r>
        <w:rPr>
          <w:rFonts w:ascii="Arial" w:hAnsi="Arial" w:cs="Arial"/>
          <w:sz w:val="22"/>
          <w:szCs w:val="22"/>
        </w:rPr>
        <w:t>l</w:t>
      </w:r>
      <w:r w:rsidRPr="00DC371E">
        <w:rPr>
          <w:rFonts w:ascii="Arial" w:hAnsi="Arial" w:cs="Arial"/>
          <w:sz w:val="22"/>
          <w:szCs w:val="22"/>
        </w:rPr>
        <w:t xml:space="preserve"> oficio</w:t>
      </w:r>
      <w:r>
        <w:rPr>
          <w:rFonts w:ascii="Arial" w:hAnsi="Arial" w:cs="Arial"/>
          <w:sz w:val="22"/>
          <w:szCs w:val="22"/>
        </w:rPr>
        <w:t xml:space="preserve"> con</w:t>
      </w:r>
      <w:r w:rsidRPr="00DC371E">
        <w:rPr>
          <w:rFonts w:ascii="Arial" w:hAnsi="Arial" w:cs="Arial"/>
          <w:sz w:val="22"/>
          <w:szCs w:val="22"/>
        </w:rPr>
        <w:t xml:space="preserve"> radicado </w:t>
      </w:r>
      <w:r>
        <w:rPr>
          <w:rFonts w:ascii="Arial" w:hAnsi="Arial" w:cs="Arial"/>
          <w:sz w:val="22"/>
          <w:szCs w:val="22"/>
        </w:rPr>
        <w:t xml:space="preserve">No. </w:t>
      </w:r>
      <w:r w:rsidRPr="00DC371E">
        <w:rPr>
          <w:rFonts w:ascii="Arial" w:hAnsi="Arial" w:cs="Arial"/>
          <w:sz w:val="22"/>
          <w:szCs w:val="22"/>
        </w:rPr>
        <w:t>1-2021-046779 recibió el documento “</w:t>
      </w:r>
      <w:r w:rsidRPr="00DC371E">
        <w:rPr>
          <w:rFonts w:ascii="Arial" w:hAnsi="Arial" w:cs="Arial"/>
          <w:i/>
          <w:iCs/>
          <w:sz w:val="22"/>
          <w:szCs w:val="22"/>
        </w:rPr>
        <w:t>Actualización del informe de monitoreo al uso y ejecución de los recursos del Sistema General de Participaciones para Agua Potable y Saneamiento Básico (SGP-APSB) al Archipiélago de San Andrés, Providencia y Santa Catalina vigencias 2019 y 2020”,</w:t>
      </w:r>
      <w:r w:rsidRPr="00DC371E">
        <w:rPr>
          <w:rFonts w:ascii="Arial" w:hAnsi="Arial" w:cs="Arial"/>
          <w:sz w:val="22"/>
          <w:szCs w:val="22"/>
        </w:rPr>
        <w:t xml:space="preserve"> elaborado por el MVCT (informe de 63 páginas y 30 anexos), concluyendo que el Archipiélago de San Andrés, Providencia y Santa Catalina presentó </w:t>
      </w:r>
      <w:r>
        <w:rPr>
          <w:rFonts w:ascii="Arial" w:hAnsi="Arial" w:cs="Arial"/>
          <w:sz w:val="22"/>
          <w:szCs w:val="22"/>
        </w:rPr>
        <w:t>R</w:t>
      </w:r>
      <w:r w:rsidRPr="00DC371E">
        <w:rPr>
          <w:rFonts w:ascii="Arial" w:hAnsi="Arial" w:cs="Arial"/>
          <w:sz w:val="22"/>
          <w:szCs w:val="22"/>
        </w:rPr>
        <w:t xml:space="preserve">iesgo </w:t>
      </w:r>
      <w:r>
        <w:rPr>
          <w:rFonts w:ascii="Arial" w:hAnsi="Arial" w:cs="Arial"/>
          <w:sz w:val="22"/>
          <w:szCs w:val="22"/>
        </w:rPr>
        <w:t>A</w:t>
      </w:r>
      <w:r w:rsidRPr="00DC371E">
        <w:rPr>
          <w:rFonts w:ascii="Arial" w:hAnsi="Arial" w:cs="Arial"/>
          <w:sz w:val="22"/>
          <w:szCs w:val="22"/>
        </w:rPr>
        <w:t xml:space="preserve">lto en el uso y ejecución de los recursos SGP </w:t>
      </w:r>
      <w:r>
        <w:rPr>
          <w:rFonts w:ascii="Arial" w:hAnsi="Arial" w:cs="Arial"/>
          <w:sz w:val="22"/>
          <w:szCs w:val="22"/>
        </w:rPr>
        <w:t xml:space="preserve">- </w:t>
      </w:r>
      <w:r w:rsidRPr="00DC371E">
        <w:rPr>
          <w:rFonts w:ascii="Arial" w:hAnsi="Arial" w:cs="Arial"/>
          <w:sz w:val="22"/>
          <w:szCs w:val="22"/>
        </w:rPr>
        <w:t>APSB y</w:t>
      </w:r>
      <w:r>
        <w:rPr>
          <w:rFonts w:ascii="Arial" w:hAnsi="Arial" w:cs="Arial"/>
          <w:sz w:val="22"/>
          <w:szCs w:val="22"/>
        </w:rPr>
        <w:t xml:space="preserve"> aportando pruebas para la configuración de </w:t>
      </w:r>
      <w:r w:rsidRPr="00DC371E">
        <w:rPr>
          <w:rFonts w:ascii="Arial" w:hAnsi="Arial" w:cs="Arial"/>
          <w:sz w:val="22"/>
          <w:szCs w:val="22"/>
        </w:rPr>
        <w:t xml:space="preserve">posibles eventos de riesgo. En el informe no se sugiere la implementación de alguna medida en particular, así como tampoco se hace referencia a las motivaciones del desistimiento de la adopción de la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C</w:t>
      </w:r>
      <w:r w:rsidRPr="00DC371E">
        <w:rPr>
          <w:rFonts w:ascii="Arial" w:hAnsi="Arial" w:cs="Arial"/>
          <w:sz w:val="22"/>
          <w:szCs w:val="22"/>
        </w:rPr>
        <w:t>orrectiva de Asunción Temporal de la Competencia.</w:t>
      </w:r>
    </w:p>
    <w:p w:rsidR="00D75790" w:rsidRPr="00DC371E" w:rsidRDefault="00D75790" w:rsidP="00D75790">
      <w:pPr>
        <w:spacing w:after="242"/>
        <w:ind w:left="-5"/>
        <w:contextualSpacing/>
        <w:jc w:val="both"/>
        <w:rPr>
          <w:rFonts w:ascii="Arial" w:hAnsi="Arial" w:cs="Arial"/>
          <w:lang w:val="es-ES_tradnl"/>
        </w:rPr>
      </w:pPr>
    </w:p>
    <w:p w:rsidR="00D75790" w:rsidRPr="00DC371E" w:rsidRDefault="00D75790" w:rsidP="00D75790">
      <w:pPr>
        <w:spacing w:after="242"/>
        <w:ind w:left="-5"/>
        <w:contextualSpacing/>
        <w:jc w:val="both"/>
        <w:rPr>
          <w:rFonts w:ascii="Arial" w:hAnsi="Arial" w:cs="Arial"/>
          <w:sz w:val="22"/>
          <w:szCs w:val="22"/>
        </w:rPr>
      </w:pPr>
      <w:r>
        <w:rPr>
          <w:rFonts w:ascii="Arial" w:hAnsi="Arial" w:cs="Arial"/>
          <w:sz w:val="22"/>
          <w:szCs w:val="22"/>
        </w:rPr>
        <w:t>Esta</w:t>
      </w:r>
      <w:r w:rsidRPr="00DC371E">
        <w:rPr>
          <w:rFonts w:ascii="Arial" w:hAnsi="Arial" w:cs="Arial"/>
          <w:sz w:val="22"/>
          <w:szCs w:val="22"/>
        </w:rPr>
        <w:t xml:space="preserve"> Dirección, con el objeto de profundizar el análisis sobre la documentación aportada por el Ministerio de Vivienda, Ciudad y Territorio, efectuó el día 9 de julio de 2021 </w:t>
      </w:r>
      <w:r>
        <w:rPr>
          <w:rFonts w:ascii="Arial" w:hAnsi="Arial" w:cs="Arial"/>
          <w:sz w:val="22"/>
          <w:szCs w:val="22"/>
        </w:rPr>
        <w:t xml:space="preserve">un </w:t>
      </w:r>
      <w:r w:rsidRPr="00DC371E">
        <w:rPr>
          <w:rFonts w:ascii="Arial" w:hAnsi="Arial" w:cs="Arial"/>
          <w:sz w:val="22"/>
          <w:szCs w:val="22"/>
        </w:rPr>
        <w:t xml:space="preserve">requerimiento de información a la Entidad, de la cual obtuvo respuesta el día 16 de julio </w:t>
      </w:r>
      <w:r>
        <w:rPr>
          <w:rFonts w:ascii="Arial" w:hAnsi="Arial" w:cs="Arial"/>
          <w:sz w:val="22"/>
          <w:szCs w:val="22"/>
        </w:rPr>
        <w:t>a través</w:t>
      </w:r>
      <w:r w:rsidRPr="00DC371E">
        <w:rPr>
          <w:rFonts w:ascii="Arial" w:hAnsi="Arial" w:cs="Arial"/>
          <w:sz w:val="22"/>
          <w:szCs w:val="22"/>
        </w:rPr>
        <w:t xml:space="preserve"> </w:t>
      </w:r>
      <w:r>
        <w:rPr>
          <w:rFonts w:ascii="Arial" w:hAnsi="Arial" w:cs="Arial"/>
          <w:sz w:val="22"/>
          <w:szCs w:val="22"/>
        </w:rPr>
        <w:t>d</w:t>
      </w:r>
      <w:r w:rsidRPr="00DC371E">
        <w:rPr>
          <w:rFonts w:ascii="Arial" w:hAnsi="Arial" w:cs="Arial"/>
          <w:sz w:val="22"/>
          <w:szCs w:val="22"/>
        </w:rPr>
        <w:t xml:space="preserve">el </w:t>
      </w:r>
      <w:r>
        <w:rPr>
          <w:rFonts w:ascii="Arial" w:hAnsi="Arial" w:cs="Arial"/>
          <w:sz w:val="22"/>
          <w:szCs w:val="22"/>
        </w:rPr>
        <w:t xml:space="preserve">oficio con </w:t>
      </w:r>
      <w:r w:rsidRPr="00DC371E">
        <w:rPr>
          <w:rFonts w:ascii="Arial" w:hAnsi="Arial" w:cs="Arial"/>
          <w:sz w:val="22"/>
          <w:szCs w:val="22"/>
        </w:rPr>
        <w:t xml:space="preserve">radicado </w:t>
      </w:r>
      <w:r>
        <w:rPr>
          <w:rFonts w:ascii="Arial" w:hAnsi="Arial" w:cs="Arial"/>
          <w:sz w:val="22"/>
          <w:szCs w:val="22"/>
        </w:rPr>
        <w:t xml:space="preserve">No. </w:t>
      </w:r>
      <w:r w:rsidRPr="00DC371E">
        <w:rPr>
          <w:rFonts w:ascii="Arial" w:hAnsi="Arial" w:cs="Arial"/>
          <w:sz w:val="22"/>
          <w:szCs w:val="22"/>
        </w:rPr>
        <w:t>1-2021-061625.</w:t>
      </w:r>
    </w:p>
    <w:p w:rsidR="00D75790" w:rsidRPr="00DC371E" w:rsidRDefault="00D75790" w:rsidP="00D75790">
      <w:pPr>
        <w:spacing w:after="242"/>
        <w:ind w:left="-5"/>
        <w:contextualSpacing/>
        <w:jc w:val="both"/>
        <w:rPr>
          <w:rFonts w:ascii="Arial" w:hAnsi="Arial" w:cs="Arial"/>
          <w:sz w:val="22"/>
          <w:szCs w:val="22"/>
        </w:rPr>
      </w:pPr>
    </w:p>
    <w:p w:rsidR="00D75790" w:rsidRPr="00DC371E" w:rsidRDefault="00D75790" w:rsidP="00D75790">
      <w:pPr>
        <w:spacing w:after="20"/>
        <w:contextualSpacing/>
        <w:jc w:val="both"/>
        <w:rPr>
          <w:rFonts w:ascii="Arial" w:hAnsi="Arial" w:cs="Arial"/>
          <w:b/>
          <w:sz w:val="22"/>
          <w:szCs w:val="22"/>
          <w:lang w:val="es-ES_tradnl"/>
        </w:rPr>
      </w:pPr>
      <w:r w:rsidRPr="00DC371E">
        <w:rPr>
          <w:rFonts w:ascii="Arial" w:hAnsi="Arial" w:cs="Arial"/>
          <w:b/>
          <w:sz w:val="22"/>
          <w:szCs w:val="22"/>
          <w:lang w:val="es-ES_tradnl"/>
        </w:rPr>
        <w:t>2. PRESTACION DEL SERVICIO</w:t>
      </w:r>
      <w:r>
        <w:rPr>
          <w:rFonts w:ascii="Arial" w:hAnsi="Arial" w:cs="Arial"/>
          <w:b/>
          <w:sz w:val="22"/>
          <w:szCs w:val="22"/>
          <w:lang w:val="es-ES_tradnl"/>
        </w:rPr>
        <w:t>.</w:t>
      </w:r>
    </w:p>
    <w:p w:rsidR="00D75790" w:rsidRDefault="00D75790" w:rsidP="00D75790">
      <w:pPr>
        <w:contextualSpacing/>
        <w:jc w:val="both"/>
        <w:rPr>
          <w:rFonts w:ascii="Arial" w:hAnsi="Arial" w:cs="Arial"/>
          <w:b/>
          <w:bCs/>
          <w:sz w:val="22"/>
          <w:szCs w:val="22"/>
          <w:lang w:val="es-ES_tradnl"/>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lang w:val="es-ES_tradnl"/>
        </w:rPr>
        <w:t>ACUEDUCTO Y ALCANTARILLADO</w:t>
      </w:r>
      <w:r>
        <w:rPr>
          <w:rFonts w:ascii="Arial" w:hAnsi="Arial" w:cs="Arial"/>
          <w:b/>
          <w:bCs/>
          <w:sz w:val="22"/>
          <w:szCs w:val="22"/>
          <w:lang w:val="es-ES_tradnl"/>
        </w:rPr>
        <w:t>.</w:t>
      </w:r>
    </w:p>
    <w:p w:rsidR="00D75790"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A nivel urbano, existe desde el año 2005 el Operador especializado</w:t>
      </w:r>
      <w:r>
        <w:rPr>
          <w:rFonts w:ascii="Arial" w:hAnsi="Arial" w:cs="Arial"/>
          <w:sz w:val="22"/>
          <w:szCs w:val="22"/>
          <w:lang w:val="es-ES_tradnl"/>
        </w:rPr>
        <w:t xml:space="preserve"> Proactiva Aguas del Archipiélago S.A. E.S.P hoy </w:t>
      </w:r>
      <w:r w:rsidRPr="00DC371E">
        <w:rPr>
          <w:rFonts w:ascii="Arial" w:hAnsi="Arial" w:cs="Arial"/>
          <w:sz w:val="22"/>
          <w:szCs w:val="22"/>
          <w:lang w:val="es-ES_tradnl"/>
        </w:rPr>
        <w:t>Veolia</w:t>
      </w:r>
      <w:r>
        <w:rPr>
          <w:rFonts w:ascii="Arial" w:hAnsi="Arial" w:cs="Arial"/>
          <w:sz w:val="22"/>
          <w:szCs w:val="22"/>
          <w:lang w:val="es-ES_tradnl"/>
        </w:rPr>
        <w:t xml:space="preserve"> Aguas del Archipiélago S.A. E.S.P.</w:t>
      </w:r>
      <w:r w:rsidRPr="00DC371E">
        <w:rPr>
          <w:rFonts w:ascii="Arial" w:hAnsi="Arial" w:cs="Arial"/>
          <w:sz w:val="22"/>
          <w:szCs w:val="22"/>
          <w:lang w:val="es-ES_tradnl"/>
        </w:rPr>
        <w:t xml:space="preserve">, quien presta los </w:t>
      </w:r>
      <w:r>
        <w:rPr>
          <w:rFonts w:ascii="Arial" w:hAnsi="Arial" w:cs="Arial"/>
          <w:sz w:val="22"/>
          <w:szCs w:val="22"/>
          <w:lang w:val="es-ES_tradnl"/>
        </w:rPr>
        <w:t>S</w:t>
      </w:r>
      <w:r w:rsidRPr="00DC371E">
        <w:rPr>
          <w:rFonts w:ascii="Arial" w:hAnsi="Arial" w:cs="Arial"/>
          <w:sz w:val="22"/>
          <w:szCs w:val="22"/>
          <w:lang w:val="es-ES_tradnl"/>
        </w:rPr>
        <w:t xml:space="preserve">ervicios </w:t>
      </w:r>
      <w:r>
        <w:rPr>
          <w:rFonts w:ascii="Arial" w:hAnsi="Arial" w:cs="Arial"/>
          <w:sz w:val="22"/>
          <w:szCs w:val="22"/>
          <w:lang w:val="es-ES_tradnl"/>
        </w:rPr>
        <w:t>P</w:t>
      </w:r>
      <w:r w:rsidRPr="00DC371E">
        <w:rPr>
          <w:rFonts w:ascii="Arial" w:hAnsi="Arial" w:cs="Arial"/>
          <w:sz w:val="22"/>
          <w:szCs w:val="22"/>
          <w:lang w:val="es-ES_tradnl"/>
        </w:rPr>
        <w:t xml:space="preserve">úblicos </w:t>
      </w:r>
      <w:r>
        <w:rPr>
          <w:rFonts w:ascii="Arial" w:hAnsi="Arial" w:cs="Arial"/>
          <w:sz w:val="22"/>
          <w:szCs w:val="22"/>
          <w:lang w:val="es-ES_tradnl"/>
        </w:rPr>
        <w:t>D</w:t>
      </w:r>
      <w:r w:rsidRPr="00DC371E">
        <w:rPr>
          <w:rFonts w:ascii="Arial" w:hAnsi="Arial" w:cs="Arial"/>
          <w:sz w:val="22"/>
          <w:szCs w:val="22"/>
          <w:lang w:val="es-ES_tradnl"/>
        </w:rPr>
        <w:t>omiciliarios de Acueducto y Alcantarillado.</w:t>
      </w:r>
    </w:p>
    <w:p w:rsidR="00D75790" w:rsidRPr="00DC371E" w:rsidRDefault="00D75790" w:rsidP="00D75790">
      <w:pPr>
        <w:contextualSpacing/>
        <w:jc w:val="both"/>
        <w:rPr>
          <w:rFonts w:ascii="Arial" w:hAnsi="Arial" w:cs="Arial"/>
          <w:b/>
          <w:bCs/>
          <w:sz w:val="22"/>
          <w:szCs w:val="22"/>
          <w:lang w:val="es-ES_tradnl"/>
        </w:rPr>
      </w:pPr>
    </w:p>
    <w:p w:rsidR="00D75790" w:rsidRPr="00DC371E" w:rsidRDefault="00D75790" w:rsidP="00D75790">
      <w:pPr>
        <w:pStyle w:val="Prrafodelista"/>
        <w:numPr>
          <w:ilvl w:val="1"/>
          <w:numId w:val="15"/>
        </w:numPr>
        <w:jc w:val="both"/>
        <w:rPr>
          <w:rFonts w:ascii="Arial" w:hAnsi="Arial" w:cs="Arial"/>
          <w:b/>
          <w:sz w:val="22"/>
          <w:szCs w:val="22"/>
          <w:lang w:val="es-ES_tradnl"/>
        </w:rPr>
      </w:pPr>
      <w:r w:rsidRPr="00DC371E">
        <w:rPr>
          <w:rFonts w:ascii="Arial" w:hAnsi="Arial" w:cs="Arial"/>
          <w:b/>
          <w:sz w:val="22"/>
          <w:szCs w:val="22"/>
          <w:lang w:val="es-ES_tradnl"/>
        </w:rPr>
        <w:t>VEOLIA AGUAS DEL ARCHIPIÉLAGO S.A. ESP</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La Superintendencia de Servicios Públicos Domiciliarios - SSPD en ejercicio de la facultad establecida en el inciso 3 del numeral 6.4 del artículo 6 de la Ley 142 de 1994 y su Decreto Reglamentario 398 de 2002, intervino los servicios de acueducto y alcantarillado en la Isla de San Andrés, luego de evidenciar graves incumplimientos del Departamento en sus obligaciones como prestador directo de dichos servicios, para estructurar un esquema de operación cuyo propósito fue incrementar los niveles de cobertura y calidad de los servicios públicos de acueducto y alcantarillado, mediante la vinculación de un operador especializado que preste los servicios bajo un esquema de gestión empresarial eficiente.</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lastRenderedPageBreak/>
        <w:t xml:space="preserve">Como resultado de este proceso, Aguas de San Andrés S.A. E.S.P. y Proactiva Aguas del Archipiélago S.A. E.S.P. celebraron el 8 de septiembre de 2005 un contrato cuyo objeto consiste en la operación de la infraestructura destinada a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 en la Isla de San Andrés.</w:t>
      </w:r>
    </w:p>
    <w:p w:rsidR="00D75790" w:rsidRPr="00DC371E"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El plazo del Contrato inicialmente fue de 15 años y se realizaron ajustes al mismo mediante otrosíes. A la fecha está vigente el Otrosí No. 9 del 22 de enero de 2019, el cual estableció una duración de 15 años más, es decir, la concesión a Veolia finaliza en el 2035.</w:t>
      </w:r>
    </w:p>
    <w:p w:rsidR="00D75790" w:rsidRPr="00DC371E" w:rsidRDefault="00D75790" w:rsidP="00D75790">
      <w:pPr>
        <w:contextualSpacing/>
        <w:jc w:val="both"/>
        <w:rPr>
          <w:rFonts w:ascii="Arial" w:hAnsi="Arial" w:cs="Arial"/>
          <w:sz w:val="22"/>
          <w:szCs w:val="22"/>
          <w:lang w:val="es-ES_tradnl"/>
        </w:rPr>
      </w:pP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r>
        <w:rPr>
          <w:rFonts w:ascii="Arial" w:hAnsi="Arial" w:cs="Arial"/>
          <w:sz w:val="22"/>
          <w:szCs w:val="22"/>
          <w:lang w:val="es-ES_tradnl"/>
        </w:rPr>
        <w:t xml:space="preserve">En </w:t>
      </w:r>
      <w:r w:rsidRPr="00DC371E">
        <w:rPr>
          <w:rFonts w:ascii="Arial" w:hAnsi="Arial" w:cs="Arial"/>
          <w:sz w:val="22"/>
          <w:szCs w:val="22"/>
          <w:lang w:val="es-ES_tradnl"/>
        </w:rPr>
        <w:t xml:space="preserve">relación </w:t>
      </w:r>
      <w:r>
        <w:rPr>
          <w:rFonts w:ascii="Arial" w:hAnsi="Arial" w:cs="Arial"/>
          <w:sz w:val="22"/>
          <w:szCs w:val="22"/>
          <w:lang w:val="es-ES_tradnl"/>
        </w:rPr>
        <w:t>con</w:t>
      </w:r>
      <w:r w:rsidRPr="00DC371E">
        <w:rPr>
          <w:rFonts w:ascii="Arial" w:hAnsi="Arial" w:cs="Arial"/>
          <w:sz w:val="22"/>
          <w:szCs w:val="22"/>
          <w:lang w:val="es-ES_tradnl"/>
        </w:rPr>
        <w:t xml:space="preserve"> la prestación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 xml:space="preserve">AA </w:t>
      </w:r>
      <w:r w:rsidRPr="00DC371E">
        <w:rPr>
          <w:rFonts w:ascii="Arial" w:hAnsi="Arial" w:cs="Arial"/>
          <w:sz w:val="22"/>
          <w:szCs w:val="22"/>
          <w:lang w:val="es-ES_tradnl"/>
        </w:rPr>
        <w:t>y sus dificultades,</w:t>
      </w:r>
      <w:r>
        <w:rPr>
          <w:rFonts w:ascii="Arial" w:hAnsi="Arial" w:cs="Arial"/>
          <w:sz w:val="22"/>
          <w:szCs w:val="22"/>
          <w:lang w:val="es-ES_tradnl"/>
        </w:rPr>
        <w:t xml:space="preserve"> </w:t>
      </w:r>
      <w:r w:rsidRPr="00DC371E">
        <w:rPr>
          <w:rFonts w:ascii="Arial" w:hAnsi="Arial" w:cs="Arial"/>
          <w:sz w:val="22"/>
          <w:szCs w:val="22"/>
          <w:lang w:val="es-ES_tradnl"/>
        </w:rPr>
        <w:t xml:space="preserve">el informe de supervisión remitido por la </w:t>
      </w:r>
      <w:r>
        <w:rPr>
          <w:rFonts w:ascii="Arial" w:hAnsi="Arial" w:cs="Arial"/>
          <w:sz w:val="22"/>
          <w:szCs w:val="22"/>
          <w:lang w:val="es-ES_tradnl"/>
        </w:rPr>
        <w:t>E</w:t>
      </w:r>
      <w:r w:rsidRPr="00DC371E">
        <w:rPr>
          <w:rFonts w:ascii="Arial" w:hAnsi="Arial" w:cs="Arial"/>
          <w:sz w:val="22"/>
          <w:szCs w:val="22"/>
          <w:lang w:val="es-ES_tradnl"/>
        </w:rPr>
        <w:t xml:space="preserve">ntidad </w:t>
      </w:r>
      <w:r>
        <w:rPr>
          <w:rFonts w:ascii="Arial" w:hAnsi="Arial" w:cs="Arial"/>
          <w:sz w:val="22"/>
          <w:szCs w:val="22"/>
          <w:lang w:val="es-ES_tradnl"/>
        </w:rPr>
        <w:t>T</w:t>
      </w:r>
      <w:r w:rsidRPr="00DC371E">
        <w:rPr>
          <w:rFonts w:ascii="Arial" w:hAnsi="Arial" w:cs="Arial"/>
          <w:sz w:val="22"/>
          <w:szCs w:val="22"/>
          <w:lang w:val="es-ES_tradnl"/>
        </w:rPr>
        <w:t>erritorial el 16 de julio de 2021 bajo el radicado 1-2021-061125 que corresponde a enero de 2021</w:t>
      </w:r>
      <w:r>
        <w:rPr>
          <w:rFonts w:ascii="Arial" w:hAnsi="Arial" w:cs="Arial"/>
          <w:sz w:val="22"/>
          <w:szCs w:val="22"/>
          <w:lang w:val="es-ES_tradnl"/>
        </w:rPr>
        <w:t>, hace referencia en los siguientes aspectos:</w:t>
      </w:r>
    </w:p>
    <w:p w:rsidR="00D75790" w:rsidRPr="00DC371E" w:rsidRDefault="00D75790" w:rsidP="00D75790">
      <w:pPr>
        <w:ind w:left="708"/>
        <w:contextualSpacing/>
        <w:jc w:val="both"/>
        <w:rPr>
          <w:rFonts w:ascii="Arial" w:hAnsi="Arial" w:cs="Arial"/>
          <w:i/>
          <w:iCs/>
          <w:sz w:val="22"/>
          <w:szCs w:val="22"/>
          <w:lang w:val="es-ES_tradnl"/>
        </w:rPr>
      </w:pPr>
    </w:p>
    <w:p w:rsidR="00D75790" w:rsidRPr="00E46D41" w:rsidRDefault="00D75790" w:rsidP="00D75790">
      <w:pPr>
        <w:ind w:left="2124"/>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La cobertura para los sistemas de acueducto y alcantarillado mantiene su comportamiento de muy poco crecimiento y pese a una relativamente alta cobertura</w:t>
      </w:r>
    </w:p>
    <w:p w:rsidR="00D75790" w:rsidRPr="00E46D41" w:rsidRDefault="00D75790" w:rsidP="00D75790">
      <w:pPr>
        <w:ind w:left="2124"/>
        <w:contextualSpacing/>
        <w:jc w:val="both"/>
        <w:rPr>
          <w:rFonts w:ascii="Arial" w:hAnsi="Arial" w:cs="Arial"/>
          <w:i/>
          <w:iCs/>
          <w:sz w:val="18"/>
          <w:szCs w:val="22"/>
          <w:lang w:val="es-ES_tradnl"/>
        </w:rPr>
      </w:pPr>
      <w:r w:rsidRPr="00E46D41">
        <w:rPr>
          <w:rFonts w:ascii="Arial" w:hAnsi="Arial" w:cs="Arial"/>
          <w:i/>
          <w:iCs/>
          <w:sz w:val="18"/>
          <w:szCs w:val="22"/>
          <w:lang w:val="es-ES_tradnl"/>
        </w:rPr>
        <w:t>de redes de agua potable, la cobertura real de consumo es muy baja, dada la gran</w:t>
      </w:r>
    </w:p>
    <w:p w:rsidR="00D75790" w:rsidRPr="00E46D41" w:rsidRDefault="00D75790" w:rsidP="00D75790">
      <w:pPr>
        <w:ind w:left="2124"/>
        <w:contextualSpacing/>
        <w:jc w:val="both"/>
        <w:rPr>
          <w:rFonts w:ascii="Arial" w:hAnsi="Arial" w:cs="Arial"/>
          <w:i/>
          <w:iCs/>
          <w:sz w:val="18"/>
          <w:szCs w:val="22"/>
          <w:lang w:val="es-ES_tradnl"/>
        </w:rPr>
      </w:pPr>
      <w:r w:rsidRPr="00E46D41">
        <w:rPr>
          <w:rFonts w:ascii="Arial" w:hAnsi="Arial" w:cs="Arial"/>
          <w:i/>
          <w:iCs/>
          <w:sz w:val="18"/>
          <w:szCs w:val="22"/>
          <w:lang w:val="es-ES_tradnl"/>
        </w:rPr>
        <w:t>cantidad de usuarios que no consumen.</w:t>
      </w:r>
    </w:p>
    <w:p w:rsidR="00D75790" w:rsidRPr="00E46D41" w:rsidRDefault="00D75790" w:rsidP="00D75790">
      <w:pPr>
        <w:ind w:left="2124"/>
        <w:contextualSpacing/>
        <w:jc w:val="both"/>
        <w:rPr>
          <w:rFonts w:ascii="Arial" w:hAnsi="Arial" w:cs="Arial"/>
          <w:i/>
          <w:iCs/>
          <w:sz w:val="18"/>
          <w:szCs w:val="22"/>
          <w:lang w:val="es-ES_tradnl"/>
        </w:rPr>
      </w:pPr>
    </w:p>
    <w:p w:rsidR="00D75790" w:rsidRPr="00E46D41" w:rsidRDefault="00D75790" w:rsidP="00D75790">
      <w:pPr>
        <w:ind w:left="2124"/>
        <w:contextualSpacing/>
        <w:jc w:val="both"/>
        <w:rPr>
          <w:rFonts w:ascii="Arial" w:hAnsi="Arial" w:cs="Arial"/>
          <w:i/>
          <w:iCs/>
          <w:sz w:val="18"/>
          <w:szCs w:val="22"/>
          <w:lang w:val="es-ES_tradnl"/>
        </w:rPr>
      </w:pPr>
      <w:r w:rsidRPr="00E46D41">
        <w:rPr>
          <w:rFonts w:ascii="Arial" w:hAnsi="Arial" w:cs="Arial"/>
          <w:i/>
          <w:iCs/>
          <w:sz w:val="18"/>
          <w:szCs w:val="22"/>
          <w:lang w:val="es-ES_tradnl"/>
        </w:rPr>
        <w:t>El operador aplica las tarifas contractuales, sin embargo para facturar a los usuarios</w:t>
      </w:r>
    </w:p>
    <w:p w:rsidR="00D75790" w:rsidRPr="00E46D41" w:rsidRDefault="00D75790" w:rsidP="00D75790">
      <w:pPr>
        <w:ind w:left="2124"/>
        <w:contextualSpacing/>
        <w:jc w:val="both"/>
        <w:rPr>
          <w:rFonts w:ascii="Arial" w:hAnsi="Arial" w:cs="Arial"/>
          <w:i/>
          <w:iCs/>
          <w:sz w:val="18"/>
          <w:szCs w:val="22"/>
          <w:lang w:val="es-ES_tradnl"/>
        </w:rPr>
      </w:pPr>
      <w:r w:rsidRPr="00E46D41">
        <w:rPr>
          <w:rFonts w:ascii="Arial" w:hAnsi="Arial" w:cs="Arial"/>
          <w:i/>
          <w:iCs/>
          <w:sz w:val="18"/>
          <w:szCs w:val="22"/>
          <w:lang w:val="es-ES_tradnl"/>
        </w:rPr>
        <w:t>sin medición aplica consumos superiores a los previstos contractualmente y mantiene en los reportes de facturación un significativo número de usuarios que incorporó a facturación puntualmente desde mayo de 2019, pero que no cancelan.</w:t>
      </w:r>
    </w:p>
    <w:p w:rsidR="00D75790" w:rsidRPr="00E46D41" w:rsidRDefault="00D75790" w:rsidP="00D75790">
      <w:pPr>
        <w:ind w:left="2124"/>
        <w:contextualSpacing/>
        <w:jc w:val="both"/>
        <w:rPr>
          <w:rFonts w:ascii="Arial" w:hAnsi="Arial" w:cs="Arial"/>
          <w:i/>
          <w:iCs/>
          <w:sz w:val="18"/>
          <w:szCs w:val="22"/>
          <w:lang w:val="es-ES_tradnl"/>
        </w:rPr>
      </w:pPr>
    </w:p>
    <w:p w:rsidR="00D75790" w:rsidRPr="00E46D41" w:rsidRDefault="00D75790" w:rsidP="00D75790">
      <w:pPr>
        <w:ind w:left="2124"/>
        <w:contextualSpacing/>
        <w:jc w:val="both"/>
        <w:rPr>
          <w:rFonts w:ascii="Arial" w:hAnsi="Arial" w:cs="Arial"/>
          <w:i/>
          <w:iCs/>
          <w:sz w:val="18"/>
          <w:szCs w:val="22"/>
          <w:lang w:val="es-ES_tradnl"/>
        </w:rPr>
      </w:pPr>
      <w:r w:rsidRPr="00E46D41">
        <w:rPr>
          <w:rFonts w:ascii="Arial" w:hAnsi="Arial" w:cs="Arial"/>
          <w:i/>
          <w:iCs/>
          <w:sz w:val="18"/>
          <w:szCs w:val="22"/>
          <w:lang w:val="es-ES_tradnl"/>
        </w:rPr>
        <w:t>Se señala que la entrada en operación de las nuevas plantas, sin que se haya incrementado el consumo de los usuarios, especialmente de los residenciales, y sin haber logrado controlar el IANC genera enormes riesgos de viabilidad técnica y especialmente económica a la operación. Ingresar más agua a un sistema de distribución no controlado repercute inmediatamente en los volúmenes de agua perdida y no lograr incentivar la demanda, generará un importante y grave lucro cesante de capacidad de producción en la Isla</w:t>
      </w:r>
      <w:r w:rsidRPr="00E46D41">
        <w:rPr>
          <w:rFonts w:ascii="Arial" w:hAnsi="Arial" w:cs="Arial"/>
          <w:iCs/>
          <w:sz w:val="18"/>
          <w:szCs w:val="22"/>
          <w:lang w:val="es-ES_tradnl"/>
        </w:rPr>
        <w:t>”.</w:t>
      </w:r>
    </w:p>
    <w:p w:rsidR="00D75790" w:rsidRPr="00DC371E" w:rsidRDefault="00D75790" w:rsidP="00D75790">
      <w:pPr>
        <w:contextualSpacing/>
        <w:jc w:val="both"/>
        <w:rPr>
          <w:rFonts w:ascii="Arial" w:hAnsi="Arial" w:cs="Arial"/>
          <w:i/>
          <w:iCs/>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736BE8">
        <w:rPr>
          <w:rFonts w:ascii="Arial" w:hAnsi="Arial" w:cs="Arial"/>
          <w:sz w:val="22"/>
          <w:szCs w:val="22"/>
          <w:lang w:val="es-ES_tradnl"/>
        </w:rPr>
        <w:t xml:space="preserve">Al respecto se evidencia, a través de los informes de Supervisión que no se mejorará la prestación de Veolia con la construcción de nuevas obras y proyectos. Se debe optimizar la prestación actual del </w:t>
      </w:r>
      <w:r>
        <w:rPr>
          <w:rFonts w:ascii="Arial" w:hAnsi="Arial" w:cs="Arial"/>
          <w:sz w:val="22"/>
          <w:szCs w:val="22"/>
          <w:lang w:val="es-ES_tradnl"/>
        </w:rPr>
        <w:t>S</w:t>
      </w:r>
      <w:r w:rsidRPr="00736BE8">
        <w:rPr>
          <w:rFonts w:ascii="Arial" w:hAnsi="Arial" w:cs="Arial"/>
          <w:sz w:val="22"/>
          <w:szCs w:val="22"/>
          <w:lang w:val="es-ES_tradnl"/>
        </w:rPr>
        <w:t xml:space="preserve">ervicio en relación con los niveles de pérdidas del sistema y la medición de los consumos de los usuarios, para poder ampliar la cobertura de estos servicios públicos. En este sentido y si no se toman correctivos inmediatos, la Supervisión manifestó que existen enormes riesgos de viabilidad técnica y económica para la </w:t>
      </w:r>
      <w:r>
        <w:rPr>
          <w:rFonts w:ascii="Arial" w:hAnsi="Arial" w:cs="Arial"/>
          <w:sz w:val="22"/>
          <w:szCs w:val="22"/>
          <w:lang w:val="es-ES_tradnl"/>
        </w:rPr>
        <w:t>o</w:t>
      </w:r>
      <w:r w:rsidRPr="00736BE8">
        <w:rPr>
          <w:rFonts w:ascii="Arial" w:hAnsi="Arial" w:cs="Arial"/>
          <w:sz w:val="22"/>
          <w:szCs w:val="22"/>
          <w:lang w:val="es-ES_tradnl"/>
        </w:rPr>
        <w:t>peración.</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18"/>
          <w:lang w:val="es-ES_tradnl"/>
        </w:rPr>
      </w:pPr>
      <w:r w:rsidRPr="00E46D41">
        <w:rPr>
          <w:rFonts w:ascii="Arial" w:hAnsi="Arial" w:cs="Arial"/>
          <w:iCs/>
          <w:sz w:val="18"/>
          <w:szCs w:val="18"/>
          <w:lang w:val="es-ES_tradnl"/>
        </w:rPr>
        <w:t>“</w:t>
      </w:r>
      <w:r w:rsidRPr="00E46D41">
        <w:rPr>
          <w:rFonts w:ascii="Arial" w:hAnsi="Arial" w:cs="Arial"/>
          <w:i/>
          <w:iCs/>
          <w:sz w:val="18"/>
          <w:szCs w:val="18"/>
          <w:lang w:val="es-ES_tradnl"/>
        </w:rPr>
        <w:t>Salvo los dos primeros años, durante la Operación, el consumo en la isla ha sido significativamente más bajo que en el resto del país, debido a varias razones, siendo la más significativa el alto valor de las tarifas que debieron pagar los usuarios entre los años 3 y 14 de operación. La tarifa (y la cartera que consecuentemente se generó) constituyeron una barrera de entrada que llevó a que el consumo residencial en San Andrés llegara a ser críticamente bajo, apreciablemente inferior incluso a ciudades con mayor pluviosidad y menor capacidad de pago, como los municipios de la costa pacífica.</w:t>
      </w:r>
    </w:p>
    <w:p w:rsidR="00D75790" w:rsidRPr="00E46D41" w:rsidRDefault="00D75790" w:rsidP="00D75790">
      <w:pPr>
        <w:ind w:left="1416"/>
        <w:contextualSpacing/>
        <w:jc w:val="both"/>
        <w:rPr>
          <w:rFonts w:ascii="Arial" w:hAnsi="Arial" w:cs="Arial"/>
          <w:i/>
          <w:iCs/>
          <w:sz w:val="18"/>
          <w:szCs w:val="18"/>
          <w:lang w:val="es-ES_tradnl"/>
        </w:rPr>
      </w:pPr>
    </w:p>
    <w:p w:rsidR="00D75790" w:rsidRPr="00E46D41" w:rsidRDefault="00D75790" w:rsidP="00D75790">
      <w:pPr>
        <w:ind w:left="1416"/>
        <w:contextualSpacing/>
        <w:jc w:val="both"/>
        <w:rPr>
          <w:rFonts w:ascii="Arial" w:hAnsi="Arial" w:cs="Arial"/>
          <w:i/>
          <w:iCs/>
          <w:sz w:val="18"/>
          <w:szCs w:val="18"/>
          <w:lang w:val="es-ES_tradnl"/>
        </w:rPr>
      </w:pPr>
      <w:r w:rsidRPr="00E46D41">
        <w:rPr>
          <w:rFonts w:ascii="Arial" w:hAnsi="Arial" w:cs="Arial"/>
          <w:i/>
          <w:iCs/>
          <w:sz w:val="18"/>
          <w:szCs w:val="18"/>
          <w:lang w:val="es-ES_tradnl"/>
        </w:rPr>
        <w:t>Con respaldo en el contrato, durante toda la Operación se han manejado factores de subsidio más altos que lo que permite la norma nacional, por lo tanto, se reitera la recomendación a Aguas y al Departamento para gestionar ante el ministerio, la emisión de una norma específica que tenga en cuenta las condiciones de frontera de los costos del servicio en la Isla, muy superiores a los del resto del país</w:t>
      </w:r>
      <w:r w:rsidRPr="00E46D41">
        <w:rPr>
          <w:rFonts w:ascii="Arial" w:hAnsi="Arial" w:cs="Arial"/>
          <w:iCs/>
          <w:sz w:val="18"/>
          <w:szCs w:val="18"/>
          <w:lang w:val="es-ES_tradnl"/>
        </w:rPr>
        <w:t>”.</w:t>
      </w:r>
    </w:p>
    <w:p w:rsidR="00D75790"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lastRenderedPageBreak/>
        <w:t xml:space="preserve">Existen temas </w:t>
      </w:r>
      <w:r w:rsidRPr="00E46D41">
        <w:rPr>
          <w:rFonts w:ascii="Arial" w:hAnsi="Arial" w:cs="Arial"/>
          <w:bCs/>
          <w:sz w:val="22"/>
          <w:szCs w:val="22"/>
          <w:lang w:val="es-ES_tradnl"/>
        </w:rPr>
        <w:t>reiterativos</w:t>
      </w:r>
      <w:r w:rsidRPr="00DC371E">
        <w:rPr>
          <w:rFonts w:ascii="Arial" w:hAnsi="Arial" w:cs="Arial"/>
          <w:sz w:val="22"/>
          <w:szCs w:val="22"/>
          <w:lang w:val="es-ES_tradnl"/>
        </w:rPr>
        <w:t xml:space="preserve"> manifestados por el Supervisor, que no son tenidos en cuenta por el Operador, como lo son:</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 xml:space="preserve">Se </w:t>
      </w:r>
      <w:r w:rsidRPr="00E46D41">
        <w:rPr>
          <w:rFonts w:ascii="Arial" w:hAnsi="Arial" w:cs="Arial"/>
          <w:b/>
          <w:bCs/>
          <w:i/>
          <w:iCs/>
          <w:sz w:val="18"/>
          <w:szCs w:val="22"/>
          <w:lang w:val="es-ES_tradnl"/>
        </w:rPr>
        <w:t>insiste</w:t>
      </w:r>
      <w:r w:rsidRPr="00E46D41">
        <w:rPr>
          <w:rFonts w:ascii="Arial" w:hAnsi="Arial" w:cs="Arial"/>
          <w:i/>
          <w:iCs/>
          <w:sz w:val="18"/>
          <w:szCs w:val="22"/>
          <w:lang w:val="es-ES_tradnl"/>
        </w:rPr>
        <w:t xml:space="preserve"> que el Operador debe mejorar su gestión y su conocimiento sobre el comportamiento de las pérdidas, para así poder controlarlas. Se insiste que el control del ANC es indispensable para alcanzar la viabilidad financiera del servicio de acueducto, dados los altos costos de producción y las restricciones en la capacidad de pago de sus usuarios</w:t>
      </w:r>
      <w:r w:rsidRPr="00E46D41">
        <w:rPr>
          <w:rFonts w:ascii="Arial" w:hAnsi="Arial" w:cs="Arial"/>
          <w:iCs/>
          <w:sz w:val="18"/>
          <w:szCs w:val="22"/>
          <w:lang w:val="es-ES_tradnl"/>
        </w:rPr>
        <w:t>”.</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Pr>
          <w:rFonts w:ascii="Arial" w:hAnsi="Arial" w:cs="Arial"/>
          <w:color w:val="222222"/>
          <w:sz w:val="22"/>
          <w:szCs w:val="22"/>
          <w:lang w:val="es-ES_tradnl"/>
        </w:rPr>
        <w:t>Vale la pena aclarar que h</w:t>
      </w:r>
      <w:r w:rsidRPr="00DC371E">
        <w:rPr>
          <w:rFonts w:ascii="Arial" w:hAnsi="Arial" w:cs="Arial"/>
          <w:color w:val="222222"/>
          <w:sz w:val="22"/>
          <w:szCs w:val="22"/>
          <w:lang w:val="es-ES_tradnl"/>
        </w:rPr>
        <w:t xml:space="preserve">asta el Otrosí No.6 del Contrato de Operación firmado en septiembre de 2008, se incluyó una meta de reducción de pérdidas, la cual quedó condicionada a la ejecución de un Plan de Obras e Inversiones cuya fuente de financiación </w:t>
      </w:r>
      <w:r>
        <w:rPr>
          <w:rFonts w:ascii="Arial" w:hAnsi="Arial" w:cs="Arial"/>
          <w:color w:val="222222"/>
          <w:sz w:val="22"/>
          <w:szCs w:val="22"/>
          <w:lang w:val="es-ES_tradnl"/>
        </w:rPr>
        <w:t>fue</w:t>
      </w:r>
      <w:r w:rsidRPr="00DC371E">
        <w:rPr>
          <w:rFonts w:ascii="Arial" w:hAnsi="Arial" w:cs="Arial"/>
          <w:color w:val="222222"/>
          <w:sz w:val="22"/>
          <w:szCs w:val="22"/>
          <w:lang w:val="es-ES_tradnl"/>
        </w:rPr>
        <w:t xml:space="preserve"> el Plan Departamental de Agua</w:t>
      </w:r>
      <w:r>
        <w:rPr>
          <w:rFonts w:ascii="Arial" w:hAnsi="Arial" w:cs="Arial"/>
          <w:color w:val="222222"/>
          <w:sz w:val="22"/>
          <w:szCs w:val="22"/>
          <w:lang w:val="es-ES_tradnl"/>
        </w:rPr>
        <w:t>, de acuerdo con el último informe de Supervisión realizado por la firma PGP S.A.S.</w:t>
      </w:r>
    </w:p>
    <w:p w:rsidR="00D75790"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Se destaca igualmente que la reducción del caudal suministrado por red y el mantener desde mayo del 2019 la facturación a usuarios no medidos que no cancelan, resta confiabilidad, al cálculo del indicador del ANC, con lo que no es posible precisar que tanto de la reducción de ANC se deba a una mayor efectividad en el control de las pérdidas</w:t>
      </w:r>
      <w:r w:rsidRPr="00E46D41">
        <w:rPr>
          <w:rFonts w:ascii="Arial" w:hAnsi="Arial" w:cs="Arial"/>
          <w:iCs/>
          <w:sz w:val="18"/>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cuanto a la micromedición, el informe de supervisión manifestó que:</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La Supervisión ha requerido al Operador que cumpla su compromiso contractual de instalar medidores domiciliarios y el operador ha dado respuesta señalando su intención de instalar medidores, pero con muy bajos resultados efectivos. El numeral 12.8 del contrato establece que el operador debió tener instalados 862 medidores al término del año 14 de Operación (5 de octubre de 2019) y en el anexo POI del otrosí 9 se estableció que para el término del año 2019 el Operador deberá tener instalados 937 micromedidores a los usuarios que se venían facturando como sin micromedición, el piloto con la instalación de 150 medidores prepago y 492 (38% de 1996 medidores) de reposición; sobre lo cual ha señalado que los adquirió, pero sus avances en instalación son muy bajos</w:t>
      </w:r>
      <w:r w:rsidRPr="00E46D41">
        <w:rPr>
          <w:rFonts w:ascii="Arial" w:hAnsi="Arial" w:cs="Arial"/>
          <w:iCs/>
          <w:sz w:val="18"/>
          <w:szCs w:val="22"/>
          <w:lang w:val="es-ES_tradnl"/>
        </w:rPr>
        <w:t>”.</w:t>
      </w:r>
    </w:p>
    <w:p w:rsidR="00D75790" w:rsidRPr="00E46D41" w:rsidRDefault="00D75790" w:rsidP="00D75790">
      <w:pPr>
        <w:contextualSpacing/>
        <w:jc w:val="both"/>
        <w:rPr>
          <w:rFonts w:ascii="Arial" w:hAnsi="Arial" w:cs="Arial"/>
          <w:iCs/>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Esta Dirección solicitó al Operador certificación sobre la cantidad de medidores instalados y</w:t>
      </w:r>
      <w:r>
        <w:rPr>
          <w:rFonts w:ascii="Arial" w:hAnsi="Arial" w:cs="Arial"/>
          <w:sz w:val="22"/>
          <w:szCs w:val="22"/>
          <w:lang w:val="es-ES_tradnl"/>
        </w:rPr>
        <w:t xml:space="preserve"> su</w:t>
      </w:r>
      <w:r w:rsidRPr="00DC371E">
        <w:rPr>
          <w:rFonts w:ascii="Arial" w:hAnsi="Arial" w:cs="Arial"/>
          <w:sz w:val="22"/>
          <w:szCs w:val="22"/>
          <w:lang w:val="es-ES_tradnl"/>
        </w:rPr>
        <w:t xml:space="preserve"> </w:t>
      </w:r>
      <w:r w:rsidRPr="00E46D41">
        <w:rPr>
          <w:rFonts w:ascii="Arial" w:hAnsi="Arial" w:cs="Arial"/>
          <w:bCs/>
          <w:sz w:val="22"/>
          <w:szCs w:val="22"/>
          <w:lang w:val="es-ES_tradnl"/>
        </w:rPr>
        <w:t>funcionando</w:t>
      </w:r>
      <w:r w:rsidRPr="00DC371E">
        <w:rPr>
          <w:rFonts w:ascii="Arial" w:hAnsi="Arial" w:cs="Arial"/>
          <w:b/>
          <w:bCs/>
          <w:sz w:val="22"/>
          <w:szCs w:val="22"/>
          <w:lang w:val="es-ES_tradnl"/>
        </w:rPr>
        <w:t>.</w:t>
      </w:r>
      <w:r w:rsidRPr="00DC371E">
        <w:rPr>
          <w:rFonts w:ascii="Arial" w:hAnsi="Arial" w:cs="Arial"/>
          <w:sz w:val="22"/>
          <w:szCs w:val="22"/>
          <w:lang w:val="es-ES_tradnl"/>
        </w:rPr>
        <w:t xml:space="preserve"> En respuesta la Entidad remitió el día 16 de julio de 2021 bajo</w:t>
      </w:r>
      <w:r>
        <w:rPr>
          <w:rFonts w:ascii="Arial" w:hAnsi="Arial" w:cs="Arial"/>
          <w:sz w:val="22"/>
          <w:szCs w:val="22"/>
          <w:lang w:val="es-ES_tradnl"/>
        </w:rPr>
        <w:t xml:space="preserve"> el oficio con</w:t>
      </w:r>
      <w:r w:rsidRPr="00DC371E">
        <w:rPr>
          <w:rFonts w:ascii="Arial" w:hAnsi="Arial" w:cs="Arial"/>
          <w:sz w:val="22"/>
          <w:szCs w:val="22"/>
          <w:lang w:val="es-ES_tradnl"/>
        </w:rPr>
        <w:t xml:space="preserve"> radicado </w:t>
      </w:r>
      <w:r>
        <w:rPr>
          <w:rFonts w:ascii="Arial" w:hAnsi="Arial" w:cs="Arial"/>
          <w:sz w:val="22"/>
          <w:szCs w:val="22"/>
          <w:lang w:val="es-ES_tradnl"/>
        </w:rPr>
        <w:t xml:space="preserve">No. </w:t>
      </w:r>
      <w:r w:rsidRPr="00DC371E">
        <w:rPr>
          <w:rFonts w:ascii="Arial" w:hAnsi="Arial" w:cs="Arial"/>
          <w:sz w:val="22"/>
          <w:szCs w:val="22"/>
          <w:lang w:val="es-ES_tradnl"/>
        </w:rPr>
        <w:t>1-2021-061125 la certificación de Veolia dada el día 12 de julio de 2021</w:t>
      </w:r>
      <w:r>
        <w:rPr>
          <w:rFonts w:ascii="Arial" w:hAnsi="Arial" w:cs="Arial"/>
          <w:sz w:val="22"/>
          <w:szCs w:val="22"/>
          <w:lang w:val="es-ES_tradnl"/>
        </w:rPr>
        <w:t xml:space="preserve">, en la cual se indica que </w:t>
      </w:r>
      <w:r w:rsidRPr="00DC371E">
        <w:rPr>
          <w:rFonts w:ascii="Arial" w:hAnsi="Arial" w:cs="Arial"/>
          <w:i/>
          <w:iCs/>
          <w:sz w:val="22"/>
          <w:szCs w:val="22"/>
          <w:lang w:val="es-ES_tradnl"/>
        </w:rPr>
        <w:t xml:space="preserve">“El Inventario de medidores </w:t>
      </w:r>
      <w:r w:rsidRPr="00DC371E">
        <w:rPr>
          <w:rFonts w:ascii="Arial" w:hAnsi="Arial" w:cs="Arial"/>
          <w:b/>
          <w:bCs/>
          <w:i/>
          <w:iCs/>
          <w:sz w:val="22"/>
          <w:szCs w:val="22"/>
          <w:lang w:val="es-ES_tradnl"/>
        </w:rPr>
        <w:t>instalados</w:t>
      </w:r>
      <w:r w:rsidRPr="00DC371E">
        <w:rPr>
          <w:rFonts w:ascii="Arial" w:hAnsi="Arial" w:cs="Arial"/>
          <w:i/>
          <w:iCs/>
          <w:sz w:val="22"/>
          <w:szCs w:val="22"/>
          <w:lang w:val="es-ES_tradnl"/>
        </w:rPr>
        <w:t xml:space="preserve"> es de 4.002”</w:t>
      </w:r>
      <w:r w:rsidRPr="00DC371E">
        <w:rPr>
          <w:rFonts w:ascii="Arial" w:hAnsi="Arial" w:cs="Arial"/>
          <w:sz w:val="22"/>
          <w:szCs w:val="22"/>
          <w:lang w:val="es-ES_tradnl"/>
        </w:rPr>
        <w:t xml:space="preserve">. Datos que no se pueden comparar con los requeridos, ni con los resultados contenidos en los informes de Supervisión, que son muy diferentes a los de esta certificación, como está mencionado en </w:t>
      </w:r>
      <w:r>
        <w:rPr>
          <w:rFonts w:ascii="Arial" w:hAnsi="Arial" w:cs="Arial"/>
          <w:sz w:val="22"/>
          <w:szCs w:val="22"/>
          <w:lang w:val="es-ES_tradnl"/>
        </w:rPr>
        <w:t>la</w:t>
      </w:r>
      <w:r w:rsidRPr="00DC371E">
        <w:rPr>
          <w:rFonts w:ascii="Arial" w:hAnsi="Arial" w:cs="Arial"/>
          <w:sz w:val="22"/>
          <w:szCs w:val="22"/>
          <w:lang w:val="es-ES_tradnl"/>
        </w:rPr>
        <w:t xml:space="preserve"> </w:t>
      </w:r>
      <w:r>
        <w:rPr>
          <w:rFonts w:ascii="Arial" w:hAnsi="Arial" w:cs="Arial"/>
          <w:sz w:val="22"/>
          <w:szCs w:val="22"/>
          <w:lang w:val="es-ES_tradnl"/>
        </w:rPr>
        <w:t>cita</w:t>
      </w:r>
      <w:r w:rsidRPr="00DC371E">
        <w:rPr>
          <w:rFonts w:ascii="Arial" w:hAnsi="Arial" w:cs="Arial"/>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Se pueden identificar incumplimientos contractuales, manifestados en los informes de </w:t>
      </w:r>
      <w:r>
        <w:rPr>
          <w:rFonts w:ascii="Arial" w:hAnsi="Arial" w:cs="Arial"/>
          <w:sz w:val="22"/>
          <w:szCs w:val="22"/>
          <w:lang w:val="es-ES_tradnl"/>
        </w:rPr>
        <w:t>s</w:t>
      </w:r>
      <w:r w:rsidRPr="00DC371E">
        <w:rPr>
          <w:rFonts w:ascii="Arial" w:hAnsi="Arial" w:cs="Arial"/>
          <w:sz w:val="22"/>
          <w:szCs w:val="22"/>
          <w:lang w:val="es-ES_tradnl"/>
        </w:rPr>
        <w:t xml:space="preserve">upervisión que son reiterativos y que podrían causar la terminación del </w:t>
      </w:r>
      <w:r>
        <w:rPr>
          <w:rFonts w:ascii="Arial" w:hAnsi="Arial" w:cs="Arial"/>
          <w:sz w:val="22"/>
          <w:szCs w:val="22"/>
          <w:lang w:val="es-ES_tradnl"/>
        </w:rPr>
        <w:t>C</w:t>
      </w:r>
      <w:r w:rsidRPr="00DC371E">
        <w:rPr>
          <w:rFonts w:ascii="Arial" w:hAnsi="Arial" w:cs="Arial"/>
          <w:sz w:val="22"/>
          <w:szCs w:val="22"/>
          <w:lang w:val="es-ES_tradnl"/>
        </w:rPr>
        <w:t xml:space="preserve">ontrato de Operación. Tal situación pone en riesgo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w:t>
      </w:r>
    </w:p>
    <w:p w:rsidR="00D75790" w:rsidRPr="00DC371E" w:rsidRDefault="00D75790" w:rsidP="00D75790">
      <w:pPr>
        <w:contextualSpacing/>
        <w:jc w:val="both"/>
        <w:rPr>
          <w:rFonts w:ascii="Arial" w:hAnsi="Arial" w:cs="Arial"/>
          <w:i/>
          <w:iCs/>
          <w:sz w:val="22"/>
          <w:szCs w:val="22"/>
          <w:lang w:val="es-ES_tradnl"/>
        </w:rPr>
      </w:pP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r>
        <w:rPr>
          <w:rFonts w:ascii="Arial" w:hAnsi="Arial" w:cs="Arial"/>
          <w:sz w:val="22"/>
          <w:szCs w:val="22"/>
          <w:lang w:val="es-ES_tradnl"/>
        </w:rPr>
        <w:t>Por otro lado, e</w:t>
      </w:r>
      <w:r w:rsidRPr="00DC371E">
        <w:rPr>
          <w:rFonts w:ascii="Arial" w:hAnsi="Arial" w:cs="Arial"/>
          <w:sz w:val="22"/>
          <w:szCs w:val="22"/>
          <w:lang w:val="es-ES_tradnl"/>
        </w:rPr>
        <w:t xml:space="preserve">n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lang w:val="es-ES_tradnl"/>
        </w:rPr>
        <w:t xml:space="preserve">radicado en </w:t>
      </w:r>
      <w:r>
        <w:rPr>
          <w:rFonts w:ascii="Arial" w:hAnsi="Arial" w:cs="Arial"/>
          <w:sz w:val="22"/>
          <w:szCs w:val="22"/>
          <w:lang w:val="es-ES_tradnl"/>
        </w:rPr>
        <w:t>esta</w:t>
      </w:r>
      <w:r w:rsidRPr="00DC371E">
        <w:rPr>
          <w:rFonts w:ascii="Arial" w:hAnsi="Arial" w:cs="Arial"/>
          <w:sz w:val="22"/>
          <w:szCs w:val="22"/>
          <w:lang w:val="es-ES_tradnl"/>
        </w:rPr>
        <w:t xml:space="preserve"> D</w:t>
      </w:r>
      <w:r>
        <w:rPr>
          <w:rFonts w:ascii="Arial" w:hAnsi="Arial" w:cs="Arial"/>
          <w:sz w:val="22"/>
          <w:szCs w:val="22"/>
          <w:lang w:val="es-ES_tradnl"/>
        </w:rPr>
        <w:t>irección</w:t>
      </w:r>
      <w:r w:rsidRPr="00DC371E">
        <w:rPr>
          <w:rFonts w:ascii="Arial" w:hAnsi="Arial" w:cs="Arial"/>
          <w:sz w:val="22"/>
          <w:szCs w:val="22"/>
          <w:lang w:val="es-ES_tradnl"/>
        </w:rPr>
        <w:t xml:space="preserve"> el día 28 de mayo bajo el </w:t>
      </w:r>
      <w:r>
        <w:rPr>
          <w:rFonts w:ascii="Arial" w:hAnsi="Arial" w:cs="Arial"/>
          <w:sz w:val="22"/>
          <w:szCs w:val="22"/>
          <w:lang w:val="es-ES_tradnl"/>
        </w:rPr>
        <w:t xml:space="preserve">radicado </w:t>
      </w:r>
      <w:r w:rsidRPr="00DC371E">
        <w:rPr>
          <w:rFonts w:ascii="Arial" w:hAnsi="Arial" w:cs="Arial"/>
          <w:sz w:val="22"/>
          <w:szCs w:val="22"/>
          <w:lang w:val="es-ES_tradnl"/>
        </w:rPr>
        <w:t>n</w:t>
      </w:r>
      <w:r>
        <w:rPr>
          <w:rFonts w:ascii="Arial" w:hAnsi="Arial" w:cs="Arial"/>
          <w:sz w:val="22"/>
          <w:szCs w:val="22"/>
          <w:lang w:val="es-ES_tradnl"/>
        </w:rPr>
        <w:t>ú</w:t>
      </w:r>
      <w:r w:rsidRPr="00DC371E">
        <w:rPr>
          <w:rFonts w:ascii="Arial" w:hAnsi="Arial" w:cs="Arial"/>
          <w:sz w:val="22"/>
          <w:szCs w:val="22"/>
          <w:lang w:val="es-ES_tradnl"/>
        </w:rPr>
        <w:t>mero</w:t>
      </w:r>
      <w:r w:rsidRPr="00DC371E">
        <w:rPr>
          <w:rFonts w:ascii="Arial" w:hAnsi="Arial" w:cs="Arial"/>
          <w:sz w:val="22"/>
          <w:szCs w:val="22"/>
        </w:rPr>
        <w:t xml:space="preserve"> 1-2021-046779, el MVCT </w:t>
      </w:r>
      <w:r w:rsidRPr="00DC371E">
        <w:rPr>
          <w:rFonts w:ascii="Arial" w:hAnsi="Arial" w:cs="Arial"/>
          <w:sz w:val="22"/>
          <w:szCs w:val="22"/>
          <w:lang w:val="es-ES_tradnl"/>
        </w:rPr>
        <w:t>manifestó que, a marzo de 2021</w:t>
      </w:r>
      <w:r>
        <w:rPr>
          <w:rFonts w:ascii="Arial" w:hAnsi="Arial" w:cs="Arial"/>
          <w:sz w:val="22"/>
          <w:szCs w:val="22"/>
          <w:lang w:val="es-ES_tradnl"/>
        </w:rPr>
        <w:t xml:space="preserve"> la cobertura de acueducto es de</w:t>
      </w:r>
      <w:r w:rsidRPr="00DC371E">
        <w:rPr>
          <w:rFonts w:ascii="Arial" w:hAnsi="Arial" w:cs="Arial"/>
          <w:sz w:val="22"/>
          <w:szCs w:val="22"/>
          <w:lang w:val="es-ES_tradnl"/>
        </w:rPr>
        <w:t xml:space="preserve"> 11.592 </w:t>
      </w:r>
      <w:r w:rsidRPr="00DC371E">
        <w:rPr>
          <w:rFonts w:ascii="Arial" w:hAnsi="Arial" w:cs="Arial"/>
          <w:sz w:val="22"/>
          <w:szCs w:val="22"/>
          <w:lang w:val="es-ES_tradnl"/>
        </w:rPr>
        <w:lastRenderedPageBreak/>
        <w:t>suscriptores</w:t>
      </w:r>
      <w:r w:rsidRPr="00DC371E">
        <w:rPr>
          <w:rStyle w:val="Refdenotaalpie"/>
          <w:rFonts w:ascii="Arial" w:hAnsi="Arial" w:cs="Arial"/>
          <w:sz w:val="22"/>
          <w:szCs w:val="22"/>
          <w:lang w:val="es-ES_tradnl"/>
        </w:rPr>
        <w:footnoteReference w:id="3"/>
      </w:r>
      <w:r>
        <w:rPr>
          <w:rFonts w:ascii="Arial" w:hAnsi="Arial" w:cs="Arial"/>
          <w:sz w:val="22"/>
          <w:szCs w:val="22"/>
          <w:lang w:val="es-ES_tradnl"/>
        </w:rPr>
        <w:t>. De los cuales</w:t>
      </w:r>
      <w:r w:rsidRPr="00DC371E">
        <w:rPr>
          <w:rFonts w:ascii="Arial" w:hAnsi="Arial" w:cs="Arial"/>
          <w:sz w:val="22"/>
          <w:szCs w:val="22"/>
          <w:lang w:val="es-ES_tradnl"/>
        </w:rPr>
        <w:t xml:space="preserve"> 2.497</w:t>
      </w:r>
      <w:r>
        <w:rPr>
          <w:rFonts w:ascii="Arial" w:hAnsi="Arial" w:cs="Arial"/>
          <w:sz w:val="22"/>
          <w:szCs w:val="22"/>
          <w:lang w:val="es-ES_tradnl"/>
        </w:rPr>
        <w:t xml:space="preserve"> suscriptores son renuentes, y para a</w:t>
      </w:r>
      <w:r w:rsidRPr="00DC371E">
        <w:rPr>
          <w:rFonts w:ascii="Arial" w:hAnsi="Arial" w:cs="Arial"/>
          <w:sz w:val="22"/>
          <w:szCs w:val="22"/>
          <w:lang w:val="es-ES_tradnl"/>
        </w:rPr>
        <w:t xml:space="preserve"> </w:t>
      </w:r>
      <w:r>
        <w:rPr>
          <w:rFonts w:ascii="Arial" w:hAnsi="Arial" w:cs="Arial"/>
          <w:sz w:val="22"/>
          <w:szCs w:val="22"/>
          <w:lang w:val="es-ES_tradnl"/>
        </w:rPr>
        <w:t>alcantarillado, la cobertura es de</w:t>
      </w:r>
      <w:r w:rsidRPr="00DC371E">
        <w:rPr>
          <w:rFonts w:ascii="Arial" w:hAnsi="Arial" w:cs="Arial"/>
          <w:sz w:val="22"/>
          <w:szCs w:val="22"/>
          <w:lang w:val="es-ES_tradnl"/>
        </w:rPr>
        <w:t xml:space="preserve"> 5.606 suscriptores</w:t>
      </w:r>
      <w:r>
        <w:rPr>
          <w:rFonts w:ascii="Arial" w:hAnsi="Arial" w:cs="Arial"/>
          <w:sz w:val="22"/>
          <w:szCs w:val="22"/>
          <w:lang w:val="es-ES_tradnl"/>
        </w:rPr>
        <w:t>, de los cuales, 315 son renuentes</w:t>
      </w:r>
      <w:r w:rsidRPr="00DC371E">
        <w:rPr>
          <w:rFonts w:ascii="Arial" w:hAnsi="Arial" w:cs="Arial"/>
          <w:sz w:val="22"/>
          <w:szCs w:val="22"/>
          <w:lang w:val="es-ES_tradnl"/>
        </w:rPr>
        <w:t>. En este sentido existirían 9.095 suscriptores de acueducto y 5.291 suscriptores de alcantarillado.</w:t>
      </w:r>
      <w:r>
        <w:rPr>
          <w:rFonts w:ascii="Arial" w:hAnsi="Arial" w:cs="Arial"/>
          <w:sz w:val="22"/>
          <w:szCs w:val="22"/>
          <w:lang w:val="es-ES_tradnl"/>
        </w:rPr>
        <w:t xml:space="preserve"> </w:t>
      </w: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r>
        <w:rPr>
          <w:rFonts w:ascii="Arial" w:hAnsi="Arial" w:cs="Arial"/>
          <w:sz w:val="22"/>
          <w:szCs w:val="22"/>
          <w:lang w:val="es-ES_tradnl"/>
        </w:rPr>
        <w:t>Igualmente, e</w:t>
      </w:r>
      <w:r w:rsidRPr="00DC371E">
        <w:rPr>
          <w:rFonts w:ascii="Arial" w:hAnsi="Arial" w:cs="Arial"/>
          <w:sz w:val="22"/>
          <w:szCs w:val="22"/>
          <w:lang w:val="es-ES_tradnl"/>
        </w:rPr>
        <w:t xml:space="preserve">xisten lugares con disponibilidad de servicio donde los usuarios no quieren conectarse. En el </w:t>
      </w:r>
      <w:r>
        <w:rPr>
          <w:rFonts w:ascii="Arial" w:hAnsi="Arial" w:cs="Arial"/>
          <w:sz w:val="22"/>
          <w:szCs w:val="22"/>
          <w:lang w:val="es-ES_tradnl"/>
        </w:rPr>
        <w:t>C</w:t>
      </w:r>
      <w:r w:rsidRPr="00DC371E">
        <w:rPr>
          <w:rFonts w:ascii="Arial" w:hAnsi="Arial" w:cs="Arial"/>
          <w:sz w:val="22"/>
          <w:szCs w:val="22"/>
          <w:lang w:val="es-ES_tradnl"/>
        </w:rPr>
        <w:t xml:space="preserve">ontrato de </w:t>
      </w:r>
      <w:r>
        <w:rPr>
          <w:rFonts w:ascii="Arial" w:hAnsi="Arial" w:cs="Arial"/>
          <w:sz w:val="22"/>
          <w:szCs w:val="22"/>
          <w:lang w:val="es-ES_tradnl"/>
        </w:rPr>
        <w:t>O</w:t>
      </w:r>
      <w:r w:rsidRPr="00DC371E">
        <w:rPr>
          <w:rFonts w:ascii="Arial" w:hAnsi="Arial" w:cs="Arial"/>
          <w:sz w:val="22"/>
          <w:szCs w:val="22"/>
          <w:lang w:val="es-ES_tradnl"/>
        </w:rPr>
        <w:t xml:space="preserve">peración se definen como usuarios renuentes aquellos que a pesar de contar con la acometida </w:t>
      </w:r>
      <w:r w:rsidRPr="00DC371E">
        <w:rPr>
          <w:rFonts w:ascii="Arial" w:hAnsi="Arial" w:cs="Arial"/>
          <w:b/>
          <w:bCs/>
          <w:sz w:val="22"/>
          <w:szCs w:val="22"/>
          <w:lang w:val="es-ES_tradnl"/>
        </w:rPr>
        <w:t>no construyen la intradomiciliaria</w:t>
      </w:r>
      <w:r>
        <w:rPr>
          <w:rStyle w:val="Refdenotaalpie"/>
          <w:rFonts w:ascii="Arial" w:hAnsi="Arial"/>
          <w:b/>
          <w:bCs/>
          <w:sz w:val="22"/>
          <w:szCs w:val="22"/>
          <w:lang w:val="es-ES_tradnl"/>
        </w:rPr>
        <w:footnoteReference w:id="4"/>
      </w:r>
      <w:r w:rsidRPr="00DC371E">
        <w:rPr>
          <w:rFonts w:ascii="Arial" w:hAnsi="Arial" w:cs="Arial"/>
          <w:b/>
          <w:bCs/>
          <w:sz w:val="22"/>
          <w:szCs w:val="22"/>
          <w:lang w:val="es-ES_tradnl"/>
        </w:rPr>
        <w:t xml:space="preserve">. </w:t>
      </w:r>
      <w:r w:rsidRPr="00DC371E">
        <w:rPr>
          <w:rFonts w:ascii="Arial" w:hAnsi="Arial" w:cs="Arial"/>
          <w:sz w:val="22"/>
          <w:szCs w:val="22"/>
          <w:lang w:val="es-ES_tradnl"/>
        </w:rPr>
        <w:t>En este sentido,</w:t>
      </w:r>
      <w:r>
        <w:rPr>
          <w:rFonts w:ascii="Arial" w:hAnsi="Arial" w:cs="Arial"/>
          <w:sz w:val="22"/>
          <w:szCs w:val="22"/>
          <w:lang w:val="es-ES_tradnl"/>
        </w:rPr>
        <w:t xml:space="preserve"> la construcción de la conexión intradomiciliaria por parte de los usuarios renuentes elevaría </w:t>
      </w:r>
      <w:r w:rsidRPr="00DC371E">
        <w:rPr>
          <w:rFonts w:ascii="Arial" w:hAnsi="Arial" w:cs="Arial"/>
          <w:sz w:val="22"/>
          <w:szCs w:val="22"/>
          <w:lang w:val="es-ES_tradnl"/>
        </w:rPr>
        <w:t>los costos de la prestación del servicio público domiciliario de acueducto</w:t>
      </w:r>
      <w:r>
        <w:rPr>
          <w:rFonts w:ascii="Arial" w:hAnsi="Arial" w:cs="Arial"/>
          <w:sz w:val="22"/>
          <w:szCs w:val="22"/>
          <w:lang w:val="es-ES_tradnl"/>
        </w:rPr>
        <w:t>.</w:t>
      </w: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p>
    <w:p w:rsidR="00D75790" w:rsidRPr="00DC371E" w:rsidRDefault="00D75790" w:rsidP="00D75790">
      <w:pPr>
        <w:autoSpaceDE w:val="0"/>
        <w:autoSpaceDN w:val="0"/>
        <w:adjustRightInd w:val="0"/>
        <w:contextualSpacing/>
        <w:jc w:val="both"/>
        <w:rPr>
          <w:rFonts w:ascii="Arial" w:hAnsi="Arial" w:cs="Arial"/>
          <w:sz w:val="22"/>
          <w:szCs w:val="22"/>
          <w:lang w:val="es-ES_tradnl"/>
        </w:rPr>
      </w:pPr>
      <w:r w:rsidRPr="00DC371E">
        <w:rPr>
          <w:rFonts w:ascii="Arial" w:hAnsi="Arial" w:cs="Arial"/>
          <w:sz w:val="22"/>
          <w:szCs w:val="22"/>
          <w:lang w:val="es-ES_tradnl"/>
        </w:rPr>
        <w:t>De acuerdo con lo manifestado por la Entidad</w:t>
      </w:r>
      <w:r>
        <w:rPr>
          <w:rFonts w:ascii="Arial" w:hAnsi="Arial" w:cs="Arial"/>
          <w:sz w:val="22"/>
          <w:szCs w:val="22"/>
          <w:lang w:val="es-ES_tradnl"/>
        </w:rPr>
        <w:t xml:space="preserve"> Territorial</w:t>
      </w:r>
      <w:r w:rsidRPr="00DC371E">
        <w:rPr>
          <w:rFonts w:ascii="Arial" w:hAnsi="Arial" w:cs="Arial"/>
          <w:sz w:val="22"/>
          <w:szCs w:val="22"/>
          <w:lang w:val="es-ES_tradnl"/>
        </w:rPr>
        <w:t>, el agua en carrotanques se suministra a los usuarios del sistema cuando lo solicitan o cuando por algún motivo durante el suministro en los sectores discontinuos los usuarios no alcanzan a llenar sus tanques de almacenamiento.</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autoSpaceDE w:val="0"/>
        <w:autoSpaceDN w:val="0"/>
        <w:adjustRightInd w:val="0"/>
        <w:contextualSpacing/>
        <w:jc w:val="both"/>
        <w:rPr>
          <w:rFonts w:ascii="Arial" w:hAnsi="Arial" w:cs="Arial"/>
          <w:sz w:val="22"/>
          <w:szCs w:val="22"/>
          <w:lang w:val="es-ES_tradnl"/>
        </w:rPr>
      </w:pPr>
      <w:r w:rsidRPr="00DC371E">
        <w:rPr>
          <w:rFonts w:ascii="Arial" w:hAnsi="Arial" w:cs="Arial"/>
          <w:sz w:val="22"/>
          <w:szCs w:val="22"/>
          <w:lang w:val="es-ES_tradnl"/>
        </w:rPr>
        <w:t xml:space="preserve">Por otro lado,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lang w:val="es-ES_tradnl"/>
        </w:rPr>
        <w:t xml:space="preserve">elaborado por el MVCT, radicado en </w:t>
      </w:r>
      <w:r>
        <w:rPr>
          <w:rFonts w:ascii="Arial" w:hAnsi="Arial" w:cs="Arial"/>
          <w:sz w:val="22"/>
          <w:szCs w:val="22"/>
          <w:lang w:val="es-ES_tradnl"/>
        </w:rPr>
        <w:t>esta Dirección</w:t>
      </w:r>
      <w:r w:rsidRPr="00DC371E">
        <w:rPr>
          <w:rFonts w:ascii="Arial" w:hAnsi="Arial" w:cs="Arial"/>
          <w:sz w:val="22"/>
          <w:szCs w:val="22"/>
          <w:lang w:val="es-ES_tradnl"/>
        </w:rPr>
        <w:t xml:space="preserve"> el día 28 de mayo bajo el </w:t>
      </w:r>
      <w:r>
        <w:rPr>
          <w:rFonts w:ascii="Arial" w:hAnsi="Arial" w:cs="Arial"/>
          <w:sz w:val="22"/>
          <w:szCs w:val="22"/>
          <w:lang w:val="es-ES_tradnl"/>
        </w:rPr>
        <w:t xml:space="preserve">radicado </w:t>
      </w:r>
      <w:r w:rsidRPr="00DC371E">
        <w:rPr>
          <w:rFonts w:ascii="Arial" w:hAnsi="Arial" w:cs="Arial"/>
          <w:sz w:val="22"/>
          <w:szCs w:val="22"/>
          <w:lang w:val="es-ES_tradnl"/>
        </w:rPr>
        <w:t>n</w:t>
      </w:r>
      <w:r>
        <w:rPr>
          <w:rFonts w:ascii="Arial" w:hAnsi="Arial" w:cs="Arial"/>
          <w:sz w:val="22"/>
          <w:szCs w:val="22"/>
          <w:lang w:val="es-ES_tradnl"/>
        </w:rPr>
        <w:t>ú</w:t>
      </w:r>
      <w:r w:rsidRPr="00DC371E">
        <w:rPr>
          <w:rFonts w:ascii="Arial" w:hAnsi="Arial" w:cs="Arial"/>
          <w:sz w:val="22"/>
          <w:szCs w:val="22"/>
          <w:lang w:val="es-ES_tradnl"/>
        </w:rPr>
        <w:t>mero</w:t>
      </w:r>
      <w:r w:rsidRPr="00DC371E">
        <w:rPr>
          <w:rFonts w:ascii="Arial" w:hAnsi="Arial" w:cs="Arial"/>
          <w:sz w:val="22"/>
          <w:szCs w:val="22"/>
        </w:rPr>
        <w:t xml:space="preserve"> 1-2021-046779, manifestó que existe </w:t>
      </w:r>
      <w:r w:rsidRPr="00DC371E">
        <w:rPr>
          <w:rFonts w:ascii="Arial" w:hAnsi="Arial" w:cs="Arial"/>
          <w:sz w:val="22"/>
          <w:szCs w:val="22"/>
          <w:lang w:val="es-ES_tradnl"/>
        </w:rPr>
        <w:t xml:space="preserve">controversia entre el </w:t>
      </w:r>
      <w:r>
        <w:rPr>
          <w:rFonts w:ascii="Arial" w:hAnsi="Arial" w:cs="Arial"/>
          <w:sz w:val="22"/>
          <w:szCs w:val="22"/>
          <w:lang w:val="es-ES_tradnl"/>
        </w:rPr>
        <w:t>D</w:t>
      </w:r>
      <w:r w:rsidRPr="00DC371E">
        <w:rPr>
          <w:rFonts w:ascii="Arial" w:hAnsi="Arial" w:cs="Arial"/>
          <w:sz w:val="22"/>
          <w:szCs w:val="22"/>
          <w:lang w:val="es-ES_tradnl"/>
        </w:rPr>
        <w:t xml:space="preserve">epartamento y Veolia Aguas del Archipiélago S.A E.S.P., respecto al resultado del balance del esquema solidario en el periodo comprendido entre 2014 y 2019. De acuerdo con el documento, hasta febrero de 2019 la </w:t>
      </w:r>
      <w:r>
        <w:rPr>
          <w:rFonts w:ascii="Arial" w:hAnsi="Arial" w:cs="Arial"/>
          <w:sz w:val="22"/>
          <w:szCs w:val="22"/>
          <w:lang w:val="es-ES_tradnl"/>
        </w:rPr>
        <w:t>E</w:t>
      </w:r>
      <w:r w:rsidRPr="00DC371E">
        <w:rPr>
          <w:rFonts w:ascii="Arial" w:hAnsi="Arial" w:cs="Arial"/>
          <w:sz w:val="22"/>
          <w:szCs w:val="22"/>
          <w:lang w:val="es-ES_tradnl"/>
        </w:rPr>
        <w:t xml:space="preserve">mpresa </w:t>
      </w:r>
      <w:r>
        <w:rPr>
          <w:rFonts w:ascii="Arial" w:hAnsi="Arial" w:cs="Arial"/>
          <w:sz w:val="22"/>
          <w:szCs w:val="22"/>
          <w:lang w:val="es-ES_tradnl"/>
        </w:rPr>
        <w:t>P</w:t>
      </w:r>
      <w:r w:rsidRPr="00DC371E">
        <w:rPr>
          <w:rFonts w:ascii="Arial" w:hAnsi="Arial" w:cs="Arial"/>
          <w:sz w:val="22"/>
          <w:szCs w:val="22"/>
          <w:lang w:val="es-ES_tradnl"/>
        </w:rPr>
        <w:t xml:space="preserve">restadora pretendía reclamar $9.598 millones, mientras como resultado de los análisis realizados por la Supervisión del </w:t>
      </w:r>
      <w:r>
        <w:rPr>
          <w:rFonts w:ascii="Arial" w:hAnsi="Arial" w:cs="Arial"/>
          <w:sz w:val="22"/>
          <w:szCs w:val="22"/>
          <w:lang w:val="es-ES_tradnl"/>
        </w:rPr>
        <w:t>C</w:t>
      </w:r>
      <w:r w:rsidRPr="00DC371E">
        <w:rPr>
          <w:rFonts w:ascii="Arial" w:hAnsi="Arial" w:cs="Arial"/>
          <w:sz w:val="22"/>
          <w:szCs w:val="22"/>
          <w:lang w:val="es-ES_tradnl"/>
        </w:rPr>
        <w:t xml:space="preserve">ontrato de </w:t>
      </w:r>
      <w:r>
        <w:rPr>
          <w:rFonts w:ascii="Arial" w:hAnsi="Arial" w:cs="Arial"/>
          <w:sz w:val="22"/>
          <w:szCs w:val="22"/>
          <w:lang w:val="es-ES_tradnl"/>
        </w:rPr>
        <w:t>O</w:t>
      </w:r>
      <w:r w:rsidRPr="00DC371E">
        <w:rPr>
          <w:rFonts w:ascii="Arial" w:hAnsi="Arial" w:cs="Arial"/>
          <w:sz w:val="22"/>
          <w:szCs w:val="22"/>
          <w:lang w:val="es-ES_tradnl"/>
        </w:rPr>
        <w:t xml:space="preserve">peración, la </w:t>
      </w:r>
      <w:r>
        <w:rPr>
          <w:rFonts w:ascii="Arial" w:hAnsi="Arial" w:cs="Arial"/>
          <w:sz w:val="22"/>
          <w:szCs w:val="22"/>
          <w:lang w:val="es-ES_tradnl"/>
        </w:rPr>
        <w:t>E</w:t>
      </w:r>
      <w:r w:rsidRPr="00DC371E">
        <w:rPr>
          <w:rFonts w:ascii="Arial" w:hAnsi="Arial" w:cs="Arial"/>
          <w:sz w:val="22"/>
          <w:szCs w:val="22"/>
          <w:lang w:val="es-ES_tradnl"/>
        </w:rPr>
        <w:t xml:space="preserve">mpresa debería trasladar al </w:t>
      </w:r>
      <w:r>
        <w:rPr>
          <w:rFonts w:ascii="Arial" w:hAnsi="Arial" w:cs="Arial"/>
          <w:sz w:val="22"/>
          <w:szCs w:val="22"/>
          <w:lang w:val="es-ES_tradnl"/>
        </w:rPr>
        <w:t xml:space="preserve">Fondo de Solidaridad y Redistribución del Ingreso - </w:t>
      </w:r>
      <w:r w:rsidRPr="00DC371E">
        <w:rPr>
          <w:rFonts w:ascii="Arial" w:hAnsi="Arial" w:cs="Arial"/>
          <w:sz w:val="22"/>
          <w:szCs w:val="22"/>
          <w:lang w:val="es-ES_tradnl"/>
        </w:rPr>
        <w:t>FSRI $5.008 millones. Esta situación también pone en riesgo la prestación del servicio.</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autoSpaceDE w:val="0"/>
        <w:autoSpaceDN w:val="0"/>
        <w:adjustRightInd w:val="0"/>
        <w:contextualSpacing/>
        <w:jc w:val="both"/>
        <w:rPr>
          <w:rFonts w:ascii="Arial" w:hAnsi="Arial" w:cs="Arial"/>
          <w:b/>
          <w:bCs/>
          <w:sz w:val="22"/>
          <w:szCs w:val="22"/>
          <w:lang w:val="es-ES_tradnl"/>
        </w:rPr>
      </w:pPr>
      <w:r w:rsidRPr="00DC371E">
        <w:rPr>
          <w:rFonts w:ascii="Arial" w:hAnsi="Arial" w:cs="Arial"/>
          <w:b/>
          <w:bCs/>
          <w:sz w:val="22"/>
          <w:szCs w:val="22"/>
          <w:lang w:val="es-ES_tradnl"/>
        </w:rPr>
        <w:t>LICENCIAS CORALINA.</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autoSpaceDE w:val="0"/>
        <w:autoSpaceDN w:val="0"/>
        <w:adjustRightInd w:val="0"/>
        <w:contextualSpacing/>
        <w:jc w:val="both"/>
        <w:rPr>
          <w:rFonts w:ascii="Arial" w:hAnsi="Arial" w:cs="Arial"/>
          <w:sz w:val="22"/>
          <w:szCs w:val="22"/>
          <w:lang w:val="es-ES_tradnl"/>
        </w:rPr>
      </w:pPr>
      <w:r w:rsidRPr="00DC371E">
        <w:rPr>
          <w:rFonts w:ascii="Arial" w:hAnsi="Arial" w:cs="Arial"/>
          <w:sz w:val="22"/>
          <w:szCs w:val="22"/>
          <w:lang w:val="es-ES_tradnl"/>
        </w:rPr>
        <w:t xml:space="preserve">Adicional a lo anterior, la Entidad Territorial el día 16 de julio de 2021 </w:t>
      </w:r>
      <w:r>
        <w:rPr>
          <w:rFonts w:ascii="Arial" w:hAnsi="Arial" w:cs="Arial"/>
          <w:sz w:val="22"/>
          <w:szCs w:val="22"/>
          <w:lang w:val="es-ES_tradnl"/>
        </w:rPr>
        <w:t>mediante oficio con</w:t>
      </w:r>
      <w:r w:rsidRPr="00DC371E">
        <w:rPr>
          <w:rFonts w:ascii="Arial" w:hAnsi="Arial" w:cs="Arial"/>
          <w:sz w:val="22"/>
          <w:szCs w:val="22"/>
          <w:lang w:val="es-ES_tradnl"/>
        </w:rPr>
        <w:t xml:space="preserve"> radicado </w:t>
      </w:r>
      <w:r>
        <w:rPr>
          <w:rFonts w:ascii="Arial" w:hAnsi="Arial" w:cs="Arial"/>
          <w:sz w:val="22"/>
          <w:szCs w:val="22"/>
          <w:lang w:val="es-ES_tradnl"/>
        </w:rPr>
        <w:t xml:space="preserve">número </w:t>
      </w:r>
      <w:r w:rsidRPr="00DC371E">
        <w:rPr>
          <w:rFonts w:ascii="Arial" w:hAnsi="Arial" w:cs="Arial"/>
          <w:sz w:val="22"/>
          <w:szCs w:val="22"/>
          <w:lang w:val="es-ES_tradnl"/>
        </w:rPr>
        <w:t xml:space="preserve">1-2021-061625, aportó </w:t>
      </w:r>
      <w:r>
        <w:rPr>
          <w:rFonts w:ascii="Arial" w:hAnsi="Arial" w:cs="Arial"/>
          <w:sz w:val="22"/>
          <w:szCs w:val="22"/>
          <w:lang w:val="es-ES_tradnl"/>
        </w:rPr>
        <w:t xml:space="preserve">un oficio </w:t>
      </w:r>
      <w:r w:rsidRPr="00DC371E">
        <w:rPr>
          <w:rFonts w:ascii="Arial" w:hAnsi="Arial" w:cs="Arial"/>
          <w:sz w:val="22"/>
          <w:szCs w:val="22"/>
          <w:lang w:val="es-ES_tradnl"/>
        </w:rPr>
        <w:t xml:space="preserve">de Veolia </w:t>
      </w:r>
      <w:r>
        <w:rPr>
          <w:rFonts w:ascii="Arial" w:hAnsi="Arial" w:cs="Arial"/>
          <w:sz w:val="22"/>
          <w:szCs w:val="22"/>
          <w:lang w:val="es-ES_tradnl"/>
        </w:rPr>
        <w:t xml:space="preserve">fechado el </w:t>
      </w:r>
      <w:r w:rsidRPr="00DC371E">
        <w:rPr>
          <w:rFonts w:ascii="Arial" w:hAnsi="Arial" w:cs="Arial"/>
          <w:sz w:val="22"/>
          <w:szCs w:val="22"/>
          <w:lang w:val="es-ES_tradnl"/>
        </w:rPr>
        <w:t xml:space="preserve">día 13 de julio de 2021, en </w:t>
      </w:r>
      <w:r>
        <w:rPr>
          <w:rFonts w:ascii="Arial" w:hAnsi="Arial" w:cs="Arial"/>
          <w:sz w:val="22"/>
          <w:szCs w:val="22"/>
          <w:lang w:val="es-ES_tradnl"/>
        </w:rPr>
        <w:t>el</w:t>
      </w:r>
      <w:r w:rsidRPr="00DC371E">
        <w:rPr>
          <w:rFonts w:ascii="Arial" w:hAnsi="Arial" w:cs="Arial"/>
          <w:sz w:val="22"/>
          <w:szCs w:val="22"/>
          <w:lang w:val="es-ES_tradnl"/>
        </w:rPr>
        <w:t xml:space="preserve"> cual manifestó, en relación con la concesión de aguas, que cuenta con 2 permisos de concesión para la captación de agua de pozos profundos, una de ellas para los 17 pozos ubicados en el Valle del Cove desde donde se capta el agua a tratar en la Planta </w:t>
      </w:r>
      <w:r>
        <w:rPr>
          <w:rFonts w:ascii="Arial" w:hAnsi="Arial" w:cs="Arial"/>
          <w:sz w:val="22"/>
          <w:szCs w:val="22"/>
          <w:lang w:val="es-ES_tradnl"/>
        </w:rPr>
        <w:t xml:space="preserve">de </w:t>
      </w:r>
      <w:r w:rsidRPr="00DC371E">
        <w:rPr>
          <w:rFonts w:ascii="Arial" w:hAnsi="Arial" w:cs="Arial"/>
          <w:sz w:val="22"/>
          <w:szCs w:val="22"/>
          <w:lang w:val="es-ES_tradnl"/>
        </w:rPr>
        <w:t>Ablandamiento de Duppy Gully y la otra de los 4 pozos costeros desde donde se capta agua para las 2 plantas desalinizadoras con las que se cuenta en la actualidad.</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pStyle w:val="Prrafodelista"/>
        <w:numPr>
          <w:ilvl w:val="0"/>
          <w:numId w:val="14"/>
        </w:numPr>
        <w:autoSpaceDE w:val="0"/>
        <w:autoSpaceDN w:val="0"/>
        <w:adjustRightInd w:val="0"/>
        <w:jc w:val="both"/>
        <w:rPr>
          <w:rFonts w:ascii="Arial" w:hAnsi="Arial" w:cs="Arial"/>
          <w:sz w:val="22"/>
          <w:szCs w:val="22"/>
          <w:lang w:val="es-ES_tradnl"/>
        </w:rPr>
      </w:pPr>
      <w:r w:rsidRPr="00DC371E">
        <w:rPr>
          <w:rFonts w:ascii="Arial" w:hAnsi="Arial" w:cs="Arial"/>
          <w:b/>
          <w:bCs/>
          <w:sz w:val="22"/>
          <w:szCs w:val="22"/>
          <w:lang w:val="es-ES_tradnl"/>
        </w:rPr>
        <w:t>Planta Duppy Gully</w:t>
      </w:r>
      <w:r w:rsidRPr="00DC371E">
        <w:rPr>
          <w:rFonts w:ascii="Arial" w:hAnsi="Arial" w:cs="Arial"/>
          <w:sz w:val="22"/>
          <w:szCs w:val="22"/>
          <w:lang w:val="es-ES_tradnl"/>
        </w:rPr>
        <w:t xml:space="preserve"> cuenta con la </w:t>
      </w:r>
      <w:r>
        <w:rPr>
          <w:rFonts w:ascii="Arial" w:hAnsi="Arial" w:cs="Arial"/>
          <w:sz w:val="22"/>
          <w:szCs w:val="22"/>
          <w:lang w:val="es-ES_tradnl"/>
        </w:rPr>
        <w:t>R</w:t>
      </w:r>
      <w:r w:rsidRPr="00DC371E">
        <w:rPr>
          <w:rFonts w:ascii="Arial" w:hAnsi="Arial" w:cs="Arial"/>
          <w:sz w:val="22"/>
          <w:szCs w:val="22"/>
          <w:lang w:val="es-ES_tradnl"/>
        </w:rPr>
        <w:t xml:space="preserve">esolución de </w:t>
      </w:r>
      <w:r>
        <w:rPr>
          <w:rFonts w:ascii="Arial" w:hAnsi="Arial" w:cs="Arial"/>
          <w:sz w:val="22"/>
          <w:szCs w:val="22"/>
          <w:lang w:val="es-ES_tradnl"/>
        </w:rPr>
        <w:t>C</w:t>
      </w:r>
      <w:r w:rsidRPr="00DC371E">
        <w:rPr>
          <w:rFonts w:ascii="Arial" w:hAnsi="Arial" w:cs="Arial"/>
          <w:sz w:val="22"/>
          <w:szCs w:val="22"/>
          <w:lang w:val="es-ES_tradnl"/>
        </w:rPr>
        <w:t xml:space="preserve">oncesión </w:t>
      </w:r>
      <w:r>
        <w:rPr>
          <w:rFonts w:ascii="Arial" w:hAnsi="Arial" w:cs="Arial"/>
          <w:sz w:val="22"/>
          <w:szCs w:val="22"/>
          <w:lang w:val="es-ES_tradnl"/>
        </w:rPr>
        <w:t xml:space="preserve">de CORALINA </w:t>
      </w:r>
      <w:r w:rsidRPr="00DC371E">
        <w:rPr>
          <w:rFonts w:ascii="Arial" w:hAnsi="Arial" w:cs="Arial"/>
          <w:sz w:val="22"/>
          <w:szCs w:val="22"/>
          <w:lang w:val="es-ES_tradnl"/>
        </w:rPr>
        <w:t>N</w:t>
      </w:r>
      <w:r w:rsidR="00F42CB1">
        <w:rPr>
          <w:rFonts w:ascii="Arial" w:hAnsi="Arial" w:cs="Arial"/>
          <w:sz w:val="22"/>
          <w:szCs w:val="22"/>
          <w:lang w:val="es-ES_tradnl"/>
        </w:rPr>
        <w:t>o.</w:t>
      </w:r>
      <w:r w:rsidRPr="00DC371E">
        <w:rPr>
          <w:rFonts w:ascii="Arial" w:hAnsi="Arial" w:cs="Arial"/>
          <w:sz w:val="22"/>
          <w:szCs w:val="22"/>
          <w:lang w:val="es-ES_tradnl"/>
        </w:rPr>
        <w:t xml:space="preserve"> 596 de 1 de agosto de 2011 la cual quedó en firme mediante </w:t>
      </w:r>
      <w:r>
        <w:rPr>
          <w:rFonts w:ascii="Arial" w:hAnsi="Arial" w:cs="Arial"/>
          <w:sz w:val="22"/>
          <w:szCs w:val="22"/>
          <w:lang w:val="es-ES_tradnl"/>
        </w:rPr>
        <w:t>R</w:t>
      </w:r>
      <w:r w:rsidRPr="00DC371E">
        <w:rPr>
          <w:rFonts w:ascii="Arial" w:hAnsi="Arial" w:cs="Arial"/>
          <w:sz w:val="22"/>
          <w:szCs w:val="22"/>
          <w:lang w:val="es-ES_tradnl"/>
        </w:rPr>
        <w:t>esolución 1062 de 28 de diciembre de 2011. La vigencia de esta concesión es de 5 años, es decir que su fecha de vencimiento se dio en el mes de diciembre de 2016. En noviembre de 2016 Veolia solicitó la renovación de la concesión de los 17 pozos. Sin embargo</w:t>
      </w:r>
      <w:r>
        <w:rPr>
          <w:rFonts w:ascii="Arial" w:hAnsi="Arial" w:cs="Arial"/>
          <w:sz w:val="22"/>
          <w:szCs w:val="22"/>
          <w:lang w:val="es-ES_tradnl"/>
        </w:rPr>
        <w:t>,</w:t>
      </w:r>
      <w:r w:rsidRPr="00DC371E">
        <w:rPr>
          <w:rFonts w:ascii="Arial" w:hAnsi="Arial" w:cs="Arial"/>
          <w:sz w:val="22"/>
          <w:szCs w:val="22"/>
          <w:lang w:val="es-ES_tradnl"/>
        </w:rPr>
        <w:t xml:space="preserve"> en la </w:t>
      </w:r>
      <w:r>
        <w:rPr>
          <w:rFonts w:ascii="Arial" w:hAnsi="Arial" w:cs="Arial"/>
          <w:sz w:val="22"/>
          <w:szCs w:val="22"/>
          <w:lang w:val="es-ES_tradnl"/>
        </w:rPr>
        <w:t>R</w:t>
      </w:r>
      <w:r w:rsidRPr="00DC371E">
        <w:rPr>
          <w:rFonts w:ascii="Arial" w:hAnsi="Arial" w:cs="Arial"/>
          <w:sz w:val="22"/>
          <w:szCs w:val="22"/>
          <w:lang w:val="es-ES_tradnl"/>
        </w:rPr>
        <w:t xml:space="preserve">esolución 296 de mayo de 2018 se impusieron obligaciones por parte de Coralina </w:t>
      </w:r>
      <w:r w:rsidRPr="00DC371E">
        <w:rPr>
          <w:rFonts w:ascii="Arial" w:hAnsi="Arial" w:cs="Arial"/>
          <w:sz w:val="22"/>
          <w:szCs w:val="22"/>
          <w:lang w:val="es-ES_tradnl"/>
        </w:rPr>
        <w:lastRenderedPageBreak/>
        <w:t xml:space="preserve">a Veolia, con las cuales no estuvo de acuerdo interponiendo recurso de reposición, del cual a febrero de 2021 Veolia manifestó no haber obtenido respuesta. </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pStyle w:val="Prrafodelista"/>
        <w:numPr>
          <w:ilvl w:val="0"/>
          <w:numId w:val="14"/>
        </w:numPr>
        <w:autoSpaceDE w:val="0"/>
        <w:autoSpaceDN w:val="0"/>
        <w:adjustRightInd w:val="0"/>
        <w:jc w:val="both"/>
        <w:rPr>
          <w:rFonts w:ascii="Arial" w:hAnsi="Arial" w:cs="Arial"/>
          <w:sz w:val="22"/>
          <w:szCs w:val="22"/>
          <w:lang w:val="es-ES_tradnl"/>
        </w:rPr>
      </w:pPr>
      <w:r w:rsidRPr="00DC371E">
        <w:rPr>
          <w:rFonts w:ascii="Arial" w:hAnsi="Arial" w:cs="Arial"/>
          <w:b/>
          <w:bCs/>
          <w:sz w:val="22"/>
          <w:szCs w:val="22"/>
          <w:lang w:val="es-ES_tradnl"/>
        </w:rPr>
        <w:t xml:space="preserve">Planta desalinizadora Lox Bight: </w:t>
      </w:r>
      <w:r w:rsidRPr="00DC371E">
        <w:rPr>
          <w:rFonts w:ascii="Arial" w:hAnsi="Arial" w:cs="Arial"/>
          <w:sz w:val="22"/>
          <w:szCs w:val="22"/>
          <w:lang w:val="es-ES_tradnl"/>
        </w:rPr>
        <w:t xml:space="preserve">Cuenta con la </w:t>
      </w:r>
      <w:r>
        <w:rPr>
          <w:rFonts w:ascii="Arial" w:hAnsi="Arial" w:cs="Arial"/>
          <w:sz w:val="22"/>
          <w:szCs w:val="22"/>
          <w:lang w:val="es-ES_tradnl"/>
        </w:rPr>
        <w:t>R</w:t>
      </w:r>
      <w:r w:rsidRPr="00DC371E">
        <w:rPr>
          <w:rFonts w:ascii="Arial" w:hAnsi="Arial" w:cs="Arial"/>
          <w:sz w:val="22"/>
          <w:szCs w:val="22"/>
          <w:lang w:val="es-ES_tradnl"/>
        </w:rPr>
        <w:t xml:space="preserve">esolución de </w:t>
      </w:r>
      <w:r>
        <w:rPr>
          <w:rFonts w:ascii="Arial" w:hAnsi="Arial" w:cs="Arial"/>
          <w:sz w:val="22"/>
          <w:szCs w:val="22"/>
          <w:lang w:val="es-ES_tradnl"/>
        </w:rPr>
        <w:t>C</w:t>
      </w:r>
      <w:r w:rsidRPr="00DC371E">
        <w:rPr>
          <w:rFonts w:ascii="Arial" w:hAnsi="Arial" w:cs="Arial"/>
          <w:sz w:val="22"/>
          <w:szCs w:val="22"/>
          <w:lang w:val="es-ES_tradnl"/>
        </w:rPr>
        <w:t>oncesión N</w:t>
      </w:r>
      <w:r w:rsidR="00F42CB1">
        <w:rPr>
          <w:rFonts w:ascii="Arial" w:hAnsi="Arial" w:cs="Arial"/>
          <w:sz w:val="22"/>
          <w:szCs w:val="22"/>
          <w:lang w:val="es-ES_tradnl"/>
        </w:rPr>
        <w:t>o.</w:t>
      </w:r>
      <w:r w:rsidRPr="00DC371E">
        <w:rPr>
          <w:rFonts w:ascii="Arial" w:hAnsi="Arial" w:cs="Arial"/>
          <w:sz w:val="22"/>
          <w:szCs w:val="22"/>
          <w:lang w:val="es-ES_tradnl"/>
        </w:rPr>
        <w:t xml:space="preserve"> 899 de 4 de diciembre de 2012. Esta </w:t>
      </w:r>
      <w:r>
        <w:rPr>
          <w:rFonts w:ascii="Arial" w:hAnsi="Arial" w:cs="Arial"/>
          <w:sz w:val="22"/>
          <w:szCs w:val="22"/>
          <w:lang w:val="es-ES_tradnl"/>
        </w:rPr>
        <w:t>R</w:t>
      </w:r>
      <w:r w:rsidRPr="00DC371E">
        <w:rPr>
          <w:rFonts w:ascii="Arial" w:hAnsi="Arial" w:cs="Arial"/>
          <w:sz w:val="22"/>
          <w:szCs w:val="22"/>
          <w:lang w:val="es-ES_tradnl"/>
        </w:rPr>
        <w:t>esolución tuvo una vigencia de 5 años</w:t>
      </w:r>
      <w:r>
        <w:rPr>
          <w:rFonts w:ascii="Arial" w:hAnsi="Arial" w:cs="Arial"/>
          <w:sz w:val="22"/>
          <w:szCs w:val="22"/>
          <w:lang w:val="es-ES_tradnl"/>
        </w:rPr>
        <w:t>;</w:t>
      </w:r>
      <w:r w:rsidRPr="00DC371E">
        <w:rPr>
          <w:rFonts w:ascii="Arial" w:hAnsi="Arial" w:cs="Arial"/>
          <w:sz w:val="22"/>
          <w:szCs w:val="22"/>
          <w:lang w:val="es-ES_tradnl"/>
        </w:rPr>
        <w:t xml:space="preserve"> es decir que la fecha de su vencimiento fue en el mes de diciembre del año 2017. La Corporación Ambiental mediante Resolución 213 de 8 de mayo de 2019 otorgó la renovación de la concesión de los pozos de la planta desalinizadora y Veolia interpuso recurso de reposición debido a que</w:t>
      </w:r>
      <w:r>
        <w:rPr>
          <w:rFonts w:ascii="Arial" w:hAnsi="Arial" w:cs="Arial"/>
          <w:sz w:val="22"/>
          <w:szCs w:val="22"/>
          <w:lang w:val="es-ES_tradnl"/>
        </w:rPr>
        <w:t>,</w:t>
      </w:r>
      <w:r w:rsidRPr="00DC371E">
        <w:rPr>
          <w:rFonts w:ascii="Arial" w:hAnsi="Arial" w:cs="Arial"/>
          <w:sz w:val="22"/>
          <w:szCs w:val="22"/>
          <w:lang w:val="es-ES_tradnl"/>
        </w:rPr>
        <w:t xml:space="preserve"> la Corporación, según Veolia, no consideró el caudal solicitado para la operación total de la nueva planta desalinizadora de 25</w:t>
      </w:r>
      <w:r>
        <w:rPr>
          <w:rFonts w:ascii="Arial" w:hAnsi="Arial" w:cs="Arial"/>
          <w:sz w:val="22"/>
          <w:szCs w:val="22"/>
          <w:lang w:val="es-ES_tradnl"/>
        </w:rPr>
        <w:t xml:space="preserve"> Lt/s</w:t>
      </w:r>
      <w:r w:rsidRPr="00DC371E">
        <w:rPr>
          <w:rFonts w:ascii="Arial" w:hAnsi="Arial" w:cs="Arial"/>
          <w:sz w:val="22"/>
          <w:szCs w:val="22"/>
          <w:lang w:val="es-ES_tradnl"/>
        </w:rPr>
        <w:t xml:space="preserve">. A la fecha (13 de julio de 2021) no se había resuelto el recurso interpuesto. La </w:t>
      </w:r>
      <w:r>
        <w:rPr>
          <w:rFonts w:ascii="Arial" w:hAnsi="Arial" w:cs="Arial"/>
          <w:sz w:val="22"/>
          <w:szCs w:val="22"/>
          <w:lang w:val="es-ES_tradnl"/>
        </w:rPr>
        <w:t>R</w:t>
      </w:r>
      <w:r w:rsidRPr="00DC371E">
        <w:rPr>
          <w:rFonts w:ascii="Arial" w:hAnsi="Arial" w:cs="Arial"/>
          <w:sz w:val="22"/>
          <w:szCs w:val="22"/>
          <w:lang w:val="es-ES_tradnl"/>
        </w:rPr>
        <w:t xml:space="preserve">esolución aprobó un caudal de 140 </w:t>
      </w:r>
      <w:r>
        <w:rPr>
          <w:rFonts w:ascii="Arial" w:hAnsi="Arial" w:cs="Arial"/>
          <w:sz w:val="22"/>
          <w:szCs w:val="22"/>
          <w:lang w:val="es-ES_tradnl"/>
        </w:rPr>
        <w:t>Lt/s</w:t>
      </w:r>
      <w:r w:rsidRPr="00DC371E">
        <w:rPr>
          <w:rFonts w:ascii="Arial" w:hAnsi="Arial" w:cs="Arial"/>
          <w:sz w:val="22"/>
          <w:szCs w:val="22"/>
          <w:lang w:val="es-ES_tradnl"/>
        </w:rPr>
        <w:t xml:space="preserve"> en un régimen de bombeo de 24 horas, a lo que Veolia manifestó que no se tuvo en cuenta la operación de la nueva planta desalinizadora que requiere de 50 </w:t>
      </w:r>
      <w:r>
        <w:rPr>
          <w:rFonts w:ascii="Arial" w:hAnsi="Arial" w:cs="Arial"/>
          <w:sz w:val="22"/>
          <w:szCs w:val="22"/>
          <w:lang w:val="es-ES_tradnl"/>
        </w:rPr>
        <w:t>Lt/s</w:t>
      </w:r>
      <w:r w:rsidRPr="00DC371E">
        <w:rPr>
          <w:rFonts w:ascii="Arial" w:hAnsi="Arial" w:cs="Arial"/>
          <w:sz w:val="22"/>
          <w:szCs w:val="22"/>
          <w:lang w:val="es-ES_tradnl"/>
        </w:rPr>
        <w:t>, más los 110 Lts/s actuales de captación.</w:t>
      </w:r>
    </w:p>
    <w:p w:rsidR="00D75790" w:rsidRPr="00DC371E" w:rsidRDefault="00D75790" w:rsidP="00D75790">
      <w:pPr>
        <w:pStyle w:val="Prrafodelista"/>
        <w:rPr>
          <w:rFonts w:ascii="Arial" w:hAnsi="Arial" w:cs="Arial"/>
          <w:sz w:val="22"/>
          <w:szCs w:val="22"/>
          <w:highlight w:val="yellow"/>
          <w:lang w:val="es-ES_tradnl"/>
        </w:rPr>
      </w:pPr>
    </w:p>
    <w:p w:rsidR="00D75790" w:rsidRPr="00DC371E" w:rsidRDefault="00D75790" w:rsidP="00D75790">
      <w:pPr>
        <w:autoSpaceDE w:val="0"/>
        <w:autoSpaceDN w:val="0"/>
        <w:adjustRightInd w:val="0"/>
        <w:contextualSpacing/>
        <w:jc w:val="both"/>
        <w:rPr>
          <w:rFonts w:ascii="Arial" w:hAnsi="Arial" w:cs="Arial"/>
          <w:sz w:val="22"/>
          <w:szCs w:val="22"/>
          <w:lang w:val="es-ES_tradnl"/>
        </w:rPr>
      </w:pPr>
      <w:r w:rsidRPr="00DC371E">
        <w:rPr>
          <w:rFonts w:ascii="Arial" w:hAnsi="Arial" w:cs="Arial"/>
          <w:sz w:val="22"/>
          <w:szCs w:val="22"/>
          <w:lang w:val="es-ES_tradnl"/>
        </w:rPr>
        <w:t xml:space="preserve">Por parte de </w:t>
      </w:r>
      <w:r>
        <w:rPr>
          <w:rFonts w:ascii="Arial" w:hAnsi="Arial" w:cs="Arial"/>
          <w:sz w:val="22"/>
          <w:szCs w:val="22"/>
          <w:lang w:val="es-ES_tradnl"/>
        </w:rPr>
        <w:t>esta</w:t>
      </w:r>
      <w:r w:rsidRPr="00DC371E">
        <w:rPr>
          <w:rFonts w:ascii="Arial" w:hAnsi="Arial" w:cs="Arial"/>
          <w:sz w:val="22"/>
          <w:szCs w:val="22"/>
          <w:lang w:val="es-ES_tradnl"/>
        </w:rPr>
        <w:t xml:space="preserve"> D</w:t>
      </w:r>
      <w:r>
        <w:rPr>
          <w:rFonts w:ascii="Arial" w:hAnsi="Arial" w:cs="Arial"/>
          <w:sz w:val="22"/>
          <w:szCs w:val="22"/>
          <w:lang w:val="es-ES_tradnl"/>
        </w:rPr>
        <w:t>irección</w:t>
      </w:r>
      <w:r w:rsidRPr="00DC371E">
        <w:rPr>
          <w:rFonts w:ascii="Arial" w:hAnsi="Arial" w:cs="Arial"/>
          <w:sz w:val="22"/>
          <w:szCs w:val="22"/>
          <w:lang w:val="es-ES_tradnl"/>
        </w:rPr>
        <w:t>, se solicitó a la Entidad Territorial la información de las concesiones y licencias vigentes para la explotación del recurso hídrico. Aún no se ha obtenido respuesta de la Coralina, en la cual se pueda confirmar lo manifestado por el Operador, en relación con estos dos permisos de concesión (Planta Duppy Gully y Planta desalinizadora Lox Bight) para la captación de agua de pozos profundos.</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autoSpaceDE w:val="0"/>
        <w:autoSpaceDN w:val="0"/>
        <w:adjustRightInd w:val="0"/>
        <w:contextualSpacing/>
        <w:jc w:val="both"/>
        <w:rPr>
          <w:rFonts w:ascii="Arial" w:hAnsi="Arial" w:cs="Arial"/>
          <w:sz w:val="22"/>
          <w:szCs w:val="22"/>
          <w:lang w:val="es-ES_tradnl"/>
        </w:rPr>
      </w:pPr>
      <w:r w:rsidRPr="00DC371E">
        <w:rPr>
          <w:rFonts w:ascii="Arial" w:hAnsi="Arial" w:cs="Arial"/>
          <w:sz w:val="22"/>
          <w:szCs w:val="22"/>
          <w:lang w:val="es-ES_tradnl"/>
        </w:rPr>
        <w:t>En ambos casos, no hay conformidad con el contenido resolutorio de los actos expedidos por la autoridad ambiental, por medio de los cuales se aprobó la captación de agua y la confirmación de estos se encuentra en proceso de respuesta a los recursos de reposición.</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DC371E" w:rsidRDefault="00D75790" w:rsidP="00D75790">
      <w:pPr>
        <w:autoSpaceDE w:val="0"/>
        <w:autoSpaceDN w:val="0"/>
        <w:adjustRightInd w:val="0"/>
        <w:contextualSpacing/>
        <w:jc w:val="both"/>
        <w:rPr>
          <w:rFonts w:ascii="Arial" w:hAnsi="Arial" w:cs="Arial"/>
          <w:sz w:val="22"/>
          <w:szCs w:val="22"/>
          <w:lang w:val="es-ES_tradnl"/>
        </w:rPr>
      </w:pPr>
      <w:r w:rsidRPr="00DC371E">
        <w:rPr>
          <w:rFonts w:ascii="Arial" w:hAnsi="Arial" w:cs="Arial"/>
          <w:sz w:val="22"/>
          <w:szCs w:val="22"/>
          <w:lang w:val="es-ES_tradnl"/>
        </w:rPr>
        <w:t xml:space="preserve">Tal situación podría poner en riesgo la prestación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 xml:space="preserve">cueducto, en la medida en que no existe un acto definitivo por medio del cual se aprueben estas concesiones, máxime teniendo en cuenta que la concesión de la explotación acuífera de </w:t>
      </w:r>
      <w:r>
        <w:rPr>
          <w:rFonts w:ascii="Arial" w:hAnsi="Arial" w:cs="Arial"/>
          <w:sz w:val="22"/>
          <w:szCs w:val="22"/>
          <w:lang w:val="es-ES_tradnl"/>
        </w:rPr>
        <w:t xml:space="preserve">la </w:t>
      </w:r>
      <w:r w:rsidRPr="00DC371E">
        <w:rPr>
          <w:rFonts w:ascii="Arial" w:hAnsi="Arial" w:cs="Arial"/>
          <w:sz w:val="22"/>
          <w:szCs w:val="22"/>
          <w:lang w:val="es-ES_tradnl"/>
        </w:rPr>
        <w:t xml:space="preserve">Planta Duppy Gully venció en diciembre de 2016, renovada con la </w:t>
      </w:r>
      <w:r>
        <w:rPr>
          <w:rFonts w:ascii="Arial" w:hAnsi="Arial" w:cs="Arial"/>
          <w:sz w:val="22"/>
          <w:szCs w:val="22"/>
          <w:lang w:val="es-ES_tradnl"/>
        </w:rPr>
        <w:t>R</w:t>
      </w:r>
      <w:r w:rsidRPr="00DC371E">
        <w:rPr>
          <w:rFonts w:ascii="Arial" w:hAnsi="Arial" w:cs="Arial"/>
          <w:sz w:val="22"/>
          <w:szCs w:val="22"/>
          <w:lang w:val="es-ES_tradnl"/>
        </w:rPr>
        <w:t>esolución 296 de mayo de 2018 y la desalinizadora Lox Bight venció en diciembre de 2017, siendo renovada en mayo de 2019.</w:t>
      </w:r>
    </w:p>
    <w:p w:rsidR="00D75790" w:rsidRPr="00DC371E" w:rsidRDefault="00D75790" w:rsidP="00D75790">
      <w:pPr>
        <w:autoSpaceDE w:val="0"/>
        <w:autoSpaceDN w:val="0"/>
        <w:adjustRightInd w:val="0"/>
        <w:contextualSpacing/>
        <w:jc w:val="both"/>
        <w:rPr>
          <w:rFonts w:ascii="Arial" w:hAnsi="Arial" w:cs="Arial"/>
          <w:sz w:val="22"/>
          <w:szCs w:val="22"/>
          <w:highlight w:val="yellow"/>
          <w:lang w:val="es-ES_tradnl"/>
        </w:rPr>
      </w:pPr>
    </w:p>
    <w:p w:rsidR="00D75790" w:rsidRPr="00DC371E" w:rsidRDefault="00D75790" w:rsidP="00D75790">
      <w:pPr>
        <w:autoSpaceDE w:val="0"/>
        <w:autoSpaceDN w:val="0"/>
        <w:adjustRightInd w:val="0"/>
        <w:contextualSpacing/>
        <w:jc w:val="both"/>
        <w:rPr>
          <w:rFonts w:ascii="Arial" w:hAnsi="Arial" w:cs="Arial"/>
          <w:b/>
          <w:bCs/>
          <w:sz w:val="22"/>
          <w:szCs w:val="22"/>
          <w:lang w:val="es-ES_tradnl"/>
        </w:rPr>
      </w:pPr>
      <w:r w:rsidRPr="00DC371E">
        <w:rPr>
          <w:rFonts w:ascii="Arial" w:hAnsi="Arial" w:cs="Arial"/>
          <w:b/>
          <w:bCs/>
          <w:sz w:val="22"/>
          <w:szCs w:val="22"/>
          <w:lang w:val="es-ES_tradnl"/>
        </w:rPr>
        <w:t>SUPERVISIÓN AL CONTRATO.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La </w:t>
      </w:r>
      <w:r>
        <w:rPr>
          <w:rFonts w:ascii="Arial" w:hAnsi="Arial" w:cs="Arial"/>
          <w:sz w:val="22"/>
          <w:szCs w:val="22"/>
          <w:lang w:val="es-ES_tradnl"/>
        </w:rPr>
        <w:t>U</w:t>
      </w:r>
      <w:r w:rsidRPr="00DC371E">
        <w:rPr>
          <w:rFonts w:ascii="Arial" w:hAnsi="Arial" w:cs="Arial"/>
          <w:sz w:val="22"/>
          <w:szCs w:val="22"/>
          <w:lang w:val="es-ES_tradnl"/>
        </w:rPr>
        <w:t xml:space="preserve">nión </w:t>
      </w:r>
      <w:r>
        <w:rPr>
          <w:rFonts w:ascii="Arial" w:hAnsi="Arial" w:cs="Arial"/>
          <w:sz w:val="22"/>
          <w:szCs w:val="22"/>
          <w:lang w:val="es-ES_tradnl"/>
        </w:rPr>
        <w:t>T</w:t>
      </w:r>
      <w:r w:rsidRPr="00DC371E">
        <w:rPr>
          <w:rFonts w:ascii="Arial" w:hAnsi="Arial" w:cs="Arial"/>
          <w:sz w:val="22"/>
          <w:szCs w:val="22"/>
          <w:lang w:val="es-ES_tradnl"/>
        </w:rPr>
        <w:t xml:space="preserve">emporal PGP S.A.S, realiza las actividades de supervisión al </w:t>
      </w:r>
      <w:r>
        <w:rPr>
          <w:rFonts w:ascii="Arial" w:hAnsi="Arial" w:cs="Arial"/>
          <w:sz w:val="22"/>
          <w:szCs w:val="22"/>
          <w:lang w:val="es-ES_tradnl"/>
        </w:rPr>
        <w:t>C</w:t>
      </w:r>
      <w:r w:rsidRPr="00DC371E">
        <w:rPr>
          <w:rFonts w:ascii="Arial" w:hAnsi="Arial" w:cs="Arial"/>
          <w:sz w:val="22"/>
          <w:szCs w:val="22"/>
          <w:lang w:val="es-ES_tradnl"/>
        </w:rPr>
        <w:t xml:space="preserve">ontrato de </w:t>
      </w:r>
      <w:r>
        <w:rPr>
          <w:rFonts w:ascii="Arial" w:hAnsi="Arial" w:cs="Arial"/>
          <w:sz w:val="22"/>
          <w:szCs w:val="22"/>
          <w:lang w:val="es-ES_tradnl"/>
        </w:rPr>
        <w:t>O</w:t>
      </w:r>
      <w:r w:rsidRPr="00DC371E">
        <w:rPr>
          <w:rFonts w:ascii="Arial" w:hAnsi="Arial" w:cs="Arial"/>
          <w:sz w:val="22"/>
          <w:szCs w:val="22"/>
          <w:lang w:val="es-ES_tradnl"/>
        </w:rPr>
        <w:t xml:space="preserve">peración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 en la Isla de San Andrés, celebrado entre Aguas de San Andrés, como la Contratante y Veolia Aguas del Archipiélago.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Dentro de las obligaciones del supervisor, se encuentran las siguientes:</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Verificar el cumplimiento o incumplimiento por parte del OPERADOR de los Indicadores de Cobertura, Calidad y Continuidad.</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Verificar y emitir constancia de cumplimiento del programa de inversiones para el primer año de operación en el Contrato de Operación.</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Verificar que la tarifa que cobre el OPERADOR no supere los cargos por unidad de consumo máximos para los estratos 1,.2 Y 3; Y respete la estructura tarifaria establecida en el Contrato de Operación.</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Verificar que las facturas de los usuarios sin medición no superen la factura máxima prevista en la Cláusula 33 del Contrato de Operación.</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Verificar que los recursos aportados por la CONTRATANTE se destinen exclusivamente a la prestación de los servicios de acueducto y alcantarillado en la Isla de San Andrés.</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Informar inmediatamente a la CONTRATANTE y a la SSPD, sobre cualquier incumplimiento del Contrato de Operación.</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En junio de 2017 se efectuó el otrosí 7 al contrato de supervisión, prorrogando el plazo de ejecución del contrato por el término que dure la relación contractual con el operador.</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La remuneración mensual de la supervisión fue por $31 millones, que se actualizarán de conformidad con el IPC</w:t>
      </w:r>
      <w:r w:rsidRPr="00E46D41">
        <w:rPr>
          <w:rFonts w:ascii="Arial" w:hAnsi="Arial" w:cs="Arial"/>
          <w:iCs/>
          <w:sz w:val="18"/>
          <w:szCs w:val="22"/>
          <w:lang w:val="es-ES_tradnl"/>
        </w:rPr>
        <w:t>”.</w:t>
      </w:r>
    </w:p>
    <w:p w:rsidR="00D75790" w:rsidRPr="00E46D41" w:rsidRDefault="00D75790" w:rsidP="00D75790">
      <w:pPr>
        <w:contextualSpacing/>
        <w:jc w:val="both"/>
        <w:rPr>
          <w:rFonts w:ascii="Arial" w:hAnsi="Arial" w:cs="Arial"/>
          <w:iCs/>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En relación con el estado general de la </w:t>
      </w:r>
      <w:r>
        <w:rPr>
          <w:rFonts w:ascii="Arial" w:hAnsi="Arial" w:cs="Arial"/>
          <w:sz w:val="22"/>
          <w:szCs w:val="22"/>
          <w:lang w:val="es-ES_tradnl"/>
        </w:rPr>
        <w:t>o</w:t>
      </w:r>
      <w:r w:rsidRPr="00DC371E">
        <w:rPr>
          <w:rFonts w:ascii="Arial" w:hAnsi="Arial" w:cs="Arial"/>
          <w:sz w:val="22"/>
          <w:szCs w:val="22"/>
          <w:lang w:val="es-ES_tradnl"/>
        </w:rPr>
        <w:t xml:space="preserve">peración, el informe de supervisión remitido por la </w:t>
      </w:r>
      <w:r>
        <w:rPr>
          <w:rFonts w:ascii="Arial" w:hAnsi="Arial" w:cs="Arial"/>
          <w:sz w:val="22"/>
          <w:szCs w:val="22"/>
          <w:lang w:val="es-ES_tradnl"/>
        </w:rPr>
        <w:t>E</w:t>
      </w:r>
      <w:r w:rsidRPr="00DC371E">
        <w:rPr>
          <w:rFonts w:ascii="Arial" w:hAnsi="Arial" w:cs="Arial"/>
          <w:sz w:val="22"/>
          <w:szCs w:val="22"/>
          <w:lang w:val="es-ES_tradnl"/>
        </w:rPr>
        <w:t xml:space="preserve">ntidad </w:t>
      </w:r>
      <w:r>
        <w:rPr>
          <w:rFonts w:ascii="Arial" w:hAnsi="Arial" w:cs="Arial"/>
          <w:sz w:val="22"/>
          <w:szCs w:val="22"/>
          <w:lang w:val="es-ES_tradnl"/>
        </w:rPr>
        <w:t>T</w:t>
      </w:r>
      <w:r w:rsidRPr="00DC371E">
        <w:rPr>
          <w:rFonts w:ascii="Arial" w:hAnsi="Arial" w:cs="Arial"/>
          <w:sz w:val="22"/>
          <w:szCs w:val="22"/>
          <w:lang w:val="es-ES_tradnl"/>
        </w:rPr>
        <w:t xml:space="preserve">erritorial el 16 de julio de 2021 </w:t>
      </w:r>
      <w:r>
        <w:rPr>
          <w:rFonts w:ascii="Arial" w:hAnsi="Arial" w:cs="Arial"/>
          <w:sz w:val="22"/>
          <w:szCs w:val="22"/>
          <w:lang w:val="es-ES_tradnl"/>
        </w:rPr>
        <w:t xml:space="preserve">mediante oficio con </w:t>
      </w:r>
      <w:r w:rsidRPr="00DC371E">
        <w:rPr>
          <w:rFonts w:ascii="Arial" w:hAnsi="Arial" w:cs="Arial"/>
          <w:sz w:val="22"/>
          <w:szCs w:val="22"/>
          <w:lang w:val="es-ES_tradnl"/>
        </w:rPr>
        <w:t xml:space="preserve">radicado </w:t>
      </w:r>
      <w:r>
        <w:rPr>
          <w:rFonts w:ascii="Arial" w:hAnsi="Arial" w:cs="Arial"/>
          <w:sz w:val="22"/>
          <w:szCs w:val="22"/>
          <w:lang w:val="es-ES_tradnl"/>
        </w:rPr>
        <w:t xml:space="preserve">No. </w:t>
      </w:r>
      <w:r w:rsidRPr="00DC371E">
        <w:rPr>
          <w:rFonts w:ascii="Arial" w:hAnsi="Arial" w:cs="Arial"/>
          <w:sz w:val="22"/>
          <w:szCs w:val="22"/>
          <w:lang w:val="es-ES_tradnl"/>
        </w:rPr>
        <w:t>1-2021-061125 que corresponde a enero de 2021, hizo referencia a lo siguiente:</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Con la llegada al país del COVID 19, se ha presentado en la isla una significativa reducción de la demanda industrial y comercial por el servicio de agua. El gobierno Nacional emitió una serie de decretos para garantizar el acceso al servicio de toda la población, ordenando que se reconectaran los usuarios residenciales que fueron</w:t>
      </w:r>
      <w:r>
        <w:rPr>
          <w:rFonts w:ascii="Arial" w:hAnsi="Arial" w:cs="Arial"/>
          <w:i/>
          <w:iCs/>
          <w:sz w:val="18"/>
          <w:szCs w:val="22"/>
          <w:lang w:val="es-ES_tradnl"/>
        </w:rPr>
        <w:t xml:space="preserve"> </w:t>
      </w:r>
      <w:r w:rsidRPr="00E46D41">
        <w:rPr>
          <w:rFonts w:ascii="Arial" w:hAnsi="Arial" w:cs="Arial"/>
          <w:i/>
          <w:iCs/>
          <w:sz w:val="18"/>
          <w:szCs w:val="22"/>
          <w:lang w:val="es-ES_tradnl"/>
        </w:rPr>
        <w:t>cortados por falta de pago y que se les concedieran facilidades a los usuarios para el pago de sus facturas. El operador no atendió las directrices de los decretos ni atendió los requerimientos de la supervisión al respecto. Se registró un significativo incremento de agua suministrada por el Departamento en carrotanque, de manera</w:t>
      </w:r>
      <w:r>
        <w:rPr>
          <w:rFonts w:ascii="Arial" w:hAnsi="Arial" w:cs="Arial"/>
          <w:i/>
          <w:iCs/>
          <w:sz w:val="18"/>
          <w:szCs w:val="22"/>
          <w:lang w:val="es-ES_tradnl"/>
        </w:rPr>
        <w:t xml:space="preserve"> </w:t>
      </w:r>
      <w:r w:rsidRPr="00E46D41">
        <w:rPr>
          <w:rFonts w:ascii="Arial" w:hAnsi="Arial" w:cs="Arial"/>
          <w:i/>
          <w:iCs/>
          <w:sz w:val="18"/>
          <w:szCs w:val="22"/>
          <w:lang w:val="es-ES_tradnl"/>
        </w:rPr>
        <w:t>gratuita.</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La llegada de dos huracanes (ETA a principios de noviembre e IOTA a mediados de noviembre) de alta categoría, afectó de manera significativa la prestación de los servicios de agua potable y alcantarillado en San Andres. Los efectos en Providencia</w:t>
      </w:r>
      <w:r>
        <w:rPr>
          <w:rFonts w:ascii="Arial" w:hAnsi="Arial" w:cs="Arial"/>
          <w:i/>
          <w:iCs/>
          <w:sz w:val="18"/>
          <w:szCs w:val="22"/>
          <w:lang w:val="es-ES_tradnl"/>
        </w:rPr>
        <w:t xml:space="preserve"> </w:t>
      </w:r>
      <w:r w:rsidRPr="00E46D41">
        <w:rPr>
          <w:rFonts w:ascii="Arial" w:hAnsi="Arial" w:cs="Arial"/>
          <w:i/>
          <w:iCs/>
          <w:sz w:val="18"/>
          <w:szCs w:val="22"/>
          <w:lang w:val="es-ES_tradnl"/>
        </w:rPr>
        <w:t>fueron catastróficos sobre toda la infraestructura, incluida la habitacional. En San Andrés se desconectó el emisario submarino de la red y se afectaron casi todos los</w:t>
      </w:r>
      <w:r>
        <w:rPr>
          <w:rFonts w:ascii="Arial" w:hAnsi="Arial" w:cs="Arial"/>
          <w:i/>
          <w:iCs/>
          <w:sz w:val="18"/>
          <w:szCs w:val="22"/>
          <w:lang w:val="es-ES_tradnl"/>
        </w:rPr>
        <w:t xml:space="preserve"> </w:t>
      </w:r>
      <w:r w:rsidRPr="00E46D41">
        <w:rPr>
          <w:rFonts w:ascii="Arial" w:hAnsi="Arial" w:cs="Arial"/>
          <w:i/>
          <w:iCs/>
          <w:sz w:val="18"/>
          <w:szCs w:val="22"/>
          <w:lang w:val="es-ES_tradnl"/>
        </w:rPr>
        <w:t>equipos electromecánicos de ambos servicios, generando su interrupción.</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 Finalmente se debe destacar la rápida recuperación de la infraestructura dañada por los Huracanes, lo que permitió que a final de año ya se hubieran restablecido los dos servicios, quedando pendiente la fase final de refuerzo del empalme del emisario y restablecer la cobertura a la impulsión hacía el emisario</w:t>
      </w:r>
      <w:r w:rsidRPr="00E46D41">
        <w:rPr>
          <w:rFonts w:ascii="Arial" w:hAnsi="Arial" w:cs="Arial"/>
          <w:iCs/>
          <w:sz w:val="18"/>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7F0D4D" w:rsidRDefault="00D75790" w:rsidP="00D75790">
      <w:pPr>
        <w:contextualSpacing/>
        <w:jc w:val="both"/>
        <w:rPr>
          <w:rFonts w:ascii="Arial" w:hAnsi="Arial" w:cs="Arial"/>
          <w:sz w:val="22"/>
          <w:szCs w:val="22"/>
        </w:rPr>
      </w:pPr>
      <w:r w:rsidRPr="007F0D4D">
        <w:rPr>
          <w:rFonts w:ascii="Arial" w:hAnsi="Arial" w:cs="Arial"/>
          <w:sz w:val="22"/>
          <w:szCs w:val="22"/>
        </w:rPr>
        <w:t xml:space="preserve">La información sobre el impacto de los huracanes resaltada en los informes solo hace referencia a la prestación del </w:t>
      </w:r>
      <w:r>
        <w:rPr>
          <w:rFonts w:ascii="Arial" w:hAnsi="Arial" w:cs="Arial"/>
          <w:sz w:val="22"/>
          <w:szCs w:val="22"/>
        </w:rPr>
        <w:t>S</w:t>
      </w:r>
      <w:r w:rsidRPr="007F0D4D">
        <w:rPr>
          <w:rFonts w:ascii="Arial" w:hAnsi="Arial" w:cs="Arial"/>
          <w:sz w:val="22"/>
          <w:szCs w:val="22"/>
        </w:rPr>
        <w:t xml:space="preserve">ervicio de </w:t>
      </w:r>
      <w:r>
        <w:rPr>
          <w:rFonts w:ascii="Arial" w:hAnsi="Arial" w:cs="Arial"/>
          <w:sz w:val="22"/>
          <w:szCs w:val="22"/>
        </w:rPr>
        <w:t>A</w:t>
      </w:r>
      <w:r w:rsidRPr="007F0D4D">
        <w:rPr>
          <w:rFonts w:ascii="Arial" w:hAnsi="Arial" w:cs="Arial"/>
          <w:sz w:val="22"/>
          <w:szCs w:val="22"/>
        </w:rPr>
        <w:t>cueducto a través de Veolia y lo ocurrido con el emisario submarino.</w:t>
      </w:r>
    </w:p>
    <w:p w:rsidR="00D75790" w:rsidRPr="007F0D4D" w:rsidRDefault="00D75790" w:rsidP="00D75790">
      <w:pPr>
        <w:contextualSpacing/>
        <w:jc w:val="both"/>
        <w:rPr>
          <w:rFonts w:ascii="Arial" w:hAnsi="Arial" w:cs="Arial"/>
          <w:sz w:val="22"/>
          <w:szCs w:val="22"/>
        </w:rPr>
      </w:pPr>
    </w:p>
    <w:p w:rsidR="00D75790" w:rsidRPr="00DC371E" w:rsidRDefault="00D75790" w:rsidP="00D75790">
      <w:pPr>
        <w:spacing w:after="20"/>
        <w:contextualSpacing/>
        <w:jc w:val="both"/>
        <w:rPr>
          <w:rFonts w:ascii="Arial" w:hAnsi="Arial" w:cs="Arial"/>
          <w:b/>
          <w:sz w:val="22"/>
          <w:szCs w:val="22"/>
        </w:rPr>
      </w:pPr>
      <w:r w:rsidRPr="00DC371E">
        <w:rPr>
          <w:rFonts w:ascii="Arial" w:hAnsi="Arial" w:cs="Arial"/>
          <w:b/>
          <w:sz w:val="22"/>
          <w:szCs w:val="22"/>
        </w:rPr>
        <w:t>2.2 AGUA EN LAS UNIDADES DE PLANIFICACIÓN INSULAR – UPI</w:t>
      </w:r>
    </w:p>
    <w:p w:rsidR="00D75790" w:rsidRPr="00DC371E" w:rsidRDefault="00D75790" w:rsidP="00D75790">
      <w:pPr>
        <w:spacing w:after="2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 xml:space="preserve">A nivel de ordenamiento del territorio para la </w:t>
      </w:r>
      <w:r>
        <w:rPr>
          <w:rFonts w:ascii="Arial" w:hAnsi="Arial" w:cs="Arial"/>
          <w:sz w:val="22"/>
          <w:szCs w:val="22"/>
        </w:rPr>
        <w:t>I</w:t>
      </w:r>
      <w:r w:rsidRPr="00DC371E">
        <w:rPr>
          <w:rFonts w:ascii="Arial" w:hAnsi="Arial" w:cs="Arial"/>
          <w:sz w:val="22"/>
          <w:szCs w:val="22"/>
        </w:rPr>
        <w:t xml:space="preserve">sla de San Andrés, los usos del suelo están estructurados en Unidades de Planificación Insular </w:t>
      </w:r>
      <w:r>
        <w:rPr>
          <w:rFonts w:ascii="Arial" w:hAnsi="Arial" w:cs="Arial"/>
          <w:sz w:val="22"/>
          <w:szCs w:val="22"/>
        </w:rPr>
        <w:t xml:space="preserve">- </w:t>
      </w:r>
      <w:r w:rsidRPr="00DC371E">
        <w:rPr>
          <w:rFonts w:ascii="Arial" w:hAnsi="Arial" w:cs="Arial"/>
          <w:sz w:val="22"/>
          <w:szCs w:val="22"/>
        </w:rPr>
        <w:t xml:space="preserve">UPI, las cuales son un instrumento para poder desarrollar una norma urbanística en el nivel de detalle que requiere la </w:t>
      </w:r>
      <w:r>
        <w:rPr>
          <w:rFonts w:ascii="Arial" w:hAnsi="Arial" w:cs="Arial"/>
          <w:sz w:val="22"/>
          <w:szCs w:val="22"/>
        </w:rPr>
        <w:t>I</w:t>
      </w:r>
      <w:r w:rsidRPr="00DC371E">
        <w:rPr>
          <w:rFonts w:ascii="Arial" w:hAnsi="Arial" w:cs="Arial"/>
          <w:sz w:val="22"/>
          <w:szCs w:val="22"/>
        </w:rPr>
        <w:t>sla, debido a las diferencias que existen entre sectores.</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lastRenderedPageBreak/>
        <w:t xml:space="preserve">Las UPI, están definidas en los instrumentos normativos para el Ordenamiento del Territorio </w:t>
      </w:r>
      <w:r>
        <w:rPr>
          <w:rFonts w:ascii="Arial" w:hAnsi="Arial" w:cs="Arial"/>
          <w:sz w:val="22"/>
          <w:szCs w:val="22"/>
        </w:rPr>
        <w:t>-</w:t>
      </w:r>
      <w:r w:rsidRPr="00DC371E">
        <w:rPr>
          <w:rFonts w:ascii="Arial" w:hAnsi="Arial" w:cs="Arial"/>
          <w:sz w:val="22"/>
          <w:szCs w:val="22"/>
        </w:rPr>
        <w:t>Decreto 325 de 2003</w:t>
      </w:r>
      <w:r>
        <w:rPr>
          <w:rFonts w:ascii="Arial" w:hAnsi="Arial" w:cs="Arial"/>
          <w:sz w:val="22"/>
          <w:szCs w:val="22"/>
        </w:rPr>
        <w:t>-</w:t>
      </w:r>
      <w:r w:rsidRPr="00DC371E">
        <w:rPr>
          <w:rFonts w:ascii="Arial" w:hAnsi="Arial" w:cs="Arial"/>
          <w:sz w:val="22"/>
          <w:szCs w:val="22"/>
        </w:rPr>
        <w:t xml:space="preserve">; así como en la normativa urbana </w:t>
      </w:r>
      <w:r>
        <w:rPr>
          <w:rFonts w:ascii="Arial" w:hAnsi="Arial" w:cs="Arial"/>
          <w:sz w:val="22"/>
          <w:szCs w:val="22"/>
        </w:rPr>
        <w:t>-</w:t>
      </w:r>
      <w:r w:rsidRPr="00DC371E">
        <w:rPr>
          <w:rFonts w:ascii="Arial" w:hAnsi="Arial" w:cs="Arial"/>
          <w:sz w:val="22"/>
          <w:szCs w:val="22"/>
        </w:rPr>
        <w:t>Decreto 363 de 2007</w:t>
      </w:r>
      <w:r>
        <w:rPr>
          <w:rFonts w:ascii="Arial" w:hAnsi="Arial" w:cs="Arial"/>
          <w:sz w:val="22"/>
          <w:szCs w:val="22"/>
        </w:rPr>
        <w:t>-</w:t>
      </w:r>
      <w:r w:rsidRPr="00DC371E">
        <w:rPr>
          <w:rFonts w:ascii="Arial" w:hAnsi="Arial" w:cs="Arial"/>
          <w:sz w:val="22"/>
          <w:szCs w:val="22"/>
        </w:rPr>
        <w:t>. Esta dimensión de análisis fracciona el territorio en unidades espaciales que permiten una observación más detallada de las dinámicas de uso y aprovechamiento del suelo y sus recursos. Este tipo de ordenamiento territorial en San Andrés se adopta en dimensiones ambientales, demográficas, urbanísticas, de uso de suelo y demanda de agua potable, con las particularidades de la Entidad, para su desarrollo y planeación.</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Las UPI definidas para el Departamento son 31: 19 urbanas y 12 rurales.</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spacing w:after="20"/>
        <w:contextualSpacing/>
        <w:jc w:val="both"/>
        <w:rPr>
          <w:rFonts w:ascii="Arial" w:hAnsi="Arial" w:cs="Arial"/>
          <w:sz w:val="22"/>
          <w:szCs w:val="22"/>
        </w:rPr>
      </w:pPr>
      <w:r w:rsidRPr="00DC371E">
        <w:rPr>
          <w:rFonts w:ascii="Arial" w:hAnsi="Arial" w:cs="Arial"/>
          <w:sz w:val="22"/>
          <w:szCs w:val="22"/>
        </w:rPr>
        <w:t>La siguiente información es extraída del Informe de “</w:t>
      </w:r>
      <w:r w:rsidRPr="00E46D41">
        <w:rPr>
          <w:rFonts w:ascii="Arial" w:hAnsi="Arial" w:cs="Arial"/>
          <w:i/>
          <w:sz w:val="22"/>
          <w:szCs w:val="22"/>
        </w:rPr>
        <w:t>Resultados del monitoreo a la calidad del agua subterránea por unidades de planificación insular</w:t>
      </w:r>
      <w:r w:rsidRPr="00DC371E">
        <w:rPr>
          <w:rFonts w:ascii="Arial" w:hAnsi="Arial" w:cs="Arial"/>
          <w:sz w:val="22"/>
          <w:szCs w:val="22"/>
        </w:rPr>
        <w:t xml:space="preserve">”, realizado por la Coralina en la vigencia 2020, entregado a </w:t>
      </w:r>
      <w:r>
        <w:rPr>
          <w:rFonts w:ascii="Arial" w:hAnsi="Arial" w:cs="Arial"/>
          <w:sz w:val="22"/>
          <w:szCs w:val="22"/>
        </w:rPr>
        <w:t>esta</w:t>
      </w:r>
      <w:r w:rsidRPr="00DC371E">
        <w:rPr>
          <w:rFonts w:ascii="Arial" w:hAnsi="Arial" w:cs="Arial"/>
          <w:sz w:val="22"/>
          <w:szCs w:val="22"/>
        </w:rPr>
        <w:t xml:space="preserve"> D</w:t>
      </w:r>
      <w:r>
        <w:rPr>
          <w:rFonts w:ascii="Arial" w:hAnsi="Arial" w:cs="Arial"/>
          <w:sz w:val="22"/>
          <w:szCs w:val="22"/>
        </w:rPr>
        <w:t>irección</w:t>
      </w:r>
      <w:r w:rsidRPr="00DC371E">
        <w:rPr>
          <w:rFonts w:ascii="Arial" w:hAnsi="Arial" w:cs="Arial"/>
          <w:sz w:val="22"/>
          <w:szCs w:val="22"/>
        </w:rPr>
        <w:t xml:space="preserve"> en la visita de reconocimiento en julio de 2020 a través de</w:t>
      </w:r>
      <w:r>
        <w:rPr>
          <w:rFonts w:ascii="Arial" w:hAnsi="Arial" w:cs="Arial"/>
          <w:sz w:val="22"/>
          <w:szCs w:val="22"/>
        </w:rPr>
        <w:t>l oficio con</w:t>
      </w:r>
      <w:r w:rsidRPr="00DC371E">
        <w:rPr>
          <w:rFonts w:ascii="Arial" w:hAnsi="Arial" w:cs="Arial"/>
          <w:sz w:val="22"/>
          <w:szCs w:val="22"/>
        </w:rPr>
        <w:t xml:space="preserve"> radicado </w:t>
      </w:r>
      <w:r>
        <w:rPr>
          <w:rFonts w:ascii="Arial" w:hAnsi="Arial" w:cs="Arial"/>
          <w:sz w:val="22"/>
          <w:szCs w:val="22"/>
        </w:rPr>
        <w:t xml:space="preserve">No. </w:t>
      </w:r>
      <w:r w:rsidRPr="00DC371E">
        <w:rPr>
          <w:rFonts w:ascii="Arial" w:hAnsi="Arial" w:cs="Arial"/>
          <w:sz w:val="22"/>
          <w:szCs w:val="22"/>
        </w:rPr>
        <w:t>1-2020-066365.</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E46D41" w:rsidRDefault="00D75790" w:rsidP="00D75790">
      <w:pPr>
        <w:autoSpaceDE w:val="0"/>
        <w:autoSpaceDN w:val="0"/>
        <w:adjustRightInd w:val="0"/>
        <w:ind w:left="1416"/>
        <w:contextualSpacing/>
        <w:jc w:val="both"/>
        <w:rPr>
          <w:rFonts w:ascii="Arial" w:hAnsi="Arial" w:cs="Arial"/>
          <w:i/>
          <w:sz w:val="18"/>
          <w:szCs w:val="22"/>
        </w:rPr>
      </w:pPr>
      <w:r w:rsidRPr="00E46D41">
        <w:rPr>
          <w:rFonts w:ascii="Arial" w:hAnsi="Arial" w:cs="Arial"/>
          <w:i/>
          <w:sz w:val="18"/>
          <w:szCs w:val="22"/>
        </w:rPr>
        <w:t>“La isla de San Andrés, depende en la actualidad en más de un 80% del agua subterránea para su abastecimiento, sin embargo, su explotación a través de aljibes, pozos barrenados y pozos profundos se ve afectada por explotaciones antitécnicas, fugas de aguas servidas de la red de alcantarillado y en general por el poco conocimiento del sistema acuífero. Esta situación se acentúa por el crecimiento poblacional, la creciente oferta hotelera, las altas tasas de turismo y la inmigración desordenada.</w:t>
      </w:r>
    </w:p>
    <w:p w:rsidR="00D75790" w:rsidRPr="00E46D41" w:rsidRDefault="00D75790" w:rsidP="00D75790">
      <w:pPr>
        <w:autoSpaceDE w:val="0"/>
        <w:autoSpaceDN w:val="0"/>
        <w:adjustRightInd w:val="0"/>
        <w:ind w:left="1416"/>
        <w:contextualSpacing/>
        <w:jc w:val="both"/>
        <w:rPr>
          <w:rFonts w:ascii="Arial" w:hAnsi="Arial" w:cs="Arial"/>
          <w:i/>
          <w:sz w:val="18"/>
          <w:szCs w:val="22"/>
        </w:rPr>
      </w:pPr>
    </w:p>
    <w:p w:rsidR="00D75790" w:rsidRPr="00E46D41" w:rsidRDefault="00D75790" w:rsidP="00D75790">
      <w:pPr>
        <w:autoSpaceDE w:val="0"/>
        <w:autoSpaceDN w:val="0"/>
        <w:adjustRightInd w:val="0"/>
        <w:ind w:left="1416"/>
        <w:contextualSpacing/>
        <w:jc w:val="both"/>
        <w:rPr>
          <w:rFonts w:ascii="Arial" w:hAnsi="Arial" w:cs="Arial"/>
          <w:i/>
          <w:sz w:val="18"/>
          <w:szCs w:val="22"/>
        </w:rPr>
      </w:pPr>
      <w:r w:rsidRPr="00E46D41">
        <w:rPr>
          <w:rFonts w:ascii="Arial" w:hAnsi="Arial" w:cs="Arial"/>
          <w:i/>
          <w:sz w:val="18"/>
          <w:szCs w:val="22"/>
        </w:rPr>
        <w:t>La isla cuenta, entonces, con dos acuíferos, el de la formación San Andrés y el de la formación San Luis. La primera comprende un área superficial de 17,13 km2, del territorio insular, con alturas entre los 4 y 85 m.s.n.m. y encontramos la cuenca de El Cove, considerada la principal área de recarga, tanto para la misma formación como hacia la formación San Luis, dadas las condiciones kársticas de la isla. Por su parte la Formación San Luis, se refiere a las zonas más planas de la isla con cotas que no sobrepasan los 10 m.s.n.m.</w:t>
      </w:r>
    </w:p>
    <w:p w:rsidR="00D75790" w:rsidRPr="00E46D41" w:rsidRDefault="00D75790" w:rsidP="00D75790">
      <w:pPr>
        <w:autoSpaceDE w:val="0"/>
        <w:autoSpaceDN w:val="0"/>
        <w:adjustRightInd w:val="0"/>
        <w:ind w:left="1416"/>
        <w:contextualSpacing/>
        <w:jc w:val="both"/>
        <w:rPr>
          <w:rFonts w:ascii="Arial" w:hAnsi="Arial" w:cs="Arial"/>
          <w:i/>
          <w:sz w:val="18"/>
          <w:szCs w:val="22"/>
        </w:rPr>
      </w:pPr>
    </w:p>
    <w:p w:rsidR="00D75790" w:rsidRPr="00DC371E" w:rsidRDefault="00D75790" w:rsidP="00D75790">
      <w:pPr>
        <w:autoSpaceDE w:val="0"/>
        <w:autoSpaceDN w:val="0"/>
        <w:adjustRightInd w:val="0"/>
        <w:ind w:left="1416"/>
        <w:contextualSpacing/>
        <w:jc w:val="both"/>
        <w:rPr>
          <w:rFonts w:ascii="Arial" w:hAnsi="Arial" w:cs="Arial"/>
          <w:i/>
          <w:sz w:val="22"/>
          <w:szCs w:val="22"/>
        </w:rPr>
      </w:pPr>
      <w:r w:rsidRPr="00E46D41">
        <w:rPr>
          <w:rFonts w:ascii="Arial" w:hAnsi="Arial" w:cs="Arial"/>
          <w:i/>
          <w:sz w:val="18"/>
          <w:szCs w:val="22"/>
        </w:rPr>
        <w:t>En la isla de San Andrés existen dos grupos de pozos de agua subterránea según su ubicación. Aquellos que se hallan en la Formación San Andrés, dentro de los cuales están la mayoría de pozos concesionados a la Empresa de Acueducto y Alcantarillado de la isla y algunos otros pozos concesionados a particulares cuya actividad económica es la extracción, transporte y venta de agua a través de carro tanques cisterna. Sobre la formación geológica San Luis (la más poblada y urbanizada de la isla) se ubica la mayoría de pozos domésticos y comerciales. De estos últimos se destacan los de establecimientos de hospedaje y alojamiento (hoteles, aparta hoteles, posadas u hostales), los usados para embotellar y comercializar agua envasada, los de restaurantes y almacenes, y los concesionados a la Empresa de Acueducto y Alcantarillado de la isla”.</w:t>
      </w:r>
    </w:p>
    <w:p w:rsidR="00D75790" w:rsidRPr="00E4450B" w:rsidRDefault="00D75790" w:rsidP="00D75790">
      <w:pPr>
        <w:shd w:val="clear" w:color="auto" w:fill="FFFFFF"/>
        <w:contextualSpacing/>
        <w:jc w:val="both"/>
        <w:rPr>
          <w:rFonts w:ascii="Arial" w:hAnsi="Arial" w:cs="Arial"/>
          <w:sz w:val="22"/>
          <w:szCs w:val="22"/>
        </w:rPr>
      </w:pPr>
    </w:p>
    <w:p w:rsidR="00D75790" w:rsidRPr="00697673" w:rsidRDefault="00D75790" w:rsidP="00D75790">
      <w:pPr>
        <w:shd w:val="clear" w:color="auto" w:fill="FFFFFF"/>
        <w:contextualSpacing/>
        <w:jc w:val="both"/>
        <w:rPr>
          <w:rFonts w:ascii="Arial" w:hAnsi="Arial" w:cs="Arial"/>
          <w:sz w:val="22"/>
          <w:szCs w:val="22"/>
        </w:rPr>
      </w:pPr>
      <w:r w:rsidRPr="00E4450B">
        <w:rPr>
          <w:rFonts w:ascii="Arial" w:hAnsi="Arial" w:cs="Arial"/>
          <w:sz w:val="22"/>
          <w:szCs w:val="22"/>
        </w:rPr>
        <w:t>Ahora bien, en relación con la extracción del recurso hídrico</w:t>
      </w:r>
      <w:r w:rsidRPr="00697673">
        <w:rPr>
          <w:rFonts w:ascii="Arial" w:hAnsi="Arial" w:cs="Arial"/>
          <w:sz w:val="22"/>
          <w:szCs w:val="22"/>
          <w:vertAlign w:val="superscript"/>
        </w:rPr>
        <w:footnoteReference w:id="5"/>
      </w:r>
      <w:r w:rsidRPr="00697673">
        <w:rPr>
          <w:rFonts w:ascii="Arial" w:hAnsi="Arial" w:cs="Arial"/>
          <w:sz w:val="22"/>
          <w:szCs w:val="22"/>
        </w:rPr>
        <w:t>, tenemos lo siguiente:</w:t>
      </w:r>
    </w:p>
    <w:p w:rsidR="00D75790" w:rsidRDefault="00D75790" w:rsidP="00D75790">
      <w:pPr>
        <w:rPr>
          <w:rFonts w:ascii="Arial" w:hAnsi="Arial" w:cs="Arial"/>
          <w:sz w:val="22"/>
          <w:szCs w:val="22"/>
        </w:rPr>
      </w:pPr>
      <w:r>
        <w:rPr>
          <w:rFonts w:ascii="Arial" w:hAnsi="Arial" w:cs="Arial"/>
          <w:sz w:val="22"/>
          <w:szCs w:val="22"/>
        </w:rPr>
        <w:br w:type="page"/>
      </w:r>
    </w:p>
    <w:p w:rsidR="00D75790" w:rsidRPr="00E46D41" w:rsidRDefault="00D75790" w:rsidP="00D75790">
      <w:pPr>
        <w:shd w:val="clear" w:color="auto" w:fill="FFFFFF"/>
        <w:contextualSpacing/>
        <w:jc w:val="center"/>
        <w:rPr>
          <w:rFonts w:ascii="Arial" w:hAnsi="Arial" w:cs="Arial"/>
          <w:b/>
          <w:sz w:val="20"/>
          <w:szCs w:val="22"/>
        </w:rPr>
      </w:pPr>
      <w:r w:rsidRPr="00E46D41">
        <w:rPr>
          <w:rFonts w:ascii="Arial" w:hAnsi="Arial" w:cs="Arial"/>
          <w:b/>
          <w:sz w:val="20"/>
          <w:szCs w:val="22"/>
        </w:rPr>
        <w:lastRenderedPageBreak/>
        <w:t>TABLA 3. EXTRACCIÓN DE AGUA SUBTERRÁNEA</w:t>
      </w:r>
    </w:p>
    <w:tbl>
      <w:tblPr>
        <w:tblStyle w:val="Tabladelista4-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1"/>
        <w:gridCol w:w="1842"/>
        <w:gridCol w:w="2127"/>
      </w:tblGrid>
      <w:tr w:rsidR="00D75790" w:rsidRPr="00DC371E" w:rsidTr="00695E5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vAlign w:val="center"/>
          </w:tcPr>
          <w:p w:rsidR="00D75790" w:rsidRPr="00DC371E" w:rsidRDefault="00D75790" w:rsidP="00695E54">
            <w:pPr>
              <w:pStyle w:val="Sinespaciado"/>
              <w:contextualSpacing/>
              <w:jc w:val="center"/>
              <w:rPr>
                <w:rFonts w:ascii="Arial" w:hAnsi="Arial" w:cs="Arial"/>
                <w:b w:val="0"/>
                <w:bCs w:val="0"/>
                <w:color w:val="auto"/>
                <w:sz w:val="20"/>
                <w:szCs w:val="20"/>
              </w:rPr>
            </w:pPr>
            <w:r w:rsidRPr="00DC371E">
              <w:rPr>
                <w:rFonts w:ascii="Arial" w:hAnsi="Arial" w:cs="Arial"/>
                <w:b w:val="0"/>
                <w:bCs w:val="0"/>
                <w:color w:val="auto"/>
                <w:sz w:val="20"/>
                <w:szCs w:val="20"/>
              </w:rPr>
              <w:t>SECTOR DE EXTRACCIÓN</w:t>
            </w:r>
          </w:p>
        </w:tc>
        <w:tc>
          <w:tcPr>
            <w:tcW w:w="1701" w:type="dxa"/>
            <w:shd w:val="clear" w:color="auto" w:fill="DBE5F1" w:themeFill="accent1" w:themeFillTint="33"/>
            <w:vAlign w:val="center"/>
          </w:tcPr>
          <w:p w:rsidR="00D75790" w:rsidRPr="00DC371E" w:rsidRDefault="00D75790" w:rsidP="00695E54">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DC371E">
              <w:rPr>
                <w:rFonts w:ascii="Arial" w:hAnsi="Arial" w:cs="Arial"/>
                <w:b w:val="0"/>
                <w:bCs w:val="0"/>
                <w:color w:val="auto"/>
                <w:sz w:val="20"/>
                <w:szCs w:val="20"/>
              </w:rPr>
              <w:t>Volumen de extracción: Acuífero San Andrés (m3/año)</w:t>
            </w:r>
          </w:p>
        </w:tc>
        <w:tc>
          <w:tcPr>
            <w:tcW w:w="1842" w:type="dxa"/>
            <w:shd w:val="clear" w:color="auto" w:fill="DBE5F1" w:themeFill="accent1" w:themeFillTint="33"/>
            <w:vAlign w:val="center"/>
          </w:tcPr>
          <w:p w:rsidR="00D75790" w:rsidRPr="00DC371E" w:rsidRDefault="00D75790" w:rsidP="00695E54">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DC371E">
              <w:rPr>
                <w:rFonts w:ascii="Arial" w:hAnsi="Arial" w:cs="Arial"/>
                <w:b w:val="0"/>
                <w:bCs w:val="0"/>
                <w:color w:val="auto"/>
                <w:sz w:val="20"/>
                <w:szCs w:val="20"/>
              </w:rPr>
              <w:t xml:space="preserve">Volumen de extracción: Acuífero San Luis </w:t>
            </w:r>
          </w:p>
          <w:p w:rsidR="00D75790" w:rsidRPr="00DC371E" w:rsidRDefault="00D75790" w:rsidP="00695E54">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DC371E">
              <w:rPr>
                <w:rFonts w:ascii="Arial" w:hAnsi="Arial" w:cs="Arial"/>
                <w:b w:val="0"/>
                <w:bCs w:val="0"/>
                <w:color w:val="auto"/>
                <w:sz w:val="20"/>
                <w:szCs w:val="20"/>
              </w:rPr>
              <w:t>(m3/año)</w:t>
            </w:r>
          </w:p>
        </w:tc>
        <w:tc>
          <w:tcPr>
            <w:tcW w:w="2127" w:type="dxa"/>
            <w:shd w:val="clear" w:color="auto" w:fill="DBE5F1" w:themeFill="accent1" w:themeFillTint="33"/>
            <w:vAlign w:val="center"/>
          </w:tcPr>
          <w:p w:rsidR="00D75790" w:rsidRPr="00DC371E" w:rsidRDefault="00D75790" w:rsidP="00695E54">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DC371E">
              <w:rPr>
                <w:rFonts w:ascii="Arial" w:hAnsi="Arial" w:cs="Arial"/>
                <w:b w:val="0"/>
                <w:bCs w:val="0"/>
                <w:color w:val="auto"/>
                <w:sz w:val="20"/>
                <w:szCs w:val="20"/>
              </w:rPr>
              <w:t>Volumen de extracción total (m3/año)</w:t>
            </w:r>
          </w:p>
        </w:tc>
      </w:tr>
      <w:tr w:rsidR="00D75790" w:rsidRPr="00DC371E" w:rsidTr="00695E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75790" w:rsidRPr="00DC371E" w:rsidRDefault="00D75790" w:rsidP="00695E54">
            <w:pPr>
              <w:pStyle w:val="Sinespaciado"/>
              <w:contextualSpacing/>
              <w:jc w:val="both"/>
              <w:rPr>
                <w:rFonts w:ascii="Arial" w:hAnsi="Arial" w:cs="Arial"/>
                <w:b w:val="0"/>
                <w:bCs w:val="0"/>
                <w:sz w:val="20"/>
                <w:szCs w:val="20"/>
              </w:rPr>
            </w:pPr>
            <w:r w:rsidRPr="00DC371E">
              <w:rPr>
                <w:rFonts w:ascii="Arial" w:hAnsi="Arial" w:cs="Arial"/>
                <w:b w:val="0"/>
                <w:bCs w:val="0"/>
                <w:sz w:val="20"/>
                <w:szCs w:val="20"/>
              </w:rPr>
              <w:t>Sector doméstico</w:t>
            </w:r>
          </w:p>
        </w:tc>
        <w:tc>
          <w:tcPr>
            <w:tcW w:w="1701" w:type="dxa"/>
            <w:vAlign w:val="center"/>
          </w:tcPr>
          <w:p w:rsidR="00D75790" w:rsidRPr="00DC371E" w:rsidRDefault="00D75790" w:rsidP="00695E54">
            <w:pPr>
              <w:pStyle w:val="Sinespaciad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842" w:type="dxa"/>
            <w:vAlign w:val="center"/>
          </w:tcPr>
          <w:p w:rsidR="00D75790" w:rsidRPr="00DC371E" w:rsidRDefault="00D75790" w:rsidP="00695E54">
            <w:pPr>
              <w:pStyle w:val="Sinespaciad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C371E">
              <w:rPr>
                <w:rFonts w:ascii="Arial" w:hAnsi="Arial" w:cs="Arial"/>
                <w:sz w:val="20"/>
                <w:szCs w:val="20"/>
              </w:rPr>
              <w:t>945.944</w:t>
            </w:r>
          </w:p>
        </w:tc>
        <w:tc>
          <w:tcPr>
            <w:tcW w:w="2127" w:type="dxa"/>
            <w:vAlign w:val="center"/>
          </w:tcPr>
          <w:p w:rsidR="00D75790" w:rsidRPr="00DC371E" w:rsidRDefault="00D75790" w:rsidP="00695E54">
            <w:pPr>
              <w:pStyle w:val="Sinespaciad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C371E">
              <w:rPr>
                <w:rFonts w:ascii="Arial" w:hAnsi="Arial" w:cs="Arial"/>
                <w:sz w:val="20"/>
                <w:szCs w:val="20"/>
              </w:rPr>
              <w:t>945.944</w:t>
            </w:r>
          </w:p>
        </w:tc>
      </w:tr>
      <w:tr w:rsidR="00D75790" w:rsidRPr="00DC371E" w:rsidTr="00695E54">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75790" w:rsidRPr="00DC371E" w:rsidRDefault="00D75790" w:rsidP="00695E54">
            <w:pPr>
              <w:pStyle w:val="Sinespaciado"/>
              <w:contextualSpacing/>
              <w:jc w:val="both"/>
              <w:rPr>
                <w:rFonts w:ascii="Arial" w:hAnsi="Arial" w:cs="Arial"/>
                <w:b w:val="0"/>
                <w:bCs w:val="0"/>
                <w:sz w:val="20"/>
                <w:szCs w:val="20"/>
              </w:rPr>
            </w:pPr>
            <w:r w:rsidRPr="00DC371E">
              <w:rPr>
                <w:rFonts w:ascii="Arial" w:hAnsi="Arial" w:cs="Arial"/>
                <w:b w:val="0"/>
                <w:bCs w:val="0"/>
                <w:sz w:val="20"/>
                <w:szCs w:val="20"/>
              </w:rPr>
              <w:t>Sector concesionado</w:t>
            </w:r>
          </w:p>
        </w:tc>
        <w:tc>
          <w:tcPr>
            <w:tcW w:w="1701" w:type="dxa"/>
            <w:shd w:val="clear" w:color="auto" w:fill="DBE5F1" w:themeFill="accent1" w:themeFillTint="33"/>
            <w:vAlign w:val="center"/>
          </w:tcPr>
          <w:p w:rsidR="00D75790" w:rsidRPr="00DC371E" w:rsidRDefault="00D75790" w:rsidP="00695E54">
            <w:pPr>
              <w:pStyle w:val="Sinespaciad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371E">
              <w:rPr>
                <w:rFonts w:ascii="Arial" w:hAnsi="Arial" w:cs="Arial"/>
                <w:sz w:val="20"/>
                <w:szCs w:val="20"/>
              </w:rPr>
              <w:t>424.266,48</w:t>
            </w:r>
          </w:p>
        </w:tc>
        <w:tc>
          <w:tcPr>
            <w:tcW w:w="1842" w:type="dxa"/>
            <w:shd w:val="clear" w:color="auto" w:fill="DBE5F1" w:themeFill="accent1" w:themeFillTint="33"/>
            <w:vAlign w:val="center"/>
          </w:tcPr>
          <w:p w:rsidR="00D75790" w:rsidRPr="00DC371E" w:rsidRDefault="00D75790" w:rsidP="00695E54">
            <w:pPr>
              <w:pStyle w:val="Sinespaciad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371E">
              <w:rPr>
                <w:rFonts w:ascii="Arial" w:hAnsi="Arial" w:cs="Arial"/>
                <w:sz w:val="20"/>
                <w:szCs w:val="20"/>
              </w:rPr>
              <w:t>3.031.512,28</w:t>
            </w:r>
          </w:p>
        </w:tc>
        <w:tc>
          <w:tcPr>
            <w:tcW w:w="2127" w:type="dxa"/>
            <w:shd w:val="clear" w:color="auto" w:fill="DBE5F1" w:themeFill="accent1" w:themeFillTint="33"/>
            <w:vAlign w:val="center"/>
          </w:tcPr>
          <w:p w:rsidR="00D75790" w:rsidRPr="00DC371E" w:rsidRDefault="00D75790" w:rsidP="00695E54">
            <w:pPr>
              <w:pStyle w:val="Sinespaciad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C371E">
              <w:rPr>
                <w:rFonts w:ascii="Arial" w:hAnsi="Arial" w:cs="Arial"/>
                <w:sz w:val="20"/>
                <w:szCs w:val="20"/>
              </w:rPr>
              <w:t>3.455.778,76</w:t>
            </w:r>
          </w:p>
        </w:tc>
      </w:tr>
      <w:tr w:rsidR="00D75790" w:rsidRPr="00DC371E" w:rsidTr="00695E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75790" w:rsidRPr="00DC371E" w:rsidRDefault="00D75790" w:rsidP="00695E54">
            <w:pPr>
              <w:pStyle w:val="Sinespaciado"/>
              <w:contextualSpacing/>
              <w:jc w:val="both"/>
              <w:rPr>
                <w:rFonts w:ascii="Arial" w:hAnsi="Arial" w:cs="Arial"/>
                <w:b w:val="0"/>
                <w:bCs w:val="0"/>
                <w:sz w:val="20"/>
                <w:szCs w:val="20"/>
              </w:rPr>
            </w:pPr>
            <w:r w:rsidRPr="00DC371E">
              <w:rPr>
                <w:rFonts w:ascii="Arial" w:hAnsi="Arial" w:cs="Arial"/>
                <w:b w:val="0"/>
                <w:bCs w:val="0"/>
                <w:sz w:val="20"/>
                <w:szCs w:val="20"/>
              </w:rPr>
              <w:t>Sector sin concesión vigente</w:t>
            </w:r>
          </w:p>
        </w:tc>
        <w:tc>
          <w:tcPr>
            <w:tcW w:w="1701" w:type="dxa"/>
            <w:vAlign w:val="center"/>
          </w:tcPr>
          <w:p w:rsidR="00D75790" w:rsidRPr="00DC371E" w:rsidRDefault="00D75790" w:rsidP="00695E54">
            <w:pPr>
              <w:pStyle w:val="Sinespaciad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C371E">
              <w:rPr>
                <w:rFonts w:ascii="Arial" w:hAnsi="Arial" w:cs="Arial"/>
                <w:sz w:val="20"/>
                <w:szCs w:val="20"/>
              </w:rPr>
              <w:t>7.884</w:t>
            </w:r>
          </w:p>
        </w:tc>
        <w:tc>
          <w:tcPr>
            <w:tcW w:w="1842" w:type="dxa"/>
            <w:vAlign w:val="center"/>
          </w:tcPr>
          <w:p w:rsidR="00D75790" w:rsidRPr="00DC371E" w:rsidRDefault="00D75790" w:rsidP="00695E54">
            <w:pPr>
              <w:pStyle w:val="Sinespaciad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C371E">
              <w:rPr>
                <w:rFonts w:ascii="Arial" w:hAnsi="Arial" w:cs="Arial"/>
                <w:sz w:val="20"/>
                <w:szCs w:val="20"/>
              </w:rPr>
              <w:t>869.603</w:t>
            </w:r>
          </w:p>
        </w:tc>
        <w:tc>
          <w:tcPr>
            <w:tcW w:w="2127" w:type="dxa"/>
            <w:vAlign w:val="center"/>
          </w:tcPr>
          <w:p w:rsidR="00D75790" w:rsidRPr="00DC371E" w:rsidRDefault="00D75790" w:rsidP="00695E54">
            <w:pPr>
              <w:pStyle w:val="Sinespaciad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C371E">
              <w:rPr>
                <w:rFonts w:ascii="Arial" w:hAnsi="Arial" w:cs="Arial"/>
                <w:sz w:val="20"/>
                <w:szCs w:val="20"/>
              </w:rPr>
              <w:t>877.486,57</w:t>
            </w:r>
          </w:p>
        </w:tc>
      </w:tr>
      <w:tr w:rsidR="00D75790" w:rsidRPr="00DC371E" w:rsidTr="00695E54">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75790" w:rsidRPr="00DC371E" w:rsidRDefault="00D75790" w:rsidP="00695E54">
            <w:pPr>
              <w:pStyle w:val="Sinespaciado"/>
              <w:contextualSpacing/>
              <w:jc w:val="center"/>
              <w:rPr>
                <w:rFonts w:ascii="Arial" w:hAnsi="Arial" w:cs="Arial"/>
                <w:sz w:val="20"/>
                <w:szCs w:val="20"/>
              </w:rPr>
            </w:pPr>
            <w:r w:rsidRPr="00DC371E">
              <w:rPr>
                <w:rFonts w:ascii="Arial" w:hAnsi="Arial" w:cs="Arial"/>
                <w:sz w:val="20"/>
                <w:szCs w:val="20"/>
              </w:rPr>
              <w:t>TOTAL:</w:t>
            </w:r>
          </w:p>
        </w:tc>
        <w:tc>
          <w:tcPr>
            <w:tcW w:w="1701" w:type="dxa"/>
            <w:shd w:val="clear" w:color="auto" w:fill="DBE5F1" w:themeFill="accent1" w:themeFillTint="33"/>
            <w:vAlign w:val="center"/>
          </w:tcPr>
          <w:p w:rsidR="00D75790" w:rsidRPr="00DC371E" w:rsidRDefault="00D75790" w:rsidP="00695E54">
            <w:pPr>
              <w:pStyle w:val="Sinespaciad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C371E">
              <w:rPr>
                <w:rFonts w:ascii="Arial" w:hAnsi="Arial" w:cs="Arial"/>
                <w:b/>
                <w:bCs/>
                <w:sz w:val="20"/>
                <w:szCs w:val="20"/>
              </w:rPr>
              <w:t>432.150,48</w:t>
            </w:r>
          </w:p>
        </w:tc>
        <w:tc>
          <w:tcPr>
            <w:tcW w:w="1842" w:type="dxa"/>
            <w:shd w:val="clear" w:color="auto" w:fill="DBE5F1" w:themeFill="accent1" w:themeFillTint="33"/>
            <w:vAlign w:val="center"/>
          </w:tcPr>
          <w:p w:rsidR="00D75790" w:rsidRPr="00DC371E" w:rsidRDefault="00D75790" w:rsidP="00695E54">
            <w:pPr>
              <w:pStyle w:val="Sinespaciad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C371E">
              <w:rPr>
                <w:rFonts w:ascii="Arial" w:hAnsi="Arial" w:cs="Arial"/>
                <w:b/>
                <w:bCs/>
                <w:sz w:val="20"/>
                <w:szCs w:val="20"/>
              </w:rPr>
              <w:t>4.847.059,07</w:t>
            </w:r>
          </w:p>
        </w:tc>
        <w:tc>
          <w:tcPr>
            <w:tcW w:w="2127" w:type="dxa"/>
            <w:shd w:val="clear" w:color="auto" w:fill="DBE5F1" w:themeFill="accent1" w:themeFillTint="33"/>
            <w:vAlign w:val="center"/>
          </w:tcPr>
          <w:p w:rsidR="00D75790" w:rsidRPr="00DC371E" w:rsidRDefault="00D75790" w:rsidP="00695E54">
            <w:pPr>
              <w:pStyle w:val="Sinespaciad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C371E">
              <w:rPr>
                <w:rFonts w:ascii="Arial" w:hAnsi="Arial" w:cs="Arial"/>
                <w:b/>
                <w:bCs/>
                <w:sz w:val="20"/>
                <w:szCs w:val="20"/>
              </w:rPr>
              <w:t>5.279.209,55</w:t>
            </w:r>
          </w:p>
        </w:tc>
      </w:tr>
    </w:tbl>
    <w:p w:rsidR="00D75790" w:rsidRPr="00DC371E" w:rsidRDefault="00D75790" w:rsidP="00D75790">
      <w:pPr>
        <w:shd w:val="clear" w:color="auto" w:fill="FFFFFF"/>
        <w:contextualSpacing/>
        <w:jc w:val="center"/>
        <w:rPr>
          <w:rFonts w:ascii="Arial" w:hAnsi="Arial" w:cs="Arial"/>
          <w:sz w:val="16"/>
          <w:szCs w:val="16"/>
        </w:rPr>
      </w:pPr>
      <w:r w:rsidRPr="00DC371E">
        <w:rPr>
          <w:rFonts w:ascii="Arial" w:hAnsi="Arial" w:cs="Arial"/>
          <w:sz w:val="16"/>
          <w:szCs w:val="16"/>
        </w:rPr>
        <w:t>Fuente: Coralina- Documento Extracción del recurso hídrico - 2019</w:t>
      </w:r>
    </w:p>
    <w:p w:rsidR="00D75790" w:rsidRPr="00E46D41" w:rsidRDefault="00D75790" w:rsidP="00D75790">
      <w:pPr>
        <w:pStyle w:val="Sinespaciado"/>
        <w:contextualSpacing/>
        <w:jc w:val="both"/>
        <w:rPr>
          <w:rFonts w:ascii="Arial" w:eastAsia="MS Mincho" w:hAnsi="Arial" w:cs="Arial"/>
          <w:lang w:val="es-ES" w:eastAsia="es-ES"/>
        </w:rPr>
      </w:pPr>
    </w:p>
    <w:p w:rsidR="00D75790" w:rsidRPr="00697673" w:rsidRDefault="00D75790" w:rsidP="00D75790">
      <w:pPr>
        <w:pStyle w:val="Sinespaciado"/>
        <w:contextualSpacing/>
        <w:jc w:val="both"/>
        <w:rPr>
          <w:rFonts w:ascii="Arial" w:eastAsia="MS Mincho" w:hAnsi="Arial" w:cs="Arial"/>
          <w:b/>
          <w:lang w:val="es-ES" w:eastAsia="es-ES"/>
        </w:rPr>
      </w:pPr>
      <w:r w:rsidRPr="00697673">
        <w:rPr>
          <w:rFonts w:ascii="Arial" w:eastAsia="MS Mincho" w:hAnsi="Arial" w:cs="Arial"/>
          <w:b/>
          <w:lang w:val="es-ES" w:eastAsia="es-ES"/>
        </w:rPr>
        <w:t>Sector Doméstico</w:t>
      </w:r>
      <w:r>
        <w:rPr>
          <w:rFonts w:ascii="Arial" w:eastAsia="MS Mincho" w:hAnsi="Arial" w:cs="Arial"/>
          <w:b/>
          <w:lang w:val="es-ES" w:eastAsia="es-ES"/>
        </w:rPr>
        <w:t>.</w:t>
      </w:r>
    </w:p>
    <w:p w:rsidR="00D75790" w:rsidRPr="00E4450B" w:rsidRDefault="00D75790" w:rsidP="00D75790">
      <w:pPr>
        <w:pStyle w:val="Sinespaciado"/>
        <w:contextualSpacing/>
        <w:jc w:val="both"/>
        <w:rPr>
          <w:rFonts w:ascii="Arial" w:eastAsia="MS Mincho" w:hAnsi="Arial" w:cs="Arial"/>
          <w:lang w:val="es-ES" w:eastAsia="es-ES"/>
        </w:rPr>
      </w:pPr>
    </w:p>
    <w:p w:rsidR="00D75790" w:rsidRPr="00DC371E" w:rsidRDefault="00D75790" w:rsidP="00D75790">
      <w:pPr>
        <w:pStyle w:val="Sinespaciado"/>
        <w:contextualSpacing/>
        <w:jc w:val="both"/>
        <w:rPr>
          <w:rFonts w:ascii="Arial" w:eastAsia="MS Mincho" w:hAnsi="Arial" w:cs="Arial"/>
          <w:lang w:val="es-ES" w:eastAsia="es-ES"/>
        </w:rPr>
      </w:pPr>
      <w:r w:rsidRPr="00DC371E">
        <w:rPr>
          <w:rFonts w:ascii="Arial" w:eastAsia="MS Mincho" w:hAnsi="Arial" w:cs="Arial"/>
          <w:lang w:val="es-ES" w:eastAsia="es-ES"/>
        </w:rPr>
        <w:t xml:space="preserve">La extracción de agua para el sector doméstico se basó en cálculos realizados a partir de la dotación de agua para residentes, reportadas por CDM Smith (2010), cuyo valor es de 120 l/hab-día. Así como la población proyectada por el DANE (2005), correspondiente a 73.221 habitantes para 2018 y el número de personas por hogar, reportado en 3,7 personas. La extracción de pozos domésticos, localizados sobre el acuífero San Luis, en la </w:t>
      </w:r>
      <w:r>
        <w:rPr>
          <w:rFonts w:ascii="Arial" w:eastAsia="MS Mincho" w:hAnsi="Arial" w:cs="Arial"/>
          <w:lang w:val="es-ES" w:eastAsia="es-ES"/>
        </w:rPr>
        <w:t>I</w:t>
      </w:r>
      <w:r w:rsidRPr="00DC371E">
        <w:rPr>
          <w:rFonts w:ascii="Arial" w:eastAsia="MS Mincho" w:hAnsi="Arial" w:cs="Arial"/>
          <w:lang w:val="es-ES" w:eastAsia="es-ES"/>
        </w:rPr>
        <w:t>sla de San Andrés es de 945.944 m3/año.</w:t>
      </w:r>
    </w:p>
    <w:p w:rsidR="00D75790" w:rsidRPr="00E46D41" w:rsidRDefault="00D75790" w:rsidP="00D75790">
      <w:pPr>
        <w:pStyle w:val="Sinespaciado"/>
        <w:contextualSpacing/>
        <w:jc w:val="both"/>
        <w:rPr>
          <w:rFonts w:ascii="Arial" w:eastAsia="MS Mincho" w:hAnsi="Arial" w:cs="Arial"/>
          <w:szCs w:val="24"/>
          <w:lang w:val="es-ES" w:eastAsia="es-ES"/>
        </w:rPr>
      </w:pPr>
    </w:p>
    <w:p w:rsidR="00D75790" w:rsidRPr="00DC371E" w:rsidRDefault="00D75790" w:rsidP="00D75790">
      <w:pPr>
        <w:pStyle w:val="Sinespaciado"/>
        <w:contextualSpacing/>
        <w:jc w:val="both"/>
        <w:rPr>
          <w:rFonts w:ascii="Arial" w:eastAsia="MS Mincho" w:hAnsi="Arial" w:cs="Arial"/>
          <w:b/>
          <w:lang w:val="es-ES" w:eastAsia="es-ES"/>
        </w:rPr>
      </w:pPr>
      <w:r w:rsidRPr="00DC371E">
        <w:rPr>
          <w:rFonts w:ascii="Arial" w:eastAsia="MS Mincho" w:hAnsi="Arial" w:cs="Arial"/>
          <w:b/>
          <w:lang w:val="es-ES" w:eastAsia="es-ES"/>
        </w:rPr>
        <w:t>Sector Concesionado</w:t>
      </w:r>
      <w:r>
        <w:rPr>
          <w:rFonts w:ascii="Arial" w:eastAsia="MS Mincho" w:hAnsi="Arial" w:cs="Arial"/>
          <w:b/>
          <w:lang w:val="es-ES" w:eastAsia="es-ES"/>
        </w:rPr>
        <w:t>.</w:t>
      </w:r>
    </w:p>
    <w:p w:rsidR="00D75790" w:rsidRPr="00DC371E" w:rsidRDefault="00D75790" w:rsidP="00D75790">
      <w:pPr>
        <w:pStyle w:val="Sinespaciado"/>
        <w:contextualSpacing/>
        <w:jc w:val="both"/>
        <w:rPr>
          <w:rFonts w:ascii="Arial" w:eastAsia="MS Mincho" w:hAnsi="Arial" w:cs="Arial"/>
          <w:lang w:val="es-ES" w:eastAsia="es-ES"/>
        </w:rPr>
      </w:pPr>
    </w:p>
    <w:p w:rsidR="00D75790" w:rsidRPr="00DC371E" w:rsidRDefault="00D75790" w:rsidP="00D75790">
      <w:pPr>
        <w:pStyle w:val="Sinespaciado"/>
        <w:contextualSpacing/>
        <w:jc w:val="both"/>
        <w:rPr>
          <w:rFonts w:ascii="Arial" w:eastAsia="MS Mincho" w:hAnsi="Arial" w:cs="Arial"/>
          <w:lang w:val="es-ES" w:eastAsia="es-ES"/>
        </w:rPr>
      </w:pPr>
      <w:r w:rsidRPr="00DC371E">
        <w:rPr>
          <w:rFonts w:ascii="Arial" w:eastAsia="MS Mincho" w:hAnsi="Arial" w:cs="Arial"/>
          <w:lang w:val="es-ES" w:eastAsia="es-ES"/>
        </w:rPr>
        <w:t>A abril 30 de 2019, de acuerdo con la información de Coralina, existe un total de volumen concesionado de 5.325.011,28 m</w:t>
      </w:r>
      <w:r w:rsidRPr="00E46D41">
        <w:rPr>
          <w:rFonts w:ascii="Arial" w:eastAsia="MS Mincho" w:hAnsi="Arial" w:cs="Arial"/>
          <w:vertAlign w:val="superscript"/>
          <w:lang w:val="es-ES" w:eastAsia="es-ES"/>
        </w:rPr>
        <w:t>3</w:t>
      </w:r>
      <w:r w:rsidRPr="00DC371E">
        <w:rPr>
          <w:rFonts w:ascii="Arial" w:eastAsia="MS Mincho" w:hAnsi="Arial" w:cs="Arial"/>
          <w:lang w:val="es-ES" w:eastAsia="es-ES"/>
        </w:rPr>
        <w:t>/año, de las cuales se extraen 3.455.778,76 m</w:t>
      </w:r>
      <w:r w:rsidRPr="00E46D41">
        <w:rPr>
          <w:rFonts w:ascii="Arial" w:eastAsia="MS Mincho" w:hAnsi="Arial" w:cs="Arial"/>
          <w:vertAlign w:val="superscript"/>
          <w:lang w:val="es-ES" w:eastAsia="es-ES"/>
        </w:rPr>
        <w:t>3</w:t>
      </w:r>
      <w:r w:rsidRPr="00DC371E">
        <w:rPr>
          <w:rFonts w:ascii="Arial" w:eastAsia="MS Mincho" w:hAnsi="Arial" w:cs="Arial"/>
          <w:lang w:val="es-ES" w:eastAsia="es-ES"/>
        </w:rPr>
        <w:t>/año, representado un 64</w:t>
      </w:r>
      <w:r>
        <w:rPr>
          <w:rFonts w:ascii="Arial" w:eastAsia="MS Mincho" w:hAnsi="Arial" w:cs="Arial"/>
          <w:lang w:val="es-ES" w:eastAsia="es-ES"/>
        </w:rPr>
        <w:t>,</w:t>
      </w:r>
      <w:r w:rsidRPr="00DC371E">
        <w:rPr>
          <w:rFonts w:ascii="Arial" w:eastAsia="MS Mincho" w:hAnsi="Arial" w:cs="Arial"/>
          <w:lang w:val="es-ES" w:eastAsia="es-ES"/>
        </w:rPr>
        <w:t>9</w:t>
      </w:r>
      <w:r>
        <w:rPr>
          <w:rFonts w:ascii="Arial" w:eastAsia="MS Mincho" w:hAnsi="Arial" w:cs="Arial"/>
          <w:lang w:val="es-ES" w:eastAsia="es-ES"/>
        </w:rPr>
        <w:t xml:space="preserve"> </w:t>
      </w:r>
      <w:r w:rsidRPr="00DC371E">
        <w:rPr>
          <w:rFonts w:ascii="Arial" w:eastAsia="MS Mincho" w:hAnsi="Arial" w:cs="Arial"/>
          <w:lang w:val="es-ES" w:eastAsia="es-ES"/>
        </w:rPr>
        <w:t>% de lo concesionado. De este volumen extraído, vale la pena resaltar que el 98</w:t>
      </w:r>
      <w:r>
        <w:rPr>
          <w:rFonts w:ascii="Arial" w:eastAsia="MS Mincho" w:hAnsi="Arial" w:cs="Arial"/>
          <w:lang w:val="es-ES" w:eastAsia="es-ES"/>
        </w:rPr>
        <w:t>,</w:t>
      </w:r>
      <w:r w:rsidRPr="00DC371E">
        <w:rPr>
          <w:rFonts w:ascii="Arial" w:eastAsia="MS Mincho" w:hAnsi="Arial" w:cs="Arial"/>
          <w:lang w:val="es-ES" w:eastAsia="es-ES"/>
        </w:rPr>
        <w:t>5</w:t>
      </w:r>
      <w:r>
        <w:rPr>
          <w:rFonts w:ascii="Arial" w:eastAsia="MS Mincho" w:hAnsi="Arial" w:cs="Arial"/>
          <w:lang w:val="es-ES" w:eastAsia="es-ES"/>
        </w:rPr>
        <w:t xml:space="preserve"> </w:t>
      </w:r>
      <w:r w:rsidRPr="00DC371E">
        <w:rPr>
          <w:rFonts w:ascii="Arial" w:eastAsia="MS Mincho" w:hAnsi="Arial" w:cs="Arial"/>
          <w:lang w:val="es-ES" w:eastAsia="es-ES"/>
        </w:rPr>
        <w:t>% corresponde a la Empresa Veolia.</w:t>
      </w:r>
    </w:p>
    <w:p w:rsidR="00D75790" w:rsidRPr="00E46D41" w:rsidRDefault="00D75790" w:rsidP="00D75790">
      <w:pPr>
        <w:pStyle w:val="Sinespaciado"/>
        <w:contextualSpacing/>
        <w:jc w:val="both"/>
        <w:rPr>
          <w:rFonts w:ascii="Arial" w:eastAsia="MS Mincho" w:hAnsi="Arial" w:cs="Arial"/>
          <w:szCs w:val="24"/>
          <w:lang w:val="es-ES" w:eastAsia="es-ES"/>
        </w:rPr>
      </w:pPr>
    </w:p>
    <w:p w:rsidR="00D75790" w:rsidRPr="00E46D41" w:rsidRDefault="00D75790" w:rsidP="00D75790">
      <w:pPr>
        <w:shd w:val="clear" w:color="auto" w:fill="FFFFFF"/>
        <w:contextualSpacing/>
        <w:jc w:val="center"/>
        <w:rPr>
          <w:rFonts w:ascii="Arial" w:hAnsi="Arial" w:cs="Arial"/>
          <w:b/>
          <w:sz w:val="20"/>
        </w:rPr>
      </w:pPr>
      <w:r w:rsidRPr="00E46D41">
        <w:rPr>
          <w:rFonts w:ascii="Arial" w:hAnsi="Arial" w:cs="Arial"/>
          <w:b/>
          <w:sz w:val="20"/>
        </w:rPr>
        <w:t>TABLA 4. EXTRACCIÓN DE AGUA SUBTERRÁNEA</w:t>
      </w:r>
    </w:p>
    <w:tbl>
      <w:tblPr>
        <w:tblStyle w:val="Tabladelista4-nfasis1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134"/>
        <w:gridCol w:w="1292"/>
        <w:gridCol w:w="1543"/>
        <w:gridCol w:w="1559"/>
      </w:tblGrid>
      <w:tr w:rsidR="00D75790" w:rsidRPr="00736BE8" w:rsidTr="00695E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BE5F1" w:themeFill="accent1" w:themeFillTint="33"/>
            <w:vAlign w:val="center"/>
            <w:hideMark/>
          </w:tcPr>
          <w:p w:rsidR="00D75790" w:rsidRPr="00736BE8" w:rsidRDefault="00D75790" w:rsidP="00695E54">
            <w:pPr>
              <w:contextualSpacing/>
              <w:jc w:val="center"/>
              <w:rPr>
                <w:rFonts w:ascii="Arial" w:hAnsi="Arial" w:cs="Arial"/>
                <w:color w:val="auto"/>
                <w:sz w:val="16"/>
                <w:szCs w:val="16"/>
              </w:rPr>
            </w:pPr>
            <w:r w:rsidRPr="00736BE8">
              <w:rPr>
                <w:rFonts w:ascii="Arial" w:hAnsi="Arial" w:cs="Arial"/>
                <w:color w:val="auto"/>
                <w:sz w:val="16"/>
                <w:szCs w:val="16"/>
              </w:rPr>
              <w:t>ID pozo</w:t>
            </w:r>
          </w:p>
        </w:tc>
        <w:tc>
          <w:tcPr>
            <w:tcW w:w="1559" w:type="dxa"/>
            <w:shd w:val="clear" w:color="auto" w:fill="DBE5F1" w:themeFill="accent1" w:themeFillTint="33"/>
            <w:vAlign w:val="center"/>
            <w:hideMark/>
          </w:tcPr>
          <w:p w:rsidR="00D75790" w:rsidRPr="00736BE8" w:rsidRDefault="00D75790" w:rsidP="00695E5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736BE8">
              <w:rPr>
                <w:rFonts w:ascii="Arial" w:hAnsi="Arial" w:cs="Arial"/>
                <w:color w:val="auto"/>
                <w:sz w:val="16"/>
                <w:szCs w:val="16"/>
              </w:rPr>
              <w:t>Caudal concesionado</w:t>
            </w:r>
          </w:p>
          <w:p w:rsidR="00D75790" w:rsidRPr="00736BE8" w:rsidRDefault="00D75790" w:rsidP="00695E5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736BE8">
              <w:rPr>
                <w:rFonts w:ascii="Arial" w:hAnsi="Arial" w:cs="Arial"/>
                <w:color w:val="auto"/>
                <w:sz w:val="16"/>
                <w:szCs w:val="16"/>
              </w:rPr>
              <w:t>(L/s)</w:t>
            </w:r>
          </w:p>
        </w:tc>
        <w:tc>
          <w:tcPr>
            <w:tcW w:w="1134" w:type="dxa"/>
            <w:shd w:val="clear" w:color="auto" w:fill="DBE5F1" w:themeFill="accent1" w:themeFillTint="33"/>
            <w:vAlign w:val="center"/>
            <w:hideMark/>
          </w:tcPr>
          <w:p w:rsidR="00D75790" w:rsidRPr="00736BE8" w:rsidRDefault="00D75790" w:rsidP="00695E5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736BE8">
              <w:rPr>
                <w:rFonts w:ascii="Arial" w:hAnsi="Arial" w:cs="Arial"/>
                <w:color w:val="auto"/>
                <w:sz w:val="16"/>
                <w:szCs w:val="16"/>
              </w:rPr>
              <w:t>Régimen de bombeo (hora/día)</w:t>
            </w:r>
          </w:p>
        </w:tc>
        <w:tc>
          <w:tcPr>
            <w:tcW w:w="1292" w:type="dxa"/>
            <w:shd w:val="clear" w:color="auto" w:fill="DBE5F1" w:themeFill="accent1" w:themeFillTint="33"/>
            <w:vAlign w:val="center"/>
            <w:hideMark/>
          </w:tcPr>
          <w:p w:rsidR="00D75790" w:rsidRPr="00736BE8" w:rsidRDefault="00D75790" w:rsidP="00695E5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736BE8">
              <w:rPr>
                <w:rFonts w:ascii="Arial" w:hAnsi="Arial" w:cs="Arial"/>
                <w:color w:val="auto"/>
                <w:sz w:val="16"/>
                <w:szCs w:val="16"/>
              </w:rPr>
              <w:t>Volumen concesionado (m3/día)</w:t>
            </w:r>
          </w:p>
        </w:tc>
        <w:tc>
          <w:tcPr>
            <w:tcW w:w="1543" w:type="dxa"/>
            <w:shd w:val="clear" w:color="auto" w:fill="DBE5F1" w:themeFill="accent1" w:themeFillTint="33"/>
            <w:vAlign w:val="center"/>
            <w:hideMark/>
          </w:tcPr>
          <w:p w:rsidR="00D75790" w:rsidRPr="00736BE8" w:rsidRDefault="00D75790" w:rsidP="00695E5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736BE8">
              <w:rPr>
                <w:rFonts w:ascii="Arial" w:hAnsi="Arial" w:cs="Arial"/>
                <w:color w:val="auto"/>
                <w:sz w:val="16"/>
                <w:szCs w:val="16"/>
              </w:rPr>
              <w:t>Volumen concesionado (m3/año)</w:t>
            </w:r>
          </w:p>
        </w:tc>
        <w:tc>
          <w:tcPr>
            <w:tcW w:w="1559" w:type="dxa"/>
            <w:shd w:val="clear" w:color="auto" w:fill="DBE5F1" w:themeFill="accent1" w:themeFillTint="33"/>
            <w:vAlign w:val="center"/>
          </w:tcPr>
          <w:p w:rsidR="00D75790" w:rsidRPr="00736BE8" w:rsidRDefault="00D75790" w:rsidP="00695E5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736BE8">
              <w:rPr>
                <w:rFonts w:ascii="Arial" w:hAnsi="Arial" w:cs="Arial"/>
                <w:color w:val="auto"/>
                <w:sz w:val="16"/>
                <w:szCs w:val="16"/>
              </w:rPr>
              <w:t>Volumen extraído (m3/año)</w:t>
            </w:r>
          </w:p>
        </w:tc>
      </w:tr>
      <w:tr w:rsidR="00D75790" w:rsidRPr="00736BE8" w:rsidTr="00695E5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rsidR="00D75790" w:rsidRPr="00736BE8" w:rsidRDefault="00D75790" w:rsidP="00695E54">
            <w:pPr>
              <w:contextualSpacing/>
              <w:rPr>
                <w:rFonts w:ascii="Arial" w:hAnsi="Arial" w:cs="Arial"/>
                <w:sz w:val="16"/>
                <w:szCs w:val="16"/>
              </w:rPr>
            </w:pPr>
            <w:r w:rsidRPr="00736BE8">
              <w:rPr>
                <w:rFonts w:ascii="Arial" w:hAnsi="Arial" w:cs="Arial"/>
                <w:sz w:val="16"/>
                <w:szCs w:val="16"/>
              </w:rPr>
              <w:t>PD</w:t>
            </w:r>
          </w:p>
          <w:p w:rsidR="00D75790" w:rsidRPr="00736BE8" w:rsidRDefault="00D75790" w:rsidP="00695E54">
            <w:pPr>
              <w:contextualSpacing/>
              <w:rPr>
                <w:rFonts w:ascii="Arial" w:hAnsi="Arial" w:cs="Arial"/>
                <w:sz w:val="16"/>
                <w:szCs w:val="16"/>
              </w:rPr>
            </w:pPr>
            <w:r w:rsidRPr="00736BE8">
              <w:rPr>
                <w:rFonts w:ascii="Arial" w:hAnsi="Arial" w:cs="Arial"/>
                <w:sz w:val="16"/>
                <w:szCs w:val="16"/>
              </w:rPr>
              <w:t>(Pozos Desalinizadora Proactiva)</w:t>
            </w:r>
          </w:p>
        </w:tc>
        <w:tc>
          <w:tcPr>
            <w:tcW w:w="1559" w:type="dxa"/>
            <w:noWrap/>
            <w:vAlign w:val="center"/>
            <w:hideMark/>
          </w:tcPr>
          <w:p w:rsidR="00D75790" w:rsidRPr="00736BE8" w:rsidRDefault="00D75790" w:rsidP="00695E5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6BE8">
              <w:rPr>
                <w:rFonts w:ascii="Arial" w:hAnsi="Arial" w:cs="Arial"/>
                <w:sz w:val="16"/>
                <w:szCs w:val="16"/>
              </w:rPr>
              <w:t>140</w:t>
            </w:r>
          </w:p>
        </w:tc>
        <w:tc>
          <w:tcPr>
            <w:tcW w:w="1134" w:type="dxa"/>
            <w:noWrap/>
            <w:vAlign w:val="center"/>
            <w:hideMark/>
          </w:tcPr>
          <w:p w:rsidR="00D75790" w:rsidRPr="00736BE8" w:rsidRDefault="00D75790" w:rsidP="00695E5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6BE8">
              <w:rPr>
                <w:rFonts w:ascii="Arial" w:hAnsi="Arial" w:cs="Arial"/>
                <w:sz w:val="16"/>
                <w:szCs w:val="16"/>
              </w:rPr>
              <w:t>24</w:t>
            </w:r>
          </w:p>
        </w:tc>
        <w:tc>
          <w:tcPr>
            <w:tcW w:w="1292" w:type="dxa"/>
            <w:noWrap/>
            <w:vAlign w:val="center"/>
            <w:hideMark/>
          </w:tcPr>
          <w:p w:rsidR="00D75790" w:rsidRPr="00736BE8" w:rsidRDefault="00D75790" w:rsidP="00695E5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6BE8">
              <w:rPr>
                <w:rFonts w:ascii="Arial" w:hAnsi="Arial" w:cs="Arial"/>
                <w:sz w:val="16"/>
                <w:szCs w:val="16"/>
              </w:rPr>
              <w:t>12096</w:t>
            </w:r>
          </w:p>
        </w:tc>
        <w:tc>
          <w:tcPr>
            <w:tcW w:w="1543" w:type="dxa"/>
            <w:noWrap/>
            <w:vAlign w:val="center"/>
            <w:hideMark/>
          </w:tcPr>
          <w:p w:rsidR="00D75790" w:rsidRPr="00736BE8" w:rsidRDefault="00D75790" w:rsidP="00695E5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6BE8">
              <w:rPr>
                <w:rFonts w:ascii="Arial" w:hAnsi="Arial" w:cs="Arial"/>
                <w:sz w:val="16"/>
                <w:szCs w:val="16"/>
              </w:rPr>
              <w:t>4.415.040,00</w:t>
            </w:r>
          </w:p>
        </w:tc>
        <w:tc>
          <w:tcPr>
            <w:tcW w:w="1559" w:type="dxa"/>
            <w:vAlign w:val="center"/>
          </w:tcPr>
          <w:p w:rsidR="00D75790" w:rsidRPr="00736BE8" w:rsidRDefault="00D75790" w:rsidP="00695E5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6BE8">
              <w:rPr>
                <w:rFonts w:ascii="Arial" w:hAnsi="Arial" w:cs="Arial"/>
                <w:sz w:val="16"/>
                <w:szCs w:val="16"/>
              </w:rPr>
              <w:t>2.987.734,</w:t>
            </w:r>
          </w:p>
        </w:tc>
      </w:tr>
      <w:tr w:rsidR="00D75790" w:rsidRPr="00736BE8" w:rsidTr="00695E54">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BE5F1" w:themeFill="accent1" w:themeFillTint="33"/>
            <w:noWrap/>
            <w:vAlign w:val="center"/>
            <w:hideMark/>
          </w:tcPr>
          <w:p w:rsidR="00D75790" w:rsidRPr="00736BE8" w:rsidRDefault="00D75790" w:rsidP="00695E54">
            <w:pPr>
              <w:contextualSpacing/>
              <w:rPr>
                <w:rFonts w:ascii="Arial" w:hAnsi="Arial" w:cs="Arial"/>
                <w:sz w:val="16"/>
                <w:szCs w:val="16"/>
              </w:rPr>
            </w:pPr>
            <w:r w:rsidRPr="00736BE8">
              <w:rPr>
                <w:rFonts w:ascii="Arial" w:hAnsi="Arial" w:cs="Arial"/>
                <w:sz w:val="16"/>
                <w:szCs w:val="16"/>
              </w:rPr>
              <w:t>PA</w:t>
            </w:r>
          </w:p>
          <w:p w:rsidR="00D75790" w:rsidRPr="00736BE8" w:rsidRDefault="00D75790" w:rsidP="00695E54">
            <w:pPr>
              <w:contextualSpacing/>
              <w:rPr>
                <w:rFonts w:ascii="Arial" w:hAnsi="Arial" w:cs="Arial"/>
                <w:sz w:val="16"/>
                <w:szCs w:val="16"/>
              </w:rPr>
            </w:pPr>
            <w:r w:rsidRPr="00736BE8">
              <w:rPr>
                <w:rFonts w:ascii="Arial" w:hAnsi="Arial" w:cs="Arial"/>
                <w:sz w:val="16"/>
                <w:szCs w:val="16"/>
              </w:rPr>
              <w:t>(Pozos Acueducto Proactiva)</w:t>
            </w:r>
          </w:p>
        </w:tc>
        <w:tc>
          <w:tcPr>
            <w:tcW w:w="1559" w:type="dxa"/>
            <w:shd w:val="clear" w:color="auto" w:fill="DBE5F1" w:themeFill="accent1" w:themeFillTint="33"/>
            <w:noWrap/>
            <w:vAlign w:val="center"/>
            <w:hideMark/>
          </w:tcPr>
          <w:p w:rsidR="00D75790" w:rsidRPr="00736BE8" w:rsidRDefault="00D75790" w:rsidP="00695E5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36BE8">
              <w:rPr>
                <w:rFonts w:ascii="Arial" w:hAnsi="Arial" w:cs="Arial"/>
                <w:sz w:val="16"/>
                <w:szCs w:val="16"/>
              </w:rPr>
              <w:t>30,5</w:t>
            </w:r>
          </w:p>
          <w:p w:rsidR="00D75790" w:rsidRPr="00736BE8" w:rsidRDefault="00D75790" w:rsidP="00695E5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36BE8">
              <w:rPr>
                <w:rFonts w:ascii="Arial" w:hAnsi="Arial" w:cs="Arial"/>
                <w:sz w:val="16"/>
                <w:szCs w:val="16"/>
              </w:rPr>
              <w:t>(Caudal de invierno)</w:t>
            </w:r>
          </w:p>
        </w:tc>
        <w:tc>
          <w:tcPr>
            <w:tcW w:w="1134" w:type="dxa"/>
            <w:shd w:val="clear" w:color="auto" w:fill="DBE5F1" w:themeFill="accent1" w:themeFillTint="33"/>
            <w:noWrap/>
            <w:vAlign w:val="center"/>
            <w:hideMark/>
          </w:tcPr>
          <w:p w:rsidR="00D75790" w:rsidRPr="00736BE8" w:rsidRDefault="00D75790" w:rsidP="00695E5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36BE8">
              <w:rPr>
                <w:rFonts w:ascii="Arial" w:hAnsi="Arial" w:cs="Arial"/>
                <w:sz w:val="16"/>
                <w:szCs w:val="16"/>
              </w:rPr>
              <w:t>Varía para cada pozo</w:t>
            </w:r>
          </w:p>
        </w:tc>
        <w:tc>
          <w:tcPr>
            <w:tcW w:w="1292" w:type="dxa"/>
            <w:shd w:val="clear" w:color="auto" w:fill="DBE5F1" w:themeFill="accent1" w:themeFillTint="33"/>
            <w:noWrap/>
            <w:vAlign w:val="center"/>
            <w:hideMark/>
          </w:tcPr>
          <w:p w:rsidR="00D75790" w:rsidRPr="00736BE8" w:rsidRDefault="00D75790" w:rsidP="00695E5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36BE8">
              <w:rPr>
                <w:rFonts w:ascii="Arial" w:hAnsi="Arial" w:cs="Arial"/>
                <w:sz w:val="16"/>
                <w:szCs w:val="16"/>
              </w:rPr>
              <w:t>2268</w:t>
            </w:r>
          </w:p>
        </w:tc>
        <w:tc>
          <w:tcPr>
            <w:tcW w:w="1543" w:type="dxa"/>
            <w:shd w:val="clear" w:color="auto" w:fill="DBE5F1" w:themeFill="accent1" w:themeFillTint="33"/>
            <w:noWrap/>
            <w:vAlign w:val="center"/>
            <w:hideMark/>
          </w:tcPr>
          <w:p w:rsidR="00D75790" w:rsidRPr="00736BE8" w:rsidRDefault="00D75790" w:rsidP="00695E5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36BE8">
              <w:rPr>
                <w:rFonts w:ascii="Arial" w:hAnsi="Arial" w:cs="Arial"/>
                <w:sz w:val="16"/>
                <w:szCs w:val="16"/>
              </w:rPr>
              <w:t>827.820,00</w:t>
            </w:r>
          </w:p>
        </w:tc>
        <w:tc>
          <w:tcPr>
            <w:tcW w:w="1559" w:type="dxa"/>
            <w:shd w:val="clear" w:color="auto" w:fill="DBE5F1" w:themeFill="accent1" w:themeFillTint="33"/>
            <w:vAlign w:val="center"/>
          </w:tcPr>
          <w:p w:rsidR="00D75790" w:rsidRPr="00736BE8" w:rsidRDefault="00D75790" w:rsidP="00695E5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36BE8">
              <w:rPr>
                <w:rFonts w:ascii="Arial" w:hAnsi="Arial" w:cs="Arial"/>
                <w:sz w:val="16"/>
                <w:szCs w:val="16"/>
              </w:rPr>
              <w:t>424.266,48</w:t>
            </w:r>
          </w:p>
        </w:tc>
      </w:tr>
    </w:tbl>
    <w:p w:rsidR="00D75790" w:rsidRPr="00DC371E" w:rsidRDefault="00D75790" w:rsidP="00D75790">
      <w:pPr>
        <w:pStyle w:val="Sinespaciado"/>
        <w:contextualSpacing/>
        <w:jc w:val="center"/>
        <w:rPr>
          <w:rFonts w:ascii="Arial" w:eastAsia="MS Mincho" w:hAnsi="Arial" w:cs="Arial"/>
          <w:sz w:val="16"/>
          <w:szCs w:val="16"/>
          <w:lang w:val="es-ES" w:eastAsia="es-ES"/>
        </w:rPr>
      </w:pPr>
      <w:r w:rsidRPr="00DC371E">
        <w:rPr>
          <w:rFonts w:ascii="Arial" w:eastAsia="MS Mincho" w:hAnsi="Arial" w:cs="Arial"/>
          <w:sz w:val="16"/>
          <w:szCs w:val="16"/>
          <w:lang w:val="es-ES" w:eastAsia="es-ES"/>
        </w:rPr>
        <w:t>Fuente: Coralina- Documento Extracción del recurso hídrico - 2019</w:t>
      </w:r>
    </w:p>
    <w:p w:rsidR="00D75790" w:rsidRPr="00E46D41" w:rsidRDefault="00D75790" w:rsidP="00D75790">
      <w:pPr>
        <w:pStyle w:val="Sinespaciado"/>
        <w:contextualSpacing/>
        <w:jc w:val="both"/>
        <w:rPr>
          <w:rFonts w:ascii="Arial" w:eastAsia="MS Mincho" w:hAnsi="Arial" w:cs="Arial"/>
          <w:lang w:val="es-ES" w:eastAsia="es-ES"/>
        </w:rPr>
      </w:pPr>
    </w:p>
    <w:p w:rsidR="00D75790" w:rsidRPr="00697673" w:rsidRDefault="00D75790" w:rsidP="00D75790">
      <w:pPr>
        <w:pStyle w:val="Sinespaciado"/>
        <w:contextualSpacing/>
        <w:jc w:val="both"/>
        <w:rPr>
          <w:rFonts w:ascii="Arial" w:eastAsia="MS Mincho" w:hAnsi="Arial" w:cs="Arial"/>
          <w:b/>
          <w:lang w:val="es-ES" w:eastAsia="es-ES"/>
        </w:rPr>
      </w:pPr>
      <w:r w:rsidRPr="00697673">
        <w:rPr>
          <w:rFonts w:ascii="Arial" w:eastAsia="MS Mincho" w:hAnsi="Arial" w:cs="Arial"/>
          <w:b/>
          <w:lang w:val="es-ES" w:eastAsia="es-ES"/>
        </w:rPr>
        <w:t>Sector sin Concesión vigente:</w:t>
      </w:r>
    </w:p>
    <w:p w:rsidR="00D75790" w:rsidRPr="00E46D41" w:rsidRDefault="00D75790" w:rsidP="00D75790">
      <w:pPr>
        <w:pStyle w:val="Sinespaciado"/>
        <w:contextualSpacing/>
        <w:jc w:val="both"/>
        <w:rPr>
          <w:rFonts w:ascii="Arial" w:eastAsia="MS Mincho" w:hAnsi="Arial" w:cs="Arial"/>
          <w:lang w:val="es-ES" w:eastAsia="es-ES"/>
        </w:rPr>
      </w:pPr>
    </w:p>
    <w:p w:rsidR="00D75790" w:rsidRPr="00DC371E" w:rsidRDefault="00D75790" w:rsidP="00D75790">
      <w:pPr>
        <w:pStyle w:val="Sinespaciado"/>
        <w:contextualSpacing/>
        <w:jc w:val="both"/>
        <w:rPr>
          <w:rFonts w:ascii="Arial" w:eastAsia="MS Mincho" w:hAnsi="Arial" w:cs="Arial"/>
          <w:lang w:val="es-ES" w:eastAsia="es-ES"/>
        </w:rPr>
      </w:pPr>
      <w:r w:rsidRPr="00DC371E">
        <w:rPr>
          <w:rFonts w:ascii="Arial" w:eastAsia="MS Mincho" w:hAnsi="Arial" w:cs="Arial"/>
          <w:lang w:val="es-ES" w:eastAsia="es-ES"/>
        </w:rPr>
        <w:t>Existen, además de los pozos domésticos y los pozos concesionados, otro grupo de usuarios que no cuenta a la fecha con ningún tipo de permiso de explotación del recurso hídrico subterráneo, pero que realizan extracción a través de pozos. Estos son pozos que históricamente tuvieron concesión de agua subterránea, pero que, por diversos factores, a la fecha dicha concesión no se encuentra vigente.</w:t>
      </w:r>
    </w:p>
    <w:p w:rsidR="00D75790" w:rsidRPr="00DC371E" w:rsidRDefault="00D75790" w:rsidP="00D75790">
      <w:pPr>
        <w:pStyle w:val="Sinespaciado"/>
        <w:contextualSpacing/>
        <w:jc w:val="both"/>
        <w:rPr>
          <w:rFonts w:ascii="Arial" w:eastAsia="MS Mincho" w:hAnsi="Arial" w:cs="Arial"/>
          <w:lang w:val="es-ES" w:eastAsia="es-ES"/>
        </w:rPr>
      </w:pPr>
    </w:p>
    <w:p w:rsidR="00D75790" w:rsidRPr="00DC371E" w:rsidRDefault="00D75790" w:rsidP="00D75790">
      <w:pPr>
        <w:pStyle w:val="Sinespaciado"/>
        <w:contextualSpacing/>
        <w:jc w:val="both"/>
        <w:rPr>
          <w:rFonts w:ascii="Arial" w:eastAsia="MS Mincho" w:hAnsi="Arial" w:cs="Arial"/>
          <w:lang w:val="es-ES" w:eastAsia="es-ES"/>
        </w:rPr>
      </w:pPr>
      <w:r w:rsidRPr="00DC371E">
        <w:rPr>
          <w:rFonts w:ascii="Arial" w:eastAsia="MS Mincho" w:hAnsi="Arial" w:cs="Arial"/>
          <w:lang w:val="es-ES" w:eastAsia="es-ES"/>
        </w:rPr>
        <w:lastRenderedPageBreak/>
        <w:t>De un total de 5.279.209,55 m</w:t>
      </w:r>
      <w:r w:rsidRPr="00E46D41">
        <w:rPr>
          <w:rFonts w:ascii="Arial" w:eastAsia="MS Mincho" w:hAnsi="Arial" w:cs="Arial"/>
          <w:vertAlign w:val="superscript"/>
          <w:lang w:val="es-ES" w:eastAsia="es-ES"/>
        </w:rPr>
        <w:t>3</w:t>
      </w:r>
      <w:r w:rsidRPr="00DC371E">
        <w:rPr>
          <w:rFonts w:ascii="Arial" w:eastAsia="MS Mincho" w:hAnsi="Arial" w:cs="Arial"/>
          <w:lang w:val="es-ES" w:eastAsia="es-ES"/>
        </w:rPr>
        <w:t xml:space="preserve">/año de agua extraída a través de pozos, el sector con mayor presión sobre el recurso hídrico subterráneo de la </w:t>
      </w:r>
      <w:r>
        <w:rPr>
          <w:rFonts w:ascii="Arial" w:eastAsia="MS Mincho" w:hAnsi="Arial" w:cs="Arial"/>
          <w:lang w:val="es-ES" w:eastAsia="es-ES"/>
        </w:rPr>
        <w:t>I</w:t>
      </w:r>
      <w:r w:rsidRPr="00DC371E">
        <w:rPr>
          <w:rFonts w:ascii="Arial" w:eastAsia="MS Mincho" w:hAnsi="Arial" w:cs="Arial"/>
          <w:lang w:val="es-ES" w:eastAsia="es-ES"/>
        </w:rPr>
        <w:t>sla de San Andrés es el correspondiente al sector concesionado que incluye las extracciones de la empresa de acueducto Veolia, el cual está representado en 65</w:t>
      </w:r>
      <w:r>
        <w:rPr>
          <w:rFonts w:ascii="Arial" w:eastAsia="MS Mincho" w:hAnsi="Arial" w:cs="Arial"/>
          <w:lang w:val="es-ES" w:eastAsia="es-ES"/>
        </w:rPr>
        <w:t xml:space="preserve"> </w:t>
      </w:r>
      <w:r w:rsidRPr="00DC371E">
        <w:rPr>
          <w:rFonts w:ascii="Arial" w:eastAsia="MS Mincho" w:hAnsi="Arial" w:cs="Arial"/>
          <w:lang w:val="es-ES" w:eastAsia="es-ES"/>
        </w:rPr>
        <w:t>% del total, equivalente a 3.412.000,48 m</w:t>
      </w:r>
      <w:r w:rsidRPr="00E46D41">
        <w:rPr>
          <w:rFonts w:ascii="Arial" w:eastAsia="MS Mincho" w:hAnsi="Arial" w:cs="Arial"/>
          <w:vertAlign w:val="superscript"/>
          <w:lang w:val="es-ES" w:eastAsia="es-ES"/>
        </w:rPr>
        <w:t>3</w:t>
      </w:r>
      <w:r w:rsidRPr="00DC371E">
        <w:rPr>
          <w:rFonts w:ascii="Arial" w:eastAsia="MS Mincho" w:hAnsi="Arial" w:cs="Arial"/>
          <w:lang w:val="es-ES" w:eastAsia="es-ES"/>
        </w:rPr>
        <w:t>/año. Vale la pena recordar que a febrero de 2020 los suscriptores de Veolia eran 9.745</w:t>
      </w:r>
      <w:r w:rsidRPr="00DC371E">
        <w:rPr>
          <w:rFonts w:ascii="Arial" w:eastAsia="MS Mincho" w:hAnsi="Arial" w:cs="Arial"/>
          <w:vertAlign w:val="superscript"/>
          <w:lang w:val="es-ES" w:eastAsia="es-ES"/>
        </w:rPr>
        <w:footnoteReference w:id="6"/>
      </w:r>
      <w:r w:rsidRPr="00DC371E">
        <w:rPr>
          <w:rFonts w:ascii="Arial" w:eastAsia="MS Mincho" w:hAnsi="Arial" w:cs="Arial"/>
          <w:lang w:val="es-ES" w:eastAsia="es-ES"/>
        </w:rPr>
        <w:t xml:space="preserve"> con un </w:t>
      </w:r>
      <w:r w:rsidRPr="00E4450B">
        <w:rPr>
          <w:rFonts w:ascii="Arial" w:eastAsia="MS Mincho" w:hAnsi="Arial" w:cs="Arial"/>
          <w:lang w:val="es-ES" w:eastAsia="es-ES"/>
        </w:rPr>
        <w:t xml:space="preserve">Índice de Agua No Contabilizada </w:t>
      </w:r>
      <w:r>
        <w:rPr>
          <w:rFonts w:ascii="Arial" w:eastAsia="MS Mincho" w:hAnsi="Arial" w:cs="Arial"/>
          <w:lang w:val="es-ES" w:eastAsia="es-ES"/>
        </w:rPr>
        <w:t xml:space="preserve">- </w:t>
      </w:r>
      <w:r w:rsidRPr="00DC371E">
        <w:rPr>
          <w:rFonts w:ascii="Arial" w:eastAsia="MS Mincho" w:hAnsi="Arial" w:cs="Arial"/>
          <w:lang w:val="es-ES" w:eastAsia="es-ES"/>
        </w:rPr>
        <w:t>IANC del 52,95</w:t>
      </w:r>
      <w:r>
        <w:rPr>
          <w:rFonts w:ascii="Arial" w:eastAsia="MS Mincho" w:hAnsi="Arial" w:cs="Arial"/>
          <w:lang w:val="es-ES" w:eastAsia="es-ES"/>
        </w:rPr>
        <w:t xml:space="preserve"> </w:t>
      </w:r>
      <w:r w:rsidRPr="00DC371E">
        <w:rPr>
          <w:rFonts w:ascii="Arial" w:eastAsia="MS Mincho" w:hAnsi="Arial" w:cs="Arial"/>
          <w:lang w:val="es-ES" w:eastAsia="es-ES"/>
        </w:rPr>
        <w:t>% de acuerdo con el informe de supervisión.</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Por su parte, la Entidad Territorial entregó una relación de 23 productores marginales, a través de pozos subterráneos. Los productores marginales ubicados en su área de competencia deberán dar cumplimiento a lo previsto en la Ley 99 de 1993, en materia de concesiones y/o permisos de uso, así como a lo establecido en el parágrafo del artículo 16 de la Ley 142 de 1994</w:t>
      </w:r>
      <w:r w:rsidRPr="00DC371E">
        <w:rPr>
          <w:rFonts w:ascii="Arial" w:hAnsi="Arial" w:cs="Arial"/>
          <w:sz w:val="22"/>
          <w:szCs w:val="22"/>
          <w:vertAlign w:val="superscript"/>
        </w:rPr>
        <w:footnoteReference w:id="7"/>
      </w:r>
      <w:r w:rsidRPr="00DC371E">
        <w:rPr>
          <w:rFonts w:ascii="Arial" w:hAnsi="Arial" w:cs="Arial"/>
          <w:sz w:val="22"/>
          <w:szCs w:val="22"/>
          <w:vertAlign w:val="superscript"/>
        </w:rPr>
        <w:t>,</w:t>
      </w:r>
      <w:r w:rsidRPr="00DC371E">
        <w:rPr>
          <w:rFonts w:ascii="Arial" w:hAnsi="Arial" w:cs="Arial"/>
          <w:sz w:val="22"/>
          <w:szCs w:val="22"/>
        </w:rPr>
        <w:t xml:space="preserve"> cuando sea del caso, en virtud de la Resolución CRA 452 de 2008.</w:t>
      </w:r>
    </w:p>
    <w:p w:rsidR="00D75790" w:rsidRPr="00697673" w:rsidRDefault="00D75790" w:rsidP="00D75790">
      <w:pPr>
        <w:autoSpaceDE w:val="0"/>
        <w:autoSpaceDN w:val="0"/>
        <w:adjustRightInd w:val="0"/>
        <w:contextualSpacing/>
        <w:jc w:val="both"/>
        <w:rPr>
          <w:rFonts w:ascii="Arial" w:hAnsi="Arial" w:cs="Arial"/>
          <w:sz w:val="22"/>
          <w:szCs w:val="22"/>
        </w:rPr>
      </w:pPr>
    </w:p>
    <w:p w:rsidR="00D75790" w:rsidRPr="00E46D41" w:rsidRDefault="00D75790" w:rsidP="00D75790">
      <w:pPr>
        <w:autoSpaceDE w:val="0"/>
        <w:autoSpaceDN w:val="0"/>
        <w:adjustRightInd w:val="0"/>
        <w:contextualSpacing/>
        <w:jc w:val="center"/>
        <w:rPr>
          <w:rFonts w:ascii="Arial" w:hAnsi="Arial" w:cs="Arial"/>
          <w:sz w:val="20"/>
          <w:szCs w:val="22"/>
        </w:rPr>
      </w:pPr>
      <w:r w:rsidRPr="00E46D41">
        <w:rPr>
          <w:rFonts w:ascii="Arial" w:hAnsi="Arial" w:cs="Arial"/>
          <w:b/>
          <w:bCs/>
          <w:sz w:val="20"/>
          <w:szCs w:val="22"/>
        </w:rPr>
        <w:t>TABLA 5: RELACION DE POZOS</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1121"/>
        <w:gridCol w:w="3078"/>
        <w:gridCol w:w="2943"/>
      </w:tblGrid>
      <w:tr w:rsidR="00D75790" w:rsidRPr="00DC371E" w:rsidTr="00695E54">
        <w:trPr>
          <w:jc w:val="center"/>
        </w:trPr>
        <w:tc>
          <w:tcPr>
            <w:tcW w:w="1121" w:type="dxa"/>
            <w:tcBorders>
              <w:top w:val="single" w:sz="4"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sz w:val="20"/>
                <w:szCs w:val="20"/>
              </w:rPr>
            </w:pPr>
            <w:r>
              <w:rPr>
                <w:rFonts w:ascii="Arial" w:hAnsi="Arial" w:cs="Arial"/>
                <w:b/>
                <w:sz w:val="20"/>
                <w:szCs w:val="20"/>
              </w:rPr>
              <w:t>Número</w:t>
            </w:r>
          </w:p>
        </w:tc>
        <w:tc>
          <w:tcPr>
            <w:tcW w:w="3078" w:type="dxa"/>
            <w:tcBorders>
              <w:top w:val="single" w:sz="4"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sz w:val="20"/>
                <w:szCs w:val="20"/>
              </w:rPr>
            </w:pPr>
            <w:r w:rsidRPr="00DC371E">
              <w:rPr>
                <w:rFonts w:ascii="Arial" w:hAnsi="Arial" w:cs="Arial"/>
                <w:b/>
                <w:sz w:val="20"/>
                <w:szCs w:val="20"/>
              </w:rPr>
              <w:t>Identificación del Pozo</w:t>
            </w:r>
          </w:p>
        </w:tc>
        <w:tc>
          <w:tcPr>
            <w:tcW w:w="2943" w:type="dxa"/>
            <w:tcBorders>
              <w:top w:val="single" w:sz="4"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sz w:val="20"/>
                <w:szCs w:val="20"/>
              </w:rPr>
            </w:pPr>
            <w:r w:rsidRPr="00DC371E">
              <w:rPr>
                <w:rFonts w:ascii="Arial" w:hAnsi="Arial" w:cs="Arial"/>
                <w:b/>
                <w:sz w:val="20"/>
                <w:szCs w:val="20"/>
              </w:rPr>
              <w:t>Explotación</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 39, Hotel Sea View</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2</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 49, Edificio Bay Point</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3</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PC73, Edificio Hansa Reef</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4</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PC57, Hotel Sun Set</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5</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PC35 Hotel Decameron</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6</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 25 y 26 Hotel Caribe</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7</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PC8 y PC27 Aguasana I y II</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8</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PC6 Bent Llerena</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9</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PC7, William Bent</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10</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PC13, Halley</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11</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PC49, Bay Point</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12</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PC71, Villa del Mar</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13</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PC73, Hansa Reef</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14</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PC25, Caribe I</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15</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PC26, Caribe II</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16</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PC15, Camilo I</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17</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PC74, Condominio Elsy Bar</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18</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PC1, Nuria Medrano</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19</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PC17 Mauricio Gallardo</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20</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PC65, Juan Diego Zapata</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21</w:t>
            </w:r>
          </w:p>
        </w:tc>
        <w:tc>
          <w:tcPr>
            <w:tcW w:w="307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PC8 y PC27 Aguasana I y II</w:t>
            </w:r>
          </w:p>
        </w:tc>
        <w:tc>
          <w:tcPr>
            <w:tcW w:w="2943" w:type="dxa"/>
            <w:tcBorders>
              <w:top w:val="single" w:sz="6" w:space="0" w:color="auto"/>
              <w:left w:val="single" w:sz="6" w:space="0" w:color="auto"/>
              <w:bottom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Pozo Subterráneo</w:t>
            </w:r>
          </w:p>
        </w:tc>
      </w:tr>
      <w:tr w:rsidR="00D75790" w:rsidRPr="00DC371E" w:rsidTr="00695E54">
        <w:trPr>
          <w:jc w:val="center"/>
        </w:trPr>
        <w:tc>
          <w:tcPr>
            <w:tcW w:w="1121" w:type="dxa"/>
            <w:tcBorders>
              <w:top w:val="single" w:sz="6" w:space="0" w:color="auto"/>
              <w:bottom w:val="single" w:sz="4"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22</w:t>
            </w:r>
          </w:p>
        </w:tc>
        <w:tc>
          <w:tcPr>
            <w:tcW w:w="3078" w:type="dxa"/>
            <w:tcBorders>
              <w:top w:val="single" w:sz="6" w:space="0" w:color="auto"/>
              <w:left w:val="single" w:sz="6" w:space="0" w:color="auto"/>
              <w:bottom w:val="single" w:sz="4" w:space="0" w:color="auto"/>
              <w:right w:val="single" w:sz="6"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 xml:space="preserve">Bafin Cove Sea Side </w:t>
            </w:r>
          </w:p>
        </w:tc>
        <w:tc>
          <w:tcPr>
            <w:tcW w:w="2943" w:type="dxa"/>
            <w:tcBorders>
              <w:top w:val="single" w:sz="6" w:space="0" w:color="auto"/>
              <w:left w:val="single" w:sz="6" w:space="0" w:color="auto"/>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Desalinizadora</w:t>
            </w:r>
          </w:p>
        </w:tc>
      </w:tr>
      <w:tr w:rsidR="00D75790" w:rsidRPr="00DC371E" w:rsidTr="00695E54">
        <w:trPr>
          <w:jc w:val="center"/>
        </w:trPr>
        <w:tc>
          <w:tcPr>
            <w:tcW w:w="1121" w:type="dxa"/>
            <w:tcBorders>
              <w:top w:val="single" w:sz="4" w:space="0" w:color="auto"/>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rPr>
            </w:pPr>
            <w:r w:rsidRPr="00DC371E">
              <w:rPr>
                <w:rFonts w:ascii="Arial" w:hAnsi="Arial" w:cs="Arial"/>
                <w:sz w:val="20"/>
                <w:szCs w:val="20"/>
              </w:rPr>
              <w:t>23</w:t>
            </w:r>
          </w:p>
        </w:tc>
        <w:tc>
          <w:tcPr>
            <w:tcW w:w="3078" w:type="dxa"/>
            <w:tcBorders>
              <w:top w:val="single" w:sz="4" w:space="0" w:color="auto"/>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Base de Guardacostas</w:t>
            </w:r>
          </w:p>
        </w:tc>
        <w:tc>
          <w:tcPr>
            <w:tcW w:w="2943" w:type="dxa"/>
            <w:tcBorders>
              <w:top w:val="single" w:sz="4" w:space="0" w:color="auto"/>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Desalinizadora</w:t>
            </w:r>
          </w:p>
        </w:tc>
      </w:tr>
    </w:tbl>
    <w:p w:rsidR="00D75790" w:rsidRPr="00E505F1" w:rsidRDefault="00D75790" w:rsidP="00D75790">
      <w:pPr>
        <w:autoSpaceDE w:val="0"/>
        <w:autoSpaceDN w:val="0"/>
        <w:adjustRightInd w:val="0"/>
        <w:contextualSpacing/>
        <w:jc w:val="center"/>
        <w:rPr>
          <w:rFonts w:ascii="Arial" w:hAnsi="Arial" w:cs="Arial"/>
          <w:sz w:val="16"/>
          <w:szCs w:val="16"/>
        </w:rPr>
      </w:pPr>
      <w:r w:rsidRPr="00E505F1">
        <w:rPr>
          <w:rFonts w:ascii="Arial" w:hAnsi="Arial" w:cs="Arial"/>
          <w:sz w:val="16"/>
          <w:szCs w:val="16"/>
        </w:rPr>
        <w:t>Fuente: Entidad Territorial</w:t>
      </w:r>
    </w:p>
    <w:p w:rsidR="00D75790" w:rsidRPr="00DC371E" w:rsidRDefault="00D75790" w:rsidP="00D75790">
      <w:pPr>
        <w:spacing w:after="246"/>
        <w:ind w:left="-5"/>
        <w:contextualSpacing/>
        <w:jc w:val="both"/>
        <w:rPr>
          <w:rFonts w:ascii="Arial" w:hAnsi="Arial" w:cs="Arial"/>
          <w:sz w:val="22"/>
          <w:szCs w:val="22"/>
        </w:rPr>
      </w:pPr>
      <w:r w:rsidRPr="00DC371E">
        <w:rPr>
          <w:rFonts w:ascii="Arial" w:hAnsi="Arial" w:cs="Arial"/>
          <w:sz w:val="22"/>
          <w:szCs w:val="22"/>
        </w:rPr>
        <w:lastRenderedPageBreak/>
        <w:t>Se identifica que gran parte de estos 23 pozos subterráneos corresponden a hoteles y condominios, que están identificados y deben estar bajo la jurisdicción ambiental de Coralina.</w:t>
      </w:r>
    </w:p>
    <w:p w:rsidR="00D75790" w:rsidRPr="00DC371E" w:rsidRDefault="00D75790" w:rsidP="00D75790">
      <w:pPr>
        <w:spacing w:after="246"/>
        <w:ind w:left="-5"/>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De esta manera se puede identificar la dependencia de los pozos para la obtención de agua en la Isla y su limitada extracción debido a su condicionada recarga natural.</w:t>
      </w:r>
    </w:p>
    <w:p w:rsidR="00D75790" w:rsidRPr="00E46D41" w:rsidRDefault="00D75790" w:rsidP="00D75790">
      <w:pPr>
        <w:shd w:val="clear" w:color="auto" w:fill="FFFFFF"/>
        <w:contextualSpacing/>
        <w:jc w:val="both"/>
        <w:rPr>
          <w:rFonts w:ascii="Arial" w:hAnsi="Arial" w:cs="Arial"/>
          <w:sz w:val="22"/>
        </w:rPr>
      </w:pPr>
    </w:p>
    <w:p w:rsidR="00D75790" w:rsidRPr="00DC371E" w:rsidRDefault="00D75790" w:rsidP="00D75790">
      <w:pPr>
        <w:shd w:val="clear" w:color="auto" w:fill="FFFFFF"/>
        <w:contextualSpacing/>
        <w:jc w:val="both"/>
        <w:rPr>
          <w:rFonts w:ascii="Arial" w:hAnsi="Arial" w:cs="Arial"/>
          <w:sz w:val="22"/>
          <w:szCs w:val="22"/>
        </w:rPr>
      </w:pPr>
      <w:r w:rsidRPr="00DC371E">
        <w:rPr>
          <w:rFonts w:ascii="Arial" w:hAnsi="Arial" w:cs="Arial"/>
          <w:sz w:val="22"/>
          <w:szCs w:val="22"/>
        </w:rPr>
        <w:t xml:space="preserve">Para San Andrés, se tiene un estimado de 6.035 pozos de extracción de agua subterránea, en especial, los de tipo barreno (Gobernación 2004), la mayoría de estos residenciales, ubicados en la zona norte de la </w:t>
      </w:r>
      <w:r>
        <w:rPr>
          <w:rFonts w:ascii="Arial" w:hAnsi="Arial" w:cs="Arial"/>
          <w:sz w:val="22"/>
          <w:szCs w:val="22"/>
        </w:rPr>
        <w:t>I</w:t>
      </w:r>
      <w:r w:rsidRPr="00DC371E">
        <w:rPr>
          <w:rFonts w:ascii="Arial" w:hAnsi="Arial" w:cs="Arial"/>
          <w:sz w:val="22"/>
          <w:szCs w:val="22"/>
        </w:rPr>
        <w:t>sla, que además cuenta con un acueducto con una capacidad de abastecimiento tres veces mayor que el rural. Otro documento institucional</w:t>
      </w:r>
      <w:r w:rsidRPr="00DC371E">
        <w:rPr>
          <w:rFonts w:ascii="Arial" w:hAnsi="Arial" w:cs="Arial"/>
          <w:sz w:val="22"/>
          <w:szCs w:val="22"/>
          <w:vertAlign w:val="superscript"/>
        </w:rPr>
        <w:footnoteReference w:id="8"/>
      </w:r>
      <w:r w:rsidRPr="00DC371E">
        <w:rPr>
          <w:rFonts w:ascii="Arial" w:hAnsi="Arial" w:cs="Arial"/>
          <w:sz w:val="22"/>
          <w:szCs w:val="22"/>
          <w:vertAlign w:val="superscript"/>
        </w:rPr>
        <w:t xml:space="preserve"> </w:t>
      </w:r>
      <w:r w:rsidRPr="00DC371E">
        <w:rPr>
          <w:rFonts w:ascii="Arial" w:hAnsi="Arial" w:cs="Arial"/>
          <w:sz w:val="22"/>
          <w:szCs w:val="22"/>
        </w:rPr>
        <w:t>mencionó que de acuerdo con el censo de pozos realizado por la Secretaria de Salud Departamental</w:t>
      </w:r>
      <w:r w:rsidRPr="00DC371E">
        <w:rPr>
          <w:rFonts w:ascii="Arial" w:hAnsi="Arial" w:cs="Arial"/>
          <w:sz w:val="22"/>
          <w:szCs w:val="22"/>
          <w:vertAlign w:val="superscript"/>
        </w:rPr>
        <w:footnoteReference w:id="9"/>
      </w:r>
      <w:r w:rsidRPr="00DC371E">
        <w:rPr>
          <w:rFonts w:ascii="Arial" w:hAnsi="Arial" w:cs="Arial"/>
          <w:sz w:val="22"/>
          <w:szCs w:val="22"/>
          <w:vertAlign w:val="superscript"/>
        </w:rPr>
        <w:t xml:space="preserve"> </w:t>
      </w:r>
      <w:r w:rsidRPr="00DC371E">
        <w:rPr>
          <w:rFonts w:ascii="Arial" w:hAnsi="Arial" w:cs="Arial"/>
          <w:sz w:val="22"/>
          <w:szCs w:val="22"/>
        </w:rPr>
        <w:t xml:space="preserve">en </w:t>
      </w:r>
      <w:r>
        <w:rPr>
          <w:rFonts w:ascii="Arial" w:hAnsi="Arial" w:cs="Arial"/>
          <w:sz w:val="22"/>
          <w:szCs w:val="22"/>
        </w:rPr>
        <w:t xml:space="preserve">el año </w:t>
      </w:r>
      <w:r w:rsidRPr="00DC371E">
        <w:rPr>
          <w:rFonts w:ascii="Arial" w:hAnsi="Arial" w:cs="Arial"/>
          <w:sz w:val="22"/>
          <w:szCs w:val="22"/>
        </w:rPr>
        <w:t xml:space="preserve">2004, había un total de 5.837 pozos domésticos en la </w:t>
      </w:r>
      <w:r>
        <w:rPr>
          <w:rFonts w:ascii="Arial" w:hAnsi="Arial" w:cs="Arial"/>
          <w:sz w:val="22"/>
          <w:szCs w:val="22"/>
        </w:rPr>
        <w:t>I</w:t>
      </w:r>
      <w:r w:rsidRPr="00DC371E">
        <w:rPr>
          <w:rFonts w:ascii="Arial" w:hAnsi="Arial" w:cs="Arial"/>
          <w:sz w:val="22"/>
          <w:szCs w:val="22"/>
        </w:rPr>
        <w:t>sla de San Andrés.</w:t>
      </w:r>
    </w:p>
    <w:p w:rsidR="00D75790" w:rsidRPr="00DC371E" w:rsidRDefault="00D75790" w:rsidP="00D75790">
      <w:pPr>
        <w:shd w:val="clear" w:color="auto" w:fill="FFFFFF"/>
        <w:contextualSpacing/>
        <w:jc w:val="both"/>
        <w:rPr>
          <w:rFonts w:ascii="Arial" w:hAnsi="Arial" w:cs="Arial"/>
          <w:sz w:val="22"/>
          <w:szCs w:val="22"/>
        </w:rPr>
      </w:pPr>
    </w:p>
    <w:p w:rsidR="00D75790" w:rsidRPr="00DC371E" w:rsidRDefault="00D75790" w:rsidP="00D75790">
      <w:pPr>
        <w:shd w:val="clear" w:color="auto" w:fill="FFFFFF"/>
        <w:contextualSpacing/>
        <w:jc w:val="both"/>
        <w:rPr>
          <w:rFonts w:ascii="Arial" w:hAnsi="Arial" w:cs="Arial"/>
          <w:sz w:val="22"/>
          <w:szCs w:val="22"/>
        </w:rPr>
      </w:pPr>
      <w:r w:rsidRPr="00DC371E">
        <w:rPr>
          <w:rFonts w:ascii="Arial" w:hAnsi="Arial" w:cs="Arial"/>
          <w:sz w:val="22"/>
          <w:szCs w:val="22"/>
        </w:rPr>
        <w:t xml:space="preserve">En relación con la cantidad de los pozos se identifica que existen diferencias entre los resultados mostrados y que la vigencia de estos datos ha trascendido 16 años. Sin embargo, los estudios recientes adoptan estos datos como soporte para el contexto sectorial. </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b/>
          <w:sz w:val="22"/>
          <w:szCs w:val="22"/>
        </w:rPr>
      </w:pPr>
      <w:r w:rsidRPr="00DC371E">
        <w:rPr>
          <w:rFonts w:ascii="Arial" w:hAnsi="Arial" w:cs="Arial"/>
          <w:b/>
          <w:sz w:val="22"/>
          <w:szCs w:val="22"/>
        </w:rPr>
        <w:t xml:space="preserve">CALIDAD DEL AGUA </w:t>
      </w:r>
      <w:r>
        <w:rPr>
          <w:rFonts w:ascii="Arial" w:hAnsi="Arial" w:cs="Arial"/>
          <w:b/>
          <w:sz w:val="22"/>
          <w:szCs w:val="22"/>
        </w:rPr>
        <w:t>–</w:t>
      </w:r>
      <w:r w:rsidRPr="00DC371E">
        <w:rPr>
          <w:rFonts w:ascii="Arial" w:hAnsi="Arial" w:cs="Arial"/>
          <w:b/>
          <w:sz w:val="22"/>
          <w:szCs w:val="22"/>
        </w:rPr>
        <w:t xml:space="preserve"> UPI</w:t>
      </w:r>
      <w:r>
        <w:rPr>
          <w:rFonts w:ascii="Arial" w:hAnsi="Arial" w:cs="Arial"/>
          <w:b/>
          <w:sz w:val="22"/>
          <w:szCs w:val="22"/>
        </w:rPr>
        <w:t>.</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shd w:val="clear" w:color="auto" w:fill="FFFFFF"/>
        <w:contextualSpacing/>
        <w:jc w:val="both"/>
        <w:rPr>
          <w:rFonts w:ascii="Arial" w:hAnsi="Arial" w:cs="Arial"/>
        </w:rPr>
      </w:pPr>
      <w:r w:rsidRPr="00DC371E">
        <w:rPr>
          <w:rFonts w:ascii="Arial" w:hAnsi="Arial" w:cs="Arial"/>
          <w:sz w:val="22"/>
          <w:szCs w:val="22"/>
        </w:rPr>
        <w:t>El Decreto 1575 de 2007, define el Índice de Riesgo de la Calidad del Agua para Consumo Humano – IRCA como el grado de riesgo de ocurrencia de enfermedades relacionadas con el no cumplimiento de las características físicas, químicas y microbiológicas del agua para consumo humano</w:t>
      </w:r>
      <w:r w:rsidRPr="00DC371E">
        <w:rPr>
          <w:rFonts w:ascii="Arial" w:hAnsi="Arial" w:cs="Arial"/>
        </w:rPr>
        <w:t>.</w:t>
      </w:r>
    </w:p>
    <w:p w:rsidR="00D75790" w:rsidRPr="00E46D41" w:rsidRDefault="00D75790" w:rsidP="00D75790">
      <w:pPr>
        <w:shd w:val="clear" w:color="auto" w:fill="FFFFFF"/>
        <w:contextualSpacing/>
        <w:jc w:val="both"/>
        <w:rPr>
          <w:rFonts w:ascii="Arial" w:hAnsi="Arial" w:cs="Arial"/>
          <w:sz w:val="22"/>
        </w:rPr>
      </w:pPr>
    </w:p>
    <w:p w:rsidR="00D75790" w:rsidRPr="00E46D41" w:rsidRDefault="00D75790" w:rsidP="00D75790">
      <w:pPr>
        <w:autoSpaceDE w:val="0"/>
        <w:autoSpaceDN w:val="0"/>
        <w:adjustRightInd w:val="0"/>
        <w:contextualSpacing/>
        <w:jc w:val="center"/>
        <w:rPr>
          <w:rFonts w:ascii="Arial" w:hAnsi="Arial" w:cs="Arial"/>
          <w:b/>
          <w:sz w:val="20"/>
          <w:szCs w:val="22"/>
        </w:rPr>
      </w:pPr>
      <w:r w:rsidRPr="00E46D41">
        <w:rPr>
          <w:rFonts w:ascii="Arial" w:hAnsi="Arial" w:cs="Arial"/>
          <w:b/>
          <w:sz w:val="20"/>
          <w:szCs w:val="22"/>
        </w:rPr>
        <w:t xml:space="preserve">TABLA 6: CLASIFICACIÓN DEL NIVEL DE RIESGO EN SALUD </w:t>
      </w:r>
    </w:p>
    <w:p w:rsidR="00D75790" w:rsidRPr="00E46D41" w:rsidRDefault="00D75790" w:rsidP="00D75790">
      <w:pPr>
        <w:autoSpaceDE w:val="0"/>
        <w:autoSpaceDN w:val="0"/>
        <w:adjustRightInd w:val="0"/>
        <w:contextualSpacing/>
        <w:jc w:val="center"/>
        <w:rPr>
          <w:rFonts w:ascii="Arial" w:hAnsi="Arial" w:cs="Arial"/>
          <w:b/>
          <w:sz w:val="20"/>
          <w:szCs w:val="22"/>
        </w:rPr>
      </w:pPr>
      <w:r w:rsidRPr="00E46D41">
        <w:rPr>
          <w:rFonts w:ascii="Arial" w:hAnsi="Arial" w:cs="Arial"/>
          <w:b/>
          <w:sz w:val="20"/>
          <w:szCs w:val="22"/>
        </w:rPr>
        <w:t>SEGÚN EL IRCA</w:t>
      </w:r>
    </w:p>
    <w:tbl>
      <w:tblPr>
        <w:tblStyle w:val="Tablaconcuadrcula"/>
        <w:tblW w:w="0" w:type="auto"/>
        <w:jc w:val="center"/>
        <w:tblBorders>
          <w:insideH w:val="single" w:sz="6" w:space="0" w:color="auto"/>
          <w:insideV w:val="single" w:sz="6" w:space="0" w:color="auto"/>
        </w:tblBorders>
        <w:tblLook w:val="04A0" w:firstRow="1" w:lastRow="0" w:firstColumn="1" w:lastColumn="0" w:noHBand="0" w:noVBand="1"/>
      </w:tblPr>
      <w:tblGrid>
        <w:gridCol w:w="1450"/>
        <w:gridCol w:w="1380"/>
        <w:gridCol w:w="4615"/>
      </w:tblGrid>
      <w:tr w:rsidR="00D75790" w:rsidRPr="00DC371E" w:rsidTr="00695E54">
        <w:trPr>
          <w:jc w:val="center"/>
        </w:trPr>
        <w:tc>
          <w:tcPr>
            <w:tcW w:w="1450" w:type="dxa"/>
            <w:tcBorders>
              <w:top w:val="single" w:sz="4" w:space="0" w:color="auto"/>
            </w:tcBorders>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b/>
                <w:bCs/>
                <w:sz w:val="20"/>
                <w:szCs w:val="20"/>
              </w:rPr>
            </w:pPr>
            <w:r w:rsidRPr="00DC371E">
              <w:rPr>
                <w:rFonts w:ascii="Arial" w:hAnsi="Arial" w:cs="Arial"/>
                <w:b/>
                <w:bCs/>
                <w:sz w:val="20"/>
                <w:szCs w:val="20"/>
              </w:rPr>
              <w:t>Clasificación</w:t>
            </w:r>
          </w:p>
        </w:tc>
        <w:tc>
          <w:tcPr>
            <w:tcW w:w="1380" w:type="dxa"/>
            <w:tcBorders>
              <w:top w:val="single" w:sz="4" w:space="0" w:color="auto"/>
            </w:tcBorders>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b/>
                <w:bCs/>
                <w:sz w:val="20"/>
                <w:szCs w:val="20"/>
              </w:rPr>
            </w:pPr>
            <w:r w:rsidRPr="00DC371E">
              <w:rPr>
                <w:rFonts w:ascii="Arial" w:hAnsi="Arial" w:cs="Arial"/>
                <w:b/>
                <w:bCs/>
                <w:sz w:val="20"/>
                <w:szCs w:val="20"/>
              </w:rPr>
              <w:t>Nivel de Riesgo</w:t>
            </w:r>
          </w:p>
        </w:tc>
        <w:tc>
          <w:tcPr>
            <w:tcW w:w="4615" w:type="dxa"/>
            <w:tcBorders>
              <w:top w:val="single" w:sz="4" w:space="0" w:color="auto"/>
            </w:tcBorders>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b/>
                <w:bCs/>
                <w:sz w:val="20"/>
                <w:szCs w:val="20"/>
              </w:rPr>
            </w:pPr>
            <w:r w:rsidRPr="00DC371E">
              <w:rPr>
                <w:rFonts w:ascii="Arial" w:hAnsi="Arial" w:cs="Arial"/>
                <w:b/>
                <w:bCs/>
                <w:sz w:val="20"/>
                <w:szCs w:val="20"/>
              </w:rPr>
              <w:t>IRCA</w:t>
            </w:r>
          </w:p>
        </w:tc>
      </w:tr>
      <w:tr w:rsidR="00D75790" w:rsidRPr="00DC371E" w:rsidTr="00695E54">
        <w:trPr>
          <w:jc w:val="center"/>
        </w:trPr>
        <w:tc>
          <w:tcPr>
            <w:tcW w:w="145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0 - 5</w:t>
            </w:r>
          </w:p>
        </w:tc>
        <w:tc>
          <w:tcPr>
            <w:tcW w:w="138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Sin Riesgo</w:t>
            </w:r>
          </w:p>
        </w:tc>
        <w:tc>
          <w:tcPr>
            <w:tcW w:w="4615"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Sin Riesgo</w:t>
            </w:r>
          </w:p>
        </w:tc>
      </w:tr>
      <w:tr w:rsidR="00D75790" w:rsidRPr="00DC371E" w:rsidTr="00695E54">
        <w:trPr>
          <w:jc w:val="center"/>
        </w:trPr>
        <w:tc>
          <w:tcPr>
            <w:tcW w:w="145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5.1 - 14</w:t>
            </w:r>
          </w:p>
        </w:tc>
        <w:tc>
          <w:tcPr>
            <w:tcW w:w="138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Bajo</w:t>
            </w:r>
          </w:p>
        </w:tc>
        <w:tc>
          <w:tcPr>
            <w:tcW w:w="4615"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Agua no apta para consumo humano, susceptible de mejoramiento.</w:t>
            </w:r>
          </w:p>
        </w:tc>
      </w:tr>
      <w:tr w:rsidR="00D75790" w:rsidRPr="00DC371E" w:rsidTr="00695E54">
        <w:trPr>
          <w:jc w:val="center"/>
        </w:trPr>
        <w:tc>
          <w:tcPr>
            <w:tcW w:w="145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14.1 - 35</w:t>
            </w:r>
          </w:p>
        </w:tc>
        <w:tc>
          <w:tcPr>
            <w:tcW w:w="138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Medio</w:t>
            </w:r>
          </w:p>
        </w:tc>
        <w:tc>
          <w:tcPr>
            <w:tcW w:w="4615"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Agua no apta para consumo humano, gestión directa de la persona prestadora.</w:t>
            </w:r>
          </w:p>
        </w:tc>
      </w:tr>
      <w:tr w:rsidR="00D75790" w:rsidRPr="00DC371E" w:rsidTr="00695E54">
        <w:trPr>
          <w:jc w:val="center"/>
        </w:trPr>
        <w:tc>
          <w:tcPr>
            <w:tcW w:w="145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35.1 - 80</w:t>
            </w:r>
          </w:p>
        </w:tc>
        <w:tc>
          <w:tcPr>
            <w:tcW w:w="1380"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Alto</w:t>
            </w:r>
          </w:p>
        </w:tc>
        <w:tc>
          <w:tcPr>
            <w:tcW w:w="4615" w:type="dxa"/>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Agua no apta para consumo humano, gestión directa de acuerdo con su competencia de la persona prestadora y de los alcaldes y gobernadores respectivos.</w:t>
            </w:r>
          </w:p>
        </w:tc>
      </w:tr>
      <w:tr w:rsidR="00D75790" w:rsidRPr="00DC371E" w:rsidTr="00695E54">
        <w:trPr>
          <w:jc w:val="center"/>
        </w:trPr>
        <w:tc>
          <w:tcPr>
            <w:tcW w:w="1450" w:type="dxa"/>
            <w:tcBorders>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80.1 - 100</w:t>
            </w:r>
          </w:p>
        </w:tc>
        <w:tc>
          <w:tcPr>
            <w:tcW w:w="1380" w:type="dxa"/>
            <w:tcBorders>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Agua no apta para consumo humano.</w:t>
            </w:r>
          </w:p>
        </w:tc>
        <w:tc>
          <w:tcPr>
            <w:tcW w:w="4615" w:type="dxa"/>
            <w:tcBorders>
              <w:bottom w:val="single" w:sz="4" w:space="0" w:color="auto"/>
            </w:tcBorders>
            <w:shd w:val="clear" w:color="auto" w:fill="DBE5F1" w:themeFill="accent1" w:themeFillTint="33"/>
          </w:tcPr>
          <w:p w:rsidR="00D75790" w:rsidRPr="00DC371E" w:rsidRDefault="00D75790" w:rsidP="00695E54">
            <w:pPr>
              <w:autoSpaceDE w:val="0"/>
              <w:autoSpaceDN w:val="0"/>
              <w:adjustRightInd w:val="0"/>
              <w:contextualSpacing/>
              <w:jc w:val="both"/>
              <w:rPr>
                <w:rFonts w:ascii="Arial" w:hAnsi="Arial" w:cs="Arial"/>
                <w:sz w:val="20"/>
                <w:szCs w:val="20"/>
              </w:rPr>
            </w:pPr>
            <w:r w:rsidRPr="00DC371E">
              <w:rPr>
                <w:rFonts w:ascii="Arial" w:hAnsi="Arial" w:cs="Arial"/>
                <w:sz w:val="20"/>
                <w:szCs w:val="20"/>
              </w:rPr>
              <w:t>Agua no apta para consumo humano, gestión directa de acuerdo con su competencia de la persona prestadora, alcaldes, gobernadores y entidades del orden nacional.</w:t>
            </w:r>
          </w:p>
        </w:tc>
      </w:tr>
    </w:tbl>
    <w:p w:rsidR="00D75790" w:rsidRPr="00DC371E" w:rsidRDefault="00D75790" w:rsidP="00D75790">
      <w:pPr>
        <w:autoSpaceDE w:val="0"/>
        <w:autoSpaceDN w:val="0"/>
        <w:adjustRightInd w:val="0"/>
        <w:contextualSpacing/>
        <w:jc w:val="both"/>
        <w:rPr>
          <w:rFonts w:ascii="Arial" w:hAnsi="Arial" w:cs="Aria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La </w:t>
      </w:r>
      <w:r>
        <w:rPr>
          <w:rFonts w:ascii="Arial" w:hAnsi="Arial" w:cs="Arial"/>
          <w:sz w:val="22"/>
          <w:szCs w:val="22"/>
        </w:rPr>
        <w:t>E</w:t>
      </w:r>
      <w:r w:rsidRPr="00DC371E">
        <w:rPr>
          <w:rFonts w:ascii="Arial" w:hAnsi="Arial" w:cs="Arial"/>
          <w:sz w:val="22"/>
          <w:szCs w:val="22"/>
        </w:rPr>
        <w:t xml:space="preserve">ntidad </w:t>
      </w:r>
      <w:r>
        <w:rPr>
          <w:rFonts w:ascii="Arial" w:hAnsi="Arial" w:cs="Arial"/>
          <w:sz w:val="22"/>
          <w:szCs w:val="22"/>
        </w:rPr>
        <w:t>T</w:t>
      </w:r>
      <w:r w:rsidRPr="00DC371E">
        <w:rPr>
          <w:rFonts w:ascii="Arial" w:hAnsi="Arial" w:cs="Arial"/>
          <w:sz w:val="22"/>
          <w:szCs w:val="22"/>
        </w:rPr>
        <w:t>erritorial aportó el documento: “</w:t>
      </w:r>
      <w:r w:rsidRPr="00DC371E">
        <w:rPr>
          <w:rFonts w:ascii="Arial" w:hAnsi="Arial" w:cs="Arial"/>
          <w:i/>
          <w:sz w:val="22"/>
          <w:szCs w:val="22"/>
        </w:rPr>
        <w:t>Resultados del monitoreo a la calidad del agua subterránea por Unidades de Planificación Insular”,</w:t>
      </w:r>
      <w:r w:rsidRPr="00DC371E">
        <w:rPr>
          <w:rFonts w:ascii="Arial" w:hAnsi="Arial" w:cs="Arial"/>
          <w:sz w:val="22"/>
          <w:szCs w:val="22"/>
        </w:rPr>
        <w:t xml:space="preserve"> entregado por la Coralina en la visita de reconocimiento a través del oficio bajo número de radicado 1-2020-066365 de fecha 27 de julio de 2020.</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rPr>
      </w:pPr>
      <w:r w:rsidRPr="00DC371E">
        <w:rPr>
          <w:rFonts w:ascii="Arial" w:hAnsi="Arial" w:cs="Arial"/>
          <w:sz w:val="22"/>
          <w:szCs w:val="22"/>
        </w:rPr>
        <w:t>En este documento, con el propósito de obtener el Índice de Riesgo de Calidad del Agua - IRCA para el caso particular de San Andrés, la Universidad Nacional aplicó la metodología establecid</w:t>
      </w:r>
      <w:r>
        <w:rPr>
          <w:rFonts w:ascii="Arial" w:hAnsi="Arial" w:cs="Arial"/>
          <w:sz w:val="22"/>
          <w:szCs w:val="22"/>
        </w:rPr>
        <w:t>a</w:t>
      </w:r>
      <w:r w:rsidRPr="00DC371E">
        <w:rPr>
          <w:rFonts w:ascii="Arial" w:hAnsi="Arial" w:cs="Arial"/>
          <w:sz w:val="22"/>
          <w:szCs w:val="22"/>
        </w:rPr>
        <w:t xml:space="preserve"> en la Resolución 2115 de 2007, modificándola según la propuesta de</w:t>
      </w:r>
      <w:r w:rsidRPr="00DC371E">
        <w:rPr>
          <w:rFonts w:ascii="Arial" w:hAnsi="Arial" w:cs="Arial"/>
        </w:rPr>
        <w:t xml:space="preserve"> </w:t>
      </w:r>
      <w:r w:rsidRPr="00DC371E">
        <w:rPr>
          <w:rFonts w:ascii="Arial" w:hAnsi="Arial" w:cs="Arial"/>
          <w:sz w:val="22"/>
          <w:szCs w:val="22"/>
        </w:rPr>
        <w:t>Coralina</w:t>
      </w:r>
      <w:r w:rsidRPr="00DC371E">
        <w:rPr>
          <w:rFonts w:ascii="Arial" w:hAnsi="Arial" w:cs="Arial"/>
          <w:sz w:val="22"/>
          <w:szCs w:val="22"/>
          <w:vertAlign w:val="superscript"/>
        </w:rPr>
        <w:footnoteReference w:id="10"/>
      </w:r>
      <w:r w:rsidRPr="00DC371E">
        <w:rPr>
          <w:rFonts w:ascii="Arial" w:hAnsi="Arial" w:cs="Arial"/>
          <w:sz w:val="22"/>
          <w:szCs w:val="22"/>
        </w:rPr>
        <w:t xml:space="preserve">. Los parámetros empleados fueron similares a la propuesta de Coralina, excepto calcio y magnesio que fueron reemplazados por dureza total, el cual agrupa a ambos tipos de iones y la variable de alcalinidad que tampoco fue analizada en el estudio; por lo tanto, los puntajes de riesgo de los parámetros que no fueron tenidos en </w:t>
      </w:r>
      <w:r w:rsidR="00E013AF" w:rsidRPr="00DC371E">
        <w:rPr>
          <w:rFonts w:ascii="Arial" w:hAnsi="Arial" w:cs="Arial"/>
          <w:sz w:val="22"/>
          <w:szCs w:val="22"/>
        </w:rPr>
        <w:t>cuenta</w:t>
      </w:r>
      <w:r w:rsidRPr="00DC371E">
        <w:rPr>
          <w:rFonts w:ascii="Arial" w:hAnsi="Arial" w:cs="Arial"/>
          <w:sz w:val="22"/>
          <w:szCs w:val="22"/>
        </w:rPr>
        <w:t xml:space="preserve"> se redistribuyeron de forma equitativa entre los que sí hacen parte del índice.</w:t>
      </w:r>
    </w:p>
    <w:p w:rsidR="00D75790" w:rsidRPr="00E46D41" w:rsidRDefault="00D75790" w:rsidP="00D75790">
      <w:pPr>
        <w:autoSpaceDE w:val="0"/>
        <w:autoSpaceDN w:val="0"/>
        <w:adjustRightInd w:val="0"/>
        <w:contextualSpacing/>
        <w:jc w:val="both"/>
        <w:rPr>
          <w:rFonts w:ascii="Arial" w:hAnsi="Arial" w:cs="Arial"/>
          <w:sz w:val="22"/>
        </w:rPr>
      </w:pPr>
    </w:p>
    <w:p w:rsidR="00D75790" w:rsidRPr="00E46D41" w:rsidRDefault="00D75790" w:rsidP="00D75790">
      <w:pPr>
        <w:autoSpaceDE w:val="0"/>
        <w:autoSpaceDN w:val="0"/>
        <w:adjustRightInd w:val="0"/>
        <w:contextualSpacing/>
        <w:jc w:val="center"/>
        <w:rPr>
          <w:rFonts w:ascii="Arial" w:hAnsi="Arial" w:cs="Arial"/>
          <w:b/>
          <w:sz w:val="20"/>
        </w:rPr>
      </w:pPr>
      <w:r w:rsidRPr="00E46D41">
        <w:rPr>
          <w:rFonts w:ascii="Arial" w:hAnsi="Arial" w:cs="Arial"/>
          <w:b/>
          <w:sz w:val="20"/>
        </w:rPr>
        <w:t xml:space="preserve">TABLA 7: PARÁMETROS Y PUNTAJES </w:t>
      </w:r>
    </w:p>
    <w:p w:rsidR="00D75790" w:rsidRPr="00E46D41" w:rsidRDefault="00D75790" w:rsidP="00D75790">
      <w:pPr>
        <w:autoSpaceDE w:val="0"/>
        <w:autoSpaceDN w:val="0"/>
        <w:adjustRightInd w:val="0"/>
        <w:contextualSpacing/>
        <w:jc w:val="center"/>
        <w:rPr>
          <w:rFonts w:ascii="Arial" w:hAnsi="Arial" w:cs="Arial"/>
          <w:b/>
          <w:sz w:val="20"/>
        </w:rPr>
      </w:pPr>
      <w:r w:rsidRPr="00E46D41">
        <w:rPr>
          <w:rFonts w:ascii="Arial" w:hAnsi="Arial" w:cs="Arial"/>
          <w:b/>
          <w:sz w:val="20"/>
        </w:rPr>
        <w:t>IRCA</w:t>
      </w:r>
    </w:p>
    <w:p w:rsidR="00D75790" w:rsidRPr="00DC371E" w:rsidRDefault="00D75790" w:rsidP="00D75790">
      <w:pPr>
        <w:autoSpaceDE w:val="0"/>
        <w:autoSpaceDN w:val="0"/>
        <w:adjustRightInd w:val="0"/>
        <w:contextualSpacing/>
        <w:jc w:val="center"/>
        <w:rPr>
          <w:rFonts w:ascii="Arial" w:hAnsi="Arial" w:cs="Arial"/>
        </w:rPr>
      </w:pPr>
      <w:r w:rsidRPr="00A97C89">
        <w:rPr>
          <w:rFonts w:ascii="Arial" w:hAnsi="Arial" w:cs="Arial"/>
          <w:noProof/>
          <w:lang w:val="es-CO" w:eastAsia="es-CO"/>
        </w:rPr>
        <w:drawing>
          <wp:inline distT="0" distB="0" distL="0" distR="0">
            <wp:extent cx="2486025" cy="1466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l="39684" t="48576" r="40865" b="30486"/>
                    <a:stretch>
                      <a:fillRect/>
                    </a:stretch>
                  </pic:blipFill>
                  <pic:spPr bwMode="auto">
                    <a:xfrm>
                      <a:off x="0" y="0"/>
                      <a:ext cx="2486025" cy="1466850"/>
                    </a:xfrm>
                    <a:prstGeom prst="rect">
                      <a:avLst/>
                    </a:prstGeom>
                    <a:noFill/>
                    <a:ln>
                      <a:noFill/>
                    </a:ln>
                  </pic:spPr>
                </pic:pic>
              </a:graphicData>
            </a:graphic>
          </wp:inline>
        </w:drawing>
      </w:r>
    </w:p>
    <w:p w:rsidR="00D75790" w:rsidRPr="00DC371E" w:rsidRDefault="00D75790" w:rsidP="00D75790">
      <w:pPr>
        <w:autoSpaceDE w:val="0"/>
        <w:autoSpaceDN w:val="0"/>
        <w:adjustRightInd w:val="0"/>
        <w:contextualSpacing/>
        <w:jc w:val="center"/>
        <w:rPr>
          <w:rFonts w:ascii="Arial" w:hAnsi="Arial" w:cs="Arial"/>
          <w:sz w:val="16"/>
          <w:szCs w:val="16"/>
        </w:rPr>
      </w:pPr>
      <w:r w:rsidRPr="00DC371E">
        <w:rPr>
          <w:rFonts w:ascii="Arial" w:hAnsi="Arial" w:cs="Arial"/>
          <w:sz w:val="16"/>
          <w:szCs w:val="16"/>
        </w:rPr>
        <w:t xml:space="preserve">(Fuente: Resultados del monitoreo a la calidad del agua subterránea </w:t>
      </w:r>
    </w:p>
    <w:p w:rsidR="00D75790" w:rsidRPr="00DC371E" w:rsidRDefault="00D75790" w:rsidP="00D75790">
      <w:pPr>
        <w:autoSpaceDE w:val="0"/>
        <w:autoSpaceDN w:val="0"/>
        <w:adjustRightInd w:val="0"/>
        <w:contextualSpacing/>
        <w:jc w:val="center"/>
        <w:rPr>
          <w:rFonts w:ascii="Arial" w:hAnsi="Arial" w:cs="Arial"/>
          <w:sz w:val="16"/>
          <w:szCs w:val="16"/>
        </w:rPr>
      </w:pPr>
      <w:r w:rsidRPr="00DC371E">
        <w:rPr>
          <w:rFonts w:ascii="Arial" w:hAnsi="Arial" w:cs="Arial"/>
          <w:sz w:val="16"/>
          <w:szCs w:val="16"/>
        </w:rPr>
        <w:t>por unidades de planificación insular 2019)</w:t>
      </w:r>
    </w:p>
    <w:p w:rsidR="00D75790" w:rsidRPr="00E46D41" w:rsidRDefault="00D75790" w:rsidP="00D75790">
      <w:pPr>
        <w:autoSpaceDE w:val="0"/>
        <w:autoSpaceDN w:val="0"/>
        <w:adjustRightInd w:val="0"/>
        <w:contextualSpacing/>
        <w:jc w:val="both"/>
        <w:rPr>
          <w:rFonts w:ascii="Arial" w:hAnsi="Arial" w:cs="Arial"/>
          <w:sz w:val="22"/>
        </w:rPr>
      </w:pPr>
    </w:p>
    <w:p w:rsidR="00D75790" w:rsidRPr="00E46D41" w:rsidRDefault="00D75790" w:rsidP="00D75790">
      <w:pPr>
        <w:autoSpaceDE w:val="0"/>
        <w:autoSpaceDN w:val="0"/>
        <w:adjustRightInd w:val="0"/>
        <w:contextualSpacing/>
        <w:jc w:val="center"/>
        <w:rPr>
          <w:rFonts w:ascii="Arial" w:hAnsi="Arial" w:cs="Arial"/>
          <w:b/>
          <w:sz w:val="20"/>
        </w:rPr>
      </w:pPr>
      <w:r w:rsidRPr="00E46D41">
        <w:rPr>
          <w:rFonts w:ascii="Arial" w:hAnsi="Arial" w:cs="Arial"/>
          <w:b/>
          <w:sz w:val="20"/>
        </w:rPr>
        <w:t xml:space="preserve">TABLA 8: RESULTADOS DEL IRCA MODIFICADO PARA LAS MUESTRAS </w:t>
      </w:r>
    </w:p>
    <w:p w:rsidR="00D75790" w:rsidRPr="00E46D41" w:rsidRDefault="00D75790" w:rsidP="00D75790">
      <w:pPr>
        <w:autoSpaceDE w:val="0"/>
        <w:autoSpaceDN w:val="0"/>
        <w:adjustRightInd w:val="0"/>
        <w:contextualSpacing/>
        <w:jc w:val="center"/>
        <w:rPr>
          <w:rFonts w:ascii="Arial" w:hAnsi="Arial" w:cs="Arial"/>
          <w:b/>
          <w:sz w:val="20"/>
        </w:rPr>
      </w:pPr>
      <w:r w:rsidRPr="00E46D41">
        <w:rPr>
          <w:rFonts w:ascii="Arial" w:hAnsi="Arial" w:cs="Arial"/>
          <w:b/>
          <w:sz w:val="20"/>
        </w:rPr>
        <w:t>ANALIZADAS EN UPI URBANAS</w:t>
      </w:r>
    </w:p>
    <w:p w:rsidR="00D75790" w:rsidRPr="00DC371E" w:rsidRDefault="00D75790" w:rsidP="00D75790">
      <w:pPr>
        <w:autoSpaceDE w:val="0"/>
        <w:autoSpaceDN w:val="0"/>
        <w:adjustRightInd w:val="0"/>
        <w:contextualSpacing/>
        <w:jc w:val="center"/>
        <w:rPr>
          <w:rFonts w:ascii="Arial" w:hAnsi="Arial" w:cs="Arial"/>
        </w:rPr>
      </w:pPr>
      <w:r w:rsidRPr="00A97C89">
        <w:rPr>
          <w:rFonts w:ascii="Arial" w:hAnsi="Arial" w:cs="Arial"/>
          <w:noProof/>
          <w:lang w:val="es-CO" w:eastAsia="es-CO"/>
        </w:rPr>
        <w:drawing>
          <wp:inline distT="0" distB="0" distL="0" distR="0">
            <wp:extent cx="3933825" cy="1971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l="24593" t="25226" r="25925" b="27525"/>
                    <a:stretch>
                      <a:fillRect/>
                    </a:stretch>
                  </pic:blipFill>
                  <pic:spPr bwMode="auto">
                    <a:xfrm>
                      <a:off x="0" y="0"/>
                      <a:ext cx="3933825" cy="1971675"/>
                    </a:xfrm>
                    <a:prstGeom prst="rect">
                      <a:avLst/>
                    </a:prstGeom>
                    <a:noFill/>
                    <a:ln>
                      <a:noFill/>
                    </a:ln>
                  </pic:spPr>
                </pic:pic>
              </a:graphicData>
            </a:graphic>
          </wp:inline>
        </w:drawing>
      </w:r>
    </w:p>
    <w:p w:rsidR="00D75790" w:rsidRPr="00DC371E" w:rsidRDefault="00D75790" w:rsidP="00D75790">
      <w:pPr>
        <w:autoSpaceDE w:val="0"/>
        <w:autoSpaceDN w:val="0"/>
        <w:adjustRightInd w:val="0"/>
        <w:contextualSpacing/>
        <w:jc w:val="center"/>
        <w:rPr>
          <w:rFonts w:ascii="Arial" w:hAnsi="Arial" w:cs="Arial"/>
          <w:sz w:val="16"/>
          <w:szCs w:val="16"/>
        </w:rPr>
      </w:pPr>
      <w:r w:rsidRPr="00DC371E">
        <w:rPr>
          <w:rFonts w:ascii="Arial" w:hAnsi="Arial" w:cs="Arial"/>
          <w:sz w:val="16"/>
          <w:szCs w:val="16"/>
        </w:rPr>
        <w:t xml:space="preserve">(Fuente: Resultados del monitoreo a la calidad del agua subterránea </w:t>
      </w:r>
    </w:p>
    <w:p w:rsidR="00D75790" w:rsidRPr="00DC371E" w:rsidRDefault="00D75790" w:rsidP="00D75790">
      <w:pPr>
        <w:autoSpaceDE w:val="0"/>
        <w:autoSpaceDN w:val="0"/>
        <w:adjustRightInd w:val="0"/>
        <w:contextualSpacing/>
        <w:jc w:val="center"/>
        <w:rPr>
          <w:rFonts w:ascii="Arial" w:hAnsi="Arial" w:cs="Arial"/>
          <w:sz w:val="16"/>
          <w:szCs w:val="16"/>
        </w:rPr>
      </w:pPr>
      <w:r w:rsidRPr="00DC371E">
        <w:rPr>
          <w:rFonts w:ascii="Arial" w:hAnsi="Arial" w:cs="Arial"/>
          <w:sz w:val="16"/>
          <w:szCs w:val="16"/>
        </w:rPr>
        <w:t>por unidades de planificación insular 2019)</w:t>
      </w:r>
    </w:p>
    <w:p w:rsidR="00D75790" w:rsidRPr="00E46D41" w:rsidRDefault="00D75790" w:rsidP="00D75790">
      <w:pPr>
        <w:autoSpaceDE w:val="0"/>
        <w:autoSpaceDN w:val="0"/>
        <w:adjustRightInd w:val="0"/>
        <w:contextualSpacing/>
        <w:jc w:val="both"/>
        <w:rPr>
          <w:rFonts w:ascii="Arial" w:hAnsi="Arial" w:cs="Arial"/>
          <w:sz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lastRenderedPageBreak/>
        <w:t>De acuerdo con la cantidad de muestras analizadas en las UPI urbanas se obtuvieron los siguientes resultados para el IRCA modificado:</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52,94</w:t>
      </w:r>
      <w:r>
        <w:rPr>
          <w:rFonts w:ascii="Arial" w:hAnsi="Arial" w:cs="Arial"/>
          <w:sz w:val="22"/>
          <w:szCs w:val="22"/>
        </w:rPr>
        <w:t xml:space="preserve"> </w:t>
      </w:r>
      <w:r w:rsidRPr="00DC371E">
        <w:rPr>
          <w:rFonts w:ascii="Arial" w:hAnsi="Arial" w:cs="Arial"/>
          <w:sz w:val="22"/>
          <w:szCs w:val="22"/>
        </w:rPr>
        <w:t>% de las muestras analizadas en las UPI urbanas se clasifica en un Nivel de Riesgo Alto.</w:t>
      </w:r>
    </w:p>
    <w:p w:rsidR="00D75790"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35,29</w:t>
      </w:r>
      <w:r>
        <w:rPr>
          <w:rFonts w:ascii="Arial" w:hAnsi="Arial" w:cs="Arial"/>
          <w:sz w:val="22"/>
          <w:szCs w:val="22"/>
        </w:rPr>
        <w:t xml:space="preserve"> </w:t>
      </w:r>
      <w:r w:rsidRPr="00DC371E">
        <w:rPr>
          <w:rFonts w:ascii="Arial" w:hAnsi="Arial" w:cs="Arial"/>
          <w:sz w:val="22"/>
          <w:szCs w:val="22"/>
        </w:rPr>
        <w:t>% de las muestras analizadas en las UPI urbanas se clasifica en un Nivel de Riesgo Inviable Sanitariamente.</w:t>
      </w:r>
    </w:p>
    <w:p w:rsidR="00D75790"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11,76</w:t>
      </w:r>
      <w:r>
        <w:rPr>
          <w:rFonts w:ascii="Arial" w:hAnsi="Arial" w:cs="Arial"/>
          <w:sz w:val="22"/>
          <w:szCs w:val="22"/>
        </w:rPr>
        <w:t xml:space="preserve"> </w:t>
      </w:r>
      <w:r w:rsidRPr="00DC371E">
        <w:rPr>
          <w:rFonts w:ascii="Arial" w:hAnsi="Arial" w:cs="Arial"/>
          <w:sz w:val="22"/>
          <w:szCs w:val="22"/>
        </w:rPr>
        <w:t>% de las muestras analizadas en las UPI urbanas se clasifica en un Nivel de Riesgo Medio.</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Para las 29 muestras</w:t>
      </w:r>
      <w:r>
        <w:rPr>
          <w:rFonts w:ascii="Arial" w:hAnsi="Arial" w:cs="Arial"/>
          <w:sz w:val="22"/>
          <w:szCs w:val="22"/>
        </w:rPr>
        <w:t>:</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55,17</w:t>
      </w:r>
      <w:r>
        <w:rPr>
          <w:rFonts w:ascii="Arial" w:hAnsi="Arial" w:cs="Arial"/>
          <w:sz w:val="22"/>
          <w:szCs w:val="22"/>
        </w:rPr>
        <w:t xml:space="preserve"> </w:t>
      </w:r>
      <w:r w:rsidRPr="00DC371E">
        <w:rPr>
          <w:rFonts w:ascii="Arial" w:hAnsi="Arial" w:cs="Arial"/>
          <w:sz w:val="22"/>
          <w:szCs w:val="22"/>
        </w:rPr>
        <w:t>% de las muestras analizadas se clasifica en un Nivel de Riesgo Alto.</w:t>
      </w:r>
    </w:p>
    <w:p w:rsidR="00D75790" w:rsidRDefault="00D75790" w:rsidP="00D75790">
      <w:pPr>
        <w:autoSpaceDE w:val="0"/>
        <w:autoSpaceDN w:val="0"/>
        <w:adjustRightInd w:val="0"/>
        <w:contextualSpacing/>
        <w:jc w:val="both"/>
        <w:rPr>
          <w:rFonts w:ascii="Arial" w:hAnsi="Arial" w:cs="Arial"/>
          <w:sz w:val="22"/>
          <w:szCs w:val="22"/>
        </w:rPr>
      </w:pPr>
    </w:p>
    <w:p w:rsidR="00D75790"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24,14</w:t>
      </w:r>
      <w:r>
        <w:rPr>
          <w:rFonts w:ascii="Arial" w:hAnsi="Arial" w:cs="Arial"/>
          <w:sz w:val="22"/>
          <w:szCs w:val="22"/>
        </w:rPr>
        <w:t xml:space="preserve"> </w:t>
      </w:r>
      <w:r w:rsidRPr="00DC371E">
        <w:rPr>
          <w:rFonts w:ascii="Arial" w:hAnsi="Arial" w:cs="Arial"/>
          <w:sz w:val="22"/>
          <w:szCs w:val="22"/>
        </w:rPr>
        <w:t>% de las muestras analizadas se clasifica en un Nivel de Riesgo Inviable Sanitariamente.</w:t>
      </w:r>
    </w:p>
    <w:p w:rsidR="00D75790"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20,69</w:t>
      </w:r>
      <w:r>
        <w:rPr>
          <w:rFonts w:ascii="Arial" w:hAnsi="Arial" w:cs="Arial"/>
          <w:sz w:val="22"/>
          <w:szCs w:val="22"/>
        </w:rPr>
        <w:t xml:space="preserve"> </w:t>
      </w:r>
      <w:r w:rsidRPr="00DC371E">
        <w:rPr>
          <w:rFonts w:ascii="Arial" w:hAnsi="Arial" w:cs="Arial"/>
          <w:sz w:val="22"/>
          <w:szCs w:val="22"/>
        </w:rPr>
        <w:t>% de las muestras analizadas se clasifica en un Nivel de Riesgo Medio.</w:t>
      </w:r>
    </w:p>
    <w:p w:rsidR="00D75790" w:rsidRPr="00E46D41" w:rsidRDefault="00D75790" w:rsidP="00D75790">
      <w:pPr>
        <w:autoSpaceDE w:val="0"/>
        <w:autoSpaceDN w:val="0"/>
        <w:adjustRightInd w:val="0"/>
        <w:contextualSpacing/>
        <w:jc w:val="both"/>
        <w:rPr>
          <w:rFonts w:ascii="Arial" w:hAnsi="Arial" w:cs="Arial"/>
          <w:sz w:val="22"/>
        </w:rPr>
      </w:pPr>
    </w:p>
    <w:p w:rsidR="00D75790" w:rsidRPr="00E46D41" w:rsidRDefault="00D75790" w:rsidP="00D75790">
      <w:pPr>
        <w:autoSpaceDE w:val="0"/>
        <w:autoSpaceDN w:val="0"/>
        <w:adjustRightInd w:val="0"/>
        <w:contextualSpacing/>
        <w:jc w:val="center"/>
        <w:rPr>
          <w:rFonts w:ascii="Arial" w:hAnsi="Arial" w:cs="Arial"/>
          <w:b/>
          <w:sz w:val="20"/>
          <w:szCs w:val="22"/>
        </w:rPr>
      </w:pPr>
      <w:r w:rsidRPr="00E46D41">
        <w:rPr>
          <w:rFonts w:ascii="Arial" w:hAnsi="Arial" w:cs="Arial"/>
          <w:b/>
          <w:sz w:val="20"/>
          <w:szCs w:val="22"/>
        </w:rPr>
        <w:t xml:space="preserve">TABLA 9: RESULTADOS DEL IRCA MODIFICADO </w:t>
      </w:r>
    </w:p>
    <w:p w:rsidR="00D75790" w:rsidRPr="00E46D41" w:rsidRDefault="00D75790" w:rsidP="00D75790">
      <w:pPr>
        <w:autoSpaceDE w:val="0"/>
        <w:autoSpaceDN w:val="0"/>
        <w:adjustRightInd w:val="0"/>
        <w:contextualSpacing/>
        <w:jc w:val="center"/>
        <w:rPr>
          <w:rFonts w:ascii="Arial" w:hAnsi="Arial" w:cs="Arial"/>
          <w:b/>
          <w:sz w:val="20"/>
          <w:szCs w:val="22"/>
        </w:rPr>
      </w:pPr>
      <w:r w:rsidRPr="00E46D41">
        <w:rPr>
          <w:rFonts w:ascii="Arial" w:hAnsi="Arial" w:cs="Arial"/>
          <w:b/>
          <w:sz w:val="20"/>
          <w:szCs w:val="22"/>
        </w:rPr>
        <w:t xml:space="preserve">PARA LAS MUESTRAS </w:t>
      </w:r>
    </w:p>
    <w:p w:rsidR="00D75790" w:rsidRPr="00E46D41" w:rsidRDefault="00D75790" w:rsidP="00D75790">
      <w:pPr>
        <w:autoSpaceDE w:val="0"/>
        <w:autoSpaceDN w:val="0"/>
        <w:adjustRightInd w:val="0"/>
        <w:contextualSpacing/>
        <w:jc w:val="center"/>
        <w:rPr>
          <w:rFonts w:ascii="Arial" w:hAnsi="Arial" w:cs="Arial"/>
          <w:b/>
          <w:sz w:val="20"/>
          <w:szCs w:val="22"/>
        </w:rPr>
      </w:pPr>
      <w:r w:rsidRPr="00E46D41">
        <w:rPr>
          <w:rFonts w:ascii="Arial" w:hAnsi="Arial" w:cs="Arial"/>
          <w:b/>
          <w:sz w:val="20"/>
          <w:szCs w:val="22"/>
        </w:rPr>
        <w:t>ANALIZADAS EN UPI RURALES</w:t>
      </w:r>
    </w:p>
    <w:p w:rsidR="00D75790" w:rsidRPr="00DC371E" w:rsidRDefault="00D75790" w:rsidP="00D75790">
      <w:pPr>
        <w:autoSpaceDE w:val="0"/>
        <w:autoSpaceDN w:val="0"/>
        <w:adjustRightInd w:val="0"/>
        <w:contextualSpacing/>
        <w:jc w:val="center"/>
        <w:rPr>
          <w:rFonts w:ascii="Arial" w:hAnsi="Arial" w:cs="Arial"/>
        </w:rPr>
      </w:pPr>
      <w:r w:rsidRPr="00A97C89">
        <w:rPr>
          <w:rFonts w:ascii="Arial" w:hAnsi="Arial" w:cs="Arial"/>
          <w:noProof/>
          <w:lang w:val="es-CO" w:eastAsia="es-CO"/>
        </w:rPr>
        <w:drawing>
          <wp:inline distT="0" distB="0" distL="0" distR="0">
            <wp:extent cx="3543300" cy="1181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l="25343" t="31128" r="26076" b="34514"/>
                    <a:stretch>
                      <a:fillRect/>
                    </a:stretch>
                  </pic:blipFill>
                  <pic:spPr bwMode="auto">
                    <a:xfrm>
                      <a:off x="0" y="0"/>
                      <a:ext cx="3543300" cy="1181100"/>
                    </a:xfrm>
                    <a:prstGeom prst="rect">
                      <a:avLst/>
                    </a:prstGeom>
                    <a:noFill/>
                    <a:ln>
                      <a:noFill/>
                    </a:ln>
                  </pic:spPr>
                </pic:pic>
              </a:graphicData>
            </a:graphic>
          </wp:inline>
        </w:drawing>
      </w:r>
    </w:p>
    <w:p w:rsidR="00D75790" w:rsidRPr="00DC371E" w:rsidRDefault="00D75790" w:rsidP="00D75790">
      <w:pPr>
        <w:autoSpaceDE w:val="0"/>
        <w:autoSpaceDN w:val="0"/>
        <w:adjustRightInd w:val="0"/>
        <w:contextualSpacing/>
        <w:jc w:val="center"/>
        <w:rPr>
          <w:rFonts w:ascii="Arial" w:hAnsi="Arial" w:cs="Arial"/>
          <w:sz w:val="16"/>
          <w:szCs w:val="16"/>
        </w:rPr>
      </w:pPr>
      <w:r w:rsidRPr="00DC371E">
        <w:rPr>
          <w:rFonts w:ascii="Arial" w:hAnsi="Arial" w:cs="Arial"/>
          <w:sz w:val="16"/>
          <w:szCs w:val="16"/>
        </w:rPr>
        <w:t xml:space="preserve">(Fuente: Resultados del monitoreo a la calidad del agua subterránea </w:t>
      </w:r>
    </w:p>
    <w:p w:rsidR="00D75790" w:rsidRPr="00DC371E" w:rsidRDefault="00D75790" w:rsidP="00D75790">
      <w:pPr>
        <w:autoSpaceDE w:val="0"/>
        <w:autoSpaceDN w:val="0"/>
        <w:adjustRightInd w:val="0"/>
        <w:contextualSpacing/>
        <w:jc w:val="center"/>
        <w:rPr>
          <w:rFonts w:ascii="Arial" w:hAnsi="Arial" w:cs="Arial"/>
          <w:sz w:val="16"/>
          <w:szCs w:val="16"/>
        </w:rPr>
      </w:pPr>
      <w:r w:rsidRPr="00DC371E">
        <w:rPr>
          <w:rFonts w:ascii="Arial" w:hAnsi="Arial" w:cs="Arial"/>
          <w:sz w:val="16"/>
          <w:szCs w:val="16"/>
        </w:rPr>
        <w:t>por unidades de planificación insular 2019)</w:t>
      </w:r>
    </w:p>
    <w:p w:rsidR="00D75790" w:rsidRPr="00E46D41" w:rsidRDefault="00D75790" w:rsidP="00D75790">
      <w:pPr>
        <w:autoSpaceDE w:val="0"/>
        <w:autoSpaceDN w:val="0"/>
        <w:adjustRightInd w:val="0"/>
        <w:contextualSpacing/>
        <w:jc w:val="both"/>
        <w:rPr>
          <w:rFonts w:ascii="Arial" w:hAnsi="Arial" w:cs="Arial"/>
          <w:sz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De acuerdo con la cantidad de muestras analizadas en las UPI rurales se obtuvieron los siguientes resultados para el IRCA modificado:</w:t>
      </w:r>
    </w:p>
    <w:p w:rsidR="00D75790" w:rsidRPr="00DC371E"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58,33</w:t>
      </w:r>
      <w:r>
        <w:rPr>
          <w:rFonts w:ascii="Arial" w:hAnsi="Arial" w:cs="Arial"/>
          <w:sz w:val="22"/>
          <w:szCs w:val="22"/>
        </w:rPr>
        <w:t xml:space="preserve"> </w:t>
      </w:r>
      <w:r w:rsidRPr="00DC371E">
        <w:rPr>
          <w:rFonts w:ascii="Arial" w:hAnsi="Arial" w:cs="Arial"/>
          <w:sz w:val="22"/>
          <w:szCs w:val="22"/>
        </w:rPr>
        <w:t>% de las muestras analizadas en las UPI rurales se clasifica en un Nivel de Riesgo Alto.</w:t>
      </w:r>
    </w:p>
    <w:p w:rsidR="00D75790"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33,33</w:t>
      </w:r>
      <w:r>
        <w:rPr>
          <w:rFonts w:ascii="Arial" w:hAnsi="Arial" w:cs="Arial"/>
          <w:sz w:val="22"/>
          <w:szCs w:val="22"/>
        </w:rPr>
        <w:t xml:space="preserve"> </w:t>
      </w:r>
      <w:r w:rsidRPr="00DC371E">
        <w:rPr>
          <w:rFonts w:ascii="Arial" w:hAnsi="Arial" w:cs="Arial"/>
          <w:sz w:val="22"/>
          <w:szCs w:val="22"/>
        </w:rPr>
        <w:t xml:space="preserve">% de las muestras analizadas en las UPI rurales se clasifica en un Nivel de Riesgo Medio. </w:t>
      </w:r>
    </w:p>
    <w:p w:rsidR="00D75790" w:rsidRDefault="00D75790" w:rsidP="00D75790">
      <w:pPr>
        <w:autoSpaceDE w:val="0"/>
        <w:autoSpaceDN w:val="0"/>
        <w:adjustRightInd w:val="0"/>
        <w:contextualSpacing/>
        <w:jc w:val="both"/>
        <w:rPr>
          <w:rFonts w:ascii="Arial" w:hAnsi="Arial" w:cs="Arial"/>
          <w:sz w:val="22"/>
          <w:szCs w:val="22"/>
        </w:rPr>
      </w:pPr>
    </w:p>
    <w:p w:rsidR="00D75790" w:rsidRPr="00DC371E" w:rsidRDefault="00D75790" w:rsidP="00D75790">
      <w:pPr>
        <w:autoSpaceDE w:val="0"/>
        <w:autoSpaceDN w:val="0"/>
        <w:adjustRightInd w:val="0"/>
        <w:contextualSpacing/>
        <w:jc w:val="both"/>
        <w:rPr>
          <w:rFonts w:ascii="Arial" w:hAnsi="Arial" w:cs="Arial"/>
          <w:sz w:val="22"/>
          <w:szCs w:val="22"/>
        </w:rPr>
      </w:pPr>
      <w:r w:rsidRPr="00DC371E">
        <w:rPr>
          <w:rFonts w:ascii="Arial" w:hAnsi="Arial" w:cs="Arial"/>
          <w:sz w:val="22"/>
          <w:szCs w:val="22"/>
        </w:rPr>
        <w:t>El 8,33</w:t>
      </w:r>
      <w:r>
        <w:rPr>
          <w:rFonts w:ascii="Arial" w:hAnsi="Arial" w:cs="Arial"/>
          <w:sz w:val="22"/>
          <w:szCs w:val="22"/>
        </w:rPr>
        <w:t xml:space="preserve"> </w:t>
      </w:r>
      <w:r w:rsidRPr="00DC371E">
        <w:rPr>
          <w:rFonts w:ascii="Arial" w:hAnsi="Arial" w:cs="Arial"/>
          <w:sz w:val="22"/>
          <w:szCs w:val="22"/>
        </w:rPr>
        <w:t>% de las muestras analizadas en las UPI rurales se clasifica en un Nivel de Riesgo Inviable Sanitariamente.</w:t>
      </w:r>
    </w:p>
    <w:p w:rsidR="00D75790" w:rsidRPr="00DC371E" w:rsidRDefault="00D75790" w:rsidP="00D75790">
      <w:pPr>
        <w:shd w:val="clear" w:color="auto" w:fill="FFFFFF"/>
        <w:contextualSpacing/>
        <w:jc w:val="both"/>
        <w:rPr>
          <w:rFonts w:ascii="Arial" w:hAnsi="Arial" w:cs="Arial"/>
          <w:sz w:val="22"/>
          <w:szCs w:val="22"/>
        </w:rPr>
      </w:pPr>
    </w:p>
    <w:p w:rsidR="00D75790" w:rsidRPr="00DC371E" w:rsidRDefault="00D75790" w:rsidP="00D75790">
      <w:pPr>
        <w:shd w:val="clear" w:color="auto" w:fill="FFFFFF"/>
        <w:contextualSpacing/>
        <w:jc w:val="both"/>
        <w:rPr>
          <w:rFonts w:ascii="Arial" w:hAnsi="Arial" w:cs="Arial"/>
          <w:sz w:val="22"/>
          <w:szCs w:val="22"/>
        </w:rPr>
      </w:pPr>
      <w:r w:rsidRPr="00DC371E">
        <w:rPr>
          <w:rFonts w:ascii="Arial" w:hAnsi="Arial" w:cs="Arial"/>
          <w:sz w:val="22"/>
          <w:szCs w:val="22"/>
        </w:rPr>
        <w:t>El informe concluye, entre otros aspectos, los siguientes:</w:t>
      </w:r>
    </w:p>
    <w:p w:rsidR="00D75790" w:rsidRPr="00DC371E" w:rsidRDefault="00D75790" w:rsidP="00D75790">
      <w:pPr>
        <w:shd w:val="clear" w:color="auto" w:fill="FFFFFF"/>
        <w:contextualSpacing/>
        <w:jc w:val="both"/>
        <w:rPr>
          <w:rFonts w:ascii="Arial" w:hAnsi="Arial" w:cs="Arial"/>
          <w:sz w:val="22"/>
          <w:szCs w:val="22"/>
        </w:rPr>
      </w:pPr>
    </w:p>
    <w:p w:rsidR="00D75790" w:rsidRPr="00E46D41" w:rsidRDefault="00D75790" w:rsidP="00D75790">
      <w:pPr>
        <w:pStyle w:val="Prrafodelista"/>
        <w:numPr>
          <w:ilvl w:val="0"/>
          <w:numId w:val="7"/>
        </w:numPr>
        <w:shd w:val="clear" w:color="auto" w:fill="FFFFFF"/>
        <w:jc w:val="both"/>
        <w:rPr>
          <w:rFonts w:ascii="Arial" w:hAnsi="Arial" w:cs="Arial"/>
          <w:i/>
          <w:sz w:val="18"/>
          <w:szCs w:val="22"/>
        </w:rPr>
      </w:pPr>
      <w:r>
        <w:rPr>
          <w:rFonts w:ascii="Arial" w:hAnsi="Arial" w:cs="Arial"/>
          <w:sz w:val="18"/>
          <w:szCs w:val="22"/>
        </w:rPr>
        <w:lastRenderedPageBreak/>
        <w:t>“</w:t>
      </w:r>
      <w:r w:rsidRPr="00E46D41">
        <w:rPr>
          <w:rFonts w:ascii="Arial" w:hAnsi="Arial" w:cs="Arial"/>
          <w:i/>
          <w:sz w:val="18"/>
          <w:szCs w:val="22"/>
        </w:rPr>
        <w:t>Los resultados arrojados por la Escala de Valoración, agrupan a una gran mayoría de los puntos (60,71%) monitoreados en una ‘Calidad Baja’. Resultados que evidencian el alto grado de deterioro que existe en los acuíferos de la isla por la influencia de contaminantes químicos y sanitarios que afectan la calidad del recurso hídrico subterráneo.</w:t>
      </w:r>
    </w:p>
    <w:p w:rsidR="00D75790" w:rsidRPr="00E46D41" w:rsidRDefault="00D75790" w:rsidP="00D75790">
      <w:pPr>
        <w:shd w:val="clear" w:color="auto" w:fill="FFFFFF"/>
        <w:ind w:left="708" w:hanging="360"/>
        <w:contextualSpacing/>
        <w:jc w:val="both"/>
        <w:rPr>
          <w:rFonts w:ascii="Arial" w:hAnsi="Arial" w:cs="Arial"/>
          <w:i/>
          <w:sz w:val="18"/>
          <w:szCs w:val="22"/>
        </w:rPr>
      </w:pPr>
    </w:p>
    <w:p w:rsidR="00D75790" w:rsidRPr="00E46D41" w:rsidRDefault="00D75790" w:rsidP="00D75790">
      <w:pPr>
        <w:pStyle w:val="Prrafodelista"/>
        <w:numPr>
          <w:ilvl w:val="0"/>
          <w:numId w:val="7"/>
        </w:numPr>
        <w:shd w:val="clear" w:color="auto" w:fill="FFFFFF"/>
        <w:jc w:val="both"/>
        <w:rPr>
          <w:rFonts w:ascii="Arial" w:hAnsi="Arial" w:cs="Arial"/>
          <w:i/>
          <w:sz w:val="18"/>
          <w:szCs w:val="22"/>
        </w:rPr>
      </w:pPr>
      <w:r w:rsidRPr="00E46D41">
        <w:rPr>
          <w:rFonts w:ascii="Arial" w:hAnsi="Arial" w:cs="Arial"/>
          <w:i/>
          <w:sz w:val="18"/>
          <w:szCs w:val="22"/>
        </w:rPr>
        <w:t>En cuanto a la calidad del agua, para la mayoría de las muestras analizadas se observa que la mayor distribución porcentual del IRCA modificado se encuentra repartida entre los niveles de riesgo ‘Alto’ (55,17%) e ‘Inviable Sanitariamente’ (24,14%), es decir, la fuente de agua posee características que pueden causar afectación a la salud humana, si dicha agua se utiliza sin ningún tratamiento previo para consumo humano y doméstico en actividades tales como bebida directa, preparación de alimentos, higiene personal y limpieza de elementos, materiales o utensilios. Esto evidencia, además, que los puntos monitoreados están siendo afectados por tensores ambientales, los cuales aportan contaminantes al agua que deterioran su estado natural y limitan sus posibles usos.</w:t>
      </w:r>
    </w:p>
    <w:p w:rsidR="00D75790" w:rsidRPr="00E46D41" w:rsidRDefault="00D75790" w:rsidP="00D75790">
      <w:pPr>
        <w:shd w:val="clear" w:color="auto" w:fill="FFFFFF"/>
        <w:ind w:left="708" w:hanging="360"/>
        <w:contextualSpacing/>
        <w:jc w:val="both"/>
        <w:rPr>
          <w:rFonts w:ascii="Arial" w:hAnsi="Arial" w:cs="Arial"/>
          <w:i/>
          <w:sz w:val="18"/>
          <w:szCs w:val="22"/>
        </w:rPr>
      </w:pPr>
    </w:p>
    <w:p w:rsidR="00D75790" w:rsidRPr="00E46D41" w:rsidRDefault="00D75790" w:rsidP="00D75790">
      <w:pPr>
        <w:pStyle w:val="Prrafodelista"/>
        <w:numPr>
          <w:ilvl w:val="0"/>
          <w:numId w:val="7"/>
        </w:numPr>
        <w:shd w:val="clear" w:color="auto" w:fill="FFFFFF"/>
        <w:jc w:val="both"/>
        <w:rPr>
          <w:rFonts w:ascii="Arial" w:hAnsi="Arial" w:cs="Arial"/>
          <w:i/>
          <w:sz w:val="18"/>
          <w:szCs w:val="22"/>
        </w:rPr>
      </w:pPr>
      <w:r w:rsidRPr="00E46D41">
        <w:rPr>
          <w:rFonts w:ascii="Arial" w:hAnsi="Arial" w:cs="Arial"/>
          <w:i/>
          <w:sz w:val="18"/>
          <w:szCs w:val="22"/>
        </w:rPr>
        <w:t>En general, y de acuerdo a los resultados obtenidos, es posible afirmar que la calidad del agua subterránea de los acuíferos de la isla de San Andrés, no permite su utilización directa y requiere tratamiento para ser apta para el consumo humano</w:t>
      </w:r>
      <w:r>
        <w:rPr>
          <w:rFonts w:ascii="Arial" w:hAnsi="Arial" w:cs="Arial"/>
          <w:sz w:val="18"/>
          <w:szCs w:val="22"/>
        </w:rPr>
        <w:t>”</w:t>
      </w:r>
      <w:r w:rsidRPr="00E46D41">
        <w:rPr>
          <w:rFonts w:ascii="Arial" w:hAnsi="Arial" w:cs="Arial"/>
          <w:i/>
          <w:sz w:val="18"/>
          <w:szCs w:val="22"/>
        </w:rPr>
        <w:t>.</w:t>
      </w:r>
    </w:p>
    <w:p w:rsidR="00D75790" w:rsidRPr="00DC371E" w:rsidRDefault="00D75790" w:rsidP="00D75790">
      <w:pPr>
        <w:shd w:val="clear" w:color="auto" w:fill="FFFFFF"/>
        <w:contextualSpacing/>
        <w:jc w:val="both"/>
        <w:rPr>
          <w:rFonts w:ascii="Arial" w:hAnsi="Arial" w:cs="Arial"/>
          <w:sz w:val="22"/>
          <w:szCs w:val="22"/>
        </w:rPr>
      </w:pPr>
    </w:p>
    <w:p w:rsidR="00D75790" w:rsidRPr="00DC371E" w:rsidRDefault="00D75790" w:rsidP="00D75790">
      <w:pPr>
        <w:shd w:val="clear" w:color="auto" w:fill="FFFFFF"/>
        <w:contextualSpacing/>
        <w:jc w:val="both"/>
        <w:rPr>
          <w:rFonts w:ascii="Arial" w:hAnsi="Arial" w:cs="Arial"/>
          <w:sz w:val="22"/>
          <w:szCs w:val="22"/>
        </w:rPr>
      </w:pPr>
      <w:r>
        <w:rPr>
          <w:rFonts w:ascii="Arial" w:hAnsi="Arial" w:cs="Arial"/>
          <w:sz w:val="22"/>
          <w:szCs w:val="22"/>
        </w:rPr>
        <w:t>D</w:t>
      </w:r>
      <w:r w:rsidRPr="00DC371E">
        <w:rPr>
          <w:rFonts w:ascii="Arial" w:hAnsi="Arial" w:cs="Arial"/>
          <w:sz w:val="22"/>
          <w:szCs w:val="22"/>
        </w:rPr>
        <w:t xml:space="preserve">e acuerdo con los resultados de los análisis presentados en el documento de estudio, el agua subterránea explotada presenta altas cargas contaminantes que no la hacen apta para el consumo humano. Tal situación pone en riesgo la salud de la población con la prestación del </w:t>
      </w:r>
      <w:r>
        <w:rPr>
          <w:rFonts w:ascii="Arial" w:hAnsi="Arial" w:cs="Arial"/>
          <w:sz w:val="22"/>
          <w:szCs w:val="22"/>
        </w:rPr>
        <w:t>S</w:t>
      </w:r>
      <w:r w:rsidRPr="00DC371E">
        <w:rPr>
          <w:rFonts w:ascii="Arial" w:hAnsi="Arial" w:cs="Arial"/>
          <w:sz w:val="22"/>
          <w:szCs w:val="22"/>
        </w:rPr>
        <w:t xml:space="preserve">ervicio de </w:t>
      </w:r>
      <w:r>
        <w:rPr>
          <w:rFonts w:ascii="Arial" w:hAnsi="Arial" w:cs="Arial"/>
          <w:sz w:val="22"/>
          <w:szCs w:val="22"/>
        </w:rPr>
        <w:t>A</w:t>
      </w:r>
      <w:r w:rsidRPr="00DC371E">
        <w:rPr>
          <w:rFonts w:ascii="Arial" w:hAnsi="Arial" w:cs="Arial"/>
          <w:sz w:val="22"/>
          <w:szCs w:val="22"/>
        </w:rPr>
        <w:t>cueducto a través de esta alternativa.</w:t>
      </w:r>
    </w:p>
    <w:p w:rsidR="00D75790" w:rsidRPr="00DC371E" w:rsidRDefault="00D75790" w:rsidP="00D75790">
      <w:pPr>
        <w:shd w:val="clear" w:color="auto" w:fill="FFFFFF"/>
        <w:contextualSpacing/>
        <w:jc w:val="both"/>
        <w:rPr>
          <w:rFonts w:ascii="Arial" w:hAnsi="Arial" w:cs="Arial"/>
          <w:sz w:val="22"/>
          <w:szCs w:val="22"/>
        </w:rPr>
      </w:pPr>
    </w:p>
    <w:p w:rsidR="00D75790" w:rsidRPr="00DC371E" w:rsidRDefault="00D75790" w:rsidP="00D75790">
      <w:pPr>
        <w:shd w:val="clear" w:color="auto" w:fill="FFFFFF"/>
        <w:contextualSpacing/>
        <w:jc w:val="both"/>
        <w:rPr>
          <w:rFonts w:ascii="Arial" w:hAnsi="Arial" w:cs="Arial"/>
          <w:sz w:val="22"/>
          <w:szCs w:val="22"/>
        </w:rPr>
      </w:pPr>
      <w:r w:rsidRPr="00DC371E">
        <w:rPr>
          <w:rFonts w:ascii="Arial" w:hAnsi="Arial" w:cs="Arial"/>
          <w:sz w:val="22"/>
          <w:szCs w:val="22"/>
        </w:rPr>
        <w:t>Se deberán efectuar las acciones inmediatas de parte de la Entidad Territorial, de la Autoridad Ambiental</w:t>
      </w:r>
      <w:r>
        <w:rPr>
          <w:rFonts w:ascii="Arial" w:hAnsi="Arial" w:cs="Arial"/>
          <w:sz w:val="22"/>
          <w:szCs w:val="22"/>
        </w:rPr>
        <w:t xml:space="preserve"> y de Secretaría Departamental de Agua, para que </w:t>
      </w:r>
      <w:r w:rsidRPr="00DC371E">
        <w:rPr>
          <w:rFonts w:ascii="Arial" w:hAnsi="Arial" w:cs="Arial"/>
          <w:sz w:val="22"/>
          <w:szCs w:val="22"/>
        </w:rPr>
        <w:t>en el marco de sus competencias reali</w:t>
      </w:r>
      <w:r>
        <w:rPr>
          <w:rFonts w:ascii="Arial" w:hAnsi="Arial" w:cs="Arial"/>
          <w:sz w:val="22"/>
          <w:szCs w:val="22"/>
        </w:rPr>
        <w:t>cen</w:t>
      </w:r>
      <w:r w:rsidRPr="00DC371E">
        <w:rPr>
          <w:rFonts w:ascii="Arial" w:hAnsi="Arial" w:cs="Arial"/>
          <w:sz w:val="22"/>
          <w:szCs w:val="22"/>
        </w:rPr>
        <w:t xml:space="preserve"> un diagnóstico que contenga entre otros aspectos, el inventario de la totalidad de los pozos en cada una de las UPI a nivel urbano y rural, la cantidad de personas beneficiadas por esta alternativa, los usos dados al agua captada, características técnicas de cada uno de ellos, capacidad de almacenamiento del pozo, tiempo de recarga y la calidad del agua.</w:t>
      </w:r>
    </w:p>
    <w:p w:rsidR="00D75790" w:rsidRPr="00DC371E" w:rsidRDefault="00D75790" w:rsidP="00D75790">
      <w:pPr>
        <w:shd w:val="clear" w:color="auto" w:fill="FFFFFF"/>
        <w:contextualSpacing/>
        <w:jc w:val="both"/>
        <w:rPr>
          <w:rFonts w:ascii="Arial" w:hAnsi="Arial" w:cs="Arial"/>
          <w:sz w:val="22"/>
          <w:szCs w:val="22"/>
        </w:rPr>
      </w:pPr>
    </w:p>
    <w:p w:rsidR="00D75790" w:rsidRPr="00906462" w:rsidRDefault="00D75790" w:rsidP="00D75790">
      <w:pPr>
        <w:contextualSpacing/>
        <w:jc w:val="both"/>
        <w:rPr>
          <w:rFonts w:ascii="Arial" w:hAnsi="Arial" w:cs="Arial"/>
          <w:b/>
          <w:sz w:val="22"/>
          <w:szCs w:val="22"/>
          <w:vertAlign w:val="superscript"/>
          <w:lang w:val="es-ES_tradnl"/>
        </w:rPr>
      </w:pPr>
      <w:r w:rsidRPr="00697673">
        <w:rPr>
          <w:rFonts w:ascii="Arial" w:hAnsi="Arial" w:cs="Arial"/>
          <w:b/>
          <w:sz w:val="22"/>
          <w:szCs w:val="22"/>
          <w:lang w:val="es-ES_tradnl"/>
        </w:rPr>
        <w:t>2.2. ASEO</w:t>
      </w:r>
      <w:r w:rsidRPr="00906462">
        <w:rPr>
          <w:rFonts w:ascii="Arial" w:hAnsi="Arial" w:cs="Arial"/>
          <w:b/>
          <w:sz w:val="22"/>
          <w:szCs w:val="22"/>
          <w:lang w:val="es-ES_tradnl"/>
        </w:rPr>
        <w:t>.</w:t>
      </w:r>
    </w:p>
    <w:p w:rsidR="00D75790" w:rsidRPr="00DC371E" w:rsidRDefault="00D75790" w:rsidP="00D75790">
      <w:pPr>
        <w:contextualSpacing/>
        <w:jc w:val="both"/>
        <w:rPr>
          <w:rFonts w:ascii="Arial" w:hAnsi="Arial" w:cs="Arial"/>
          <w:b/>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El Departamento tiene desde el 1 de noviembre de 1995 al Prestador Trash Busters para los servicios de</w:t>
      </w:r>
      <w:r>
        <w:rPr>
          <w:rFonts w:ascii="Arial" w:hAnsi="Arial" w:cs="Arial"/>
          <w:sz w:val="22"/>
          <w:szCs w:val="22"/>
          <w:lang w:val="es-ES_tradnl"/>
        </w:rPr>
        <w:t xml:space="preserve"> c</w:t>
      </w:r>
      <w:r w:rsidRPr="008328EE">
        <w:rPr>
          <w:rFonts w:ascii="Arial" w:hAnsi="Arial" w:cs="Arial"/>
          <w:sz w:val="22"/>
          <w:szCs w:val="22"/>
          <w:lang w:val="es-ES_tradnl"/>
        </w:rPr>
        <w:t>orte de césped y poda en árboles en</w:t>
      </w:r>
      <w:r>
        <w:rPr>
          <w:rFonts w:ascii="Arial" w:hAnsi="Arial" w:cs="Arial"/>
          <w:sz w:val="22"/>
          <w:szCs w:val="22"/>
          <w:lang w:val="es-ES_tradnl"/>
        </w:rPr>
        <w:t xml:space="preserve"> </w:t>
      </w:r>
      <w:r w:rsidRPr="008328EE">
        <w:rPr>
          <w:rFonts w:ascii="Arial" w:hAnsi="Arial" w:cs="Arial"/>
          <w:sz w:val="22"/>
          <w:szCs w:val="22"/>
          <w:lang w:val="es-ES_tradnl"/>
        </w:rPr>
        <w:t>vías y áreas públicas</w:t>
      </w:r>
      <w:r>
        <w:rPr>
          <w:rFonts w:ascii="Arial" w:hAnsi="Arial" w:cs="Arial"/>
          <w:sz w:val="22"/>
          <w:szCs w:val="22"/>
          <w:lang w:val="es-ES_tradnl"/>
        </w:rPr>
        <w:t>, r</w:t>
      </w:r>
      <w:r w:rsidRPr="008328EE">
        <w:rPr>
          <w:rFonts w:ascii="Arial" w:hAnsi="Arial" w:cs="Arial"/>
          <w:sz w:val="22"/>
          <w:szCs w:val="22"/>
          <w:lang w:val="es-ES_tradnl"/>
        </w:rPr>
        <w:t>ecolección y transporte de residuos</w:t>
      </w:r>
      <w:r>
        <w:rPr>
          <w:rFonts w:ascii="Arial" w:hAnsi="Arial" w:cs="Arial"/>
          <w:sz w:val="22"/>
          <w:szCs w:val="22"/>
          <w:lang w:val="es-ES_tradnl"/>
        </w:rPr>
        <w:t xml:space="preserve"> n</w:t>
      </w:r>
      <w:r w:rsidRPr="008328EE">
        <w:rPr>
          <w:rFonts w:ascii="Arial" w:hAnsi="Arial" w:cs="Arial"/>
          <w:sz w:val="22"/>
          <w:szCs w:val="22"/>
          <w:lang w:val="es-ES_tradnl"/>
        </w:rPr>
        <w:t>o aprovechables</w:t>
      </w:r>
      <w:r>
        <w:rPr>
          <w:rFonts w:ascii="Arial" w:hAnsi="Arial" w:cs="Arial"/>
          <w:sz w:val="22"/>
          <w:szCs w:val="22"/>
          <w:lang w:val="es-ES_tradnl"/>
        </w:rPr>
        <w:t>, b</w:t>
      </w:r>
      <w:r w:rsidRPr="008328EE">
        <w:rPr>
          <w:rFonts w:ascii="Arial" w:hAnsi="Arial" w:cs="Arial"/>
          <w:sz w:val="22"/>
          <w:szCs w:val="22"/>
          <w:lang w:val="es-ES_tradnl"/>
        </w:rPr>
        <w:t>arrido y limpieza de vías y áreas</w:t>
      </w:r>
      <w:r>
        <w:rPr>
          <w:rFonts w:ascii="Arial" w:hAnsi="Arial" w:cs="Arial"/>
          <w:sz w:val="22"/>
          <w:szCs w:val="22"/>
          <w:lang w:val="es-ES_tradnl"/>
        </w:rPr>
        <w:t xml:space="preserve"> </w:t>
      </w:r>
      <w:r w:rsidRPr="008328EE">
        <w:rPr>
          <w:rFonts w:ascii="Arial" w:hAnsi="Arial" w:cs="Arial"/>
          <w:sz w:val="22"/>
          <w:szCs w:val="22"/>
          <w:lang w:val="es-ES_tradnl"/>
        </w:rPr>
        <w:t>públicas</w:t>
      </w:r>
      <w:r>
        <w:rPr>
          <w:rFonts w:ascii="Arial" w:hAnsi="Arial" w:cs="Arial"/>
          <w:sz w:val="22"/>
          <w:szCs w:val="22"/>
          <w:lang w:val="es-ES_tradnl"/>
        </w:rPr>
        <w:t>, l</w:t>
      </w:r>
      <w:r w:rsidRPr="008328EE">
        <w:rPr>
          <w:rFonts w:ascii="Arial" w:hAnsi="Arial" w:cs="Arial"/>
          <w:sz w:val="22"/>
          <w:szCs w:val="22"/>
          <w:lang w:val="es-ES_tradnl"/>
        </w:rPr>
        <w:t>impieza de playas</w:t>
      </w:r>
      <w:r>
        <w:rPr>
          <w:rFonts w:ascii="Arial" w:hAnsi="Arial" w:cs="Arial"/>
          <w:sz w:val="22"/>
          <w:szCs w:val="22"/>
          <w:lang w:val="es-ES_tradnl"/>
        </w:rPr>
        <w:t xml:space="preserve"> y el l</w:t>
      </w:r>
      <w:r w:rsidRPr="008328EE">
        <w:rPr>
          <w:rFonts w:ascii="Arial" w:hAnsi="Arial" w:cs="Arial"/>
          <w:sz w:val="22"/>
          <w:szCs w:val="22"/>
          <w:lang w:val="es-ES_tradnl"/>
        </w:rPr>
        <w:t>avado de áreas públicas</w:t>
      </w:r>
      <w:r>
        <w:rPr>
          <w:rFonts w:ascii="Arial" w:hAnsi="Arial" w:cs="Arial"/>
          <w:sz w:val="22"/>
          <w:szCs w:val="22"/>
          <w:lang w:val="es-ES_tradnl"/>
        </w:rPr>
        <w:t xml:space="preserve">. </w:t>
      </w:r>
      <w:r w:rsidRPr="00DC371E">
        <w:rPr>
          <w:rFonts w:ascii="Arial" w:hAnsi="Arial" w:cs="Arial"/>
          <w:sz w:val="22"/>
          <w:szCs w:val="22"/>
          <w:lang w:val="es-ES_tradnl"/>
        </w:rPr>
        <w:t>La Empresa cuenta con ruta de residuos no aprovechables</w:t>
      </w:r>
      <w:r w:rsidRPr="00DC371E">
        <w:rPr>
          <w:rFonts w:ascii="Arial" w:hAnsi="Arial" w:cs="Arial"/>
          <w:b/>
          <w:sz w:val="22"/>
          <w:szCs w:val="22"/>
          <w:vertAlign w:val="superscript"/>
          <w:lang w:val="es-ES_tradnl"/>
        </w:rPr>
        <w:footnoteReference w:id="11"/>
      </w:r>
      <w:r w:rsidRPr="00DC371E">
        <w:rPr>
          <w:rFonts w:ascii="Arial" w:hAnsi="Arial" w:cs="Arial"/>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rPr>
      </w:pPr>
      <w:r w:rsidRPr="00DC371E">
        <w:rPr>
          <w:rFonts w:ascii="Arial" w:hAnsi="Arial" w:cs="Arial"/>
          <w:sz w:val="22"/>
        </w:rPr>
        <w:t>Para la disposición final existe el relleno sanitario Magic Garden, operado por Interaseo del Archipiélago S.A E.S.P</w:t>
      </w:r>
      <w:r w:rsidRPr="00DC371E">
        <w:rPr>
          <w:rFonts w:ascii="Arial" w:hAnsi="Arial" w:cs="Arial"/>
          <w:sz w:val="22"/>
          <w:szCs w:val="22"/>
        </w:rPr>
        <w:t>.</w:t>
      </w:r>
      <w:r w:rsidRPr="00DC371E">
        <w:rPr>
          <w:rFonts w:ascii="Arial" w:hAnsi="Arial" w:cs="Arial"/>
          <w:sz w:val="22"/>
        </w:rPr>
        <w:t xml:space="preserve"> y tiene un sitio de acopio de residuos especiales y voluminosos denominado Punto Verde, administrado por el Departamento.</w:t>
      </w:r>
    </w:p>
    <w:p w:rsidR="00D75790" w:rsidRDefault="00D75790" w:rsidP="00D75790">
      <w:pPr>
        <w:contextualSpacing/>
        <w:jc w:val="both"/>
        <w:rPr>
          <w:rFonts w:ascii="Arial" w:hAnsi="Arial" w:cs="Arial"/>
          <w:sz w:val="22"/>
        </w:rPr>
      </w:pPr>
    </w:p>
    <w:p w:rsidR="00D75790" w:rsidRDefault="00D75790" w:rsidP="00D75790">
      <w:pPr>
        <w:shd w:val="clear" w:color="auto" w:fill="FFFFFF"/>
        <w:spacing w:after="210"/>
        <w:contextualSpacing/>
        <w:jc w:val="both"/>
        <w:rPr>
          <w:rFonts w:ascii="Arial" w:hAnsi="Arial" w:cs="Arial"/>
          <w:sz w:val="22"/>
        </w:rPr>
      </w:pPr>
      <w:r w:rsidRPr="00051D52">
        <w:rPr>
          <w:rFonts w:ascii="Arial" w:hAnsi="Arial" w:cs="Arial"/>
          <w:sz w:val="22"/>
        </w:rPr>
        <w:t>A finales de 2017, el</w:t>
      </w:r>
      <w:r>
        <w:rPr>
          <w:rFonts w:ascii="Arial" w:hAnsi="Arial" w:cs="Arial"/>
          <w:sz w:val="22"/>
        </w:rPr>
        <w:t xml:space="preserve"> </w:t>
      </w:r>
      <w:r w:rsidRPr="00051D52">
        <w:rPr>
          <w:rFonts w:ascii="Arial" w:hAnsi="Arial" w:cs="Arial"/>
          <w:sz w:val="22"/>
        </w:rPr>
        <w:t>Consejo de Estado</w:t>
      </w:r>
      <w:r>
        <w:rPr>
          <w:rFonts w:ascii="Arial" w:hAnsi="Arial" w:cs="Arial"/>
          <w:sz w:val="22"/>
        </w:rPr>
        <w:t xml:space="preserve"> a través de la </w:t>
      </w:r>
      <w:r w:rsidRPr="00E505F1">
        <w:rPr>
          <w:rFonts w:ascii="Arial" w:hAnsi="Arial" w:cs="Arial"/>
          <w:sz w:val="22"/>
        </w:rPr>
        <w:t>Sentencia del 8 de junio de 2017 MP Roberto Augusto Serrato Exp</w:t>
      </w:r>
      <w:r>
        <w:rPr>
          <w:rFonts w:ascii="Arial" w:hAnsi="Arial" w:cs="Arial"/>
          <w:sz w:val="22"/>
        </w:rPr>
        <w:t>ediente</w:t>
      </w:r>
      <w:r w:rsidRPr="00E505F1">
        <w:rPr>
          <w:rFonts w:ascii="Arial" w:hAnsi="Arial" w:cs="Arial"/>
          <w:sz w:val="22"/>
        </w:rPr>
        <w:t xml:space="preserve"> 2014-00040, </w:t>
      </w:r>
      <w:r w:rsidRPr="00051D52">
        <w:rPr>
          <w:rFonts w:ascii="Arial" w:hAnsi="Arial" w:cs="Arial"/>
          <w:sz w:val="22"/>
        </w:rPr>
        <w:t>condenó al Departamento de San Andrés</w:t>
      </w:r>
      <w:r>
        <w:rPr>
          <w:rFonts w:ascii="Arial" w:hAnsi="Arial" w:cs="Arial"/>
          <w:sz w:val="22"/>
        </w:rPr>
        <w:t xml:space="preserve"> </w:t>
      </w:r>
      <w:r w:rsidRPr="00051D52">
        <w:rPr>
          <w:rFonts w:ascii="Arial" w:hAnsi="Arial" w:cs="Arial"/>
          <w:sz w:val="22"/>
        </w:rPr>
        <w:t xml:space="preserve">y </w:t>
      </w:r>
      <w:r w:rsidR="00B47B1D" w:rsidRPr="00051D52">
        <w:rPr>
          <w:rFonts w:ascii="Arial" w:hAnsi="Arial" w:cs="Arial"/>
          <w:sz w:val="22"/>
        </w:rPr>
        <w:t>les</w:t>
      </w:r>
      <w:r w:rsidRPr="00051D52">
        <w:rPr>
          <w:rFonts w:ascii="Arial" w:hAnsi="Arial" w:cs="Arial"/>
          <w:sz w:val="22"/>
        </w:rPr>
        <w:t xml:space="preserve"> ordenó a diversas autoridades locales que pusieran en marcha en seis meses </w:t>
      </w:r>
      <w:r w:rsidRPr="00051D52">
        <w:rPr>
          <w:rFonts w:ascii="Arial" w:hAnsi="Arial" w:cs="Arial"/>
          <w:sz w:val="22"/>
        </w:rPr>
        <w:lastRenderedPageBreak/>
        <w:t>una</w:t>
      </w:r>
      <w:r>
        <w:rPr>
          <w:rFonts w:ascii="Arial" w:hAnsi="Arial" w:cs="Arial"/>
          <w:sz w:val="22"/>
        </w:rPr>
        <w:t xml:space="preserve"> </w:t>
      </w:r>
      <w:r w:rsidRPr="00051D52">
        <w:rPr>
          <w:rFonts w:ascii="Arial" w:hAnsi="Arial" w:cs="Arial"/>
          <w:sz w:val="22"/>
        </w:rPr>
        <w:t>planta de tratamiento de basuras</w:t>
      </w:r>
      <w:r>
        <w:rPr>
          <w:rFonts w:ascii="Arial" w:hAnsi="Arial" w:cs="Arial"/>
          <w:sz w:val="22"/>
        </w:rPr>
        <w:t xml:space="preserve"> </w:t>
      </w:r>
      <w:r w:rsidRPr="00051D52">
        <w:rPr>
          <w:rFonts w:ascii="Arial" w:hAnsi="Arial" w:cs="Arial"/>
          <w:sz w:val="22"/>
        </w:rPr>
        <w:t>y la generadora de energía con desechos</w:t>
      </w:r>
      <w:r>
        <w:rPr>
          <w:rFonts w:ascii="Arial" w:hAnsi="Arial" w:cs="Arial"/>
          <w:sz w:val="22"/>
        </w:rPr>
        <w:t>,</w:t>
      </w:r>
      <w:r w:rsidRPr="00051D52">
        <w:rPr>
          <w:rFonts w:ascii="Arial" w:hAnsi="Arial" w:cs="Arial"/>
          <w:sz w:val="22"/>
        </w:rPr>
        <w:t xml:space="preserve"> para salvar</w:t>
      </w:r>
      <w:r>
        <w:rPr>
          <w:rFonts w:ascii="Arial" w:hAnsi="Arial" w:cs="Arial"/>
          <w:sz w:val="22"/>
        </w:rPr>
        <w:t xml:space="preserve"> </w:t>
      </w:r>
      <w:r w:rsidRPr="00051D52">
        <w:rPr>
          <w:rFonts w:ascii="Arial" w:hAnsi="Arial" w:cs="Arial"/>
          <w:sz w:val="22"/>
        </w:rPr>
        <w:t xml:space="preserve">a la </w:t>
      </w:r>
      <w:r>
        <w:rPr>
          <w:rFonts w:ascii="Arial" w:hAnsi="Arial" w:cs="Arial"/>
          <w:sz w:val="22"/>
        </w:rPr>
        <w:t>I</w:t>
      </w:r>
      <w:r w:rsidRPr="00051D52">
        <w:rPr>
          <w:rFonts w:ascii="Arial" w:hAnsi="Arial" w:cs="Arial"/>
          <w:sz w:val="22"/>
        </w:rPr>
        <w:t>sla de la grave problemática sanitaria por las 40 toneladas que produce diariamente.</w:t>
      </w:r>
      <w:r w:rsidRPr="00051D52">
        <w:rPr>
          <w:rFonts w:ascii="Arial" w:hAnsi="Arial" w:cs="Arial"/>
          <w:sz w:val="22"/>
          <w:vertAlign w:val="superscript"/>
        </w:rPr>
        <w:footnoteReference w:id="12"/>
      </w:r>
    </w:p>
    <w:p w:rsidR="00D75790" w:rsidRPr="00051D52" w:rsidRDefault="00D75790" w:rsidP="00D75790">
      <w:pPr>
        <w:shd w:val="clear" w:color="auto" w:fill="FFFFFF"/>
        <w:spacing w:after="210"/>
        <w:contextualSpacing/>
        <w:jc w:val="both"/>
        <w:rPr>
          <w:rFonts w:ascii="Arial" w:hAnsi="Arial" w:cs="Arial"/>
          <w:sz w:val="22"/>
        </w:rPr>
      </w:pPr>
    </w:p>
    <w:p w:rsidR="00D75790" w:rsidRPr="00DC371E" w:rsidRDefault="00D75790" w:rsidP="00D75790">
      <w:pPr>
        <w:contextualSpacing/>
        <w:jc w:val="both"/>
        <w:rPr>
          <w:rFonts w:ascii="Arial" w:hAnsi="Arial" w:cs="Arial"/>
          <w:sz w:val="22"/>
          <w:highlight w:val="yellow"/>
        </w:rPr>
      </w:pPr>
    </w:p>
    <w:p w:rsidR="00D75790" w:rsidRDefault="00D75790" w:rsidP="00D75790">
      <w:pPr>
        <w:pStyle w:val="NormalWeb"/>
        <w:shd w:val="clear" w:color="auto" w:fill="FFFFFF"/>
        <w:spacing w:before="0" w:beforeAutospacing="0"/>
        <w:contextualSpacing/>
        <w:jc w:val="both"/>
        <w:rPr>
          <w:rFonts w:ascii="Arial" w:eastAsia="MS Mincho" w:hAnsi="Arial" w:cs="Arial"/>
          <w:sz w:val="22"/>
        </w:rPr>
      </w:pPr>
      <w:r w:rsidRPr="00051D52">
        <w:rPr>
          <w:rFonts w:ascii="Arial" w:eastAsia="MS Mincho" w:hAnsi="Arial" w:cs="Arial"/>
          <w:sz w:val="22"/>
        </w:rPr>
        <w:t>Por otro lado, el 31 de marzo de 2019</w:t>
      </w:r>
      <w:r>
        <w:rPr>
          <w:rFonts w:ascii="Arial" w:eastAsia="MS Mincho" w:hAnsi="Arial" w:cs="Arial"/>
          <w:sz w:val="22"/>
        </w:rPr>
        <w:t xml:space="preserve"> el Ministerio de Vivienda, Ciudad y Territorio</w:t>
      </w:r>
      <w:r>
        <w:rPr>
          <w:rStyle w:val="Refdenotaalpie"/>
          <w:rFonts w:ascii="Arial" w:eastAsia="MS Mincho" w:hAnsi="Arial"/>
          <w:sz w:val="22"/>
        </w:rPr>
        <w:footnoteReference w:id="13"/>
      </w:r>
      <w:r w:rsidRPr="00051D52">
        <w:rPr>
          <w:rFonts w:ascii="Arial" w:eastAsia="MS Mincho" w:hAnsi="Arial" w:cs="Arial"/>
          <w:sz w:val="22"/>
        </w:rPr>
        <w:t xml:space="preserve"> señaló que</w:t>
      </w:r>
      <w:r>
        <w:rPr>
          <w:rFonts w:ascii="Arial" w:eastAsia="MS Mincho" w:hAnsi="Arial" w:cs="Arial"/>
          <w:sz w:val="22"/>
        </w:rPr>
        <w:t xml:space="preserve"> </w:t>
      </w:r>
      <w:r w:rsidRPr="00051D52">
        <w:rPr>
          <w:rFonts w:ascii="Arial" w:eastAsia="MS Mincho" w:hAnsi="Arial" w:cs="Arial"/>
          <w:sz w:val="22"/>
        </w:rPr>
        <w:t>San Andrés ser</w:t>
      </w:r>
      <w:r>
        <w:rPr>
          <w:rFonts w:ascii="Arial" w:eastAsia="MS Mincho" w:hAnsi="Arial" w:cs="Arial"/>
          <w:sz w:val="22"/>
        </w:rPr>
        <w:t>ía</w:t>
      </w:r>
      <w:r w:rsidRPr="00051D52">
        <w:rPr>
          <w:rFonts w:ascii="Arial" w:eastAsia="MS Mincho" w:hAnsi="Arial" w:cs="Arial"/>
          <w:sz w:val="22"/>
        </w:rPr>
        <w:t xml:space="preserve"> pionero en la preservación del medio ambiente, con la entrada en operación de la planta generadora de energía a partir de residuos sólidos, que también garantizar</w:t>
      </w:r>
      <w:r>
        <w:rPr>
          <w:rFonts w:ascii="Arial" w:eastAsia="MS Mincho" w:hAnsi="Arial" w:cs="Arial"/>
          <w:sz w:val="22"/>
        </w:rPr>
        <w:t>ía</w:t>
      </w:r>
      <w:r w:rsidRPr="00051D52">
        <w:rPr>
          <w:rFonts w:ascii="Arial" w:eastAsia="MS Mincho" w:hAnsi="Arial" w:cs="Arial"/>
          <w:sz w:val="22"/>
        </w:rPr>
        <w:t xml:space="preserve"> una solución para disponer los residuos de la </w:t>
      </w:r>
      <w:r>
        <w:rPr>
          <w:rFonts w:ascii="Arial" w:eastAsia="MS Mincho" w:hAnsi="Arial" w:cs="Arial"/>
          <w:sz w:val="22"/>
        </w:rPr>
        <w:t>I</w:t>
      </w:r>
      <w:r w:rsidRPr="00051D52">
        <w:rPr>
          <w:rFonts w:ascii="Arial" w:eastAsia="MS Mincho" w:hAnsi="Arial" w:cs="Arial"/>
          <w:sz w:val="22"/>
        </w:rPr>
        <w:t>sla durante los próximos 25 años en el relleno Magic Garden.</w:t>
      </w:r>
    </w:p>
    <w:p w:rsidR="00D75790" w:rsidRPr="00051D52" w:rsidRDefault="00D75790" w:rsidP="00D75790">
      <w:pPr>
        <w:pStyle w:val="NormalWeb"/>
        <w:shd w:val="clear" w:color="auto" w:fill="FFFFFF"/>
        <w:spacing w:before="0" w:beforeAutospacing="0"/>
        <w:contextualSpacing/>
        <w:jc w:val="both"/>
        <w:rPr>
          <w:rFonts w:ascii="Arial" w:eastAsia="MS Mincho" w:hAnsi="Arial" w:cs="Arial"/>
          <w:sz w:val="22"/>
        </w:rPr>
      </w:pP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rPr>
      </w:pPr>
      <w:r w:rsidRPr="00E46D41">
        <w:rPr>
          <w:rFonts w:ascii="Arial" w:eastAsia="MS Mincho" w:hAnsi="Arial" w:cs="Arial"/>
          <w:iCs/>
          <w:sz w:val="18"/>
        </w:rPr>
        <w:t>“</w:t>
      </w:r>
      <w:r w:rsidRPr="00E46D41">
        <w:rPr>
          <w:rFonts w:ascii="Arial" w:eastAsia="MS Mincho" w:hAnsi="Arial" w:cs="Arial"/>
          <w:i/>
          <w:iCs/>
          <w:sz w:val="18"/>
        </w:rPr>
        <w:t>El Gobierno Nacional cofinanciará con 4</w:t>
      </w:r>
      <w:r>
        <w:rPr>
          <w:rFonts w:ascii="Arial" w:eastAsia="MS Mincho" w:hAnsi="Arial" w:cs="Arial"/>
          <w:i/>
          <w:iCs/>
          <w:sz w:val="18"/>
        </w:rPr>
        <w:t>.</w:t>
      </w:r>
      <w:r w:rsidRPr="00E46D41">
        <w:rPr>
          <w:rFonts w:ascii="Arial" w:eastAsia="MS Mincho" w:hAnsi="Arial" w:cs="Arial"/>
          <w:i/>
          <w:iCs/>
          <w:sz w:val="18"/>
        </w:rPr>
        <w:t>000 millones de pesos la construcción de la Planta de Separación de Residuos Sólidos, que permitirá poner en funcionamiento la Planta Generadora de Energía.</w:t>
      </w: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rPr>
      </w:pP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rPr>
      </w:pPr>
      <w:r w:rsidRPr="00E46D41">
        <w:rPr>
          <w:rFonts w:ascii="Arial" w:eastAsia="MS Mincho" w:hAnsi="Arial" w:cs="Arial"/>
          <w:i/>
          <w:iCs/>
          <w:sz w:val="18"/>
        </w:rPr>
        <w:t>Este relleno tenía vida útil hasta diciembre de 2019, pero por instrucción del presidente Iván Duque estamos haciendo lo necesario para que no colapse”. La contrapartida para financiar este proyecto será de 11.600 millones de pesos aportados por las entidades locales.</w:t>
      </w: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rPr>
      </w:pP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rPr>
      </w:pPr>
      <w:r w:rsidRPr="00E46D41">
        <w:rPr>
          <w:rFonts w:ascii="Arial" w:eastAsia="MS Mincho" w:hAnsi="Arial" w:cs="Arial"/>
          <w:i/>
          <w:iCs/>
          <w:sz w:val="18"/>
        </w:rPr>
        <w:t>Este es el gran piloto para avanzar hacia una meta de aprovechamiento del 15% de los residuos de aquí al 2022.</w:t>
      </w: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rPr>
      </w:pPr>
    </w:p>
    <w:p w:rsidR="00D75790" w:rsidRPr="00E46D41" w:rsidRDefault="00D75790" w:rsidP="00D75790">
      <w:pPr>
        <w:pStyle w:val="NormalWeb"/>
        <w:shd w:val="clear" w:color="auto" w:fill="FFFFFF"/>
        <w:spacing w:before="0" w:beforeAutospacing="0"/>
        <w:ind w:left="1416"/>
        <w:contextualSpacing/>
        <w:jc w:val="both"/>
        <w:rPr>
          <w:rFonts w:ascii="Arial" w:eastAsia="MS Mincho" w:hAnsi="Arial" w:cs="Arial"/>
          <w:i/>
          <w:iCs/>
          <w:sz w:val="18"/>
          <w:szCs w:val="18"/>
        </w:rPr>
      </w:pPr>
      <w:r w:rsidRPr="00E46D41">
        <w:rPr>
          <w:rFonts w:ascii="Arial" w:eastAsia="MS Mincho" w:hAnsi="Arial" w:cs="Arial"/>
          <w:i/>
          <w:iCs/>
          <w:sz w:val="18"/>
        </w:rPr>
        <w:t xml:space="preserve">La puesta en marcha de la Planta Generadora de Energía, como solución para alargar la vida útil del relleno sanitario Magic Garden, beneficiará a más de 73.000 habitantes de la Isla, así como a los turistas nacionales y extranjeros que visitan este destino. Además, “se reducirán los costos de operación de la planta, ya que será autosuficiente en materia energética y podrá </w:t>
      </w:r>
      <w:r w:rsidRPr="00E46D41">
        <w:rPr>
          <w:rFonts w:ascii="Arial" w:eastAsia="MS Mincho" w:hAnsi="Arial" w:cs="Arial"/>
          <w:i/>
          <w:iCs/>
          <w:sz w:val="18"/>
          <w:szCs w:val="18"/>
        </w:rPr>
        <w:t>adicionar casi media mega al sistema</w:t>
      </w:r>
      <w:r w:rsidRPr="00E46D41">
        <w:rPr>
          <w:rFonts w:ascii="Arial" w:eastAsia="MS Mincho" w:hAnsi="Arial" w:cs="Arial"/>
          <w:iCs/>
          <w:sz w:val="18"/>
          <w:szCs w:val="18"/>
        </w:rPr>
        <w:t>”.</w:t>
      </w:r>
    </w:p>
    <w:p w:rsidR="00D75790" w:rsidRPr="00E46D41" w:rsidRDefault="00D75790" w:rsidP="00D75790">
      <w:pPr>
        <w:contextualSpacing/>
        <w:jc w:val="both"/>
        <w:rPr>
          <w:rFonts w:ascii="PTSerif-Regular" w:hAnsi="PTSerif-Regular"/>
          <w:sz w:val="27"/>
          <w:szCs w:val="27"/>
          <w:shd w:val="clear" w:color="auto" w:fill="FFFFFF"/>
        </w:rPr>
      </w:pPr>
    </w:p>
    <w:p w:rsidR="00D75790" w:rsidRDefault="00D75790" w:rsidP="00D75790">
      <w:pPr>
        <w:contextualSpacing/>
        <w:jc w:val="both"/>
        <w:rPr>
          <w:rFonts w:ascii="Arial" w:hAnsi="Arial" w:cs="Arial"/>
          <w:sz w:val="22"/>
        </w:rPr>
      </w:pPr>
      <w:r w:rsidRPr="00051D52">
        <w:rPr>
          <w:rFonts w:ascii="Arial" w:hAnsi="Arial" w:cs="Arial"/>
          <w:sz w:val="22"/>
        </w:rPr>
        <w:t>En el informe de Monitoreo vigencia 2021 elaborado por el MVCT, el indicador de disposición final de residuos sólidos en zona urbana, el relleno sanitario de Magic Garden cumple, con una disposición final diaria de 72 Ton/día. Este indicador evalúa como una inadecuada disposición final de residuos, aquella que se hace a través de botaderos a cielo abierto o en celdas transitorias.</w:t>
      </w:r>
    </w:p>
    <w:p w:rsidR="00D75790" w:rsidRDefault="00D75790" w:rsidP="00D75790">
      <w:pPr>
        <w:contextualSpacing/>
        <w:jc w:val="both"/>
        <w:rPr>
          <w:rFonts w:ascii="Arial" w:hAnsi="Arial" w:cs="Arial"/>
          <w:sz w:val="22"/>
        </w:rPr>
      </w:pPr>
    </w:p>
    <w:p w:rsidR="00D75790" w:rsidRDefault="00D75790" w:rsidP="00D75790">
      <w:pPr>
        <w:contextualSpacing/>
        <w:jc w:val="both"/>
        <w:rPr>
          <w:rFonts w:ascii="Arial" w:hAnsi="Arial" w:cs="Arial"/>
          <w:sz w:val="22"/>
        </w:rPr>
      </w:pPr>
      <w:r>
        <w:rPr>
          <w:rFonts w:ascii="Arial" w:hAnsi="Arial" w:cs="Arial"/>
          <w:sz w:val="22"/>
        </w:rPr>
        <w:t xml:space="preserve">Los recursos del SGP APSB en el Servicio de Aseo, son aquellos que financian los subsidios en la prestación. De acuerdo con </w:t>
      </w:r>
      <w:r w:rsidRPr="00DC371E">
        <w:rPr>
          <w:rFonts w:ascii="Arial" w:hAnsi="Arial" w:cs="Arial"/>
          <w:sz w:val="22"/>
          <w:szCs w:val="22"/>
          <w:lang w:val="es-ES_tradnl"/>
        </w:rPr>
        <w:t xml:space="preserve">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lang w:val="es-ES_tradnl"/>
        </w:rPr>
        <w:t xml:space="preserve">elaborado por el MVCT, radicado en </w:t>
      </w:r>
      <w:r>
        <w:rPr>
          <w:rFonts w:ascii="Arial" w:hAnsi="Arial" w:cs="Arial"/>
          <w:sz w:val="22"/>
          <w:szCs w:val="22"/>
          <w:lang w:val="es-ES_tradnl"/>
        </w:rPr>
        <w:t>esta Dirección</w:t>
      </w:r>
      <w:r w:rsidRPr="00DC371E">
        <w:rPr>
          <w:rFonts w:ascii="Arial" w:hAnsi="Arial" w:cs="Arial"/>
          <w:sz w:val="22"/>
          <w:szCs w:val="22"/>
          <w:lang w:val="es-ES_tradnl"/>
        </w:rPr>
        <w:t xml:space="preserve"> el día 28 de mayo bajo el </w:t>
      </w:r>
      <w:r>
        <w:rPr>
          <w:rFonts w:ascii="Arial" w:hAnsi="Arial" w:cs="Arial"/>
          <w:sz w:val="22"/>
          <w:szCs w:val="22"/>
          <w:lang w:val="es-ES_tradnl"/>
        </w:rPr>
        <w:t>número</w:t>
      </w:r>
      <w:r w:rsidRPr="00DC371E">
        <w:rPr>
          <w:rFonts w:ascii="Arial" w:hAnsi="Arial" w:cs="Arial"/>
          <w:sz w:val="22"/>
          <w:szCs w:val="22"/>
        </w:rPr>
        <w:t xml:space="preserve"> 1-2021-046779,</w:t>
      </w:r>
      <w:r>
        <w:rPr>
          <w:rFonts w:ascii="Arial" w:hAnsi="Arial" w:cs="Arial"/>
          <w:sz w:val="22"/>
          <w:szCs w:val="22"/>
        </w:rPr>
        <w:t xml:space="preserve"> </w:t>
      </w:r>
      <w:r>
        <w:rPr>
          <w:rFonts w:ascii="Arial" w:hAnsi="Arial" w:cs="Arial"/>
          <w:sz w:val="22"/>
        </w:rPr>
        <w:t>e</w:t>
      </w:r>
      <w:r w:rsidRPr="00E25FAB">
        <w:rPr>
          <w:rFonts w:ascii="Arial" w:hAnsi="Arial" w:cs="Arial"/>
          <w:sz w:val="22"/>
        </w:rPr>
        <w:t xml:space="preserve">l </w:t>
      </w:r>
      <w:r>
        <w:rPr>
          <w:rFonts w:ascii="Arial" w:hAnsi="Arial" w:cs="Arial"/>
          <w:sz w:val="22"/>
        </w:rPr>
        <w:t>P</w:t>
      </w:r>
      <w:r w:rsidRPr="00E25FAB">
        <w:rPr>
          <w:rFonts w:ascii="Arial" w:hAnsi="Arial" w:cs="Arial"/>
          <w:sz w:val="22"/>
        </w:rPr>
        <w:t>restador Trash Busters S.A. E.S.P. informó, sobre la demanda en contra del</w:t>
      </w:r>
      <w:r>
        <w:rPr>
          <w:rFonts w:ascii="Arial" w:hAnsi="Arial" w:cs="Arial"/>
          <w:sz w:val="22"/>
        </w:rPr>
        <w:t xml:space="preserve"> D</w:t>
      </w:r>
      <w:r w:rsidRPr="00E25FAB">
        <w:rPr>
          <w:rFonts w:ascii="Arial" w:hAnsi="Arial" w:cs="Arial"/>
          <w:sz w:val="22"/>
        </w:rPr>
        <w:t>epartamento por el no pago de subsidios de las vigencias 2014 a 2018, que mediante</w:t>
      </w:r>
      <w:r>
        <w:rPr>
          <w:rFonts w:ascii="Arial" w:hAnsi="Arial" w:cs="Arial"/>
          <w:sz w:val="22"/>
        </w:rPr>
        <w:t xml:space="preserve"> </w:t>
      </w:r>
      <w:r w:rsidRPr="00E25FAB">
        <w:rPr>
          <w:rFonts w:ascii="Arial" w:hAnsi="Arial" w:cs="Arial"/>
          <w:sz w:val="22"/>
        </w:rPr>
        <w:t>Auto No. 026 del 26 de febrero de 2021 el Juez Primero Civil del Circuito de San Andrés</w:t>
      </w:r>
      <w:r>
        <w:rPr>
          <w:rFonts w:ascii="Arial" w:hAnsi="Arial" w:cs="Arial"/>
          <w:sz w:val="22"/>
        </w:rPr>
        <w:t xml:space="preserve"> </w:t>
      </w:r>
      <w:r w:rsidRPr="00E25FAB">
        <w:rPr>
          <w:rFonts w:ascii="Arial" w:hAnsi="Arial" w:cs="Arial"/>
          <w:sz w:val="22"/>
        </w:rPr>
        <w:t>ordenó subsanar la demanda, lo cual fue realizado y presentado el 1 de marzo al juzgado.</w:t>
      </w:r>
      <w:r>
        <w:rPr>
          <w:rFonts w:ascii="Arial" w:hAnsi="Arial" w:cs="Arial"/>
          <w:sz w:val="22"/>
        </w:rPr>
        <w:t xml:space="preserve"> Esta situación es desarrollada en el presente informe en el acápite relacionado con los subsidios.</w:t>
      </w:r>
    </w:p>
    <w:p w:rsidR="00D75790" w:rsidRDefault="00D75790" w:rsidP="00D75790">
      <w:pPr>
        <w:contextualSpacing/>
        <w:jc w:val="both"/>
        <w:rPr>
          <w:rFonts w:ascii="Arial" w:hAnsi="Arial" w:cs="Arial"/>
          <w:sz w:val="22"/>
        </w:rPr>
      </w:pPr>
    </w:p>
    <w:p w:rsidR="00D75790" w:rsidRPr="00674627" w:rsidRDefault="00D75790" w:rsidP="00D75790">
      <w:pPr>
        <w:contextualSpacing/>
        <w:jc w:val="both"/>
        <w:rPr>
          <w:rFonts w:ascii="Arial" w:hAnsi="Arial" w:cs="Arial"/>
          <w:b/>
          <w:bCs/>
          <w:sz w:val="22"/>
        </w:rPr>
      </w:pPr>
      <w:r w:rsidRPr="00674627">
        <w:rPr>
          <w:rFonts w:ascii="Arial" w:hAnsi="Arial" w:cs="Arial"/>
          <w:b/>
          <w:bCs/>
          <w:sz w:val="22"/>
        </w:rPr>
        <w:t xml:space="preserve">Disposición Final y suscripción </w:t>
      </w:r>
      <w:r>
        <w:rPr>
          <w:rFonts w:ascii="Arial" w:hAnsi="Arial" w:cs="Arial"/>
          <w:b/>
          <w:bCs/>
          <w:sz w:val="22"/>
        </w:rPr>
        <w:t>del C</w:t>
      </w:r>
      <w:r w:rsidRPr="00674627">
        <w:rPr>
          <w:rFonts w:ascii="Arial" w:hAnsi="Arial" w:cs="Arial"/>
          <w:b/>
          <w:bCs/>
          <w:sz w:val="22"/>
        </w:rPr>
        <w:t>ontrato 1016 de 2017.</w:t>
      </w:r>
    </w:p>
    <w:p w:rsidR="00D75790" w:rsidRDefault="00D75790" w:rsidP="00D75790">
      <w:pPr>
        <w:contextualSpacing/>
        <w:jc w:val="both"/>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La Entidad Territorial aportó el Contrato No. 1016 de 2017, cuyo objeto es el siguiente: “</w:t>
      </w:r>
      <w:r w:rsidRPr="00DC371E">
        <w:rPr>
          <w:rFonts w:ascii="Arial" w:hAnsi="Arial" w:cs="Arial"/>
          <w:i/>
          <w:sz w:val="22"/>
        </w:rPr>
        <w:t xml:space="preserve">Ejecutar las actividades relacionadas con la prestación del servicio de aseo en el componente de disposición final </w:t>
      </w:r>
      <w:r w:rsidRPr="00674627">
        <w:rPr>
          <w:rFonts w:ascii="Arial" w:hAnsi="Arial" w:cs="Arial"/>
          <w:bCs/>
          <w:i/>
          <w:sz w:val="22"/>
          <w:u w:val="single"/>
        </w:rPr>
        <w:t>(administración, operación y mantenimiento del relleno sanitario MAGIC GARDEN</w:t>
      </w:r>
      <w:r w:rsidRPr="00DC371E">
        <w:rPr>
          <w:rFonts w:ascii="Arial" w:hAnsi="Arial" w:cs="Arial"/>
          <w:i/>
          <w:sz w:val="22"/>
        </w:rPr>
        <w:t>), así como los estudios y diseños para definir el modelo financiero, las inversiones y la ejecución de las obras necesarias para la preparación de los residuos procedentes de las rutas de selección y recolección selectiva y los depositados en el relleno sanitario 'MAGIC GARDEN” para que sean entregados a la planta de aprovechamiento — R</w:t>
      </w:r>
      <w:r>
        <w:rPr>
          <w:rFonts w:ascii="Arial" w:hAnsi="Arial" w:cs="Arial"/>
          <w:i/>
          <w:sz w:val="22"/>
        </w:rPr>
        <w:t>esiduos Sólidos Urbanos R</w:t>
      </w:r>
      <w:r w:rsidRPr="00DC371E">
        <w:rPr>
          <w:rFonts w:ascii="Arial" w:hAnsi="Arial" w:cs="Arial"/>
          <w:i/>
          <w:sz w:val="22"/>
        </w:rPr>
        <w:t>SU en la isla de san Andrés. Así mismo, el contratista operará la planta seleccionadora de residuos</w:t>
      </w:r>
      <w:r w:rsidRPr="00DC371E">
        <w:rPr>
          <w:rFonts w:ascii="Arial" w:hAnsi="Arial" w:cs="Arial"/>
          <w:sz w:val="22"/>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b/>
          <w:sz w:val="22"/>
          <w:szCs w:val="22"/>
          <w:lang w:val="es-ES_tradnl"/>
        </w:rPr>
        <w:t>Valor: $</w:t>
      </w:r>
      <w:r w:rsidRPr="00DC371E">
        <w:rPr>
          <w:rFonts w:ascii="Arial" w:hAnsi="Arial" w:cs="Arial"/>
          <w:sz w:val="22"/>
          <w:szCs w:val="22"/>
          <w:lang w:val="es-ES_tradnl"/>
        </w:rPr>
        <w:t>30.000.000.000</w:t>
      </w: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b/>
          <w:sz w:val="22"/>
          <w:szCs w:val="22"/>
          <w:lang w:val="es-ES_tradnl"/>
        </w:rPr>
        <w:t>Contratista:</w:t>
      </w:r>
      <w:r w:rsidRPr="00DC371E">
        <w:rPr>
          <w:rFonts w:ascii="Arial" w:hAnsi="Arial" w:cs="Arial"/>
          <w:sz w:val="22"/>
          <w:szCs w:val="22"/>
          <w:lang w:val="es-ES_tradnl"/>
        </w:rPr>
        <w:t xml:space="preserve"> Interaseo del Archipiélago S.A.S.E.S.P.</w:t>
      </w: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b/>
          <w:bCs/>
          <w:sz w:val="22"/>
          <w:szCs w:val="22"/>
          <w:lang w:val="es-ES_tradnl"/>
        </w:rPr>
        <w:t>Contratante:</w:t>
      </w:r>
      <w:r w:rsidRPr="00DC371E">
        <w:rPr>
          <w:rFonts w:ascii="Arial" w:hAnsi="Arial" w:cs="Arial"/>
          <w:sz w:val="22"/>
          <w:szCs w:val="22"/>
          <w:lang w:val="es-ES_tradnl"/>
        </w:rPr>
        <w:t xml:space="preserve"> Departamento Archipiélago de San Andrés, Providencia y Santa Catalina</w:t>
      </w:r>
      <w:r>
        <w:rPr>
          <w:rFonts w:ascii="Arial" w:hAnsi="Arial" w:cs="Arial"/>
          <w:sz w:val="22"/>
          <w:szCs w:val="22"/>
          <w:lang w:val="es-ES_tradnl"/>
        </w:rPr>
        <w:t>.</w:t>
      </w:r>
    </w:p>
    <w:p w:rsidR="00D75790" w:rsidRPr="00DC371E"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 xml:space="preserve">Fecha de inicio: </w:t>
      </w:r>
      <w:r w:rsidRPr="00DC371E">
        <w:rPr>
          <w:rFonts w:ascii="Arial" w:hAnsi="Arial" w:cs="Arial"/>
          <w:sz w:val="22"/>
          <w:szCs w:val="22"/>
          <w:lang w:val="es-ES_tradnl"/>
        </w:rPr>
        <w:t>28 de junio de 2017</w:t>
      </w:r>
    </w:p>
    <w:p w:rsidR="00D75790" w:rsidRPr="00DC371E"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 xml:space="preserve">Fecha de Terminación: </w:t>
      </w:r>
      <w:r w:rsidRPr="00DC371E">
        <w:rPr>
          <w:rFonts w:ascii="Arial" w:hAnsi="Arial" w:cs="Arial"/>
          <w:sz w:val="22"/>
          <w:szCs w:val="22"/>
          <w:lang w:val="es-ES_tradnl"/>
        </w:rPr>
        <w:t>28 de junio de 2037</w:t>
      </w:r>
    </w:p>
    <w:p w:rsidR="00D75790" w:rsidRPr="00DC371E"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 xml:space="preserve">Supervisión: </w:t>
      </w:r>
      <w:r w:rsidRPr="00DC371E">
        <w:rPr>
          <w:rFonts w:ascii="Arial" w:hAnsi="Arial" w:cs="Arial"/>
          <w:bCs/>
          <w:sz w:val="22"/>
          <w:szCs w:val="22"/>
          <w:lang w:val="es-ES_tradnl"/>
        </w:rPr>
        <w:t>Departamento</w:t>
      </w: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b/>
          <w:sz w:val="22"/>
          <w:szCs w:val="22"/>
          <w:lang w:val="es-ES_tradnl"/>
        </w:rPr>
        <w:t xml:space="preserve">Interventoría: </w:t>
      </w:r>
      <w:r w:rsidRPr="00DC371E">
        <w:rPr>
          <w:rFonts w:ascii="Arial" w:hAnsi="Arial" w:cs="Arial"/>
          <w:sz w:val="22"/>
          <w:szCs w:val="22"/>
          <w:lang w:val="es-ES_tradnl"/>
        </w:rPr>
        <w:t>Empresa de Energía del Archipiélago de San Andrés, Providencia y Santa Catalina.</w:t>
      </w:r>
    </w:p>
    <w:p w:rsidR="00D75790" w:rsidRPr="00DC371E"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 xml:space="preserve">Estado Actual: </w:t>
      </w:r>
      <w:r w:rsidRPr="00DC371E">
        <w:rPr>
          <w:rFonts w:ascii="Arial" w:hAnsi="Arial" w:cs="Arial"/>
          <w:sz w:val="22"/>
          <w:szCs w:val="22"/>
          <w:lang w:val="es-ES_tradnl"/>
        </w:rPr>
        <w:t>En ejecución</w:t>
      </w:r>
      <w:r>
        <w:rPr>
          <w:rFonts w:ascii="Arial" w:hAnsi="Arial" w:cs="Arial"/>
          <w:sz w:val="22"/>
          <w:szCs w:val="22"/>
          <w:lang w:val="es-ES_tradnl"/>
        </w:rPr>
        <w:t>.</w:t>
      </w:r>
    </w:p>
    <w:p w:rsidR="00D75790" w:rsidRPr="00DC371E" w:rsidRDefault="00D75790" w:rsidP="00D75790">
      <w:pPr>
        <w:contextualSpacing/>
        <w:jc w:val="both"/>
        <w:rPr>
          <w:rFonts w:ascii="Arial" w:hAnsi="Arial" w:cs="Arial"/>
          <w:b/>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En la cláusula tercera del </w:t>
      </w:r>
      <w:r>
        <w:rPr>
          <w:rFonts w:ascii="Arial" w:hAnsi="Arial" w:cs="Arial"/>
          <w:sz w:val="22"/>
          <w:szCs w:val="22"/>
          <w:lang w:val="es-ES_tradnl"/>
        </w:rPr>
        <w:t>C</w:t>
      </w:r>
      <w:r w:rsidRPr="00DC371E">
        <w:rPr>
          <w:rFonts w:ascii="Arial" w:hAnsi="Arial" w:cs="Arial"/>
          <w:sz w:val="22"/>
          <w:szCs w:val="22"/>
          <w:lang w:val="es-ES_tradnl"/>
        </w:rPr>
        <w:t>ontrato 1016 de 2017, se encuentra su forma de financiación y el uso de los recursos del SGP APSB a través del PDA. Con base en la información aportada por la Entidad Territorial, dentro del “</w:t>
      </w:r>
      <w:r w:rsidRPr="00E46D41">
        <w:rPr>
          <w:rFonts w:ascii="Arial" w:hAnsi="Arial" w:cs="Arial"/>
          <w:i/>
          <w:sz w:val="22"/>
          <w:lang w:val="es-ES_tradnl"/>
        </w:rPr>
        <w:t>Informe ejecución plan departamental de agua con corte a junio del 2019</w:t>
      </w:r>
      <w:r w:rsidRPr="00DC371E">
        <w:rPr>
          <w:rFonts w:ascii="Arial" w:hAnsi="Arial" w:cs="Arial"/>
          <w:sz w:val="22"/>
          <w:szCs w:val="22"/>
          <w:lang w:val="es-ES_tradnl"/>
        </w:rPr>
        <w:t>” y el resumen de inversiones por componente y fuentes - PAEI 2019 (Anexo Carpeta PDA) se han desembolsado para la vigencia 2019 a través de los CDR 7258 $2</w:t>
      </w:r>
      <w:r>
        <w:rPr>
          <w:rFonts w:ascii="Arial" w:hAnsi="Arial" w:cs="Arial"/>
          <w:sz w:val="22"/>
          <w:szCs w:val="22"/>
          <w:lang w:val="es-ES_tradnl"/>
        </w:rPr>
        <w:t>.</w:t>
      </w:r>
      <w:r w:rsidRPr="00DC371E">
        <w:rPr>
          <w:rFonts w:ascii="Arial" w:hAnsi="Arial" w:cs="Arial"/>
          <w:sz w:val="22"/>
          <w:szCs w:val="22"/>
          <w:lang w:val="es-ES_tradnl"/>
        </w:rPr>
        <w:t xml:space="preserve">312.101.222 (SGP </w:t>
      </w:r>
      <w:r w:rsidR="00F42CB1" w:rsidRPr="00DC371E">
        <w:rPr>
          <w:rFonts w:ascii="Arial" w:hAnsi="Arial" w:cs="Arial"/>
          <w:sz w:val="22"/>
          <w:szCs w:val="22"/>
          <w:lang w:val="es-ES_tradnl"/>
        </w:rPr>
        <w:t>Depto.</w:t>
      </w:r>
      <w:r w:rsidRPr="00DC371E">
        <w:rPr>
          <w:rFonts w:ascii="Arial" w:hAnsi="Arial" w:cs="Arial"/>
          <w:sz w:val="22"/>
          <w:szCs w:val="22"/>
          <w:lang w:val="es-ES_tradnl"/>
        </w:rPr>
        <w:t>) y CDR 7259: $5.263.011.265 (SGP Municipio).</w:t>
      </w:r>
    </w:p>
    <w:p w:rsidR="00D75790" w:rsidRPr="00DC371E" w:rsidRDefault="00D75790" w:rsidP="00D75790">
      <w:pPr>
        <w:autoSpaceDE w:val="0"/>
        <w:autoSpaceDN w:val="0"/>
        <w:adjustRightInd w:val="0"/>
        <w:contextualSpacing/>
        <w:jc w:val="both"/>
        <w:rPr>
          <w:rFonts w:ascii="Arial" w:hAnsi="Arial" w:cs="Arial"/>
          <w:sz w:val="22"/>
          <w:szCs w:val="22"/>
          <w:lang w:val="es-ES_tradnl"/>
        </w:rPr>
      </w:pPr>
    </w:p>
    <w:p w:rsidR="00D75790" w:rsidRPr="00721E0E" w:rsidRDefault="00D75790" w:rsidP="00D75790">
      <w:pPr>
        <w:contextualSpacing/>
        <w:jc w:val="both"/>
        <w:rPr>
          <w:rFonts w:ascii="Arial" w:hAnsi="Arial" w:cs="Arial"/>
          <w:sz w:val="22"/>
          <w:szCs w:val="22"/>
          <w:lang w:val="es-ES_tradnl"/>
        </w:rPr>
      </w:pPr>
      <w:r w:rsidRPr="00721E0E">
        <w:rPr>
          <w:rFonts w:ascii="Arial" w:hAnsi="Arial" w:cs="Arial"/>
          <w:sz w:val="22"/>
          <w:szCs w:val="22"/>
          <w:lang w:val="es-ES_tradnl"/>
        </w:rPr>
        <w:t xml:space="preserve">Vale la pena resaltar lo contenido en el </w:t>
      </w:r>
      <w:r>
        <w:rPr>
          <w:rFonts w:ascii="Arial" w:hAnsi="Arial" w:cs="Arial"/>
          <w:sz w:val="22"/>
          <w:szCs w:val="22"/>
          <w:lang w:val="es-ES_tradnl"/>
        </w:rPr>
        <w:t>C</w:t>
      </w:r>
      <w:r w:rsidRPr="00721E0E">
        <w:rPr>
          <w:rFonts w:ascii="Arial" w:hAnsi="Arial" w:cs="Arial"/>
          <w:sz w:val="22"/>
          <w:szCs w:val="22"/>
          <w:lang w:val="es-ES_tradnl"/>
        </w:rPr>
        <w:t>ontrato, relacionado con las líneas de trabajo y su financiación:</w:t>
      </w:r>
    </w:p>
    <w:p w:rsidR="00D75790" w:rsidRPr="00721E0E" w:rsidRDefault="00D75790" w:rsidP="00D75790">
      <w:pPr>
        <w:contextualSpacing/>
        <w:jc w:val="both"/>
        <w:rPr>
          <w:rFonts w:ascii="Arial" w:hAnsi="Arial" w:cs="Arial"/>
          <w:sz w:val="22"/>
          <w:szCs w:val="22"/>
          <w:lang w:val="es-ES_tradnl"/>
        </w:rPr>
      </w:pPr>
    </w:p>
    <w:p w:rsidR="00D75790" w:rsidRDefault="00D75790" w:rsidP="00D75790">
      <w:pPr>
        <w:pStyle w:val="Prrafodelista"/>
        <w:numPr>
          <w:ilvl w:val="0"/>
          <w:numId w:val="24"/>
        </w:numPr>
        <w:jc w:val="both"/>
        <w:rPr>
          <w:rFonts w:ascii="Arial" w:hAnsi="Arial" w:cs="Arial"/>
          <w:sz w:val="22"/>
          <w:szCs w:val="22"/>
          <w:lang w:val="es-ES_tradnl"/>
        </w:rPr>
      </w:pPr>
      <w:r w:rsidRPr="00721E0E">
        <w:rPr>
          <w:rFonts w:ascii="Arial" w:hAnsi="Arial" w:cs="Arial"/>
          <w:sz w:val="22"/>
          <w:szCs w:val="22"/>
          <w:lang w:val="es-ES_tradnl"/>
        </w:rPr>
        <w:t xml:space="preserve">La financiación de los costos de operación del relleno se realizará vía tarifa correspondiente al componente de disposición final (CDF) del </w:t>
      </w:r>
      <w:r>
        <w:rPr>
          <w:rFonts w:ascii="Arial" w:hAnsi="Arial" w:cs="Arial"/>
          <w:sz w:val="22"/>
          <w:szCs w:val="22"/>
          <w:lang w:val="es-ES_tradnl"/>
        </w:rPr>
        <w:t>S</w:t>
      </w:r>
      <w:r w:rsidRPr="00721E0E">
        <w:rPr>
          <w:rFonts w:ascii="Arial" w:hAnsi="Arial" w:cs="Arial"/>
          <w:sz w:val="22"/>
          <w:szCs w:val="22"/>
          <w:lang w:val="es-ES_tradnl"/>
        </w:rPr>
        <w:t xml:space="preserve">ervicio </w:t>
      </w:r>
      <w:r>
        <w:rPr>
          <w:rFonts w:ascii="Arial" w:hAnsi="Arial" w:cs="Arial"/>
          <w:sz w:val="22"/>
          <w:szCs w:val="22"/>
          <w:lang w:val="es-ES_tradnl"/>
        </w:rPr>
        <w:t>P</w:t>
      </w:r>
      <w:r w:rsidRPr="00721E0E">
        <w:rPr>
          <w:rFonts w:ascii="Arial" w:hAnsi="Arial" w:cs="Arial"/>
          <w:sz w:val="22"/>
          <w:szCs w:val="22"/>
          <w:lang w:val="es-ES_tradnl"/>
        </w:rPr>
        <w:t xml:space="preserve">úblico de </w:t>
      </w:r>
      <w:r>
        <w:rPr>
          <w:rFonts w:ascii="Arial" w:hAnsi="Arial" w:cs="Arial"/>
          <w:sz w:val="22"/>
          <w:szCs w:val="22"/>
          <w:lang w:val="es-ES_tradnl"/>
        </w:rPr>
        <w:t>A</w:t>
      </w:r>
      <w:r w:rsidRPr="00721E0E">
        <w:rPr>
          <w:rFonts w:ascii="Arial" w:hAnsi="Arial" w:cs="Arial"/>
          <w:sz w:val="22"/>
          <w:szCs w:val="22"/>
          <w:lang w:val="es-ES_tradnl"/>
        </w:rPr>
        <w:t xml:space="preserve">seo domiciliario definido en la metodología tarifaria aplicable, expedida por la </w:t>
      </w:r>
      <w:r>
        <w:rPr>
          <w:rFonts w:ascii="Arial" w:hAnsi="Arial" w:cs="Arial"/>
          <w:sz w:val="22"/>
          <w:szCs w:val="22"/>
          <w:lang w:val="es-ES_tradnl"/>
        </w:rPr>
        <w:t>R</w:t>
      </w:r>
      <w:r w:rsidRPr="00721E0E">
        <w:rPr>
          <w:rFonts w:ascii="Arial" w:hAnsi="Arial" w:cs="Arial"/>
          <w:sz w:val="22"/>
          <w:szCs w:val="22"/>
          <w:lang w:val="es-ES_tradnl"/>
        </w:rPr>
        <w:t>esolución CRA 720 de 2015.</w:t>
      </w:r>
    </w:p>
    <w:p w:rsidR="00D75790" w:rsidRPr="00721E0E" w:rsidRDefault="00D75790" w:rsidP="00D75790">
      <w:pPr>
        <w:pStyle w:val="Prrafodelista"/>
        <w:ind w:left="780"/>
        <w:jc w:val="both"/>
        <w:rPr>
          <w:rFonts w:ascii="Arial" w:hAnsi="Arial" w:cs="Arial"/>
          <w:sz w:val="22"/>
          <w:szCs w:val="22"/>
          <w:lang w:val="es-ES_tradnl"/>
        </w:rPr>
      </w:pPr>
    </w:p>
    <w:p w:rsidR="00D75790" w:rsidRDefault="00D75790" w:rsidP="00D75790">
      <w:pPr>
        <w:pStyle w:val="Prrafodelista"/>
        <w:numPr>
          <w:ilvl w:val="0"/>
          <w:numId w:val="24"/>
        </w:numPr>
        <w:jc w:val="both"/>
        <w:rPr>
          <w:rFonts w:ascii="Arial" w:hAnsi="Arial" w:cs="Arial"/>
          <w:sz w:val="22"/>
          <w:szCs w:val="22"/>
          <w:lang w:val="es-ES_tradnl"/>
        </w:rPr>
      </w:pPr>
      <w:r w:rsidRPr="00721E0E">
        <w:rPr>
          <w:rFonts w:ascii="Arial" w:hAnsi="Arial" w:cs="Arial"/>
          <w:sz w:val="22"/>
          <w:szCs w:val="22"/>
          <w:lang w:val="es-ES_tradnl"/>
        </w:rPr>
        <w:t xml:space="preserve">La financiación de la actividad de desenterrar residuos y entregarlos para el aprovechamiento energético será cancelado de acuerdo con lo establecido en el Anexo P3 pública 001 del 2009 del Ministerio de Minas y Energía, Prestación por concesión de las actividades de generación, distribución y comercialización del servicio público domiciliario de energía eléctrica en el área de </w:t>
      </w:r>
      <w:r>
        <w:rPr>
          <w:rFonts w:ascii="Arial" w:hAnsi="Arial" w:cs="Arial"/>
          <w:sz w:val="22"/>
          <w:szCs w:val="22"/>
          <w:lang w:val="es-ES_tradnl"/>
        </w:rPr>
        <w:t>s</w:t>
      </w:r>
      <w:r w:rsidRPr="00721E0E">
        <w:rPr>
          <w:rFonts w:ascii="Arial" w:hAnsi="Arial" w:cs="Arial"/>
          <w:sz w:val="22"/>
          <w:szCs w:val="22"/>
          <w:lang w:val="es-ES_tradnl"/>
        </w:rPr>
        <w:t xml:space="preserve">ervicio </w:t>
      </w:r>
      <w:r>
        <w:rPr>
          <w:rFonts w:ascii="Arial" w:hAnsi="Arial" w:cs="Arial"/>
          <w:sz w:val="22"/>
          <w:szCs w:val="22"/>
          <w:lang w:val="es-ES_tradnl"/>
        </w:rPr>
        <w:t>e</w:t>
      </w:r>
      <w:r w:rsidRPr="00721E0E">
        <w:rPr>
          <w:rFonts w:ascii="Arial" w:hAnsi="Arial" w:cs="Arial"/>
          <w:sz w:val="22"/>
          <w:szCs w:val="22"/>
          <w:lang w:val="es-ES_tradnl"/>
        </w:rPr>
        <w:t xml:space="preserve">xclusivo denominada </w:t>
      </w:r>
      <w:r>
        <w:rPr>
          <w:rFonts w:ascii="Arial" w:hAnsi="Arial" w:cs="Arial"/>
          <w:sz w:val="22"/>
          <w:szCs w:val="22"/>
          <w:lang w:val="es-ES_tradnl"/>
        </w:rPr>
        <w:t>“</w:t>
      </w:r>
      <w:r w:rsidRPr="00E46D41">
        <w:rPr>
          <w:rFonts w:ascii="Arial" w:hAnsi="Arial" w:cs="Arial"/>
          <w:i/>
          <w:sz w:val="22"/>
          <w:szCs w:val="22"/>
          <w:lang w:val="es-ES_tradnl"/>
        </w:rPr>
        <w:t>Área de San Andrés, Providencia y Santa Catalina</w:t>
      </w:r>
      <w:r w:rsidRPr="00721E0E">
        <w:rPr>
          <w:rFonts w:ascii="Arial" w:hAnsi="Arial" w:cs="Arial"/>
          <w:sz w:val="22"/>
          <w:szCs w:val="22"/>
          <w:lang w:val="es-ES_tradnl"/>
        </w:rPr>
        <w:t xml:space="preserve">". </w:t>
      </w:r>
      <w:r w:rsidR="00E013AF" w:rsidRPr="00721E0E">
        <w:rPr>
          <w:rFonts w:ascii="Arial" w:hAnsi="Arial" w:cs="Arial"/>
          <w:sz w:val="22"/>
          <w:szCs w:val="22"/>
          <w:lang w:val="es-ES_tradnl"/>
        </w:rPr>
        <w:t>El valor por reconocer</w:t>
      </w:r>
      <w:r w:rsidRPr="00721E0E">
        <w:rPr>
          <w:rFonts w:ascii="Arial" w:hAnsi="Arial" w:cs="Arial"/>
          <w:sz w:val="22"/>
          <w:szCs w:val="22"/>
          <w:lang w:val="es-ES_tradnl"/>
        </w:rPr>
        <w:t xml:space="preserve"> por parte del adjudicatario al operador del relleno por esta actividad será de $25.000 por tonelada (COP del 2009, valor que se indexará a valor presente).</w:t>
      </w:r>
    </w:p>
    <w:p w:rsidR="00D75790" w:rsidRPr="00721E0E" w:rsidRDefault="00D75790" w:rsidP="00D75790">
      <w:pPr>
        <w:pStyle w:val="Prrafodelista"/>
        <w:rPr>
          <w:rFonts w:ascii="Arial" w:hAnsi="Arial" w:cs="Arial"/>
          <w:sz w:val="22"/>
          <w:szCs w:val="22"/>
          <w:lang w:val="es-ES_tradnl"/>
        </w:rPr>
      </w:pPr>
    </w:p>
    <w:p w:rsidR="00D75790" w:rsidRDefault="00D75790" w:rsidP="00D75790">
      <w:pPr>
        <w:pStyle w:val="Prrafodelista"/>
        <w:numPr>
          <w:ilvl w:val="0"/>
          <w:numId w:val="24"/>
        </w:numPr>
        <w:jc w:val="both"/>
        <w:rPr>
          <w:rFonts w:ascii="Arial" w:hAnsi="Arial" w:cs="Arial"/>
          <w:sz w:val="22"/>
          <w:szCs w:val="22"/>
          <w:lang w:val="es-ES_tradnl"/>
        </w:rPr>
      </w:pPr>
      <w:r w:rsidRPr="00721E0E">
        <w:rPr>
          <w:rFonts w:ascii="Arial" w:hAnsi="Arial" w:cs="Arial"/>
          <w:sz w:val="22"/>
          <w:szCs w:val="22"/>
          <w:lang w:val="es-ES_tradnl"/>
        </w:rPr>
        <w:lastRenderedPageBreak/>
        <w:t xml:space="preserve">El aprovechamiento de los residuos nuevos que al </w:t>
      </w:r>
      <w:r>
        <w:rPr>
          <w:rFonts w:ascii="Arial" w:hAnsi="Arial" w:cs="Arial"/>
          <w:sz w:val="22"/>
          <w:szCs w:val="22"/>
          <w:lang w:val="es-ES_tradnl"/>
        </w:rPr>
        <w:t>r</w:t>
      </w:r>
      <w:r w:rsidRPr="00721E0E">
        <w:rPr>
          <w:rFonts w:ascii="Arial" w:hAnsi="Arial" w:cs="Arial"/>
          <w:sz w:val="22"/>
          <w:szCs w:val="22"/>
          <w:lang w:val="es-ES_tradnl"/>
        </w:rPr>
        <w:t>elleno ingresen será financiado vía tarifa regulada según Resolución 720 de la CRA en su artículo 31 y demás normas que las adicionen, modifiquen o aclaren.</w:t>
      </w:r>
    </w:p>
    <w:p w:rsidR="00D75790" w:rsidRPr="00721E0E" w:rsidRDefault="00D75790" w:rsidP="00D75790">
      <w:pPr>
        <w:pStyle w:val="Prrafodelista"/>
        <w:rPr>
          <w:rFonts w:ascii="Arial" w:hAnsi="Arial" w:cs="Arial"/>
          <w:sz w:val="22"/>
          <w:szCs w:val="22"/>
          <w:lang w:val="es-ES_tradnl"/>
        </w:rPr>
      </w:pPr>
    </w:p>
    <w:p w:rsidR="00D75790" w:rsidRDefault="00D75790" w:rsidP="00D75790">
      <w:pPr>
        <w:pStyle w:val="Prrafodelista"/>
        <w:numPr>
          <w:ilvl w:val="0"/>
          <w:numId w:val="24"/>
        </w:numPr>
        <w:jc w:val="both"/>
        <w:rPr>
          <w:rFonts w:ascii="Arial" w:hAnsi="Arial" w:cs="Arial"/>
          <w:sz w:val="22"/>
          <w:szCs w:val="22"/>
          <w:lang w:val="es-ES_tradnl"/>
        </w:rPr>
      </w:pPr>
      <w:r w:rsidRPr="00721E0E">
        <w:rPr>
          <w:rFonts w:ascii="Arial" w:hAnsi="Arial" w:cs="Arial"/>
          <w:sz w:val="22"/>
          <w:szCs w:val="22"/>
          <w:lang w:val="es-ES_tradnl"/>
        </w:rPr>
        <w:t>Por concepto de estudios y diseños y modelo financiero se financiará con recursos del PDA, cuyo valor aprobado es de $300.000.000.</w:t>
      </w:r>
    </w:p>
    <w:p w:rsidR="00D75790" w:rsidRDefault="00D75790" w:rsidP="00D75790">
      <w:pPr>
        <w:contextualSpacing/>
        <w:jc w:val="both"/>
        <w:rPr>
          <w:rFonts w:ascii="Arial" w:hAnsi="Arial" w:cs="Arial"/>
          <w:sz w:val="22"/>
          <w:szCs w:val="22"/>
          <w:lang w:val="es-ES_tradnl"/>
        </w:rPr>
      </w:pPr>
    </w:p>
    <w:p w:rsidR="00D75790" w:rsidRPr="00721E0E" w:rsidRDefault="00D75790" w:rsidP="00D75790">
      <w:pPr>
        <w:contextualSpacing/>
        <w:jc w:val="both"/>
        <w:rPr>
          <w:rFonts w:ascii="Arial" w:hAnsi="Arial" w:cs="Arial"/>
          <w:sz w:val="22"/>
          <w:szCs w:val="22"/>
          <w:lang w:val="es-ES_tradnl"/>
        </w:rPr>
      </w:pPr>
      <w:r w:rsidRPr="00721E0E">
        <w:rPr>
          <w:rFonts w:ascii="Arial" w:hAnsi="Arial" w:cs="Arial"/>
          <w:sz w:val="22"/>
          <w:szCs w:val="22"/>
          <w:lang w:val="es-ES_tradnl"/>
        </w:rPr>
        <w:t>Las obras complementarias para la puesta en marcha de la RSU, con un plazo de ejecución de seis (6) meses, contados a partir de la entrega de los estudios y diseños, se ejecutarán con los recursos aprobados en el PDA por cinco mil setecientos millones de pesos. $5.700.000.000., para la utilización de estos dineros, se deberá tener el proyecto</w:t>
      </w:r>
      <w:r>
        <w:rPr>
          <w:rFonts w:ascii="Arial" w:hAnsi="Arial" w:cs="Arial"/>
          <w:sz w:val="22"/>
          <w:szCs w:val="22"/>
          <w:lang w:val="es-ES_tradnl"/>
        </w:rPr>
        <w:t xml:space="preserve"> </w:t>
      </w:r>
      <w:r w:rsidRPr="00721E0E">
        <w:rPr>
          <w:rFonts w:ascii="Arial" w:hAnsi="Arial" w:cs="Arial"/>
          <w:sz w:val="22"/>
          <w:szCs w:val="22"/>
          <w:lang w:val="es-ES_tradnl"/>
        </w:rPr>
        <w:t xml:space="preserve">viabilizado a través de </w:t>
      </w:r>
      <w:r>
        <w:rPr>
          <w:rFonts w:ascii="Arial" w:hAnsi="Arial" w:cs="Arial"/>
          <w:sz w:val="22"/>
          <w:szCs w:val="22"/>
          <w:lang w:val="es-ES_tradnl"/>
        </w:rPr>
        <w:t>v</w:t>
      </w:r>
      <w:r w:rsidRPr="00721E0E">
        <w:rPr>
          <w:rFonts w:ascii="Arial" w:hAnsi="Arial" w:cs="Arial"/>
          <w:sz w:val="22"/>
          <w:szCs w:val="22"/>
          <w:lang w:val="es-ES_tradnl"/>
        </w:rPr>
        <w:t xml:space="preserve">entanilla </w:t>
      </w:r>
      <w:r>
        <w:rPr>
          <w:rFonts w:ascii="Arial" w:hAnsi="Arial" w:cs="Arial"/>
          <w:sz w:val="22"/>
          <w:szCs w:val="22"/>
          <w:lang w:val="es-ES_tradnl"/>
        </w:rPr>
        <w:t>ú</w:t>
      </w:r>
      <w:r w:rsidRPr="00721E0E">
        <w:rPr>
          <w:rFonts w:ascii="Arial" w:hAnsi="Arial" w:cs="Arial"/>
          <w:sz w:val="22"/>
          <w:szCs w:val="22"/>
          <w:lang w:val="es-ES_tradnl"/>
        </w:rPr>
        <w:t>nica del Ministerio de Vivienda Ciudad y Territorio.</w:t>
      </w:r>
    </w:p>
    <w:p w:rsidR="00D75790" w:rsidRPr="00721E0E" w:rsidRDefault="00D75790" w:rsidP="00D75790">
      <w:pPr>
        <w:contextualSpacing/>
        <w:jc w:val="both"/>
        <w:rPr>
          <w:rFonts w:ascii="Arial" w:hAnsi="Arial" w:cs="Arial"/>
          <w:sz w:val="22"/>
          <w:szCs w:val="22"/>
          <w:lang w:val="es-ES_tradnl"/>
        </w:rPr>
      </w:pPr>
    </w:p>
    <w:p w:rsidR="00D75790" w:rsidRPr="00721E0E" w:rsidRDefault="00D75790" w:rsidP="00D75790">
      <w:pPr>
        <w:contextualSpacing/>
        <w:jc w:val="both"/>
        <w:rPr>
          <w:rFonts w:ascii="Arial" w:hAnsi="Arial" w:cs="Arial"/>
          <w:sz w:val="22"/>
          <w:szCs w:val="22"/>
          <w:lang w:val="es-ES_tradnl"/>
        </w:rPr>
      </w:pPr>
      <w:r w:rsidRPr="00721E0E">
        <w:rPr>
          <w:rFonts w:ascii="Arial" w:hAnsi="Arial" w:cs="Arial"/>
          <w:sz w:val="22"/>
          <w:szCs w:val="22"/>
          <w:lang w:val="es-ES_tradnl"/>
        </w:rPr>
        <w:t xml:space="preserve">De acuerdo con el </w:t>
      </w:r>
      <w:r>
        <w:rPr>
          <w:rFonts w:ascii="Arial" w:hAnsi="Arial" w:cs="Arial"/>
          <w:sz w:val="22"/>
          <w:szCs w:val="22"/>
          <w:lang w:val="es-ES_tradnl"/>
        </w:rPr>
        <w:t>C</w:t>
      </w:r>
      <w:r w:rsidRPr="00721E0E">
        <w:rPr>
          <w:rFonts w:ascii="Arial" w:hAnsi="Arial" w:cs="Arial"/>
          <w:sz w:val="22"/>
          <w:szCs w:val="22"/>
          <w:lang w:val="es-ES_tradnl"/>
        </w:rPr>
        <w:t xml:space="preserve">ontrato, el valor facturado al usuario final por </w:t>
      </w:r>
      <w:r>
        <w:rPr>
          <w:rFonts w:ascii="Arial" w:hAnsi="Arial" w:cs="Arial"/>
          <w:sz w:val="22"/>
          <w:szCs w:val="22"/>
          <w:lang w:val="es-ES_tradnl"/>
        </w:rPr>
        <w:t>S</w:t>
      </w:r>
      <w:r w:rsidRPr="00721E0E">
        <w:rPr>
          <w:rFonts w:ascii="Arial" w:hAnsi="Arial" w:cs="Arial"/>
          <w:sz w:val="22"/>
          <w:szCs w:val="22"/>
          <w:lang w:val="es-ES_tradnl"/>
        </w:rPr>
        <w:t xml:space="preserve">ervicio de </w:t>
      </w:r>
      <w:r>
        <w:rPr>
          <w:rFonts w:ascii="Arial" w:hAnsi="Arial" w:cs="Arial"/>
          <w:sz w:val="22"/>
          <w:szCs w:val="22"/>
          <w:lang w:val="es-ES_tradnl"/>
        </w:rPr>
        <w:t>A</w:t>
      </w:r>
      <w:r w:rsidRPr="00721E0E">
        <w:rPr>
          <w:rFonts w:ascii="Arial" w:hAnsi="Arial" w:cs="Arial"/>
          <w:sz w:val="22"/>
          <w:szCs w:val="22"/>
          <w:lang w:val="es-ES_tradnl"/>
        </w:rPr>
        <w:t>seo en su componente de disposición final deberá estar soportado por un estudio de costos.</w:t>
      </w:r>
      <w:r>
        <w:rPr>
          <w:rFonts w:ascii="Arial" w:hAnsi="Arial" w:cs="Arial"/>
          <w:sz w:val="22"/>
          <w:szCs w:val="22"/>
          <w:lang w:val="es-ES_tradnl"/>
        </w:rPr>
        <w:t xml:space="preserve"> En este sentido, de las 4 líneas de trabajo, dos de ellas se financian vía tarifa, una de ellas a través del componente de disposición final y la otra a través de aprovechamiento.</w:t>
      </w:r>
    </w:p>
    <w:p w:rsidR="00D75790" w:rsidRPr="00DC371E" w:rsidRDefault="00D75790" w:rsidP="00D75790">
      <w:pPr>
        <w:contextualSpacing/>
        <w:jc w:val="both"/>
        <w:rPr>
          <w:rFonts w:ascii="Arial" w:hAnsi="Arial" w:cs="Arial"/>
          <w:sz w:val="22"/>
          <w:highlight w:val="yellow"/>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b/>
          <w:sz w:val="22"/>
          <w:szCs w:val="22"/>
          <w:lang w:val="es-ES_tradnl"/>
        </w:rPr>
        <w:t>3. INFORMACIÓN FINANCIERA.</w:t>
      </w:r>
    </w:p>
    <w:p w:rsidR="00D75790" w:rsidRPr="00DC371E" w:rsidRDefault="00D75790" w:rsidP="00D75790">
      <w:pPr>
        <w:spacing w:after="17"/>
        <w:ind w:left="360"/>
        <w:contextualSpacing/>
        <w:jc w:val="both"/>
        <w:rPr>
          <w:rFonts w:ascii="Arial" w:hAnsi="Arial" w:cs="Arial"/>
          <w:sz w:val="22"/>
          <w:szCs w:val="22"/>
          <w:lang w:val="es-ES_tradnl"/>
        </w:rPr>
      </w:pPr>
    </w:p>
    <w:p w:rsidR="00D75790" w:rsidRPr="00DC371E" w:rsidRDefault="00D75790" w:rsidP="00D75790">
      <w:pPr>
        <w:pStyle w:val="Prrafodelista"/>
        <w:keepNext/>
        <w:keepLines/>
        <w:numPr>
          <w:ilvl w:val="1"/>
          <w:numId w:val="17"/>
        </w:numPr>
        <w:jc w:val="both"/>
        <w:outlineLvl w:val="1"/>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t>DISTRIBUCIÓN DE RECURSOS</w:t>
      </w:r>
      <w:r>
        <w:rPr>
          <w:rFonts w:ascii="Arial" w:hAnsi="Arial" w:cs="Arial"/>
          <w:b/>
          <w:color w:val="000000"/>
          <w:sz w:val="22"/>
          <w:szCs w:val="22"/>
          <w:lang w:val="es-ES_tradnl" w:eastAsia="es-CO"/>
        </w:rPr>
        <w:t>.</w:t>
      </w:r>
    </w:p>
    <w:p w:rsidR="00D75790" w:rsidRPr="00DC371E" w:rsidRDefault="00D75790" w:rsidP="00D75790">
      <w:pPr>
        <w:keepNext/>
        <w:keepLines/>
        <w:contextualSpacing/>
        <w:jc w:val="both"/>
        <w:outlineLvl w:val="1"/>
        <w:rPr>
          <w:rFonts w:ascii="Arial" w:hAnsi="Arial" w:cs="Arial"/>
          <w:b/>
          <w:color w:val="000000"/>
          <w:sz w:val="22"/>
          <w:szCs w:val="22"/>
          <w:highlight w:val="yellow"/>
          <w:lang w:val="es-ES_tradnl" w:eastAsia="es-CO"/>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Al Archipiélago le son asignados recursos del Sistema General de Participaciones para Agua Potable y Saneamiento Básico - SGP-APSB como departamento y como municipio.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Durante las vigencias 2018 - 2021 la distribución de recursos provenientes del Sistema General de Participaciones sectorial fue:</w:t>
      </w:r>
    </w:p>
    <w:p w:rsidR="00D75790" w:rsidRDefault="00D75790" w:rsidP="00D75790">
      <w:pPr>
        <w:rPr>
          <w:rFonts w:ascii="Arial" w:hAnsi="Arial" w:cs="Arial"/>
          <w:sz w:val="22"/>
          <w:szCs w:val="22"/>
          <w:lang w:val="es-ES_tradnl"/>
        </w:rPr>
      </w:pPr>
      <w:r>
        <w:rPr>
          <w:rFonts w:ascii="Arial" w:hAnsi="Arial" w:cs="Arial"/>
          <w:sz w:val="22"/>
          <w:szCs w:val="22"/>
          <w:lang w:val="es-ES_tradnl"/>
        </w:rPr>
        <w:br w:type="page"/>
      </w:r>
    </w:p>
    <w:p w:rsidR="00D75790" w:rsidRPr="00E46D41" w:rsidRDefault="00D75790" w:rsidP="00D75790">
      <w:pPr>
        <w:contextualSpacing/>
        <w:jc w:val="center"/>
        <w:rPr>
          <w:rFonts w:ascii="Arial" w:hAnsi="Arial" w:cs="Arial"/>
          <w:b/>
          <w:bCs/>
          <w:sz w:val="20"/>
          <w:szCs w:val="22"/>
          <w:lang w:val="es-ES_tradnl"/>
        </w:rPr>
      </w:pPr>
      <w:r w:rsidRPr="00E46D41">
        <w:rPr>
          <w:rFonts w:ascii="Arial" w:hAnsi="Arial" w:cs="Arial"/>
          <w:b/>
          <w:bCs/>
          <w:sz w:val="20"/>
          <w:szCs w:val="22"/>
          <w:lang w:val="es-ES_tradnl"/>
        </w:rPr>
        <w:lastRenderedPageBreak/>
        <w:t>TABLA 10. SGP APSB - DISTRIBUCION</w:t>
      </w:r>
    </w:p>
    <w:tbl>
      <w:tblPr>
        <w:tblStyle w:val="Tablaconcuadrcula1"/>
        <w:tblW w:w="4946" w:type="dxa"/>
        <w:jc w:val="center"/>
        <w:tblInd w:w="0" w:type="dxa"/>
        <w:tblCellMar>
          <w:top w:w="42" w:type="dxa"/>
          <w:left w:w="67" w:type="dxa"/>
          <w:right w:w="115" w:type="dxa"/>
        </w:tblCellMar>
        <w:tblLook w:val="04A0" w:firstRow="1" w:lastRow="0" w:firstColumn="1" w:lastColumn="0" w:noHBand="0" w:noVBand="1"/>
      </w:tblPr>
      <w:tblGrid>
        <w:gridCol w:w="1122"/>
        <w:gridCol w:w="1276"/>
        <w:gridCol w:w="1274"/>
        <w:gridCol w:w="1274"/>
      </w:tblGrid>
      <w:tr w:rsidR="00D75790" w:rsidRPr="00DC371E" w:rsidTr="00695E54">
        <w:trPr>
          <w:trHeight w:val="504"/>
          <w:jc w:val="center"/>
        </w:trPr>
        <w:tc>
          <w:tcPr>
            <w:tcW w:w="11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hideMark/>
          </w:tcPr>
          <w:p w:rsidR="00D75790" w:rsidRPr="00DC371E" w:rsidRDefault="00D75790" w:rsidP="00695E54">
            <w:pPr>
              <w:contextualSpacing/>
              <w:jc w:val="center"/>
              <w:rPr>
                <w:rFonts w:ascii="Arial" w:hAnsi="Arial" w:cs="Arial"/>
                <w:lang w:val="es-ES_tradnl"/>
              </w:rPr>
            </w:pPr>
            <w:r w:rsidRPr="00DC371E">
              <w:rPr>
                <w:rFonts w:ascii="Arial" w:hAnsi="Arial" w:cs="Arial"/>
                <w:b/>
                <w:sz w:val="20"/>
                <w:lang w:val="es-ES_tradnl"/>
              </w:rPr>
              <w:t>Vigencia</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hideMark/>
          </w:tcPr>
          <w:p w:rsidR="00D75790" w:rsidRPr="00DC371E" w:rsidRDefault="00D75790" w:rsidP="00695E54">
            <w:pPr>
              <w:contextualSpacing/>
              <w:jc w:val="center"/>
              <w:rPr>
                <w:rFonts w:ascii="Arial" w:hAnsi="Arial" w:cs="Arial"/>
                <w:lang w:val="es-ES_tradnl"/>
              </w:rPr>
            </w:pPr>
            <w:r w:rsidRPr="00DC371E">
              <w:rPr>
                <w:rFonts w:ascii="Arial" w:hAnsi="Arial" w:cs="Arial"/>
                <w:b/>
                <w:sz w:val="20"/>
                <w:lang w:val="es-ES_tradnl"/>
              </w:rPr>
              <w:t>SGP APSB Municipio</w:t>
            </w:r>
          </w:p>
        </w:tc>
        <w:tc>
          <w:tcPr>
            <w:tcW w:w="127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hideMark/>
          </w:tcPr>
          <w:p w:rsidR="00D75790" w:rsidRPr="00DC371E" w:rsidRDefault="00D75790" w:rsidP="00695E54">
            <w:pPr>
              <w:contextualSpacing/>
              <w:jc w:val="center"/>
              <w:rPr>
                <w:rFonts w:ascii="Arial" w:hAnsi="Arial" w:cs="Arial"/>
                <w:lang w:val="es-ES_tradnl"/>
              </w:rPr>
            </w:pPr>
            <w:r w:rsidRPr="00DC371E">
              <w:rPr>
                <w:rFonts w:ascii="Arial" w:hAnsi="Arial" w:cs="Arial"/>
                <w:b/>
                <w:sz w:val="20"/>
                <w:lang w:val="es-ES_tradnl"/>
              </w:rPr>
              <w:t xml:space="preserve">SGP APSB </w:t>
            </w:r>
            <w:r w:rsidR="00F42CB1" w:rsidRPr="00DC371E">
              <w:rPr>
                <w:rFonts w:ascii="Arial" w:hAnsi="Arial" w:cs="Arial"/>
                <w:b/>
                <w:sz w:val="20"/>
                <w:lang w:val="es-ES_tradnl"/>
              </w:rPr>
              <w:t>Depto.</w:t>
            </w:r>
          </w:p>
        </w:tc>
        <w:tc>
          <w:tcPr>
            <w:tcW w:w="127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D75790" w:rsidRPr="00DC371E" w:rsidRDefault="00D75790" w:rsidP="00695E54">
            <w:pPr>
              <w:contextualSpacing/>
              <w:jc w:val="center"/>
              <w:rPr>
                <w:rFonts w:ascii="Arial" w:hAnsi="Arial" w:cs="Arial"/>
                <w:b/>
                <w:sz w:val="20"/>
                <w:lang w:val="es-ES_tradnl"/>
              </w:rPr>
            </w:pPr>
            <w:r w:rsidRPr="00DC371E">
              <w:rPr>
                <w:rFonts w:ascii="Arial" w:hAnsi="Arial" w:cs="Arial"/>
                <w:b/>
                <w:sz w:val="20"/>
                <w:lang w:val="es-ES_tradnl"/>
              </w:rPr>
              <w:t>Total</w:t>
            </w:r>
          </w:p>
        </w:tc>
      </w:tr>
      <w:tr w:rsidR="00D75790" w:rsidRPr="00DC371E" w:rsidTr="00695E54">
        <w:trPr>
          <w:trHeight w:val="396"/>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contextualSpacing/>
              <w:jc w:val="center"/>
              <w:rPr>
                <w:rFonts w:ascii="Arial" w:hAnsi="Arial" w:cs="Arial"/>
                <w:lang w:val="es-ES_tradnl"/>
              </w:rPr>
            </w:pPr>
            <w:r w:rsidRPr="00DC371E">
              <w:rPr>
                <w:rFonts w:ascii="Arial" w:hAnsi="Arial" w:cs="Arial"/>
                <w:b/>
                <w:sz w:val="20"/>
                <w:lang w:val="es-ES_tradnl"/>
              </w:rPr>
              <w:t>2018</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9"/>
              <w:contextualSpacing/>
              <w:jc w:val="center"/>
              <w:rPr>
                <w:rFonts w:ascii="Arial" w:hAnsi="Arial" w:cs="Arial"/>
                <w:lang w:val="es-ES_tradnl"/>
              </w:rPr>
            </w:pPr>
            <w:r>
              <w:rPr>
                <w:rFonts w:ascii="Arial" w:hAnsi="Arial" w:cs="Arial"/>
                <w:sz w:val="20"/>
                <w:lang w:val="es-ES_tradnl"/>
              </w:rPr>
              <w:t>$</w:t>
            </w:r>
            <w:r w:rsidRPr="00DC371E">
              <w:rPr>
                <w:rFonts w:ascii="Arial" w:hAnsi="Arial" w:cs="Arial"/>
                <w:sz w:val="20"/>
                <w:lang w:val="es-ES_tradnl"/>
              </w:rPr>
              <w:t>3.408</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lang w:val="es-ES_tradnl"/>
              </w:rPr>
            </w:pPr>
            <w:r>
              <w:rPr>
                <w:rFonts w:ascii="Arial" w:hAnsi="Arial" w:cs="Arial"/>
                <w:sz w:val="20"/>
                <w:lang w:val="es-ES_tradnl"/>
              </w:rPr>
              <w:t>$</w:t>
            </w:r>
            <w:r w:rsidRPr="00DC371E">
              <w:rPr>
                <w:rFonts w:ascii="Arial" w:hAnsi="Arial" w:cs="Arial"/>
                <w:sz w:val="20"/>
                <w:lang w:val="es-ES_tradnl"/>
              </w:rPr>
              <w:t>772</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4.180</w:t>
            </w:r>
          </w:p>
        </w:tc>
      </w:tr>
      <w:tr w:rsidR="00D75790" w:rsidRPr="00DC371E" w:rsidTr="00695E54">
        <w:trPr>
          <w:trHeight w:val="395"/>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contextualSpacing/>
              <w:jc w:val="center"/>
              <w:rPr>
                <w:rFonts w:ascii="Arial" w:hAnsi="Arial" w:cs="Arial"/>
                <w:lang w:val="es-ES_tradnl"/>
              </w:rPr>
            </w:pPr>
            <w:r w:rsidRPr="00DC371E">
              <w:rPr>
                <w:rFonts w:ascii="Arial" w:hAnsi="Arial" w:cs="Arial"/>
                <w:b/>
                <w:sz w:val="20"/>
                <w:lang w:val="es-ES_tradnl"/>
              </w:rPr>
              <w:t>2019</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9"/>
              <w:contextualSpacing/>
              <w:jc w:val="center"/>
              <w:rPr>
                <w:rFonts w:ascii="Arial" w:hAnsi="Arial" w:cs="Arial"/>
                <w:lang w:val="es-ES_tradnl"/>
              </w:rPr>
            </w:pPr>
            <w:r>
              <w:rPr>
                <w:rFonts w:ascii="Arial" w:hAnsi="Arial" w:cs="Arial"/>
                <w:sz w:val="20"/>
                <w:lang w:val="es-ES_tradnl"/>
              </w:rPr>
              <w:t>$</w:t>
            </w:r>
            <w:r w:rsidRPr="00DC371E">
              <w:rPr>
                <w:rFonts w:ascii="Arial" w:hAnsi="Arial" w:cs="Arial"/>
                <w:sz w:val="20"/>
                <w:lang w:val="es-ES_tradnl"/>
              </w:rPr>
              <w:t>4.003</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lang w:val="es-ES_tradnl"/>
              </w:rPr>
            </w:pPr>
            <w:r>
              <w:rPr>
                <w:rFonts w:ascii="Arial" w:hAnsi="Arial" w:cs="Arial"/>
                <w:sz w:val="20"/>
                <w:lang w:val="es-ES_tradnl"/>
              </w:rPr>
              <w:t>$</w:t>
            </w:r>
            <w:r w:rsidRPr="00DC371E">
              <w:rPr>
                <w:rFonts w:ascii="Arial" w:hAnsi="Arial" w:cs="Arial"/>
                <w:sz w:val="20"/>
                <w:lang w:val="es-ES_tradnl"/>
              </w:rPr>
              <w:t>863</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4.866</w:t>
            </w:r>
          </w:p>
        </w:tc>
      </w:tr>
      <w:tr w:rsidR="00D75790" w:rsidRPr="00DC371E" w:rsidTr="00695E54">
        <w:trPr>
          <w:trHeight w:val="395"/>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contextualSpacing/>
              <w:jc w:val="center"/>
              <w:rPr>
                <w:rFonts w:ascii="Arial" w:hAnsi="Arial" w:cs="Arial"/>
                <w:b/>
                <w:sz w:val="20"/>
                <w:lang w:val="es-ES_tradnl"/>
              </w:rPr>
            </w:pPr>
            <w:r w:rsidRPr="00DC371E">
              <w:rPr>
                <w:rFonts w:ascii="Arial" w:hAnsi="Arial" w:cs="Arial"/>
                <w:b/>
                <w:sz w:val="20"/>
                <w:lang w:val="es-ES_tradnl"/>
              </w:rPr>
              <w:t>2020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9"/>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3.928</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841</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4.769</w:t>
            </w:r>
          </w:p>
        </w:tc>
      </w:tr>
      <w:tr w:rsidR="00D75790" w:rsidRPr="00DC371E" w:rsidTr="00695E54">
        <w:trPr>
          <w:trHeight w:val="395"/>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contextualSpacing/>
              <w:jc w:val="center"/>
              <w:rPr>
                <w:rFonts w:ascii="Arial" w:hAnsi="Arial" w:cs="Arial"/>
                <w:b/>
                <w:sz w:val="20"/>
                <w:lang w:val="es-ES_tradnl"/>
              </w:rPr>
            </w:pPr>
            <w:r w:rsidRPr="00DC371E">
              <w:rPr>
                <w:rFonts w:ascii="Arial" w:hAnsi="Arial" w:cs="Arial"/>
                <w:b/>
                <w:sz w:val="20"/>
                <w:lang w:val="es-ES_tradnl"/>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9"/>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3.269</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777</w:t>
            </w:r>
          </w:p>
        </w:tc>
        <w:tc>
          <w:tcPr>
            <w:tcW w:w="12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75790" w:rsidRPr="00DC371E" w:rsidRDefault="00D75790" w:rsidP="00695E54">
            <w:pPr>
              <w:ind w:left="45"/>
              <w:contextualSpacing/>
              <w:jc w:val="center"/>
              <w:rPr>
                <w:rFonts w:ascii="Arial" w:hAnsi="Arial" w:cs="Arial"/>
                <w:sz w:val="20"/>
                <w:lang w:val="es-ES_tradnl"/>
              </w:rPr>
            </w:pPr>
            <w:r>
              <w:rPr>
                <w:rFonts w:ascii="Arial" w:hAnsi="Arial" w:cs="Arial"/>
                <w:sz w:val="20"/>
                <w:lang w:val="es-ES_tradnl"/>
              </w:rPr>
              <w:t>$</w:t>
            </w:r>
            <w:r w:rsidRPr="00DC371E">
              <w:rPr>
                <w:rFonts w:ascii="Arial" w:hAnsi="Arial" w:cs="Arial"/>
                <w:sz w:val="20"/>
                <w:lang w:val="es-ES_tradnl"/>
              </w:rPr>
              <w:t>4.046</w:t>
            </w:r>
          </w:p>
        </w:tc>
      </w:tr>
    </w:tbl>
    <w:p w:rsidR="00D75790" w:rsidRPr="00DC371E" w:rsidRDefault="00D75790" w:rsidP="00D75790">
      <w:pPr>
        <w:spacing w:after="43"/>
        <w:ind w:left="363"/>
        <w:contextualSpacing/>
        <w:jc w:val="center"/>
        <w:rPr>
          <w:rFonts w:ascii="Arial" w:hAnsi="Arial" w:cs="Arial"/>
          <w:sz w:val="16"/>
          <w:lang w:val="es-ES_tradnl"/>
        </w:rPr>
      </w:pPr>
      <w:r w:rsidRPr="00DC371E">
        <w:rPr>
          <w:rFonts w:ascii="Arial" w:hAnsi="Arial" w:cs="Arial"/>
          <w:sz w:val="16"/>
          <w:lang w:val="es-ES_tradnl"/>
        </w:rPr>
        <w:t>Documentos de distribución de los recursos SGP APSB - CONPES.</w:t>
      </w:r>
    </w:p>
    <w:p w:rsidR="00D75790" w:rsidRPr="00DC371E" w:rsidRDefault="00D75790" w:rsidP="00D75790">
      <w:pPr>
        <w:spacing w:after="43"/>
        <w:ind w:left="363"/>
        <w:contextualSpacing/>
        <w:jc w:val="center"/>
        <w:rPr>
          <w:rFonts w:ascii="Arial" w:hAnsi="Arial" w:cs="Arial"/>
          <w:sz w:val="16"/>
          <w:lang w:val="es-ES_tradnl"/>
        </w:rPr>
      </w:pPr>
      <w:r w:rsidRPr="00DC371E">
        <w:rPr>
          <w:rFonts w:ascii="Arial" w:hAnsi="Arial" w:cs="Arial"/>
          <w:sz w:val="16"/>
          <w:lang w:val="es-ES_tradnl"/>
        </w:rPr>
        <w:t>Cifras en millones de pesos</w:t>
      </w:r>
    </w:p>
    <w:p w:rsidR="00D75790" w:rsidRPr="00E46D41" w:rsidRDefault="00D75790" w:rsidP="00D75790">
      <w:pPr>
        <w:spacing w:after="43"/>
        <w:contextualSpacing/>
        <w:rPr>
          <w:rFonts w:ascii="Arial" w:hAnsi="Arial" w:cs="Arial"/>
          <w:sz w:val="22"/>
          <w:szCs w:val="22"/>
          <w:lang w:val="es-ES_tradnl"/>
        </w:rPr>
      </w:pPr>
    </w:p>
    <w:p w:rsidR="00D75790" w:rsidRPr="00DC371E" w:rsidRDefault="00D75790" w:rsidP="00D75790">
      <w:pPr>
        <w:spacing w:after="43"/>
        <w:contextualSpacing/>
        <w:jc w:val="both"/>
        <w:rPr>
          <w:rFonts w:ascii="Arial" w:hAnsi="Arial" w:cs="Arial"/>
          <w:sz w:val="22"/>
          <w:szCs w:val="22"/>
          <w:lang w:val="es-ES_tradnl"/>
        </w:rPr>
      </w:pPr>
      <w:r w:rsidRPr="00DC371E">
        <w:rPr>
          <w:rFonts w:ascii="Arial" w:hAnsi="Arial" w:cs="Arial"/>
          <w:sz w:val="22"/>
          <w:szCs w:val="22"/>
          <w:lang w:val="es-ES_tradnl"/>
        </w:rPr>
        <w:t>A partir de la vigencia 2019 se identificó una importante diferencia en la asignación de la participación sectorial, especialmente en la distribución que como Municipio recibió la Entidad, que para 2021 estuvo representada en casi $800 millones de pesos, cayendo de un total de $4.003 millones en 2019 a $3.269 en 2021.</w:t>
      </w:r>
    </w:p>
    <w:p w:rsidR="00D75790" w:rsidRPr="00DC371E" w:rsidRDefault="00D75790" w:rsidP="00D75790">
      <w:pPr>
        <w:spacing w:after="43"/>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3.2. INGRESOS</w:t>
      </w:r>
      <w:r>
        <w:rPr>
          <w:rFonts w:ascii="Arial" w:hAnsi="Arial" w:cs="Arial"/>
          <w:b/>
          <w:sz w:val="22"/>
          <w:szCs w:val="22"/>
          <w:lang w:val="es-ES_tradnl"/>
        </w:rPr>
        <w:t>.</w:t>
      </w:r>
    </w:p>
    <w:p w:rsidR="00D75790" w:rsidRPr="00DC371E" w:rsidRDefault="00D75790" w:rsidP="00D75790">
      <w:pPr>
        <w:contextualSpacing/>
        <w:jc w:val="both"/>
        <w:rPr>
          <w:rFonts w:ascii="Arial" w:hAnsi="Arial" w:cs="Arial"/>
          <w:b/>
          <w:bCs/>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A diciembre de 2018 se recaudaron $8.887 millones. De estos, $4.181 millones correspondieron a la Participación de Agua Potable y Saneamiento Básico del SGP como Municipio ($3.408 millones) y como Departamento ($773 millones).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Los recursos de capital estuvieron representados por el superávit fiscal de vigencias anteriores por $4.706 millones.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spacing w:after="15"/>
        <w:contextualSpacing/>
        <w:jc w:val="both"/>
        <w:rPr>
          <w:rFonts w:ascii="Arial" w:hAnsi="Arial" w:cs="Arial"/>
          <w:sz w:val="22"/>
          <w:szCs w:val="22"/>
          <w:lang w:val="es-ES_tradnl"/>
        </w:rPr>
      </w:pPr>
      <w:r w:rsidRPr="00DC371E">
        <w:rPr>
          <w:rFonts w:ascii="Arial" w:hAnsi="Arial" w:cs="Arial"/>
          <w:sz w:val="22"/>
          <w:szCs w:val="22"/>
          <w:lang w:val="es-ES_tradnl"/>
        </w:rPr>
        <w:t xml:space="preserve">Para la vigencia 2018 no coincide el valor de la incorporación del superávit con el valor del cierre de la vigencia 2017; la </w:t>
      </w:r>
      <w:r>
        <w:rPr>
          <w:rFonts w:ascii="Arial" w:hAnsi="Arial" w:cs="Arial"/>
          <w:sz w:val="22"/>
          <w:szCs w:val="22"/>
          <w:lang w:val="es-ES_tradnl"/>
        </w:rPr>
        <w:t>E</w:t>
      </w:r>
      <w:r w:rsidRPr="00DC371E">
        <w:rPr>
          <w:rFonts w:ascii="Arial" w:hAnsi="Arial" w:cs="Arial"/>
          <w:sz w:val="22"/>
          <w:szCs w:val="22"/>
          <w:lang w:val="es-ES_tradnl"/>
        </w:rPr>
        <w:t xml:space="preserve">ntidad </w:t>
      </w:r>
      <w:r>
        <w:rPr>
          <w:rFonts w:ascii="Arial" w:hAnsi="Arial" w:cs="Arial"/>
          <w:sz w:val="22"/>
          <w:szCs w:val="22"/>
          <w:lang w:val="es-ES_tradnl"/>
        </w:rPr>
        <w:t>T</w:t>
      </w:r>
      <w:r w:rsidRPr="00DC371E">
        <w:rPr>
          <w:rFonts w:ascii="Arial" w:hAnsi="Arial" w:cs="Arial"/>
          <w:sz w:val="22"/>
          <w:szCs w:val="22"/>
          <w:lang w:val="es-ES_tradnl"/>
        </w:rPr>
        <w:t>erritorial incorporó en el 2018, por concepto de superávit $4.706 millones. El resultado del ejercicio de cierre fiscal de la vigencia 2017 fue $4.662 millones.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 acuerdo con los Documentos de Distribución SGP 33-2018 y 39-2019, los recursos asignados por concepto de APSB a 2019 fueron $4.866 millones ($4.003 millones como Municipio y $863 millones por Departamento). Cifra diferente a la contenida en la ejecución presupuestal de la Entidad Territorial, la cual demostró recaudos por $3.902 millones ($3.328 millones como Municipio y $574 como Departamento).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 acuerdo con la ejecución presupuestal, se recaudaron recursos sectoriales con destinación específica por $4.136 millones de los cuales $3.902 millones fueron SGP APSB y $234 millones de superávit fiscal.</w:t>
      </w:r>
    </w:p>
    <w:p w:rsidR="00D75790" w:rsidRPr="00E46D41" w:rsidRDefault="00D75790" w:rsidP="00D75790">
      <w:pPr>
        <w:rPr>
          <w:rFonts w:ascii="Arial" w:hAnsi="Arial" w:cs="Arial"/>
          <w:sz w:val="22"/>
          <w:highlight w:val="yellow"/>
          <w:lang w:val="es-ES_tradnl"/>
        </w:rPr>
      </w:pPr>
      <w:r w:rsidRPr="00E46D41">
        <w:rPr>
          <w:rFonts w:ascii="Arial" w:hAnsi="Arial" w:cs="Arial"/>
          <w:sz w:val="22"/>
          <w:highlight w:val="yellow"/>
          <w:lang w:val="es-ES_tradnl"/>
        </w:rPr>
        <w:br w:type="page"/>
      </w:r>
    </w:p>
    <w:p w:rsidR="00D75790" w:rsidRPr="00E46D41" w:rsidRDefault="00D75790" w:rsidP="00D75790">
      <w:pPr>
        <w:keepNext/>
        <w:keepLines/>
        <w:spacing w:after="5"/>
        <w:ind w:left="10" w:right="3" w:hanging="10"/>
        <w:contextualSpacing/>
        <w:jc w:val="center"/>
        <w:outlineLvl w:val="3"/>
        <w:rPr>
          <w:rFonts w:ascii="Arial" w:hAnsi="Arial" w:cs="Arial"/>
          <w:b/>
          <w:color w:val="000000"/>
          <w:sz w:val="20"/>
          <w:szCs w:val="22"/>
          <w:lang w:val="es-ES_tradnl" w:eastAsia="es-CO"/>
        </w:rPr>
      </w:pPr>
      <w:r w:rsidRPr="00E46D41">
        <w:rPr>
          <w:rFonts w:ascii="Arial" w:hAnsi="Arial" w:cs="Arial"/>
          <w:b/>
          <w:color w:val="000000"/>
          <w:sz w:val="20"/>
          <w:szCs w:val="22"/>
          <w:lang w:val="es-ES_tradnl" w:eastAsia="es-CO"/>
        </w:rPr>
        <w:lastRenderedPageBreak/>
        <w:t xml:space="preserve">TABLA 11. INGRESOS APSB </w:t>
      </w:r>
    </w:p>
    <w:p w:rsidR="00D75790" w:rsidRPr="00E46D41" w:rsidRDefault="00D75790" w:rsidP="00D75790">
      <w:pPr>
        <w:keepNext/>
        <w:keepLines/>
        <w:spacing w:after="5"/>
        <w:ind w:left="10" w:right="3" w:hanging="10"/>
        <w:contextualSpacing/>
        <w:jc w:val="center"/>
        <w:outlineLvl w:val="3"/>
        <w:rPr>
          <w:rFonts w:ascii="Arial" w:hAnsi="Arial" w:cs="Arial"/>
          <w:b/>
          <w:color w:val="000000"/>
          <w:sz w:val="20"/>
          <w:szCs w:val="22"/>
          <w:lang w:val="es-ES_tradnl" w:eastAsia="es-CO"/>
        </w:rPr>
      </w:pPr>
      <w:r w:rsidRPr="00E46D41">
        <w:rPr>
          <w:rFonts w:ascii="Arial" w:hAnsi="Arial" w:cs="Arial"/>
          <w:b/>
          <w:color w:val="000000"/>
          <w:sz w:val="20"/>
          <w:szCs w:val="22"/>
          <w:lang w:val="es-ES_tradnl" w:eastAsia="es-CO"/>
        </w:rPr>
        <w:t xml:space="preserve">(CIFRAS EN MILLONES) </w:t>
      </w:r>
    </w:p>
    <w:tbl>
      <w:tblPr>
        <w:tblStyle w:val="Tablaconcuadrcula1"/>
        <w:tblW w:w="6528" w:type="dxa"/>
        <w:jc w:val="center"/>
        <w:tblInd w:w="0" w:type="dxa"/>
        <w:tblCellMar>
          <w:top w:w="37" w:type="dxa"/>
          <w:left w:w="67" w:type="dxa"/>
          <w:right w:w="29" w:type="dxa"/>
        </w:tblCellMar>
        <w:tblLook w:val="04A0" w:firstRow="1" w:lastRow="0" w:firstColumn="1" w:lastColumn="0" w:noHBand="0" w:noVBand="1"/>
      </w:tblPr>
      <w:tblGrid>
        <w:gridCol w:w="2967"/>
        <w:gridCol w:w="1187"/>
        <w:gridCol w:w="1187"/>
        <w:gridCol w:w="1187"/>
      </w:tblGrid>
      <w:tr w:rsidR="00D75790" w:rsidRPr="00DC371E" w:rsidTr="00695E54">
        <w:trPr>
          <w:trHeight w:val="490"/>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vAlign w:val="center"/>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b/>
                <w:sz w:val="18"/>
                <w:szCs w:val="18"/>
                <w:lang w:val="es-ES_tradnl"/>
              </w:rPr>
              <w:t xml:space="preserve">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Presupuesto Recaudo</w:t>
            </w:r>
          </w:p>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b/>
                <w:sz w:val="18"/>
                <w:szCs w:val="18"/>
                <w:lang w:val="es-ES_tradnl"/>
              </w:rPr>
              <w:t>2018</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Presupuesto Recaudo</w:t>
            </w:r>
          </w:p>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b/>
                <w:sz w:val="18"/>
                <w:szCs w:val="18"/>
                <w:lang w:val="es-ES_tradnl"/>
              </w:rPr>
              <w:t>2019</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Presupuesto Recaudo</w:t>
            </w:r>
          </w:p>
          <w:p w:rsidR="00D75790" w:rsidRPr="00DC371E" w:rsidRDefault="00D75790" w:rsidP="00695E54">
            <w:pPr>
              <w:contextualSpacing/>
              <w:jc w:val="center"/>
              <w:rPr>
                <w:rFonts w:ascii="Arial" w:hAnsi="Arial" w:cs="Arial"/>
                <w:b/>
                <w:bCs/>
                <w:sz w:val="18"/>
                <w:szCs w:val="18"/>
                <w:lang w:val="es-ES_tradnl"/>
              </w:rPr>
            </w:pPr>
            <w:r w:rsidRPr="00DC371E">
              <w:rPr>
                <w:rFonts w:ascii="Arial" w:hAnsi="Arial" w:cs="Arial"/>
                <w:b/>
                <w:bCs/>
                <w:sz w:val="18"/>
                <w:szCs w:val="18"/>
                <w:lang w:val="es-ES_tradnl"/>
              </w:rPr>
              <w:t>2020</w:t>
            </w:r>
          </w:p>
        </w:tc>
      </w:tr>
      <w:tr w:rsidR="00D75790" w:rsidRPr="00DC371E" w:rsidTr="00695E54">
        <w:trPr>
          <w:trHeight w:val="304"/>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b/>
                <w:sz w:val="18"/>
                <w:szCs w:val="18"/>
                <w:lang w:val="es-ES_tradnl"/>
              </w:rPr>
              <w:t xml:space="preserve">Ingresos Corrientes APSB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6"/>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6"/>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6"/>
              <w:contextualSpacing/>
              <w:jc w:val="center"/>
              <w:rPr>
                <w:rFonts w:ascii="Arial" w:hAnsi="Arial" w:cs="Arial"/>
                <w:sz w:val="18"/>
                <w:szCs w:val="18"/>
                <w:highlight w:val="yellow"/>
                <w:lang w:val="es-ES_tradnl"/>
              </w:rPr>
            </w:pPr>
          </w:p>
        </w:tc>
      </w:tr>
      <w:tr w:rsidR="00D75790" w:rsidRPr="00DC371E" w:rsidTr="00695E54">
        <w:trPr>
          <w:trHeight w:val="301"/>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Participación APSB Municipio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3"/>
              <w:contextualSpacing/>
              <w:jc w:val="center"/>
              <w:rPr>
                <w:rFonts w:ascii="Arial" w:hAnsi="Arial" w:cs="Arial"/>
                <w:sz w:val="18"/>
                <w:szCs w:val="18"/>
                <w:lang w:val="es-ES_tradnl"/>
              </w:rPr>
            </w:pPr>
            <w:r w:rsidRPr="00DC371E">
              <w:rPr>
                <w:rFonts w:ascii="Arial" w:hAnsi="Arial" w:cs="Arial"/>
                <w:sz w:val="18"/>
                <w:szCs w:val="18"/>
                <w:lang w:val="es-ES_tradnl"/>
              </w:rPr>
              <w:t>3.408</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3"/>
              <w:contextualSpacing/>
              <w:jc w:val="center"/>
              <w:rPr>
                <w:rFonts w:ascii="Arial" w:hAnsi="Arial" w:cs="Arial"/>
                <w:sz w:val="18"/>
                <w:szCs w:val="18"/>
                <w:lang w:val="es-ES_tradnl"/>
              </w:rPr>
            </w:pPr>
            <w:r w:rsidRPr="00DC371E">
              <w:rPr>
                <w:rFonts w:ascii="Arial" w:hAnsi="Arial" w:cs="Arial"/>
                <w:sz w:val="18"/>
                <w:szCs w:val="18"/>
                <w:lang w:val="es-ES_tradnl"/>
              </w:rPr>
              <w:t>3.328</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3"/>
              <w:contextualSpacing/>
              <w:jc w:val="center"/>
              <w:rPr>
                <w:rFonts w:ascii="Arial" w:hAnsi="Arial" w:cs="Arial"/>
                <w:sz w:val="18"/>
                <w:szCs w:val="18"/>
                <w:lang w:val="es-ES_tradnl"/>
              </w:rPr>
            </w:pPr>
            <w:r w:rsidRPr="00DC371E">
              <w:rPr>
                <w:rFonts w:ascii="Arial" w:hAnsi="Arial" w:cs="Arial"/>
                <w:sz w:val="18"/>
                <w:szCs w:val="18"/>
                <w:lang w:val="es-ES_tradnl"/>
              </w:rPr>
              <w:t>4.613</w:t>
            </w:r>
          </w:p>
        </w:tc>
      </w:tr>
      <w:tr w:rsidR="00D75790" w:rsidRPr="00DC371E" w:rsidTr="00695E54">
        <w:trPr>
          <w:trHeight w:val="293"/>
          <w:jc w:val="center"/>
        </w:trPr>
        <w:tc>
          <w:tcPr>
            <w:tcW w:w="2967" w:type="dxa"/>
            <w:tcBorders>
              <w:top w:val="nil"/>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Participación APSB Departamento </w:t>
            </w:r>
          </w:p>
        </w:tc>
        <w:tc>
          <w:tcPr>
            <w:tcW w:w="1187" w:type="dxa"/>
            <w:tcBorders>
              <w:top w:val="nil"/>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r w:rsidRPr="00DC371E">
              <w:rPr>
                <w:rFonts w:ascii="Arial" w:hAnsi="Arial" w:cs="Arial"/>
                <w:sz w:val="18"/>
                <w:szCs w:val="18"/>
                <w:lang w:val="es-ES_tradnl"/>
              </w:rPr>
              <w:t>773</w:t>
            </w:r>
          </w:p>
        </w:tc>
        <w:tc>
          <w:tcPr>
            <w:tcW w:w="1187" w:type="dxa"/>
            <w:tcBorders>
              <w:top w:val="nil"/>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r w:rsidRPr="00DC371E">
              <w:rPr>
                <w:rFonts w:ascii="Arial" w:hAnsi="Arial" w:cs="Arial"/>
                <w:sz w:val="18"/>
                <w:szCs w:val="18"/>
                <w:lang w:val="es-ES_tradnl"/>
              </w:rPr>
              <w:t>574</w:t>
            </w:r>
          </w:p>
        </w:tc>
        <w:tc>
          <w:tcPr>
            <w:tcW w:w="1187" w:type="dxa"/>
            <w:tcBorders>
              <w:top w:val="nil"/>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r w:rsidRPr="00DC371E">
              <w:rPr>
                <w:rFonts w:ascii="Arial" w:hAnsi="Arial" w:cs="Arial"/>
                <w:sz w:val="18"/>
                <w:szCs w:val="18"/>
                <w:lang w:val="es-ES_tradnl"/>
              </w:rPr>
              <w:t>965</w:t>
            </w:r>
          </w:p>
        </w:tc>
      </w:tr>
      <w:tr w:rsidR="00D75790" w:rsidRPr="00DC371E" w:rsidTr="00695E54">
        <w:trPr>
          <w:trHeight w:val="304"/>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SGP APSB SSF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right="37"/>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right="37"/>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right="37"/>
              <w:contextualSpacing/>
              <w:jc w:val="center"/>
              <w:rPr>
                <w:rFonts w:ascii="Arial" w:hAnsi="Arial" w:cs="Arial"/>
                <w:sz w:val="18"/>
                <w:szCs w:val="18"/>
                <w:lang w:val="es-ES_tradnl"/>
              </w:rPr>
            </w:pPr>
          </w:p>
        </w:tc>
      </w:tr>
      <w:tr w:rsidR="00D75790" w:rsidRPr="00DC371E" w:rsidTr="00695E54">
        <w:trPr>
          <w:trHeight w:val="302"/>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SGP Agua Potable y Saneamiento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r>
      <w:tr w:rsidR="00D75790" w:rsidRPr="00DC371E" w:rsidTr="00695E54">
        <w:trPr>
          <w:trHeight w:val="304"/>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b/>
                <w:sz w:val="18"/>
                <w:szCs w:val="18"/>
                <w:lang w:val="es-ES_tradnl"/>
              </w:rPr>
              <w:t xml:space="preserve">Recursos de Capital APSB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r>
      <w:tr w:rsidR="00D75790" w:rsidRPr="00DC371E" w:rsidTr="00695E54">
        <w:trPr>
          <w:trHeight w:val="304"/>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Superávit fiscal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right="39"/>
              <w:contextualSpacing/>
              <w:jc w:val="center"/>
              <w:rPr>
                <w:rFonts w:ascii="Arial" w:hAnsi="Arial" w:cs="Arial"/>
                <w:sz w:val="18"/>
                <w:szCs w:val="18"/>
                <w:lang w:val="es-ES_tradnl"/>
              </w:rPr>
            </w:pPr>
            <w:r w:rsidRPr="00DC371E">
              <w:rPr>
                <w:rFonts w:ascii="Arial" w:hAnsi="Arial" w:cs="Arial"/>
                <w:sz w:val="18"/>
                <w:szCs w:val="18"/>
                <w:lang w:val="es-ES_tradnl"/>
              </w:rPr>
              <w:t>4.706</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right="39"/>
              <w:contextualSpacing/>
              <w:jc w:val="center"/>
              <w:rPr>
                <w:rFonts w:ascii="Arial" w:hAnsi="Arial" w:cs="Arial"/>
                <w:sz w:val="18"/>
                <w:szCs w:val="18"/>
                <w:lang w:val="es-ES_tradnl"/>
              </w:rPr>
            </w:pPr>
            <w:r w:rsidRPr="00DC371E">
              <w:rPr>
                <w:rFonts w:ascii="Arial" w:hAnsi="Arial" w:cs="Arial"/>
                <w:sz w:val="18"/>
                <w:szCs w:val="18"/>
                <w:lang w:val="es-ES_tradnl"/>
              </w:rPr>
              <w:t>234</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right="39"/>
              <w:contextualSpacing/>
              <w:jc w:val="center"/>
              <w:rPr>
                <w:rFonts w:ascii="Arial" w:hAnsi="Arial" w:cs="Arial"/>
                <w:sz w:val="18"/>
                <w:szCs w:val="18"/>
                <w:lang w:val="es-ES_tradnl"/>
              </w:rPr>
            </w:pPr>
          </w:p>
        </w:tc>
      </w:tr>
      <w:tr w:rsidR="00D75790" w:rsidRPr="00DC371E" w:rsidTr="00695E54">
        <w:trPr>
          <w:trHeight w:val="302"/>
          <w:jc w:val="center"/>
        </w:trPr>
        <w:tc>
          <w:tcPr>
            <w:tcW w:w="2967" w:type="dxa"/>
            <w:tcBorders>
              <w:top w:val="single" w:sz="8" w:space="0" w:color="666699"/>
              <w:left w:val="single" w:sz="8" w:space="0" w:color="666699"/>
              <w:bottom w:val="single" w:sz="8" w:space="0" w:color="666699"/>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Rendimientos financieros </w:t>
            </w: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p>
        </w:tc>
        <w:tc>
          <w:tcPr>
            <w:tcW w:w="1187" w:type="dxa"/>
            <w:tcBorders>
              <w:top w:val="single" w:sz="8" w:space="0" w:color="60497A"/>
              <w:left w:val="single" w:sz="8" w:space="0" w:color="000000"/>
              <w:bottom w:val="single" w:sz="8" w:space="0" w:color="60497A"/>
              <w:right w:val="single" w:sz="8" w:space="0" w:color="000000"/>
            </w:tcBorders>
            <w:shd w:val="clear" w:color="auto" w:fill="DBE5F1" w:themeFill="accent1" w:themeFillTint="33"/>
            <w:vAlign w:val="center"/>
          </w:tcPr>
          <w:p w:rsidR="00D75790" w:rsidRPr="00DC371E" w:rsidRDefault="00D75790" w:rsidP="00695E54">
            <w:pPr>
              <w:ind w:left="4"/>
              <w:contextualSpacing/>
              <w:jc w:val="center"/>
              <w:rPr>
                <w:rFonts w:ascii="Arial" w:hAnsi="Arial" w:cs="Arial"/>
                <w:sz w:val="18"/>
                <w:szCs w:val="18"/>
                <w:lang w:val="es-ES_tradnl"/>
              </w:rPr>
            </w:pPr>
            <w:r w:rsidRPr="00DC371E">
              <w:rPr>
                <w:rFonts w:ascii="Arial" w:hAnsi="Arial" w:cs="Arial"/>
                <w:sz w:val="18"/>
                <w:szCs w:val="18"/>
                <w:lang w:val="es-ES_tradnl"/>
              </w:rPr>
              <w:t>98</w:t>
            </w:r>
          </w:p>
        </w:tc>
      </w:tr>
      <w:tr w:rsidR="00D75790" w:rsidRPr="00DC371E" w:rsidTr="00695E54">
        <w:trPr>
          <w:trHeight w:val="300"/>
          <w:jc w:val="center"/>
        </w:trPr>
        <w:tc>
          <w:tcPr>
            <w:tcW w:w="2967" w:type="dxa"/>
            <w:tcBorders>
              <w:top w:val="single" w:sz="8" w:space="0" w:color="666699"/>
              <w:left w:val="single" w:sz="8" w:space="0" w:color="000000"/>
              <w:bottom w:val="single" w:sz="8" w:space="0" w:color="000000"/>
              <w:right w:val="single" w:sz="8" w:space="0" w:color="000000"/>
            </w:tcBorders>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b/>
                <w:sz w:val="18"/>
                <w:szCs w:val="18"/>
                <w:lang w:val="es-ES_tradnl"/>
              </w:rPr>
              <w:t xml:space="preserve">INGRESOS TOTALES APSB </w:t>
            </w:r>
          </w:p>
        </w:tc>
        <w:tc>
          <w:tcPr>
            <w:tcW w:w="1187" w:type="dxa"/>
            <w:tcBorders>
              <w:top w:val="single" w:sz="8" w:space="0" w:color="60497A"/>
              <w:left w:val="single" w:sz="8" w:space="0" w:color="000000"/>
              <w:bottom w:val="single" w:sz="8" w:space="0" w:color="000000"/>
              <w:right w:val="single" w:sz="8" w:space="0" w:color="000000"/>
            </w:tcBorders>
            <w:shd w:val="clear" w:color="auto" w:fill="DBE5F1" w:themeFill="accent1" w:themeFillTint="33"/>
            <w:vAlign w:val="center"/>
          </w:tcPr>
          <w:p w:rsidR="00D75790" w:rsidRPr="00DC371E" w:rsidRDefault="00D75790" w:rsidP="00695E54">
            <w:pPr>
              <w:ind w:right="39"/>
              <w:contextualSpacing/>
              <w:jc w:val="center"/>
              <w:rPr>
                <w:rFonts w:ascii="Arial" w:hAnsi="Arial" w:cs="Arial"/>
                <w:b/>
                <w:sz w:val="18"/>
                <w:szCs w:val="18"/>
                <w:lang w:val="es-ES_tradnl"/>
              </w:rPr>
            </w:pPr>
            <w:r w:rsidRPr="00DC371E">
              <w:rPr>
                <w:rFonts w:ascii="Arial" w:hAnsi="Arial" w:cs="Arial"/>
                <w:b/>
                <w:sz w:val="18"/>
                <w:szCs w:val="18"/>
                <w:lang w:val="es-ES_tradnl"/>
              </w:rPr>
              <w:t>8.887</w:t>
            </w:r>
          </w:p>
        </w:tc>
        <w:tc>
          <w:tcPr>
            <w:tcW w:w="1187" w:type="dxa"/>
            <w:tcBorders>
              <w:top w:val="single" w:sz="8" w:space="0" w:color="60497A"/>
              <w:left w:val="single" w:sz="8" w:space="0" w:color="000000"/>
              <w:bottom w:val="single" w:sz="8" w:space="0" w:color="000000"/>
              <w:right w:val="single" w:sz="8" w:space="0" w:color="000000"/>
            </w:tcBorders>
            <w:shd w:val="clear" w:color="auto" w:fill="DBE5F1" w:themeFill="accent1" w:themeFillTint="33"/>
            <w:vAlign w:val="center"/>
          </w:tcPr>
          <w:p w:rsidR="00D75790" w:rsidRPr="00DC371E" w:rsidRDefault="00D75790" w:rsidP="00695E54">
            <w:pPr>
              <w:ind w:right="39"/>
              <w:contextualSpacing/>
              <w:jc w:val="center"/>
              <w:rPr>
                <w:rFonts w:ascii="Arial" w:hAnsi="Arial" w:cs="Arial"/>
                <w:b/>
                <w:sz w:val="18"/>
                <w:szCs w:val="18"/>
                <w:lang w:val="es-ES_tradnl"/>
              </w:rPr>
            </w:pPr>
            <w:r w:rsidRPr="00DC371E">
              <w:rPr>
                <w:rFonts w:ascii="Arial" w:hAnsi="Arial" w:cs="Arial"/>
                <w:b/>
                <w:sz w:val="18"/>
                <w:szCs w:val="18"/>
                <w:lang w:val="es-ES_tradnl"/>
              </w:rPr>
              <w:t>4.136</w:t>
            </w:r>
          </w:p>
        </w:tc>
        <w:tc>
          <w:tcPr>
            <w:tcW w:w="1187" w:type="dxa"/>
            <w:tcBorders>
              <w:top w:val="single" w:sz="8" w:space="0" w:color="60497A"/>
              <w:left w:val="single" w:sz="8" w:space="0" w:color="000000"/>
              <w:bottom w:val="single" w:sz="8" w:space="0" w:color="000000"/>
              <w:right w:val="single" w:sz="8" w:space="0" w:color="000000"/>
            </w:tcBorders>
            <w:shd w:val="clear" w:color="auto" w:fill="DBE5F1" w:themeFill="accent1" w:themeFillTint="33"/>
            <w:vAlign w:val="center"/>
          </w:tcPr>
          <w:p w:rsidR="00D75790" w:rsidRPr="00DC371E" w:rsidRDefault="00D75790" w:rsidP="00695E54">
            <w:pPr>
              <w:ind w:right="39"/>
              <w:contextualSpacing/>
              <w:jc w:val="center"/>
              <w:rPr>
                <w:rFonts w:ascii="Arial" w:hAnsi="Arial" w:cs="Arial"/>
                <w:b/>
                <w:sz w:val="18"/>
                <w:szCs w:val="18"/>
                <w:lang w:val="es-ES_tradnl"/>
              </w:rPr>
            </w:pPr>
            <w:r w:rsidRPr="00DC371E">
              <w:rPr>
                <w:rFonts w:ascii="Arial" w:hAnsi="Arial" w:cs="Arial"/>
                <w:b/>
                <w:sz w:val="18"/>
                <w:szCs w:val="18"/>
                <w:lang w:val="es-ES_tradnl"/>
              </w:rPr>
              <w:t>5.676</w:t>
            </w:r>
          </w:p>
        </w:tc>
      </w:tr>
    </w:tbl>
    <w:p w:rsidR="00D75790" w:rsidRPr="00DC371E" w:rsidRDefault="00D75790" w:rsidP="00D75790">
      <w:pPr>
        <w:ind w:left="363" w:right="358"/>
        <w:contextualSpacing/>
        <w:jc w:val="center"/>
        <w:rPr>
          <w:rFonts w:ascii="Arial" w:hAnsi="Arial" w:cs="Arial"/>
          <w:lang w:val="es-ES_tradnl"/>
        </w:rPr>
      </w:pPr>
      <w:r w:rsidRPr="00DC371E">
        <w:rPr>
          <w:rFonts w:ascii="Arial" w:hAnsi="Arial" w:cs="Arial"/>
          <w:sz w:val="16"/>
          <w:lang w:val="es-ES_tradnl"/>
        </w:rPr>
        <w:t>Fuente: Ejecuciones presupuestales</w:t>
      </w:r>
    </w:p>
    <w:p w:rsidR="00D75790" w:rsidRPr="00E46D41" w:rsidRDefault="00D75790" w:rsidP="00D75790">
      <w:pPr>
        <w:contextualSpacing/>
        <w:rPr>
          <w:rFonts w:ascii="Arial" w:hAnsi="Arial" w:cs="Arial"/>
          <w:sz w:val="22"/>
          <w:highlight w:val="yellow"/>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 xml:space="preserve">La </w:t>
      </w:r>
      <w:r>
        <w:rPr>
          <w:rFonts w:ascii="Arial" w:hAnsi="Arial" w:cs="Arial"/>
          <w:sz w:val="22"/>
          <w:szCs w:val="22"/>
          <w:lang w:val="es-ES_tradnl"/>
        </w:rPr>
        <w:t>E</w:t>
      </w:r>
      <w:r w:rsidRPr="00DC371E">
        <w:rPr>
          <w:rFonts w:ascii="Arial" w:hAnsi="Arial" w:cs="Arial"/>
          <w:sz w:val="22"/>
          <w:szCs w:val="22"/>
          <w:lang w:val="es-ES_tradnl"/>
        </w:rPr>
        <w:t xml:space="preserve">ntidad en la ejecución presupuestal reflejó recaudos a 2019 por concepto de superávit por $234 millones, aunque con el ejercicio presupuestal del cierre fiscal de la vigencia anterior realizado por </w:t>
      </w:r>
      <w:r>
        <w:rPr>
          <w:rFonts w:ascii="Arial" w:hAnsi="Arial" w:cs="Arial"/>
          <w:sz w:val="22"/>
          <w:szCs w:val="22"/>
          <w:lang w:val="es-ES_tradnl"/>
        </w:rPr>
        <w:t>esta Dirección</w:t>
      </w:r>
      <w:r w:rsidRPr="00DC371E">
        <w:rPr>
          <w:rFonts w:ascii="Arial" w:hAnsi="Arial" w:cs="Arial"/>
          <w:sz w:val="22"/>
          <w:szCs w:val="22"/>
          <w:lang w:val="es-ES_tradnl"/>
        </w:rPr>
        <w:t>, se obtuvo superávit por $5.507 millones, cifras totalmente diferentes.</w:t>
      </w:r>
    </w:p>
    <w:p w:rsidR="00D75790" w:rsidRPr="00DC371E" w:rsidRDefault="00D75790" w:rsidP="00D75790">
      <w:pPr>
        <w:shd w:val="clear" w:color="auto" w:fill="FFFFFF"/>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rPr>
      </w:pPr>
      <w:r w:rsidRPr="00DC371E">
        <w:rPr>
          <w:rFonts w:ascii="Arial" w:hAnsi="Arial" w:cs="Arial"/>
          <w:sz w:val="22"/>
        </w:rPr>
        <w:t>En la vigencia 2019</w:t>
      </w:r>
      <w:r w:rsidRPr="00DC371E">
        <w:rPr>
          <w:rFonts w:ascii="Arial" w:hAnsi="Arial" w:cs="Arial"/>
          <w:sz w:val="22"/>
          <w:szCs w:val="22"/>
        </w:rPr>
        <w:t>,</w:t>
      </w:r>
      <w:r w:rsidRPr="00DC371E">
        <w:rPr>
          <w:rFonts w:ascii="Arial" w:hAnsi="Arial" w:cs="Arial"/>
          <w:sz w:val="22"/>
        </w:rPr>
        <w:t xml:space="preserve"> el ingreso</w:t>
      </w:r>
      <w:r w:rsidRPr="00DC371E">
        <w:rPr>
          <w:rFonts w:ascii="Arial" w:hAnsi="Arial" w:cs="Arial"/>
          <w:sz w:val="22"/>
          <w:szCs w:val="22"/>
        </w:rPr>
        <w:t xml:space="preserve"> fue</w:t>
      </w:r>
      <w:r w:rsidRPr="00DC371E">
        <w:rPr>
          <w:rFonts w:ascii="Arial" w:hAnsi="Arial" w:cs="Arial"/>
          <w:sz w:val="22"/>
        </w:rPr>
        <w:t xml:space="preserve"> valorado de manera errónea en el recaudo de la ejecución presupuestal, ya que la transferencia sectorial ($4.866 millones) fue superior a la presupuestada ($3.902 millones).</w:t>
      </w:r>
    </w:p>
    <w:p w:rsidR="00D75790" w:rsidRPr="00DC371E" w:rsidRDefault="00D75790" w:rsidP="00D75790">
      <w:pPr>
        <w:contextualSpacing/>
        <w:jc w:val="both"/>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Para la vigencia 2020 de acuerdo con la ejecución presupuestal, la Entidad recaudó $5.676 millones, de los cuales $5.578 correspondieron a la transferencia de los recursos sectoriales del SGP APSB ($4.613 millones como Municipio y $965 millones como Departamento). $98 millones provinieron de rendimientos financieros.</w:t>
      </w:r>
    </w:p>
    <w:p w:rsidR="00D75790" w:rsidRPr="00DC371E" w:rsidRDefault="00D75790" w:rsidP="00D75790">
      <w:pPr>
        <w:contextualSpacing/>
        <w:jc w:val="both"/>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Llama la atención que la Entidad por concepto de las transferencias sectoriales recibió un menor valor $4.769 millones ($3.928 por Municipio y $841 millones como Departamento), de acuerdo con la distribución sectorial y la información publicada por el MVCT. La diferencia entre la ejecución presupuestal y la información oficial (Documentos de distribución, MVCT) de la cuenta del recaudo del SGP APSB Municipio y Departamento fue de $809 millones.</w:t>
      </w:r>
    </w:p>
    <w:p w:rsidR="00D75790" w:rsidRPr="00DC371E" w:rsidRDefault="00D75790" w:rsidP="00D75790">
      <w:pPr>
        <w:contextualSpacing/>
        <w:jc w:val="both"/>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Por otro lado</w:t>
      </w:r>
      <w:r>
        <w:rPr>
          <w:rFonts w:ascii="Arial" w:hAnsi="Arial" w:cs="Arial"/>
          <w:sz w:val="22"/>
        </w:rPr>
        <w:t>,</w:t>
      </w:r>
      <w:r w:rsidRPr="00DC371E">
        <w:rPr>
          <w:rFonts w:ascii="Arial" w:hAnsi="Arial" w:cs="Arial"/>
          <w:sz w:val="22"/>
        </w:rPr>
        <w:t xml:space="preserve"> y de acuerdo con el reporte al FUT de ingresos 2020, $1.835 millones fueron recaudos sin situación de fondos, los cuales correspondieron al giro directo solicitado por Veolia Aguas del Archipiélago y autorizado por el MVCT, para el pago corriente de los subsidios de acueducto y alcantarillado. La cifra del MVCT es diferente en $10 millones</w:t>
      </w:r>
      <w:r>
        <w:rPr>
          <w:rFonts w:ascii="Arial" w:hAnsi="Arial" w:cs="Arial"/>
          <w:sz w:val="22"/>
        </w:rPr>
        <w:t>,</w:t>
      </w:r>
      <w:r w:rsidRPr="00DC371E">
        <w:rPr>
          <w:rFonts w:ascii="Arial" w:hAnsi="Arial" w:cs="Arial"/>
          <w:sz w:val="22"/>
        </w:rPr>
        <w:t xml:space="preserve"> $1.845 millones.</w:t>
      </w:r>
    </w:p>
    <w:p w:rsidR="00D75790" w:rsidRPr="00DC371E" w:rsidRDefault="00D75790" w:rsidP="00D75790">
      <w:pPr>
        <w:contextualSpacing/>
        <w:jc w:val="both"/>
        <w:rPr>
          <w:rFonts w:ascii="Arial" w:hAnsi="Arial" w:cs="Arial"/>
          <w:bCs/>
          <w:sz w:val="22"/>
          <w:szCs w:val="22"/>
          <w:highlight w:val="yellow"/>
          <w:lang w:val="es-ES_tradnl"/>
        </w:rPr>
      </w:pPr>
    </w:p>
    <w:p w:rsidR="00D75790" w:rsidRPr="00DC371E" w:rsidRDefault="00D75790" w:rsidP="00D75790">
      <w:pPr>
        <w:keepNext/>
        <w:keepLines/>
        <w:ind w:left="-5" w:hanging="10"/>
        <w:contextualSpacing/>
        <w:jc w:val="both"/>
        <w:outlineLvl w:val="2"/>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lastRenderedPageBreak/>
        <w:t>3.3. GASTOS</w:t>
      </w:r>
      <w:r>
        <w:rPr>
          <w:rFonts w:ascii="Arial" w:hAnsi="Arial" w:cs="Arial"/>
          <w:b/>
          <w:color w:val="000000"/>
          <w:sz w:val="22"/>
          <w:szCs w:val="22"/>
          <w:lang w:val="es-ES_tradnl" w:eastAsia="es-CO"/>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bCs/>
          <w:sz w:val="22"/>
          <w:szCs w:val="22"/>
          <w:lang w:val="es-ES_tradnl"/>
        </w:rPr>
        <w:t xml:space="preserve">En 2018 </w:t>
      </w:r>
      <w:r w:rsidRPr="00DC371E">
        <w:rPr>
          <w:rFonts w:ascii="Arial" w:hAnsi="Arial" w:cs="Arial"/>
          <w:sz w:val="22"/>
          <w:szCs w:val="22"/>
          <w:lang w:val="es-ES_tradnl"/>
        </w:rPr>
        <w:t>se comprometieron, obligaron y pagaron $3.380 millones al cierre de la vigencia, de acuerdo con la información reportada por la Entidad al Formulario Único Territorial - FUT.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Teniendo en cuenta el reporte al Formato de Registros Presupuestales $3.380 millones comprometidos, fueron destinados a la financiación del Plan Departamental de Agua. Bajo el concepto de la formulación, implementación y acciones de fortalecimiento para la administración y operación de los servicios, reportaron al FUT compromisos por $772 millones.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spacing w:after="200"/>
        <w:contextualSpacing/>
        <w:jc w:val="both"/>
        <w:rPr>
          <w:rFonts w:ascii="Arial" w:hAnsi="Arial" w:cs="Arial"/>
          <w:bCs/>
          <w:sz w:val="22"/>
          <w:szCs w:val="22"/>
          <w:lang w:val="es-ES_tradnl"/>
        </w:rPr>
      </w:pPr>
      <w:r w:rsidRPr="00DC371E">
        <w:rPr>
          <w:rFonts w:ascii="Arial" w:hAnsi="Arial" w:cs="Arial"/>
          <w:bCs/>
          <w:sz w:val="22"/>
          <w:szCs w:val="22"/>
          <w:lang w:val="es-ES_tradnl"/>
        </w:rPr>
        <w:t xml:space="preserve">Los compromisos al cierre del 2019 fueron $12.067 millones de los cuales $3.031 millones provinieron de recursos con destinación específica del SGP - APSB ($863 millones Departamento y $2.168 millones de Municipio), se generaron obligaciones y pagos por $428 millones, correspondientes a la Participación por concepto de Departamento. De conformidad con la ejecución presupuestal, el concepto por medio del cual se efectuó esta inversión fue </w:t>
      </w:r>
      <w:r w:rsidRPr="00DC371E">
        <w:rPr>
          <w:rFonts w:ascii="Arial" w:hAnsi="Arial" w:cs="Arial"/>
          <w:bCs/>
          <w:i/>
          <w:iCs/>
          <w:sz w:val="22"/>
          <w:szCs w:val="22"/>
          <w:lang w:val="es-ES_tradnl"/>
        </w:rPr>
        <w:t>“Mejoramiento de la Prestación de los Servicios Públicos en el Departamento de San Andrés, Isla Caribe – Departamento”</w:t>
      </w:r>
      <w:r w:rsidRPr="00DC371E">
        <w:rPr>
          <w:rFonts w:ascii="Arial" w:hAnsi="Arial" w:cs="Arial"/>
          <w:bCs/>
          <w:sz w:val="22"/>
          <w:szCs w:val="22"/>
          <w:lang w:val="es-ES_tradnl"/>
        </w:rPr>
        <w:t>.</w:t>
      </w:r>
    </w:p>
    <w:p w:rsidR="00D75790" w:rsidRPr="00DC371E" w:rsidRDefault="00D75790" w:rsidP="00D75790">
      <w:pPr>
        <w:spacing w:after="200"/>
        <w:contextualSpacing/>
        <w:jc w:val="both"/>
        <w:rPr>
          <w:rFonts w:ascii="Arial" w:hAnsi="Arial" w:cs="Arial"/>
          <w:bCs/>
          <w:sz w:val="22"/>
          <w:szCs w:val="22"/>
          <w:lang w:val="es-ES_tradnl"/>
        </w:rPr>
      </w:pPr>
    </w:p>
    <w:p w:rsidR="00D75790" w:rsidRPr="00DC371E" w:rsidRDefault="00D75790" w:rsidP="00D75790">
      <w:pPr>
        <w:contextualSpacing/>
        <w:jc w:val="both"/>
        <w:rPr>
          <w:rFonts w:ascii="Arial" w:hAnsi="Arial" w:cs="Arial"/>
          <w:i/>
          <w:iCs/>
          <w:sz w:val="22"/>
          <w:szCs w:val="22"/>
          <w:lang w:val="es-ES_tradnl"/>
        </w:rPr>
      </w:pPr>
      <w:r w:rsidRPr="00DC371E">
        <w:rPr>
          <w:rFonts w:ascii="Arial" w:hAnsi="Arial" w:cs="Arial"/>
          <w:sz w:val="22"/>
          <w:szCs w:val="22"/>
          <w:lang w:val="es-ES_tradnl"/>
        </w:rPr>
        <w:t>De acuerdo con la información reportada al FUT por la Entidad, los recursos comprometidos concuerdan con los montos comprometidos, obligados y pagados. El concepto de inversión fue “</w:t>
      </w:r>
      <w:r w:rsidRPr="00DC371E">
        <w:rPr>
          <w:rFonts w:ascii="Arial" w:hAnsi="Arial" w:cs="Arial"/>
          <w:i/>
          <w:iCs/>
          <w:sz w:val="22"/>
          <w:szCs w:val="22"/>
          <w:lang w:val="es-ES_tradnl"/>
        </w:rPr>
        <w:t>ASEO FORTALECIMIENTO INSTITUCIONAL”.</w:t>
      </w:r>
    </w:p>
    <w:p w:rsidR="00D75790" w:rsidRPr="00DC371E" w:rsidRDefault="00D75790" w:rsidP="00D75790">
      <w:pPr>
        <w:contextualSpacing/>
        <w:jc w:val="both"/>
        <w:rPr>
          <w:rFonts w:ascii="Arial" w:hAnsi="Arial" w:cs="Arial"/>
          <w:sz w:val="22"/>
          <w:szCs w:val="22"/>
          <w:highlight w:val="yellow"/>
          <w:lang w:val="es-ES_tradnl"/>
        </w:rPr>
      </w:pPr>
    </w:p>
    <w:p w:rsidR="00D75790" w:rsidRPr="00E46D41" w:rsidRDefault="00D75790" w:rsidP="00D75790">
      <w:pPr>
        <w:keepNext/>
        <w:keepLines/>
        <w:ind w:left="10" w:right="1" w:hanging="10"/>
        <w:contextualSpacing/>
        <w:jc w:val="center"/>
        <w:outlineLvl w:val="2"/>
        <w:rPr>
          <w:rFonts w:ascii="Arial" w:hAnsi="Arial" w:cs="Arial"/>
          <w:b/>
          <w:color w:val="000000"/>
          <w:sz w:val="20"/>
          <w:szCs w:val="22"/>
          <w:lang w:val="es-ES_tradnl" w:eastAsia="es-CO"/>
        </w:rPr>
      </w:pPr>
      <w:r w:rsidRPr="00E46D41">
        <w:rPr>
          <w:rFonts w:ascii="Arial" w:hAnsi="Arial" w:cs="Arial"/>
          <w:b/>
          <w:color w:val="000000"/>
          <w:sz w:val="20"/>
          <w:szCs w:val="22"/>
          <w:lang w:val="es-ES_tradnl" w:eastAsia="es-CO"/>
        </w:rPr>
        <w:t xml:space="preserve">TABLA 12: GASTOS APSB </w:t>
      </w:r>
    </w:p>
    <w:p w:rsidR="00D75790" w:rsidRPr="00E46D41" w:rsidRDefault="00D75790" w:rsidP="00D75790">
      <w:pPr>
        <w:keepNext/>
        <w:keepLines/>
        <w:ind w:left="10" w:right="1" w:hanging="10"/>
        <w:contextualSpacing/>
        <w:jc w:val="center"/>
        <w:outlineLvl w:val="2"/>
        <w:rPr>
          <w:rFonts w:ascii="Arial" w:hAnsi="Arial" w:cs="Arial"/>
          <w:sz w:val="20"/>
          <w:szCs w:val="22"/>
          <w:lang w:val="es-ES_tradnl"/>
        </w:rPr>
      </w:pPr>
      <w:r w:rsidRPr="00E46D41">
        <w:rPr>
          <w:rFonts w:ascii="Arial" w:hAnsi="Arial" w:cs="Arial"/>
          <w:b/>
          <w:color w:val="000000"/>
          <w:sz w:val="20"/>
          <w:szCs w:val="22"/>
          <w:lang w:val="es-ES_tradnl" w:eastAsia="es-CO"/>
        </w:rPr>
        <w:t xml:space="preserve">(CIFRAS EN MILLONES) </w:t>
      </w:r>
    </w:p>
    <w:tbl>
      <w:tblPr>
        <w:tblStyle w:val="Tablaconcuadrcula1"/>
        <w:tblW w:w="86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bottom w:w="20" w:type="dxa"/>
          <w:right w:w="63" w:type="dxa"/>
        </w:tblCellMar>
        <w:tblLook w:val="04A0" w:firstRow="1" w:lastRow="0" w:firstColumn="1" w:lastColumn="0" w:noHBand="0" w:noVBand="1"/>
      </w:tblPr>
      <w:tblGrid>
        <w:gridCol w:w="1171"/>
        <w:gridCol w:w="809"/>
        <w:gridCol w:w="992"/>
        <w:gridCol w:w="863"/>
        <w:gridCol w:w="696"/>
        <w:gridCol w:w="933"/>
        <w:gridCol w:w="552"/>
        <w:gridCol w:w="12"/>
        <w:gridCol w:w="812"/>
        <w:gridCol w:w="992"/>
        <w:gridCol w:w="796"/>
        <w:gridCol w:w="9"/>
      </w:tblGrid>
      <w:tr w:rsidR="00D75790" w:rsidRPr="00DC371E" w:rsidTr="00695E54">
        <w:trPr>
          <w:gridAfter w:val="1"/>
          <w:wAfter w:w="9" w:type="dxa"/>
          <w:trHeight w:val="255"/>
          <w:jc w:val="center"/>
        </w:trPr>
        <w:tc>
          <w:tcPr>
            <w:tcW w:w="1171" w:type="dxa"/>
            <w:shd w:val="clear" w:color="auto" w:fill="DBE5F1" w:themeFill="accent1" w:themeFillTint="33"/>
            <w:vAlign w:val="bottom"/>
          </w:tcPr>
          <w:p w:rsidR="00D75790" w:rsidRPr="00DC371E" w:rsidRDefault="00D75790" w:rsidP="00695E54">
            <w:pPr>
              <w:contextualSpacing/>
              <w:rPr>
                <w:rFonts w:ascii="Arial" w:hAnsi="Arial" w:cs="Arial"/>
                <w:b/>
                <w:sz w:val="16"/>
                <w:szCs w:val="16"/>
                <w:lang w:val="es-ES_tradnl"/>
              </w:rPr>
            </w:pPr>
          </w:p>
        </w:tc>
        <w:tc>
          <w:tcPr>
            <w:tcW w:w="2664" w:type="dxa"/>
            <w:gridSpan w:val="3"/>
            <w:shd w:val="clear" w:color="auto" w:fill="DBE5F1" w:themeFill="accent1" w:themeFillTint="33"/>
            <w:vAlign w:val="bottom"/>
          </w:tcPr>
          <w:p w:rsidR="00D75790" w:rsidRPr="00DC371E" w:rsidRDefault="00D75790" w:rsidP="00695E54">
            <w:pPr>
              <w:ind w:right="1"/>
              <w:contextualSpacing/>
              <w:jc w:val="center"/>
              <w:rPr>
                <w:rFonts w:ascii="Arial" w:hAnsi="Arial" w:cs="Arial"/>
                <w:b/>
                <w:sz w:val="16"/>
                <w:szCs w:val="16"/>
                <w:lang w:val="es-ES_tradnl"/>
              </w:rPr>
            </w:pPr>
            <w:r w:rsidRPr="00DC371E">
              <w:rPr>
                <w:rFonts w:ascii="Arial" w:hAnsi="Arial" w:cs="Arial"/>
                <w:b/>
                <w:sz w:val="16"/>
                <w:szCs w:val="16"/>
                <w:lang w:val="es-ES_tradnl"/>
              </w:rPr>
              <w:t>2018</w:t>
            </w:r>
          </w:p>
        </w:tc>
        <w:tc>
          <w:tcPr>
            <w:tcW w:w="2193" w:type="dxa"/>
            <w:gridSpan w:val="4"/>
            <w:shd w:val="clear" w:color="auto" w:fill="DBE5F1" w:themeFill="accent1" w:themeFillTint="33"/>
            <w:hideMark/>
          </w:tcPr>
          <w:p w:rsidR="00D75790" w:rsidRPr="00DC371E" w:rsidRDefault="00D75790" w:rsidP="00695E54">
            <w:pPr>
              <w:ind w:right="1"/>
              <w:contextualSpacing/>
              <w:jc w:val="center"/>
              <w:rPr>
                <w:rFonts w:ascii="Arial" w:hAnsi="Arial" w:cs="Arial"/>
                <w:b/>
                <w:sz w:val="16"/>
                <w:szCs w:val="16"/>
                <w:lang w:val="es-ES_tradnl"/>
              </w:rPr>
            </w:pPr>
            <w:r w:rsidRPr="00DC371E">
              <w:rPr>
                <w:rFonts w:ascii="Arial" w:hAnsi="Arial" w:cs="Arial"/>
                <w:b/>
                <w:sz w:val="16"/>
                <w:szCs w:val="16"/>
                <w:lang w:val="es-ES_tradnl"/>
              </w:rPr>
              <w:t>2019</w:t>
            </w:r>
          </w:p>
        </w:tc>
        <w:tc>
          <w:tcPr>
            <w:tcW w:w="2600" w:type="dxa"/>
            <w:gridSpan w:val="3"/>
            <w:shd w:val="clear" w:color="auto" w:fill="DBE5F1" w:themeFill="accent1" w:themeFillTint="33"/>
            <w:hideMark/>
          </w:tcPr>
          <w:p w:rsidR="00D75790" w:rsidRPr="00DC371E" w:rsidRDefault="00D75790" w:rsidP="00695E54">
            <w:pPr>
              <w:ind w:right="1"/>
              <w:contextualSpacing/>
              <w:jc w:val="center"/>
              <w:rPr>
                <w:rFonts w:ascii="Arial" w:hAnsi="Arial" w:cs="Arial"/>
                <w:b/>
                <w:sz w:val="16"/>
                <w:szCs w:val="16"/>
                <w:lang w:val="es-ES_tradnl"/>
              </w:rPr>
            </w:pPr>
            <w:r w:rsidRPr="00DC371E">
              <w:rPr>
                <w:rFonts w:ascii="Arial" w:hAnsi="Arial" w:cs="Arial"/>
                <w:b/>
                <w:sz w:val="16"/>
                <w:szCs w:val="16"/>
                <w:lang w:val="es-ES_tradnl"/>
              </w:rPr>
              <w:t>2020</w:t>
            </w:r>
          </w:p>
        </w:tc>
      </w:tr>
      <w:tr w:rsidR="00D75790" w:rsidRPr="00DC371E" w:rsidTr="00695E54">
        <w:trPr>
          <w:trHeight w:val="255"/>
          <w:jc w:val="center"/>
        </w:trPr>
        <w:tc>
          <w:tcPr>
            <w:tcW w:w="1171" w:type="dxa"/>
            <w:shd w:val="clear" w:color="auto" w:fill="DBE5F1" w:themeFill="accent1" w:themeFillTint="33"/>
            <w:vAlign w:val="bottom"/>
            <w:hideMark/>
          </w:tcPr>
          <w:p w:rsidR="00D75790" w:rsidRPr="00DC371E" w:rsidRDefault="00D75790" w:rsidP="00695E54">
            <w:pPr>
              <w:contextualSpacing/>
              <w:rPr>
                <w:rFonts w:ascii="Arial" w:hAnsi="Arial" w:cs="Arial"/>
                <w:sz w:val="16"/>
                <w:szCs w:val="16"/>
                <w:lang w:val="es-ES_tradnl"/>
              </w:rPr>
            </w:pPr>
            <w:r w:rsidRPr="00DC371E">
              <w:rPr>
                <w:rFonts w:ascii="Arial" w:hAnsi="Arial" w:cs="Arial"/>
                <w:b/>
                <w:sz w:val="16"/>
                <w:szCs w:val="16"/>
                <w:lang w:val="es-ES_tradnl"/>
              </w:rPr>
              <w:t xml:space="preserve">Descripción </w:t>
            </w:r>
          </w:p>
        </w:tc>
        <w:tc>
          <w:tcPr>
            <w:tcW w:w="809" w:type="dxa"/>
            <w:shd w:val="clear" w:color="auto" w:fill="DBE5F1" w:themeFill="accent1" w:themeFillTint="33"/>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Compromiso</w:t>
            </w:r>
          </w:p>
        </w:tc>
        <w:tc>
          <w:tcPr>
            <w:tcW w:w="992" w:type="dxa"/>
            <w:shd w:val="clear" w:color="auto" w:fill="DBE5F1" w:themeFill="accent1" w:themeFillTint="33"/>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Obligación</w:t>
            </w:r>
          </w:p>
        </w:tc>
        <w:tc>
          <w:tcPr>
            <w:tcW w:w="863" w:type="dxa"/>
            <w:shd w:val="clear" w:color="auto" w:fill="DBE5F1" w:themeFill="accent1" w:themeFillTint="33"/>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Pago</w:t>
            </w:r>
          </w:p>
        </w:tc>
        <w:tc>
          <w:tcPr>
            <w:tcW w:w="696" w:type="dxa"/>
            <w:shd w:val="clear" w:color="auto" w:fill="DBE5F1" w:themeFill="accent1" w:themeFillTint="33"/>
            <w:hideMark/>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Compromiso</w:t>
            </w:r>
          </w:p>
        </w:tc>
        <w:tc>
          <w:tcPr>
            <w:tcW w:w="933" w:type="dxa"/>
            <w:shd w:val="clear" w:color="auto" w:fill="DBE5F1" w:themeFill="accent1" w:themeFillTint="33"/>
            <w:hideMark/>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Obligación</w:t>
            </w:r>
          </w:p>
        </w:tc>
        <w:tc>
          <w:tcPr>
            <w:tcW w:w="552" w:type="dxa"/>
            <w:shd w:val="clear" w:color="auto" w:fill="DBE5F1" w:themeFill="accent1" w:themeFillTint="33"/>
            <w:hideMark/>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Pago</w:t>
            </w:r>
          </w:p>
        </w:tc>
        <w:tc>
          <w:tcPr>
            <w:tcW w:w="824" w:type="dxa"/>
            <w:gridSpan w:val="2"/>
            <w:shd w:val="clear" w:color="auto" w:fill="DBE5F1" w:themeFill="accent1" w:themeFillTint="33"/>
            <w:hideMark/>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Compromiso</w:t>
            </w:r>
          </w:p>
        </w:tc>
        <w:tc>
          <w:tcPr>
            <w:tcW w:w="992" w:type="dxa"/>
            <w:shd w:val="clear" w:color="auto" w:fill="DBE5F1" w:themeFill="accent1" w:themeFillTint="33"/>
            <w:hideMark/>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Obligación</w:t>
            </w:r>
          </w:p>
        </w:tc>
        <w:tc>
          <w:tcPr>
            <w:tcW w:w="805" w:type="dxa"/>
            <w:gridSpan w:val="2"/>
            <w:shd w:val="clear" w:color="auto" w:fill="DBE5F1" w:themeFill="accent1" w:themeFillTint="33"/>
            <w:hideMark/>
          </w:tcPr>
          <w:p w:rsidR="00D75790" w:rsidRPr="00DC371E" w:rsidRDefault="00D75790" w:rsidP="00695E54">
            <w:pPr>
              <w:ind w:right="1"/>
              <w:contextualSpacing/>
              <w:jc w:val="center"/>
              <w:rPr>
                <w:rFonts w:ascii="Arial" w:hAnsi="Arial" w:cs="Arial"/>
                <w:b/>
                <w:sz w:val="14"/>
                <w:szCs w:val="14"/>
                <w:lang w:val="es-ES_tradnl"/>
              </w:rPr>
            </w:pPr>
            <w:r w:rsidRPr="00DC371E">
              <w:rPr>
                <w:rFonts w:ascii="Arial" w:hAnsi="Arial" w:cs="Arial"/>
                <w:b/>
                <w:sz w:val="14"/>
                <w:szCs w:val="14"/>
                <w:lang w:val="es-ES_tradnl"/>
              </w:rPr>
              <w:t>Pago</w:t>
            </w:r>
          </w:p>
        </w:tc>
      </w:tr>
      <w:tr w:rsidR="00D75790" w:rsidRPr="00DC371E" w:rsidTr="00695E54">
        <w:trPr>
          <w:trHeight w:val="246"/>
          <w:jc w:val="center"/>
        </w:trPr>
        <w:tc>
          <w:tcPr>
            <w:tcW w:w="1171" w:type="dxa"/>
            <w:shd w:val="clear" w:color="auto" w:fill="DBE5F1" w:themeFill="accent1" w:themeFillTint="33"/>
            <w:vAlign w:val="bottom"/>
          </w:tcPr>
          <w:p w:rsidR="00D75790" w:rsidRPr="00DC371E" w:rsidRDefault="00D75790" w:rsidP="00695E54">
            <w:pPr>
              <w:contextualSpacing/>
              <w:rPr>
                <w:rFonts w:ascii="Arial" w:hAnsi="Arial" w:cs="Arial"/>
                <w:sz w:val="16"/>
                <w:szCs w:val="16"/>
                <w:lang w:val="es-ES_tradnl"/>
              </w:rPr>
            </w:pPr>
            <w:r w:rsidRPr="00DC371E">
              <w:rPr>
                <w:rFonts w:ascii="Arial" w:hAnsi="Arial" w:cs="Arial"/>
                <w:sz w:val="16"/>
                <w:szCs w:val="16"/>
                <w:lang w:val="es-ES_tradnl"/>
              </w:rPr>
              <w:t>Subsidio Acueducto</w:t>
            </w:r>
          </w:p>
        </w:tc>
        <w:tc>
          <w:tcPr>
            <w:tcW w:w="809" w:type="dxa"/>
            <w:shd w:val="clear" w:color="auto" w:fill="DBE5F1" w:themeFill="accent1" w:themeFillTint="33"/>
            <w:vAlign w:val="bottom"/>
          </w:tcPr>
          <w:p w:rsidR="00D75790" w:rsidRPr="00DC371E" w:rsidRDefault="00D75790" w:rsidP="00695E54">
            <w:pPr>
              <w:ind w:left="34"/>
              <w:contextualSpacing/>
              <w:jc w:val="center"/>
              <w:rPr>
                <w:rFonts w:ascii="Arial" w:hAnsi="Arial" w:cs="Arial"/>
                <w:sz w:val="16"/>
                <w:szCs w:val="16"/>
                <w:lang w:val="es-ES_tradnl"/>
              </w:rPr>
            </w:pPr>
          </w:p>
        </w:tc>
        <w:tc>
          <w:tcPr>
            <w:tcW w:w="992" w:type="dxa"/>
            <w:shd w:val="clear" w:color="auto" w:fill="DBE5F1" w:themeFill="accent1" w:themeFillTint="33"/>
            <w:vAlign w:val="bottom"/>
          </w:tcPr>
          <w:p w:rsidR="00D75790" w:rsidRPr="00DC371E" w:rsidRDefault="00D75790" w:rsidP="00695E54">
            <w:pPr>
              <w:ind w:left="36"/>
              <w:contextualSpacing/>
              <w:jc w:val="center"/>
              <w:rPr>
                <w:rFonts w:ascii="Arial" w:hAnsi="Arial" w:cs="Arial"/>
                <w:sz w:val="16"/>
                <w:szCs w:val="16"/>
                <w:lang w:val="es-ES_tradnl"/>
              </w:rPr>
            </w:pPr>
          </w:p>
        </w:tc>
        <w:tc>
          <w:tcPr>
            <w:tcW w:w="863" w:type="dxa"/>
            <w:shd w:val="clear" w:color="auto" w:fill="DBE5F1" w:themeFill="accent1" w:themeFillTint="33"/>
            <w:vAlign w:val="bottom"/>
          </w:tcPr>
          <w:p w:rsidR="00D75790" w:rsidRPr="00DC371E" w:rsidRDefault="00D75790" w:rsidP="00695E54">
            <w:pPr>
              <w:ind w:left="38"/>
              <w:contextualSpacing/>
              <w:jc w:val="center"/>
              <w:rPr>
                <w:rFonts w:ascii="Arial" w:hAnsi="Arial" w:cs="Arial"/>
                <w:sz w:val="16"/>
                <w:szCs w:val="16"/>
                <w:lang w:val="es-ES_tradnl"/>
              </w:rPr>
            </w:pPr>
          </w:p>
        </w:tc>
        <w:tc>
          <w:tcPr>
            <w:tcW w:w="696"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933"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552"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824" w:type="dxa"/>
            <w:gridSpan w:val="2"/>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874</w:t>
            </w:r>
          </w:p>
        </w:tc>
        <w:tc>
          <w:tcPr>
            <w:tcW w:w="992"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874</w:t>
            </w:r>
          </w:p>
        </w:tc>
        <w:tc>
          <w:tcPr>
            <w:tcW w:w="805" w:type="dxa"/>
            <w:gridSpan w:val="2"/>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874</w:t>
            </w:r>
          </w:p>
        </w:tc>
      </w:tr>
      <w:tr w:rsidR="00D75790" w:rsidRPr="00DC371E" w:rsidTr="00695E54">
        <w:trPr>
          <w:trHeight w:val="246"/>
          <w:jc w:val="center"/>
        </w:trPr>
        <w:tc>
          <w:tcPr>
            <w:tcW w:w="1171" w:type="dxa"/>
            <w:shd w:val="clear" w:color="auto" w:fill="DBE5F1" w:themeFill="accent1" w:themeFillTint="33"/>
            <w:vAlign w:val="bottom"/>
          </w:tcPr>
          <w:p w:rsidR="00D75790" w:rsidRPr="00DC371E" w:rsidRDefault="00D75790" w:rsidP="00695E54">
            <w:pPr>
              <w:contextualSpacing/>
              <w:rPr>
                <w:rFonts w:ascii="Arial" w:hAnsi="Arial" w:cs="Arial"/>
                <w:sz w:val="16"/>
                <w:szCs w:val="16"/>
                <w:lang w:val="es-ES_tradnl"/>
              </w:rPr>
            </w:pPr>
            <w:r w:rsidRPr="00DC371E">
              <w:rPr>
                <w:rFonts w:ascii="Arial" w:hAnsi="Arial" w:cs="Arial"/>
                <w:sz w:val="16"/>
                <w:szCs w:val="16"/>
                <w:lang w:val="es-ES_tradnl"/>
              </w:rPr>
              <w:t>Subsidio alcantarillado</w:t>
            </w:r>
          </w:p>
        </w:tc>
        <w:tc>
          <w:tcPr>
            <w:tcW w:w="809" w:type="dxa"/>
            <w:shd w:val="clear" w:color="auto" w:fill="DBE5F1" w:themeFill="accent1" w:themeFillTint="33"/>
            <w:vAlign w:val="bottom"/>
          </w:tcPr>
          <w:p w:rsidR="00D75790" w:rsidRPr="00DC371E" w:rsidRDefault="00D75790" w:rsidP="00695E54">
            <w:pPr>
              <w:ind w:left="34"/>
              <w:contextualSpacing/>
              <w:jc w:val="center"/>
              <w:rPr>
                <w:rFonts w:ascii="Arial" w:hAnsi="Arial" w:cs="Arial"/>
                <w:sz w:val="16"/>
                <w:szCs w:val="16"/>
                <w:lang w:val="es-ES_tradnl"/>
              </w:rPr>
            </w:pPr>
          </w:p>
        </w:tc>
        <w:tc>
          <w:tcPr>
            <w:tcW w:w="992" w:type="dxa"/>
            <w:shd w:val="clear" w:color="auto" w:fill="DBE5F1" w:themeFill="accent1" w:themeFillTint="33"/>
            <w:vAlign w:val="bottom"/>
          </w:tcPr>
          <w:p w:rsidR="00D75790" w:rsidRPr="00DC371E" w:rsidRDefault="00D75790" w:rsidP="00695E54">
            <w:pPr>
              <w:ind w:left="36"/>
              <w:contextualSpacing/>
              <w:jc w:val="center"/>
              <w:rPr>
                <w:rFonts w:ascii="Arial" w:hAnsi="Arial" w:cs="Arial"/>
                <w:sz w:val="16"/>
                <w:szCs w:val="16"/>
                <w:lang w:val="es-ES_tradnl"/>
              </w:rPr>
            </w:pPr>
          </w:p>
        </w:tc>
        <w:tc>
          <w:tcPr>
            <w:tcW w:w="863" w:type="dxa"/>
            <w:shd w:val="clear" w:color="auto" w:fill="DBE5F1" w:themeFill="accent1" w:themeFillTint="33"/>
            <w:vAlign w:val="bottom"/>
          </w:tcPr>
          <w:p w:rsidR="00D75790" w:rsidRPr="00DC371E" w:rsidRDefault="00D75790" w:rsidP="00695E54">
            <w:pPr>
              <w:ind w:left="38"/>
              <w:contextualSpacing/>
              <w:jc w:val="center"/>
              <w:rPr>
                <w:rFonts w:ascii="Arial" w:hAnsi="Arial" w:cs="Arial"/>
                <w:sz w:val="16"/>
                <w:szCs w:val="16"/>
                <w:lang w:val="es-ES_tradnl"/>
              </w:rPr>
            </w:pPr>
          </w:p>
        </w:tc>
        <w:tc>
          <w:tcPr>
            <w:tcW w:w="696"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933"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552"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824" w:type="dxa"/>
            <w:gridSpan w:val="2"/>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78</w:t>
            </w:r>
          </w:p>
        </w:tc>
        <w:tc>
          <w:tcPr>
            <w:tcW w:w="992"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78</w:t>
            </w:r>
          </w:p>
        </w:tc>
        <w:tc>
          <w:tcPr>
            <w:tcW w:w="805" w:type="dxa"/>
            <w:gridSpan w:val="2"/>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78</w:t>
            </w:r>
          </w:p>
        </w:tc>
      </w:tr>
      <w:tr w:rsidR="00D75790" w:rsidRPr="00DC371E" w:rsidTr="00695E54">
        <w:trPr>
          <w:trHeight w:val="246"/>
          <w:jc w:val="center"/>
        </w:trPr>
        <w:tc>
          <w:tcPr>
            <w:tcW w:w="1171" w:type="dxa"/>
            <w:shd w:val="clear" w:color="auto" w:fill="DBE5F1" w:themeFill="accent1" w:themeFillTint="33"/>
            <w:vAlign w:val="bottom"/>
            <w:hideMark/>
          </w:tcPr>
          <w:p w:rsidR="00D75790" w:rsidRPr="00DC371E" w:rsidRDefault="00D75790" w:rsidP="00695E54">
            <w:pPr>
              <w:contextualSpacing/>
              <w:rPr>
                <w:rFonts w:ascii="Arial" w:hAnsi="Arial" w:cs="Arial"/>
                <w:sz w:val="16"/>
                <w:szCs w:val="16"/>
                <w:lang w:val="es-ES_tradnl"/>
              </w:rPr>
            </w:pPr>
            <w:r w:rsidRPr="00DC371E">
              <w:rPr>
                <w:rFonts w:ascii="Arial" w:hAnsi="Arial" w:cs="Arial"/>
                <w:sz w:val="16"/>
                <w:szCs w:val="16"/>
                <w:lang w:val="es-ES_tradnl"/>
              </w:rPr>
              <w:t xml:space="preserve">Mejoramiento de la prestación de los servicios </w:t>
            </w:r>
            <w:r w:rsidR="00E013AF" w:rsidRPr="00DC371E">
              <w:rPr>
                <w:rFonts w:ascii="Arial" w:hAnsi="Arial" w:cs="Arial"/>
                <w:sz w:val="16"/>
                <w:szCs w:val="16"/>
                <w:lang w:val="es-ES_tradnl"/>
              </w:rPr>
              <w:t>Públicos (</w:t>
            </w:r>
            <w:r w:rsidRPr="00DC371E">
              <w:rPr>
                <w:rFonts w:ascii="Arial" w:hAnsi="Arial" w:cs="Arial"/>
                <w:sz w:val="16"/>
                <w:szCs w:val="16"/>
                <w:lang w:val="es-ES_tradnl"/>
              </w:rPr>
              <w:t>Municipio)</w:t>
            </w:r>
          </w:p>
        </w:tc>
        <w:tc>
          <w:tcPr>
            <w:tcW w:w="809" w:type="dxa"/>
            <w:shd w:val="clear" w:color="auto" w:fill="DBE5F1" w:themeFill="accent1" w:themeFillTint="33"/>
            <w:vAlign w:val="bottom"/>
          </w:tcPr>
          <w:p w:rsidR="00D75790" w:rsidRPr="00DC371E" w:rsidRDefault="00D75790" w:rsidP="00695E54">
            <w:pPr>
              <w:ind w:left="34"/>
              <w:contextualSpacing/>
              <w:jc w:val="center"/>
              <w:rPr>
                <w:rFonts w:ascii="Arial" w:hAnsi="Arial" w:cs="Arial"/>
                <w:sz w:val="16"/>
                <w:szCs w:val="16"/>
                <w:lang w:val="es-ES_tradnl"/>
              </w:rPr>
            </w:pPr>
          </w:p>
        </w:tc>
        <w:tc>
          <w:tcPr>
            <w:tcW w:w="992" w:type="dxa"/>
            <w:shd w:val="clear" w:color="auto" w:fill="DBE5F1" w:themeFill="accent1" w:themeFillTint="33"/>
            <w:vAlign w:val="bottom"/>
          </w:tcPr>
          <w:p w:rsidR="00D75790" w:rsidRPr="00DC371E" w:rsidRDefault="00D75790" w:rsidP="00695E54">
            <w:pPr>
              <w:ind w:left="36"/>
              <w:contextualSpacing/>
              <w:jc w:val="center"/>
              <w:rPr>
                <w:rFonts w:ascii="Arial" w:hAnsi="Arial" w:cs="Arial"/>
                <w:sz w:val="16"/>
                <w:szCs w:val="16"/>
                <w:lang w:val="es-ES_tradnl"/>
              </w:rPr>
            </w:pPr>
          </w:p>
        </w:tc>
        <w:tc>
          <w:tcPr>
            <w:tcW w:w="863" w:type="dxa"/>
            <w:shd w:val="clear" w:color="auto" w:fill="DBE5F1" w:themeFill="accent1" w:themeFillTint="33"/>
            <w:vAlign w:val="bottom"/>
          </w:tcPr>
          <w:p w:rsidR="00D75790" w:rsidRPr="00DC371E" w:rsidRDefault="00D75790" w:rsidP="00695E54">
            <w:pPr>
              <w:ind w:left="38"/>
              <w:contextualSpacing/>
              <w:jc w:val="center"/>
              <w:rPr>
                <w:rFonts w:ascii="Arial" w:hAnsi="Arial" w:cs="Arial"/>
                <w:sz w:val="16"/>
                <w:szCs w:val="16"/>
                <w:lang w:val="es-ES_tradnl"/>
              </w:rPr>
            </w:pPr>
          </w:p>
        </w:tc>
        <w:tc>
          <w:tcPr>
            <w:tcW w:w="696"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933"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552"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p>
        </w:tc>
        <w:tc>
          <w:tcPr>
            <w:tcW w:w="824" w:type="dxa"/>
            <w:gridSpan w:val="2"/>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1.758</w:t>
            </w:r>
          </w:p>
        </w:tc>
        <w:tc>
          <w:tcPr>
            <w:tcW w:w="992" w:type="dxa"/>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1.758</w:t>
            </w:r>
          </w:p>
        </w:tc>
        <w:tc>
          <w:tcPr>
            <w:tcW w:w="805" w:type="dxa"/>
            <w:gridSpan w:val="2"/>
            <w:shd w:val="clear" w:color="auto" w:fill="DBE5F1" w:themeFill="accent1" w:themeFillTint="33"/>
          </w:tcPr>
          <w:p w:rsidR="00D75790" w:rsidRPr="00DC371E" w:rsidRDefault="00D75790" w:rsidP="00695E54">
            <w:pPr>
              <w:ind w:left="38"/>
              <w:contextualSpacing/>
              <w:jc w:val="center"/>
              <w:rPr>
                <w:rFonts w:ascii="Arial" w:hAnsi="Arial" w:cs="Arial"/>
                <w:sz w:val="16"/>
                <w:szCs w:val="16"/>
                <w:lang w:val="es-ES_tradnl"/>
              </w:rPr>
            </w:pPr>
            <w:r w:rsidRPr="00DC371E">
              <w:rPr>
                <w:rFonts w:ascii="Arial" w:hAnsi="Arial" w:cs="Arial"/>
                <w:sz w:val="16"/>
                <w:szCs w:val="16"/>
                <w:lang w:val="es-ES_tradnl"/>
              </w:rPr>
              <w:t>1.758</w:t>
            </w:r>
          </w:p>
        </w:tc>
      </w:tr>
      <w:tr w:rsidR="00D75790" w:rsidRPr="00DC371E" w:rsidTr="00695E54">
        <w:trPr>
          <w:trHeight w:val="246"/>
          <w:jc w:val="center"/>
        </w:trPr>
        <w:tc>
          <w:tcPr>
            <w:tcW w:w="1171" w:type="dxa"/>
            <w:shd w:val="clear" w:color="auto" w:fill="DBE5F1" w:themeFill="accent1" w:themeFillTint="33"/>
            <w:vAlign w:val="bottom"/>
            <w:hideMark/>
          </w:tcPr>
          <w:p w:rsidR="00D75790" w:rsidRPr="00DC371E" w:rsidRDefault="00D75790" w:rsidP="00695E54">
            <w:pPr>
              <w:contextualSpacing/>
              <w:rPr>
                <w:rFonts w:ascii="Arial" w:hAnsi="Arial" w:cs="Arial"/>
                <w:sz w:val="16"/>
                <w:szCs w:val="16"/>
                <w:lang w:val="es-ES_tradnl"/>
              </w:rPr>
            </w:pPr>
            <w:r w:rsidRPr="00DC371E">
              <w:rPr>
                <w:rFonts w:ascii="Arial" w:hAnsi="Arial" w:cs="Arial"/>
                <w:sz w:val="16"/>
                <w:szCs w:val="16"/>
                <w:lang w:val="es-ES_tradnl"/>
              </w:rPr>
              <w:t xml:space="preserve">Mejoramiento de la prestación de los servicios </w:t>
            </w:r>
            <w:r w:rsidR="00E013AF" w:rsidRPr="00DC371E">
              <w:rPr>
                <w:rFonts w:ascii="Arial" w:hAnsi="Arial" w:cs="Arial"/>
                <w:sz w:val="16"/>
                <w:szCs w:val="16"/>
                <w:lang w:val="es-ES_tradnl"/>
              </w:rPr>
              <w:t>Públicos (</w:t>
            </w:r>
            <w:r w:rsidRPr="00DC371E">
              <w:rPr>
                <w:rFonts w:ascii="Arial" w:hAnsi="Arial" w:cs="Arial"/>
                <w:sz w:val="16"/>
                <w:szCs w:val="16"/>
                <w:lang w:val="es-ES_tradnl"/>
              </w:rPr>
              <w:t>Departamento)</w:t>
            </w:r>
          </w:p>
        </w:tc>
        <w:tc>
          <w:tcPr>
            <w:tcW w:w="809"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772</w:t>
            </w:r>
          </w:p>
        </w:tc>
        <w:tc>
          <w:tcPr>
            <w:tcW w:w="992"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772</w:t>
            </w:r>
          </w:p>
        </w:tc>
        <w:tc>
          <w:tcPr>
            <w:tcW w:w="863"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772</w:t>
            </w:r>
          </w:p>
        </w:tc>
        <w:tc>
          <w:tcPr>
            <w:tcW w:w="696"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3.031</w:t>
            </w:r>
          </w:p>
        </w:tc>
        <w:tc>
          <w:tcPr>
            <w:tcW w:w="933"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428</w:t>
            </w:r>
          </w:p>
        </w:tc>
        <w:tc>
          <w:tcPr>
            <w:tcW w:w="552"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428</w:t>
            </w:r>
          </w:p>
        </w:tc>
        <w:tc>
          <w:tcPr>
            <w:tcW w:w="824" w:type="dxa"/>
            <w:gridSpan w:val="2"/>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842</w:t>
            </w:r>
          </w:p>
        </w:tc>
        <w:tc>
          <w:tcPr>
            <w:tcW w:w="992"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842</w:t>
            </w:r>
          </w:p>
        </w:tc>
        <w:tc>
          <w:tcPr>
            <w:tcW w:w="805" w:type="dxa"/>
            <w:gridSpan w:val="2"/>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842</w:t>
            </w:r>
          </w:p>
        </w:tc>
      </w:tr>
      <w:tr w:rsidR="00D75790" w:rsidRPr="00DC371E" w:rsidTr="00695E54">
        <w:trPr>
          <w:trHeight w:val="246"/>
          <w:jc w:val="center"/>
        </w:trPr>
        <w:tc>
          <w:tcPr>
            <w:tcW w:w="1171" w:type="dxa"/>
            <w:shd w:val="clear" w:color="auto" w:fill="DBE5F1" w:themeFill="accent1" w:themeFillTint="33"/>
            <w:vAlign w:val="bottom"/>
            <w:hideMark/>
          </w:tcPr>
          <w:p w:rsidR="00D75790" w:rsidRPr="00DC371E" w:rsidRDefault="00D75790" w:rsidP="00695E54">
            <w:pPr>
              <w:contextualSpacing/>
              <w:rPr>
                <w:rFonts w:ascii="Arial" w:hAnsi="Arial" w:cs="Arial"/>
                <w:sz w:val="16"/>
                <w:szCs w:val="16"/>
                <w:lang w:val="es-ES_tradnl"/>
              </w:rPr>
            </w:pPr>
            <w:r w:rsidRPr="00DC371E">
              <w:rPr>
                <w:rFonts w:ascii="Arial" w:hAnsi="Arial" w:cs="Arial"/>
                <w:sz w:val="16"/>
                <w:szCs w:val="16"/>
                <w:lang w:val="es-ES_tradnl"/>
              </w:rPr>
              <w:t xml:space="preserve">Transferencia PDA </w:t>
            </w:r>
          </w:p>
        </w:tc>
        <w:tc>
          <w:tcPr>
            <w:tcW w:w="809" w:type="dxa"/>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2.608</w:t>
            </w:r>
          </w:p>
        </w:tc>
        <w:tc>
          <w:tcPr>
            <w:tcW w:w="992" w:type="dxa"/>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2.608</w:t>
            </w:r>
          </w:p>
        </w:tc>
        <w:tc>
          <w:tcPr>
            <w:tcW w:w="863" w:type="dxa"/>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2.608</w:t>
            </w:r>
          </w:p>
        </w:tc>
        <w:tc>
          <w:tcPr>
            <w:tcW w:w="696" w:type="dxa"/>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p>
        </w:tc>
        <w:tc>
          <w:tcPr>
            <w:tcW w:w="933" w:type="dxa"/>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p>
        </w:tc>
        <w:tc>
          <w:tcPr>
            <w:tcW w:w="552" w:type="dxa"/>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p>
        </w:tc>
        <w:tc>
          <w:tcPr>
            <w:tcW w:w="824" w:type="dxa"/>
            <w:gridSpan w:val="2"/>
            <w:shd w:val="clear" w:color="auto" w:fill="DBE5F1" w:themeFill="accent1" w:themeFillTint="33"/>
          </w:tcPr>
          <w:p w:rsidR="00D75790" w:rsidRPr="00DC371E" w:rsidRDefault="00D75790" w:rsidP="00695E54">
            <w:pPr>
              <w:contextualSpacing/>
              <w:jc w:val="center"/>
              <w:rPr>
                <w:rFonts w:ascii="Arial" w:hAnsi="Arial" w:cs="Arial"/>
                <w:sz w:val="16"/>
                <w:szCs w:val="16"/>
                <w:lang w:val="es-ES_tradnl"/>
              </w:rPr>
            </w:pPr>
          </w:p>
        </w:tc>
        <w:tc>
          <w:tcPr>
            <w:tcW w:w="992" w:type="dxa"/>
            <w:shd w:val="clear" w:color="auto" w:fill="DBE5F1" w:themeFill="accent1" w:themeFillTint="33"/>
          </w:tcPr>
          <w:p w:rsidR="00D75790" w:rsidRPr="00DC371E" w:rsidRDefault="00D75790" w:rsidP="00695E54">
            <w:pPr>
              <w:ind w:right="3"/>
              <w:contextualSpacing/>
              <w:jc w:val="center"/>
              <w:rPr>
                <w:rFonts w:ascii="Arial" w:hAnsi="Arial" w:cs="Arial"/>
                <w:sz w:val="16"/>
                <w:szCs w:val="16"/>
                <w:lang w:val="es-ES_tradnl"/>
              </w:rPr>
            </w:pPr>
          </w:p>
        </w:tc>
        <w:tc>
          <w:tcPr>
            <w:tcW w:w="805" w:type="dxa"/>
            <w:gridSpan w:val="2"/>
            <w:shd w:val="clear" w:color="auto" w:fill="DBE5F1" w:themeFill="accent1" w:themeFillTint="33"/>
          </w:tcPr>
          <w:p w:rsidR="00D75790" w:rsidRPr="00DC371E" w:rsidRDefault="00D75790" w:rsidP="00695E54">
            <w:pPr>
              <w:ind w:right="3"/>
              <w:contextualSpacing/>
              <w:jc w:val="center"/>
              <w:rPr>
                <w:rFonts w:ascii="Arial" w:hAnsi="Arial" w:cs="Arial"/>
                <w:sz w:val="16"/>
                <w:szCs w:val="16"/>
                <w:lang w:val="es-ES_tradnl"/>
              </w:rPr>
            </w:pPr>
          </w:p>
        </w:tc>
      </w:tr>
      <w:tr w:rsidR="00D75790" w:rsidRPr="00DC371E" w:rsidTr="00695E54">
        <w:trPr>
          <w:trHeight w:val="197"/>
          <w:jc w:val="center"/>
        </w:trPr>
        <w:tc>
          <w:tcPr>
            <w:tcW w:w="1171" w:type="dxa"/>
            <w:shd w:val="clear" w:color="auto" w:fill="DBE5F1" w:themeFill="accent1" w:themeFillTint="33"/>
            <w:vAlign w:val="bottom"/>
            <w:hideMark/>
          </w:tcPr>
          <w:p w:rsidR="00D75790" w:rsidRPr="00DC371E" w:rsidRDefault="00D75790" w:rsidP="00695E54">
            <w:pPr>
              <w:contextualSpacing/>
              <w:rPr>
                <w:rFonts w:ascii="Arial" w:hAnsi="Arial" w:cs="Arial"/>
                <w:sz w:val="16"/>
                <w:szCs w:val="16"/>
                <w:lang w:val="es-ES_tradnl"/>
              </w:rPr>
            </w:pPr>
            <w:r w:rsidRPr="00DC371E">
              <w:rPr>
                <w:rFonts w:ascii="Arial" w:hAnsi="Arial" w:cs="Arial"/>
                <w:b/>
                <w:sz w:val="16"/>
                <w:szCs w:val="16"/>
                <w:lang w:val="es-ES_tradnl"/>
              </w:rPr>
              <w:t xml:space="preserve">Total </w:t>
            </w:r>
          </w:p>
        </w:tc>
        <w:tc>
          <w:tcPr>
            <w:tcW w:w="809"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3.380</w:t>
            </w:r>
          </w:p>
        </w:tc>
        <w:tc>
          <w:tcPr>
            <w:tcW w:w="992"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3.380</w:t>
            </w:r>
          </w:p>
        </w:tc>
        <w:tc>
          <w:tcPr>
            <w:tcW w:w="863"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3.380</w:t>
            </w:r>
          </w:p>
        </w:tc>
        <w:tc>
          <w:tcPr>
            <w:tcW w:w="696"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3.031</w:t>
            </w:r>
          </w:p>
        </w:tc>
        <w:tc>
          <w:tcPr>
            <w:tcW w:w="933"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428</w:t>
            </w:r>
          </w:p>
        </w:tc>
        <w:tc>
          <w:tcPr>
            <w:tcW w:w="552"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428</w:t>
            </w:r>
          </w:p>
        </w:tc>
        <w:tc>
          <w:tcPr>
            <w:tcW w:w="824" w:type="dxa"/>
            <w:gridSpan w:val="2"/>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3.552</w:t>
            </w:r>
          </w:p>
        </w:tc>
        <w:tc>
          <w:tcPr>
            <w:tcW w:w="992" w:type="dxa"/>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3.552</w:t>
            </w:r>
          </w:p>
        </w:tc>
        <w:tc>
          <w:tcPr>
            <w:tcW w:w="805" w:type="dxa"/>
            <w:gridSpan w:val="2"/>
            <w:shd w:val="clear" w:color="auto" w:fill="DBE5F1" w:themeFill="accent1" w:themeFillTint="33"/>
          </w:tcPr>
          <w:p w:rsidR="00D75790" w:rsidRPr="00DC371E" w:rsidRDefault="00D75790" w:rsidP="00695E54">
            <w:pPr>
              <w:ind w:left="38"/>
              <w:contextualSpacing/>
              <w:jc w:val="center"/>
              <w:rPr>
                <w:rFonts w:ascii="Arial" w:hAnsi="Arial" w:cs="Arial"/>
                <w:b/>
                <w:sz w:val="16"/>
                <w:szCs w:val="16"/>
                <w:lang w:val="es-ES_tradnl"/>
              </w:rPr>
            </w:pPr>
            <w:r w:rsidRPr="00DC371E">
              <w:rPr>
                <w:rFonts w:ascii="Arial" w:hAnsi="Arial" w:cs="Arial"/>
                <w:b/>
                <w:sz w:val="16"/>
                <w:szCs w:val="16"/>
                <w:lang w:val="es-ES_tradnl"/>
              </w:rPr>
              <w:t>3.552</w:t>
            </w:r>
          </w:p>
        </w:tc>
      </w:tr>
    </w:tbl>
    <w:p w:rsidR="00D75790" w:rsidRPr="00DC371E" w:rsidRDefault="00D75790" w:rsidP="00D75790">
      <w:pPr>
        <w:ind w:left="363" w:right="358"/>
        <w:contextualSpacing/>
        <w:jc w:val="center"/>
        <w:rPr>
          <w:rFonts w:ascii="Arial" w:hAnsi="Arial" w:cs="Arial"/>
          <w:lang w:val="es-ES_tradnl"/>
        </w:rPr>
      </w:pPr>
      <w:r w:rsidRPr="00DC371E">
        <w:rPr>
          <w:rFonts w:ascii="Arial" w:hAnsi="Arial" w:cs="Arial"/>
          <w:sz w:val="16"/>
          <w:lang w:val="es-ES_tradnl"/>
        </w:rPr>
        <w:t>Fuente: Ejecución Presupuestal</w:t>
      </w:r>
    </w:p>
    <w:p w:rsidR="00D75790" w:rsidRPr="00DC371E" w:rsidRDefault="00D75790" w:rsidP="00D75790">
      <w:pPr>
        <w:spacing w:after="40"/>
        <w:ind w:left="34"/>
        <w:contextualSpacing/>
        <w:rPr>
          <w:rFonts w:ascii="Arial" w:hAnsi="Arial" w:cs="Arial"/>
          <w:highlight w:val="yellow"/>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Durante las vigencias 2018 y 2019 no existió compromiso sobre el pago de subsidios en ningún Servicio Público. A través del concepto “</w:t>
      </w:r>
      <w:r w:rsidRPr="00DC371E">
        <w:rPr>
          <w:rFonts w:ascii="Arial" w:hAnsi="Arial" w:cs="Arial"/>
          <w:i/>
          <w:iCs/>
          <w:sz w:val="22"/>
          <w:szCs w:val="22"/>
          <w:lang w:val="es-ES_tradnl"/>
        </w:rPr>
        <w:t xml:space="preserve">Mejoramiento de la prestación de los </w:t>
      </w:r>
      <w:r w:rsidRPr="00DC371E">
        <w:rPr>
          <w:rFonts w:ascii="Arial" w:hAnsi="Arial" w:cs="Arial"/>
          <w:i/>
          <w:iCs/>
          <w:sz w:val="22"/>
          <w:szCs w:val="22"/>
          <w:lang w:val="es-ES_tradnl"/>
        </w:rPr>
        <w:lastRenderedPageBreak/>
        <w:t>servicios públicos</w:t>
      </w:r>
      <w:r w:rsidRPr="00DC371E">
        <w:rPr>
          <w:rFonts w:ascii="Arial" w:hAnsi="Arial" w:cs="Arial"/>
          <w:sz w:val="22"/>
          <w:szCs w:val="22"/>
          <w:lang w:val="es-ES_tradnl"/>
        </w:rPr>
        <w:t>” se financió el Plan Departamental de Aguas - PDA en las vigencias 2018 y 2019, de acuerdo con los registros presupuestales.</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Según la ejecución presupuestal para la vigencia 2020 se </w:t>
      </w:r>
      <w:r>
        <w:rPr>
          <w:rFonts w:ascii="Arial" w:hAnsi="Arial" w:cs="Arial"/>
          <w:sz w:val="22"/>
          <w:szCs w:val="22"/>
          <w:lang w:val="es-ES_tradnl"/>
        </w:rPr>
        <w:t>efectuaron</w:t>
      </w:r>
      <w:r w:rsidRPr="00DC371E">
        <w:rPr>
          <w:rFonts w:ascii="Arial" w:hAnsi="Arial" w:cs="Arial"/>
          <w:sz w:val="22"/>
          <w:szCs w:val="22"/>
          <w:lang w:val="es-ES_tradnl"/>
        </w:rPr>
        <w:t xml:space="preserve"> compromisos, obligaciones y pagos por $3.552 millones, de los cuales $952 millones correspondieron al pago de subsidios en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 La ejecución agrega en conceptos de gasto como “</w:t>
      </w:r>
      <w:r w:rsidRPr="00E46D41">
        <w:rPr>
          <w:rFonts w:ascii="Arial" w:hAnsi="Arial" w:cs="Arial"/>
          <w:i/>
          <w:sz w:val="22"/>
          <w:szCs w:val="22"/>
          <w:lang w:val="es-ES_tradnl"/>
        </w:rPr>
        <w:t>Mejoramiento en la prestación del servicio</w:t>
      </w:r>
      <w:r>
        <w:rPr>
          <w:rFonts w:ascii="Arial" w:hAnsi="Arial" w:cs="Arial"/>
          <w:i/>
          <w:sz w:val="22"/>
          <w:szCs w:val="22"/>
          <w:lang w:val="es-ES_tradnl"/>
        </w:rPr>
        <w:t xml:space="preserve"> [</w:t>
      </w:r>
      <w:r w:rsidRPr="00E46D41">
        <w:rPr>
          <w:rFonts w:ascii="Arial" w:hAnsi="Arial" w:cs="Arial"/>
          <w:i/>
          <w:sz w:val="22"/>
          <w:szCs w:val="22"/>
          <w:lang w:val="es-ES_tradnl"/>
        </w:rPr>
        <w:t>…</w:t>
      </w:r>
      <w:r>
        <w:rPr>
          <w:rFonts w:ascii="Arial" w:hAnsi="Arial" w:cs="Arial"/>
          <w:i/>
          <w:sz w:val="22"/>
          <w:szCs w:val="22"/>
          <w:lang w:val="es-ES_tradnl"/>
        </w:rPr>
        <w:t>]</w:t>
      </w:r>
      <w:r w:rsidRPr="00DC371E">
        <w:rPr>
          <w:rFonts w:ascii="Arial" w:hAnsi="Arial" w:cs="Arial"/>
          <w:sz w:val="22"/>
          <w:szCs w:val="22"/>
          <w:lang w:val="es-ES_tradnl"/>
        </w:rPr>
        <w:t>” haciendo difícil verificar la trazabilidad del gasto, de la misma manera que las cuentas por pagar, las reservas, la información reportada al FUT en ingresos, gastos, cierre fiscal, reservas y cuentas por pagar.</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De esta manera, solamente a través del certificado de los registros presupuestales de la vigencia 2020, se identificó lo siguiente:</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 xml:space="preserve">TABLA 13. REGISTROS PRESUPUESTALES </w:t>
      </w: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(CIFRAS EN MILLONES)</w:t>
      </w:r>
    </w:p>
    <w:tbl>
      <w:tblPr>
        <w:tblStyle w:val="Tablaconcuadrcula"/>
        <w:tblW w:w="0" w:type="auto"/>
        <w:jc w:val="center"/>
        <w:tblLook w:val="04A0" w:firstRow="1" w:lastRow="0" w:firstColumn="1" w:lastColumn="0" w:noHBand="0" w:noVBand="1"/>
      </w:tblPr>
      <w:tblGrid>
        <w:gridCol w:w="1050"/>
        <w:gridCol w:w="1328"/>
        <w:gridCol w:w="1294"/>
        <w:gridCol w:w="2135"/>
        <w:gridCol w:w="828"/>
        <w:gridCol w:w="1157"/>
      </w:tblGrid>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Id Pptal</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N Certifica</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N documento</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b/>
                <w:bCs/>
                <w:sz w:val="20"/>
                <w:szCs w:val="20"/>
                <w:lang w:val="es-ES_tradnl"/>
              </w:rPr>
            </w:pPr>
            <w:r w:rsidRPr="00DC371E">
              <w:rPr>
                <w:rFonts w:ascii="Arial" w:hAnsi="Arial" w:cs="Arial"/>
                <w:b/>
                <w:bCs/>
                <w:sz w:val="20"/>
                <w:szCs w:val="20"/>
                <w:lang w:val="es-ES_tradnl"/>
              </w:rPr>
              <w:t>Objeto</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Valor</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b/>
                <w:bCs/>
                <w:sz w:val="20"/>
                <w:szCs w:val="20"/>
                <w:lang w:val="es-ES_tradnl"/>
              </w:rPr>
            </w:pPr>
            <w:r w:rsidRPr="00DC371E">
              <w:rPr>
                <w:rFonts w:ascii="Arial" w:hAnsi="Arial" w:cs="Arial"/>
                <w:b/>
                <w:bCs/>
                <w:sz w:val="20"/>
                <w:szCs w:val="20"/>
                <w:lang w:val="es-ES_tradnl"/>
              </w:rPr>
              <w:t>Nombre</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762</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1988</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1607</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Subsidios APSB Acueducto</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869</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Veolia</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762</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1989</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1607</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Subsidios APSB Alcantarillado</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78</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Veolia</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762</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2124</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1607</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Subsidio Acueducto</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5</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Veolia</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761</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3993</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2754</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 xml:space="preserve">Subsidio acueducto y alcantarillado </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68</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Veolia</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761</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4311</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5671</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Subsidio Aseo</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935</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Trash Busters</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760</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3580</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5931</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PDA</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842</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Consorcio FIA</w:t>
            </w:r>
          </w:p>
        </w:tc>
      </w:tr>
      <w:tr w:rsidR="00D75790" w:rsidRPr="00DC371E" w:rsidTr="00695E54">
        <w:trPr>
          <w:jc w:val="center"/>
        </w:trPr>
        <w:tc>
          <w:tcPr>
            <w:tcW w:w="1050"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761</w:t>
            </w:r>
          </w:p>
        </w:tc>
        <w:tc>
          <w:tcPr>
            <w:tcW w:w="13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4322</w:t>
            </w:r>
          </w:p>
        </w:tc>
        <w:tc>
          <w:tcPr>
            <w:tcW w:w="129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6008</w:t>
            </w:r>
          </w:p>
        </w:tc>
        <w:tc>
          <w:tcPr>
            <w:tcW w:w="213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Mejoramiento Servicios Públicos (*)</w:t>
            </w:r>
          </w:p>
        </w:tc>
        <w:tc>
          <w:tcPr>
            <w:tcW w:w="828"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754</w:t>
            </w:r>
          </w:p>
        </w:tc>
        <w:tc>
          <w:tcPr>
            <w:tcW w:w="1157"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Consorcio FIA</w:t>
            </w:r>
          </w:p>
        </w:tc>
      </w:tr>
      <w:tr w:rsidR="00D75790" w:rsidRPr="00DC371E" w:rsidTr="00695E54">
        <w:trPr>
          <w:jc w:val="center"/>
        </w:trPr>
        <w:tc>
          <w:tcPr>
            <w:tcW w:w="6635" w:type="dxa"/>
            <w:gridSpan w:val="5"/>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Total</w:t>
            </w:r>
          </w:p>
        </w:tc>
        <w:tc>
          <w:tcPr>
            <w:tcW w:w="1157"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3.551</w:t>
            </w:r>
          </w:p>
        </w:tc>
      </w:tr>
    </w:tbl>
    <w:p w:rsidR="00D75790" w:rsidRPr="00DC371E" w:rsidRDefault="00D75790" w:rsidP="00D75790">
      <w:pPr>
        <w:spacing w:after="33"/>
        <w:contextualSpacing/>
        <w:jc w:val="center"/>
        <w:rPr>
          <w:rFonts w:ascii="Arial" w:hAnsi="Arial" w:cs="Arial"/>
          <w:sz w:val="16"/>
          <w:szCs w:val="16"/>
          <w:lang w:val="es-ES_tradnl"/>
        </w:rPr>
      </w:pPr>
      <w:r w:rsidRPr="00DC371E">
        <w:rPr>
          <w:rFonts w:ascii="Arial" w:hAnsi="Arial" w:cs="Arial"/>
          <w:sz w:val="16"/>
          <w:szCs w:val="16"/>
          <w:lang w:val="es-ES_tradnl"/>
        </w:rPr>
        <w:t>Fuente: Entidad Territorial</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El </w:t>
      </w:r>
      <w:r>
        <w:rPr>
          <w:rFonts w:ascii="Arial" w:hAnsi="Arial" w:cs="Arial"/>
          <w:sz w:val="22"/>
          <w:szCs w:val="22"/>
          <w:lang w:val="es-ES_tradnl"/>
        </w:rPr>
        <w:t>identificador</w:t>
      </w:r>
      <w:r w:rsidRPr="00DC371E">
        <w:rPr>
          <w:rFonts w:ascii="Arial" w:hAnsi="Arial" w:cs="Arial"/>
          <w:sz w:val="22"/>
          <w:szCs w:val="22"/>
          <w:lang w:val="es-ES_tradnl"/>
        </w:rPr>
        <w:t xml:space="preserve"> </w:t>
      </w:r>
      <w:r>
        <w:rPr>
          <w:rFonts w:ascii="Arial" w:hAnsi="Arial" w:cs="Arial"/>
          <w:sz w:val="22"/>
          <w:szCs w:val="22"/>
          <w:lang w:val="es-ES_tradnl"/>
        </w:rPr>
        <w:t>presupuestal</w:t>
      </w:r>
      <w:r w:rsidRPr="00DC371E">
        <w:rPr>
          <w:rFonts w:ascii="Arial" w:hAnsi="Arial" w:cs="Arial"/>
          <w:sz w:val="22"/>
          <w:szCs w:val="22"/>
          <w:lang w:val="es-ES_tradnl"/>
        </w:rPr>
        <w:t xml:space="preserve"> hace referencia a la fuente de financiación, la cual es descrita en el mismo documento de la siguiente manera:</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760</w:t>
      </w:r>
      <w:r w:rsidRPr="00DC371E">
        <w:rPr>
          <w:rFonts w:ascii="Arial" w:hAnsi="Arial" w:cs="Arial"/>
          <w:sz w:val="22"/>
          <w:szCs w:val="22"/>
          <w:lang w:val="es-ES_tradnl"/>
        </w:rPr>
        <w:tab/>
        <w:t>SGP Departamento</w:t>
      </w: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761</w:t>
      </w:r>
      <w:r w:rsidRPr="00DC371E">
        <w:rPr>
          <w:rFonts w:ascii="Arial" w:hAnsi="Arial" w:cs="Arial"/>
          <w:sz w:val="22"/>
          <w:szCs w:val="22"/>
          <w:lang w:val="es-ES_tradnl"/>
        </w:rPr>
        <w:tab/>
        <w:t>SGP Municipio</w:t>
      </w: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762 </w:t>
      </w:r>
      <w:r w:rsidRPr="00DC371E">
        <w:rPr>
          <w:rFonts w:ascii="Arial" w:hAnsi="Arial" w:cs="Arial"/>
          <w:sz w:val="22"/>
          <w:szCs w:val="22"/>
          <w:lang w:val="es-ES_tradnl"/>
        </w:rPr>
        <w:tab/>
        <w:t>SGP Municipio - Recursos del Balance.</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 El mejoramiento en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w:t>
      </w:r>
      <w:r>
        <w:rPr>
          <w:rFonts w:ascii="Arial" w:hAnsi="Arial" w:cs="Arial"/>
          <w:sz w:val="22"/>
          <w:szCs w:val="22"/>
          <w:lang w:val="es-ES_tradnl"/>
        </w:rPr>
        <w:t>P</w:t>
      </w:r>
      <w:r w:rsidRPr="00DC371E">
        <w:rPr>
          <w:rFonts w:ascii="Arial" w:hAnsi="Arial" w:cs="Arial"/>
          <w:sz w:val="22"/>
          <w:szCs w:val="22"/>
          <w:lang w:val="es-ES_tradnl"/>
        </w:rPr>
        <w:t xml:space="preserve">úblicos, tal como lo describe la relación de los registros presupuestales, es un concepto amplio. No obstante, los recursos Municipales del SGP tienen como destinatario el Consorcio FIA, mecanismo financiero de los Planes Departamentales de Agua, adicional a los ya existentes compromisos del SGP </w:t>
      </w:r>
      <w:r>
        <w:rPr>
          <w:rFonts w:ascii="Arial" w:hAnsi="Arial" w:cs="Arial"/>
          <w:sz w:val="22"/>
          <w:szCs w:val="22"/>
          <w:lang w:val="es-ES_tradnl"/>
        </w:rPr>
        <w:t>Departamento</w:t>
      </w:r>
      <w:r w:rsidRPr="00DC371E">
        <w:rPr>
          <w:rFonts w:ascii="Arial" w:hAnsi="Arial" w:cs="Arial"/>
          <w:sz w:val="22"/>
          <w:szCs w:val="22"/>
          <w:lang w:val="es-ES_tradnl"/>
        </w:rPr>
        <w:t xml:space="preserve"> en el PDA.</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relación con la financiación de los subsidios de acueducto y alcantarillado, el valor es diferente al autorizado por el MVCT en el giro directo a Veolia Aguas del Archipiélago, ya </w:t>
      </w:r>
      <w:r w:rsidRPr="00DC371E">
        <w:rPr>
          <w:rFonts w:ascii="Arial" w:hAnsi="Arial" w:cs="Arial"/>
          <w:sz w:val="22"/>
          <w:szCs w:val="22"/>
          <w:lang w:val="es-ES_tradnl"/>
        </w:rPr>
        <w:lastRenderedPageBreak/>
        <w:t>que</w:t>
      </w:r>
      <w:r>
        <w:rPr>
          <w:rFonts w:ascii="Arial" w:hAnsi="Arial" w:cs="Arial"/>
          <w:sz w:val="22"/>
          <w:szCs w:val="22"/>
          <w:lang w:val="es-ES_tradnl"/>
        </w:rPr>
        <w:t>,</w:t>
      </w:r>
      <w:r w:rsidRPr="00DC371E">
        <w:rPr>
          <w:rFonts w:ascii="Arial" w:hAnsi="Arial" w:cs="Arial"/>
          <w:sz w:val="22"/>
          <w:szCs w:val="22"/>
          <w:lang w:val="es-ES_tradnl"/>
        </w:rPr>
        <w:t xml:space="preserve"> de acuerdo con la información registrada en la página de internet de ese Ministerio, el valor transferido en esa vigencia fue de $1.835 millones, cifra que no refleja la inversión en subsidios contenida en la ejecución presupuestal. De esta manera se identifica que si bien existieron compromisos para la financiación de subsidios de vigencias anteriores a 2020 por $952 millones, se transfirieron por parte del MVCT $1.835 millones a Veolia, situación que no es coherente con el balance del déficit en subsidios causados en esa vigencia</w:t>
      </w:r>
      <w:r>
        <w:rPr>
          <w:rFonts w:ascii="Arial" w:hAnsi="Arial" w:cs="Arial"/>
          <w:sz w:val="22"/>
          <w:szCs w:val="22"/>
          <w:lang w:val="es-ES_tradnl"/>
        </w:rPr>
        <w:t>.</w:t>
      </w: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De acuerdo con la ejecución presupuestal de gastos durante las vigencias 2018 y 2019, no se efectuaron compromisos para la financiación de los subsidios de la prestación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 xml:space="preserve">seo. Ahora bien, revisando la información de registros presupuestales entregados por la Entidad Territorial, en la vigencia 2020 se financiaron subsidios en aseo por $935 millones. También se comprometieron recursos para el Plan Departamental de Agua por $842 millones y $754 millones con los registros presupuestales </w:t>
      </w:r>
      <w:r>
        <w:rPr>
          <w:rFonts w:ascii="Arial" w:hAnsi="Arial" w:cs="Arial"/>
          <w:sz w:val="22"/>
          <w:szCs w:val="22"/>
          <w:lang w:val="es-ES_tradnl"/>
        </w:rPr>
        <w:t>$</w:t>
      </w:r>
      <w:r w:rsidRPr="00DC371E">
        <w:rPr>
          <w:rFonts w:ascii="Arial" w:hAnsi="Arial" w:cs="Arial"/>
          <w:sz w:val="22"/>
          <w:szCs w:val="22"/>
          <w:lang w:val="es-ES_tradnl"/>
        </w:rPr>
        <w:t xml:space="preserve">3.580 y </w:t>
      </w:r>
      <w:r>
        <w:rPr>
          <w:rFonts w:ascii="Arial" w:hAnsi="Arial" w:cs="Arial"/>
          <w:sz w:val="22"/>
          <w:szCs w:val="22"/>
          <w:lang w:val="es-ES_tradnl"/>
        </w:rPr>
        <w:t>$</w:t>
      </w:r>
      <w:r w:rsidRPr="00DC371E">
        <w:rPr>
          <w:rFonts w:ascii="Arial" w:hAnsi="Arial" w:cs="Arial"/>
          <w:sz w:val="22"/>
          <w:szCs w:val="22"/>
          <w:lang w:val="es-ES_tradnl"/>
        </w:rPr>
        <w:t>4.322.</w:t>
      </w: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Esta información es diferente a la reportada por la Entidad al FUT, ya que solamente se reportaron 2 actividades en dos registros presupuestales, el registro presupuestal 5190 (Por $754 millones con destino al Patrimonio Autónomo FIA) y el registro presupuestal 5150 (Por $842 millones con destino al Patrimonio Autónomo FIA).</w:t>
      </w:r>
    </w:p>
    <w:p w:rsidR="00D75790"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Al cierre de la vigencia 2020, no se reportó la información asociada a los registros presupuestales por medio de los cuales se financiaron los subsidios en esta vigencia.</w:t>
      </w:r>
    </w:p>
    <w:p w:rsidR="00D75790"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De esta manera, se identifican diferencias en la información contenida en las ejecuciones presupuestales, los </w:t>
      </w:r>
      <w:r>
        <w:rPr>
          <w:rFonts w:ascii="Arial" w:hAnsi="Arial" w:cs="Arial"/>
          <w:sz w:val="22"/>
          <w:szCs w:val="22"/>
          <w:lang w:val="es-ES_tradnl"/>
        </w:rPr>
        <w:t>D</w:t>
      </w:r>
      <w:r w:rsidRPr="00DC371E">
        <w:rPr>
          <w:rFonts w:ascii="Arial" w:hAnsi="Arial" w:cs="Arial"/>
          <w:sz w:val="22"/>
          <w:szCs w:val="22"/>
          <w:lang w:val="es-ES_tradnl"/>
        </w:rPr>
        <w:t xml:space="preserve">ocumentos de </w:t>
      </w:r>
      <w:r>
        <w:rPr>
          <w:rFonts w:ascii="Arial" w:hAnsi="Arial" w:cs="Arial"/>
          <w:sz w:val="22"/>
          <w:szCs w:val="22"/>
          <w:lang w:val="es-ES_tradnl"/>
        </w:rPr>
        <w:t>D</w:t>
      </w:r>
      <w:r w:rsidRPr="00DC371E">
        <w:rPr>
          <w:rFonts w:ascii="Arial" w:hAnsi="Arial" w:cs="Arial"/>
          <w:sz w:val="22"/>
          <w:szCs w:val="22"/>
          <w:lang w:val="es-ES_tradnl"/>
        </w:rPr>
        <w:t>istribución</w:t>
      </w:r>
      <w:r>
        <w:rPr>
          <w:rFonts w:ascii="Arial" w:hAnsi="Arial" w:cs="Arial"/>
          <w:sz w:val="22"/>
          <w:szCs w:val="22"/>
          <w:lang w:val="es-ES_tradnl"/>
        </w:rPr>
        <w:t xml:space="preserve"> CONPES</w:t>
      </w:r>
      <w:r w:rsidRPr="00DC371E">
        <w:rPr>
          <w:rFonts w:ascii="Arial" w:hAnsi="Arial" w:cs="Arial"/>
          <w:sz w:val="22"/>
          <w:szCs w:val="22"/>
          <w:lang w:val="es-ES_tradnl"/>
        </w:rPr>
        <w:t xml:space="preserve">, los registros presupuestales, las cuentas por pagar, las reservas y la información reportada al Sistema Consolidador de Hacienda e Información Pública CHIP </w:t>
      </w:r>
      <w:r>
        <w:rPr>
          <w:rFonts w:ascii="Arial" w:hAnsi="Arial" w:cs="Arial"/>
          <w:sz w:val="22"/>
          <w:szCs w:val="22"/>
          <w:lang w:val="es-ES_tradnl"/>
        </w:rPr>
        <w:t>d</w:t>
      </w:r>
      <w:r w:rsidRPr="00DC371E">
        <w:rPr>
          <w:rFonts w:ascii="Arial" w:hAnsi="Arial" w:cs="Arial"/>
          <w:sz w:val="22"/>
          <w:szCs w:val="22"/>
          <w:lang w:val="es-ES_tradnl"/>
        </w:rPr>
        <w:t>el Formulario Único Territorial FUT</w:t>
      </w:r>
      <w:r>
        <w:rPr>
          <w:rFonts w:ascii="Arial" w:hAnsi="Arial" w:cs="Arial"/>
          <w:sz w:val="22"/>
          <w:szCs w:val="22"/>
          <w:lang w:val="es-ES_tradnl"/>
        </w:rPr>
        <w:t>:</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Ingresos recaudados por concepto de la transferencia SGP APSB. Vigencia 2020.</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Gastos de inversión en Subsidios de aseo. Vigencia 2020.</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Gastos de Inversión en transferencias del PDA. Vigencia 2020.</w:t>
      </w:r>
    </w:p>
    <w:p w:rsidR="00D75790" w:rsidRPr="00E46D41" w:rsidRDefault="00D75790" w:rsidP="00D75790">
      <w:pPr>
        <w:spacing w:after="33"/>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este aspecto, se identifica un reporte erróneo de la información presupuestal al Sistema Consolidador de Hacienda e Información Pública – CHIP en </w:t>
      </w:r>
      <w:r>
        <w:rPr>
          <w:rFonts w:ascii="Arial" w:hAnsi="Arial" w:cs="Arial"/>
          <w:sz w:val="22"/>
          <w:szCs w:val="22"/>
          <w:lang w:val="es-ES_tradnl"/>
        </w:rPr>
        <w:t>el</w:t>
      </w:r>
      <w:r w:rsidRPr="00DC371E">
        <w:rPr>
          <w:rFonts w:ascii="Arial" w:hAnsi="Arial" w:cs="Arial"/>
          <w:sz w:val="22"/>
          <w:szCs w:val="22"/>
          <w:lang w:val="es-ES_tradnl"/>
        </w:rPr>
        <w:t xml:space="preserve"> Formulario Único Territorial, en </w:t>
      </w:r>
      <w:r>
        <w:rPr>
          <w:rFonts w:ascii="Arial" w:hAnsi="Arial" w:cs="Arial"/>
          <w:sz w:val="22"/>
          <w:szCs w:val="22"/>
          <w:lang w:val="es-ES_tradnl"/>
        </w:rPr>
        <w:t>la categoría de</w:t>
      </w:r>
      <w:r w:rsidRPr="00DC371E">
        <w:rPr>
          <w:rFonts w:ascii="Arial" w:hAnsi="Arial" w:cs="Arial"/>
          <w:sz w:val="22"/>
          <w:szCs w:val="22"/>
          <w:lang w:val="es-ES_tradnl"/>
        </w:rPr>
        <w:t xml:space="preserve"> ingresos de la vigencia 2020</w:t>
      </w:r>
      <w:r>
        <w:rPr>
          <w:rFonts w:ascii="Arial" w:hAnsi="Arial" w:cs="Arial"/>
          <w:sz w:val="22"/>
          <w:szCs w:val="22"/>
          <w:lang w:val="es-ES_tradnl"/>
        </w:rPr>
        <w:t>, a</w:t>
      </w:r>
      <w:r w:rsidRPr="00DC371E">
        <w:rPr>
          <w:rFonts w:ascii="Arial" w:hAnsi="Arial" w:cs="Arial"/>
          <w:sz w:val="22"/>
          <w:szCs w:val="22"/>
          <w:lang w:val="es-ES_tradnl"/>
        </w:rPr>
        <w:t xml:space="preserve">l no contener el valor exacto de la transferencia SGP APSB de conformidad con los </w:t>
      </w:r>
      <w:r>
        <w:rPr>
          <w:rFonts w:ascii="Arial" w:hAnsi="Arial" w:cs="Arial"/>
          <w:sz w:val="22"/>
          <w:szCs w:val="22"/>
          <w:lang w:val="es-ES_tradnl"/>
        </w:rPr>
        <w:t>D</w:t>
      </w:r>
      <w:r w:rsidRPr="00DC371E">
        <w:rPr>
          <w:rFonts w:ascii="Arial" w:hAnsi="Arial" w:cs="Arial"/>
          <w:sz w:val="22"/>
          <w:szCs w:val="22"/>
          <w:lang w:val="es-ES_tradnl"/>
        </w:rPr>
        <w:t xml:space="preserve">ocumentos de </w:t>
      </w:r>
      <w:r>
        <w:rPr>
          <w:rFonts w:ascii="Arial" w:hAnsi="Arial" w:cs="Arial"/>
          <w:sz w:val="22"/>
          <w:szCs w:val="22"/>
          <w:lang w:val="es-ES_tradnl"/>
        </w:rPr>
        <w:t>D</w:t>
      </w:r>
      <w:r w:rsidRPr="00DC371E">
        <w:rPr>
          <w:rFonts w:ascii="Arial" w:hAnsi="Arial" w:cs="Arial"/>
          <w:sz w:val="22"/>
          <w:szCs w:val="22"/>
          <w:lang w:val="es-ES_tradnl"/>
        </w:rPr>
        <w:t>istribución</w:t>
      </w:r>
      <w:r>
        <w:rPr>
          <w:rFonts w:ascii="Arial" w:hAnsi="Arial" w:cs="Arial"/>
          <w:sz w:val="22"/>
          <w:szCs w:val="22"/>
          <w:lang w:val="es-ES_tradnl"/>
        </w:rPr>
        <w:t xml:space="preserve"> CONPES 39 de 2019, 42 y 48 de 2020</w:t>
      </w:r>
      <w:r w:rsidRPr="00DC371E">
        <w:rPr>
          <w:rFonts w:ascii="Arial" w:hAnsi="Arial" w:cs="Arial"/>
          <w:sz w:val="22"/>
          <w:szCs w:val="22"/>
          <w:lang w:val="es-ES_tradnl"/>
        </w:rPr>
        <w:t xml:space="preserve">, ni el recaudo sin situación de fondos del giro a Veolia - 2020 Gastos de inversión </w:t>
      </w:r>
      <w:r>
        <w:rPr>
          <w:rFonts w:ascii="Arial" w:hAnsi="Arial" w:cs="Arial"/>
          <w:sz w:val="22"/>
          <w:szCs w:val="22"/>
          <w:lang w:val="es-ES_tradnl"/>
        </w:rPr>
        <w:t>a</w:t>
      </w:r>
      <w:r w:rsidRPr="00DC371E">
        <w:rPr>
          <w:rFonts w:ascii="Arial" w:hAnsi="Arial" w:cs="Arial"/>
          <w:sz w:val="22"/>
          <w:szCs w:val="22"/>
          <w:lang w:val="es-ES_tradnl"/>
        </w:rPr>
        <w:t>l no identificar en el presupuesto ni en los reportes, el gasto efectuado en conceptos diferentes de subsidios, tampoco identificar en el reporte al FUT el gasto en subsidio en el sector de aseo, ni las transferencias al PDA en la vigencia 2020.</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Vale la pena aclarar que la información presupuestal, deberá reportarla la Entidad a través del Catálogo de Clasificación Presupuestal para Entidades Territoriales y sus Descentralizada</w:t>
      </w:r>
      <w:r>
        <w:rPr>
          <w:rFonts w:ascii="Arial" w:hAnsi="Arial" w:cs="Arial"/>
          <w:sz w:val="22"/>
          <w:szCs w:val="22"/>
          <w:lang w:val="es-ES_tradnl"/>
        </w:rPr>
        <w:t xml:space="preserve">s - </w:t>
      </w:r>
      <w:r w:rsidRPr="00DC371E">
        <w:rPr>
          <w:rFonts w:ascii="Arial" w:hAnsi="Arial" w:cs="Arial"/>
          <w:sz w:val="22"/>
          <w:szCs w:val="22"/>
          <w:lang w:val="es-ES_tradnl"/>
        </w:rPr>
        <w:t>CCPET, teniendo en cuenta lo siguiente:</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 xml:space="preserve">El artículo 4° del Decreto 412 de 2018, mediante el cual se adicionó el artículo 2.8.1.2.5 al Capítulo 2, Título 1, Parte 8 del Libro 2 del Decreto 1068 de 2015, estableció “Catálogo Único de clasificación Presupuestal Territorial. El Ministerio de Hacienda y Crédito Público expedirá </w:t>
      </w:r>
      <w:r w:rsidRPr="00E46D41">
        <w:rPr>
          <w:rFonts w:ascii="Arial" w:hAnsi="Arial" w:cs="Arial"/>
          <w:i/>
          <w:iCs/>
          <w:sz w:val="18"/>
          <w:szCs w:val="22"/>
          <w:lang w:val="es-ES_tradnl"/>
        </w:rPr>
        <w:lastRenderedPageBreak/>
        <w:t>y actualizará el Catálogo de Clasificación Presupuestal para Entidades Territoriales y sus Descentralizadas - CCPET, que detalle los ingresos y los gastos en armonía con estándares internacionales y con el nivel nacional”. Que el parágrafo 1 del artículo 2.8.1.2.5 del Decreto 1068 de 2015 adicionado por el artículo 4º del Decreto 412 de 2018 estableció que "la aplicación del CCPET por parte de las entidades territoriales y sus descentralizadas, entrará a regir en los términos que para el efecto establezca el Ministerio de Hacienda y Crédito Público".</w:t>
      </w:r>
    </w:p>
    <w:p w:rsidR="00D75790" w:rsidRPr="00DC371E" w:rsidRDefault="00D75790" w:rsidP="00D75790">
      <w:pPr>
        <w:spacing w:after="33"/>
        <w:contextualSpacing/>
        <w:jc w:val="both"/>
        <w:rPr>
          <w:rFonts w:ascii="Arial" w:hAnsi="Arial" w:cs="Arial"/>
          <w:i/>
          <w:iCs/>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este sentido, </w:t>
      </w:r>
      <w:r>
        <w:rPr>
          <w:rFonts w:ascii="Arial" w:hAnsi="Arial" w:cs="Arial"/>
          <w:sz w:val="22"/>
          <w:szCs w:val="22"/>
          <w:lang w:val="es-ES_tradnl"/>
        </w:rPr>
        <w:t>esta</w:t>
      </w:r>
      <w:r w:rsidRPr="00DC371E">
        <w:rPr>
          <w:rFonts w:ascii="Arial" w:hAnsi="Arial" w:cs="Arial"/>
          <w:sz w:val="22"/>
          <w:szCs w:val="22"/>
          <w:lang w:val="es-ES_tradnl"/>
        </w:rPr>
        <w:t xml:space="preserve"> D</w:t>
      </w:r>
      <w:r>
        <w:rPr>
          <w:rFonts w:ascii="Arial" w:hAnsi="Arial" w:cs="Arial"/>
          <w:sz w:val="22"/>
          <w:szCs w:val="22"/>
          <w:lang w:val="es-ES_tradnl"/>
        </w:rPr>
        <w:t>irección</w:t>
      </w:r>
      <w:r w:rsidRPr="00DC371E">
        <w:rPr>
          <w:rStyle w:val="Refdenotaalpie"/>
          <w:rFonts w:ascii="Arial" w:hAnsi="Arial" w:cs="Arial"/>
          <w:sz w:val="22"/>
          <w:szCs w:val="22"/>
          <w:lang w:val="es-ES_tradnl"/>
        </w:rPr>
        <w:footnoteReference w:id="14"/>
      </w:r>
      <w:r w:rsidRPr="00DC371E">
        <w:rPr>
          <w:rFonts w:ascii="Arial" w:hAnsi="Arial" w:cs="Arial"/>
          <w:sz w:val="22"/>
          <w:szCs w:val="22"/>
          <w:lang w:val="es-ES_tradnl"/>
        </w:rPr>
        <w:t xml:space="preserve"> expidió la </w:t>
      </w:r>
      <w:r>
        <w:rPr>
          <w:rFonts w:ascii="Arial" w:hAnsi="Arial" w:cs="Arial"/>
          <w:sz w:val="22"/>
          <w:szCs w:val="22"/>
          <w:lang w:val="es-ES_tradnl"/>
        </w:rPr>
        <w:t>R</w:t>
      </w:r>
      <w:r w:rsidRPr="00DC371E">
        <w:rPr>
          <w:rFonts w:ascii="Arial" w:hAnsi="Arial" w:cs="Arial"/>
          <w:sz w:val="22"/>
          <w:szCs w:val="22"/>
          <w:lang w:val="es-ES_tradnl"/>
        </w:rPr>
        <w:t>esolución 2323 de noviembre de 2020, la cual hace referencia al término de aplicación del CCPET, en los siguientes términos</w:t>
      </w:r>
      <w:r>
        <w:rPr>
          <w:rFonts w:ascii="Arial" w:hAnsi="Arial" w:cs="Arial"/>
          <w:sz w:val="22"/>
          <w:szCs w:val="22"/>
          <w:lang w:val="es-ES_tradnl"/>
        </w:rPr>
        <w:t>:</w:t>
      </w:r>
    </w:p>
    <w:p w:rsidR="00D75790" w:rsidRPr="00DC371E" w:rsidRDefault="00D75790" w:rsidP="00D75790">
      <w:pPr>
        <w:spacing w:after="33"/>
        <w:ind w:left="708"/>
        <w:contextualSpacing/>
        <w:jc w:val="both"/>
        <w:rPr>
          <w:rFonts w:ascii="Arial" w:hAnsi="Arial" w:cs="Arial"/>
          <w:i/>
          <w:iCs/>
          <w:sz w:val="22"/>
          <w:szCs w:val="22"/>
          <w:lang w:val="es-ES_tradnl"/>
        </w:rPr>
      </w:pPr>
    </w:p>
    <w:p w:rsidR="00D75790" w:rsidRPr="00E46D41" w:rsidRDefault="00D75790" w:rsidP="00D75790">
      <w:pPr>
        <w:spacing w:after="33"/>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Artículo 1. Término para la aplicación del CCPET. Modifíquese el inciso segundo del artículo 5º de la Resolución No. 3832 de 2019, el cual quedará así: “Las entidades territoriales y sus descentralizadas programarán y ejecutarán el presupuesto de la vigencia 2021 con el CCPET o con el clasificador que estén utilizando en la actualidad. Para la programación y ejecución del presupuesto de la vigencia 2022 y siguientes, aplicarán únicamente el CCPET. Parágrafo: Sin perjuicio de lo anterior, con el objetivo de garantizar la aplicación plena del Catálogo de Clasificación Presupuestal en 2022, el Gobierno Nacional solicitará a todas las Entidades Territoriales y sus Descentralizadas, reportes de información con base en el CCPET durante la vigencia 2021”.</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b/>
          <w:bCs/>
          <w:sz w:val="22"/>
          <w:szCs w:val="22"/>
          <w:lang w:val="es-ES_tradnl"/>
        </w:rPr>
      </w:pPr>
      <w:r w:rsidRPr="00DC371E">
        <w:rPr>
          <w:rFonts w:ascii="Arial" w:hAnsi="Arial" w:cs="Arial"/>
          <w:b/>
          <w:bCs/>
          <w:sz w:val="22"/>
          <w:szCs w:val="22"/>
          <w:lang w:val="es-ES_tradnl"/>
        </w:rPr>
        <w:t>PAGO DE SUBSIDIOS:</w:t>
      </w:r>
    </w:p>
    <w:p w:rsidR="00D75790" w:rsidRPr="00DC371E"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El otorgamiento de subsidios para los usuarios de los servicios públicos domiciliarios de los estratos 1, 2 y 3, se encuentra a cargo de l</w:t>
      </w:r>
      <w:r>
        <w:rPr>
          <w:rFonts w:ascii="Arial" w:hAnsi="Arial" w:cs="Arial"/>
          <w:sz w:val="22"/>
          <w:szCs w:val="22"/>
          <w:lang w:val="es-ES_tradnl"/>
        </w:rPr>
        <w:t>a</w:t>
      </w:r>
      <w:r w:rsidRPr="00DC371E">
        <w:rPr>
          <w:rFonts w:ascii="Arial" w:hAnsi="Arial" w:cs="Arial"/>
          <w:sz w:val="22"/>
          <w:szCs w:val="22"/>
          <w:lang w:val="es-ES_tradnl"/>
        </w:rPr>
        <w:t>s ent</w:t>
      </w:r>
      <w:r>
        <w:rPr>
          <w:rFonts w:ascii="Arial" w:hAnsi="Arial" w:cs="Arial"/>
          <w:sz w:val="22"/>
          <w:szCs w:val="22"/>
          <w:lang w:val="es-ES_tradnl"/>
        </w:rPr>
        <w:t>idades</w:t>
      </w:r>
      <w:r w:rsidRPr="00DC371E">
        <w:rPr>
          <w:rFonts w:ascii="Arial" w:hAnsi="Arial" w:cs="Arial"/>
          <w:sz w:val="22"/>
          <w:szCs w:val="22"/>
          <w:lang w:val="es-ES_tradnl"/>
        </w:rPr>
        <w:t xml:space="preserve"> territoriales, </w:t>
      </w:r>
      <w:r w:rsidRPr="00DC371E">
        <w:rPr>
          <w:rFonts w:ascii="Arial" w:hAnsi="Arial" w:cs="Arial"/>
          <w:b/>
          <w:bCs/>
          <w:sz w:val="22"/>
          <w:szCs w:val="22"/>
          <w:lang w:val="es-ES_tradnl"/>
        </w:rPr>
        <w:t>no como una obligación de carácter constitucional</w:t>
      </w:r>
      <w:r w:rsidRPr="00DC371E">
        <w:rPr>
          <w:rFonts w:ascii="Arial" w:hAnsi="Arial" w:cs="Arial"/>
          <w:sz w:val="22"/>
          <w:szCs w:val="22"/>
          <w:lang w:val="es-ES_tradnl"/>
        </w:rPr>
        <w:t>, sino como una facultad discrecional que se encuentra supeditada a la disponibilidad de recursos presupuestales con que estos cuenten, cuando se presente un desequilibrio entre los subsidios y las contribuciones que se reciben por parte de los usuarios de los estratos 5 y 6 y de los usuarios comerciales e industriales.</w:t>
      </w:r>
      <w:r w:rsidRPr="00DC371E">
        <w:rPr>
          <w:rFonts w:ascii="Arial" w:hAnsi="Arial" w:cs="Arial"/>
          <w:sz w:val="22"/>
          <w:szCs w:val="22"/>
          <w:vertAlign w:val="superscript"/>
          <w:lang w:val="es-ES_tradnl"/>
        </w:rPr>
        <w:footnoteReference w:id="15"/>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Es competencia de los municipios disponer el otorgamiento de subsidios a los usuarios de menores ingresos, con cargo al presupuesto del municipio, siendo esta la razón por la cual los subsidios que se otorgan por parte de los </w:t>
      </w:r>
      <w:r w:rsidR="00E013AF" w:rsidRPr="00DC371E">
        <w:rPr>
          <w:rFonts w:ascii="Arial" w:hAnsi="Arial" w:cs="Arial"/>
          <w:sz w:val="22"/>
          <w:szCs w:val="22"/>
          <w:lang w:val="es-ES_tradnl"/>
        </w:rPr>
        <w:t>municipios</w:t>
      </w:r>
      <w:r w:rsidRPr="00DC371E">
        <w:rPr>
          <w:rFonts w:ascii="Arial" w:hAnsi="Arial" w:cs="Arial"/>
          <w:sz w:val="22"/>
          <w:szCs w:val="22"/>
          <w:lang w:val="es-ES_tradnl"/>
        </w:rPr>
        <w:t xml:space="preserve"> solamente pueden aplicarse una vez incorporados a su presupuesto.</w:t>
      </w:r>
      <w:r w:rsidRPr="00DC371E">
        <w:rPr>
          <w:rFonts w:ascii="Arial" w:hAnsi="Arial" w:cs="Arial"/>
          <w:sz w:val="22"/>
          <w:szCs w:val="22"/>
          <w:vertAlign w:val="superscript"/>
          <w:lang w:val="es-ES_tradnl"/>
        </w:rPr>
        <w:footnoteReference w:id="16"/>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shd w:val="clear" w:color="auto" w:fill="FFFFFF"/>
        <w:spacing w:after="150"/>
        <w:contextualSpacing/>
        <w:jc w:val="both"/>
        <w:rPr>
          <w:rFonts w:ascii="Arial" w:hAnsi="Arial" w:cs="Arial"/>
          <w:sz w:val="22"/>
          <w:szCs w:val="22"/>
          <w:lang w:val="es-ES_tradnl"/>
        </w:rPr>
      </w:pPr>
      <w:r w:rsidRPr="00DC371E">
        <w:rPr>
          <w:rFonts w:ascii="Arial" w:hAnsi="Arial" w:cs="Arial"/>
          <w:sz w:val="22"/>
          <w:szCs w:val="22"/>
          <w:lang w:val="es-ES_tradnl"/>
        </w:rPr>
        <w:t xml:space="preserve">Corresponde a las empresas prestadoras de los servicios públicos domiciliarios, realizar los estudios que permitan determinar los requerimientos anuales de subsidios para cada servicio que presten, los cuales deben ser tenidos en cuenta en la preparación del anteproyecto de presupuesto municipal, </w:t>
      </w:r>
      <w:r w:rsidRPr="00DC371E">
        <w:rPr>
          <w:rFonts w:ascii="Arial" w:hAnsi="Arial" w:cs="Arial"/>
          <w:b/>
          <w:bCs/>
          <w:sz w:val="22"/>
          <w:szCs w:val="22"/>
          <w:lang w:val="es-ES_tradnl"/>
        </w:rPr>
        <w:t xml:space="preserve">el </w:t>
      </w:r>
      <w:r>
        <w:rPr>
          <w:rFonts w:ascii="Arial" w:hAnsi="Arial" w:cs="Arial"/>
          <w:b/>
          <w:bCs/>
          <w:sz w:val="22"/>
          <w:szCs w:val="22"/>
          <w:lang w:val="es-ES_tradnl"/>
        </w:rPr>
        <w:t>c</w:t>
      </w:r>
      <w:r w:rsidRPr="00DC371E">
        <w:rPr>
          <w:rFonts w:ascii="Arial" w:hAnsi="Arial" w:cs="Arial"/>
          <w:b/>
          <w:bCs/>
          <w:sz w:val="22"/>
          <w:szCs w:val="22"/>
          <w:lang w:val="es-ES_tradnl"/>
        </w:rPr>
        <w:t>oncejo municipal</w:t>
      </w:r>
      <w:r w:rsidRPr="00DC371E">
        <w:rPr>
          <w:rFonts w:ascii="Arial" w:hAnsi="Arial" w:cs="Arial"/>
          <w:sz w:val="22"/>
          <w:szCs w:val="22"/>
          <w:lang w:val="es-ES_tradnl"/>
        </w:rPr>
        <w:t xml:space="preserve"> o distrital, con fundamento en estos estudios, </w:t>
      </w:r>
      <w:r w:rsidRPr="00DC371E">
        <w:rPr>
          <w:rFonts w:ascii="Arial" w:hAnsi="Arial" w:cs="Arial"/>
          <w:b/>
          <w:bCs/>
          <w:sz w:val="22"/>
          <w:szCs w:val="22"/>
          <w:lang w:val="es-ES_tradnl"/>
        </w:rPr>
        <w:t>es quien debe determinar</w:t>
      </w:r>
      <w:r w:rsidRPr="00DC371E">
        <w:rPr>
          <w:rFonts w:ascii="Arial" w:hAnsi="Arial" w:cs="Arial"/>
          <w:sz w:val="22"/>
          <w:szCs w:val="22"/>
          <w:lang w:val="es-ES_tradnl"/>
        </w:rPr>
        <w:t xml:space="preserve"> el porcentaje de aporte solidario necesario </w:t>
      </w:r>
      <w:r w:rsidRPr="00DC371E">
        <w:rPr>
          <w:rFonts w:ascii="Arial" w:hAnsi="Arial" w:cs="Arial"/>
          <w:sz w:val="22"/>
          <w:szCs w:val="22"/>
          <w:lang w:val="es-ES_tradnl"/>
        </w:rPr>
        <w:lastRenderedPageBreak/>
        <w:t xml:space="preserve">para equilibrar el valor faltante entre subsidios y contribuciones, lo cual debe ser discutido y aprobado por el </w:t>
      </w:r>
      <w:r>
        <w:rPr>
          <w:rFonts w:ascii="Arial" w:hAnsi="Arial" w:cs="Arial"/>
          <w:sz w:val="22"/>
          <w:szCs w:val="22"/>
          <w:lang w:val="es-ES_tradnl"/>
        </w:rPr>
        <w:t>c</w:t>
      </w:r>
      <w:r w:rsidRPr="00DC371E">
        <w:rPr>
          <w:rFonts w:ascii="Arial" w:hAnsi="Arial" w:cs="Arial"/>
          <w:sz w:val="22"/>
          <w:szCs w:val="22"/>
          <w:lang w:val="es-ES_tradnl"/>
        </w:rPr>
        <w:t xml:space="preserve">oncejo </w:t>
      </w:r>
      <w:r>
        <w:rPr>
          <w:rFonts w:ascii="Arial" w:hAnsi="Arial" w:cs="Arial"/>
          <w:sz w:val="22"/>
          <w:szCs w:val="22"/>
          <w:lang w:val="es-ES_tradnl"/>
        </w:rPr>
        <w:t>m</w:t>
      </w:r>
      <w:r w:rsidRPr="00DC371E">
        <w:rPr>
          <w:rFonts w:ascii="Arial" w:hAnsi="Arial" w:cs="Arial"/>
          <w:sz w:val="22"/>
          <w:szCs w:val="22"/>
          <w:lang w:val="es-ES_tradnl"/>
        </w:rPr>
        <w:t xml:space="preserve">unicipal, a través del </w:t>
      </w:r>
      <w:r>
        <w:rPr>
          <w:rFonts w:ascii="Arial" w:hAnsi="Arial" w:cs="Arial"/>
          <w:sz w:val="22"/>
          <w:szCs w:val="22"/>
          <w:lang w:val="es-ES_tradnl"/>
        </w:rPr>
        <w:t>a</w:t>
      </w:r>
      <w:r w:rsidRPr="00DC371E">
        <w:rPr>
          <w:rFonts w:ascii="Arial" w:hAnsi="Arial" w:cs="Arial"/>
          <w:sz w:val="22"/>
          <w:szCs w:val="22"/>
          <w:lang w:val="es-ES_tradnl"/>
        </w:rPr>
        <w:t xml:space="preserve">cuerdo </w:t>
      </w:r>
      <w:r>
        <w:rPr>
          <w:rFonts w:ascii="Arial" w:hAnsi="Arial" w:cs="Arial"/>
          <w:sz w:val="22"/>
          <w:szCs w:val="22"/>
          <w:lang w:val="es-ES_tradnl"/>
        </w:rPr>
        <w:t>m</w:t>
      </w:r>
      <w:r w:rsidRPr="00DC371E">
        <w:rPr>
          <w:rFonts w:ascii="Arial" w:hAnsi="Arial" w:cs="Arial"/>
          <w:sz w:val="22"/>
          <w:szCs w:val="22"/>
          <w:lang w:val="es-ES_tradnl"/>
        </w:rPr>
        <w:t>unicipal correspondiente.</w:t>
      </w:r>
      <w:r w:rsidRPr="00DC371E">
        <w:rPr>
          <w:rFonts w:ascii="Arial" w:hAnsi="Arial" w:cs="Arial"/>
          <w:sz w:val="22"/>
          <w:szCs w:val="22"/>
          <w:vertAlign w:val="superscript"/>
          <w:lang w:val="es-ES_tradnl"/>
        </w:rPr>
        <w:t xml:space="preserve"> </w:t>
      </w:r>
      <w:r w:rsidRPr="00DC371E">
        <w:rPr>
          <w:rFonts w:ascii="Arial" w:hAnsi="Arial" w:cs="Arial"/>
          <w:sz w:val="22"/>
          <w:szCs w:val="22"/>
          <w:vertAlign w:val="superscript"/>
          <w:lang w:val="es-ES_tradnl"/>
        </w:rPr>
        <w:footnoteReference w:id="17"/>
      </w:r>
      <w:r w:rsidRPr="00DC371E">
        <w:rPr>
          <w:rFonts w:ascii="Arial" w:hAnsi="Arial" w:cs="Arial"/>
          <w:sz w:val="22"/>
          <w:szCs w:val="22"/>
          <w:lang w:val="es-ES_tradnl"/>
        </w:rPr>
        <w:t> </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 acuerdo con el parágrafo 2 del artículo 11 de la Ley 1176 de 2007, de los recursos de la Participación para Agua Potable y Saneamiento Básico de los municipios clasificados en categorías 2ª a 6ª, deberán destinarse, mínimo el quince por ciento (15 %) al pago de subsidios.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situación, relacionada con el no pago por concepto de la prestación de los Servicios Públicos Domiciliarios de Acueducto, Alcantarillado y Aseo, se ha venido presentando desde la vigencia 2014. Si bien se ha identificado por parte de la Entidad y los Operadores que entre las soluciones para resolver esta situación se encuentran, la implementación de la micro medición y la actualización de la estratificación, estas aún no se han materializado.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 xml:space="preserve">El MVCT en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rPr>
        <w:t xml:space="preserve">radicado en el MHCP bajo el número 1-2021-046779 el día 28 de mayo de 2021, </w:t>
      </w:r>
      <w:r w:rsidRPr="00DC371E">
        <w:rPr>
          <w:rFonts w:ascii="Arial" w:hAnsi="Arial" w:cs="Arial"/>
          <w:sz w:val="22"/>
          <w:szCs w:val="22"/>
          <w:lang w:val="es-ES_tradnl"/>
        </w:rPr>
        <w:t>hace referencia a que el Prestador Veolia Aguas del Archipiélago (antes Proactiva Aguas del Archipiélago) tiene pendiente de giro, recursos de las vigencias 2014 a 2018 por concepto de subsidios.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3D20AA">
        <w:rPr>
          <w:rFonts w:ascii="Arial" w:hAnsi="Arial" w:cs="Arial"/>
          <w:sz w:val="22"/>
          <w:szCs w:val="22"/>
          <w:lang w:val="es-ES_tradnl"/>
        </w:rPr>
        <w:t>Por</w:t>
      </w:r>
      <w:r w:rsidRPr="00DC371E">
        <w:rPr>
          <w:rFonts w:ascii="Arial" w:hAnsi="Arial" w:cs="Arial"/>
          <w:sz w:val="22"/>
          <w:szCs w:val="22"/>
          <w:lang w:val="es-ES_tradnl"/>
        </w:rPr>
        <w:t xml:space="preserve"> su parte Trash Busters S.A E.S.P, a través de la Gerencia señaló en comunicación enviada al MVCT el día 24 de marzo de 2021, que en el marco de proceso ejecutivo para hacer efectivo el pago de </w:t>
      </w:r>
      <w:r>
        <w:rPr>
          <w:rFonts w:ascii="Arial" w:hAnsi="Arial" w:cs="Arial"/>
          <w:sz w:val="22"/>
          <w:szCs w:val="22"/>
          <w:lang w:val="es-ES_tradnl"/>
        </w:rPr>
        <w:t>los</w:t>
      </w:r>
      <w:r w:rsidRPr="00DC371E">
        <w:rPr>
          <w:rFonts w:ascii="Arial" w:hAnsi="Arial" w:cs="Arial"/>
          <w:sz w:val="22"/>
          <w:szCs w:val="22"/>
          <w:lang w:val="es-ES_tradnl"/>
        </w:rPr>
        <w:t xml:space="preserve"> recursos</w:t>
      </w:r>
      <w:r w:rsidRPr="0010657C">
        <w:rPr>
          <w:rFonts w:ascii="Arial" w:hAnsi="Arial" w:cs="Arial"/>
          <w:sz w:val="22"/>
          <w:szCs w:val="22"/>
          <w:lang w:val="es-ES_tradnl"/>
        </w:rPr>
        <w:t xml:space="preserve"> </w:t>
      </w:r>
      <w:r>
        <w:rPr>
          <w:rFonts w:ascii="Arial" w:hAnsi="Arial" w:cs="Arial"/>
          <w:sz w:val="22"/>
          <w:szCs w:val="22"/>
          <w:lang w:val="es-ES_tradnl"/>
        </w:rPr>
        <w:t>d</w:t>
      </w:r>
      <w:r w:rsidRPr="00DC371E">
        <w:rPr>
          <w:rFonts w:ascii="Arial" w:hAnsi="Arial" w:cs="Arial"/>
          <w:sz w:val="22"/>
          <w:szCs w:val="22"/>
          <w:lang w:val="es-ES_tradnl"/>
        </w:rPr>
        <w:t>e los años 2014 a 2018 por concepto de subsidios, Trash Busters manifestó que el 1 de marzo de 2021 presentó escrito subsanando los defectos anunciados por el Juez</w:t>
      </w:r>
      <w:r>
        <w:rPr>
          <w:rFonts w:ascii="Arial" w:hAnsi="Arial" w:cs="Arial"/>
          <w:sz w:val="22"/>
          <w:szCs w:val="22"/>
          <w:lang w:val="es-ES_tradnl"/>
        </w:rPr>
        <w:t xml:space="preserve">, lo cual fue ordenado </w:t>
      </w:r>
      <w:r w:rsidRPr="00DC371E">
        <w:rPr>
          <w:rFonts w:ascii="Arial" w:hAnsi="Arial" w:cs="Arial"/>
          <w:sz w:val="22"/>
          <w:szCs w:val="22"/>
          <w:lang w:val="es-ES_tradnl"/>
        </w:rPr>
        <w:t>mediante Auto N 026 del 16 de febrero de 2021</w:t>
      </w:r>
      <w:r>
        <w:rPr>
          <w:rFonts w:ascii="Arial" w:hAnsi="Arial" w:cs="Arial"/>
          <w:sz w:val="22"/>
          <w:szCs w:val="22"/>
          <w:lang w:val="es-ES_tradnl"/>
        </w:rPr>
        <w:t>,</w:t>
      </w:r>
      <w:r w:rsidRPr="00DC371E">
        <w:rPr>
          <w:rFonts w:ascii="Arial" w:hAnsi="Arial" w:cs="Arial"/>
          <w:sz w:val="22"/>
          <w:szCs w:val="22"/>
          <w:lang w:val="es-ES_tradnl"/>
        </w:rPr>
        <w:t xml:space="preserve"> notificado por estado 04 del 22 de febrero de 2021 el Juez Primero Civil del Circuito de San Andrés</w:t>
      </w:r>
      <w:r>
        <w:rPr>
          <w:rFonts w:ascii="Arial" w:hAnsi="Arial" w:cs="Arial"/>
          <w:sz w:val="22"/>
          <w:szCs w:val="22"/>
          <w:lang w:val="es-ES_tradnl"/>
        </w:rPr>
        <w:t>;</w:t>
      </w:r>
      <w:r w:rsidRPr="00DC371E">
        <w:rPr>
          <w:rFonts w:ascii="Arial" w:hAnsi="Arial" w:cs="Arial"/>
          <w:sz w:val="22"/>
          <w:szCs w:val="22"/>
          <w:lang w:val="es-ES_tradnl"/>
        </w:rPr>
        <w:t xml:space="preserve"> esto significa que el proceso de cobro se encuentra activo y pendiente del pronunciamiento del Juez.</w:t>
      </w: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De conformidad con la certificación del Operador de aseo emitida el 23 de marzo de 2021, los valores pendientes de pago ascienden a $1.497 millones correspondientes a los periodos 2014 a 2018 y julio a diciembre de 2020. En la certificación se aclaró que fueron cancelados los valores de subsidios de la vigencia 2019 y del periodo enero a junio de 2020 por $935 millones. De acuerdo con la información presupuestal, esos giros se efectuaron en la vigencia 2021.</w:t>
      </w:r>
    </w:p>
    <w:p w:rsidR="00D75790" w:rsidRPr="00DC371E"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pStyle w:val="Prrafodelista"/>
        <w:numPr>
          <w:ilvl w:val="0"/>
          <w:numId w:val="12"/>
        </w:numPr>
        <w:jc w:val="both"/>
        <w:rPr>
          <w:rFonts w:ascii="Arial" w:hAnsi="Arial" w:cs="Arial"/>
          <w:b/>
          <w:bCs/>
          <w:sz w:val="22"/>
          <w:szCs w:val="22"/>
          <w:lang w:val="es-ES_tradnl"/>
        </w:rPr>
      </w:pPr>
      <w:r w:rsidRPr="00DC371E">
        <w:rPr>
          <w:rFonts w:ascii="Arial" w:hAnsi="Arial" w:cs="Arial"/>
          <w:b/>
          <w:bCs/>
          <w:sz w:val="22"/>
          <w:szCs w:val="22"/>
          <w:lang w:val="es-ES_tradnl"/>
        </w:rPr>
        <w:t>SUPERVISION Y GIRO DIRECTO A VEOLIA</w:t>
      </w:r>
      <w:r>
        <w:rPr>
          <w:rFonts w:ascii="Arial" w:hAnsi="Arial" w:cs="Arial"/>
          <w:b/>
          <w:bCs/>
          <w:sz w:val="22"/>
          <w:szCs w:val="22"/>
          <w:lang w:val="es-ES_tradnl"/>
        </w:rPr>
        <w:t>.</w:t>
      </w:r>
    </w:p>
    <w:p w:rsidR="00D75790" w:rsidRPr="00DC371E" w:rsidRDefault="00D75790" w:rsidP="00D75790">
      <w:pPr>
        <w:shd w:val="clear" w:color="auto" w:fill="FFFFFF"/>
        <w:spacing w:before="100" w:beforeAutospacing="1" w:after="119"/>
        <w:contextualSpacing/>
        <w:jc w:val="both"/>
        <w:rPr>
          <w:rFonts w:ascii="Arial" w:hAnsi="Arial" w:cs="Arial"/>
          <w:sz w:val="22"/>
          <w:szCs w:val="22"/>
          <w:highlight w:val="yellow"/>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r w:rsidRPr="00DC371E">
        <w:rPr>
          <w:rFonts w:ascii="Arial" w:hAnsi="Arial" w:cs="Arial"/>
          <w:sz w:val="22"/>
          <w:szCs w:val="22"/>
          <w:lang w:val="es-ES_tradnl"/>
        </w:rPr>
        <w:t xml:space="preserve">El MVCT en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rPr>
        <w:t xml:space="preserve">radicado en el MHCP bajo el número 1-2021-046779 el día 28 de mayo de 2021, </w:t>
      </w:r>
      <w:r w:rsidRPr="00DC371E">
        <w:rPr>
          <w:rFonts w:ascii="Arial" w:hAnsi="Arial" w:cs="Arial"/>
          <w:sz w:val="22"/>
          <w:szCs w:val="22"/>
          <w:lang w:val="es-ES_tradnl"/>
        </w:rPr>
        <w:lastRenderedPageBreak/>
        <w:t xml:space="preserve">manifestó que: </w:t>
      </w:r>
      <w:r w:rsidRPr="00DC371E">
        <w:rPr>
          <w:rFonts w:ascii="Arial" w:hAnsi="Arial" w:cs="Arial"/>
          <w:sz w:val="22"/>
          <w:szCs w:val="22"/>
        </w:rPr>
        <w:t xml:space="preserve">En la vigencia 2020 la </w:t>
      </w:r>
      <w:r>
        <w:rPr>
          <w:rFonts w:ascii="Arial" w:hAnsi="Arial" w:cs="Arial"/>
          <w:sz w:val="22"/>
          <w:szCs w:val="22"/>
        </w:rPr>
        <w:t>E</w:t>
      </w:r>
      <w:r w:rsidRPr="00DC371E">
        <w:rPr>
          <w:rFonts w:ascii="Arial" w:hAnsi="Arial" w:cs="Arial"/>
          <w:sz w:val="22"/>
          <w:szCs w:val="22"/>
        </w:rPr>
        <w:t xml:space="preserve">ntidad </w:t>
      </w:r>
      <w:r>
        <w:rPr>
          <w:rFonts w:ascii="Arial" w:hAnsi="Arial" w:cs="Arial"/>
          <w:sz w:val="22"/>
          <w:szCs w:val="22"/>
        </w:rPr>
        <w:t>T</w:t>
      </w:r>
      <w:r w:rsidRPr="00DC371E">
        <w:rPr>
          <w:rFonts w:ascii="Arial" w:hAnsi="Arial" w:cs="Arial"/>
          <w:sz w:val="22"/>
          <w:szCs w:val="22"/>
        </w:rPr>
        <w:t>erritorial no contaba con giro directo autorizado para el pago de subsidios de acueducto, alcantarillado o aseo.</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r w:rsidRPr="00DC371E">
        <w:rPr>
          <w:rFonts w:ascii="Arial" w:hAnsi="Arial" w:cs="Arial"/>
          <w:sz w:val="22"/>
          <w:szCs w:val="22"/>
        </w:rPr>
        <w:t xml:space="preserve">Veolia el 13 de julio de 2021, </w:t>
      </w:r>
      <w:r w:rsidR="00B47B1D" w:rsidRPr="00DC371E">
        <w:rPr>
          <w:rFonts w:ascii="Arial" w:hAnsi="Arial" w:cs="Arial"/>
          <w:sz w:val="22"/>
          <w:szCs w:val="22"/>
        </w:rPr>
        <w:t>en relación con el</w:t>
      </w:r>
      <w:r w:rsidRPr="00DC371E">
        <w:rPr>
          <w:rFonts w:ascii="Arial" w:hAnsi="Arial" w:cs="Arial"/>
          <w:sz w:val="22"/>
          <w:szCs w:val="22"/>
        </w:rPr>
        <w:t xml:space="preserve"> giro directo, en oficio 211059 hizo referencia en los siguientes términos: </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E46D41" w:rsidRDefault="00D75790" w:rsidP="00D75790">
      <w:pPr>
        <w:shd w:val="clear" w:color="auto" w:fill="FFFFFF"/>
        <w:spacing w:before="100" w:beforeAutospacing="1" w:after="119"/>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En primer lugar se precisa que nuestra empresa nunca ha suscrito con el Departamento convenio de Giro directo; si bien en el acta de febrero 13 de 2020 suscrita entre representantes del Departamento, Aguas de San Andrés, MVCT y nuestra empresa quedó como compromiso suscribir a 30 de marzo de 2020 convenio para el pago de subsidios 2020 este nunca se materializó</w:t>
      </w:r>
      <w:r w:rsidRPr="00E46D41">
        <w:rPr>
          <w:rFonts w:ascii="Arial" w:hAnsi="Arial" w:cs="Arial"/>
          <w:iCs/>
          <w:sz w:val="18"/>
          <w:szCs w:val="22"/>
        </w:rPr>
        <w:t>”.</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r w:rsidRPr="00DC371E">
        <w:rPr>
          <w:rFonts w:ascii="Arial" w:hAnsi="Arial" w:cs="Arial"/>
          <w:sz w:val="22"/>
          <w:szCs w:val="22"/>
        </w:rPr>
        <w:t>Sin embargo, en el marco del Estado de Emergencia Económica, Social y Ecológica para conjurar los efectos del Covid19, se expidió entre otros, el Decreto Legislativo 528</w:t>
      </w:r>
      <w:r w:rsidRPr="00DC371E">
        <w:rPr>
          <w:rStyle w:val="Refdenotaalpie"/>
          <w:rFonts w:ascii="Arial" w:hAnsi="Arial" w:cs="Arial"/>
          <w:sz w:val="22"/>
          <w:szCs w:val="22"/>
        </w:rPr>
        <w:footnoteReference w:id="18"/>
      </w:r>
      <w:r w:rsidRPr="00DC371E">
        <w:rPr>
          <w:rFonts w:ascii="Arial" w:hAnsi="Arial" w:cs="Arial"/>
          <w:sz w:val="22"/>
          <w:szCs w:val="22"/>
        </w:rPr>
        <w:t xml:space="preserve"> de 2020, el cual estableció en su artículo 4° la posibilidad de que aquellos prestadores de los servicios de acueducto, alcantarillado y aseo, que al 15 de abril de 2020 no recibieron de la entidad territorial el pago de los subsidios otorgados a los suscriptores subsidiables, podrán solicitar al MVCT giro directo de los </w:t>
      </w:r>
      <w:r>
        <w:rPr>
          <w:rFonts w:ascii="Arial" w:hAnsi="Arial" w:cs="Arial"/>
          <w:sz w:val="22"/>
          <w:szCs w:val="22"/>
        </w:rPr>
        <w:t xml:space="preserve">recursos del </w:t>
      </w:r>
      <w:r w:rsidRPr="00DC371E">
        <w:rPr>
          <w:rFonts w:ascii="Arial" w:hAnsi="Arial" w:cs="Arial"/>
          <w:sz w:val="22"/>
          <w:szCs w:val="22"/>
        </w:rPr>
        <w:t>SGP-APSB para asegurar el pago de subsidios. Por lo anterior, la empresa Veolia Aguas del Archipiélago S.A. E.S.P., prestadora de los servicios de acueducto y alcantarillado en San Andrés, presentó a ese Ministerio la solicitud de trámite de giro directo, razón por la cual, se transfiri</w:t>
      </w:r>
      <w:r>
        <w:rPr>
          <w:rFonts w:ascii="Arial" w:hAnsi="Arial" w:cs="Arial"/>
          <w:sz w:val="22"/>
          <w:szCs w:val="22"/>
        </w:rPr>
        <w:t>eron</w:t>
      </w:r>
      <w:r w:rsidRPr="00DC371E">
        <w:rPr>
          <w:rFonts w:ascii="Arial" w:hAnsi="Arial" w:cs="Arial"/>
          <w:sz w:val="22"/>
          <w:szCs w:val="22"/>
        </w:rPr>
        <w:t xml:space="preserve"> los recursos del SGP-APSB por concepto de subsidios, como se muestra en la siguiente tabla:</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E46D41" w:rsidRDefault="00D75790" w:rsidP="00D75790">
      <w:pPr>
        <w:shd w:val="clear" w:color="auto" w:fill="FFFFFF"/>
        <w:spacing w:before="100" w:beforeAutospacing="1" w:after="119"/>
        <w:contextualSpacing/>
        <w:jc w:val="center"/>
        <w:rPr>
          <w:rFonts w:ascii="Arial" w:hAnsi="Arial" w:cs="Arial"/>
          <w:b/>
          <w:bCs/>
          <w:sz w:val="20"/>
          <w:szCs w:val="22"/>
        </w:rPr>
      </w:pPr>
      <w:r w:rsidRPr="00E46D41">
        <w:rPr>
          <w:rFonts w:ascii="Arial" w:hAnsi="Arial" w:cs="Arial"/>
          <w:b/>
          <w:bCs/>
          <w:sz w:val="20"/>
          <w:szCs w:val="22"/>
        </w:rPr>
        <w:t>TABLA 14 – GIRO DIRECTO</w:t>
      </w:r>
    </w:p>
    <w:p w:rsidR="00D75790" w:rsidRPr="00DC371E" w:rsidRDefault="00D75790" w:rsidP="00D75790">
      <w:pPr>
        <w:shd w:val="clear" w:color="auto" w:fill="FFFFFF"/>
        <w:spacing w:before="100" w:beforeAutospacing="1" w:after="119"/>
        <w:contextualSpacing/>
        <w:jc w:val="center"/>
        <w:rPr>
          <w:rFonts w:ascii="Arial" w:hAnsi="Arial" w:cs="Arial"/>
          <w:sz w:val="22"/>
          <w:szCs w:val="22"/>
        </w:rPr>
      </w:pPr>
      <w:r w:rsidRPr="00A97C89">
        <w:rPr>
          <w:rFonts w:ascii="Arial" w:hAnsi="Arial" w:cs="Arial"/>
          <w:noProof/>
          <w:lang w:val="es-CO" w:eastAsia="es-CO"/>
        </w:rPr>
        <w:drawing>
          <wp:inline distT="0" distB="0" distL="0" distR="0">
            <wp:extent cx="4305300" cy="10953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a:extLst>
                        <a:ext uri="{28A0092B-C50C-407E-A947-70E740481C1C}">
                          <a14:useLocalDpi xmlns:a14="http://schemas.microsoft.com/office/drawing/2010/main" val="0"/>
                        </a:ext>
                      </a:extLst>
                    </a:blip>
                    <a:srcRect l="30209" t="17813" r="31264" b="65286"/>
                    <a:stretch>
                      <a:fillRect/>
                    </a:stretch>
                  </pic:blipFill>
                  <pic:spPr bwMode="auto">
                    <a:xfrm>
                      <a:off x="0" y="0"/>
                      <a:ext cx="4305300" cy="1095375"/>
                    </a:xfrm>
                    <a:prstGeom prst="rect">
                      <a:avLst/>
                    </a:prstGeom>
                    <a:noFill/>
                    <a:ln>
                      <a:noFill/>
                    </a:ln>
                  </pic:spPr>
                </pic:pic>
              </a:graphicData>
            </a:graphic>
          </wp:inline>
        </w:drawing>
      </w:r>
    </w:p>
    <w:p w:rsidR="00D75790" w:rsidRPr="00DC371E" w:rsidRDefault="00D75790" w:rsidP="00D75790">
      <w:pPr>
        <w:shd w:val="clear" w:color="auto" w:fill="FFFFFF"/>
        <w:spacing w:before="100" w:beforeAutospacing="1" w:after="119"/>
        <w:contextualSpacing/>
        <w:jc w:val="center"/>
        <w:rPr>
          <w:rFonts w:ascii="Arial" w:hAnsi="Arial" w:cs="Arial"/>
          <w:sz w:val="22"/>
          <w:szCs w:val="22"/>
        </w:rPr>
      </w:pPr>
      <w:r w:rsidRPr="00A97C89">
        <w:rPr>
          <w:rFonts w:ascii="Arial" w:hAnsi="Arial" w:cs="Arial"/>
          <w:noProof/>
          <w:lang w:val="es-CO" w:eastAsia="es-CO"/>
        </w:rPr>
        <w:drawing>
          <wp:inline distT="0" distB="0" distL="0" distR="0">
            <wp:extent cx="4305300" cy="219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extLst>
                        <a:ext uri="{28A0092B-C50C-407E-A947-70E740481C1C}">
                          <a14:useLocalDpi xmlns:a14="http://schemas.microsoft.com/office/drawing/2010/main" val="0"/>
                        </a:ext>
                      </a:extLst>
                    </a:blip>
                    <a:srcRect l="30209" t="74567" r="31264" b="21510"/>
                    <a:stretch>
                      <a:fillRect/>
                    </a:stretch>
                  </pic:blipFill>
                  <pic:spPr bwMode="auto">
                    <a:xfrm>
                      <a:off x="0" y="0"/>
                      <a:ext cx="4305300" cy="219075"/>
                    </a:xfrm>
                    <a:prstGeom prst="rect">
                      <a:avLst/>
                    </a:prstGeom>
                    <a:noFill/>
                    <a:ln>
                      <a:noFill/>
                    </a:ln>
                  </pic:spPr>
                </pic:pic>
              </a:graphicData>
            </a:graphic>
          </wp:inline>
        </w:drawing>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Como anexos del informe elaborado por el MVCT, se encuentran los oficios del Supervisor PGP SOPSAI-776 del 17 de junio de 2020 y SOPSAI-782 del 24 de julio de 2020 en los que no avala el balance presentado por el Operador para los meses de marzo, abril y mayo de 2020.</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 xml:space="preserve">En oficio de agosto de 2020, PGP manifestó a la Gerencia de Aguas de San Andrés que </w:t>
      </w:r>
      <w:r w:rsidRPr="00DC371E">
        <w:rPr>
          <w:rFonts w:ascii="Arial" w:hAnsi="Arial" w:cs="Arial"/>
          <w:i/>
          <w:iCs/>
          <w:sz w:val="22"/>
          <w:szCs w:val="22"/>
        </w:rPr>
        <w:t>“Una vez analizado el balance de subsidios y contribuciones presentado por el operador para junio de 2020, debemos reiterar observaciones ya efectuadas para los meses anteriores, destacando que se mantiene la situación de emergencia por el COVID19 que afecta de manera muy significativa el balance”.</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lastRenderedPageBreak/>
        <w:t>En este sentido, resulta inconveniente la aprobación del giro directo, cuando la Entidad a través de la Supervisión (Oficio SOPSAI-786 del 28 de agosto de 2020), reitera la inconformidad por los valores facturados por el Operador (Respuesta oficio 201506 del 29 de octubre de 2020), asociadas a:</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b/>
          <w:bCs/>
          <w:sz w:val="22"/>
          <w:szCs w:val="22"/>
        </w:rPr>
        <w:t>Mediciones (Valores promedio).</w:t>
      </w:r>
    </w:p>
    <w:p w:rsidR="00D75790" w:rsidRPr="00DC371E" w:rsidRDefault="00D75790" w:rsidP="00D75790">
      <w:pPr>
        <w:spacing w:after="33"/>
        <w:contextualSpacing/>
        <w:jc w:val="both"/>
        <w:rPr>
          <w:rFonts w:ascii="Arial" w:hAnsi="Arial" w:cs="Arial"/>
          <w:sz w:val="22"/>
          <w:szCs w:val="22"/>
        </w:rPr>
      </w:pPr>
    </w:p>
    <w:p w:rsidR="00D75790" w:rsidRDefault="00D75790" w:rsidP="00D75790">
      <w:pPr>
        <w:spacing w:after="33"/>
        <w:contextualSpacing/>
        <w:jc w:val="both"/>
        <w:rPr>
          <w:rFonts w:ascii="Arial" w:hAnsi="Arial" w:cs="Arial"/>
          <w:sz w:val="22"/>
          <w:szCs w:val="22"/>
        </w:rPr>
      </w:pPr>
      <w:r w:rsidRPr="00DC371E">
        <w:rPr>
          <w:rFonts w:ascii="Arial" w:hAnsi="Arial" w:cs="Arial"/>
          <w:sz w:val="22"/>
          <w:szCs w:val="22"/>
        </w:rPr>
        <w:t>En la cual se observa que las cifras reportadas por el Operador a la Superintendencia para los años 2018 y 2019 y los valores estimados por la Supervisión para 2020 arrojan valores promedio muy por debajo de los valores usados por el Operador para facturar a los usuarios subsidiables no medidos.</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pStyle w:val="Prrafodelista"/>
        <w:spacing w:after="33"/>
        <w:jc w:val="center"/>
        <w:rPr>
          <w:rFonts w:ascii="Arial" w:hAnsi="Arial" w:cs="Arial"/>
          <w:sz w:val="22"/>
          <w:szCs w:val="22"/>
        </w:rPr>
      </w:pPr>
      <w:r w:rsidRPr="00E46D41">
        <w:rPr>
          <w:rFonts w:ascii="Arial" w:hAnsi="Arial" w:cs="Arial"/>
          <w:b/>
          <w:bCs/>
          <w:sz w:val="20"/>
          <w:szCs w:val="22"/>
        </w:rPr>
        <w:t>TABLA 15. VALORES PROMEDIO M3</w:t>
      </w:r>
      <w:r w:rsidRPr="00A97C89">
        <w:rPr>
          <w:rFonts w:ascii="Arial" w:hAnsi="Arial" w:cs="Arial"/>
          <w:noProof/>
          <w:sz w:val="22"/>
          <w:szCs w:val="22"/>
          <w:lang w:val="es-CO" w:eastAsia="es-CO"/>
        </w:rPr>
        <w:drawing>
          <wp:inline distT="0" distB="0" distL="0" distR="0">
            <wp:extent cx="3514725" cy="733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l="34451" t="45885" r="34827" b="41441"/>
                    <a:stretch>
                      <a:fillRect/>
                    </a:stretch>
                  </pic:blipFill>
                  <pic:spPr bwMode="auto">
                    <a:xfrm>
                      <a:off x="0" y="0"/>
                      <a:ext cx="3514725" cy="733425"/>
                    </a:xfrm>
                    <a:prstGeom prst="rect">
                      <a:avLst/>
                    </a:prstGeom>
                    <a:noFill/>
                    <a:ln>
                      <a:noFill/>
                    </a:ln>
                  </pic:spPr>
                </pic:pic>
              </a:graphicData>
            </a:graphic>
          </wp:inline>
        </w:drawing>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b/>
          <w:bCs/>
          <w:sz w:val="22"/>
          <w:szCs w:val="22"/>
        </w:rPr>
      </w:pPr>
      <w:r w:rsidRPr="00DC371E">
        <w:rPr>
          <w:rFonts w:ascii="Arial" w:hAnsi="Arial" w:cs="Arial"/>
          <w:b/>
          <w:bCs/>
          <w:sz w:val="22"/>
          <w:szCs w:val="22"/>
        </w:rPr>
        <w:t>Consumos básicos</w:t>
      </w:r>
      <w:r>
        <w:rPr>
          <w:rFonts w:ascii="Arial" w:hAnsi="Arial" w:cs="Arial"/>
          <w:b/>
          <w:bCs/>
          <w:sz w:val="22"/>
          <w:szCs w:val="22"/>
        </w:rPr>
        <w:t>.</w:t>
      </w:r>
    </w:p>
    <w:p w:rsidR="00D75790" w:rsidRPr="00DC371E" w:rsidRDefault="00D75790" w:rsidP="00D75790">
      <w:pPr>
        <w:spacing w:after="33"/>
        <w:contextualSpacing/>
        <w:jc w:val="both"/>
        <w:rPr>
          <w:rFonts w:ascii="Arial" w:hAnsi="Arial" w:cs="Arial"/>
          <w:b/>
          <w:bCs/>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 xml:space="preserve">Para junio el análisis muestra una significativa reducción de los consumos residenciales facturados, lo cual no refleja la dinámica de consumo ni ajustes del operador. Al revisar lo que se encuentra es que no se ha reportado la información completa, siendo necesario que el </w:t>
      </w:r>
      <w:r>
        <w:rPr>
          <w:rFonts w:ascii="Arial" w:hAnsi="Arial" w:cs="Arial"/>
          <w:sz w:val="22"/>
          <w:szCs w:val="22"/>
        </w:rPr>
        <w:t>O</w:t>
      </w:r>
      <w:r w:rsidRPr="00DC371E">
        <w:rPr>
          <w:rFonts w:ascii="Arial" w:hAnsi="Arial" w:cs="Arial"/>
          <w:sz w:val="22"/>
          <w:szCs w:val="22"/>
        </w:rPr>
        <w:t xml:space="preserve">perador </w:t>
      </w:r>
      <w:r>
        <w:rPr>
          <w:rFonts w:ascii="Arial" w:hAnsi="Arial" w:cs="Arial"/>
          <w:sz w:val="22"/>
          <w:szCs w:val="22"/>
        </w:rPr>
        <w:t>corrija lo anterior</w:t>
      </w:r>
      <w:r w:rsidRPr="00DC371E">
        <w:rPr>
          <w:rFonts w:ascii="Arial" w:hAnsi="Arial" w:cs="Arial"/>
          <w:sz w:val="22"/>
          <w:szCs w:val="22"/>
        </w:rPr>
        <w:t>.</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Lo reportado muestra una irreal disminución de número de contratos activos para el mes de junio, en el mes de mayo la facturación misional reportaba 6</w:t>
      </w:r>
      <w:r>
        <w:rPr>
          <w:rFonts w:ascii="Arial" w:hAnsi="Arial" w:cs="Arial"/>
          <w:sz w:val="22"/>
          <w:szCs w:val="22"/>
        </w:rPr>
        <w:t>.</w:t>
      </w:r>
      <w:r w:rsidRPr="00DC371E">
        <w:rPr>
          <w:rFonts w:ascii="Arial" w:hAnsi="Arial" w:cs="Arial"/>
          <w:sz w:val="22"/>
          <w:szCs w:val="22"/>
        </w:rPr>
        <w:t>749 contratos y para el mes de junio solo reporta 4</w:t>
      </w:r>
      <w:r>
        <w:rPr>
          <w:rFonts w:ascii="Arial" w:hAnsi="Arial" w:cs="Arial"/>
          <w:sz w:val="22"/>
          <w:szCs w:val="22"/>
        </w:rPr>
        <w:t>.</w:t>
      </w:r>
      <w:r w:rsidRPr="00DC371E">
        <w:rPr>
          <w:rFonts w:ascii="Arial" w:hAnsi="Arial" w:cs="Arial"/>
          <w:sz w:val="22"/>
          <w:szCs w:val="22"/>
        </w:rPr>
        <w:t>319 contratos, generando la aparente disminución en el consumo, para los</w:t>
      </w:r>
      <w:r>
        <w:rPr>
          <w:rFonts w:ascii="Arial" w:hAnsi="Arial" w:cs="Arial"/>
          <w:sz w:val="22"/>
          <w:szCs w:val="22"/>
        </w:rPr>
        <w:t xml:space="preserve"> estratos</w:t>
      </w:r>
      <w:r w:rsidRPr="00DC371E">
        <w:rPr>
          <w:rFonts w:ascii="Arial" w:hAnsi="Arial" w:cs="Arial"/>
          <w:sz w:val="22"/>
          <w:szCs w:val="22"/>
        </w:rPr>
        <w:t xml:space="preserve"> residenciales 1 y 2, faltando ciclos de facturación por reportar.</w:t>
      </w:r>
    </w:p>
    <w:p w:rsidR="00D75790" w:rsidRPr="00DC371E" w:rsidRDefault="00D75790" w:rsidP="00D75790">
      <w:pPr>
        <w:spacing w:after="33"/>
        <w:contextualSpacing/>
        <w:jc w:val="both"/>
        <w:rPr>
          <w:rFonts w:ascii="Arial" w:hAnsi="Arial" w:cs="Arial"/>
        </w:rPr>
      </w:pPr>
    </w:p>
    <w:p w:rsidR="00D75790" w:rsidRPr="00DC371E" w:rsidRDefault="00D75790" w:rsidP="00D75790">
      <w:pPr>
        <w:spacing w:after="33"/>
        <w:contextualSpacing/>
        <w:jc w:val="both"/>
        <w:rPr>
          <w:rFonts w:ascii="Arial" w:hAnsi="Arial" w:cs="Arial"/>
          <w:b/>
          <w:bCs/>
          <w:sz w:val="22"/>
          <w:szCs w:val="22"/>
        </w:rPr>
      </w:pPr>
      <w:r w:rsidRPr="00DC371E">
        <w:rPr>
          <w:rFonts w:ascii="Arial" w:hAnsi="Arial" w:cs="Arial"/>
          <w:b/>
          <w:bCs/>
          <w:sz w:val="22"/>
          <w:szCs w:val="22"/>
        </w:rPr>
        <w:t>Usuarios no medidos</w:t>
      </w:r>
      <w:r>
        <w:rPr>
          <w:rFonts w:ascii="Arial" w:hAnsi="Arial" w:cs="Arial"/>
          <w:b/>
          <w:bCs/>
          <w:sz w:val="22"/>
          <w:szCs w:val="22"/>
        </w:rPr>
        <w:t>.</w:t>
      </w:r>
    </w:p>
    <w:p w:rsidR="00D75790" w:rsidRPr="00DC371E" w:rsidRDefault="00D75790" w:rsidP="00D75790">
      <w:pPr>
        <w:pStyle w:val="Prrafodelista"/>
        <w:spacing w:after="33"/>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Se mantiene un cobro de 6</w:t>
      </w:r>
      <w:r>
        <w:rPr>
          <w:rFonts w:ascii="Arial" w:hAnsi="Arial" w:cs="Arial"/>
          <w:sz w:val="22"/>
          <w:szCs w:val="22"/>
        </w:rPr>
        <w:t xml:space="preserve"> </w:t>
      </w:r>
      <w:r w:rsidRPr="00DC371E">
        <w:rPr>
          <w:rFonts w:ascii="Arial" w:hAnsi="Arial" w:cs="Arial"/>
          <w:sz w:val="22"/>
          <w:szCs w:val="22"/>
        </w:rPr>
        <w:t>m</w:t>
      </w:r>
      <w:r w:rsidRPr="00DC371E">
        <w:rPr>
          <w:rFonts w:ascii="Arial" w:hAnsi="Arial" w:cs="Arial"/>
          <w:sz w:val="22"/>
          <w:szCs w:val="22"/>
          <w:vertAlign w:val="superscript"/>
        </w:rPr>
        <w:t>3</w:t>
      </w:r>
      <w:r w:rsidRPr="00DC371E">
        <w:rPr>
          <w:rFonts w:ascii="Arial" w:hAnsi="Arial" w:cs="Arial"/>
          <w:sz w:val="22"/>
          <w:szCs w:val="22"/>
        </w:rPr>
        <w:t xml:space="preserve"> a los usuarios no medidos, ajeno a la estipulación contractual, lo que a juicio del Supervisor es una falta gravísima.</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i/>
          <w:iCs/>
          <w:sz w:val="22"/>
          <w:szCs w:val="22"/>
        </w:rPr>
      </w:pPr>
      <w:r w:rsidRPr="00DC371E">
        <w:rPr>
          <w:rFonts w:ascii="Arial" w:hAnsi="Arial" w:cs="Arial"/>
          <w:sz w:val="22"/>
          <w:szCs w:val="22"/>
          <w:lang w:val="es-ES_tradnl"/>
        </w:rPr>
        <w:t xml:space="preserve">Al respecto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Pr>
          <w:rFonts w:ascii="Arial" w:hAnsi="Arial" w:cs="Arial"/>
          <w:sz w:val="22"/>
          <w:szCs w:val="22"/>
          <w:lang w:val="es-ES_tradnl"/>
        </w:rPr>
        <w:t>se</w:t>
      </w:r>
      <w:r w:rsidRPr="00DC371E">
        <w:rPr>
          <w:rFonts w:ascii="Arial" w:hAnsi="Arial" w:cs="Arial"/>
          <w:sz w:val="22"/>
          <w:szCs w:val="22"/>
        </w:rPr>
        <w:t xml:space="preserve"> hizo referencia a lo anterior en los siguientes términos:</w:t>
      </w:r>
    </w:p>
    <w:p w:rsidR="00D75790" w:rsidRPr="00DC371E" w:rsidRDefault="00D75790" w:rsidP="00D75790">
      <w:pPr>
        <w:spacing w:after="33"/>
        <w:contextualSpacing/>
        <w:jc w:val="both"/>
        <w:rPr>
          <w:rFonts w:ascii="Arial" w:hAnsi="Arial" w:cs="Arial"/>
          <w:b/>
          <w:bCs/>
          <w:sz w:val="22"/>
          <w:szCs w:val="22"/>
          <w:lang w:val="es-ES_tradnl"/>
        </w:rPr>
      </w:pPr>
    </w:p>
    <w:p w:rsidR="00D75790" w:rsidRPr="00E46D41" w:rsidRDefault="00D75790" w:rsidP="00D75790">
      <w:pPr>
        <w:spacing w:after="33"/>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 xml:space="preserve">Con relación a lo anterior, sobre las facturas o cuentas de cobro de subsidio de los meses de mayo a diciembre de 2020 y el resultado de la verificación del déficit del balance solidario en acueducto y alcantarillado realizado por la entidad territorial, señala la gerencia de Aguas de San Andrés S.A. E.S.P., que durante los periodos en que el MVCT realizó el giro directo a Veolia Aguas del Archipiélago S.A. E.S.P., dicha empresa envió la información del balance para la verificación de la supervisión, la cual realizó observaciones (anexos 12, 13, 14), siendo </w:t>
      </w:r>
      <w:r w:rsidRPr="00E46D41">
        <w:rPr>
          <w:rFonts w:ascii="Arial" w:hAnsi="Arial" w:cs="Arial"/>
          <w:i/>
          <w:iCs/>
          <w:sz w:val="18"/>
          <w:szCs w:val="22"/>
        </w:rPr>
        <w:lastRenderedPageBreak/>
        <w:t xml:space="preserve">que de </w:t>
      </w:r>
      <w:r w:rsidRPr="00E46D41">
        <w:rPr>
          <w:rFonts w:ascii="Arial" w:hAnsi="Arial" w:cs="Arial"/>
          <w:b/>
          <w:bCs/>
          <w:i/>
          <w:iCs/>
          <w:sz w:val="18"/>
          <w:szCs w:val="22"/>
        </w:rPr>
        <w:t>ningún mes se ha podido dar el visto bueno</w:t>
      </w:r>
      <w:r w:rsidRPr="00E46D41">
        <w:rPr>
          <w:rFonts w:ascii="Arial" w:hAnsi="Arial" w:cs="Arial"/>
          <w:i/>
          <w:iCs/>
          <w:sz w:val="18"/>
          <w:szCs w:val="22"/>
        </w:rPr>
        <w:t xml:space="preserve"> al valor del déficit en razón a que no se han podido resolver las diferencias encontradas, por falta de respuesta del operador</w:t>
      </w:r>
      <w:r w:rsidRPr="00E46D41">
        <w:rPr>
          <w:rFonts w:ascii="Arial" w:hAnsi="Arial" w:cs="Arial"/>
          <w:iCs/>
          <w:sz w:val="18"/>
          <w:szCs w:val="22"/>
        </w:rPr>
        <w:t>”.</w:t>
      </w:r>
    </w:p>
    <w:p w:rsidR="00D75790" w:rsidRPr="00E46D41" w:rsidRDefault="00D75790" w:rsidP="00D75790">
      <w:pPr>
        <w:spacing w:after="33"/>
        <w:contextualSpacing/>
        <w:jc w:val="both"/>
        <w:rPr>
          <w:rFonts w:ascii="Arial" w:hAnsi="Arial" w:cs="Arial"/>
          <w:iCs/>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En la información adjunta, no se aportaron documentos relevantes como los informes de Supervisión al cierre de la vigencia 2020, ni las autorizaciones o conformidades por parte de la Entidad Territorial para el pago de subsidios, en la cual se analice de forma detallada, las observaciones realizadas por la Supervisión.</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rPr>
        <w:t>Si bien existen diferencias entre lo manifestado por la Supervisión, el Operador en las respuestas dadas a Aguas de San Andrés y a</w:t>
      </w:r>
      <w:r>
        <w:rPr>
          <w:rFonts w:ascii="Arial" w:hAnsi="Arial" w:cs="Arial"/>
          <w:sz w:val="22"/>
          <w:szCs w:val="22"/>
        </w:rPr>
        <w:t>l mismo Supervisor -</w:t>
      </w:r>
      <w:r w:rsidRPr="00DC371E">
        <w:rPr>
          <w:rFonts w:ascii="Arial" w:hAnsi="Arial" w:cs="Arial"/>
          <w:sz w:val="22"/>
          <w:szCs w:val="22"/>
        </w:rPr>
        <w:t xml:space="preserve"> PGP, no presenta cifras ni justificaciones técnicas para deslegitimarlas.</w:t>
      </w:r>
    </w:p>
    <w:p w:rsidR="00D75790" w:rsidRPr="00DC371E" w:rsidRDefault="00D75790" w:rsidP="00D75790">
      <w:pPr>
        <w:spacing w:after="33"/>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b/>
          <w:bCs/>
          <w:sz w:val="22"/>
          <w:szCs w:val="22"/>
          <w:lang w:val="es-ES_tradnl"/>
        </w:rPr>
      </w:pPr>
      <w:r w:rsidRPr="00DC371E">
        <w:rPr>
          <w:rFonts w:ascii="Arial" w:hAnsi="Arial" w:cs="Arial"/>
          <w:sz w:val="22"/>
          <w:szCs w:val="22"/>
        </w:rPr>
        <w:t>En este aspecto esta Dirección, no ve conveniente la transferencia de los recursos para subsidios a través del giro directo, sin un análisis riguroso por parte de la Entidad Territorial, de los componentes de la tarifa, especialmente los de la medición, la correcta asignación oficial de usos y estratos, la adecuada aplicación de los porcentajes de subsidios y contribuciones, el debido recaudo de las contribuciones solidarias, el adecuado proceso de generación de factura</w:t>
      </w:r>
      <w:r>
        <w:rPr>
          <w:rFonts w:ascii="Arial" w:hAnsi="Arial" w:cs="Arial"/>
          <w:sz w:val="22"/>
          <w:szCs w:val="22"/>
        </w:rPr>
        <w:t>s</w:t>
      </w:r>
      <w:r w:rsidRPr="00DC371E">
        <w:rPr>
          <w:rFonts w:ascii="Arial" w:hAnsi="Arial" w:cs="Arial"/>
          <w:sz w:val="22"/>
          <w:szCs w:val="22"/>
        </w:rPr>
        <w:t xml:space="preserve"> por parte del Operador y en el caso particular de Acueducto y Alcantarillado, el análisis del cumplimiento contractual de los indicadores por parte de Veolia.</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Amparándose en la emergencia social</w:t>
      </w:r>
      <w:r>
        <w:rPr>
          <w:rFonts w:ascii="Arial" w:hAnsi="Arial" w:cs="Arial"/>
          <w:sz w:val="22"/>
          <w:szCs w:val="22"/>
          <w:lang w:val="es-ES_tradnl"/>
        </w:rPr>
        <w:t xml:space="preserve"> y</w:t>
      </w:r>
      <w:r w:rsidRPr="00DC371E">
        <w:rPr>
          <w:rFonts w:ascii="Arial" w:hAnsi="Arial" w:cs="Arial"/>
          <w:sz w:val="22"/>
          <w:szCs w:val="22"/>
          <w:lang w:val="es-ES_tradnl"/>
        </w:rPr>
        <w:t xml:space="preserve"> económica en el marco del COVID, en la vigencia 2020, se efectuó la expedición de las siguientes </w:t>
      </w:r>
      <w:r>
        <w:rPr>
          <w:rFonts w:ascii="Arial" w:hAnsi="Arial" w:cs="Arial"/>
          <w:sz w:val="22"/>
          <w:szCs w:val="22"/>
          <w:lang w:val="es-ES_tradnl"/>
        </w:rPr>
        <w:t>R</w:t>
      </w:r>
      <w:r w:rsidRPr="00DC371E">
        <w:rPr>
          <w:rFonts w:ascii="Arial" w:hAnsi="Arial" w:cs="Arial"/>
          <w:sz w:val="22"/>
          <w:szCs w:val="22"/>
          <w:lang w:val="es-ES_tradnl"/>
        </w:rPr>
        <w:t>esoluciones por medio de las cuales se reconocen y pagan deudas por concepto del déficit de subsidios en los servicios de acueducto, alcantarillado y aseo, de la siguiente manera:</w:t>
      </w:r>
    </w:p>
    <w:p w:rsidR="00D75790" w:rsidRPr="00DC371E"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pStyle w:val="Prrafodelista"/>
        <w:numPr>
          <w:ilvl w:val="0"/>
          <w:numId w:val="10"/>
        </w:numPr>
        <w:spacing w:after="33"/>
        <w:jc w:val="both"/>
        <w:rPr>
          <w:rFonts w:ascii="Arial" w:hAnsi="Arial" w:cs="Arial"/>
          <w:b/>
          <w:bCs/>
          <w:sz w:val="22"/>
          <w:szCs w:val="22"/>
          <w:lang w:val="es-ES_tradnl"/>
        </w:rPr>
      </w:pPr>
      <w:r w:rsidRPr="00DC371E">
        <w:rPr>
          <w:rFonts w:ascii="Arial" w:hAnsi="Arial" w:cs="Arial"/>
          <w:b/>
          <w:bCs/>
          <w:sz w:val="22"/>
          <w:szCs w:val="22"/>
          <w:lang w:val="es-ES_tradnl"/>
        </w:rPr>
        <w:t>ACUEDUCTO Y ALCANTARILLADO</w:t>
      </w:r>
      <w:r>
        <w:rPr>
          <w:rFonts w:ascii="Arial" w:hAnsi="Arial" w:cs="Arial"/>
          <w:b/>
          <w:bCs/>
          <w:sz w:val="22"/>
          <w:szCs w:val="22"/>
          <w:lang w:val="es-ES_tradnl"/>
        </w:rPr>
        <w:t>.</w:t>
      </w:r>
    </w:p>
    <w:p w:rsidR="00D75790" w:rsidRPr="00DC371E" w:rsidRDefault="00D75790" w:rsidP="00D75790">
      <w:pPr>
        <w:pStyle w:val="Prrafodelista"/>
        <w:spacing w:after="33"/>
        <w:jc w:val="both"/>
        <w:rPr>
          <w:rFonts w:ascii="Arial" w:hAnsi="Arial" w:cs="Arial"/>
          <w:b/>
          <w:bCs/>
          <w:sz w:val="22"/>
          <w:szCs w:val="22"/>
          <w:lang w:val="es-ES_tradnl"/>
        </w:rPr>
      </w:pPr>
    </w:p>
    <w:p w:rsidR="00D75790" w:rsidRPr="00DC371E" w:rsidRDefault="00D75790" w:rsidP="00D75790">
      <w:pPr>
        <w:pStyle w:val="Prrafodelista"/>
        <w:numPr>
          <w:ilvl w:val="1"/>
          <w:numId w:val="10"/>
        </w:numPr>
        <w:spacing w:after="33"/>
        <w:jc w:val="both"/>
        <w:rPr>
          <w:rFonts w:ascii="Arial" w:hAnsi="Arial" w:cs="Arial"/>
          <w:b/>
          <w:bCs/>
          <w:sz w:val="22"/>
          <w:szCs w:val="22"/>
          <w:lang w:val="es-ES_tradnl"/>
        </w:rPr>
      </w:pPr>
      <w:r w:rsidRPr="00DC371E">
        <w:rPr>
          <w:rFonts w:ascii="Arial" w:hAnsi="Arial" w:cs="Arial"/>
          <w:b/>
          <w:bCs/>
          <w:sz w:val="22"/>
          <w:szCs w:val="22"/>
          <w:lang w:val="es-ES_tradnl"/>
        </w:rPr>
        <w:t>RESOLUCIÓN 1607 DEL 15 DE MAYO DE 2020</w:t>
      </w:r>
      <w:r>
        <w:rPr>
          <w:rFonts w:ascii="Arial" w:hAnsi="Arial" w:cs="Arial"/>
          <w:b/>
          <w:bCs/>
          <w:sz w:val="22"/>
          <w:szCs w:val="22"/>
          <w:lang w:val="es-ES_tradnl"/>
        </w:rPr>
        <w:t>.</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L</w:t>
      </w:r>
      <w:r w:rsidRPr="00DC371E">
        <w:rPr>
          <w:rFonts w:ascii="Arial" w:hAnsi="Arial" w:cs="Arial"/>
          <w:sz w:val="22"/>
          <w:szCs w:val="22"/>
          <w:lang w:val="es-ES_tradnl"/>
        </w:rPr>
        <w:t xml:space="preserve">a Entidad entregó la </w:t>
      </w:r>
      <w:r>
        <w:rPr>
          <w:rFonts w:ascii="Arial" w:hAnsi="Arial" w:cs="Arial"/>
          <w:sz w:val="22"/>
          <w:szCs w:val="22"/>
          <w:lang w:val="es-ES_tradnl"/>
        </w:rPr>
        <w:t>R</w:t>
      </w:r>
      <w:r w:rsidRPr="00DC371E">
        <w:rPr>
          <w:rFonts w:ascii="Arial" w:hAnsi="Arial" w:cs="Arial"/>
          <w:sz w:val="22"/>
          <w:szCs w:val="22"/>
          <w:lang w:val="es-ES_tradnl"/>
        </w:rPr>
        <w:t xml:space="preserve">esolución 1607 del 15 de mayo de 2020, por medio de la cual la Gobernación autorizó el pago de subsidios al Operador de los servicios públicos domiciliarios de acueducto y alcantarillado con los recursos del SGP APSB del </w:t>
      </w:r>
      <w:r w:rsidRPr="00DC371E">
        <w:rPr>
          <w:rFonts w:ascii="Arial" w:hAnsi="Arial" w:cs="Arial"/>
          <w:b/>
          <w:bCs/>
          <w:sz w:val="22"/>
          <w:szCs w:val="22"/>
          <w:lang w:val="es-ES_tradnl"/>
        </w:rPr>
        <w:t xml:space="preserve">Departamento, </w:t>
      </w:r>
      <w:r w:rsidRPr="00DC371E">
        <w:rPr>
          <w:rFonts w:ascii="Arial" w:hAnsi="Arial" w:cs="Arial"/>
          <w:sz w:val="22"/>
          <w:szCs w:val="22"/>
          <w:lang w:val="es-ES_tradnl"/>
        </w:rPr>
        <w:t>por los siguientes conceptos:</w:t>
      </w:r>
    </w:p>
    <w:p w:rsidR="00D75790" w:rsidRPr="00DC371E" w:rsidRDefault="00D75790" w:rsidP="00D75790">
      <w:pPr>
        <w:spacing w:after="33"/>
        <w:contextualSpacing/>
        <w:jc w:val="both"/>
        <w:rPr>
          <w:rFonts w:ascii="Arial" w:hAnsi="Arial" w:cs="Arial"/>
          <w:b/>
          <w:bCs/>
          <w:sz w:val="22"/>
          <w:szCs w:val="22"/>
          <w:lang w:val="es-ES_tradnl"/>
        </w:rPr>
      </w:pP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TABLA 16: PAGO DEFICIT DE SUBSIDIO RESOLUCION 1607</w:t>
      </w:r>
    </w:p>
    <w:tbl>
      <w:tblPr>
        <w:tblStyle w:val="Tablaconcuadrcula"/>
        <w:tblW w:w="8500" w:type="dxa"/>
        <w:jc w:val="center"/>
        <w:tblLook w:val="04A0" w:firstRow="1" w:lastRow="0" w:firstColumn="1" w:lastColumn="0" w:noHBand="0" w:noVBand="1"/>
      </w:tblPr>
      <w:tblGrid>
        <w:gridCol w:w="1085"/>
        <w:gridCol w:w="6281"/>
        <w:gridCol w:w="1134"/>
      </w:tblGrid>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Factura</w:t>
            </w:r>
          </w:p>
        </w:tc>
        <w:tc>
          <w:tcPr>
            <w:tcW w:w="6281"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Concepto</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Valor. En Millones</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105</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Pago de diferencias generadas por los giros extemporáneos en los pagos de recursos de que trata la cláusula 26 del contrato de operación para los años 3 y 4 (2007 y 2008)</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22</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466</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Balance de subsidios y contribuciones del mes de marzo de 2019</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68</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467</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Balance de subsidios y contribuciones mes de abril de 2019</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52</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VAA609</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Balance subsidios y contribuciones acueducto mayo a diciembre de 2019</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729</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VAA610</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Balance de subsidios y contribuciones alcantarillado mayo a diciembre de 2019</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80</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p>
        </w:tc>
        <w:tc>
          <w:tcPr>
            <w:tcW w:w="6281"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TOTAL A PAGAR</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952</w:t>
            </w:r>
          </w:p>
        </w:tc>
      </w:tr>
    </w:tbl>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Al respecto se puede identificar que:</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Para el giro de estos recursos (</w:t>
      </w:r>
      <w:r>
        <w:rPr>
          <w:rFonts w:ascii="Arial" w:hAnsi="Arial" w:cs="Arial"/>
          <w:sz w:val="22"/>
          <w:szCs w:val="22"/>
          <w:lang w:val="es-ES_tradnl"/>
        </w:rPr>
        <w:t>d</w:t>
      </w:r>
      <w:r w:rsidRPr="00DC371E">
        <w:rPr>
          <w:rFonts w:ascii="Arial" w:hAnsi="Arial" w:cs="Arial"/>
          <w:sz w:val="22"/>
          <w:szCs w:val="22"/>
          <w:lang w:val="es-ES_tradnl"/>
        </w:rPr>
        <w:t>euda del déficit</w:t>
      </w:r>
      <w:r w:rsidRPr="00DC371E">
        <w:rPr>
          <w:rStyle w:val="Refdenotaalpie"/>
          <w:rFonts w:ascii="Arial" w:hAnsi="Arial" w:cs="Arial"/>
          <w:sz w:val="22"/>
          <w:szCs w:val="22"/>
          <w:lang w:val="es-ES_tradnl"/>
        </w:rPr>
        <w:footnoteReference w:id="19"/>
      </w:r>
      <w:r w:rsidRPr="00DC371E">
        <w:rPr>
          <w:rFonts w:ascii="Arial" w:hAnsi="Arial" w:cs="Arial"/>
          <w:sz w:val="22"/>
          <w:szCs w:val="22"/>
          <w:lang w:val="es-ES_tradnl"/>
        </w:rPr>
        <w:t xml:space="preserve"> de subsidios), se ampararon en normas COVID que rigieron a partir de la vigencia 2020 y 2021. Las normas COVID</w:t>
      </w:r>
      <w:r w:rsidRPr="00DC371E">
        <w:rPr>
          <w:rStyle w:val="Refdenotaalpie"/>
          <w:rFonts w:ascii="Arial" w:hAnsi="Arial" w:cs="Arial"/>
          <w:sz w:val="22"/>
          <w:szCs w:val="22"/>
          <w:lang w:val="es-ES_tradnl"/>
        </w:rPr>
        <w:footnoteReference w:id="20"/>
      </w:r>
      <w:r w:rsidRPr="00DC371E">
        <w:rPr>
          <w:rFonts w:ascii="Arial" w:hAnsi="Arial" w:cs="Arial"/>
          <w:sz w:val="22"/>
          <w:szCs w:val="22"/>
          <w:lang w:val="es-ES_tradnl"/>
        </w:rPr>
        <w:t xml:space="preserve"> dan prioridad al gasto apremiante que se causó para focalizar la atención en el manejo de la Pandemia para las vigencias 2020 y 2021. En materia sectorial, bajo el </w:t>
      </w:r>
      <w:r>
        <w:rPr>
          <w:rFonts w:ascii="Arial" w:hAnsi="Arial" w:cs="Arial"/>
          <w:sz w:val="22"/>
          <w:szCs w:val="22"/>
          <w:lang w:val="es-ES_tradnl"/>
        </w:rPr>
        <w:t>D</w:t>
      </w:r>
      <w:r w:rsidRPr="00DC371E">
        <w:rPr>
          <w:rFonts w:ascii="Arial" w:hAnsi="Arial" w:cs="Arial"/>
          <w:sz w:val="22"/>
          <w:szCs w:val="22"/>
          <w:lang w:val="es-ES_tradnl"/>
        </w:rPr>
        <w:t>ecreto 528</w:t>
      </w:r>
      <w:r>
        <w:rPr>
          <w:rFonts w:ascii="Arial" w:hAnsi="Arial" w:cs="Arial"/>
          <w:sz w:val="22"/>
          <w:szCs w:val="22"/>
          <w:lang w:val="es-ES_tradnl"/>
        </w:rPr>
        <w:t xml:space="preserve"> de 2020</w:t>
      </w:r>
      <w:r w:rsidRPr="00DC371E">
        <w:rPr>
          <w:rFonts w:ascii="Arial" w:hAnsi="Arial" w:cs="Arial"/>
          <w:sz w:val="22"/>
          <w:szCs w:val="22"/>
          <w:lang w:val="es-ES_tradnl"/>
        </w:rPr>
        <w:t>, entre otros.</w:t>
      </w:r>
    </w:p>
    <w:p w:rsidR="00D75790" w:rsidRPr="00DC371E" w:rsidRDefault="00D75790" w:rsidP="00D75790">
      <w:pPr>
        <w:pStyle w:val="Prrafodelista"/>
        <w:spacing w:after="33"/>
        <w:jc w:val="both"/>
        <w:rPr>
          <w:rFonts w:ascii="Arial" w:hAnsi="Arial" w:cs="Arial"/>
          <w:sz w:val="22"/>
          <w:szCs w:val="22"/>
          <w:lang w:val="es-ES_tradnl"/>
        </w:rPr>
      </w:pPr>
    </w:p>
    <w:p w:rsidR="00D75790" w:rsidRPr="00DC371E" w:rsidRDefault="00D75790" w:rsidP="00D75790">
      <w:pPr>
        <w:pStyle w:val="Prrafodelista"/>
        <w:numPr>
          <w:ilvl w:val="0"/>
          <w:numId w:val="10"/>
        </w:numPr>
        <w:spacing w:after="33"/>
        <w:jc w:val="both"/>
        <w:rPr>
          <w:rFonts w:ascii="Arial" w:hAnsi="Arial" w:cs="Arial"/>
          <w:i/>
          <w:iCs/>
          <w:sz w:val="22"/>
          <w:szCs w:val="22"/>
          <w:lang w:val="es-ES_tradnl"/>
        </w:rPr>
      </w:pPr>
      <w:r w:rsidRPr="00DC371E">
        <w:rPr>
          <w:rFonts w:ascii="Arial" w:hAnsi="Arial" w:cs="Arial"/>
          <w:sz w:val="22"/>
          <w:szCs w:val="22"/>
          <w:lang w:val="es-ES_tradnl"/>
        </w:rPr>
        <w:t xml:space="preserve">El artículo 1 del </w:t>
      </w:r>
      <w:r>
        <w:rPr>
          <w:rFonts w:ascii="Arial" w:hAnsi="Arial" w:cs="Arial"/>
          <w:sz w:val="22"/>
          <w:szCs w:val="22"/>
          <w:lang w:val="es-ES_tradnl"/>
        </w:rPr>
        <w:t>D</w:t>
      </w:r>
      <w:r w:rsidRPr="00DC371E">
        <w:rPr>
          <w:rFonts w:ascii="Arial" w:hAnsi="Arial" w:cs="Arial"/>
          <w:sz w:val="22"/>
          <w:szCs w:val="22"/>
          <w:lang w:val="es-ES_tradnl"/>
        </w:rPr>
        <w:t>ecreto 528</w:t>
      </w:r>
      <w:r>
        <w:rPr>
          <w:rFonts w:ascii="Arial" w:hAnsi="Arial" w:cs="Arial"/>
          <w:sz w:val="22"/>
          <w:szCs w:val="22"/>
          <w:lang w:val="es-ES_tradnl"/>
        </w:rPr>
        <w:t xml:space="preserve"> de 2020</w:t>
      </w:r>
      <w:r w:rsidRPr="00DC371E">
        <w:rPr>
          <w:rFonts w:ascii="Arial" w:hAnsi="Arial" w:cs="Arial"/>
          <w:sz w:val="22"/>
          <w:szCs w:val="22"/>
          <w:lang w:val="es-ES_tradnl"/>
        </w:rPr>
        <w:t xml:space="preserve"> manifestó que </w:t>
      </w:r>
      <w:r>
        <w:rPr>
          <w:rFonts w:ascii="Arial" w:hAnsi="Arial" w:cs="Arial"/>
          <w:sz w:val="22"/>
          <w:szCs w:val="22"/>
          <w:lang w:val="es-ES_tradnl"/>
        </w:rPr>
        <w:t>“</w:t>
      </w:r>
      <w:r w:rsidRPr="00DC371E">
        <w:rPr>
          <w:rFonts w:ascii="Arial" w:hAnsi="Arial" w:cs="Arial"/>
          <w:i/>
          <w:iCs/>
          <w:sz w:val="22"/>
          <w:szCs w:val="22"/>
          <w:lang w:val="es-ES_tradnl"/>
        </w:rPr>
        <w:t xml:space="preserve">Las personas prestadoras de los servicios públicos de acueducto, alcantarillado y/o aseo, podrán diferir por un plazo de treinta y seis (36) meses el cobro del cargo fijo y del </w:t>
      </w:r>
      <w:r w:rsidRPr="00DC371E">
        <w:rPr>
          <w:rFonts w:ascii="Arial" w:hAnsi="Arial" w:cs="Arial"/>
          <w:b/>
          <w:bCs/>
          <w:i/>
          <w:iCs/>
          <w:sz w:val="22"/>
          <w:szCs w:val="22"/>
          <w:lang w:val="es-ES_tradnl"/>
        </w:rPr>
        <w:t>consumo no subsidiado</w:t>
      </w:r>
      <w:r w:rsidRPr="00DC371E">
        <w:rPr>
          <w:rFonts w:ascii="Arial" w:hAnsi="Arial" w:cs="Arial"/>
          <w:i/>
          <w:iCs/>
          <w:sz w:val="22"/>
          <w:szCs w:val="22"/>
          <w:lang w:val="es-ES_tradnl"/>
        </w:rPr>
        <w:t xml:space="preserve"> a los usuarios residenciales de estratos 1 y 2, por los </w:t>
      </w:r>
      <w:r w:rsidRPr="00DC371E">
        <w:rPr>
          <w:rFonts w:ascii="Arial" w:hAnsi="Arial" w:cs="Arial"/>
          <w:b/>
          <w:bCs/>
          <w:i/>
          <w:iCs/>
          <w:sz w:val="22"/>
          <w:szCs w:val="22"/>
          <w:lang w:val="es-ES_tradnl"/>
        </w:rPr>
        <w:t xml:space="preserve">consumos causados durante los sesenta (60) días </w:t>
      </w:r>
      <w:r w:rsidRPr="00DC371E">
        <w:rPr>
          <w:rFonts w:ascii="Arial" w:hAnsi="Arial" w:cs="Arial"/>
          <w:i/>
          <w:iCs/>
          <w:sz w:val="22"/>
          <w:szCs w:val="22"/>
          <w:lang w:val="es-ES_tradnl"/>
        </w:rPr>
        <w:t>siguientes a la declaratoria de Emergencia Económica, Social y Ecológica, sin que pueda trasladarle al usuario final ningún interés o costo financiero por el diferimiento del cobro</w:t>
      </w:r>
      <w:r>
        <w:rPr>
          <w:rFonts w:ascii="Arial" w:hAnsi="Arial" w:cs="Arial"/>
          <w:iCs/>
          <w:sz w:val="22"/>
          <w:szCs w:val="22"/>
          <w:lang w:val="es-ES_tradnl"/>
        </w:rPr>
        <w:t>”.</w:t>
      </w:r>
    </w:p>
    <w:p w:rsidR="00D75790" w:rsidRPr="00DC371E" w:rsidRDefault="00D75790" w:rsidP="00D75790">
      <w:pPr>
        <w:pStyle w:val="Prrafodelista"/>
        <w:rPr>
          <w:rFonts w:ascii="Arial" w:hAnsi="Arial" w:cs="Arial"/>
          <w:i/>
          <w:iCs/>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Es evidente que este artículo, no ampara el pago de subsidios de vigencias anteriores a la declaratoria de emergencia, sino que hace referencia al alivio a través del pago diferido por consumos de los servicio</w:t>
      </w:r>
      <w:r>
        <w:rPr>
          <w:rFonts w:ascii="Arial" w:hAnsi="Arial" w:cs="Arial"/>
          <w:sz w:val="22"/>
          <w:szCs w:val="22"/>
          <w:lang w:val="es-ES_tradnl"/>
        </w:rPr>
        <w:t>s</w:t>
      </w:r>
      <w:r w:rsidRPr="00DC371E">
        <w:rPr>
          <w:rFonts w:ascii="Arial" w:hAnsi="Arial" w:cs="Arial"/>
          <w:sz w:val="22"/>
          <w:szCs w:val="22"/>
          <w:lang w:val="es-ES_tradnl"/>
        </w:rPr>
        <w:t xml:space="preserve"> de AAA causados durante los 60 días siguientes a la declaratoria de la </w:t>
      </w:r>
      <w:r>
        <w:rPr>
          <w:rFonts w:ascii="Arial" w:hAnsi="Arial" w:cs="Arial"/>
          <w:sz w:val="22"/>
          <w:szCs w:val="22"/>
          <w:lang w:val="es-ES_tradnl"/>
        </w:rPr>
        <w:t>e</w:t>
      </w:r>
      <w:r w:rsidRPr="00DC371E">
        <w:rPr>
          <w:rFonts w:ascii="Arial" w:hAnsi="Arial" w:cs="Arial"/>
          <w:sz w:val="22"/>
          <w:szCs w:val="22"/>
          <w:lang w:val="es-ES_tradnl"/>
        </w:rPr>
        <w:t>mergencia.</w:t>
      </w:r>
    </w:p>
    <w:p w:rsidR="00D75790" w:rsidRPr="00DC371E" w:rsidRDefault="00D75790" w:rsidP="00D75790">
      <w:pPr>
        <w:spacing w:after="33"/>
        <w:contextualSpacing/>
        <w:jc w:val="both"/>
        <w:rPr>
          <w:rFonts w:ascii="Arial" w:hAnsi="Arial" w:cs="Arial"/>
          <w:i/>
          <w:iCs/>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Por su parte, el artículo 4 del </w:t>
      </w:r>
      <w:r>
        <w:rPr>
          <w:rFonts w:ascii="Arial" w:hAnsi="Arial" w:cs="Arial"/>
          <w:sz w:val="22"/>
          <w:szCs w:val="22"/>
          <w:lang w:val="es-ES_tradnl"/>
        </w:rPr>
        <w:t>D</w:t>
      </w:r>
      <w:r w:rsidRPr="00DC371E">
        <w:rPr>
          <w:rFonts w:ascii="Arial" w:hAnsi="Arial" w:cs="Arial"/>
          <w:sz w:val="22"/>
          <w:szCs w:val="22"/>
          <w:lang w:val="es-ES_tradnl"/>
        </w:rPr>
        <w:t xml:space="preserve">ecreto </w:t>
      </w:r>
      <w:r>
        <w:rPr>
          <w:rFonts w:ascii="Arial" w:hAnsi="Arial" w:cs="Arial"/>
          <w:sz w:val="22"/>
          <w:szCs w:val="22"/>
          <w:lang w:val="es-ES_tradnl"/>
        </w:rPr>
        <w:t xml:space="preserve">Legislativo </w:t>
      </w:r>
      <w:r w:rsidRPr="00DC371E">
        <w:rPr>
          <w:rFonts w:ascii="Arial" w:hAnsi="Arial" w:cs="Arial"/>
          <w:sz w:val="22"/>
          <w:szCs w:val="22"/>
          <w:lang w:val="es-ES_tradnl"/>
        </w:rPr>
        <w:t xml:space="preserve">528 de 2020 hizo referencia al giro directo en los siguientes términos: </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ind w:left="1416"/>
        <w:contextualSpacing/>
        <w:jc w:val="both"/>
        <w:rPr>
          <w:rFonts w:ascii="Arial" w:hAnsi="Arial" w:cs="Arial"/>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Mientras permanezca vigente la declaratoria del Estado de Emergencia Económica, Social y Ecológica por causa de la Pande</w:t>
      </w:r>
      <w:r w:rsidR="00F42CB1">
        <w:rPr>
          <w:rFonts w:ascii="Arial" w:hAnsi="Arial" w:cs="Arial"/>
          <w:i/>
          <w:iCs/>
          <w:sz w:val="18"/>
          <w:szCs w:val="22"/>
          <w:lang w:val="es-ES_tradnl"/>
        </w:rPr>
        <w:t>m</w:t>
      </w:r>
      <w:r w:rsidRPr="00E46D41">
        <w:rPr>
          <w:rFonts w:ascii="Arial" w:hAnsi="Arial" w:cs="Arial"/>
          <w:i/>
          <w:iCs/>
          <w:sz w:val="18"/>
          <w:szCs w:val="22"/>
          <w:lang w:val="es-ES_tradnl"/>
        </w:rPr>
        <w:t xml:space="preserve">ia COVID-19, aquellos municipios que en la </w:t>
      </w:r>
      <w:r w:rsidRPr="00E46D41">
        <w:rPr>
          <w:rFonts w:ascii="Arial" w:hAnsi="Arial" w:cs="Arial"/>
          <w:b/>
          <w:bCs/>
          <w:i/>
          <w:iCs/>
          <w:sz w:val="18"/>
          <w:szCs w:val="22"/>
          <w:lang w:val="es-ES_tradnl"/>
        </w:rPr>
        <w:t>vigencia 2020</w:t>
      </w:r>
      <w:r w:rsidRPr="00E46D41">
        <w:rPr>
          <w:rStyle w:val="Refdenotaalpie"/>
          <w:rFonts w:ascii="Arial" w:hAnsi="Arial" w:cs="Arial"/>
          <w:i/>
          <w:iCs/>
          <w:sz w:val="18"/>
          <w:szCs w:val="22"/>
          <w:lang w:val="es-ES_tradnl"/>
        </w:rPr>
        <w:footnoteReference w:id="21"/>
      </w:r>
      <w:r w:rsidRPr="00E46D41">
        <w:rPr>
          <w:rFonts w:ascii="Arial" w:hAnsi="Arial" w:cs="Arial"/>
          <w:b/>
          <w:bCs/>
          <w:i/>
          <w:iCs/>
          <w:sz w:val="18"/>
          <w:szCs w:val="22"/>
          <w:lang w:val="es-ES_tradnl"/>
        </w:rPr>
        <w:t xml:space="preserve"> </w:t>
      </w:r>
      <w:r w:rsidRPr="00E46D41">
        <w:rPr>
          <w:rFonts w:ascii="Arial" w:hAnsi="Arial" w:cs="Arial"/>
          <w:i/>
          <w:iCs/>
          <w:sz w:val="18"/>
          <w:szCs w:val="22"/>
          <w:lang w:val="es-ES_tradnl"/>
        </w:rPr>
        <w:t xml:space="preserve">no hayan girado los recursos del Sistema General de Participaciones para Agua Potable y Saneamiento Básico a las personas prestadoras de servicios públicos de acueducto, alcantarillado y aseo que operan en su territorio, con el fin de dar cumplimiento al literal a) del artículo 11 de la Ley 1176 de 2007, deberán realizar los giros correspondientes a más </w:t>
      </w:r>
      <w:r w:rsidRPr="00E46D41">
        <w:rPr>
          <w:rFonts w:ascii="Arial" w:hAnsi="Arial" w:cs="Arial"/>
          <w:b/>
          <w:bCs/>
          <w:i/>
          <w:iCs/>
          <w:sz w:val="18"/>
          <w:szCs w:val="22"/>
          <w:lang w:val="es-ES_tradnl"/>
        </w:rPr>
        <w:t>tardar el 15 de abril de 2020</w:t>
      </w:r>
      <w:r w:rsidRPr="00E46D41">
        <w:rPr>
          <w:rFonts w:ascii="Arial" w:hAnsi="Arial" w:cs="Arial"/>
          <w:i/>
          <w:iCs/>
          <w:sz w:val="18"/>
          <w:szCs w:val="22"/>
          <w:lang w:val="es-ES_tradnl"/>
        </w:rPr>
        <w:t>. “</w:t>
      </w:r>
      <w:r>
        <w:rPr>
          <w:rFonts w:ascii="Arial" w:hAnsi="Arial" w:cs="Arial"/>
          <w:i/>
          <w:iCs/>
          <w:sz w:val="18"/>
          <w:szCs w:val="22"/>
          <w:lang w:val="es-ES_tradnl"/>
        </w:rPr>
        <w:t>[</w:t>
      </w:r>
      <w:r w:rsidRPr="00E46D41">
        <w:rPr>
          <w:rFonts w:ascii="Arial" w:hAnsi="Arial" w:cs="Arial"/>
          <w:i/>
          <w:iCs/>
          <w:sz w:val="18"/>
          <w:szCs w:val="22"/>
          <w:lang w:val="es-ES_tradnl"/>
        </w:rPr>
        <w:t>…</w:t>
      </w:r>
      <w:r>
        <w:rPr>
          <w:rFonts w:ascii="Arial" w:hAnsi="Arial" w:cs="Arial"/>
          <w:i/>
          <w:iCs/>
          <w:sz w:val="18"/>
          <w:szCs w:val="22"/>
          <w:lang w:val="es-ES_tradnl"/>
        </w:rPr>
        <w:t xml:space="preserve">] </w:t>
      </w:r>
      <w:r w:rsidRPr="00E46D41">
        <w:rPr>
          <w:rFonts w:ascii="Arial" w:hAnsi="Arial" w:cs="Arial"/>
          <w:i/>
          <w:iCs/>
          <w:sz w:val="18"/>
          <w:szCs w:val="22"/>
          <w:lang w:val="es-ES_tradnl"/>
        </w:rPr>
        <w:t>En todo caso, el municipio deberá realizar la verificación de la correcta asignación de los recursos del Sistema General de Participaciones para Agua Potable y Saneamiento Básico</w:t>
      </w:r>
      <w:r w:rsidRPr="00E46D41">
        <w:rPr>
          <w:rFonts w:ascii="Arial" w:hAnsi="Arial" w:cs="Arial"/>
          <w:iCs/>
          <w:sz w:val="18"/>
          <w:szCs w:val="22"/>
          <w:lang w:val="es-ES_tradnl"/>
        </w:rPr>
        <w:t>”.</w:t>
      </w:r>
    </w:p>
    <w:p w:rsidR="00D75790" w:rsidRPr="00E46D41" w:rsidRDefault="00D75790" w:rsidP="00D75790">
      <w:pPr>
        <w:spacing w:after="33"/>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este sentido, la vigencia de aplicación del artículo 4 del </w:t>
      </w:r>
      <w:r>
        <w:rPr>
          <w:rFonts w:ascii="Arial" w:hAnsi="Arial" w:cs="Arial"/>
          <w:sz w:val="22"/>
          <w:szCs w:val="22"/>
          <w:lang w:val="es-ES_tradnl"/>
        </w:rPr>
        <w:t>D</w:t>
      </w:r>
      <w:r w:rsidRPr="00DC371E">
        <w:rPr>
          <w:rFonts w:ascii="Arial" w:hAnsi="Arial" w:cs="Arial"/>
          <w:sz w:val="22"/>
          <w:szCs w:val="22"/>
          <w:lang w:val="es-ES_tradnl"/>
        </w:rPr>
        <w:t xml:space="preserve">ecreto </w:t>
      </w:r>
      <w:r>
        <w:rPr>
          <w:rFonts w:ascii="Arial" w:hAnsi="Arial" w:cs="Arial"/>
          <w:sz w:val="22"/>
          <w:szCs w:val="22"/>
          <w:lang w:val="es-ES_tradnl"/>
        </w:rPr>
        <w:t xml:space="preserve">Legislativo </w:t>
      </w:r>
      <w:r w:rsidRPr="00DC371E">
        <w:rPr>
          <w:rFonts w:ascii="Arial" w:hAnsi="Arial" w:cs="Arial"/>
          <w:sz w:val="22"/>
          <w:szCs w:val="22"/>
          <w:lang w:val="es-ES_tradnl"/>
        </w:rPr>
        <w:t xml:space="preserve">528 </w:t>
      </w:r>
      <w:r>
        <w:rPr>
          <w:rFonts w:ascii="Arial" w:hAnsi="Arial" w:cs="Arial"/>
          <w:sz w:val="22"/>
          <w:szCs w:val="22"/>
          <w:lang w:val="es-ES_tradnl"/>
        </w:rPr>
        <w:t>de 2020 corresponde a la de su expedición.</w:t>
      </w:r>
      <w:r w:rsidRPr="00DC371E">
        <w:rPr>
          <w:rFonts w:ascii="Arial" w:hAnsi="Arial" w:cs="Arial"/>
          <w:sz w:val="22"/>
          <w:szCs w:val="22"/>
          <w:lang w:val="es-ES_tradnl"/>
        </w:rPr>
        <w:t xml:space="preserve"> Para este caso y teniendo en cuenta el término de cumplimiento, serían pagos por el déficit de subsidios causados entre el 1 de enero hasta el 15 de abril de la vigencia 2020. Posterior a esto los </w:t>
      </w:r>
      <w:r>
        <w:rPr>
          <w:rFonts w:ascii="Arial" w:hAnsi="Arial" w:cs="Arial"/>
          <w:sz w:val="22"/>
          <w:szCs w:val="22"/>
          <w:lang w:val="es-ES_tradnl"/>
        </w:rPr>
        <w:t>p</w:t>
      </w:r>
      <w:r w:rsidRPr="00DC371E">
        <w:rPr>
          <w:rFonts w:ascii="Arial" w:hAnsi="Arial" w:cs="Arial"/>
          <w:sz w:val="22"/>
          <w:szCs w:val="22"/>
          <w:lang w:val="es-ES_tradnl"/>
        </w:rPr>
        <w:t xml:space="preserve">restadores podrían recurrir, como en este caso y ante el MVCT, a la figura del giro directo. </w:t>
      </w:r>
      <w:r>
        <w:rPr>
          <w:rFonts w:ascii="Arial" w:hAnsi="Arial" w:cs="Arial"/>
          <w:sz w:val="22"/>
          <w:szCs w:val="22"/>
          <w:lang w:val="es-ES_tradnl"/>
        </w:rPr>
        <w:t xml:space="preserve">Adicional a lo anterior, teniendo en cuenta el inciso segundo del mismo artículo 4 del Decreto 528 de 2020, </w:t>
      </w:r>
      <w:r w:rsidRPr="009A39C1">
        <w:rPr>
          <w:rFonts w:ascii="Arial" w:hAnsi="Arial" w:cs="Arial"/>
          <w:sz w:val="22"/>
          <w:szCs w:val="22"/>
          <w:lang w:val="es-ES_tradnl"/>
        </w:rPr>
        <w:t>el Municipio debió</w:t>
      </w:r>
      <w:r w:rsidRPr="00DC371E">
        <w:rPr>
          <w:rFonts w:ascii="Arial" w:hAnsi="Arial" w:cs="Arial"/>
          <w:b/>
          <w:bCs/>
          <w:sz w:val="22"/>
          <w:szCs w:val="22"/>
          <w:lang w:val="es-ES_tradnl"/>
        </w:rPr>
        <w:t xml:space="preserve"> </w:t>
      </w:r>
      <w:r w:rsidRPr="00DC371E">
        <w:rPr>
          <w:rFonts w:ascii="Arial" w:hAnsi="Arial" w:cs="Arial"/>
          <w:b/>
          <w:bCs/>
          <w:sz w:val="22"/>
          <w:szCs w:val="22"/>
          <w:lang w:val="es-ES_tradnl"/>
        </w:rPr>
        <w:lastRenderedPageBreak/>
        <w:t>verificar</w:t>
      </w:r>
      <w:r w:rsidRPr="00DC371E">
        <w:rPr>
          <w:rFonts w:ascii="Arial" w:hAnsi="Arial" w:cs="Arial"/>
          <w:sz w:val="22"/>
          <w:szCs w:val="22"/>
          <w:lang w:val="es-ES_tradnl"/>
        </w:rPr>
        <w:t xml:space="preserve"> el cumplimento de la aplicación correcta de la </w:t>
      </w:r>
      <w:r>
        <w:rPr>
          <w:rFonts w:ascii="Arial" w:hAnsi="Arial" w:cs="Arial"/>
          <w:sz w:val="22"/>
          <w:szCs w:val="22"/>
          <w:lang w:val="es-ES_tradnl"/>
        </w:rPr>
        <w:t>R</w:t>
      </w:r>
      <w:r w:rsidRPr="00DC371E">
        <w:rPr>
          <w:rFonts w:ascii="Arial" w:hAnsi="Arial" w:cs="Arial"/>
          <w:sz w:val="22"/>
          <w:szCs w:val="22"/>
          <w:lang w:val="es-ES_tradnl"/>
        </w:rPr>
        <w:t>esolución 1607 del 15 de mayo de 2020, en cuanto a fechas de aplicación para el pago de subsidios.</w:t>
      </w:r>
    </w:p>
    <w:p w:rsidR="00D75790" w:rsidRPr="00DC371E" w:rsidRDefault="00D75790" w:rsidP="00D75790">
      <w:pPr>
        <w:spacing w:after="33"/>
        <w:ind w:left="360"/>
        <w:contextualSpacing/>
        <w:jc w:val="both"/>
        <w:rPr>
          <w:rFonts w:ascii="Arial" w:hAnsi="Arial" w:cs="Arial"/>
          <w:sz w:val="22"/>
          <w:szCs w:val="22"/>
          <w:lang w:val="es-ES_tradnl"/>
        </w:rPr>
      </w:pP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de la </w:t>
      </w:r>
      <w:r>
        <w:rPr>
          <w:rFonts w:ascii="Arial" w:hAnsi="Arial" w:cs="Arial"/>
          <w:sz w:val="22"/>
          <w:szCs w:val="22"/>
          <w:lang w:val="es-ES_tradnl"/>
        </w:rPr>
        <w:t>P</w:t>
      </w:r>
      <w:r w:rsidRPr="00DC371E">
        <w:rPr>
          <w:rFonts w:ascii="Arial" w:hAnsi="Arial" w:cs="Arial"/>
          <w:sz w:val="22"/>
          <w:szCs w:val="22"/>
          <w:lang w:val="es-ES_tradnl"/>
        </w:rPr>
        <w:t>articipación del SGP</w:t>
      </w:r>
      <w:r>
        <w:rPr>
          <w:rFonts w:ascii="Arial" w:hAnsi="Arial" w:cs="Arial"/>
          <w:sz w:val="22"/>
          <w:szCs w:val="22"/>
          <w:lang w:val="es-ES_tradnl"/>
        </w:rPr>
        <w:t xml:space="preserve"> -</w:t>
      </w:r>
      <w:r w:rsidRPr="00DC371E">
        <w:rPr>
          <w:rFonts w:ascii="Arial" w:hAnsi="Arial" w:cs="Arial"/>
          <w:sz w:val="22"/>
          <w:szCs w:val="22"/>
          <w:lang w:val="es-ES_tradnl"/>
        </w:rPr>
        <w:t xml:space="preserve"> APSB para </w:t>
      </w:r>
      <w:r w:rsidRPr="00E46D41">
        <w:rPr>
          <w:rFonts w:ascii="Arial" w:hAnsi="Arial" w:cs="Arial"/>
          <w:bCs/>
          <w:sz w:val="22"/>
          <w:szCs w:val="22"/>
          <w:lang w:val="es-ES_tradnl"/>
        </w:rPr>
        <w:t>departamentos</w:t>
      </w:r>
      <w:r w:rsidRPr="00DC371E">
        <w:rPr>
          <w:rFonts w:ascii="Arial" w:hAnsi="Arial" w:cs="Arial"/>
          <w:sz w:val="22"/>
          <w:szCs w:val="22"/>
          <w:lang w:val="es-ES_tradnl"/>
        </w:rPr>
        <w:t>, no acogen en sus destinaciones, deudas por concepto del déficit de subsidios.</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de la participación del SGP </w:t>
      </w:r>
      <w:r>
        <w:rPr>
          <w:rFonts w:ascii="Arial" w:hAnsi="Arial" w:cs="Arial"/>
          <w:sz w:val="22"/>
          <w:szCs w:val="22"/>
          <w:lang w:val="es-ES_tradnl"/>
        </w:rPr>
        <w:t xml:space="preserve">- </w:t>
      </w:r>
      <w:r w:rsidRPr="00DC371E">
        <w:rPr>
          <w:rFonts w:ascii="Arial" w:hAnsi="Arial" w:cs="Arial"/>
          <w:sz w:val="22"/>
          <w:szCs w:val="22"/>
          <w:lang w:val="es-ES_tradnl"/>
        </w:rPr>
        <w:t>APSB para municipios, financian subsidios que se otorguen a los estratos subsidiables en la prestación de los servicios públicos domiciliarios.</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de la participación del SGP </w:t>
      </w:r>
      <w:r>
        <w:rPr>
          <w:rFonts w:ascii="Arial" w:hAnsi="Arial" w:cs="Arial"/>
          <w:sz w:val="22"/>
          <w:szCs w:val="22"/>
          <w:lang w:val="es-ES_tradnl"/>
        </w:rPr>
        <w:t xml:space="preserve">- </w:t>
      </w:r>
      <w:r w:rsidRPr="00DC371E">
        <w:rPr>
          <w:rFonts w:ascii="Arial" w:hAnsi="Arial" w:cs="Arial"/>
          <w:sz w:val="22"/>
          <w:szCs w:val="22"/>
          <w:lang w:val="es-ES_tradnl"/>
        </w:rPr>
        <w:t xml:space="preserve">APSB para </w:t>
      </w:r>
      <w:r w:rsidRPr="00697673">
        <w:rPr>
          <w:rFonts w:ascii="Arial" w:hAnsi="Arial" w:cs="Arial"/>
          <w:bCs/>
          <w:sz w:val="22"/>
          <w:szCs w:val="22"/>
          <w:lang w:val="es-ES_tradnl"/>
        </w:rPr>
        <w:t>municipio</w:t>
      </w:r>
      <w:r>
        <w:rPr>
          <w:rFonts w:ascii="Arial" w:hAnsi="Arial" w:cs="Arial"/>
          <w:bCs/>
          <w:sz w:val="22"/>
          <w:szCs w:val="22"/>
          <w:lang w:val="es-ES_tradnl"/>
        </w:rPr>
        <w:t>s</w:t>
      </w:r>
      <w:r w:rsidRPr="00DC371E">
        <w:rPr>
          <w:rFonts w:ascii="Arial" w:hAnsi="Arial" w:cs="Arial"/>
          <w:sz w:val="22"/>
          <w:szCs w:val="22"/>
          <w:lang w:val="es-ES_tradnl"/>
        </w:rPr>
        <w:t xml:space="preserve">, no contemplan en sus destinaciones, </w:t>
      </w:r>
      <w:r w:rsidRPr="00E46D41">
        <w:rPr>
          <w:rFonts w:ascii="Arial" w:hAnsi="Arial" w:cs="Arial"/>
          <w:bCs/>
          <w:sz w:val="22"/>
          <w:szCs w:val="22"/>
          <w:lang w:val="es-ES_tradnl"/>
        </w:rPr>
        <w:t>deudas</w:t>
      </w:r>
      <w:r w:rsidRPr="00DC371E">
        <w:rPr>
          <w:rFonts w:ascii="Arial" w:hAnsi="Arial" w:cs="Arial"/>
          <w:sz w:val="22"/>
          <w:szCs w:val="22"/>
          <w:lang w:val="es-ES_tradnl"/>
        </w:rPr>
        <w:t xml:space="preserve"> por concepto del pago del déficit de subsidios del Sector de Agua Potable y Saneamiento Básico.</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citados corresponden a </w:t>
      </w:r>
      <w:r w:rsidRPr="00E46D41">
        <w:rPr>
          <w:rFonts w:ascii="Arial" w:hAnsi="Arial" w:cs="Arial"/>
          <w:bCs/>
          <w:sz w:val="22"/>
          <w:szCs w:val="22"/>
          <w:lang w:val="es-ES_tradnl"/>
        </w:rPr>
        <w:t>deudas</w:t>
      </w:r>
      <w:r w:rsidRPr="00DC371E">
        <w:rPr>
          <w:rFonts w:ascii="Arial" w:hAnsi="Arial" w:cs="Arial"/>
          <w:sz w:val="22"/>
          <w:szCs w:val="22"/>
          <w:lang w:val="es-ES_tradnl"/>
        </w:rPr>
        <w:t xml:space="preserve"> por concepto de déficit de subsidios de vigencias anteriores, las cuales, tampoco podían ser financiadas con los recursos sectoriales, ni siquiera desde la participación que recibe San Andrés como Municipio, mucho menos deudas de vigencias 2007 ni 2008.</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pagos de subsidios (abril a diciembre de la </w:t>
      </w:r>
      <w:r>
        <w:rPr>
          <w:rFonts w:ascii="Arial" w:hAnsi="Arial" w:cs="Arial"/>
          <w:sz w:val="22"/>
          <w:szCs w:val="22"/>
          <w:lang w:val="es-ES_tradnl"/>
        </w:rPr>
        <w:t>v</w:t>
      </w:r>
      <w:r w:rsidRPr="00DC371E">
        <w:rPr>
          <w:rFonts w:ascii="Arial" w:hAnsi="Arial" w:cs="Arial"/>
          <w:sz w:val="22"/>
          <w:szCs w:val="22"/>
          <w:lang w:val="es-ES_tradnl"/>
        </w:rPr>
        <w:t>igencia 2019), debieron ser presupuestados desde la vigencia 2018 y pagados en la vigencia 2019. Sin embargo</w:t>
      </w:r>
      <w:r>
        <w:rPr>
          <w:rFonts w:ascii="Arial" w:hAnsi="Arial" w:cs="Arial"/>
          <w:sz w:val="22"/>
          <w:szCs w:val="22"/>
          <w:lang w:val="es-ES_tradnl"/>
        </w:rPr>
        <w:t>,</w:t>
      </w:r>
      <w:r w:rsidRPr="00DC371E">
        <w:rPr>
          <w:rFonts w:ascii="Arial" w:hAnsi="Arial" w:cs="Arial"/>
          <w:sz w:val="22"/>
          <w:szCs w:val="22"/>
          <w:lang w:val="es-ES_tradnl"/>
        </w:rPr>
        <w:t xml:space="preserve"> en el documento denominado informe mensual de ejecución presupuestal de gastos, suscrita por la Secretaria de Hacienda y correspondiente a la vigencia 2019, certificaron la inexistencia de cuentas por pagar, “no se reportaron movimientos”. En este sentido, no existía el soporte presupuestal (</w:t>
      </w:r>
      <w:r>
        <w:rPr>
          <w:rFonts w:ascii="Arial" w:hAnsi="Arial" w:cs="Arial"/>
          <w:sz w:val="22"/>
          <w:szCs w:val="22"/>
          <w:lang w:val="es-ES_tradnl"/>
        </w:rPr>
        <w:t>n</w:t>
      </w:r>
      <w:r w:rsidRPr="00DC371E">
        <w:rPr>
          <w:rFonts w:ascii="Arial" w:hAnsi="Arial" w:cs="Arial"/>
          <w:sz w:val="22"/>
          <w:szCs w:val="22"/>
          <w:lang w:val="es-ES_tradnl"/>
        </w:rPr>
        <w:t>i cuentas por pagar ni reservas debidamente constituidas) para efectuar el pago de estos subsidios.</w:t>
      </w:r>
    </w:p>
    <w:p w:rsidR="00D75790" w:rsidRPr="00DC371E" w:rsidRDefault="00D75790" w:rsidP="00D75790">
      <w:pPr>
        <w:pStyle w:val="Prrafodelista"/>
        <w:numPr>
          <w:ilvl w:val="0"/>
          <w:numId w:val="10"/>
        </w:numPr>
        <w:spacing w:after="33"/>
        <w:jc w:val="both"/>
        <w:rPr>
          <w:rFonts w:ascii="Arial" w:hAnsi="Arial" w:cs="Arial"/>
          <w:sz w:val="22"/>
          <w:szCs w:val="22"/>
          <w:lang w:val="es-ES_tradnl"/>
        </w:rPr>
      </w:pPr>
      <w:r w:rsidRPr="00DC371E">
        <w:rPr>
          <w:rFonts w:ascii="Arial" w:hAnsi="Arial" w:cs="Arial"/>
          <w:sz w:val="22"/>
          <w:szCs w:val="22"/>
          <w:lang w:val="es-ES_tradnl"/>
        </w:rPr>
        <w:t xml:space="preserve">San Andrés recibe recursos del SGP </w:t>
      </w:r>
      <w:r>
        <w:rPr>
          <w:rFonts w:ascii="Arial" w:hAnsi="Arial" w:cs="Arial"/>
          <w:sz w:val="22"/>
          <w:szCs w:val="22"/>
          <w:lang w:val="es-ES_tradnl"/>
        </w:rPr>
        <w:t xml:space="preserve">- </w:t>
      </w:r>
      <w:r w:rsidRPr="00DC371E">
        <w:rPr>
          <w:rFonts w:ascii="Arial" w:hAnsi="Arial" w:cs="Arial"/>
          <w:sz w:val="22"/>
          <w:szCs w:val="22"/>
          <w:lang w:val="es-ES_tradnl"/>
        </w:rPr>
        <w:t xml:space="preserve">APSB como Municipio y Departamento. De acuerdo con la ejecución presupuestal, la fuente de financiación usada, fueron los recursos del balance del SGP Municipio, y no como Departamento desatendiendo la </w:t>
      </w:r>
      <w:r>
        <w:rPr>
          <w:rFonts w:ascii="Arial" w:hAnsi="Arial" w:cs="Arial"/>
          <w:sz w:val="22"/>
          <w:szCs w:val="22"/>
          <w:lang w:val="es-ES_tradnl"/>
        </w:rPr>
        <w:t>R</w:t>
      </w:r>
      <w:r w:rsidRPr="00DC371E">
        <w:rPr>
          <w:rFonts w:ascii="Arial" w:hAnsi="Arial" w:cs="Arial"/>
          <w:sz w:val="22"/>
          <w:szCs w:val="22"/>
          <w:lang w:val="es-ES_tradnl"/>
        </w:rPr>
        <w:t>esolución 1607 del 15 de mayo de 2020.</w:t>
      </w:r>
    </w:p>
    <w:p w:rsidR="00D75790" w:rsidRPr="00E46D41" w:rsidRDefault="00D75790" w:rsidP="00D75790">
      <w:pPr>
        <w:spacing w:after="33"/>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Adicional a que los citados recursos no son objeto de las destinaciones contenidas en los artículos 10 y 11 de la Ley 1176 de 2007</w:t>
      </w:r>
      <w:r>
        <w:rPr>
          <w:rFonts w:ascii="Arial" w:hAnsi="Arial" w:cs="Arial"/>
          <w:sz w:val="22"/>
          <w:szCs w:val="22"/>
          <w:lang w:val="es-ES_tradnl"/>
        </w:rPr>
        <w:t>.</w:t>
      </w:r>
    </w:p>
    <w:p w:rsidR="00D75790" w:rsidRPr="00E46D41" w:rsidRDefault="00D75790" w:rsidP="00D75790">
      <w:pPr>
        <w:spacing w:after="33"/>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conclusión, la </w:t>
      </w:r>
      <w:r w:rsidRPr="00E46D41">
        <w:rPr>
          <w:rFonts w:ascii="Arial" w:hAnsi="Arial" w:cs="Arial"/>
          <w:bCs/>
          <w:sz w:val="22"/>
          <w:szCs w:val="22"/>
          <w:lang w:val="es-ES_tradnl"/>
        </w:rPr>
        <w:t>deuda</w:t>
      </w:r>
      <w:r w:rsidRPr="00DC371E">
        <w:rPr>
          <w:rFonts w:ascii="Arial" w:hAnsi="Arial" w:cs="Arial"/>
          <w:sz w:val="22"/>
          <w:szCs w:val="22"/>
          <w:lang w:val="es-ES_tradnl"/>
        </w:rPr>
        <w:t xml:space="preserve"> por déficit de subsidios de vigencias anteriores no es un concepto financiable con los recursos corrientes de la </w:t>
      </w:r>
      <w:r>
        <w:rPr>
          <w:rFonts w:ascii="Arial" w:hAnsi="Arial" w:cs="Arial"/>
          <w:sz w:val="22"/>
          <w:szCs w:val="22"/>
          <w:lang w:val="es-ES_tradnl"/>
        </w:rPr>
        <w:t>p</w:t>
      </w:r>
      <w:r w:rsidRPr="00DC371E">
        <w:rPr>
          <w:rFonts w:ascii="Arial" w:hAnsi="Arial" w:cs="Arial"/>
          <w:sz w:val="22"/>
          <w:szCs w:val="22"/>
          <w:lang w:val="es-ES_tradnl"/>
        </w:rPr>
        <w:t>articipación del Sistema General de Participaciones del Sector de Agua Potable para departamentos (</w:t>
      </w:r>
      <w:r>
        <w:rPr>
          <w:rFonts w:ascii="Arial" w:hAnsi="Arial" w:cs="Arial"/>
          <w:sz w:val="22"/>
          <w:szCs w:val="22"/>
          <w:lang w:val="es-ES_tradnl"/>
        </w:rPr>
        <w:t>a</w:t>
      </w:r>
      <w:r w:rsidRPr="00DC371E">
        <w:rPr>
          <w:rFonts w:ascii="Arial" w:hAnsi="Arial" w:cs="Arial"/>
          <w:sz w:val="22"/>
          <w:szCs w:val="22"/>
          <w:lang w:val="es-ES_tradnl"/>
        </w:rPr>
        <w:t>rt</w:t>
      </w:r>
      <w:r>
        <w:rPr>
          <w:rFonts w:ascii="Arial" w:hAnsi="Arial" w:cs="Arial"/>
          <w:sz w:val="22"/>
          <w:szCs w:val="22"/>
          <w:lang w:val="es-ES_tradnl"/>
        </w:rPr>
        <w:t>í</w:t>
      </w:r>
      <w:r w:rsidRPr="00DC371E">
        <w:rPr>
          <w:rFonts w:ascii="Arial" w:hAnsi="Arial" w:cs="Arial"/>
          <w:sz w:val="22"/>
          <w:szCs w:val="22"/>
          <w:lang w:val="es-ES_tradnl"/>
        </w:rPr>
        <w:t xml:space="preserve">culo 10 </w:t>
      </w:r>
      <w:r>
        <w:rPr>
          <w:rFonts w:ascii="Arial" w:hAnsi="Arial" w:cs="Arial"/>
          <w:sz w:val="22"/>
          <w:szCs w:val="22"/>
          <w:lang w:val="es-ES_tradnl"/>
        </w:rPr>
        <w:t>L</w:t>
      </w:r>
      <w:r w:rsidRPr="00DC371E">
        <w:rPr>
          <w:rFonts w:ascii="Arial" w:hAnsi="Arial" w:cs="Arial"/>
          <w:sz w:val="22"/>
          <w:szCs w:val="22"/>
          <w:lang w:val="es-ES_tradnl"/>
        </w:rPr>
        <w:t>ey 1176 de 2007) ni para municipios (</w:t>
      </w:r>
      <w:r>
        <w:rPr>
          <w:rFonts w:ascii="Arial" w:hAnsi="Arial" w:cs="Arial"/>
          <w:sz w:val="22"/>
          <w:szCs w:val="22"/>
          <w:lang w:val="es-ES_tradnl"/>
        </w:rPr>
        <w:t>a</w:t>
      </w:r>
      <w:r w:rsidRPr="00DC371E">
        <w:rPr>
          <w:rFonts w:ascii="Arial" w:hAnsi="Arial" w:cs="Arial"/>
          <w:sz w:val="22"/>
          <w:szCs w:val="22"/>
          <w:lang w:val="es-ES_tradnl"/>
        </w:rPr>
        <w:t xml:space="preserve">rtículos 11 de la </w:t>
      </w:r>
      <w:r>
        <w:rPr>
          <w:rFonts w:ascii="Arial" w:hAnsi="Arial" w:cs="Arial"/>
          <w:sz w:val="22"/>
          <w:szCs w:val="22"/>
          <w:lang w:val="es-ES_tradnl"/>
        </w:rPr>
        <w:t>L</w:t>
      </w:r>
      <w:r w:rsidRPr="00DC371E">
        <w:rPr>
          <w:rFonts w:ascii="Arial" w:hAnsi="Arial" w:cs="Arial"/>
          <w:sz w:val="22"/>
          <w:szCs w:val="22"/>
          <w:lang w:val="es-ES_tradnl"/>
        </w:rPr>
        <w:t xml:space="preserve">ey 1176 de 2007), conceptos en los que se usaron los recursos SGP </w:t>
      </w:r>
      <w:r>
        <w:rPr>
          <w:rFonts w:ascii="Arial" w:hAnsi="Arial" w:cs="Arial"/>
          <w:sz w:val="22"/>
          <w:szCs w:val="22"/>
          <w:lang w:val="es-ES_tradnl"/>
        </w:rPr>
        <w:t xml:space="preserve">- </w:t>
      </w:r>
      <w:r w:rsidRPr="00DC371E">
        <w:rPr>
          <w:rFonts w:ascii="Arial" w:hAnsi="Arial" w:cs="Arial"/>
          <w:sz w:val="22"/>
          <w:szCs w:val="22"/>
          <w:lang w:val="es-ES_tradnl"/>
        </w:rPr>
        <w:t xml:space="preserve">APSB, de conformidad con la </w:t>
      </w:r>
      <w:r>
        <w:rPr>
          <w:rFonts w:ascii="Arial" w:hAnsi="Arial" w:cs="Arial"/>
          <w:sz w:val="22"/>
          <w:szCs w:val="22"/>
          <w:lang w:val="es-ES_tradnl"/>
        </w:rPr>
        <w:t>R</w:t>
      </w:r>
      <w:r w:rsidRPr="00DC371E">
        <w:rPr>
          <w:rFonts w:ascii="Arial" w:hAnsi="Arial" w:cs="Arial"/>
          <w:sz w:val="22"/>
          <w:szCs w:val="22"/>
          <w:lang w:val="es-ES_tradnl"/>
        </w:rPr>
        <w:t xml:space="preserve">esolución 1607 del 15 de mayo de 2020 </w:t>
      </w:r>
      <w:r>
        <w:rPr>
          <w:rFonts w:ascii="Arial" w:hAnsi="Arial" w:cs="Arial"/>
          <w:sz w:val="22"/>
          <w:szCs w:val="22"/>
          <w:lang w:val="es-ES_tradnl"/>
        </w:rPr>
        <w:t xml:space="preserve">y como consta según </w:t>
      </w:r>
      <w:r w:rsidRPr="00DC371E">
        <w:rPr>
          <w:rFonts w:ascii="Arial" w:hAnsi="Arial" w:cs="Arial"/>
          <w:sz w:val="22"/>
          <w:szCs w:val="22"/>
          <w:lang w:val="es-ES_tradnl"/>
        </w:rPr>
        <w:t>los certificados 1988, 1989 y 2124 de fecha 22 de mayo de 2020 y los comprobantes 1569, 1570 y 1571 por los valores de $869 millones, $77</w:t>
      </w:r>
      <w:r>
        <w:rPr>
          <w:rFonts w:ascii="Arial" w:hAnsi="Arial" w:cs="Arial"/>
          <w:sz w:val="22"/>
          <w:szCs w:val="22"/>
          <w:lang w:val="es-ES_tradnl"/>
        </w:rPr>
        <w:t>,</w:t>
      </w:r>
      <w:r w:rsidRPr="00DC371E">
        <w:rPr>
          <w:rFonts w:ascii="Arial" w:hAnsi="Arial" w:cs="Arial"/>
          <w:sz w:val="22"/>
          <w:szCs w:val="22"/>
          <w:lang w:val="es-ES_tradnl"/>
        </w:rPr>
        <w:t>9 millones y $4</w:t>
      </w:r>
      <w:r>
        <w:rPr>
          <w:rFonts w:ascii="Arial" w:hAnsi="Arial" w:cs="Arial"/>
          <w:sz w:val="22"/>
          <w:szCs w:val="22"/>
          <w:lang w:val="es-ES_tradnl"/>
        </w:rPr>
        <w:t>,</w:t>
      </w:r>
      <w:r w:rsidRPr="00DC371E">
        <w:rPr>
          <w:rFonts w:ascii="Arial" w:hAnsi="Arial" w:cs="Arial"/>
          <w:sz w:val="22"/>
          <w:szCs w:val="22"/>
          <w:lang w:val="es-ES_tradnl"/>
        </w:rPr>
        <w:t>8 millones respectivamente.</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En este sentido se configura el cambio en la destinación de los recursos co</w:t>
      </w:r>
      <w:r>
        <w:rPr>
          <w:rFonts w:ascii="Arial" w:hAnsi="Arial" w:cs="Arial"/>
          <w:sz w:val="22"/>
          <w:szCs w:val="22"/>
          <w:lang w:val="es-ES_tradnl"/>
        </w:rPr>
        <w:t>nforme lo establecido en el artículo 9 d</w:t>
      </w:r>
      <w:r w:rsidRPr="00DC371E">
        <w:rPr>
          <w:rFonts w:ascii="Arial" w:hAnsi="Arial" w:cs="Arial"/>
          <w:sz w:val="22"/>
          <w:szCs w:val="22"/>
          <w:lang w:val="es-ES_tradnl"/>
        </w:rPr>
        <w:t xml:space="preserve">el </w:t>
      </w:r>
      <w:r>
        <w:rPr>
          <w:rFonts w:ascii="Arial" w:hAnsi="Arial" w:cs="Arial"/>
          <w:sz w:val="22"/>
          <w:szCs w:val="22"/>
          <w:lang w:val="es-ES_tradnl"/>
        </w:rPr>
        <w:t>D</w:t>
      </w:r>
      <w:r w:rsidRPr="00DC371E">
        <w:rPr>
          <w:rFonts w:ascii="Arial" w:hAnsi="Arial" w:cs="Arial"/>
          <w:sz w:val="22"/>
          <w:szCs w:val="22"/>
          <w:lang w:val="es-ES_tradnl"/>
        </w:rPr>
        <w:t>ecreto 028 de 2008.</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pStyle w:val="Prrafodelista"/>
        <w:numPr>
          <w:ilvl w:val="1"/>
          <w:numId w:val="10"/>
        </w:numPr>
        <w:spacing w:after="33"/>
        <w:jc w:val="both"/>
        <w:rPr>
          <w:rFonts w:ascii="Arial" w:hAnsi="Arial" w:cs="Arial"/>
          <w:b/>
          <w:bCs/>
          <w:sz w:val="22"/>
          <w:szCs w:val="22"/>
          <w:lang w:val="es-ES_tradnl"/>
        </w:rPr>
      </w:pPr>
      <w:r w:rsidRPr="00DC371E">
        <w:rPr>
          <w:rFonts w:ascii="Arial" w:hAnsi="Arial" w:cs="Arial"/>
          <w:b/>
          <w:bCs/>
          <w:sz w:val="22"/>
          <w:szCs w:val="22"/>
          <w:lang w:val="es-ES_tradnl"/>
        </w:rPr>
        <w:t>RESOLUCION 2754 DEL 11 DE AGOSTO DE 2020</w:t>
      </w:r>
      <w:r>
        <w:rPr>
          <w:rFonts w:ascii="Arial" w:hAnsi="Arial" w:cs="Arial"/>
          <w:b/>
          <w:bCs/>
          <w:sz w:val="22"/>
          <w:szCs w:val="22"/>
          <w:lang w:val="es-ES_tradnl"/>
        </w:rPr>
        <w:t>.</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lastRenderedPageBreak/>
        <w:t xml:space="preserve">Resolución por medio de la cual autorizó el pago de subsidios al Operador de los </w:t>
      </w:r>
      <w:r>
        <w:rPr>
          <w:rFonts w:ascii="Arial" w:hAnsi="Arial" w:cs="Arial"/>
          <w:sz w:val="22"/>
          <w:szCs w:val="22"/>
          <w:lang w:val="es-ES_tradnl"/>
        </w:rPr>
        <w:t>S</w:t>
      </w:r>
      <w:r w:rsidRPr="00DC371E">
        <w:rPr>
          <w:rFonts w:ascii="Arial" w:hAnsi="Arial" w:cs="Arial"/>
          <w:sz w:val="22"/>
          <w:szCs w:val="22"/>
          <w:lang w:val="es-ES_tradnl"/>
        </w:rPr>
        <w:t xml:space="preserve">ervicios </w:t>
      </w:r>
      <w:r>
        <w:rPr>
          <w:rFonts w:ascii="Arial" w:hAnsi="Arial" w:cs="Arial"/>
          <w:sz w:val="22"/>
          <w:szCs w:val="22"/>
          <w:lang w:val="es-ES_tradnl"/>
        </w:rPr>
        <w:t>P</w:t>
      </w:r>
      <w:r w:rsidRPr="00DC371E">
        <w:rPr>
          <w:rFonts w:ascii="Arial" w:hAnsi="Arial" w:cs="Arial"/>
          <w:sz w:val="22"/>
          <w:szCs w:val="22"/>
          <w:lang w:val="es-ES_tradnl"/>
        </w:rPr>
        <w:t xml:space="preserve">úblicos </w:t>
      </w:r>
      <w:r>
        <w:rPr>
          <w:rFonts w:ascii="Arial" w:hAnsi="Arial" w:cs="Arial"/>
          <w:sz w:val="22"/>
          <w:szCs w:val="22"/>
          <w:lang w:val="es-ES_tradnl"/>
        </w:rPr>
        <w:t>D</w:t>
      </w:r>
      <w:r w:rsidRPr="00DC371E">
        <w:rPr>
          <w:rFonts w:ascii="Arial" w:hAnsi="Arial" w:cs="Arial"/>
          <w:sz w:val="22"/>
          <w:szCs w:val="22"/>
          <w:lang w:val="es-ES_tradnl"/>
        </w:rPr>
        <w:t xml:space="preserve">omiciliarios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 xml:space="preserve">lcantarillado Veolia </w:t>
      </w:r>
      <w:r>
        <w:rPr>
          <w:rFonts w:ascii="Arial" w:hAnsi="Arial" w:cs="Arial"/>
          <w:sz w:val="22"/>
          <w:szCs w:val="22"/>
          <w:lang w:val="es-ES_tradnl"/>
        </w:rPr>
        <w:t>A</w:t>
      </w:r>
      <w:r w:rsidRPr="00DC371E">
        <w:rPr>
          <w:rFonts w:ascii="Arial" w:hAnsi="Arial" w:cs="Arial"/>
          <w:sz w:val="22"/>
          <w:szCs w:val="22"/>
          <w:lang w:val="es-ES_tradnl"/>
        </w:rPr>
        <w:t xml:space="preserve">guas del Archipiélago, con los recursos provenientes de la Ley 1176 de 2007 – Sistema General de Participaciones – Agua Potable y Saneamiento Básico, </w:t>
      </w:r>
      <w:r w:rsidRPr="00E46D41">
        <w:rPr>
          <w:rFonts w:ascii="Arial" w:hAnsi="Arial" w:cs="Arial"/>
          <w:bCs/>
          <w:sz w:val="22"/>
          <w:szCs w:val="22"/>
          <w:lang w:val="es-ES_tradnl"/>
        </w:rPr>
        <w:t>Departamento</w:t>
      </w:r>
      <w:r w:rsidRPr="00DC371E">
        <w:rPr>
          <w:rFonts w:ascii="Arial" w:hAnsi="Arial" w:cs="Arial"/>
          <w:sz w:val="22"/>
          <w:szCs w:val="22"/>
          <w:lang w:val="es-ES_tradnl"/>
        </w:rPr>
        <w:t xml:space="preserve"> de San Andrés.</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Con los considerandos similares a la </w:t>
      </w:r>
      <w:r>
        <w:rPr>
          <w:rFonts w:ascii="Arial" w:hAnsi="Arial" w:cs="Arial"/>
          <w:sz w:val="22"/>
          <w:szCs w:val="22"/>
          <w:lang w:val="es-ES_tradnl"/>
        </w:rPr>
        <w:t>R</w:t>
      </w:r>
      <w:r w:rsidRPr="00DC371E">
        <w:rPr>
          <w:rFonts w:ascii="Arial" w:hAnsi="Arial" w:cs="Arial"/>
          <w:sz w:val="22"/>
          <w:szCs w:val="22"/>
          <w:lang w:val="es-ES_tradnl"/>
        </w:rPr>
        <w:t xml:space="preserve">esolución 1607 del 15 de mayo de 2020, particularmente los que hacen referencia al estado de emergencia económica, social y ecológica y al giro directo, la Entidad resuelve autorizar el pago de subsidios a Veolia por $68 millones. La </w:t>
      </w:r>
      <w:r>
        <w:rPr>
          <w:rFonts w:ascii="Arial" w:hAnsi="Arial" w:cs="Arial"/>
          <w:sz w:val="22"/>
          <w:szCs w:val="22"/>
          <w:lang w:val="es-ES_tradnl"/>
        </w:rPr>
        <w:t>R</w:t>
      </w:r>
      <w:r w:rsidRPr="00DC371E">
        <w:rPr>
          <w:rFonts w:ascii="Arial" w:hAnsi="Arial" w:cs="Arial"/>
          <w:sz w:val="22"/>
          <w:szCs w:val="22"/>
          <w:lang w:val="es-ES_tradnl"/>
        </w:rPr>
        <w:t>esolución manifestó que este monto fue aprobado por Aguas de San Andrés, previo aval de la supervisión ejercida por UT P.G.P S.A.S.</w:t>
      </w: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Estos pagos corresponden a las facturas VAA614 Déficit de balance de subsidios y contribuciones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 xml:space="preserve">cueducto enero 2020 $62 millones y la factura VAA 613 déficit de balance de subsidios y contribuciones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lcantarillado enero 2020 $5 millones.</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De acuerdo con el memorando bajo consecutivo 313 del 19 de agosto de 2020, la Secretaria de Servicios Públicos solicitó a la oficina de presupuesto la expedición de los CDP y RP a los recursos SGP </w:t>
      </w:r>
      <w:r w:rsidRPr="00E46D41">
        <w:rPr>
          <w:rFonts w:ascii="Arial" w:hAnsi="Arial" w:cs="Arial"/>
          <w:bCs/>
          <w:sz w:val="22"/>
          <w:szCs w:val="22"/>
          <w:lang w:val="es-ES_tradnl"/>
        </w:rPr>
        <w:t>Municipio</w:t>
      </w:r>
      <w:r w:rsidRPr="00DC371E">
        <w:rPr>
          <w:rFonts w:ascii="Arial" w:hAnsi="Arial" w:cs="Arial"/>
          <w:sz w:val="22"/>
          <w:szCs w:val="22"/>
          <w:lang w:val="es-ES_tradnl"/>
        </w:rPr>
        <w:t xml:space="preserve"> de San Andrés para pago de subsidios.</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De esta manera, desatienden el encabezado de la </w:t>
      </w:r>
      <w:r>
        <w:rPr>
          <w:rFonts w:ascii="Arial" w:hAnsi="Arial" w:cs="Arial"/>
          <w:sz w:val="22"/>
          <w:szCs w:val="22"/>
          <w:lang w:val="es-ES_tradnl"/>
        </w:rPr>
        <w:t>R</w:t>
      </w:r>
      <w:r w:rsidRPr="00DC371E">
        <w:rPr>
          <w:rFonts w:ascii="Arial" w:hAnsi="Arial" w:cs="Arial"/>
          <w:sz w:val="22"/>
          <w:szCs w:val="22"/>
          <w:lang w:val="es-ES_tradnl"/>
        </w:rPr>
        <w:t xml:space="preserve">esolución, la cual hace referencia los recursos SGP </w:t>
      </w:r>
      <w:r w:rsidRPr="00E46D41">
        <w:rPr>
          <w:rFonts w:ascii="Arial" w:hAnsi="Arial" w:cs="Arial"/>
          <w:bCs/>
          <w:sz w:val="22"/>
          <w:szCs w:val="22"/>
          <w:lang w:val="es-ES_tradnl"/>
        </w:rPr>
        <w:t>Departamento</w:t>
      </w:r>
      <w:r w:rsidRPr="00DC371E">
        <w:rPr>
          <w:rFonts w:ascii="Arial" w:hAnsi="Arial" w:cs="Arial"/>
          <w:sz w:val="22"/>
          <w:szCs w:val="22"/>
          <w:lang w:val="es-ES_tradnl"/>
        </w:rPr>
        <w:t xml:space="preserve"> de San Andrés, no del Municipio.</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Sin embargo, y a través de la expedición del CDP 3665 del 3 de noviembre de 2020 por $68 millones, con la fuente de financiación 03-3-3 </w:t>
      </w:r>
      <w:r w:rsidRPr="00697673">
        <w:rPr>
          <w:rFonts w:ascii="Arial" w:hAnsi="Arial" w:cs="Arial"/>
          <w:sz w:val="22"/>
          <w:szCs w:val="22"/>
          <w:lang w:val="es-ES_tradnl"/>
        </w:rPr>
        <w:t>2-</w:t>
      </w:r>
      <w:r w:rsidRPr="00E46D41">
        <w:rPr>
          <w:rFonts w:ascii="Arial" w:hAnsi="Arial" w:cs="Arial"/>
          <w:bCs/>
          <w:sz w:val="22"/>
          <w:szCs w:val="22"/>
          <w:lang w:val="es-ES_tradnl"/>
        </w:rPr>
        <w:t>760</w:t>
      </w:r>
      <w:r w:rsidRPr="00DC371E">
        <w:rPr>
          <w:rFonts w:ascii="Arial" w:hAnsi="Arial" w:cs="Arial"/>
          <w:b/>
          <w:bCs/>
          <w:sz w:val="22"/>
          <w:szCs w:val="22"/>
          <w:lang w:val="es-ES_tradnl"/>
        </w:rPr>
        <w:t xml:space="preserve"> </w:t>
      </w:r>
      <w:r w:rsidRPr="00DC371E">
        <w:rPr>
          <w:rFonts w:ascii="Arial" w:hAnsi="Arial" w:cs="Arial"/>
          <w:sz w:val="22"/>
          <w:szCs w:val="22"/>
          <w:lang w:val="es-ES_tradnl"/>
        </w:rPr>
        <w:t xml:space="preserve">bajo el concepto mejoramiento de la prestación de los servicios públicos en el </w:t>
      </w:r>
      <w:r>
        <w:rPr>
          <w:rFonts w:ascii="Arial" w:hAnsi="Arial" w:cs="Arial"/>
          <w:sz w:val="22"/>
          <w:szCs w:val="22"/>
          <w:lang w:val="es-ES_tradnl"/>
        </w:rPr>
        <w:t>D</w:t>
      </w:r>
      <w:r w:rsidRPr="00DC371E">
        <w:rPr>
          <w:rFonts w:ascii="Arial" w:hAnsi="Arial" w:cs="Arial"/>
          <w:sz w:val="22"/>
          <w:szCs w:val="22"/>
          <w:lang w:val="es-ES_tradnl"/>
        </w:rPr>
        <w:t>epartamento de San Andrés, la fuente de financiación fue el SGP Departamento. Luego el 25 de noviembre de 2020 con un nuevo CDP número 3993 cambian la fuente de financiación a los recursos del Municipio. De esta manera expiden el RP 4374 por el mismo valor.</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TABLA 17. PAGO SUBSIDIOS RESOLUCION 2754</w:t>
      </w:r>
    </w:p>
    <w:tbl>
      <w:tblPr>
        <w:tblStyle w:val="Tablaconcuadrcula"/>
        <w:tblW w:w="6658" w:type="dxa"/>
        <w:jc w:val="center"/>
        <w:tblLook w:val="04A0" w:firstRow="1" w:lastRow="0" w:firstColumn="1" w:lastColumn="0" w:noHBand="0" w:noVBand="1"/>
      </w:tblPr>
      <w:tblGrid>
        <w:gridCol w:w="1085"/>
        <w:gridCol w:w="4439"/>
        <w:gridCol w:w="1134"/>
      </w:tblGrid>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Factura</w:t>
            </w:r>
          </w:p>
        </w:tc>
        <w:tc>
          <w:tcPr>
            <w:tcW w:w="4439"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Concepto</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Valor. En Millones</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VAA614</w:t>
            </w:r>
          </w:p>
        </w:tc>
        <w:tc>
          <w:tcPr>
            <w:tcW w:w="4439"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de balance de subsidios y contribuciones servicio de acueducto enero 2020</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62</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VAA613</w:t>
            </w:r>
          </w:p>
        </w:tc>
        <w:tc>
          <w:tcPr>
            <w:tcW w:w="4439"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de balance de subsidios y contribuciones servicio de alcantarillado enero 2020</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5</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p>
        </w:tc>
        <w:tc>
          <w:tcPr>
            <w:tcW w:w="4439"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TOTAL A PAGAR</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67</w:t>
            </w:r>
          </w:p>
        </w:tc>
      </w:tr>
    </w:tbl>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En un oficio remitido por PGP (Empresa que efectúa la Supervisión del contrato con Veolia), se hace referencia a que el valor por subsidios requerido excluye del balance a los usuarios no medidos objetados (827 usuarios).</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conclusión, los recursos del </w:t>
      </w:r>
      <w:r w:rsidRPr="00E46D41">
        <w:rPr>
          <w:rFonts w:ascii="Arial" w:hAnsi="Arial" w:cs="Arial"/>
          <w:bCs/>
          <w:sz w:val="22"/>
          <w:szCs w:val="22"/>
          <w:lang w:val="es-ES_tradnl"/>
        </w:rPr>
        <w:t>Municipio</w:t>
      </w:r>
      <w:r w:rsidRPr="00DC371E">
        <w:rPr>
          <w:rFonts w:ascii="Arial" w:hAnsi="Arial" w:cs="Arial"/>
          <w:sz w:val="22"/>
          <w:szCs w:val="22"/>
          <w:lang w:val="es-ES_tradnl"/>
        </w:rPr>
        <w:t xml:space="preserve"> para el pago del déficit de subsidios fueron la fuente de financiación de los conceptos contenidos en la </w:t>
      </w:r>
      <w:r>
        <w:rPr>
          <w:rFonts w:ascii="Arial" w:hAnsi="Arial" w:cs="Arial"/>
          <w:sz w:val="22"/>
          <w:szCs w:val="22"/>
          <w:lang w:val="es-ES_tradnl"/>
        </w:rPr>
        <w:t>R</w:t>
      </w:r>
      <w:r w:rsidRPr="00DC371E">
        <w:rPr>
          <w:rFonts w:ascii="Arial" w:hAnsi="Arial" w:cs="Arial"/>
          <w:sz w:val="22"/>
          <w:szCs w:val="22"/>
          <w:lang w:val="es-ES_tradnl"/>
        </w:rPr>
        <w:t xml:space="preserve">esolución 2754 de 2020, aprobados a través del giro directo por la Entidad. Si bien esta es la fuente correcta de financiación, desatendió la referencia de la </w:t>
      </w:r>
      <w:r>
        <w:rPr>
          <w:rFonts w:ascii="Arial" w:hAnsi="Arial" w:cs="Arial"/>
          <w:sz w:val="22"/>
          <w:szCs w:val="22"/>
          <w:lang w:val="es-ES_tradnl"/>
        </w:rPr>
        <w:t>R</w:t>
      </w:r>
      <w:r w:rsidRPr="00DC371E">
        <w:rPr>
          <w:rFonts w:ascii="Arial" w:hAnsi="Arial" w:cs="Arial"/>
          <w:sz w:val="22"/>
          <w:szCs w:val="22"/>
          <w:lang w:val="es-ES_tradnl"/>
        </w:rPr>
        <w:t>esolución sobre los recursos departamentales; las fechas de solicitud de los desembolsos adoptan lo contenido para las normas citadas, o sea, de la vigencia 2020.</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Se desconoce la solicitud de giro directo efectuada por el Operador al MVCT, así como la verificación de la correcta asignación de los recursos del Sistema General de Participaciones para Agua Potable y Saneamiento Básico, que debió realizar el Archipiélago.</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pStyle w:val="Prrafodelista"/>
        <w:numPr>
          <w:ilvl w:val="0"/>
          <w:numId w:val="10"/>
        </w:numPr>
        <w:spacing w:after="33"/>
        <w:jc w:val="both"/>
        <w:rPr>
          <w:rFonts w:ascii="Arial" w:hAnsi="Arial" w:cs="Arial"/>
          <w:b/>
          <w:bCs/>
          <w:sz w:val="22"/>
          <w:szCs w:val="22"/>
          <w:lang w:val="es-ES_tradnl"/>
        </w:rPr>
      </w:pPr>
      <w:r w:rsidRPr="00DC371E">
        <w:rPr>
          <w:rFonts w:ascii="Arial" w:hAnsi="Arial" w:cs="Arial"/>
          <w:b/>
          <w:bCs/>
          <w:sz w:val="22"/>
          <w:szCs w:val="22"/>
          <w:lang w:val="es-ES_tradnl"/>
        </w:rPr>
        <w:t>SERVICIO DE ASEO</w:t>
      </w:r>
      <w:r>
        <w:rPr>
          <w:rFonts w:ascii="Arial" w:hAnsi="Arial" w:cs="Arial"/>
          <w:b/>
          <w:bCs/>
          <w:sz w:val="22"/>
          <w:szCs w:val="22"/>
          <w:lang w:val="es-ES_tradnl"/>
        </w:rPr>
        <w:t>.</w:t>
      </w:r>
    </w:p>
    <w:p w:rsidR="00D75790" w:rsidRPr="00DC371E" w:rsidRDefault="00D75790" w:rsidP="00D75790">
      <w:pPr>
        <w:pStyle w:val="Prrafodelista"/>
        <w:spacing w:after="33"/>
        <w:jc w:val="both"/>
        <w:rPr>
          <w:rFonts w:ascii="Arial" w:hAnsi="Arial" w:cs="Arial"/>
          <w:b/>
          <w:bCs/>
          <w:sz w:val="22"/>
          <w:szCs w:val="22"/>
          <w:lang w:val="es-ES_tradnl"/>
        </w:rPr>
      </w:pPr>
    </w:p>
    <w:p w:rsidR="00D75790" w:rsidRPr="00DC371E" w:rsidRDefault="00D75790" w:rsidP="00D75790">
      <w:pPr>
        <w:pStyle w:val="Prrafodelista"/>
        <w:numPr>
          <w:ilvl w:val="1"/>
          <w:numId w:val="10"/>
        </w:numPr>
        <w:spacing w:after="33"/>
        <w:jc w:val="both"/>
        <w:rPr>
          <w:rFonts w:ascii="Arial" w:hAnsi="Arial" w:cs="Arial"/>
          <w:b/>
          <w:bCs/>
          <w:sz w:val="22"/>
          <w:szCs w:val="22"/>
          <w:lang w:val="es-ES_tradnl"/>
        </w:rPr>
      </w:pPr>
      <w:r w:rsidRPr="00DC371E">
        <w:rPr>
          <w:rFonts w:ascii="Arial" w:hAnsi="Arial" w:cs="Arial"/>
          <w:b/>
          <w:bCs/>
          <w:sz w:val="22"/>
          <w:szCs w:val="22"/>
          <w:lang w:val="es-ES_tradnl"/>
        </w:rPr>
        <w:t>RESOLUCIÓN 5671 DEL 21 DE DICIEMBRE DE 2020</w:t>
      </w:r>
      <w:r>
        <w:rPr>
          <w:rFonts w:ascii="Arial" w:hAnsi="Arial" w:cs="Arial"/>
          <w:b/>
          <w:bCs/>
          <w:sz w:val="22"/>
          <w:szCs w:val="22"/>
          <w:lang w:val="es-ES_tradnl"/>
        </w:rPr>
        <w:t>.</w:t>
      </w:r>
    </w:p>
    <w:p w:rsidR="00D75790" w:rsidRPr="00DC371E" w:rsidRDefault="00D75790" w:rsidP="00D75790">
      <w:pPr>
        <w:pStyle w:val="Prrafodelista"/>
        <w:spacing w:after="33"/>
        <w:jc w:val="both"/>
        <w:rPr>
          <w:rFonts w:ascii="Arial" w:hAnsi="Arial" w:cs="Arial"/>
          <w:b/>
          <w:bCs/>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 xml:space="preserve">La </w:t>
      </w:r>
      <w:r w:rsidRPr="00DC371E">
        <w:rPr>
          <w:rFonts w:ascii="Arial" w:hAnsi="Arial" w:cs="Arial"/>
          <w:sz w:val="22"/>
          <w:szCs w:val="22"/>
          <w:lang w:val="es-ES_tradnl"/>
        </w:rPr>
        <w:t>Resolución</w:t>
      </w:r>
      <w:r>
        <w:rPr>
          <w:rFonts w:ascii="Arial" w:hAnsi="Arial" w:cs="Arial"/>
          <w:sz w:val="22"/>
          <w:szCs w:val="22"/>
          <w:lang w:val="es-ES_tradnl"/>
        </w:rPr>
        <w:t xml:space="preserve"> 5671 expedida por la Gobernación del Departamento Archipiélago de San Andrés Providencia y Santa Catalina, </w:t>
      </w:r>
      <w:r w:rsidRPr="00DC371E">
        <w:rPr>
          <w:rFonts w:ascii="Arial" w:hAnsi="Arial" w:cs="Arial"/>
          <w:sz w:val="22"/>
          <w:szCs w:val="22"/>
          <w:lang w:val="es-ES_tradnl"/>
        </w:rPr>
        <w:t xml:space="preserve">por medio de la cual se autorizó el giro directo de los recursos del SGP al operador del </w:t>
      </w:r>
      <w:r>
        <w:rPr>
          <w:rFonts w:ascii="Arial" w:hAnsi="Arial" w:cs="Arial"/>
          <w:sz w:val="22"/>
          <w:szCs w:val="22"/>
          <w:lang w:val="es-ES_tradnl"/>
        </w:rPr>
        <w:t>S</w:t>
      </w:r>
      <w:r w:rsidRPr="00DC371E">
        <w:rPr>
          <w:rFonts w:ascii="Arial" w:hAnsi="Arial" w:cs="Arial"/>
          <w:sz w:val="22"/>
          <w:szCs w:val="22"/>
          <w:lang w:val="es-ES_tradnl"/>
        </w:rPr>
        <w:t xml:space="preserve">ervicio </w:t>
      </w:r>
      <w:r>
        <w:rPr>
          <w:rFonts w:ascii="Arial" w:hAnsi="Arial" w:cs="Arial"/>
          <w:sz w:val="22"/>
          <w:szCs w:val="22"/>
          <w:lang w:val="es-ES_tradnl"/>
        </w:rPr>
        <w:t>P</w:t>
      </w:r>
      <w:r w:rsidRPr="00DC371E">
        <w:rPr>
          <w:rFonts w:ascii="Arial" w:hAnsi="Arial" w:cs="Arial"/>
          <w:sz w:val="22"/>
          <w:szCs w:val="22"/>
          <w:lang w:val="es-ES_tradnl"/>
        </w:rPr>
        <w:t xml:space="preserve">úblico de </w:t>
      </w:r>
      <w:r>
        <w:rPr>
          <w:rFonts w:ascii="Arial" w:hAnsi="Arial" w:cs="Arial"/>
          <w:sz w:val="22"/>
          <w:szCs w:val="22"/>
          <w:lang w:val="es-ES_tradnl"/>
        </w:rPr>
        <w:t>A</w:t>
      </w:r>
      <w:r w:rsidRPr="00DC371E">
        <w:rPr>
          <w:rFonts w:ascii="Arial" w:hAnsi="Arial" w:cs="Arial"/>
          <w:sz w:val="22"/>
          <w:szCs w:val="22"/>
          <w:lang w:val="es-ES_tradnl"/>
        </w:rPr>
        <w:t>seo Trash Busters.</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La resolución se motiva en los aspectos citados en las resoluciones anteriores, especialmente en el pago de subsidios y el giro directo.</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También hace referencia a la creación del Comité de Análisis y Pagos de Subsidios</w:t>
      </w:r>
      <w:r>
        <w:rPr>
          <w:rStyle w:val="Refdenotaalpie"/>
          <w:rFonts w:ascii="Arial" w:hAnsi="Arial"/>
          <w:sz w:val="22"/>
          <w:szCs w:val="22"/>
          <w:lang w:val="es-ES_tradnl"/>
        </w:rPr>
        <w:footnoteReference w:id="22"/>
      </w:r>
      <w:r w:rsidRPr="00DC371E">
        <w:rPr>
          <w:rFonts w:ascii="Arial" w:hAnsi="Arial" w:cs="Arial"/>
          <w:sz w:val="22"/>
          <w:szCs w:val="22"/>
          <w:lang w:val="es-ES_tradnl"/>
        </w:rPr>
        <w:t xml:space="preserve"> quienes en reunión del 16 de diciembre recomendaron al Gobernador iniciar el trámite del pago de las facturas presentadas por Trash Busters 970, 997,</w:t>
      </w:r>
      <w:r>
        <w:rPr>
          <w:rFonts w:ascii="Arial" w:hAnsi="Arial" w:cs="Arial"/>
          <w:sz w:val="22"/>
          <w:szCs w:val="22"/>
          <w:lang w:val="es-ES_tradnl"/>
        </w:rPr>
        <w:t xml:space="preserve"> </w:t>
      </w:r>
      <w:r w:rsidRPr="00DC371E">
        <w:rPr>
          <w:rFonts w:ascii="Arial" w:hAnsi="Arial" w:cs="Arial"/>
          <w:sz w:val="22"/>
          <w:szCs w:val="22"/>
          <w:lang w:val="es-ES_tradnl"/>
        </w:rPr>
        <w:t>1017,</w:t>
      </w:r>
      <w:r>
        <w:rPr>
          <w:rFonts w:ascii="Arial" w:hAnsi="Arial" w:cs="Arial"/>
          <w:sz w:val="22"/>
          <w:szCs w:val="22"/>
          <w:lang w:val="es-ES_tradnl"/>
        </w:rPr>
        <w:t xml:space="preserve"> </w:t>
      </w:r>
      <w:r w:rsidRPr="00DC371E">
        <w:rPr>
          <w:rFonts w:ascii="Arial" w:hAnsi="Arial" w:cs="Arial"/>
          <w:sz w:val="22"/>
          <w:szCs w:val="22"/>
          <w:lang w:val="es-ES_tradnl"/>
        </w:rPr>
        <w:t>1091 y 1502 y auditar y conciliar estas facturas.</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TABLA 18.  PAGOS SUBSIDIOS RESOLUCION 5671</w:t>
      </w:r>
    </w:p>
    <w:tbl>
      <w:tblPr>
        <w:tblStyle w:val="Tablaconcuadrcula"/>
        <w:tblW w:w="8500" w:type="dxa"/>
        <w:jc w:val="center"/>
        <w:tblLook w:val="04A0" w:firstRow="1" w:lastRow="0" w:firstColumn="1" w:lastColumn="0" w:noHBand="0" w:noVBand="1"/>
      </w:tblPr>
      <w:tblGrid>
        <w:gridCol w:w="1085"/>
        <w:gridCol w:w="6281"/>
        <w:gridCol w:w="1134"/>
      </w:tblGrid>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Factura</w:t>
            </w:r>
          </w:p>
        </w:tc>
        <w:tc>
          <w:tcPr>
            <w:tcW w:w="6281"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Concepto</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b/>
                <w:bCs/>
                <w:sz w:val="20"/>
                <w:szCs w:val="20"/>
                <w:lang w:val="es-ES_tradnl"/>
              </w:rPr>
            </w:pPr>
            <w:r w:rsidRPr="00DC371E">
              <w:rPr>
                <w:rFonts w:ascii="Arial" w:hAnsi="Arial" w:cs="Arial"/>
                <w:b/>
                <w:bCs/>
                <w:sz w:val="20"/>
                <w:szCs w:val="20"/>
                <w:lang w:val="es-ES_tradnl"/>
              </w:rPr>
              <w:t>Valor. En Millones</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970</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en balance de subsidios y contribuciones del servicio de aseo correspondiente a los periodos de enero a agosto de 2019</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352</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2"/>
                <w:szCs w:val="22"/>
                <w:lang w:val="es-ES_tradnl"/>
              </w:rPr>
              <w:t>997</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en balance de subsidios y contribuciones del servicio de aseo correspondiente a los periodos de septiembre y octubre de 2019</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85</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1017</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en balance de subsidios y contribuciones del servicio de aseo correspondiente a los periodos de noviembre y diciembre de 2019 y enero y febrero de 2020.</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191</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1073</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en balance de subsidios y contribuciones del servicio de aseo correspondiente a los periodos de marzo y abril de 2020.</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93</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1091</w:t>
            </w:r>
          </w:p>
        </w:tc>
        <w:tc>
          <w:tcPr>
            <w:tcW w:w="6281"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r w:rsidRPr="00DC371E">
              <w:rPr>
                <w:rFonts w:ascii="Arial" w:hAnsi="Arial" w:cs="Arial"/>
                <w:sz w:val="20"/>
                <w:szCs w:val="20"/>
                <w:lang w:val="es-ES_tradnl"/>
              </w:rPr>
              <w:t>Déficit en balance de subsidios y contribuciones del servicio de aseo correspondiente a los periodos de mayo y junio de 2020.</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214</w:t>
            </w:r>
          </w:p>
        </w:tc>
      </w:tr>
      <w:tr w:rsidR="00D75790" w:rsidRPr="00DC371E" w:rsidTr="00695E54">
        <w:trPr>
          <w:jc w:val="center"/>
        </w:trPr>
        <w:tc>
          <w:tcPr>
            <w:tcW w:w="1085" w:type="dxa"/>
            <w:shd w:val="clear" w:color="auto" w:fill="DBE5F1" w:themeFill="accent1" w:themeFillTint="33"/>
          </w:tcPr>
          <w:p w:rsidR="00D75790" w:rsidRPr="00DC371E" w:rsidRDefault="00D75790" w:rsidP="00695E54">
            <w:pPr>
              <w:spacing w:after="33"/>
              <w:contextualSpacing/>
              <w:jc w:val="both"/>
              <w:rPr>
                <w:rFonts w:ascii="Arial" w:hAnsi="Arial" w:cs="Arial"/>
                <w:sz w:val="20"/>
                <w:szCs w:val="20"/>
                <w:lang w:val="es-ES_tradnl"/>
              </w:rPr>
            </w:pPr>
          </w:p>
        </w:tc>
        <w:tc>
          <w:tcPr>
            <w:tcW w:w="6281"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b/>
                <w:bCs/>
                <w:sz w:val="20"/>
                <w:szCs w:val="20"/>
                <w:lang w:val="es-ES_tradnl"/>
              </w:rPr>
              <w:t>TOTAL A PAGAR</w:t>
            </w:r>
          </w:p>
        </w:tc>
        <w:tc>
          <w:tcPr>
            <w:tcW w:w="1134" w:type="dxa"/>
            <w:shd w:val="clear" w:color="auto" w:fill="DBE5F1" w:themeFill="accent1" w:themeFillTint="33"/>
          </w:tcPr>
          <w:p w:rsidR="00D75790" w:rsidRPr="00DC371E" w:rsidRDefault="00D75790" w:rsidP="00695E54">
            <w:pPr>
              <w:spacing w:after="33"/>
              <w:contextualSpacing/>
              <w:jc w:val="center"/>
              <w:rPr>
                <w:rFonts w:ascii="Arial" w:hAnsi="Arial" w:cs="Arial"/>
                <w:sz w:val="20"/>
                <w:szCs w:val="20"/>
                <w:lang w:val="es-ES_tradnl"/>
              </w:rPr>
            </w:pPr>
            <w:r w:rsidRPr="00DC371E">
              <w:rPr>
                <w:rFonts w:ascii="Arial" w:hAnsi="Arial" w:cs="Arial"/>
                <w:sz w:val="20"/>
                <w:szCs w:val="20"/>
                <w:lang w:val="es-ES_tradnl"/>
              </w:rPr>
              <w:t>935</w:t>
            </w:r>
          </w:p>
        </w:tc>
      </w:tr>
    </w:tbl>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Las facturas 970 y 997 corresponden a periodos anteriores a 2020, esto significa que se asumió la deuda por déficit de subsidio de vigencias anteriores, amparados en normas COVID que rigieron para la vigencia 2020, con recursos que tienen destinación específica para el </w:t>
      </w:r>
      <w:r>
        <w:rPr>
          <w:rFonts w:ascii="Arial" w:hAnsi="Arial" w:cs="Arial"/>
          <w:sz w:val="22"/>
          <w:szCs w:val="22"/>
          <w:lang w:val="es-ES_tradnl"/>
        </w:rPr>
        <w:t>S</w:t>
      </w:r>
      <w:r w:rsidRPr="00DC371E">
        <w:rPr>
          <w:rFonts w:ascii="Arial" w:hAnsi="Arial" w:cs="Arial"/>
          <w:sz w:val="22"/>
          <w:szCs w:val="22"/>
          <w:lang w:val="es-ES_tradnl"/>
        </w:rPr>
        <w:t xml:space="preserve">ector. La deuda del déficit de </w:t>
      </w:r>
      <w:r w:rsidR="00E013AF" w:rsidRPr="00DC371E">
        <w:rPr>
          <w:rFonts w:ascii="Arial" w:hAnsi="Arial" w:cs="Arial"/>
          <w:sz w:val="22"/>
          <w:szCs w:val="22"/>
          <w:lang w:val="es-ES_tradnl"/>
        </w:rPr>
        <w:t>subsidios</w:t>
      </w:r>
      <w:r w:rsidRPr="00DC371E">
        <w:rPr>
          <w:rFonts w:ascii="Arial" w:hAnsi="Arial" w:cs="Arial"/>
          <w:sz w:val="22"/>
          <w:szCs w:val="22"/>
          <w:lang w:val="es-ES_tradnl"/>
        </w:rPr>
        <w:t xml:space="preserve"> no es un concepto financiable con los recursos corrientes del SGP APSB para Municipios, ni para departamentos, efectuando un cambio en la destinación del recurso, desatendiendo los artículos 10 y 11 de la Ley 1176 de 2007.</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Si bien la información presupuestal asociada a cuentas, conceptos, rubros, códigos, es confusa y se cubren sobre el concepto del mejoramiento en la prestación de los servicios públicos, se puede identificar a través de los reportes de la información al FUT en reservas presupuestales, que para el </w:t>
      </w:r>
      <w:r>
        <w:rPr>
          <w:rFonts w:ascii="Arial" w:hAnsi="Arial" w:cs="Arial"/>
          <w:sz w:val="22"/>
          <w:szCs w:val="22"/>
          <w:lang w:val="es-ES_tradnl"/>
        </w:rPr>
        <w:t>servicio</w:t>
      </w:r>
      <w:r w:rsidRPr="00DC371E">
        <w:rPr>
          <w:rFonts w:ascii="Arial" w:hAnsi="Arial" w:cs="Arial"/>
          <w:sz w:val="22"/>
          <w:szCs w:val="22"/>
          <w:lang w:val="es-ES_tradnl"/>
        </w:rPr>
        <w:t xml:space="preserve"> de aseo en la vigencia 2019 bajo la </w:t>
      </w:r>
      <w:r>
        <w:rPr>
          <w:rFonts w:ascii="Arial" w:hAnsi="Arial" w:cs="Arial"/>
          <w:sz w:val="22"/>
          <w:szCs w:val="22"/>
          <w:lang w:val="es-ES_tradnl"/>
        </w:rPr>
        <w:t>R</w:t>
      </w:r>
      <w:r w:rsidRPr="00DC371E">
        <w:rPr>
          <w:rFonts w:ascii="Arial" w:hAnsi="Arial" w:cs="Arial"/>
          <w:sz w:val="22"/>
          <w:szCs w:val="22"/>
          <w:lang w:val="es-ES_tradnl"/>
        </w:rPr>
        <w:t>esolución 176 del 17 de enero de 2019, con fuente de financiación de los Ingresos Corrientes, que se constituyeron reservas por $1.624 millones.</w:t>
      </w:r>
    </w:p>
    <w:p w:rsidR="00D75790" w:rsidRPr="00DC371E"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contextualSpacing/>
        <w:jc w:val="both"/>
        <w:rPr>
          <w:rFonts w:ascii="Arial" w:hAnsi="Arial" w:cs="Arial"/>
          <w:sz w:val="22"/>
          <w:szCs w:val="22"/>
          <w:lang w:val="es-ES_tradnl"/>
        </w:rPr>
      </w:pPr>
      <w:r>
        <w:rPr>
          <w:rFonts w:ascii="Arial" w:hAnsi="Arial" w:cs="Arial"/>
          <w:sz w:val="22"/>
          <w:szCs w:val="22"/>
          <w:lang w:val="es-ES_tradnl"/>
        </w:rPr>
        <w:t xml:space="preserve">Esta Dirección </w:t>
      </w:r>
      <w:r w:rsidRPr="00DC371E">
        <w:rPr>
          <w:rFonts w:ascii="Arial" w:hAnsi="Arial" w:cs="Arial"/>
          <w:sz w:val="22"/>
          <w:szCs w:val="22"/>
          <w:lang w:val="es-ES_tradnl"/>
        </w:rPr>
        <w:t xml:space="preserve">solicitó a la Entidad Territorial en julio de 2021 a través del </w:t>
      </w:r>
      <w:r>
        <w:rPr>
          <w:rFonts w:ascii="Arial" w:hAnsi="Arial" w:cs="Arial"/>
          <w:sz w:val="22"/>
          <w:szCs w:val="22"/>
          <w:lang w:val="es-ES_tradnl"/>
        </w:rPr>
        <w:t xml:space="preserve">oficio con </w:t>
      </w:r>
      <w:r w:rsidRPr="00DC371E">
        <w:rPr>
          <w:rFonts w:ascii="Arial" w:hAnsi="Arial" w:cs="Arial"/>
          <w:sz w:val="22"/>
          <w:szCs w:val="22"/>
          <w:lang w:val="es-ES_tradnl"/>
        </w:rPr>
        <w:t xml:space="preserve">radicado 2-2021-035344, un Informe de verificación de la correcta asignación de los recursos del Sistema General de Participaciones para Agua Potable y Saneamiento Básico, en virtud de la autorización del giro directo de subsidios a los Operadores de Acueducto, Alcantarillado y Aseo Veolia y Trash Busters de las vigencias 2020 y 2021, en cumplimiento de la aplicación del artículo 4 del </w:t>
      </w:r>
      <w:r>
        <w:rPr>
          <w:rFonts w:ascii="Arial" w:hAnsi="Arial" w:cs="Arial"/>
          <w:sz w:val="22"/>
          <w:szCs w:val="22"/>
          <w:lang w:val="es-ES_tradnl"/>
        </w:rPr>
        <w:t>D</w:t>
      </w:r>
      <w:r w:rsidRPr="00DC371E">
        <w:rPr>
          <w:rFonts w:ascii="Arial" w:hAnsi="Arial" w:cs="Arial"/>
          <w:sz w:val="22"/>
          <w:szCs w:val="22"/>
          <w:lang w:val="es-ES_tradnl"/>
        </w:rPr>
        <w:t>ecreto 528 de 2020.</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La Entidad no dio respuesta a este punto del requerimiento</w:t>
      </w:r>
      <w:r>
        <w:rPr>
          <w:rFonts w:ascii="Arial" w:hAnsi="Arial" w:cs="Arial"/>
          <w:sz w:val="22"/>
          <w:szCs w:val="22"/>
          <w:lang w:val="es-ES_tradnl"/>
        </w:rPr>
        <w:t>;</w:t>
      </w:r>
      <w:r w:rsidRPr="00DC371E">
        <w:rPr>
          <w:rFonts w:ascii="Arial" w:hAnsi="Arial" w:cs="Arial"/>
          <w:sz w:val="22"/>
          <w:szCs w:val="22"/>
          <w:lang w:val="es-ES_tradnl"/>
        </w:rPr>
        <w:t xml:space="preserve"> no obstante, remitió a Veolia la información para que el Operador </w:t>
      </w:r>
      <w:r>
        <w:rPr>
          <w:rFonts w:ascii="Arial" w:hAnsi="Arial" w:cs="Arial"/>
          <w:sz w:val="22"/>
          <w:szCs w:val="22"/>
          <w:lang w:val="es-ES_tradnl"/>
        </w:rPr>
        <w:t>se pronunciara</w:t>
      </w:r>
      <w:r w:rsidRPr="00DC371E">
        <w:rPr>
          <w:rFonts w:ascii="Arial" w:hAnsi="Arial" w:cs="Arial"/>
          <w:sz w:val="22"/>
          <w:szCs w:val="22"/>
          <w:lang w:val="es-ES_tradnl"/>
        </w:rPr>
        <w:t>. En este sentido, Veolia manifestó:</w:t>
      </w:r>
    </w:p>
    <w:p w:rsidR="00D75790" w:rsidRPr="00E46D41" w:rsidRDefault="00D75790" w:rsidP="00D75790">
      <w:pPr>
        <w:contextualSpacing/>
        <w:jc w:val="both"/>
        <w:rPr>
          <w:rFonts w:ascii="Arial" w:hAnsi="Arial" w:cs="Arial"/>
          <w:iCs/>
          <w:sz w:val="22"/>
          <w:szCs w:val="22"/>
          <w:lang w:val="es-ES_tradnl"/>
        </w:rPr>
      </w:pPr>
    </w:p>
    <w:p w:rsidR="00D75790"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“En primer lugar se precisa que nuestra empresa nunca ha suscrito con el Departamento convenio de Giro directo; si bien en el acta de febrero 13 de 2020 suscrita entre representantes del Departamento, Aguas de San Andrés, MVCT y nuestra empresa quedó como compromiso suscribir a 30 de marzo de 2020 convenio para el pago de subsidios 2020 este nunca se materializó</w:t>
      </w:r>
      <w:r>
        <w:rPr>
          <w:rFonts w:ascii="Arial" w:hAnsi="Arial" w:cs="Arial"/>
          <w:i/>
          <w:iCs/>
          <w:sz w:val="18"/>
          <w:szCs w:val="22"/>
          <w:lang w:val="es-ES_tradnl"/>
        </w:rPr>
        <w:t xml:space="preserve"> [</w:t>
      </w:r>
      <w:r w:rsidRPr="00E46D41">
        <w:rPr>
          <w:rFonts w:ascii="Arial" w:hAnsi="Arial" w:cs="Arial"/>
          <w:i/>
          <w:iCs/>
          <w:sz w:val="18"/>
          <w:szCs w:val="22"/>
          <w:lang w:val="es-ES_tradnl"/>
        </w:rPr>
        <w:t>…</w:t>
      </w:r>
      <w:r>
        <w:rPr>
          <w:rFonts w:ascii="Arial" w:hAnsi="Arial" w:cs="Arial"/>
          <w:i/>
          <w:iCs/>
          <w:sz w:val="18"/>
          <w:szCs w:val="22"/>
          <w:lang w:val="es-ES_tradnl"/>
        </w:rPr>
        <w:t>].</w:t>
      </w:r>
    </w:p>
    <w:p w:rsidR="00D75790" w:rsidRPr="00E46D41" w:rsidRDefault="00D75790" w:rsidP="00D75790">
      <w:pPr>
        <w:ind w:left="1416"/>
        <w:contextualSpacing/>
        <w:jc w:val="both"/>
        <w:rPr>
          <w:rFonts w:ascii="Arial" w:hAnsi="Arial" w:cs="Arial"/>
          <w:i/>
          <w:iCs/>
          <w:sz w:val="18"/>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Pr>
          <w:rFonts w:ascii="Arial" w:hAnsi="Arial" w:cs="Arial"/>
          <w:i/>
          <w:iCs/>
          <w:sz w:val="18"/>
          <w:szCs w:val="22"/>
          <w:lang w:val="es-ES_tradnl"/>
        </w:rPr>
        <w:t>[</w:t>
      </w:r>
      <w:r w:rsidRPr="00E46D41">
        <w:rPr>
          <w:rFonts w:ascii="Arial" w:hAnsi="Arial" w:cs="Arial"/>
          <w:i/>
          <w:iCs/>
          <w:sz w:val="18"/>
          <w:szCs w:val="22"/>
          <w:lang w:val="es-ES_tradnl"/>
        </w:rPr>
        <w:t>…</w:t>
      </w:r>
      <w:r>
        <w:rPr>
          <w:rFonts w:ascii="Arial" w:hAnsi="Arial" w:cs="Arial"/>
          <w:i/>
          <w:iCs/>
          <w:sz w:val="18"/>
          <w:szCs w:val="22"/>
          <w:lang w:val="es-ES_tradnl"/>
        </w:rPr>
        <w:t>]</w:t>
      </w:r>
      <w:r w:rsidRPr="00E46D41">
        <w:rPr>
          <w:rFonts w:ascii="Arial" w:hAnsi="Arial" w:cs="Arial"/>
          <w:i/>
          <w:iCs/>
          <w:sz w:val="18"/>
          <w:szCs w:val="22"/>
          <w:lang w:val="es-ES_tradnl"/>
        </w:rPr>
        <w:t xml:space="preserve"> en virtud de lo establecido en el artículo 4 del Decreto 528 de 2020, nuestra empresa accedió al giro directo de subsidios de las doceavas correspondientes a los periodos de abril a noviembre de 2020, las cuales se giraron durante los meses de mayo a diciembre de 2020</w:t>
      </w:r>
      <w:r w:rsidRPr="00E46D41">
        <w:rPr>
          <w:rFonts w:ascii="Arial" w:hAnsi="Arial" w:cs="Arial"/>
          <w:iCs/>
          <w:sz w:val="18"/>
          <w:szCs w:val="22"/>
          <w:lang w:val="es-ES_tradnl"/>
        </w:rPr>
        <w:t>”.</w:t>
      </w:r>
    </w:p>
    <w:p w:rsidR="00D75790" w:rsidRPr="00E46D41" w:rsidRDefault="00D75790" w:rsidP="00D75790">
      <w:pPr>
        <w:contextualSpacing/>
        <w:jc w:val="both"/>
        <w:rPr>
          <w:rFonts w:ascii="Arial" w:hAnsi="Arial" w:cs="Arial"/>
          <w:iCs/>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Adicional a lo anterior y teniendo en cuenta la obligación de verificar la correcta asignación de los recursos del SGP para subsidios, Veolia hace referencia</w:t>
      </w:r>
      <w:r>
        <w:rPr>
          <w:rFonts w:ascii="Arial" w:hAnsi="Arial" w:cs="Arial"/>
          <w:sz w:val="22"/>
          <w:szCs w:val="22"/>
          <w:lang w:val="es-ES_tradnl"/>
        </w:rPr>
        <w:t xml:space="preserve"> a lo anterior, en los siguientes términos</w:t>
      </w:r>
      <w:r w:rsidRPr="00DC371E">
        <w:rPr>
          <w:rFonts w:ascii="Arial" w:hAnsi="Arial" w:cs="Arial"/>
          <w:sz w:val="22"/>
          <w:szCs w:val="22"/>
          <w:lang w:val="es-ES_tradnl"/>
        </w:rPr>
        <w:t>:</w:t>
      </w:r>
    </w:p>
    <w:p w:rsidR="00D75790" w:rsidRPr="00E46D41" w:rsidRDefault="00D75790" w:rsidP="00D75790">
      <w:pPr>
        <w:contextualSpacing/>
        <w:jc w:val="both"/>
        <w:rPr>
          <w:rFonts w:ascii="Arial" w:hAnsi="Arial" w:cs="Arial"/>
          <w:iCs/>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 xml:space="preserve">Si bien el mismo artículo 4 del Decreto 528 de 2020, establece que los municipios deberán realizar la verificación de la correcta asignación de los recursos del SGP destinados a financiar los subsidios correspondientes en su jurisdicción y se obliga a hacer el giro de los saldos a su cargo y/o a cruzar aquellos a su favor contra los giros realizados, </w:t>
      </w:r>
      <w:r w:rsidRPr="00E46D41">
        <w:rPr>
          <w:rFonts w:ascii="Arial" w:hAnsi="Arial" w:cs="Arial"/>
          <w:b/>
          <w:bCs/>
          <w:i/>
          <w:iCs/>
          <w:sz w:val="18"/>
          <w:szCs w:val="22"/>
          <w:lang w:val="es-ES_tradnl"/>
        </w:rPr>
        <w:t>a la fecha esta verificación no se ha culminado</w:t>
      </w:r>
      <w:r w:rsidRPr="00E46D41">
        <w:rPr>
          <w:rFonts w:ascii="Arial" w:hAnsi="Arial" w:cs="Arial"/>
          <w:i/>
          <w:iCs/>
          <w:sz w:val="18"/>
          <w:szCs w:val="22"/>
          <w:lang w:val="es-ES_tradnl"/>
        </w:rPr>
        <w:t xml:space="preserve"> </w:t>
      </w:r>
      <w:r w:rsidRPr="00E46D41">
        <w:rPr>
          <w:rFonts w:ascii="Arial" w:hAnsi="Arial" w:cs="Arial"/>
          <w:i/>
          <w:sz w:val="18"/>
          <w:szCs w:val="22"/>
          <w:u w:val="single"/>
          <w:lang w:val="es-ES_tradnl"/>
        </w:rPr>
        <w:t>(la fecha es 13 de julio de 2021 y el primer pago se hizo en mayo de 2020, o sea, casi un año después de haber sido autorizado el giro directo)</w:t>
      </w:r>
      <w:r w:rsidRPr="00E46D41">
        <w:rPr>
          <w:rFonts w:ascii="Arial" w:hAnsi="Arial" w:cs="Arial"/>
          <w:i/>
          <w:iCs/>
          <w:sz w:val="18"/>
          <w:szCs w:val="22"/>
          <w:lang w:val="es-ES_tradnl"/>
        </w:rPr>
        <w:t xml:space="preserve"> (</w:t>
      </w:r>
      <w:r w:rsidRPr="00E46D41">
        <w:rPr>
          <w:rFonts w:ascii="Arial" w:hAnsi="Arial" w:cs="Arial"/>
          <w:i/>
          <w:sz w:val="18"/>
          <w:szCs w:val="22"/>
          <w:lang w:val="es-ES_tradnl"/>
        </w:rPr>
        <w:t xml:space="preserve">La negrita y el subrayado es nuestro) </w:t>
      </w:r>
      <w:r w:rsidRPr="00E46D41">
        <w:rPr>
          <w:rFonts w:ascii="Arial" w:hAnsi="Arial" w:cs="Arial"/>
          <w:i/>
          <w:iCs/>
          <w:sz w:val="18"/>
          <w:szCs w:val="22"/>
          <w:lang w:val="es-ES_tradnl"/>
        </w:rPr>
        <w:t>dado que nuestra CONTRATANTE conforme a lo establecido en la Cláusula Décima del Otrosí 9 aún no ha avalado los balances de subsidios y contribuciones para dichos periodos, por controversia de los m3 facturados a usuarios no medidos de acueducto, pese a que la empresa los ha calculado conforme a lo indicado en la Cláusula Octava del mismo otrosí</w:t>
      </w:r>
      <w:r w:rsidRPr="00E46D41">
        <w:rPr>
          <w:rFonts w:ascii="Arial" w:hAnsi="Arial" w:cs="Arial"/>
          <w:iCs/>
          <w:sz w:val="18"/>
          <w:szCs w:val="22"/>
          <w:lang w:val="es-ES_tradnl"/>
        </w:rPr>
        <w:t>”.</w:t>
      </w:r>
    </w:p>
    <w:p w:rsidR="00D75790" w:rsidRPr="00697673"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Esta es una situación recurrente, manifestada por el Supervisor del contrato. La misma Entidad Territorial no avaló los balances de subsidios y contribuciones anteriores, ya que existen compromisos contractuales de medición, que no se han cumplido por parte del Operador, según los informes aportados. En este sentido, esta Dirección ve inconveniente mantener</w:t>
      </w:r>
      <w:r>
        <w:rPr>
          <w:rFonts w:ascii="Arial" w:hAnsi="Arial" w:cs="Arial"/>
          <w:sz w:val="22"/>
          <w:szCs w:val="22"/>
          <w:lang w:val="es-ES_tradnl"/>
        </w:rPr>
        <w:t xml:space="preserve">, para el caso particular del Archipiélago de San Andrés y Providencia y en el marco del artículo 4 del Decreto 528 de 2020 </w:t>
      </w:r>
      <w:r w:rsidRPr="00DC371E">
        <w:rPr>
          <w:rFonts w:ascii="Arial" w:hAnsi="Arial" w:cs="Arial"/>
          <w:sz w:val="22"/>
          <w:szCs w:val="22"/>
          <w:lang w:val="es-ES_tradnl"/>
        </w:rPr>
        <w:t xml:space="preserve">la figura del giro directo sin una minuciosa revisión de los compromisos contractuales entre el Operador y la Contratante y sin una </w:t>
      </w:r>
      <w:r w:rsidRPr="00DC371E">
        <w:rPr>
          <w:rFonts w:ascii="Arial" w:hAnsi="Arial" w:cs="Arial"/>
          <w:sz w:val="22"/>
          <w:szCs w:val="22"/>
          <w:lang w:val="es-ES_tradnl"/>
        </w:rPr>
        <w:lastRenderedPageBreak/>
        <w:t>correcta revisión, previa y no posterior, al pago de la facturación presentada por Veolia, para la financiación de los subsidios, que contenga un informe que evalúe la estratificación, las tarifas, los porcentajes aprobados de subsidios y contribuciones, los recaudos de los aportes solidarios de los usuarios de estratos 5 y 6 y de usos industriales y comerciales, los consumos, entre otros aspectos, que aplica el Operador</w:t>
      </w:r>
    </w:p>
    <w:p w:rsidR="00D75790" w:rsidRPr="00DC371E"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keepNext/>
        <w:keepLines/>
        <w:ind w:left="-5" w:hanging="10"/>
        <w:contextualSpacing/>
        <w:jc w:val="both"/>
        <w:outlineLvl w:val="2"/>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t>3.4. RESULTADOS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En las vigencias 2018, 2019 y 2020, con los recursos de la </w:t>
      </w:r>
      <w:r>
        <w:rPr>
          <w:rFonts w:ascii="Arial" w:hAnsi="Arial" w:cs="Arial"/>
          <w:sz w:val="22"/>
          <w:szCs w:val="22"/>
          <w:lang w:val="es-ES_tradnl"/>
        </w:rPr>
        <w:t>P</w:t>
      </w:r>
      <w:r w:rsidRPr="00DC371E">
        <w:rPr>
          <w:rFonts w:ascii="Arial" w:hAnsi="Arial" w:cs="Arial"/>
          <w:sz w:val="22"/>
          <w:szCs w:val="22"/>
          <w:lang w:val="es-ES_tradnl"/>
        </w:rPr>
        <w:t xml:space="preserve">articipación del SGP </w:t>
      </w:r>
      <w:r>
        <w:rPr>
          <w:rFonts w:ascii="Arial" w:hAnsi="Arial" w:cs="Arial"/>
          <w:sz w:val="22"/>
          <w:szCs w:val="22"/>
          <w:lang w:val="es-ES_tradnl"/>
        </w:rPr>
        <w:t xml:space="preserve">- </w:t>
      </w:r>
      <w:r w:rsidRPr="00DC371E">
        <w:rPr>
          <w:rFonts w:ascii="Arial" w:hAnsi="Arial" w:cs="Arial"/>
          <w:sz w:val="22"/>
          <w:szCs w:val="22"/>
          <w:lang w:val="es-ES_tradnl"/>
        </w:rPr>
        <w:t xml:space="preserve">APSB, el </w:t>
      </w:r>
      <w:r>
        <w:rPr>
          <w:rFonts w:ascii="Arial" w:hAnsi="Arial" w:cs="Arial"/>
          <w:sz w:val="22"/>
          <w:szCs w:val="22"/>
          <w:lang w:val="es-ES_tradnl"/>
        </w:rPr>
        <w:t>S</w:t>
      </w:r>
      <w:r w:rsidRPr="00DC371E">
        <w:rPr>
          <w:rFonts w:ascii="Arial" w:hAnsi="Arial" w:cs="Arial"/>
          <w:sz w:val="22"/>
          <w:szCs w:val="22"/>
          <w:lang w:val="es-ES_tradnl"/>
        </w:rPr>
        <w:t>ector ha resultado superavitario en $5.507 millones, $1.105 millones y $2.124 millones, respectivamente.</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keepNext/>
        <w:keepLines/>
        <w:spacing w:after="5"/>
        <w:ind w:left="10" w:right="3" w:hanging="10"/>
        <w:contextualSpacing/>
        <w:jc w:val="center"/>
        <w:outlineLvl w:val="3"/>
        <w:rPr>
          <w:rFonts w:ascii="Arial" w:hAnsi="Arial" w:cs="Arial"/>
          <w:b/>
          <w:color w:val="000000"/>
          <w:sz w:val="20"/>
          <w:szCs w:val="22"/>
          <w:lang w:val="es-ES_tradnl" w:eastAsia="es-CO"/>
        </w:rPr>
      </w:pPr>
      <w:r w:rsidRPr="00E46D41">
        <w:rPr>
          <w:rFonts w:ascii="Arial" w:hAnsi="Arial" w:cs="Arial"/>
          <w:b/>
          <w:color w:val="000000"/>
          <w:sz w:val="20"/>
          <w:szCs w:val="22"/>
          <w:lang w:val="es-ES_tradnl" w:eastAsia="es-CO"/>
        </w:rPr>
        <w:t>TABLA 19 RESULTADOS</w:t>
      </w:r>
    </w:p>
    <w:tbl>
      <w:tblPr>
        <w:tblStyle w:val="Tablaconcuadrcula1"/>
        <w:tblW w:w="67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1" w:type="dxa"/>
          <w:left w:w="68" w:type="dxa"/>
          <w:right w:w="24" w:type="dxa"/>
        </w:tblCellMar>
        <w:tblLook w:val="04A0" w:firstRow="1" w:lastRow="0" w:firstColumn="1" w:lastColumn="0" w:noHBand="0" w:noVBand="1"/>
      </w:tblPr>
      <w:tblGrid>
        <w:gridCol w:w="3051"/>
        <w:gridCol w:w="1225"/>
        <w:gridCol w:w="1239"/>
        <w:gridCol w:w="1225"/>
        <w:gridCol w:w="27"/>
      </w:tblGrid>
      <w:tr w:rsidR="00D75790" w:rsidRPr="00DC371E" w:rsidTr="00695E54">
        <w:trPr>
          <w:trHeight w:val="272"/>
          <w:jc w:val="center"/>
        </w:trPr>
        <w:tc>
          <w:tcPr>
            <w:tcW w:w="6767" w:type="dxa"/>
            <w:gridSpan w:val="5"/>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Informe de Cierre de Vigencia. (Cifras en millones de Pesos)</w:t>
            </w:r>
          </w:p>
        </w:tc>
      </w:tr>
      <w:tr w:rsidR="00D75790" w:rsidRPr="00DC371E" w:rsidTr="00695E54">
        <w:trPr>
          <w:gridAfter w:val="1"/>
          <w:wAfter w:w="27" w:type="dxa"/>
          <w:trHeight w:val="639"/>
          <w:jc w:val="center"/>
        </w:trPr>
        <w:tc>
          <w:tcPr>
            <w:tcW w:w="3051" w:type="dxa"/>
            <w:shd w:val="clear" w:color="auto" w:fill="DBE5F1" w:themeFill="accent1" w:themeFillTint="33"/>
            <w:vAlign w:val="center"/>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b/>
                <w:sz w:val="18"/>
                <w:szCs w:val="18"/>
                <w:lang w:val="es-ES_tradnl"/>
              </w:rPr>
              <w:t xml:space="preserve">Concepto </w:t>
            </w:r>
          </w:p>
        </w:tc>
        <w:tc>
          <w:tcPr>
            <w:tcW w:w="1225" w:type="dxa"/>
            <w:shd w:val="clear" w:color="auto" w:fill="DBE5F1" w:themeFill="accent1" w:themeFillTint="33"/>
          </w:tcPr>
          <w:p w:rsidR="00D75790" w:rsidRPr="00DC371E" w:rsidRDefault="00D75790" w:rsidP="00695E54">
            <w:pPr>
              <w:ind w:left="2"/>
              <w:contextualSpacing/>
              <w:jc w:val="center"/>
              <w:rPr>
                <w:rFonts w:ascii="Arial" w:hAnsi="Arial" w:cs="Arial"/>
                <w:b/>
                <w:sz w:val="18"/>
                <w:szCs w:val="18"/>
                <w:lang w:val="es-ES_tradnl"/>
              </w:rPr>
            </w:pPr>
            <w:r w:rsidRPr="00DC371E">
              <w:rPr>
                <w:rFonts w:ascii="Arial" w:hAnsi="Arial" w:cs="Arial"/>
                <w:b/>
                <w:sz w:val="18"/>
                <w:szCs w:val="18"/>
                <w:lang w:val="es-ES_tradnl"/>
              </w:rPr>
              <w:t xml:space="preserve">2018 </w:t>
            </w:r>
          </w:p>
          <w:p w:rsidR="00D75790" w:rsidRPr="00DC371E" w:rsidRDefault="00D75790" w:rsidP="00695E54">
            <w:pPr>
              <w:ind w:left="2"/>
              <w:contextualSpacing/>
              <w:jc w:val="center"/>
              <w:rPr>
                <w:rFonts w:ascii="Arial" w:hAnsi="Arial" w:cs="Arial"/>
                <w:b/>
                <w:sz w:val="18"/>
                <w:szCs w:val="18"/>
                <w:lang w:val="es-ES_tradnl"/>
              </w:rPr>
            </w:pPr>
            <w:r w:rsidRPr="00DC371E">
              <w:rPr>
                <w:rFonts w:ascii="Arial" w:hAnsi="Arial" w:cs="Arial"/>
                <w:b/>
                <w:sz w:val="18"/>
                <w:szCs w:val="18"/>
                <w:lang w:val="es-ES_tradnl"/>
              </w:rPr>
              <w:t>Ejecución Presupuestal</w:t>
            </w:r>
          </w:p>
        </w:tc>
        <w:tc>
          <w:tcPr>
            <w:tcW w:w="1239" w:type="dxa"/>
            <w:shd w:val="clear" w:color="auto" w:fill="DBE5F1" w:themeFill="accent1" w:themeFillTint="33"/>
          </w:tcPr>
          <w:p w:rsidR="00D75790" w:rsidRPr="00DC371E" w:rsidRDefault="00D75790" w:rsidP="00695E54">
            <w:pPr>
              <w:ind w:left="2"/>
              <w:contextualSpacing/>
              <w:jc w:val="center"/>
              <w:rPr>
                <w:rFonts w:ascii="Arial" w:hAnsi="Arial" w:cs="Arial"/>
                <w:b/>
                <w:sz w:val="18"/>
                <w:szCs w:val="18"/>
                <w:lang w:val="es-ES_tradnl"/>
              </w:rPr>
            </w:pPr>
            <w:r w:rsidRPr="00DC371E">
              <w:rPr>
                <w:rFonts w:ascii="Arial" w:hAnsi="Arial" w:cs="Arial"/>
                <w:b/>
                <w:sz w:val="18"/>
                <w:szCs w:val="18"/>
                <w:lang w:val="es-ES_tradnl"/>
              </w:rPr>
              <w:t xml:space="preserve">2019 </w:t>
            </w:r>
          </w:p>
          <w:p w:rsidR="00D75790" w:rsidRPr="00DC371E" w:rsidRDefault="00D75790" w:rsidP="00695E54">
            <w:pPr>
              <w:ind w:left="2"/>
              <w:contextualSpacing/>
              <w:jc w:val="center"/>
              <w:rPr>
                <w:rFonts w:ascii="Arial" w:hAnsi="Arial" w:cs="Arial"/>
                <w:b/>
                <w:sz w:val="18"/>
                <w:szCs w:val="18"/>
                <w:lang w:val="es-ES_tradnl"/>
              </w:rPr>
            </w:pPr>
            <w:r w:rsidRPr="00DC371E">
              <w:rPr>
                <w:rFonts w:ascii="Arial" w:hAnsi="Arial" w:cs="Arial"/>
                <w:b/>
                <w:sz w:val="18"/>
                <w:szCs w:val="18"/>
                <w:lang w:val="es-ES_tradnl"/>
              </w:rPr>
              <w:t>Ejecución Presupuestal</w:t>
            </w:r>
          </w:p>
        </w:tc>
        <w:tc>
          <w:tcPr>
            <w:tcW w:w="1225" w:type="dxa"/>
            <w:shd w:val="clear" w:color="auto" w:fill="DBE5F1" w:themeFill="accent1" w:themeFillTint="33"/>
          </w:tcPr>
          <w:p w:rsidR="00D75790" w:rsidRPr="00DC371E" w:rsidRDefault="00D75790" w:rsidP="00695E54">
            <w:pPr>
              <w:ind w:left="2"/>
              <w:contextualSpacing/>
              <w:jc w:val="center"/>
              <w:rPr>
                <w:rFonts w:ascii="Arial" w:hAnsi="Arial" w:cs="Arial"/>
                <w:b/>
                <w:sz w:val="18"/>
                <w:szCs w:val="18"/>
                <w:lang w:val="es-ES_tradnl"/>
              </w:rPr>
            </w:pPr>
            <w:r w:rsidRPr="00DC371E">
              <w:rPr>
                <w:rFonts w:ascii="Arial" w:hAnsi="Arial" w:cs="Arial"/>
                <w:b/>
                <w:sz w:val="18"/>
                <w:szCs w:val="18"/>
                <w:lang w:val="es-ES_tradnl"/>
              </w:rPr>
              <w:t>2020 Ejecución presupuestal</w:t>
            </w:r>
          </w:p>
        </w:tc>
      </w:tr>
      <w:tr w:rsidR="00D75790" w:rsidRPr="00DC371E" w:rsidTr="00695E54">
        <w:trPr>
          <w:gridAfter w:val="1"/>
          <w:wAfter w:w="27" w:type="dxa"/>
          <w:trHeight w:val="281"/>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1. Ingresos (Recaudados) </w:t>
            </w:r>
          </w:p>
        </w:tc>
        <w:tc>
          <w:tcPr>
            <w:tcW w:w="1225"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8.887</w:t>
            </w:r>
          </w:p>
        </w:tc>
        <w:tc>
          <w:tcPr>
            <w:tcW w:w="1239"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4.136</w:t>
            </w:r>
          </w:p>
        </w:tc>
        <w:tc>
          <w:tcPr>
            <w:tcW w:w="1225"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5.676</w:t>
            </w:r>
          </w:p>
        </w:tc>
      </w:tr>
      <w:tr w:rsidR="00D75790" w:rsidRPr="00DC371E" w:rsidTr="00695E54">
        <w:trPr>
          <w:gridAfter w:val="1"/>
          <w:wAfter w:w="27" w:type="dxa"/>
          <w:trHeight w:val="281"/>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2. Gastos (Comprometidos)  </w:t>
            </w:r>
          </w:p>
        </w:tc>
        <w:tc>
          <w:tcPr>
            <w:tcW w:w="1225"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lang w:val="es-ES_tradnl"/>
              </w:rPr>
              <w:t>3.380</w:t>
            </w:r>
          </w:p>
        </w:tc>
        <w:tc>
          <w:tcPr>
            <w:tcW w:w="1239"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3.031</w:t>
            </w:r>
          </w:p>
        </w:tc>
        <w:tc>
          <w:tcPr>
            <w:tcW w:w="1225"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3.552</w:t>
            </w:r>
          </w:p>
        </w:tc>
      </w:tr>
      <w:tr w:rsidR="00D75790" w:rsidRPr="00DC371E" w:rsidTr="00695E54">
        <w:trPr>
          <w:gridAfter w:val="1"/>
          <w:wAfter w:w="27" w:type="dxa"/>
          <w:trHeight w:val="278"/>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3. Gastos (Obligados)  </w:t>
            </w:r>
          </w:p>
        </w:tc>
        <w:tc>
          <w:tcPr>
            <w:tcW w:w="1225"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3.380</w:t>
            </w:r>
          </w:p>
        </w:tc>
        <w:tc>
          <w:tcPr>
            <w:tcW w:w="1239"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428</w:t>
            </w:r>
          </w:p>
        </w:tc>
        <w:tc>
          <w:tcPr>
            <w:tcW w:w="1225" w:type="dxa"/>
            <w:shd w:val="clear" w:color="auto" w:fill="DBE5F1" w:themeFill="accent1" w:themeFillTint="33"/>
          </w:tcPr>
          <w:p w:rsidR="00D75790" w:rsidRPr="00DC371E" w:rsidRDefault="00D75790" w:rsidP="00695E54">
            <w:pPr>
              <w:ind w:right="41"/>
              <w:contextualSpacing/>
              <w:jc w:val="center"/>
              <w:rPr>
                <w:rFonts w:ascii="Arial" w:hAnsi="Arial" w:cs="Arial"/>
                <w:sz w:val="18"/>
                <w:szCs w:val="18"/>
                <w:lang w:val="es-ES_tradnl"/>
              </w:rPr>
            </w:pPr>
            <w:r w:rsidRPr="00DC371E">
              <w:rPr>
                <w:rFonts w:ascii="Arial" w:hAnsi="Arial" w:cs="Arial"/>
                <w:sz w:val="18"/>
                <w:szCs w:val="18"/>
                <w:lang w:val="es-ES_tradnl"/>
              </w:rPr>
              <w:t>3.552</w:t>
            </w:r>
          </w:p>
        </w:tc>
      </w:tr>
      <w:tr w:rsidR="00D75790" w:rsidRPr="00DC371E" w:rsidTr="00695E54">
        <w:trPr>
          <w:gridAfter w:val="1"/>
          <w:wAfter w:w="27" w:type="dxa"/>
          <w:trHeight w:val="272"/>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4. Pagos  </w:t>
            </w:r>
          </w:p>
        </w:tc>
        <w:tc>
          <w:tcPr>
            <w:tcW w:w="1225" w:type="dxa"/>
            <w:shd w:val="clear" w:color="auto" w:fill="DBE5F1" w:themeFill="accent1" w:themeFillTint="33"/>
          </w:tcPr>
          <w:p w:rsidR="00D75790" w:rsidRPr="00DC371E" w:rsidRDefault="00D75790" w:rsidP="00695E54">
            <w:pPr>
              <w:ind w:left="46"/>
              <w:contextualSpacing/>
              <w:jc w:val="center"/>
              <w:rPr>
                <w:rFonts w:ascii="Arial" w:hAnsi="Arial" w:cs="Arial"/>
                <w:sz w:val="18"/>
                <w:szCs w:val="18"/>
                <w:lang w:val="es-ES_tradnl"/>
              </w:rPr>
            </w:pPr>
            <w:r w:rsidRPr="00DC371E">
              <w:rPr>
                <w:rFonts w:ascii="Arial" w:hAnsi="Arial" w:cs="Arial"/>
                <w:sz w:val="18"/>
                <w:szCs w:val="18"/>
                <w:lang w:val="es-ES_tradnl"/>
              </w:rPr>
              <w:t>3.380</w:t>
            </w:r>
          </w:p>
        </w:tc>
        <w:tc>
          <w:tcPr>
            <w:tcW w:w="1239" w:type="dxa"/>
            <w:shd w:val="clear" w:color="auto" w:fill="DBE5F1" w:themeFill="accent1" w:themeFillTint="33"/>
          </w:tcPr>
          <w:p w:rsidR="00D75790" w:rsidRPr="00DC371E" w:rsidRDefault="00D75790" w:rsidP="00695E54">
            <w:pPr>
              <w:ind w:left="46"/>
              <w:contextualSpacing/>
              <w:jc w:val="center"/>
              <w:rPr>
                <w:rFonts w:ascii="Arial" w:hAnsi="Arial" w:cs="Arial"/>
                <w:sz w:val="18"/>
                <w:szCs w:val="18"/>
                <w:lang w:val="es-ES_tradnl"/>
              </w:rPr>
            </w:pPr>
            <w:r w:rsidRPr="00DC371E">
              <w:rPr>
                <w:rFonts w:ascii="Arial" w:hAnsi="Arial" w:cs="Arial"/>
                <w:sz w:val="18"/>
                <w:szCs w:val="18"/>
                <w:lang w:val="es-ES_tradnl"/>
              </w:rPr>
              <w:t>428</w:t>
            </w:r>
          </w:p>
        </w:tc>
        <w:tc>
          <w:tcPr>
            <w:tcW w:w="1225" w:type="dxa"/>
            <w:shd w:val="clear" w:color="auto" w:fill="DBE5F1" w:themeFill="accent1" w:themeFillTint="33"/>
          </w:tcPr>
          <w:p w:rsidR="00D75790" w:rsidRPr="00DC371E" w:rsidRDefault="00D75790" w:rsidP="00695E54">
            <w:pPr>
              <w:ind w:left="46"/>
              <w:contextualSpacing/>
              <w:jc w:val="center"/>
              <w:rPr>
                <w:rFonts w:ascii="Arial" w:hAnsi="Arial" w:cs="Arial"/>
                <w:sz w:val="18"/>
                <w:szCs w:val="18"/>
                <w:lang w:val="es-ES_tradnl"/>
              </w:rPr>
            </w:pPr>
            <w:r w:rsidRPr="00DC371E">
              <w:rPr>
                <w:rFonts w:ascii="Arial" w:hAnsi="Arial" w:cs="Arial"/>
                <w:sz w:val="18"/>
                <w:szCs w:val="18"/>
                <w:lang w:val="es-ES_tradnl"/>
              </w:rPr>
              <w:t>3.552</w:t>
            </w:r>
          </w:p>
        </w:tc>
      </w:tr>
      <w:tr w:rsidR="00D75790" w:rsidRPr="00DC371E" w:rsidTr="00695E54">
        <w:trPr>
          <w:gridAfter w:val="1"/>
          <w:wAfter w:w="27" w:type="dxa"/>
          <w:trHeight w:val="281"/>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b/>
                <w:bCs/>
                <w:sz w:val="18"/>
                <w:szCs w:val="18"/>
                <w:lang w:val="es-ES_tradnl"/>
              </w:rPr>
            </w:pPr>
            <w:r w:rsidRPr="00DC371E">
              <w:rPr>
                <w:rFonts w:ascii="Arial" w:hAnsi="Arial" w:cs="Arial"/>
                <w:b/>
                <w:bCs/>
                <w:sz w:val="18"/>
                <w:szCs w:val="18"/>
                <w:lang w:val="es-ES_tradnl"/>
              </w:rPr>
              <w:t xml:space="preserve"> Déficit o superávit </w:t>
            </w:r>
            <w:r w:rsidR="00E013AF" w:rsidRPr="00DC371E">
              <w:rPr>
                <w:rFonts w:ascii="Arial" w:hAnsi="Arial" w:cs="Arial"/>
                <w:b/>
                <w:bCs/>
                <w:sz w:val="18"/>
                <w:szCs w:val="18"/>
                <w:lang w:val="es-ES_tradnl"/>
              </w:rPr>
              <w:t>(</w:t>
            </w:r>
            <w:r w:rsidR="00B47B1D" w:rsidRPr="00DC371E">
              <w:rPr>
                <w:rFonts w:ascii="Arial" w:hAnsi="Arial" w:cs="Arial"/>
                <w:b/>
                <w:bCs/>
                <w:sz w:val="18"/>
                <w:szCs w:val="18"/>
                <w:lang w:val="es-ES_tradnl"/>
              </w:rPr>
              <w:t>1)</w:t>
            </w:r>
            <w:r w:rsidRPr="00DC371E">
              <w:rPr>
                <w:rFonts w:ascii="Arial" w:hAnsi="Arial" w:cs="Arial"/>
                <w:b/>
                <w:bCs/>
                <w:sz w:val="18"/>
                <w:szCs w:val="18"/>
                <w:lang w:val="es-ES_tradnl"/>
              </w:rPr>
              <w:t xml:space="preserve"> - </w:t>
            </w:r>
            <w:r w:rsidR="00B47B1D" w:rsidRPr="00DC371E">
              <w:rPr>
                <w:rFonts w:ascii="Arial" w:hAnsi="Arial" w:cs="Arial"/>
                <w:b/>
                <w:bCs/>
                <w:sz w:val="18"/>
                <w:szCs w:val="18"/>
                <w:lang w:val="es-ES_tradnl"/>
              </w:rPr>
              <w:t>(2)</w:t>
            </w:r>
            <w:r w:rsidRPr="00DC371E">
              <w:rPr>
                <w:rFonts w:ascii="Arial" w:hAnsi="Arial" w:cs="Arial"/>
                <w:b/>
                <w:bCs/>
                <w:sz w:val="18"/>
                <w:szCs w:val="18"/>
                <w:lang w:val="es-ES_tradnl"/>
              </w:rPr>
              <w:t xml:space="preserve">  </w:t>
            </w:r>
          </w:p>
        </w:tc>
        <w:tc>
          <w:tcPr>
            <w:tcW w:w="1225" w:type="dxa"/>
            <w:shd w:val="clear" w:color="auto" w:fill="DBE5F1" w:themeFill="accent1" w:themeFillTint="33"/>
          </w:tcPr>
          <w:p w:rsidR="00D75790" w:rsidRPr="00DC371E" w:rsidRDefault="00D75790" w:rsidP="00695E54">
            <w:pPr>
              <w:ind w:left="49"/>
              <w:contextualSpacing/>
              <w:jc w:val="center"/>
              <w:rPr>
                <w:rFonts w:ascii="Arial" w:hAnsi="Arial" w:cs="Arial"/>
                <w:b/>
                <w:bCs/>
                <w:sz w:val="18"/>
                <w:szCs w:val="18"/>
                <w:lang w:val="es-ES_tradnl"/>
              </w:rPr>
            </w:pPr>
            <w:r w:rsidRPr="00DC371E">
              <w:rPr>
                <w:rFonts w:ascii="Arial" w:hAnsi="Arial" w:cs="Arial"/>
                <w:b/>
                <w:bCs/>
                <w:sz w:val="18"/>
                <w:lang w:val="es-ES_tradnl"/>
              </w:rPr>
              <w:t>5.507</w:t>
            </w:r>
          </w:p>
        </w:tc>
        <w:tc>
          <w:tcPr>
            <w:tcW w:w="1239" w:type="dxa"/>
            <w:shd w:val="clear" w:color="auto" w:fill="DBE5F1" w:themeFill="accent1" w:themeFillTint="33"/>
          </w:tcPr>
          <w:p w:rsidR="00D75790" w:rsidRPr="00DC371E" w:rsidRDefault="00D75790" w:rsidP="00695E54">
            <w:pPr>
              <w:ind w:left="49"/>
              <w:contextualSpacing/>
              <w:jc w:val="center"/>
              <w:rPr>
                <w:rFonts w:ascii="Arial" w:hAnsi="Arial" w:cs="Arial"/>
                <w:b/>
                <w:bCs/>
                <w:sz w:val="18"/>
                <w:szCs w:val="18"/>
                <w:lang w:val="es-ES_tradnl"/>
              </w:rPr>
            </w:pPr>
            <w:r w:rsidRPr="00DC371E">
              <w:rPr>
                <w:rFonts w:ascii="Arial" w:hAnsi="Arial" w:cs="Arial"/>
                <w:b/>
                <w:bCs/>
                <w:sz w:val="18"/>
                <w:szCs w:val="18"/>
                <w:lang w:val="es-ES_tradnl"/>
              </w:rPr>
              <w:t>1.105</w:t>
            </w:r>
          </w:p>
        </w:tc>
        <w:tc>
          <w:tcPr>
            <w:tcW w:w="1225" w:type="dxa"/>
            <w:shd w:val="clear" w:color="auto" w:fill="DBE5F1" w:themeFill="accent1" w:themeFillTint="33"/>
          </w:tcPr>
          <w:p w:rsidR="00D75790" w:rsidRPr="00DC371E" w:rsidRDefault="00D75790" w:rsidP="00695E54">
            <w:pPr>
              <w:ind w:left="49"/>
              <w:contextualSpacing/>
              <w:jc w:val="center"/>
              <w:rPr>
                <w:rFonts w:ascii="Arial" w:hAnsi="Arial" w:cs="Arial"/>
                <w:b/>
                <w:bCs/>
                <w:sz w:val="18"/>
                <w:szCs w:val="18"/>
                <w:lang w:val="es-ES_tradnl"/>
              </w:rPr>
            </w:pPr>
            <w:r w:rsidRPr="00DC371E">
              <w:rPr>
                <w:rFonts w:ascii="Arial" w:hAnsi="Arial" w:cs="Arial"/>
                <w:b/>
                <w:bCs/>
                <w:sz w:val="18"/>
                <w:szCs w:val="18"/>
                <w:lang w:val="es-ES_tradnl"/>
              </w:rPr>
              <w:t>2.124</w:t>
            </w:r>
          </w:p>
        </w:tc>
      </w:tr>
      <w:tr w:rsidR="00D75790" w:rsidRPr="00DC371E" w:rsidTr="00695E54">
        <w:trPr>
          <w:gridAfter w:val="1"/>
          <w:wAfter w:w="27" w:type="dxa"/>
          <w:trHeight w:val="281"/>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Reservas </w:t>
            </w:r>
            <w:r w:rsidR="00E013AF" w:rsidRPr="00DC371E">
              <w:rPr>
                <w:rFonts w:ascii="Arial" w:hAnsi="Arial" w:cs="Arial"/>
                <w:sz w:val="18"/>
                <w:szCs w:val="18"/>
                <w:lang w:val="es-ES_tradnl"/>
              </w:rPr>
              <w:t>(</w:t>
            </w:r>
            <w:r w:rsidR="00B47B1D" w:rsidRPr="00DC371E">
              <w:rPr>
                <w:rFonts w:ascii="Arial" w:hAnsi="Arial" w:cs="Arial"/>
                <w:sz w:val="18"/>
                <w:szCs w:val="18"/>
                <w:lang w:val="es-ES_tradnl"/>
              </w:rPr>
              <w:t>2)</w:t>
            </w:r>
            <w:r w:rsidRPr="00DC371E">
              <w:rPr>
                <w:rFonts w:ascii="Arial" w:hAnsi="Arial" w:cs="Arial"/>
                <w:sz w:val="18"/>
                <w:szCs w:val="18"/>
                <w:lang w:val="es-ES_tradnl"/>
              </w:rPr>
              <w:t xml:space="preserve"> - </w:t>
            </w:r>
            <w:r w:rsidR="00B47B1D" w:rsidRPr="00DC371E">
              <w:rPr>
                <w:rFonts w:ascii="Arial" w:hAnsi="Arial" w:cs="Arial"/>
                <w:sz w:val="18"/>
                <w:szCs w:val="18"/>
                <w:lang w:val="es-ES_tradnl"/>
              </w:rPr>
              <w:t>(3)</w:t>
            </w:r>
            <w:r w:rsidRPr="00DC371E">
              <w:rPr>
                <w:rFonts w:ascii="Arial" w:hAnsi="Arial" w:cs="Arial"/>
                <w:sz w:val="18"/>
                <w:szCs w:val="18"/>
                <w:lang w:val="es-ES_tradnl"/>
              </w:rPr>
              <w:t xml:space="preserve">  </w:t>
            </w:r>
          </w:p>
        </w:tc>
        <w:tc>
          <w:tcPr>
            <w:tcW w:w="1225" w:type="dxa"/>
            <w:shd w:val="clear" w:color="auto" w:fill="DBE5F1" w:themeFill="accent1" w:themeFillTint="33"/>
          </w:tcPr>
          <w:p w:rsidR="00D75790" w:rsidRPr="00DC371E" w:rsidRDefault="00D75790" w:rsidP="00695E54">
            <w:pPr>
              <w:ind w:left="51"/>
              <w:contextualSpacing/>
              <w:jc w:val="center"/>
              <w:rPr>
                <w:rFonts w:ascii="Arial" w:hAnsi="Arial" w:cs="Arial"/>
                <w:sz w:val="18"/>
                <w:szCs w:val="18"/>
                <w:lang w:val="es-ES_tradnl"/>
              </w:rPr>
            </w:pPr>
            <w:r w:rsidRPr="00DC371E">
              <w:rPr>
                <w:rFonts w:ascii="Arial" w:hAnsi="Arial" w:cs="Arial"/>
                <w:sz w:val="18"/>
                <w:szCs w:val="18"/>
                <w:lang w:val="es-ES_tradnl"/>
              </w:rPr>
              <w:t>0</w:t>
            </w:r>
          </w:p>
        </w:tc>
        <w:tc>
          <w:tcPr>
            <w:tcW w:w="1239" w:type="dxa"/>
            <w:shd w:val="clear" w:color="auto" w:fill="DBE5F1" w:themeFill="accent1" w:themeFillTint="33"/>
          </w:tcPr>
          <w:p w:rsidR="00D75790" w:rsidRPr="00DC371E" w:rsidRDefault="00D75790" w:rsidP="00695E54">
            <w:pPr>
              <w:ind w:left="51"/>
              <w:contextualSpacing/>
              <w:jc w:val="center"/>
              <w:rPr>
                <w:rFonts w:ascii="Arial" w:hAnsi="Arial" w:cs="Arial"/>
                <w:sz w:val="18"/>
                <w:szCs w:val="18"/>
                <w:lang w:val="es-ES_tradnl"/>
              </w:rPr>
            </w:pPr>
            <w:r w:rsidRPr="00DC371E">
              <w:rPr>
                <w:rFonts w:ascii="Arial" w:hAnsi="Arial" w:cs="Arial"/>
                <w:sz w:val="18"/>
                <w:szCs w:val="18"/>
                <w:lang w:val="es-ES_tradnl"/>
              </w:rPr>
              <w:t>2.603</w:t>
            </w:r>
          </w:p>
        </w:tc>
        <w:tc>
          <w:tcPr>
            <w:tcW w:w="1225" w:type="dxa"/>
            <w:shd w:val="clear" w:color="auto" w:fill="DBE5F1" w:themeFill="accent1" w:themeFillTint="33"/>
          </w:tcPr>
          <w:p w:rsidR="00D75790" w:rsidRPr="00DC371E" w:rsidRDefault="00D75790" w:rsidP="00695E54">
            <w:pPr>
              <w:ind w:left="51"/>
              <w:contextualSpacing/>
              <w:jc w:val="center"/>
              <w:rPr>
                <w:rFonts w:ascii="Arial" w:hAnsi="Arial" w:cs="Arial"/>
                <w:sz w:val="18"/>
                <w:szCs w:val="18"/>
                <w:lang w:val="es-ES_tradnl"/>
              </w:rPr>
            </w:pPr>
            <w:r w:rsidRPr="00DC371E">
              <w:rPr>
                <w:rFonts w:ascii="Arial" w:hAnsi="Arial" w:cs="Arial"/>
                <w:sz w:val="18"/>
                <w:szCs w:val="18"/>
                <w:lang w:val="es-ES_tradnl"/>
              </w:rPr>
              <w:t>0</w:t>
            </w:r>
          </w:p>
        </w:tc>
      </w:tr>
      <w:tr w:rsidR="00D75790" w:rsidRPr="00DC371E" w:rsidTr="00695E54">
        <w:trPr>
          <w:gridAfter w:val="1"/>
          <w:wAfter w:w="27" w:type="dxa"/>
          <w:trHeight w:val="281"/>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Cuentas por pagar </w:t>
            </w:r>
            <w:r w:rsidR="00E013AF" w:rsidRPr="00DC371E">
              <w:rPr>
                <w:rFonts w:ascii="Arial" w:hAnsi="Arial" w:cs="Arial"/>
                <w:sz w:val="18"/>
                <w:szCs w:val="18"/>
                <w:lang w:val="es-ES_tradnl"/>
              </w:rPr>
              <w:t>(</w:t>
            </w:r>
            <w:r w:rsidR="00B47B1D" w:rsidRPr="00DC371E">
              <w:rPr>
                <w:rFonts w:ascii="Arial" w:hAnsi="Arial" w:cs="Arial"/>
                <w:sz w:val="18"/>
                <w:szCs w:val="18"/>
                <w:lang w:val="es-ES_tradnl"/>
              </w:rPr>
              <w:t>3)</w:t>
            </w:r>
            <w:r w:rsidRPr="00DC371E">
              <w:rPr>
                <w:rFonts w:ascii="Arial" w:hAnsi="Arial" w:cs="Arial"/>
                <w:sz w:val="18"/>
                <w:szCs w:val="18"/>
                <w:lang w:val="es-ES_tradnl"/>
              </w:rPr>
              <w:t xml:space="preserve"> - </w:t>
            </w:r>
            <w:r w:rsidR="00B47B1D" w:rsidRPr="00DC371E">
              <w:rPr>
                <w:rFonts w:ascii="Arial" w:hAnsi="Arial" w:cs="Arial"/>
                <w:sz w:val="18"/>
                <w:szCs w:val="18"/>
                <w:lang w:val="es-ES_tradnl"/>
              </w:rPr>
              <w:t>(4)</w:t>
            </w:r>
            <w:r w:rsidRPr="00DC371E">
              <w:rPr>
                <w:rFonts w:ascii="Arial" w:hAnsi="Arial" w:cs="Arial"/>
                <w:sz w:val="18"/>
                <w:szCs w:val="18"/>
                <w:lang w:val="es-ES_tradnl"/>
              </w:rPr>
              <w:t xml:space="preserve">  </w:t>
            </w:r>
          </w:p>
        </w:tc>
        <w:tc>
          <w:tcPr>
            <w:tcW w:w="1225" w:type="dxa"/>
            <w:shd w:val="clear" w:color="auto" w:fill="DBE5F1" w:themeFill="accent1" w:themeFillTint="33"/>
          </w:tcPr>
          <w:p w:rsidR="00D75790" w:rsidRPr="00DC371E" w:rsidRDefault="00D75790" w:rsidP="00695E54">
            <w:pPr>
              <w:ind w:left="49"/>
              <w:contextualSpacing/>
              <w:jc w:val="center"/>
              <w:rPr>
                <w:rFonts w:ascii="Arial" w:hAnsi="Arial" w:cs="Arial"/>
                <w:sz w:val="18"/>
                <w:szCs w:val="18"/>
                <w:lang w:val="es-ES_tradnl"/>
              </w:rPr>
            </w:pPr>
            <w:r w:rsidRPr="00DC371E">
              <w:rPr>
                <w:rFonts w:ascii="Arial" w:hAnsi="Arial" w:cs="Arial"/>
                <w:sz w:val="18"/>
                <w:szCs w:val="18"/>
                <w:lang w:val="es-ES_tradnl"/>
              </w:rPr>
              <w:t>0</w:t>
            </w:r>
          </w:p>
        </w:tc>
        <w:tc>
          <w:tcPr>
            <w:tcW w:w="1239" w:type="dxa"/>
            <w:shd w:val="clear" w:color="auto" w:fill="DBE5F1" w:themeFill="accent1" w:themeFillTint="33"/>
          </w:tcPr>
          <w:p w:rsidR="00D75790" w:rsidRPr="00DC371E" w:rsidRDefault="00D75790" w:rsidP="00695E54">
            <w:pPr>
              <w:ind w:left="49"/>
              <w:contextualSpacing/>
              <w:jc w:val="center"/>
              <w:rPr>
                <w:rFonts w:ascii="Arial" w:hAnsi="Arial" w:cs="Arial"/>
                <w:sz w:val="18"/>
                <w:szCs w:val="18"/>
                <w:lang w:val="es-ES_tradnl"/>
              </w:rPr>
            </w:pPr>
            <w:r w:rsidRPr="00DC371E">
              <w:rPr>
                <w:rFonts w:ascii="Arial" w:hAnsi="Arial" w:cs="Arial"/>
                <w:sz w:val="18"/>
                <w:szCs w:val="18"/>
                <w:lang w:val="es-ES_tradnl"/>
              </w:rPr>
              <w:t>0</w:t>
            </w:r>
          </w:p>
        </w:tc>
        <w:tc>
          <w:tcPr>
            <w:tcW w:w="1225" w:type="dxa"/>
            <w:shd w:val="clear" w:color="auto" w:fill="DBE5F1" w:themeFill="accent1" w:themeFillTint="33"/>
          </w:tcPr>
          <w:p w:rsidR="00D75790" w:rsidRPr="00DC371E" w:rsidRDefault="00D75790" w:rsidP="00695E54">
            <w:pPr>
              <w:ind w:left="49"/>
              <w:contextualSpacing/>
              <w:jc w:val="center"/>
              <w:rPr>
                <w:rFonts w:ascii="Arial" w:hAnsi="Arial" w:cs="Arial"/>
                <w:sz w:val="18"/>
                <w:szCs w:val="18"/>
                <w:lang w:val="es-ES_tradnl"/>
              </w:rPr>
            </w:pPr>
            <w:r w:rsidRPr="00DC371E">
              <w:rPr>
                <w:rFonts w:ascii="Arial" w:hAnsi="Arial" w:cs="Arial"/>
                <w:sz w:val="18"/>
                <w:szCs w:val="18"/>
                <w:lang w:val="es-ES_tradnl"/>
              </w:rPr>
              <w:t>0</w:t>
            </w:r>
          </w:p>
        </w:tc>
      </w:tr>
      <w:tr w:rsidR="00D75790" w:rsidRPr="00DC371E" w:rsidTr="00695E54">
        <w:trPr>
          <w:gridAfter w:val="1"/>
          <w:wAfter w:w="27" w:type="dxa"/>
          <w:trHeight w:val="280"/>
          <w:jc w:val="center"/>
        </w:trPr>
        <w:tc>
          <w:tcPr>
            <w:tcW w:w="3051"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 xml:space="preserve"> Saldo en Caja y Bancos </w:t>
            </w:r>
            <w:r w:rsidR="00E013AF" w:rsidRPr="00DC371E">
              <w:rPr>
                <w:rFonts w:ascii="Arial" w:hAnsi="Arial" w:cs="Arial"/>
                <w:sz w:val="18"/>
                <w:szCs w:val="18"/>
                <w:lang w:val="es-ES_tradnl"/>
              </w:rPr>
              <w:t>(</w:t>
            </w:r>
            <w:r w:rsidR="00B47B1D" w:rsidRPr="00DC371E">
              <w:rPr>
                <w:rFonts w:ascii="Arial" w:hAnsi="Arial" w:cs="Arial"/>
                <w:sz w:val="18"/>
                <w:szCs w:val="18"/>
                <w:lang w:val="es-ES_tradnl"/>
              </w:rPr>
              <w:t>1)</w:t>
            </w:r>
            <w:r w:rsidRPr="00DC371E">
              <w:rPr>
                <w:rFonts w:ascii="Arial" w:hAnsi="Arial" w:cs="Arial"/>
                <w:sz w:val="18"/>
                <w:szCs w:val="18"/>
                <w:lang w:val="es-ES_tradnl"/>
              </w:rPr>
              <w:t xml:space="preserve"> - </w:t>
            </w:r>
            <w:r w:rsidR="00B47B1D" w:rsidRPr="00DC371E">
              <w:rPr>
                <w:rFonts w:ascii="Arial" w:hAnsi="Arial" w:cs="Arial"/>
                <w:sz w:val="18"/>
                <w:szCs w:val="18"/>
                <w:lang w:val="es-ES_tradnl"/>
              </w:rPr>
              <w:t>(4)</w:t>
            </w:r>
            <w:r w:rsidRPr="00DC371E">
              <w:rPr>
                <w:rFonts w:ascii="Arial" w:hAnsi="Arial" w:cs="Arial"/>
                <w:sz w:val="18"/>
                <w:szCs w:val="18"/>
                <w:lang w:val="es-ES_tradnl"/>
              </w:rPr>
              <w:t xml:space="preserve">  </w:t>
            </w:r>
          </w:p>
        </w:tc>
        <w:tc>
          <w:tcPr>
            <w:tcW w:w="1225" w:type="dxa"/>
            <w:shd w:val="clear" w:color="auto" w:fill="DBE5F1" w:themeFill="accent1" w:themeFillTint="33"/>
          </w:tcPr>
          <w:p w:rsidR="00D75790" w:rsidRPr="00DC371E" w:rsidRDefault="00D75790" w:rsidP="00695E54">
            <w:pPr>
              <w:ind w:left="49"/>
              <w:contextualSpacing/>
              <w:jc w:val="center"/>
              <w:rPr>
                <w:rFonts w:ascii="Arial" w:hAnsi="Arial" w:cs="Arial"/>
                <w:sz w:val="18"/>
                <w:szCs w:val="18"/>
                <w:lang w:val="es-ES_tradnl"/>
              </w:rPr>
            </w:pPr>
            <w:r w:rsidRPr="00DC371E">
              <w:rPr>
                <w:rFonts w:ascii="Arial" w:hAnsi="Arial" w:cs="Arial"/>
                <w:sz w:val="18"/>
                <w:lang w:val="es-ES_tradnl"/>
              </w:rPr>
              <w:t>5.507</w:t>
            </w:r>
          </w:p>
        </w:tc>
        <w:tc>
          <w:tcPr>
            <w:tcW w:w="1239" w:type="dxa"/>
            <w:shd w:val="clear" w:color="auto" w:fill="DBE5F1" w:themeFill="accent1" w:themeFillTint="33"/>
          </w:tcPr>
          <w:p w:rsidR="00D75790" w:rsidRPr="00DC371E" w:rsidRDefault="00D75790" w:rsidP="00695E54">
            <w:pPr>
              <w:ind w:left="49"/>
              <w:contextualSpacing/>
              <w:jc w:val="center"/>
              <w:rPr>
                <w:rFonts w:ascii="Arial" w:hAnsi="Arial" w:cs="Arial"/>
                <w:sz w:val="18"/>
                <w:szCs w:val="18"/>
                <w:lang w:val="es-ES_tradnl"/>
              </w:rPr>
            </w:pPr>
            <w:r w:rsidRPr="00DC371E">
              <w:rPr>
                <w:rFonts w:ascii="Arial" w:hAnsi="Arial" w:cs="Arial"/>
                <w:sz w:val="18"/>
                <w:szCs w:val="18"/>
                <w:lang w:val="es-ES_tradnl"/>
              </w:rPr>
              <w:t>3.708</w:t>
            </w:r>
          </w:p>
        </w:tc>
        <w:tc>
          <w:tcPr>
            <w:tcW w:w="1225" w:type="dxa"/>
            <w:shd w:val="clear" w:color="auto" w:fill="DBE5F1" w:themeFill="accent1" w:themeFillTint="33"/>
          </w:tcPr>
          <w:p w:rsidR="00D75790" w:rsidRPr="00DC371E" w:rsidRDefault="00D75790" w:rsidP="00695E54">
            <w:pPr>
              <w:ind w:left="49"/>
              <w:contextualSpacing/>
              <w:jc w:val="center"/>
              <w:rPr>
                <w:rFonts w:ascii="Arial" w:hAnsi="Arial" w:cs="Arial"/>
                <w:sz w:val="18"/>
                <w:szCs w:val="18"/>
                <w:lang w:val="es-ES_tradnl"/>
              </w:rPr>
            </w:pPr>
            <w:r w:rsidRPr="00DC371E">
              <w:rPr>
                <w:rFonts w:ascii="Arial" w:hAnsi="Arial" w:cs="Arial"/>
                <w:sz w:val="18"/>
                <w:szCs w:val="18"/>
                <w:lang w:val="es-ES_tradnl"/>
              </w:rPr>
              <w:t>2.124</w:t>
            </w:r>
          </w:p>
        </w:tc>
      </w:tr>
    </w:tbl>
    <w:p w:rsidR="00D75790" w:rsidRPr="00DC371E" w:rsidRDefault="00D75790" w:rsidP="00D75790">
      <w:pPr>
        <w:contextualSpacing/>
        <w:jc w:val="center"/>
        <w:rPr>
          <w:rFonts w:ascii="Arial" w:hAnsi="Arial" w:cs="Arial"/>
          <w:sz w:val="18"/>
          <w:szCs w:val="18"/>
          <w:lang w:val="es-ES_tradnl"/>
        </w:rPr>
      </w:pPr>
      <w:r w:rsidRPr="00DC371E">
        <w:rPr>
          <w:rFonts w:ascii="Arial" w:hAnsi="Arial" w:cs="Arial"/>
          <w:sz w:val="18"/>
          <w:szCs w:val="18"/>
          <w:lang w:val="es-ES_tradnl"/>
        </w:rPr>
        <w:t>Cálculos DAF con información de la Entidad Territorial</w:t>
      </w:r>
    </w:p>
    <w:p w:rsidR="00D75790" w:rsidRPr="00DC371E" w:rsidRDefault="00D75790" w:rsidP="00D75790">
      <w:pPr>
        <w:contextualSpacing/>
        <w:rPr>
          <w:rFonts w:ascii="Arial" w:hAnsi="Arial" w:cs="Arial"/>
          <w:lang w:val="es-ES_tradnl"/>
        </w:rPr>
      </w:pPr>
    </w:p>
    <w:p w:rsidR="00D75790" w:rsidRPr="00DC371E" w:rsidRDefault="00D75790" w:rsidP="00D75790">
      <w:pPr>
        <w:spacing w:after="15"/>
        <w:contextualSpacing/>
        <w:jc w:val="both"/>
        <w:rPr>
          <w:rFonts w:ascii="Arial" w:hAnsi="Arial" w:cs="Arial"/>
          <w:sz w:val="22"/>
          <w:szCs w:val="22"/>
          <w:lang w:val="es-ES_tradnl"/>
        </w:rPr>
      </w:pPr>
      <w:r w:rsidRPr="00DC371E">
        <w:rPr>
          <w:rFonts w:ascii="Arial" w:hAnsi="Arial" w:cs="Arial"/>
          <w:sz w:val="22"/>
          <w:szCs w:val="22"/>
          <w:lang w:val="es-ES_tradnl"/>
        </w:rPr>
        <w:t>El Sector presentó superávit al cierre de 2018 por $5.507 proveniente de recaudos sectoriales por $8.887 millones, con compromisos por $3.380 millones. No se debieron constituir reservas ni cuentas por pagar, según la información de la Entidad Territorial.</w:t>
      </w:r>
    </w:p>
    <w:p w:rsidR="00D75790" w:rsidRPr="00DC371E" w:rsidRDefault="00D75790" w:rsidP="00D75790">
      <w:pPr>
        <w:spacing w:after="15"/>
        <w:contextualSpacing/>
        <w:jc w:val="both"/>
        <w:rPr>
          <w:rFonts w:ascii="Arial" w:hAnsi="Arial" w:cs="Arial"/>
          <w:sz w:val="22"/>
          <w:szCs w:val="22"/>
          <w:lang w:val="es-ES_tradnl"/>
        </w:rPr>
      </w:pPr>
    </w:p>
    <w:p w:rsidR="00D75790" w:rsidRPr="00DC371E" w:rsidRDefault="00D75790" w:rsidP="00D75790">
      <w:pPr>
        <w:spacing w:after="15"/>
        <w:contextualSpacing/>
        <w:jc w:val="both"/>
        <w:rPr>
          <w:rFonts w:ascii="Arial" w:hAnsi="Arial" w:cs="Arial"/>
          <w:sz w:val="22"/>
          <w:szCs w:val="22"/>
          <w:lang w:val="es-ES_tradnl"/>
        </w:rPr>
      </w:pPr>
      <w:r w:rsidRPr="00DC371E">
        <w:rPr>
          <w:rFonts w:ascii="Arial" w:hAnsi="Arial" w:cs="Arial"/>
          <w:sz w:val="22"/>
          <w:szCs w:val="22"/>
          <w:lang w:val="es-ES_tradnl"/>
        </w:rPr>
        <w:t>De acuerdo con la información reportada al Sistema Consolidador de Hacienda - CHIP en la Categoría de Formulario Único Territorial - FUT, en el Formato de Cierre Fiscal, el saldo en caja y bancos al cierre de 2018 fue $5.599 millones, cifra superior al resultado del ejercicio presupuestal.</w:t>
      </w:r>
    </w:p>
    <w:p w:rsidR="00D75790" w:rsidRPr="00DC371E" w:rsidRDefault="00D75790" w:rsidP="00D75790">
      <w:pPr>
        <w:spacing w:after="15"/>
        <w:contextualSpacing/>
        <w:jc w:val="both"/>
        <w:rPr>
          <w:rFonts w:ascii="Arial" w:hAnsi="Arial" w:cs="Arial"/>
          <w:sz w:val="22"/>
          <w:szCs w:val="22"/>
          <w:lang w:val="es-ES_tradnl"/>
        </w:rPr>
      </w:pPr>
    </w:p>
    <w:p w:rsidR="00D75790" w:rsidRPr="00DC371E" w:rsidRDefault="00D75790" w:rsidP="00D75790">
      <w:pPr>
        <w:spacing w:after="34"/>
        <w:contextualSpacing/>
        <w:jc w:val="both"/>
        <w:rPr>
          <w:rFonts w:ascii="Arial" w:hAnsi="Arial" w:cs="Arial"/>
          <w:sz w:val="22"/>
          <w:szCs w:val="22"/>
          <w:lang w:val="es-ES_tradnl"/>
        </w:rPr>
      </w:pPr>
      <w:r w:rsidRPr="00DC371E">
        <w:rPr>
          <w:rFonts w:ascii="Arial" w:hAnsi="Arial" w:cs="Arial"/>
          <w:sz w:val="22"/>
          <w:szCs w:val="22"/>
          <w:lang w:val="es-ES_tradnl"/>
        </w:rPr>
        <w:t>Existió al cierre de 2019 superávit de $1.105 millones, resultado de recaudos por $4.136 millones y compromisos por $3.031 millones. Debieron existir reservas constituidas por $2.603 millones, resultado de $3.031 millones de compromisos contra $428 millones por obligaciones. El saldo en caja y bancos debió ser $3.708 millones.</w:t>
      </w:r>
    </w:p>
    <w:p w:rsidR="00D75790" w:rsidRPr="00DC371E" w:rsidRDefault="00D75790" w:rsidP="00D75790">
      <w:pPr>
        <w:spacing w:after="34"/>
        <w:contextualSpacing/>
        <w:jc w:val="both"/>
        <w:rPr>
          <w:rFonts w:ascii="Arial" w:hAnsi="Arial" w:cs="Arial"/>
          <w:sz w:val="22"/>
          <w:szCs w:val="22"/>
          <w:lang w:val="es-ES_tradnl"/>
        </w:rPr>
      </w:pPr>
    </w:p>
    <w:p w:rsidR="00D75790" w:rsidRPr="00DC371E" w:rsidRDefault="00D75790" w:rsidP="00D75790">
      <w:pPr>
        <w:spacing w:after="34"/>
        <w:contextualSpacing/>
        <w:jc w:val="both"/>
        <w:rPr>
          <w:rFonts w:ascii="Arial" w:hAnsi="Arial" w:cs="Arial"/>
          <w:sz w:val="22"/>
          <w:szCs w:val="22"/>
          <w:lang w:val="es-ES_tradnl"/>
        </w:rPr>
      </w:pPr>
      <w:r w:rsidRPr="00DC371E">
        <w:rPr>
          <w:rFonts w:ascii="Arial" w:hAnsi="Arial" w:cs="Arial"/>
          <w:sz w:val="22"/>
          <w:szCs w:val="22"/>
          <w:lang w:val="es-ES_tradnl"/>
        </w:rPr>
        <w:t xml:space="preserve">Sin embargo, la información reportada al FUT en </w:t>
      </w:r>
      <w:r>
        <w:rPr>
          <w:rFonts w:ascii="Arial" w:hAnsi="Arial" w:cs="Arial"/>
          <w:sz w:val="22"/>
          <w:szCs w:val="22"/>
          <w:lang w:val="es-ES_tradnl"/>
        </w:rPr>
        <w:t>la</w:t>
      </w:r>
      <w:r w:rsidRPr="00DC371E">
        <w:rPr>
          <w:rFonts w:ascii="Arial" w:hAnsi="Arial" w:cs="Arial"/>
          <w:sz w:val="22"/>
          <w:szCs w:val="22"/>
          <w:lang w:val="es-ES_tradnl"/>
        </w:rPr>
        <w:t xml:space="preserve"> </w:t>
      </w:r>
      <w:r>
        <w:rPr>
          <w:rFonts w:ascii="Arial" w:hAnsi="Arial" w:cs="Arial"/>
          <w:sz w:val="22"/>
          <w:szCs w:val="22"/>
          <w:lang w:val="es-ES_tradnl"/>
        </w:rPr>
        <w:t xml:space="preserve">Categoría </w:t>
      </w:r>
      <w:r w:rsidRPr="00DC371E">
        <w:rPr>
          <w:rFonts w:ascii="Arial" w:hAnsi="Arial" w:cs="Arial"/>
          <w:sz w:val="22"/>
          <w:szCs w:val="22"/>
          <w:lang w:val="es-ES_tradnl"/>
        </w:rPr>
        <w:t xml:space="preserve">de Cierre fiscal 2019 mostró recursos en caja y bancos por $9.306 millones, de los cuales existieron exigibilidades (reservas) por $2.603 millones, arrojando un superávit de $6.703 millones. No obstante, en </w:t>
      </w:r>
      <w:r>
        <w:rPr>
          <w:rFonts w:ascii="Arial" w:hAnsi="Arial" w:cs="Arial"/>
          <w:sz w:val="22"/>
          <w:szCs w:val="22"/>
          <w:lang w:val="es-ES_tradnl"/>
        </w:rPr>
        <w:lastRenderedPageBreak/>
        <w:t xml:space="preserve">la Categoría </w:t>
      </w:r>
      <w:r w:rsidRPr="00DC371E">
        <w:rPr>
          <w:rFonts w:ascii="Arial" w:hAnsi="Arial" w:cs="Arial"/>
          <w:sz w:val="22"/>
          <w:szCs w:val="22"/>
          <w:lang w:val="es-ES_tradnl"/>
        </w:rPr>
        <w:t xml:space="preserve">de </w:t>
      </w:r>
      <w:r>
        <w:rPr>
          <w:rFonts w:ascii="Arial" w:hAnsi="Arial" w:cs="Arial"/>
          <w:sz w:val="22"/>
          <w:szCs w:val="22"/>
          <w:lang w:val="es-ES_tradnl"/>
        </w:rPr>
        <w:t>R</w:t>
      </w:r>
      <w:r w:rsidRPr="00DC371E">
        <w:rPr>
          <w:rFonts w:ascii="Arial" w:hAnsi="Arial" w:cs="Arial"/>
          <w:sz w:val="22"/>
          <w:szCs w:val="22"/>
          <w:lang w:val="es-ES_tradnl"/>
        </w:rPr>
        <w:t xml:space="preserve">eservas reportado por la Entidad Territorial al FUT, en la vigencia 2019 y de conformidad con la </w:t>
      </w:r>
      <w:r>
        <w:rPr>
          <w:rFonts w:ascii="Arial" w:hAnsi="Arial" w:cs="Arial"/>
          <w:sz w:val="22"/>
          <w:szCs w:val="22"/>
          <w:lang w:val="es-ES_tradnl"/>
        </w:rPr>
        <w:t>R</w:t>
      </w:r>
      <w:r w:rsidRPr="00DC371E">
        <w:rPr>
          <w:rFonts w:ascii="Arial" w:hAnsi="Arial" w:cs="Arial"/>
          <w:sz w:val="22"/>
          <w:szCs w:val="22"/>
          <w:lang w:val="es-ES_tradnl"/>
        </w:rPr>
        <w:t>esolución 176 del 17 de enero de 2019, las reservas constituidas fueron del orden de $1.624 (</w:t>
      </w:r>
      <w:r>
        <w:rPr>
          <w:rFonts w:ascii="Arial" w:hAnsi="Arial" w:cs="Arial"/>
          <w:sz w:val="22"/>
          <w:szCs w:val="22"/>
          <w:lang w:val="es-ES_tradnl"/>
        </w:rPr>
        <w:t>siendo un posible r</w:t>
      </w:r>
      <w:r w:rsidRPr="00DC371E">
        <w:rPr>
          <w:rFonts w:ascii="Arial" w:hAnsi="Arial" w:cs="Arial"/>
          <w:sz w:val="22"/>
          <w:szCs w:val="22"/>
          <w:lang w:val="es-ES_tradnl"/>
        </w:rPr>
        <w:t xml:space="preserve">eporte erróneo, siendo la cifra real $1.624 millones), para la financiación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seo, con la fuente de financiación de los ingresos corrientes.</w:t>
      </w:r>
    </w:p>
    <w:p w:rsidR="00D75790" w:rsidRPr="00DC371E" w:rsidRDefault="00D75790" w:rsidP="00D75790">
      <w:pPr>
        <w:spacing w:after="34"/>
        <w:contextualSpacing/>
        <w:jc w:val="both"/>
        <w:rPr>
          <w:rFonts w:ascii="Arial" w:hAnsi="Arial" w:cs="Arial"/>
          <w:sz w:val="22"/>
          <w:szCs w:val="22"/>
          <w:lang w:val="es-ES_tradnl"/>
        </w:rPr>
      </w:pPr>
    </w:p>
    <w:p w:rsidR="00D75790" w:rsidRPr="00DC371E" w:rsidRDefault="00D75790" w:rsidP="00D75790">
      <w:pPr>
        <w:spacing w:after="34"/>
        <w:contextualSpacing/>
        <w:jc w:val="both"/>
        <w:rPr>
          <w:rFonts w:ascii="Arial" w:hAnsi="Arial" w:cs="Arial"/>
          <w:sz w:val="22"/>
          <w:szCs w:val="22"/>
          <w:lang w:val="es-ES_tradnl"/>
        </w:rPr>
      </w:pPr>
      <w:r w:rsidRPr="00DC371E">
        <w:rPr>
          <w:rFonts w:ascii="Arial" w:hAnsi="Arial" w:cs="Arial"/>
          <w:sz w:val="22"/>
          <w:szCs w:val="22"/>
          <w:lang w:val="es-ES_tradnl"/>
        </w:rPr>
        <w:t xml:space="preserve">En relación con las cuentas por pagar, y de conformidad con la certificación emitida por la Entidad Territorial </w:t>
      </w:r>
      <w:r>
        <w:rPr>
          <w:rFonts w:ascii="Arial" w:hAnsi="Arial" w:cs="Arial"/>
          <w:sz w:val="22"/>
          <w:szCs w:val="22"/>
          <w:lang w:val="es-ES_tradnl"/>
        </w:rPr>
        <w:t>“</w:t>
      </w:r>
      <w:r w:rsidRPr="00225ADA">
        <w:rPr>
          <w:rFonts w:ascii="Arial" w:hAnsi="Arial" w:cs="Arial"/>
          <w:i/>
          <w:sz w:val="22"/>
          <w:szCs w:val="22"/>
          <w:lang w:val="es-ES_tradnl"/>
        </w:rPr>
        <w:t>No se reportaron Movimientos</w:t>
      </w:r>
      <w:r>
        <w:rPr>
          <w:rFonts w:ascii="Arial" w:hAnsi="Arial" w:cs="Arial"/>
          <w:sz w:val="22"/>
          <w:szCs w:val="22"/>
          <w:lang w:val="es-ES_tradnl"/>
        </w:rPr>
        <w:t>”</w:t>
      </w:r>
      <w:r w:rsidRPr="00DC371E">
        <w:rPr>
          <w:rFonts w:ascii="Arial" w:hAnsi="Arial" w:cs="Arial"/>
          <w:sz w:val="22"/>
          <w:szCs w:val="22"/>
          <w:lang w:val="es-ES_tradnl"/>
        </w:rPr>
        <w:t xml:space="preserve"> </w:t>
      </w:r>
      <w:r>
        <w:rPr>
          <w:rFonts w:ascii="Arial" w:hAnsi="Arial" w:cs="Arial"/>
          <w:sz w:val="22"/>
          <w:szCs w:val="22"/>
          <w:lang w:val="es-ES_tradnl"/>
        </w:rPr>
        <w:t>(</w:t>
      </w:r>
      <w:r w:rsidRPr="00225ADA">
        <w:rPr>
          <w:rFonts w:ascii="Arial" w:hAnsi="Arial" w:cs="Arial"/>
          <w:iCs/>
          <w:sz w:val="22"/>
          <w:szCs w:val="22"/>
          <w:lang w:val="es-ES_tradnl"/>
        </w:rPr>
        <w:t>sic</w:t>
      </w:r>
      <w:r w:rsidRPr="00E46D41">
        <w:rPr>
          <w:rFonts w:ascii="Arial" w:hAnsi="Arial" w:cs="Arial"/>
          <w:iCs/>
          <w:sz w:val="22"/>
          <w:szCs w:val="22"/>
          <w:lang w:val="es-ES_tradnl"/>
        </w:rPr>
        <w:t>)</w:t>
      </w:r>
      <w:r>
        <w:rPr>
          <w:rFonts w:ascii="Arial" w:hAnsi="Arial" w:cs="Arial"/>
          <w:sz w:val="22"/>
          <w:szCs w:val="22"/>
          <w:lang w:val="es-ES_tradnl"/>
        </w:rPr>
        <w:t>.</w:t>
      </w:r>
      <w:r w:rsidRPr="00DC371E">
        <w:rPr>
          <w:rFonts w:ascii="Arial" w:hAnsi="Arial" w:cs="Arial"/>
          <w:sz w:val="22"/>
          <w:szCs w:val="22"/>
          <w:lang w:val="es-ES_tradnl"/>
        </w:rPr>
        <w:t xml:space="preserve"> </w:t>
      </w:r>
      <w:r>
        <w:rPr>
          <w:rFonts w:ascii="Arial" w:hAnsi="Arial" w:cs="Arial"/>
          <w:sz w:val="22"/>
          <w:szCs w:val="22"/>
          <w:lang w:val="es-ES_tradnl"/>
        </w:rPr>
        <w:t xml:space="preserve">Según </w:t>
      </w:r>
      <w:r w:rsidRPr="00DC371E">
        <w:rPr>
          <w:rFonts w:ascii="Arial" w:hAnsi="Arial" w:cs="Arial"/>
          <w:sz w:val="22"/>
          <w:szCs w:val="22"/>
          <w:lang w:val="es-ES_tradnl"/>
        </w:rPr>
        <w:t xml:space="preserve">el cálculo elaborado por </w:t>
      </w:r>
      <w:r>
        <w:rPr>
          <w:rFonts w:ascii="Arial" w:hAnsi="Arial" w:cs="Arial"/>
          <w:sz w:val="22"/>
          <w:szCs w:val="22"/>
          <w:lang w:val="es-ES_tradnl"/>
        </w:rPr>
        <w:t xml:space="preserve">esta Dirección </w:t>
      </w:r>
      <w:r w:rsidRPr="00DC371E">
        <w:rPr>
          <w:rFonts w:ascii="Arial" w:hAnsi="Arial" w:cs="Arial"/>
          <w:sz w:val="22"/>
          <w:szCs w:val="22"/>
          <w:lang w:val="es-ES_tradnl"/>
        </w:rPr>
        <w:t xml:space="preserve">con base en la ejecución presupuestal, no se debieron constituir </w:t>
      </w:r>
      <w:r>
        <w:rPr>
          <w:rFonts w:ascii="Arial" w:hAnsi="Arial" w:cs="Arial"/>
          <w:sz w:val="22"/>
          <w:szCs w:val="22"/>
          <w:lang w:val="es-ES_tradnl"/>
        </w:rPr>
        <w:t xml:space="preserve">cuentas por pagar </w:t>
      </w:r>
      <w:r w:rsidRPr="00DC371E">
        <w:rPr>
          <w:rFonts w:ascii="Arial" w:hAnsi="Arial" w:cs="Arial"/>
          <w:sz w:val="22"/>
          <w:szCs w:val="22"/>
          <w:lang w:val="es-ES_tradnl"/>
        </w:rPr>
        <w:t>ni tampoco se encuentran reportadas en las exigibilidades que hacen parte de</w:t>
      </w:r>
      <w:r>
        <w:rPr>
          <w:rFonts w:ascii="Arial" w:hAnsi="Arial" w:cs="Arial"/>
          <w:sz w:val="22"/>
          <w:szCs w:val="22"/>
          <w:lang w:val="es-ES_tradnl"/>
        </w:rPr>
        <w:t xml:space="preserve"> </w:t>
      </w:r>
      <w:r w:rsidRPr="00DC371E">
        <w:rPr>
          <w:rFonts w:ascii="Arial" w:hAnsi="Arial" w:cs="Arial"/>
          <w:sz w:val="22"/>
          <w:szCs w:val="22"/>
          <w:lang w:val="es-ES_tradnl"/>
        </w:rPr>
        <w:t>l</w:t>
      </w:r>
      <w:r>
        <w:rPr>
          <w:rFonts w:ascii="Arial" w:hAnsi="Arial" w:cs="Arial"/>
          <w:sz w:val="22"/>
          <w:szCs w:val="22"/>
          <w:lang w:val="es-ES_tradnl"/>
        </w:rPr>
        <w:t>a</w:t>
      </w:r>
      <w:r w:rsidRPr="00DC371E">
        <w:rPr>
          <w:rFonts w:ascii="Arial" w:hAnsi="Arial" w:cs="Arial"/>
          <w:sz w:val="22"/>
          <w:szCs w:val="22"/>
          <w:lang w:val="es-ES_tradnl"/>
        </w:rPr>
        <w:t xml:space="preserve"> </w:t>
      </w:r>
      <w:r>
        <w:rPr>
          <w:rFonts w:ascii="Arial" w:hAnsi="Arial" w:cs="Arial"/>
          <w:sz w:val="22"/>
          <w:szCs w:val="22"/>
          <w:lang w:val="es-ES_tradnl"/>
        </w:rPr>
        <w:t xml:space="preserve">Categoría </w:t>
      </w:r>
      <w:r w:rsidRPr="00DC371E">
        <w:rPr>
          <w:rFonts w:ascii="Arial" w:hAnsi="Arial" w:cs="Arial"/>
          <w:sz w:val="22"/>
          <w:szCs w:val="22"/>
          <w:lang w:val="es-ES_tradnl"/>
        </w:rPr>
        <w:t xml:space="preserve">FUT </w:t>
      </w:r>
      <w:r>
        <w:rPr>
          <w:rFonts w:ascii="Arial" w:hAnsi="Arial" w:cs="Arial"/>
          <w:sz w:val="22"/>
          <w:szCs w:val="22"/>
          <w:lang w:val="es-ES_tradnl"/>
        </w:rPr>
        <w:t>C</w:t>
      </w:r>
      <w:r w:rsidRPr="00DC371E">
        <w:rPr>
          <w:rFonts w:ascii="Arial" w:hAnsi="Arial" w:cs="Arial"/>
          <w:sz w:val="22"/>
          <w:szCs w:val="22"/>
          <w:lang w:val="es-ES_tradnl"/>
        </w:rPr>
        <w:t xml:space="preserve">ierre </w:t>
      </w:r>
      <w:r>
        <w:rPr>
          <w:rFonts w:ascii="Arial" w:hAnsi="Arial" w:cs="Arial"/>
          <w:sz w:val="22"/>
          <w:szCs w:val="22"/>
          <w:lang w:val="es-ES_tradnl"/>
        </w:rPr>
        <w:t>F</w:t>
      </w:r>
      <w:r w:rsidRPr="00DC371E">
        <w:rPr>
          <w:rFonts w:ascii="Arial" w:hAnsi="Arial" w:cs="Arial"/>
          <w:sz w:val="22"/>
          <w:szCs w:val="22"/>
          <w:lang w:val="es-ES_tradnl"/>
        </w:rPr>
        <w:t>iscal con corte a 2019. Sin embargo</w:t>
      </w:r>
      <w:r>
        <w:rPr>
          <w:rFonts w:ascii="Arial" w:hAnsi="Arial" w:cs="Arial"/>
          <w:sz w:val="22"/>
          <w:szCs w:val="22"/>
          <w:lang w:val="es-ES_tradnl"/>
        </w:rPr>
        <w:t>,</w:t>
      </w:r>
      <w:r w:rsidRPr="00DC371E">
        <w:rPr>
          <w:rFonts w:ascii="Arial" w:hAnsi="Arial" w:cs="Arial"/>
          <w:sz w:val="22"/>
          <w:szCs w:val="22"/>
          <w:lang w:val="es-ES_tradnl"/>
        </w:rPr>
        <w:t xml:space="preserve"> en </w:t>
      </w:r>
      <w:r>
        <w:rPr>
          <w:rFonts w:ascii="Arial" w:hAnsi="Arial" w:cs="Arial"/>
          <w:sz w:val="22"/>
          <w:szCs w:val="22"/>
          <w:lang w:val="es-ES_tradnl"/>
        </w:rPr>
        <w:t>la</w:t>
      </w:r>
      <w:r w:rsidRPr="00DC371E">
        <w:rPr>
          <w:rFonts w:ascii="Arial" w:hAnsi="Arial" w:cs="Arial"/>
          <w:sz w:val="22"/>
          <w:szCs w:val="22"/>
          <w:lang w:val="es-ES_tradnl"/>
        </w:rPr>
        <w:t xml:space="preserve"> </w:t>
      </w:r>
      <w:r>
        <w:rPr>
          <w:rFonts w:ascii="Arial" w:hAnsi="Arial" w:cs="Arial"/>
          <w:sz w:val="22"/>
          <w:szCs w:val="22"/>
          <w:lang w:val="es-ES_tradnl"/>
        </w:rPr>
        <w:t>Categoría</w:t>
      </w:r>
      <w:r w:rsidRPr="00DC371E">
        <w:rPr>
          <w:rFonts w:ascii="Arial" w:hAnsi="Arial" w:cs="Arial"/>
          <w:sz w:val="22"/>
          <w:szCs w:val="22"/>
          <w:lang w:val="es-ES_tradnl"/>
        </w:rPr>
        <w:t xml:space="preserve"> de </w:t>
      </w:r>
      <w:r>
        <w:rPr>
          <w:rFonts w:ascii="Arial" w:hAnsi="Arial" w:cs="Arial"/>
          <w:sz w:val="22"/>
          <w:szCs w:val="22"/>
          <w:lang w:val="es-ES_tradnl"/>
        </w:rPr>
        <w:t>C</w:t>
      </w:r>
      <w:r w:rsidRPr="00DC371E">
        <w:rPr>
          <w:rFonts w:ascii="Arial" w:hAnsi="Arial" w:cs="Arial"/>
          <w:sz w:val="22"/>
          <w:szCs w:val="22"/>
          <w:lang w:val="es-ES_tradnl"/>
        </w:rPr>
        <w:t xml:space="preserve">uentas por </w:t>
      </w:r>
      <w:r>
        <w:rPr>
          <w:rFonts w:ascii="Arial" w:hAnsi="Arial" w:cs="Arial"/>
          <w:sz w:val="22"/>
          <w:szCs w:val="22"/>
          <w:lang w:val="es-ES_tradnl"/>
        </w:rPr>
        <w:t>P</w:t>
      </w:r>
      <w:r w:rsidRPr="00DC371E">
        <w:rPr>
          <w:rFonts w:ascii="Arial" w:hAnsi="Arial" w:cs="Arial"/>
          <w:sz w:val="22"/>
          <w:szCs w:val="22"/>
          <w:lang w:val="es-ES_tradnl"/>
        </w:rPr>
        <w:t xml:space="preserve">agar, para amparar pagos en la prestación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seo en actividades de disposición final y fortalecimiento institucional y con recursos de los ingresos corrientes se debieron constituir en un monto de $94 millones ($26 millones en disposición final y $68 millones en fortalecimiento institucional).</w:t>
      </w:r>
    </w:p>
    <w:p w:rsidR="00D75790" w:rsidRPr="00DC371E" w:rsidRDefault="00D75790" w:rsidP="00D75790">
      <w:pPr>
        <w:spacing w:after="34"/>
        <w:contextualSpacing/>
        <w:jc w:val="both"/>
        <w:rPr>
          <w:rFonts w:ascii="Arial" w:hAnsi="Arial" w:cs="Arial"/>
          <w:sz w:val="22"/>
          <w:szCs w:val="22"/>
          <w:highlight w:val="yellow"/>
          <w:lang w:val="es-ES_tradnl"/>
        </w:rPr>
      </w:pPr>
    </w:p>
    <w:p w:rsidR="00D75790" w:rsidRPr="00DC371E" w:rsidRDefault="00D75790" w:rsidP="00D75790">
      <w:pPr>
        <w:spacing w:after="34"/>
        <w:contextualSpacing/>
        <w:jc w:val="both"/>
        <w:rPr>
          <w:rFonts w:ascii="Arial" w:hAnsi="Arial" w:cs="Arial"/>
          <w:sz w:val="22"/>
          <w:szCs w:val="22"/>
          <w:lang w:val="es-ES_tradnl"/>
        </w:rPr>
      </w:pPr>
      <w:r w:rsidRPr="00DC371E">
        <w:rPr>
          <w:rFonts w:ascii="Arial" w:hAnsi="Arial" w:cs="Arial"/>
          <w:sz w:val="22"/>
          <w:szCs w:val="22"/>
          <w:lang w:val="es-ES_tradnl"/>
        </w:rPr>
        <w:t>De todas maneras, fueron datos diferentes a los reportados en cierre fiscal, reservas, ingresos y a los arrojados desde la ejecución presupuestal con la cual se calculó el cierre fiscal.</w:t>
      </w:r>
    </w:p>
    <w:p w:rsidR="00D75790" w:rsidRPr="00DC371E" w:rsidRDefault="00D75790" w:rsidP="00D75790">
      <w:pPr>
        <w:spacing w:after="34"/>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las vigencias 2018, 2019 y 2020, los recursos del SGP - APSB asignados y disponibles, no fueron incorporados de manera correcta al presupuesto de ingresos y gastos de la Entidad Territorial, lo que se configura como un riesgo en la planeación y el uso de los recursos, en el marco del Decreto 028 de 2008.</w:t>
      </w:r>
    </w:p>
    <w:p w:rsidR="00D75790" w:rsidRPr="00DC371E" w:rsidRDefault="00D75790" w:rsidP="00D75790">
      <w:pPr>
        <w:contextualSpacing/>
        <w:jc w:val="both"/>
        <w:rPr>
          <w:rFonts w:ascii="Arial" w:hAnsi="Arial" w:cs="Arial"/>
          <w:sz w:val="22"/>
          <w:szCs w:val="22"/>
          <w:highlight w:val="yellow"/>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Con relación al ejercicio del cierre de la vigencia 2020, el </w:t>
      </w:r>
      <w:r>
        <w:rPr>
          <w:rFonts w:ascii="Arial" w:hAnsi="Arial" w:cs="Arial"/>
          <w:sz w:val="22"/>
          <w:szCs w:val="22"/>
          <w:lang w:val="es-ES_tradnl"/>
        </w:rPr>
        <w:t>S</w:t>
      </w:r>
      <w:r w:rsidRPr="00DC371E">
        <w:rPr>
          <w:rFonts w:ascii="Arial" w:hAnsi="Arial" w:cs="Arial"/>
          <w:sz w:val="22"/>
          <w:szCs w:val="22"/>
          <w:lang w:val="es-ES_tradnl"/>
        </w:rPr>
        <w:t>ector fue superavitario en $2.124 millones provenientes de recaudos por $5.676 millones y compromisos, obligaciones y pagos por $3.552 millones.</w:t>
      </w:r>
    </w:p>
    <w:p w:rsidR="00D75790" w:rsidRPr="00DC371E"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este aspecto, no debieron constituirse reservas ni cuentas por pagar y el saldo en caja y bancos debió ser del orden de $2.124 millones.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En el reporte del FUT </w:t>
      </w:r>
      <w:r>
        <w:rPr>
          <w:rFonts w:ascii="Arial" w:hAnsi="Arial" w:cs="Arial"/>
          <w:sz w:val="22"/>
          <w:szCs w:val="22"/>
          <w:lang w:val="es-ES_tradnl"/>
        </w:rPr>
        <w:t>de la Categoría C</w:t>
      </w:r>
      <w:r w:rsidRPr="00DC371E">
        <w:rPr>
          <w:rFonts w:ascii="Arial" w:hAnsi="Arial" w:cs="Arial"/>
          <w:sz w:val="22"/>
          <w:szCs w:val="22"/>
          <w:lang w:val="es-ES_tradnl"/>
        </w:rPr>
        <w:t xml:space="preserve">ierre </w:t>
      </w:r>
      <w:r>
        <w:rPr>
          <w:rFonts w:ascii="Arial" w:hAnsi="Arial" w:cs="Arial"/>
          <w:sz w:val="22"/>
          <w:szCs w:val="22"/>
          <w:lang w:val="es-ES_tradnl"/>
        </w:rPr>
        <w:t>F</w:t>
      </w:r>
      <w:r w:rsidRPr="00DC371E">
        <w:rPr>
          <w:rFonts w:ascii="Arial" w:hAnsi="Arial" w:cs="Arial"/>
          <w:sz w:val="22"/>
          <w:szCs w:val="22"/>
          <w:lang w:val="es-ES_tradnl"/>
        </w:rPr>
        <w:t>iscal, el saldo en caja y bancos estuvo representado por $7.415 millones, de los cuales no se debieron constituir exigibilidades de reservas ni cuentas por pagar.</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 acuerdo con el extracto emitido por la Gobernación de San Andrés, de la cuenta de Ahorros del Banco de Occidente número 855837167 al cierre de 2020, el saldo a la fecha fue de $4.657 millones.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Por otro lado, la Gobernación en conciliación bancaria del Banco de Occidente de la cuenta de ahorros 855837399 al cierre de 2020</w:t>
      </w:r>
      <w:r>
        <w:rPr>
          <w:rFonts w:ascii="Arial" w:hAnsi="Arial" w:cs="Arial"/>
          <w:sz w:val="22"/>
          <w:szCs w:val="22"/>
          <w:lang w:val="es-ES_tradnl"/>
        </w:rPr>
        <w:t>, el saldo</w:t>
      </w:r>
      <w:r w:rsidRPr="00DC371E">
        <w:rPr>
          <w:rFonts w:ascii="Arial" w:hAnsi="Arial" w:cs="Arial"/>
          <w:sz w:val="22"/>
          <w:szCs w:val="22"/>
          <w:lang w:val="es-ES_tradnl"/>
        </w:rPr>
        <w:t xml:space="preserve"> fue de $3.715 millones.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Aparentemente se puede deducir, ya que no es claro, con el nombre de los documentos, que el primer saldo es proveniente de la cuenta que tiene el Departamento y la segunda, el saldo es por Municipio. Entre las dos cuentas, el saldo es de $8.372 millones. Si bien la </w:t>
      </w:r>
      <w:r w:rsidRPr="00DC371E">
        <w:rPr>
          <w:rFonts w:ascii="Arial" w:hAnsi="Arial" w:cs="Arial"/>
          <w:sz w:val="22"/>
          <w:szCs w:val="22"/>
          <w:lang w:val="es-ES_tradnl"/>
        </w:rPr>
        <w:lastRenderedPageBreak/>
        <w:t xml:space="preserve">Entidad se encuentra en el PDA, estos recursos por concepto de </w:t>
      </w:r>
      <w:r w:rsidR="00E013AF" w:rsidRPr="00DC371E">
        <w:rPr>
          <w:rFonts w:ascii="Arial" w:hAnsi="Arial" w:cs="Arial"/>
          <w:sz w:val="22"/>
          <w:szCs w:val="22"/>
          <w:lang w:val="es-ES_tradnl"/>
        </w:rPr>
        <w:t>Departamento</w:t>
      </w:r>
      <w:r w:rsidRPr="00DC371E">
        <w:rPr>
          <w:rFonts w:ascii="Arial" w:hAnsi="Arial" w:cs="Arial"/>
          <w:sz w:val="22"/>
          <w:szCs w:val="22"/>
          <w:lang w:val="es-ES_tradnl"/>
        </w:rPr>
        <w:t xml:space="preserve"> deberían estar en el Consorcio FIA.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En la información aportada por la Entidad, las reservas presupuestales al cierre de </w:t>
      </w:r>
      <w:r w:rsidR="00E013AF" w:rsidRPr="00DC371E">
        <w:rPr>
          <w:rFonts w:ascii="Arial" w:hAnsi="Arial" w:cs="Arial"/>
          <w:sz w:val="22"/>
          <w:szCs w:val="22"/>
          <w:lang w:val="es-ES_tradnl"/>
        </w:rPr>
        <w:t>2020</w:t>
      </w:r>
      <w:r w:rsidRPr="00DC371E">
        <w:rPr>
          <w:rFonts w:ascii="Arial" w:hAnsi="Arial" w:cs="Arial"/>
          <w:sz w:val="22"/>
          <w:szCs w:val="22"/>
          <w:lang w:val="es-ES_tradnl"/>
        </w:rPr>
        <w:t xml:space="preserve"> debieron ser de $2.602 millones de SGP APSB, ($434 millones al mejoramiento de la prestación del servicio Departamento y $2.168 millones al mejoramiento de la prestación del servicio Municipio), con pagos por $2.181 millones, con un saldo en reservas por pagar de $421 millones, lo que confirma el reporte erróneo de la información presupuestal al FUT.</w:t>
      </w:r>
    </w:p>
    <w:p w:rsidR="00D75790" w:rsidRPr="00DC371E" w:rsidRDefault="00D75790" w:rsidP="00D75790">
      <w:pPr>
        <w:contextualSpacing/>
        <w:jc w:val="both"/>
        <w:rPr>
          <w:rFonts w:ascii="Arial" w:hAnsi="Arial" w:cs="Arial"/>
          <w:sz w:val="22"/>
          <w:szCs w:val="22"/>
          <w:highlight w:val="yellow"/>
          <w:lang w:val="es-ES_tradnl"/>
        </w:rPr>
      </w:pPr>
    </w:p>
    <w:p w:rsidR="00D75790" w:rsidRPr="00DC371E" w:rsidRDefault="00D75790" w:rsidP="00D75790">
      <w:pPr>
        <w:contextualSpacing/>
        <w:jc w:val="both"/>
        <w:rPr>
          <w:rFonts w:ascii="Arial" w:hAnsi="Arial" w:cs="Arial"/>
          <w:sz w:val="22"/>
          <w:szCs w:val="22"/>
          <w:highlight w:val="yellow"/>
          <w:lang w:val="es-ES_tradnl"/>
        </w:rPr>
      </w:pPr>
    </w:p>
    <w:p w:rsidR="00D75790" w:rsidRPr="00DC371E" w:rsidRDefault="00D75790" w:rsidP="00D75790">
      <w:pPr>
        <w:contextualSpacing/>
        <w:jc w:val="both"/>
        <w:rPr>
          <w:rFonts w:ascii="Arial" w:hAnsi="Arial" w:cs="Arial"/>
          <w:sz w:val="22"/>
          <w:szCs w:val="22"/>
          <w:highlight w:val="yellow"/>
          <w:lang w:val="es-ES_tradnl"/>
        </w:rPr>
      </w:pPr>
    </w:p>
    <w:p w:rsidR="00D75790" w:rsidRPr="00DC371E" w:rsidRDefault="00D75790" w:rsidP="00D75790">
      <w:pPr>
        <w:pStyle w:val="Prrafodelista"/>
        <w:numPr>
          <w:ilvl w:val="0"/>
          <w:numId w:val="17"/>
        </w:numPr>
        <w:shd w:val="clear" w:color="auto" w:fill="FFFFFF"/>
        <w:spacing w:before="100" w:beforeAutospacing="1" w:after="119"/>
        <w:jc w:val="both"/>
        <w:rPr>
          <w:rFonts w:ascii="Arial" w:hAnsi="Arial" w:cs="Arial"/>
          <w:b/>
          <w:bCs/>
          <w:sz w:val="22"/>
          <w:szCs w:val="22"/>
        </w:rPr>
      </w:pPr>
      <w:r w:rsidRPr="00DC371E">
        <w:rPr>
          <w:rFonts w:ascii="Arial" w:hAnsi="Arial" w:cs="Arial"/>
          <w:b/>
          <w:bCs/>
          <w:sz w:val="22"/>
          <w:szCs w:val="22"/>
        </w:rPr>
        <w:t>EFECTOS DEL HURACÁN IOTA</w:t>
      </w:r>
      <w:r>
        <w:rPr>
          <w:rFonts w:ascii="Arial" w:hAnsi="Arial" w:cs="Arial"/>
          <w:b/>
          <w:bCs/>
          <w:sz w:val="22"/>
          <w:szCs w:val="22"/>
        </w:rPr>
        <w:t>.</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Default="00D75790" w:rsidP="00D75790">
      <w:pPr>
        <w:shd w:val="clear" w:color="auto" w:fill="FFFFFF"/>
        <w:spacing w:before="100" w:beforeAutospacing="1" w:after="119"/>
        <w:contextualSpacing/>
        <w:jc w:val="both"/>
        <w:rPr>
          <w:rFonts w:ascii="Arial" w:hAnsi="Arial" w:cs="Arial"/>
          <w:sz w:val="22"/>
          <w:szCs w:val="22"/>
        </w:rPr>
      </w:pPr>
      <w:r w:rsidRPr="00DC371E">
        <w:rPr>
          <w:rFonts w:ascii="Arial" w:hAnsi="Arial" w:cs="Arial"/>
          <w:sz w:val="22"/>
          <w:szCs w:val="22"/>
        </w:rPr>
        <w:t>Si bien, una de las razones de</w:t>
      </w:r>
      <w:r>
        <w:rPr>
          <w:rFonts w:ascii="Arial" w:hAnsi="Arial" w:cs="Arial"/>
          <w:sz w:val="22"/>
          <w:szCs w:val="22"/>
        </w:rPr>
        <w:t xml:space="preserve"> </w:t>
      </w:r>
      <w:r w:rsidRPr="00DC371E">
        <w:rPr>
          <w:rFonts w:ascii="Arial" w:hAnsi="Arial" w:cs="Arial"/>
          <w:sz w:val="22"/>
          <w:szCs w:val="22"/>
        </w:rPr>
        <w:t>l</w:t>
      </w:r>
      <w:r>
        <w:rPr>
          <w:rFonts w:ascii="Arial" w:hAnsi="Arial" w:cs="Arial"/>
          <w:sz w:val="22"/>
          <w:szCs w:val="22"/>
        </w:rPr>
        <w:t>a no</w:t>
      </w:r>
      <w:r w:rsidRPr="00DC371E">
        <w:rPr>
          <w:rFonts w:ascii="Arial" w:hAnsi="Arial" w:cs="Arial"/>
          <w:sz w:val="22"/>
          <w:szCs w:val="22"/>
        </w:rPr>
        <w:t xml:space="preserve"> imposición de la </w:t>
      </w:r>
      <w:r>
        <w:rPr>
          <w:rFonts w:ascii="Arial" w:hAnsi="Arial" w:cs="Arial"/>
          <w:sz w:val="22"/>
          <w:szCs w:val="22"/>
        </w:rPr>
        <w:t>M</w:t>
      </w:r>
      <w:r w:rsidRPr="00DC371E">
        <w:rPr>
          <w:rFonts w:ascii="Arial" w:hAnsi="Arial" w:cs="Arial"/>
          <w:sz w:val="22"/>
          <w:szCs w:val="22"/>
        </w:rPr>
        <w:t xml:space="preserve">edida </w:t>
      </w:r>
      <w:r>
        <w:rPr>
          <w:rFonts w:ascii="Arial" w:hAnsi="Arial" w:cs="Arial"/>
          <w:sz w:val="22"/>
          <w:szCs w:val="22"/>
        </w:rPr>
        <w:t>C</w:t>
      </w:r>
      <w:r w:rsidRPr="00DC371E">
        <w:rPr>
          <w:rFonts w:ascii="Arial" w:hAnsi="Arial" w:cs="Arial"/>
          <w:sz w:val="22"/>
          <w:szCs w:val="22"/>
        </w:rPr>
        <w:t>orrectiva de Asunción Temporal de la Competencia en la vigencia 2020, era la actualización del diagnóstico sectorial, analizando los efectos sectoriales del paso del Huracán Iota, el Ministerio de Vivienda, Ciudad y Territorio, de manera breve abordó la problemática de la siguiente manera:</w:t>
      </w: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rPr>
      </w:pPr>
    </w:p>
    <w:p w:rsidR="00D75790" w:rsidRPr="00E46D41" w:rsidRDefault="00D75790" w:rsidP="00D75790">
      <w:pPr>
        <w:shd w:val="clear" w:color="auto" w:fill="FFFFFF"/>
        <w:spacing w:before="100" w:beforeAutospacing="1" w:after="119"/>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A continuación, se presenta un resumen de las afectaciones causadas por el paso del huracán Iota ocurrido el 17 de noviembre del 2020, evento en el cual el Archipiélago presentó afectaciones que deterioraron la prestación de los servicios públicos de acueducto, alcantarillado y aseo. En San Andrés Isla, en cuanto al servicio de acueducto, se produjeron daños eléctricos en la planta desalinizadora Lox Bight, en la planta de ablandamiento Duppy Gully; se afectaron 7 pozos de captación porque quedaron inundados. Los tanques de almacenamiento de agua tuvieron afectaciones menores producto de caída de árboles. Como consecuencia de la afectación se redujo la continuidad a 6 horas/día, en la actualidad se ha restablecido la continuidad acostumbra en los diferentes sectores hidráulicos. En cuanto al servicio de alcantarillado, se generaron taponamientos en las tuberías, por otro lado, por el fuerte oleaje se inundó la estación de bombeo de aguas residuales No. 3, 14 ubicada en la parte oeste de la Isla, se afectó un tramo de la línea de impulsión y el emisario submarino quedó desempatado por la fractura de dos tubos, por lo que la disposición final de las aguas residuales se realizó directamente al mar. Los trabajos de reparación del emisario submarino finalizaron en enero de 2021 y en la actualidad se encuentra en funcionamiento</w:t>
      </w:r>
      <w:r w:rsidRPr="00E46D41">
        <w:rPr>
          <w:rFonts w:ascii="Arial" w:hAnsi="Arial" w:cs="Arial"/>
          <w:iCs/>
          <w:sz w:val="18"/>
          <w:szCs w:val="22"/>
        </w:rPr>
        <w:t>”.</w:t>
      </w:r>
    </w:p>
    <w:p w:rsidR="00D75790" w:rsidRPr="00DC371E" w:rsidRDefault="00D75790" w:rsidP="00D75790">
      <w:pPr>
        <w:shd w:val="clear" w:color="auto" w:fill="FFFFFF"/>
        <w:spacing w:before="100" w:beforeAutospacing="1" w:after="119"/>
        <w:contextualSpacing/>
        <w:jc w:val="both"/>
        <w:rPr>
          <w:rFonts w:ascii="Arial" w:hAnsi="Arial" w:cs="Arial"/>
          <w:sz w:val="22"/>
          <w:szCs w:val="22"/>
          <w:highlight w:val="yellow"/>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Este </w:t>
      </w:r>
      <w:r>
        <w:rPr>
          <w:rFonts w:ascii="Arial" w:hAnsi="Arial" w:cs="Arial"/>
          <w:sz w:val="22"/>
          <w:szCs w:val="22"/>
          <w:lang w:val="es-ES_tradnl"/>
        </w:rPr>
        <w:t>aparte</w:t>
      </w:r>
      <w:r w:rsidRPr="00DC371E">
        <w:rPr>
          <w:rFonts w:ascii="Arial" w:hAnsi="Arial" w:cs="Arial"/>
          <w:sz w:val="22"/>
          <w:szCs w:val="22"/>
          <w:lang w:val="es-ES_tradnl"/>
        </w:rPr>
        <w:t xml:space="preserve"> del informe de diagnóstico carece de conceptos técnicos, de análisis de impactos sectoriales, ni costos asociados a su recuperación.</w:t>
      </w:r>
    </w:p>
    <w:p w:rsidR="00D75790" w:rsidRPr="00DC371E" w:rsidRDefault="00D75790" w:rsidP="00D75790">
      <w:pPr>
        <w:shd w:val="clear" w:color="auto" w:fill="FFFFFF"/>
        <w:spacing w:before="100" w:beforeAutospacing="1" w:after="119"/>
        <w:contextualSpacing/>
        <w:jc w:val="both"/>
        <w:rPr>
          <w:rFonts w:ascii="Arial" w:hAnsi="Arial" w:cs="Arial"/>
          <w:sz w:val="22"/>
          <w:szCs w:val="22"/>
          <w:highlight w:val="yellow"/>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En la página </w:t>
      </w:r>
      <w:r w:rsidRPr="00E46D41">
        <w:rPr>
          <w:rFonts w:ascii="Arial" w:hAnsi="Arial" w:cs="Arial"/>
          <w:i/>
          <w:sz w:val="22"/>
          <w:szCs w:val="22"/>
          <w:lang w:val="es-ES_tradnl"/>
        </w:rPr>
        <w:t>Web</w:t>
      </w:r>
      <w:r w:rsidRPr="00DC371E">
        <w:rPr>
          <w:rFonts w:ascii="Arial" w:hAnsi="Arial" w:cs="Arial"/>
          <w:sz w:val="22"/>
          <w:szCs w:val="22"/>
          <w:lang w:val="es-ES_tradnl"/>
        </w:rPr>
        <w:t xml:space="preserve"> del </w:t>
      </w:r>
      <w:r>
        <w:rPr>
          <w:rFonts w:ascii="Arial" w:hAnsi="Arial" w:cs="Arial"/>
          <w:sz w:val="22"/>
          <w:szCs w:val="22"/>
          <w:lang w:val="es-ES_tradnl"/>
        </w:rPr>
        <w:t>S</w:t>
      </w:r>
      <w:r w:rsidRPr="00DC371E">
        <w:rPr>
          <w:rFonts w:ascii="Arial" w:hAnsi="Arial" w:cs="Arial"/>
          <w:sz w:val="22"/>
          <w:szCs w:val="22"/>
          <w:lang w:val="es-ES_tradnl"/>
        </w:rPr>
        <w:t xml:space="preserve">enado de la </w:t>
      </w:r>
      <w:r w:rsidR="00E013AF" w:rsidRPr="00DC371E">
        <w:rPr>
          <w:rFonts w:ascii="Arial" w:hAnsi="Arial" w:cs="Arial"/>
          <w:sz w:val="22"/>
          <w:szCs w:val="22"/>
          <w:lang w:val="es-ES_tradnl"/>
        </w:rPr>
        <w:t>República</w:t>
      </w:r>
      <w:r w:rsidRPr="00DC371E">
        <w:rPr>
          <w:rStyle w:val="Refdenotaalpie"/>
          <w:rFonts w:ascii="Arial" w:hAnsi="Arial" w:cs="Arial"/>
          <w:sz w:val="22"/>
          <w:szCs w:val="22"/>
          <w:lang w:val="es-ES_tradnl"/>
        </w:rPr>
        <w:footnoteReference w:id="23"/>
      </w:r>
      <w:r w:rsidRPr="00DC371E">
        <w:rPr>
          <w:rFonts w:ascii="Arial" w:hAnsi="Arial" w:cs="Arial"/>
          <w:sz w:val="22"/>
          <w:szCs w:val="22"/>
          <w:lang w:val="es-ES_tradnl"/>
        </w:rPr>
        <w:t>, se hace referencia al costo de la inversión en servicios públicos en San Andrés y Providencia luego del paso del Huracán, de esta manera:</w:t>
      </w:r>
    </w:p>
    <w:p w:rsidR="00D75790" w:rsidRPr="00DC371E" w:rsidRDefault="00D75790" w:rsidP="00D75790">
      <w:pPr>
        <w:shd w:val="clear" w:color="auto" w:fill="FFFFFF"/>
        <w:spacing w:before="100" w:beforeAutospacing="1" w:after="119"/>
        <w:contextualSpacing/>
        <w:jc w:val="both"/>
        <w:rPr>
          <w:rFonts w:ascii="Arial" w:hAnsi="Arial" w:cs="Arial"/>
          <w:sz w:val="22"/>
          <w:szCs w:val="22"/>
          <w:highlight w:val="yellow"/>
          <w:lang w:val="es-ES_tradnl"/>
        </w:rPr>
      </w:pPr>
    </w:p>
    <w:p w:rsidR="00D75790" w:rsidRPr="00E46D41" w:rsidRDefault="00D75790" w:rsidP="00D75790">
      <w:pPr>
        <w:shd w:val="clear" w:color="auto" w:fill="FFFFFF"/>
        <w:spacing w:before="100" w:beforeAutospacing="1" w:after="119"/>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“Resalto la gestión de los 6000 mil millones de pesos canalizados a través de Unidad de Gestión del Riesgo, los 110 mil millones que el Ministerio de Hacienda gestionó, para restablecer todos los servicios de abastecimiento de agua, acueducto y alcantarillado</w:t>
      </w:r>
      <w:r w:rsidRPr="00E46D41">
        <w:rPr>
          <w:rFonts w:ascii="Arial" w:hAnsi="Arial" w:cs="Arial"/>
          <w:iCs/>
          <w:sz w:val="18"/>
          <w:szCs w:val="22"/>
          <w:lang w:val="es-ES_tradnl"/>
        </w:rPr>
        <w:t>”. (SIC).</w:t>
      </w:r>
    </w:p>
    <w:p w:rsidR="00D75790" w:rsidRPr="00DC371E" w:rsidRDefault="00D75790" w:rsidP="00D75790">
      <w:pPr>
        <w:shd w:val="clear" w:color="auto" w:fill="FFFFFF"/>
        <w:spacing w:before="100" w:beforeAutospacing="1" w:after="119"/>
        <w:ind w:left="708"/>
        <w:contextualSpacing/>
        <w:jc w:val="both"/>
        <w:rPr>
          <w:rFonts w:ascii="Arial" w:hAnsi="Arial" w:cs="Arial"/>
          <w:i/>
          <w:iCs/>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Desde Presidencia de la República</w:t>
      </w:r>
      <w:r>
        <w:rPr>
          <w:rStyle w:val="Refdenotaalpie"/>
          <w:rFonts w:ascii="Arial" w:hAnsi="Arial"/>
          <w:sz w:val="22"/>
          <w:szCs w:val="22"/>
          <w:lang w:val="es-ES_tradnl"/>
        </w:rPr>
        <w:footnoteReference w:id="24"/>
      </w:r>
      <w:r w:rsidRPr="00DC371E">
        <w:rPr>
          <w:rFonts w:ascii="Arial" w:hAnsi="Arial" w:cs="Arial"/>
          <w:sz w:val="22"/>
          <w:szCs w:val="22"/>
          <w:lang w:val="es-ES_tradnl"/>
        </w:rPr>
        <w:t>, se hizo referencia a la inversión sectorial de la siguiente manera:</w:t>
      </w:r>
    </w:p>
    <w:p w:rsidR="00D75790" w:rsidRPr="00DC371E" w:rsidRDefault="00D75790" w:rsidP="00D75790">
      <w:pPr>
        <w:shd w:val="clear" w:color="auto" w:fill="FFFFFF"/>
        <w:spacing w:before="100" w:beforeAutospacing="1" w:after="119"/>
        <w:ind w:left="708"/>
        <w:contextualSpacing/>
        <w:jc w:val="both"/>
        <w:rPr>
          <w:rFonts w:ascii="Arial" w:hAnsi="Arial" w:cs="Arial"/>
          <w:sz w:val="22"/>
          <w:szCs w:val="22"/>
          <w:lang w:val="es-ES_tradnl"/>
        </w:rPr>
      </w:pPr>
    </w:p>
    <w:p w:rsidR="00D75790" w:rsidRPr="00E46D41" w:rsidRDefault="00D75790" w:rsidP="00D75790">
      <w:pPr>
        <w:shd w:val="clear" w:color="auto" w:fill="FFFFFF"/>
        <w:spacing w:before="100" w:beforeAutospacing="1" w:after="119"/>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 xml:space="preserve">Ayer (18 de junio de 2021) se firmó el acta a partir de la cual se adelanta el proyecto de alcantarillado pluvial de San Andrés. De acuerdo con lo manifestado por el Presidente, las inversiones en estos últimos años superan los 5 billones de pesos, </w:t>
      </w:r>
      <w:r w:rsidRPr="00E46D41">
        <w:rPr>
          <w:rFonts w:ascii="Arial" w:hAnsi="Arial" w:cs="Arial"/>
          <w:i/>
          <w:sz w:val="18"/>
          <w:szCs w:val="22"/>
          <w:lang w:val="es-ES_tradnl"/>
        </w:rPr>
        <w:t>en las que particularmente hizo referencia a la del Alcantarillado Pluvial, obra que apenas está en proyecto</w:t>
      </w:r>
      <w:r w:rsidRPr="00E46D41">
        <w:rPr>
          <w:rFonts w:ascii="Arial" w:hAnsi="Arial" w:cs="Arial"/>
          <w:sz w:val="18"/>
          <w:szCs w:val="22"/>
          <w:lang w:val="es-ES_tradnl"/>
        </w:rPr>
        <w:t>”.</w:t>
      </w:r>
    </w:p>
    <w:p w:rsidR="00D75790" w:rsidRPr="00DC371E" w:rsidRDefault="00D75790" w:rsidP="00D75790">
      <w:pPr>
        <w:shd w:val="clear" w:color="auto" w:fill="FFFFFF"/>
        <w:spacing w:before="100" w:beforeAutospacing="1" w:after="119"/>
        <w:ind w:left="708"/>
        <w:contextualSpacing/>
        <w:jc w:val="both"/>
        <w:rPr>
          <w:rFonts w:ascii="Arial" w:hAnsi="Arial" w:cs="Arial"/>
          <w:color w:val="004A84"/>
          <w:sz w:val="23"/>
          <w:szCs w:val="23"/>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Ahora bien,</w:t>
      </w:r>
      <w:r>
        <w:rPr>
          <w:rFonts w:ascii="Arial" w:hAnsi="Arial" w:cs="Arial"/>
          <w:sz w:val="22"/>
          <w:szCs w:val="22"/>
          <w:lang w:val="es-ES_tradnl"/>
        </w:rPr>
        <w:t xml:space="preserve"> </w:t>
      </w:r>
      <w:r w:rsidRPr="00DC371E">
        <w:rPr>
          <w:rFonts w:ascii="Arial" w:hAnsi="Arial" w:cs="Arial"/>
          <w:sz w:val="22"/>
          <w:szCs w:val="22"/>
          <w:lang w:val="es-ES_tradnl"/>
        </w:rPr>
        <w:t>de parte del Ministerio de Vivienda, Ciudad y Territorio</w:t>
      </w:r>
      <w:r>
        <w:rPr>
          <w:rFonts w:ascii="Arial" w:hAnsi="Arial" w:cs="Arial"/>
          <w:sz w:val="22"/>
          <w:szCs w:val="22"/>
          <w:lang w:val="es-ES_tradnl"/>
        </w:rPr>
        <w:t xml:space="preserve"> en cuanto a la inversión en agua potable y saneamiento básico en la Isla de San Andrés y Providencia, </w:t>
      </w:r>
      <w:r w:rsidRPr="00DC371E">
        <w:rPr>
          <w:rFonts w:ascii="Arial" w:hAnsi="Arial" w:cs="Arial"/>
          <w:sz w:val="22"/>
          <w:szCs w:val="22"/>
          <w:lang w:val="es-ES_tradnl"/>
        </w:rPr>
        <w:t>el día 22 de junio de 2021</w:t>
      </w:r>
      <w:r w:rsidR="00012E0D">
        <w:rPr>
          <w:rStyle w:val="Refdenotaalpie"/>
          <w:rFonts w:ascii="Arial" w:hAnsi="Arial"/>
          <w:sz w:val="22"/>
          <w:szCs w:val="22"/>
          <w:lang w:val="es-ES_tradnl"/>
        </w:rPr>
        <w:footnoteReference w:id="25"/>
      </w:r>
      <w:r w:rsidR="00012E0D">
        <w:rPr>
          <w:rFonts w:ascii="Arial" w:hAnsi="Arial" w:cs="Arial"/>
          <w:sz w:val="22"/>
          <w:szCs w:val="22"/>
          <w:lang w:val="es-ES_tradnl"/>
        </w:rPr>
        <w:t xml:space="preserve"> </w:t>
      </w:r>
      <w:r w:rsidRPr="00DC371E">
        <w:rPr>
          <w:rFonts w:ascii="Arial" w:hAnsi="Arial" w:cs="Arial"/>
          <w:sz w:val="22"/>
          <w:szCs w:val="22"/>
          <w:lang w:val="es-ES_tradnl"/>
        </w:rPr>
        <w:t>se h</w:t>
      </w:r>
      <w:r>
        <w:rPr>
          <w:rFonts w:ascii="Arial" w:hAnsi="Arial" w:cs="Arial"/>
          <w:sz w:val="22"/>
          <w:szCs w:val="22"/>
          <w:lang w:val="es-ES_tradnl"/>
        </w:rPr>
        <w:t>izo</w:t>
      </w:r>
      <w:r w:rsidRPr="00DC371E">
        <w:rPr>
          <w:rFonts w:ascii="Arial" w:hAnsi="Arial" w:cs="Arial"/>
          <w:sz w:val="22"/>
          <w:szCs w:val="22"/>
          <w:lang w:val="es-ES_tradnl"/>
        </w:rPr>
        <w:t xml:space="preserve"> referencia </w:t>
      </w:r>
      <w:r>
        <w:rPr>
          <w:rFonts w:ascii="Arial" w:hAnsi="Arial" w:cs="Arial"/>
          <w:sz w:val="22"/>
          <w:szCs w:val="22"/>
          <w:lang w:val="es-ES_tradnl"/>
        </w:rPr>
        <w:t>en los siguientes términos</w:t>
      </w:r>
      <w:r w:rsidRPr="00DC371E">
        <w:rPr>
          <w:rFonts w:ascii="Arial" w:hAnsi="Arial" w:cs="Arial"/>
          <w:sz w:val="22"/>
          <w:szCs w:val="22"/>
          <w:lang w:val="es-ES_tradnl"/>
        </w:rPr>
        <w:t>:</w:t>
      </w:r>
    </w:p>
    <w:p w:rsidR="00D75790" w:rsidRPr="00DC371E" w:rsidRDefault="00D75790" w:rsidP="00D75790">
      <w:pPr>
        <w:shd w:val="clear" w:color="auto" w:fill="FFFFFF"/>
        <w:spacing w:before="100" w:beforeAutospacing="1" w:after="119"/>
        <w:ind w:left="708"/>
        <w:contextualSpacing/>
        <w:jc w:val="both"/>
        <w:rPr>
          <w:rFonts w:ascii="Arial" w:hAnsi="Arial" w:cs="Arial"/>
          <w:sz w:val="22"/>
          <w:szCs w:val="22"/>
          <w:lang w:val="es-ES_tradnl"/>
        </w:rPr>
      </w:pPr>
    </w:p>
    <w:p w:rsidR="00D75790" w:rsidRPr="00012E0D" w:rsidRDefault="00D75790" w:rsidP="00D75790">
      <w:pPr>
        <w:spacing w:before="100" w:beforeAutospacing="1" w:after="100" w:afterAutospacing="1"/>
        <w:contextualSpacing/>
        <w:jc w:val="both"/>
        <w:rPr>
          <w:rFonts w:ascii="Arial" w:hAnsi="Arial" w:cs="Arial"/>
          <w:i/>
          <w:iCs/>
          <w:sz w:val="22"/>
          <w:szCs w:val="22"/>
          <w:lang w:val="es-ES_tradnl"/>
        </w:rPr>
      </w:pPr>
      <w:r w:rsidRPr="00012E0D">
        <w:rPr>
          <w:rFonts w:ascii="Arial" w:hAnsi="Arial" w:cs="Arial"/>
          <w:i/>
          <w:iCs/>
          <w:sz w:val="22"/>
          <w:szCs w:val="22"/>
          <w:lang w:val="es-ES_tradnl"/>
        </w:rPr>
        <w:t>Con una inversión cercana a los $50 mil millones, arrancó en firme la construcción del Plan Maestro de Alcantarillado Pluvial en la isla de San Andrés.</w:t>
      </w:r>
    </w:p>
    <w:p w:rsidR="00D75790" w:rsidRPr="00DC371E" w:rsidRDefault="00D75790" w:rsidP="00D75790">
      <w:pPr>
        <w:spacing w:before="100" w:beforeAutospacing="1" w:after="100" w:afterAutospacing="1"/>
        <w:contextualSpacing/>
        <w:jc w:val="both"/>
        <w:rPr>
          <w:rFonts w:ascii="Arial" w:hAnsi="Arial" w:cs="Arial"/>
          <w:sz w:val="22"/>
          <w:szCs w:val="22"/>
          <w:lang w:val="es-ES_tradnl"/>
        </w:rPr>
      </w:pPr>
    </w:p>
    <w:p w:rsidR="00D75790" w:rsidRPr="00E46D41" w:rsidRDefault="00D75790" w:rsidP="00D75790">
      <w:pPr>
        <w:spacing w:after="150"/>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San Andrés, Providencia y Santa Catalina cuentan con las inversiones más altas históricamente para garantizar el servicio óptimo de agua potable y saneamiento básico.</w:t>
      </w:r>
    </w:p>
    <w:p w:rsidR="00D75790" w:rsidRPr="00E46D41" w:rsidRDefault="00D75790" w:rsidP="00D75790">
      <w:pPr>
        <w:spacing w:after="150"/>
        <w:ind w:left="1416"/>
        <w:contextualSpacing/>
        <w:jc w:val="both"/>
        <w:rPr>
          <w:rFonts w:ascii="Arial" w:hAnsi="Arial" w:cs="Arial"/>
          <w:i/>
          <w:iCs/>
          <w:sz w:val="18"/>
          <w:szCs w:val="22"/>
          <w:lang w:val="es-ES_tradnl"/>
        </w:rPr>
      </w:pPr>
    </w:p>
    <w:p w:rsidR="00D75790" w:rsidRPr="00E46D41" w:rsidRDefault="00D75790" w:rsidP="00D75790">
      <w:pPr>
        <w:spacing w:after="150"/>
        <w:ind w:left="1413"/>
        <w:contextualSpacing/>
        <w:jc w:val="both"/>
        <w:rPr>
          <w:rFonts w:ascii="Arial" w:hAnsi="Arial" w:cs="Arial"/>
          <w:i/>
          <w:iCs/>
          <w:sz w:val="18"/>
          <w:szCs w:val="22"/>
          <w:lang w:val="es-ES_tradnl"/>
        </w:rPr>
      </w:pPr>
      <w:r w:rsidRPr="00E46D41">
        <w:rPr>
          <w:rFonts w:ascii="Arial" w:hAnsi="Arial" w:cs="Arial"/>
          <w:i/>
          <w:iCs/>
          <w:sz w:val="18"/>
          <w:szCs w:val="22"/>
          <w:lang w:val="es-ES_tradnl"/>
        </w:rPr>
        <w:t>Contamos con 8 proyectos que implican una inversión de $155.409 millones, donde la Nación aporta $153.931 millones. Con la culminación de estos proyectos, se beneficiarán alrededor de 70 mil isleños</w:t>
      </w:r>
      <w:r>
        <w:rPr>
          <w:rFonts w:ascii="Arial" w:hAnsi="Arial" w:cs="Arial"/>
          <w:i/>
          <w:iCs/>
          <w:sz w:val="18"/>
          <w:szCs w:val="22"/>
          <w:lang w:val="es-ES_tradnl"/>
        </w:rPr>
        <w:t>.</w:t>
      </w:r>
    </w:p>
    <w:p w:rsidR="00D75790" w:rsidRPr="00E46D41" w:rsidRDefault="00D75790" w:rsidP="00D75790">
      <w:pPr>
        <w:spacing w:after="150"/>
        <w:ind w:left="1413"/>
        <w:contextualSpacing/>
        <w:jc w:val="both"/>
        <w:rPr>
          <w:rFonts w:ascii="Arial" w:hAnsi="Arial" w:cs="Arial"/>
          <w:i/>
          <w:iCs/>
          <w:sz w:val="18"/>
          <w:szCs w:val="22"/>
          <w:lang w:val="es-ES_tradnl"/>
        </w:rPr>
      </w:pPr>
    </w:p>
    <w:p w:rsidR="00D75790" w:rsidRPr="00E46D41" w:rsidRDefault="00D75790" w:rsidP="00D75790">
      <w:pPr>
        <w:spacing w:after="150"/>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Como muestra de la gestión y de las inversiones que se ejecutan en este territorio el Viceministro anunció la noticia del arribo a Providencia de la planta desalinizadora que llegó desde Cancún, México para potabilizar el agua del mar y generar 300.000 litros diarios.</w:t>
      </w:r>
    </w:p>
    <w:p w:rsidR="00D75790" w:rsidRPr="00E46D41" w:rsidRDefault="00D75790" w:rsidP="00D75790">
      <w:pPr>
        <w:spacing w:after="150"/>
        <w:ind w:left="1416"/>
        <w:contextualSpacing/>
        <w:jc w:val="both"/>
        <w:rPr>
          <w:rFonts w:ascii="Arial" w:hAnsi="Arial" w:cs="Arial"/>
          <w:i/>
          <w:iCs/>
          <w:sz w:val="18"/>
          <w:szCs w:val="22"/>
          <w:lang w:val="es-ES_tradnl"/>
        </w:rPr>
      </w:pPr>
    </w:p>
    <w:p w:rsidR="00D75790" w:rsidRPr="00E46D41" w:rsidRDefault="00D75790" w:rsidP="00D75790">
      <w:pPr>
        <w:spacing w:after="150"/>
        <w:ind w:left="1413"/>
        <w:contextualSpacing/>
        <w:jc w:val="both"/>
        <w:rPr>
          <w:rFonts w:ascii="Arial" w:hAnsi="Arial" w:cs="Arial"/>
          <w:i/>
          <w:iCs/>
          <w:sz w:val="18"/>
          <w:szCs w:val="22"/>
          <w:lang w:val="es-ES_tradnl"/>
        </w:rPr>
      </w:pPr>
      <w:r w:rsidRPr="00E46D41">
        <w:rPr>
          <w:rFonts w:ascii="Arial" w:hAnsi="Arial" w:cs="Arial"/>
          <w:i/>
          <w:iCs/>
          <w:sz w:val="18"/>
          <w:szCs w:val="22"/>
          <w:lang w:val="es-ES_tradnl"/>
        </w:rPr>
        <w:t>Esta planta junto a la producción de agua potable de la planta del Club Rotario, permitirá beneficiar a los habitantes de la isla con 550.000 litros diarios. La desalinizadora estará ubicada durante seis meses en la bahía del sector Agua Dulce. Durante ese periodo de tiempo complementará los sistemas ya instalados y operará con todos los permisos de Coralina. Para cuando finalice el contrato y la planta sea retirada, se estima que los trabajos realizados en el embalse hagan que éste haya recuperado su capacidad de almacenamiento para continuar con el abastecimiento sin ningún inconveniente.</w:t>
      </w:r>
    </w:p>
    <w:p w:rsidR="00D75790" w:rsidRPr="00E46D41" w:rsidRDefault="00D75790" w:rsidP="00D75790">
      <w:pPr>
        <w:spacing w:after="150"/>
        <w:ind w:left="1413"/>
        <w:contextualSpacing/>
        <w:jc w:val="both"/>
        <w:rPr>
          <w:rFonts w:ascii="Arial" w:hAnsi="Arial" w:cs="Arial"/>
          <w:i/>
          <w:iCs/>
          <w:sz w:val="18"/>
          <w:szCs w:val="22"/>
          <w:lang w:val="es-ES_tradnl"/>
        </w:rPr>
      </w:pPr>
    </w:p>
    <w:p w:rsidR="00D75790" w:rsidRPr="00E46D41" w:rsidRDefault="00D75790" w:rsidP="00D75790">
      <w:pPr>
        <w:spacing w:after="150"/>
        <w:ind w:left="1413"/>
        <w:contextualSpacing/>
        <w:jc w:val="both"/>
        <w:rPr>
          <w:rFonts w:ascii="Arial" w:hAnsi="Arial" w:cs="Arial"/>
          <w:i/>
          <w:iCs/>
          <w:sz w:val="18"/>
          <w:szCs w:val="22"/>
          <w:lang w:val="es-ES_tradnl"/>
        </w:rPr>
      </w:pPr>
      <w:r w:rsidRPr="00E46D41">
        <w:rPr>
          <w:rFonts w:ascii="Arial" w:hAnsi="Arial" w:cs="Arial"/>
          <w:i/>
          <w:iCs/>
          <w:sz w:val="18"/>
          <w:szCs w:val="22"/>
          <w:lang w:val="es-ES_tradnl"/>
        </w:rPr>
        <w:t>Para lograr la adquisición de la planta el Ministerio de Vivienda, Ciudad y Territorio trabajó de la mano con la Unidad Nacional para la Gestión del Riesgo de Desastres, entidad encargada de la contratación; la Cancillería que realizó la gestión para obtener los permisos de importación y el Ministerio de Defensa a través de la Fuerza Área e Infantes que apoyaron con la logística, transporte y personal para el cargue y descargue de la infraestructura. El MVCT confirmó el inicio de las obras de la actualización del Plan Maestro de Alcantarillado Pluvial en la isla de San Andrés, con una inversión histórica de $49.999 millones para beneficiar a 13.676 habitantes. Esperamos que solo tarde 30 meses en su ejecución y se financiará con un 100 % de recursos provenientes de la Nación. El Viceministro comunicó que en San Andrés también se adelanta la expansión de las redes de alcantarillado en los Distritos 1, 2 y 3, por un valor de $5.554 millones, beneficiando cerca de 3.000 personas. Adicionalmente, se están adelantando las obras para la instalación de la planta desalinizadora de 50 litros por segundo, con un tanque de almacenamiento de 1.000 m</w:t>
      </w:r>
      <w:r w:rsidRPr="00E46D41">
        <w:rPr>
          <w:rFonts w:ascii="Arial" w:hAnsi="Arial" w:cs="Arial"/>
          <w:i/>
          <w:iCs/>
          <w:sz w:val="18"/>
          <w:szCs w:val="22"/>
          <w:vertAlign w:val="superscript"/>
          <w:lang w:val="es-ES_tradnl"/>
        </w:rPr>
        <w:t>3</w:t>
      </w:r>
      <w:r w:rsidRPr="00E46D41">
        <w:rPr>
          <w:rFonts w:ascii="Arial" w:hAnsi="Arial" w:cs="Arial"/>
          <w:i/>
          <w:iCs/>
          <w:sz w:val="18"/>
          <w:szCs w:val="22"/>
          <w:lang w:val="es-ES_tradnl"/>
        </w:rPr>
        <w:t>, y la renovación de redes de acueducto los sectores de La Loma, San Luis y El Cove por otros $3.592 millones</w:t>
      </w:r>
      <w:r w:rsidRPr="00E46D41">
        <w:rPr>
          <w:rFonts w:ascii="Arial" w:hAnsi="Arial" w:cs="Arial"/>
          <w:iCs/>
          <w:sz w:val="18"/>
          <w:szCs w:val="22"/>
          <w:lang w:val="es-ES_tradnl"/>
        </w:rPr>
        <w:t>”.</w:t>
      </w:r>
    </w:p>
    <w:p w:rsidR="00D75790" w:rsidRPr="00E46D41" w:rsidRDefault="00D75790" w:rsidP="00D75790">
      <w:pPr>
        <w:spacing w:after="150"/>
        <w:contextualSpacing/>
        <w:jc w:val="both"/>
        <w:rPr>
          <w:rFonts w:ascii="Arial" w:hAnsi="Arial" w:cs="Arial"/>
          <w:iCs/>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color w:val="232323"/>
          <w:sz w:val="22"/>
          <w:szCs w:val="22"/>
          <w:shd w:val="clear" w:color="auto" w:fill="FFFFFF"/>
        </w:rPr>
      </w:pPr>
      <w:r w:rsidRPr="00DC371E">
        <w:rPr>
          <w:rFonts w:ascii="Arial" w:hAnsi="Arial" w:cs="Arial"/>
          <w:color w:val="232323"/>
          <w:sz w:val="22"/>
          <w:szCs w:val="22"/>
          <w:shd w:val="clear" w:color="auto" w:fill="FFFFFF"/>
        </w:rPr>
        <w:lastRenderedPageBreak/>
        <w:t xml:space="preserve">Si bien, en el informe del MVCT se hace referencia a que los problemas sectoriales no son tan considerables y se han ido resolviendo, en la información publicada no se precisa que existen dificultades sectoriales consecuencia del paso del Huracán y se hace referencia a la gran cantidad de inversión en alcantarillado, </w:t>
      </w:r>
      <w:r>
        <w:rPr>
          <w:rFonts w:ascii="Arial" w:hAnsi="Arial" w:cs="Arial"/>
          <w:color w:val="232323"/>
          <w:sz w:val="22"/>
          <w:szCs w:val="22"/>
          <w:shd w:val="clear" w:color="auto" w:fill="FFFFFF"/>
        </w:rPr>
        <w:t>servicio</w:t>
      </w:r>
      <w:r w:rsidRPr="00DC371E">
        <w:rPr>
          <w:rFonts w:ascii="Arial" w:hAnsi="Arial" w:cs="Arial"/>
          <w:color w:val="232323"/>
          <w:sz w:val="22"/>
          <w:szCs w:val="22"/>
          <w:shd w:val="clear" w:color="auto" w:fill="FFFFFF"/>
        </w:rPr>
        <w:t xml:space="preserve"> que presenta rezago en el avance de los indicadores de cobertura.</w:t>
      </w:r>
    </w:p>
    <w:p w:rsidR="00D75790" w:rsidRPr="00DC371E" w:rsidRDefault="00D75790" w:rsidP="00D75790">
      <w:pPr>
        <w:shd w:val="clear" w:color="auto" w:fill="FFFFFF"/>
        <w:spacing w:before="100" w:beforeAutospacing="1" w:after="119"/>
        <w:contextualSpacing/>
        <w:jc w:val="both"/>
        <w:rPr>
          <w:rFonts w:ascii="Arial" w:hAnsi="Arial" w:cs="Arial"/>
          <w:sz w:val="22"/>
          <w:szCs w:val="22"/>
          <w:highlight w:val="yellow"/>
          <w:lang w:val="es-ES_tradnl"/>
        </w:rPr>
      </w:pPr>
    </w:p>
    <w:p w:rsidR="00D75790" w:rsidRPr="00DC371E" w:rsidRDefault="00D75790" w:rsidP="00D75790">
      <w:pPr>
        <w:pStyle w:val="Prrafodelista"/>
        <w:numPr>
          <w:ilvl w:val="0"/>
          <w:numId w:val="17"/>
        </w:numPr>
        <w:jc w:val="both"/>
        <w:rPr>
          <w:rFonts w:ascii="Arial" w:hAnsi="Arial" w:cs="Arial"/>
          <w:b/>
          <w:sz w:val="22"/>
          <w:szCs w:val="22"/>
          <w:lang w:val="es-ES_tradnl"/>
        </w:rPr>
      </w:pPr>
      <w:r w:rsidRPr="00DC371E">
        <w:rPr>
          <w:rFonts w:ascii="Arial" w:hAnsi="Arial" w:cs="Arial"/>
          <w:b/>
          <w:sz w:val="22"/>
          <w:szCs w:val="22"/>
          <w:lang w:val="es-ES_tradnl"/>
        </w:rPr>
        <w:t xml:space="preserve"> CONDICIONES PARA LA FOCALIZACIÓN DEL GASTO SOCIAL</w:t>
      </w:r>
      <w:r>
        <w:rPr>
          <w:rFonts w:ascii="Arial" w:hAnsi="Arial" w:cs="Arial"/>
          <w:b/>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pStyle w:val="Prrafodelista"/>
        <w:numPr>
          <w:ilvl w:val="1"/>
          <w:numId w:val="17"/>
        </w:numPr>
        <w:spacing w:before="100" w:beforeAutospacing="1" w:after="119"/>
        <w:jc w:val="both"/>
        <w:rPr>
          <w:rFonts w:ascii="Arial" w:hAnsi="Arial" w:cs="Arial"/>
          <w:b/>
          <w:bCs/>
          <w:color w:val="000000"/>
          <w:sz w:val="22"/>
          <w:szCs w:val="22"/>
          <w:lang w:val="es-ES_tradnl" w:eastAsia="es-CO"/>
        </w:rPr>
      </w:pPr>
      <w:r w:rsidRPr="00DC371E">
        <w:rPr>
          <w:rFonts w:ascii="Arial" w:hAnsi="Arial" w:cs="Arial"/>
          <w:b/>
          <w:bCs/>
          <w:color w:val="000000"/>
          <w:sz w:val="22"/>
          <w:szCs w:val="22"/>
          <w:lang w:val="es-ES_tradnl" w:eastAsia="es-CO"/>
        </w:rPr>
        <w:t>SUBSIDIOS Y APORTES SOLIDARIOS</w:t>
      </w:r>
      <w:r>
        <w:rPr>
          <w:rFonts w:ascii="Arial" w:hAnsi="Arial" w:cs="Arial"/>
          <w:b/>
          <w:bCs/>
          <w:color w:val="000000"/>
          <w:sz w:val="22"/>
          <w:szCs w:val="22"/>
          <w:lang w:val="es-ES_tradnl" w:eastAsia="es-CO"/>
        </w:rPr>
        <w:t>.</w:t>
      </w:r>
    </w:p>
    <w:p w:rsidR="00D75790" w:rsidRPr="00DC371E" w:rsidRDefault="00D75790" w:rsidP="00D75790">
      <w:pPr>
        <w:spacing w:before="100" w:beforeAutospacing="1" w:after="119"/>
        <w:contextualSpacing/>
        <w:jc w:val="both"/>
        <w:rPr>
          <w:rFonts w:ascii="Arial" w:hAnsi="Arial" w:cs="Arial"/>
          <w:color w:val="000000"/>
          <w:sz w:val="22"/>
          <w:szCs w:val="22"/>
          <w:lang w:val="es-ES_tradnl" w:eastAsia="es-CO"/>
        </w:rPr>
      </w:pPr>
      <w:r w:rsidRPr="00DC371E">
        <w:rPr>
          <w:rFonts w:ascii="Arial" w:hAnsi="Arial" w:cs="Arial"/>
          <w:color w:val="000000"/>
          <w:sz w:val="22"/>
          <w:szCs w:val="22"/>
          <w:lang w:val="es-ES_tradnl" w:eastAsia="es-CO"/>
        </w:rPr>
        <w:t xml:space="preserve">El artículo 125 de la </w:t>
      </w:r>
      <w:r>
        <w:rPr>
          <w:rFonts w:ascii="Arial" w:hAnsi="Arial" w:cs="Arial"/>
          <w:color w:val="000000"/>
          <w:sz w:val="22"/>
          <w:szCs w:val="22"/>
          <w:lang w:val="es-ES_tradnl" w:eastAsia="es-CO"/>
        </w:rPr>
        <w:t>L</w:t>
      </w:r>
      <w:r w:rsidRPr="00DC371E">
        <w:rPr>
          <w:rFonts w:ascii="Arial" w:hAnsi="Arial" w:cs="Arial"/>
          <w:color w:val="000000"/>
          <w:sz w:val="22"/>
          <w:szCs w:val="22"/>
          <w:lang w:val="es-ES_tradnl" w:eastAsia="es-CO"/>
        </w:rPr>
        <w:t>ey 1450 de 2011, ordenó en relación con los subsidios y contribuciones para los Servicios de Acueducto, Alcantarillado y Aseo, lo siguiente:</w:t>
      </w:r>
    </w:p>
    <w:p w:rsidR="00D75790" w:rsidRPr="00DC371E"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Pr="00E46D41" w:rsidRDefault="00D75790" w:rsidP="00D75790">
      <w:pPr>
        <w:spacing w:before="100" w:beforeAutospacing="1" w:after="119"/>
        <w:ind w:left="1416"/>
        <w:contextualSpacing/>
        <w:jc w:val="both"/>
        <w:rPr>
          <w:rFonts w:ascii="Arial" w:hAnsi="Arial" w:cs="Arial"/>
          <w:i/>
          <w:iCs/>
          <w:color w:val="000000"/>
          <w:sz w:val="18"/>
          <w:szCs w:val="22"/>
          <w:lang w:val="es-ES_tradnl" w:eastAsia="es-CO"/>
        </w:rPr>
      </w:pPr>
      <w:r w:rsidRPr="00E46D41">
        <w:rPr>
          <w:rFonts w:ascii="Arial" w:hAnsi="Arial" w:cs="Arial"/>
          <w:iCs/>
          <w:color w:val="000000"/>
          <w:sz w:val="18"/>
          <w:szCs w:val="22"/>
          <w:lang w:val="es-ES_tradnl" w:eastAsia="es-CO"/>
        </w:rPr>
        <w:t>“</w:t>
      </w:r>
      <w:r w:rsidRPr="00E46D41">
        <w:rPr>
          <w:rFonts w:ascii="Arial" w:hAnsi="Arial" w:cs="Arial"/>
          <w:i/>
          <w:iCs/>
          <w:color w:val="000000"/>
          <w:sz w:val="18"/>
          <w:szCs w:val="22"/>
          <w:lang w:val="es-ES_tradnl" w:eastAsia="es-CO"/>
        </w:rPr>
        <w:t>Los subsidios en ningún caso serán superiores al setenta por ciento (70 %) del costo del suministro para el estrato 1, cuarenta por ciento (40 %) para el estrato 2 y quince por ciento (15 %) para el estrato 3.</w:t>
      </w:r>
    </w:p>
    <w:p w:rsidR="00D75790" w:rsidRPr="00E46D41" w:rsidRDefault="00D75790" w:rsidP="00D75790">
      <w:pPr>
        <w:spacing w:before="100" w:beforeAutospacing="1" w:after="119"/>
        <w:ind w:left="1416"/>
        <w:contextualSpacing/>
        <w:jc w:val="both"/>
        <w:rPr>
          <w:rFonts w:ascii="Arial" w:hAnsi="Arial" w:cs="Arial"/>
          <w:i/>
          <w:iCs/>
          <w:color w:val="000000"/>
          <w:sz w:val="18"/>
          <w:szCs w:val="22"/>
          <w:lang w:val="es-ES_tradnl" w:eastAsia="es-CO"/>
        </w:rPr>
      </w:pPr>
    </w:p>
    <w:p w:rsidR="00D75790" w:rsidRPr="00E46D41" w:rsidRDefault="00D75790" w:rsidP="00D75790">
      <w:pPr>
        <w:spacing w:before="100" w:beforeAutospacing="1" w:after="119"/>
        <w:ind w:left="1416"/>
        <w:contextualSpacing/>
        <w:jc w:val="both"/>
        <w:rPr>
          <w:rFonts w:ascii="Arial" w:hAnsi="Arial" w:cs="Arial"/>
          <w:i/>
          <w:iCs/>
          <w:color w:val="000000"/>
          <w:sz w:val="18"/>
          <w:szCs w:val="22"/>
          <w:lang w:val="es-ES_tradnl" w:eastAsia="es-CO"/>
        </w:rPr>
      </w:pPr>
      <w:r w:rsidRPr="00E46D41">
        <w:rPr>
          <w:rFonts w:ascii="Arial" w:hAnsi="Arial" w:cs="Arial"/>
          <w:i/>
          <w:iCs/>
          <w:color w:val="000000"/>
          <w:sz w:val="18"/>
          <w:szCs w:val="22"/>
          <w:lang w:val="es-ES_tradnl" w:eastAsia="es-CO"/>
        </w:rPr>
        <w:t>Los factores de aporte solidario para los Servicios Públicos de Acueducto, Alcantarillado y Aseo a que hace referencia el artículo 2 de la Ley 632 de 2000 serán como mínimo los siguientes: suscriptores residenciales de estrato 5: cincuenta por ciento (50 %); suscriptores residenciales de estrato 6: sesenta por ciento (60 %); suscriptores comerciales: cincuenta por ciento (50 %); suscriptores industriales: treinta por ciento (30 %)</w:t>
      </w:r>
      <w:r w:rsidRPr="00E46D41">
        <w:rPr>
          <w:rFonts w:ascii="Arial" w:hAnsi="Arial" w:cs="Arial"/>
          <w:iCs/>
          <w:color w:val="000000"/>
          <w:sz w:val="18"/>
          <w:szCs w:val="22"/>
          <w:lang w:val="es-ES_tradnl" w:eastAsia="es-CO"/>
        </w:rPr>
        <w:t>”</w:t>
      </w:r>
    </w:p>
    <w:p w:rsidR="00D75790" w:rsidRPr="00DC371E"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Pr="00DC371E" w:rsidRDefault="00D75790" w:rsidP="00D75790">
      <w:pPr>
        <w:spacing w:before="100" w:beforeAutospacing="1" w:after="119"/>
        <w:contextualSpacing/>
        <w:jc w:val="both"/>
        <w:rPr>
          <w:rFonts w:ascii="Arial" w:hAnsi="Arial" w:cs="Arial"/>
          <w:color w:val="000000"/>
          <w:sz w:val="22"/>
          <w:szCs w:val="22"/>
          <w:lang w:val="es-ES_tradnl" w:eastAsia="es-CO"/>
        </w:rPr>
      </w:pPr>
      <w:r w:rsidRPr="00DC371E">
        <w:rPr>
          <w:rFonts w:ascii="Arial" w:hAnsi="Arial" w:cs="Arial"/>
          <w:color w:val="000000"/>
          <w:sz w:val="22"/>
          <w:szCs w:val="22"/>
          <w:lang w:val="es-ES_tradnl" w:eastAsia="es-CO"/>
        </w:rPr>
        <w:t>Por su parte, el parágrafo 1 del artículo 125 de la Ley 1450 de 2011 hace referencia a que los factores de subsidios y contribuciones aprobados por los respectivos concejos municipales tendrán una vigencia igual a cinco (5) años</w:t>
      </w:r>
      <w:r>
        <w:rPr>
          <w:rFonts w:ascii="Arial" w:hAnsi="Arial" w:cs="Arial"/>
          <w:color w:val="000000"/>
          <w:sz w:val="22"/>
          <w:szCs w:val="22"/>
          <w:lang w:val="es-ES_tradnl" w:eastAsia="es-CO"/>
        </w:rPr>
        <w:t>;</w:t>
      </w:r>
      <w:r w:rsidRPr="00DC371E">
        <w:rPr>
          <w:rFonts w:ascii="Arial" w:hAnsi="Arial" w:cs="Arial"/>
          <w:color w:val="000000"/>
          <w:sz w:val="22"/>
          <w:szCs w:val="22"/>
          <w:lang w:val="es-ES_tradnl" w:eastAsia="es-CO"/>
        </w:rPr>
        <w:t xml:space="preserve"> no obstante, estos factores podrán ser modificados antes del término citado, cuando varíen las condiciones para garantizar el equilibrio entre subsidios y contribuciones.</w:t>
      </w:r>
    </w:p>
    <w:p w:rsidR="00D75790" w:rsidRPr="00DC371E"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El 20 de diciembre de 2019 fue expedida la Ordenanza 015 en la cual se establecieron los factores de subsidios y contribuciones en los Servicios Públicos Domiciliarios de AAA.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Los porcentajes de subsidios y contribuciones contenidos en la Ordenanza 015 de 2019 fueron:</w:t>
      </w:r>
    </w:p>
    <w:p w:rsidR="00D75790" w:rsidRPr="00DC371E" w:rsidRDefault="00D75790" w:rsidP="00D75790">
      <w:pPr>
        <w:contextualSpacing/>
        <w:rPr>
          <w:rFonts w:ascii="Arial" w:hAnsi="Arial" w:cs="Arial"/>
          <w:lang w:val="es-ES_tradnl"/>
        </w:rPr>
      </w:pPr>
    </w:p>
    <w:p w:rsidR="00D75790" w:rsidRPr="00E46D41" w:rsidRDefault="00D75790" w:rsidP="00D75790">
      <w:pPr>
        <w:contextualSpacing/>
        <w:jc w:val="center"/>
        <w:rPr>
          <w:rFonts w:ascii="Arial" w:hAnsi="Arial" w:cs="Arial"/>
          <w:b/>
          <w:bCs/>
          <w:sz w:val="20"/>
          <w:szCs w:val="22"/>
          <w:lang w:val="es-ES_tradnl"/>
        </w:rPr>
      </w:pPr>
      <w:r w:rsidRPr="00E46D41">
        <w:rPr>
          <w:rFonts w:ascii="Arial" w:hAnsi="Arial" w:cs="Arial"/>
          <w:b/>
          <w:bCs/>
          <w:sz w:val="20"/>
          <w:szCs w:val="22"/>
          <w:lang w:val="es-ES_tradnl"/>
        </w:rPr>
        <w:t>TABLA 20 SUBSIDIOS Y CONTRIBUCIONES AAA</w:t>
      </w:r>
    </w:p>
    <w:tbl>
      <w:tblPr>
        <w:tblStyle w:val="Tablaconcuadrcula"/>
        <w:tblW w:w="0" w:type="auto"/>
        <w:jc w:val="center"/>
        <w:tblLook w:val="04A0" w:firstRow="1" w:lastRow="0" w:firstColumn="1" w:lastColumn="0" w:noHBand="0" w:noVBand="1"/>
      </w:tblPr>
      <w:tblGrid>
        <w:gridCol w:w="2066"/>
        <w:gridCol w:w="1254"/>
        <w:gridCol w:w="1539"/>
        <w:gridCol w:w="1137"/>
      </w:tblGrid>
      <w:tr w:rsidR="00D75790" w:rsidRPr="00DC371E" w:rsidTr="00695E54">
        <w:trPr>
          <w:jc w:val="center"/>
        </w:trPr>
        <w:tc>
          <w:tcPr>
            <w:tcW w:w="2066" w:type="dxa"/>
            <w:shd w:val="clear" w:color="auto" w:fill="DBE5F1" w:themeFill="accent1" w:themeFillTint="33"/>
            <w:hideMark/>
          </w:tcPr>
          <w:p w:rsidR="00D75790" w:rsidRPr="00DC371E" w:rsidRDefault="00D75790" w:rsidP="00695E54">
            <w:pPr>
              <w:contextualSpacing/>
              <w:jc w:val="center"/>
              <w:rPr>
                <w:rFonts w:ascii="Arial" w:hAnsi="Arial" w:cs="Arial"/>
                <w:b/>
                <w:sz w:val="20"/>
                <w:szCs w:val="20"/>
                <w:lang w:val="es-ES_tradnl"/>
              </w:rPr>
            </w:pPr>
            <w:r w:rsidRPr="00DC371E">
              <w:rPr>
                <w:rFonts w:ascii="Arial" w:hAnsi="Arial" w:cs="Arial"/>
                <w:b/>
                <w:sz w:val="20"/>
                <w:szCs w:val="20"/>
                <w:lang w:val="es-ES_tradnl"/>
              </w:rPr>
              <w:t>Uso</w:t>
            </w:r>
          </w:p>
        </w:tc>
        <w:tc>
          <w:tcPr>
            <w:tcW w:w="1254" w:type="dxa"/>
            <w:shd w:val="clear" w:color="auto" w:fill="DBE5F1" w:themeFill="accent1" w:themeFillTint="33"/>
            <w:hideMark/>
          </w:tcPr>
          <w:p w:rsidR="00D75790" w:rsidRPr="00DC371E" w:rsidRDefault="00D75790" w:rsidP="00695E54">
            <w:pPr>
              <w:contextualSpacing/>
              <w:jc w:val="center"/>
              <w:rPr>
                <w:rFonts w:ascii="Arial" w:hAnsi="Arial" w:cs="Arial"/>
                <w:b/>
                <w:sz w:val="20"/>
                <w:szCs w:val="20"/>
                <w:lang w:val="es-ES_tradnl"/>
              </w:rPr>
            </w:pPr>
            <w:r w:rsidRPr="00DC371E">
              <w:rPr>
                <w:rFonts w:ascii="Arial" w:hAnsi="Arial" w:cs="Arial"/>
                <w:b/>
                <w:sz w:val="20"/>
                <w:szCs w:val="20"/>
                <w:lang w:val="es-ES_tradnl"/>
              </w:rPr>
              <w:t>Acueducto</w:t>
            </w:r>
          </w:p>
        </w:tc>
        <w:tc>
          <w:tcPr>
            <w:tcW w:w="1515" w:type="dxa"/>
            <w:shd w:val="clear" w:color="auto" w:fill="DBE5F1" w:themeFill="accent1" w:themeFillTint="33"/>
            <w:hideMark/>
          </w:tcPr>
          <w:p w:rsidR="00D75790" w:rsidRPr="00DC371E" w:rsidRDefault="00D75790" w:rsidP="00695E54">
            <w:pPr>
              <w:contextualSpacing/>
              <w:jc w:val="center"/>
              <w:rPr>
                <w:rFonts w:ascii="Arial" w:hAnsi="Arial" w:cs="Arial"/>
                <w:b/>
                <w:sz w:val="20"/>
                <w:szCs w:val="20"/>
                <w:lang w:val="es-ES_tradnl"/>
              </w:rPr>
            </w:pPr>
            <w:r w:rsidRPr="00DC371E">
              <w:rPr>
                <w:rFonts w:ascii="Arial" w:hAnsi="Arial" w:cs="Arial"/>
                <w:b/>
                <w:sz w:val="20"/>
                <w:szCs w:val="20"/>
                <w:lang w:val="es-ES_tradnl"/>
              </w:rPr>
              <w:t>Alcantarillado</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b/>
                <w:sz w:val="20"/>
                <w:szCs w:val="20"/>
                <w:lang w:val="es-ES_tradnl"/>
              </w:rPr>
            </w:pPr>
            <w:r w:rsidRPr="00DC371E">
              <w:rPr>
                <w:rFonts w:ascii="Arial" w:hAnsi="Arial" w:cs="Arial"/>
                <w:b/>
                <w:sz w:val="20"/>
                <w:szCs w:val="20"/>
                <w:lang w:val="es-ES_tradnl"/>
              </w:rPr>
              <w:t>Aseo</w:t>
            </w:r>
          </w:p>
        </w:tc>
      </w:tr>
      <w:tr w:rsidR="00D75790" w:rsidRPr="00DC371E" w:rsidTr="00695E54">
        <w:trPr>
          <w:jc w:val="center"/>
        </w:trPr>
        <w:tc>
          <w:tcPr>
            <w:tcW w:w="5972" w:type="dxa"/>
            <w:gridSpan w:val="4"/>
            <w:shd w:val="clear" w:color="auto" w:fill="DBE5F1" w:themeFill="accent1" w:themeFillTint="33"/>
            <w:hideMark/>
          </w:tcPr>
          <w:p w:rsidR="00D75790" w:rsidRPr="00DC371E" w:rsidRDefault="00D75790" w:rsidP="00695E54">
            <w:pPr>
              <w:contextualSpacing/>
              <w:jc w:val="center"/>
              <w:rPr>
                <w:rFonts w:ascii="Arial" w:hAnsi="Arial" w:cs="Arial"/>
                <w:b/>
                <w:sz w:val="20"/>
                <w:szCs w:val="20"/>
                <w:lang w:val="es-ES_tradnl"/>
              </w:rPr>
            </w:pPr>
            <w:r w:rsidRPr="00DC371E">
              <w:rPr>
                <w:rFonts w:ascii="Arial" w:hAnsi="Arial" w:cs="Arial"/>
                <w:b/>
                <w:sz w:val="20"/>
                <w:szCs w:val="20"/>
                <w:lang w:val="es-ES_tradnl"/>
              </w:rPr>
              <w:t>Subsidios</w:t>
            </w:r>
            <w:r w:rsidRPr="00DC371E">
              <w:rPr>
                <w:rFonts w:ascii="Arial" w:hAnsi="Arial" w:cs="Arial"/>
                <w:b/>
                <w:sz w:val="20"/>
                <w:szCs w:val="20"/>
                <w:lang w:val="es-ES_tradnl"/>
              </w:rPr>
              <w:br/>
            </w:r>
          </w:p>
        </w:tc>
      </w:tr>
      <w:tr w:rsidR="00D75790" w:rsidRPr="00DC371E" w:rsidTr="00695E54">
        <w:trPr>
          <w:jc w:val="center"/>
        </w:trPr>
        <w:tc>
          <w:tcPr>
            <w:tcW w:w="2066" w:type="dxa"/>
            <w:shd w:val="clear" w:color="auto" w:fill="DBE5F1" w:themeFill="accent1" w:themeFillTint="33"/>
            <w:hideMark/>
          </w:tcPr>
          <w:p w:rsidR="00D75790" w:rsidRPr="00DC371E" w:rsidRDefault="00D75790" w:rsidP="00695E54">
            <w:pPr>
              <w:contextualSpacing/>
              <w:rPr>
                <w:rFonts w:ascii="Arial" w:hAnsi="Arial" w:cs="Arial"/>
                <w:sz w:val="20"/>
                <w:szCs w:val="20"/>
                <w:lang w:val="es-ES_tradnl"/>
              </w:rPr>
            </w:pPr>
            <w:r w:rsidRPr="00DC371E">
              <w:rPr>
                <w:rFonts w:ascii="Arial" w:hAnsi="Arial" w:cs="Arial"/>
                <w:sz w:val="20"/>
                <w:szCs w:val="20"/>
                <w:lang w:val="es-ES_tradnl"/>
              </w:rPr>
              <w:t>Residencial 1</w:t>
            </w:r>
          </w:p>
        </w:tc>
        <w:tc>
          <w:tcPr>
            <w:tcW w:w="1254"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85 %</w:t>
            </w:r>
          </w:p>
        </w:tc>
        <w:tc>
          <w:tcPr>
            <w:tcW w:w="1515"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82 %</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50 %</w:t>
            </w:r>
          </w:p>
        </w:tc>
      </w:tr>
      <w:tr w:rsidR="00D75790" w:rsidRPr="00DC371E" w:rsidTr="00695E54">
        <w:trPr>
          <w:jc w:val="center"/>
        </w:trPr>
        <w:tc>
          <w:tcPr>
            <w:tcW w:w="2066" w:type="dxa"/>
            <w:shd w:val="clear" w:color="auto" w:fill="DBE5F1" w:themeFill="accent1" w:themeFillTint="33"/>
            <w:hideMark/>
          </w:tcPr>
          <w:p w:rsidR="00D75790" w:rsidRPr="00DC371E" w:rsidRDefault="00D75790" w:rsidP="00695E54">
            <w:pPr>
              <w:contextualSpacing/>
              <w:rPr>
                <w:rFonts w:ascii="Arial" w:hAnsi="Arial" w:cs="Arial"/>
                <w:sz w:val="20"/>
                <w:szCs w:val="20"/>
                <w:lang w:val="es-ES_tradnl"/>
              </w:rPr>
            </w:pPr>
            <w:r w:rsidRPr="00DC371E">
              <w:rPr>
                <w:rFonts w:ascii="Arial" w:hAnsi="Arial" w:cs="Arial"/>
                <w:sz w:val="20"/>
                <w:szCs w:val="20"/>
                <w:lang w:val="es-ES_tradnl"/>
              </w:rPr>
              <w:t>Residencial 2</w:t>
            </w:r>
          </w:p>
        </w:tc>
        <w:tc>
          <w:tcPr>
            <w:tcW w:w="1254"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83 %</w:t>
            </w:r>
          </w:p>
        </w:tc>
        <w:tc>
          <w:tcPr>
            <w:tcW w:w="1515"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79 %</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40 %</w:t>
            </w:r>
          </w:p>
        </w:tc>
      </w:tr>
      <w:tr w:rsidR="00D75790" w:rsidRPr="00DC371E" w:rsidTr="00695E54">
        <w:trPr>
          <w:jc w:val="center"/>
        </w:trPr>
        <w:tc>
          <w:tcPr>
            <w:tcW w:w="2066" w:type="dxa"/>
            <w:shd w:val="clear" w:color="auto" w:fill="DBE5F1" w:themeFill="accent1" w:themeFillTint="33"/>
            <w:hideMark/>
          </w:tcPr>
          <w:p w:rsidR="00D75790" w:rsidRPr="00DC371E" w:rsidRDefault="00D75790" w:rsidP="00695E54">
            <w:pPr>
              <w:contextualSpacing/>
              <w:rPr>
                <w:rFonts w:ascii="Arial" w:hAnsi="Arial" w:cs="Arial"/>
                <w:sz w:val="20"/>
                <w:szCs w:val="20"/>
                <w:lang w:val="es-ES_tradnl"/>
              </w:rPr>
            </w:pPr>
            <w:r w:rsidRPr="00DC371E">
              <w:rPr>
                <w:rFonts w:ascii="Arial" w:hAnsi="Arial" w:cs="Arial"/>
                <w:sz w:val="20"/>
                <w:szCs w:val="20"/>
                <w:lang w:val="es-ES_tradnl"/>
              </w:rPr>
              <w:t>Residencial 3</w:t>
            </w:r>
          </w:p>
        </w:tc>
        <w:tc>
          <w:tcPr>
            <w:tcW w:w="1254"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74 %</w:t>
            </w:r>
          </w:p>
        </w:tc>
        <w:tc>
          <w:tcPr>
            <w:tcW w:w="1515"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70 %</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15 %</w:t>
            </w:r>
          </w:p>
        </w:tc>
      </w:tr>
      <w:tr w:rsidR="00D75790" w:rsidRPr="00DC371E" w:rsidTr="00695E54">
        <w:trPr>
          <w:jc w:val="center"/>
        </w:trPr>
        <w:tc>
          <w:tcPr>
            <w:tcW w:w="5972" w:type="dxa"/>
            <w:gridSpan w:val="4"/>
            <w:shd w:val="clear" w:color="auto" w:fill="DBE5F1" w:themeFill="accent1" w:themeFillTint="33"/>
            <w:hideMark/>
          </w:tcPr>
          <w:p w:rsidR="00D75790" w:rsidRPr="00DC371E" w:rsidRDefault="00D75790" w:rsidP="00695E54">
            <w:pPr>
              <w:contextualSpacing/>
              <w:jc w:val="center"/>
              <w:rPr>
                <w:rFonts w:ascii="Arial" w:hAnsi="Arial" w:cs="Arial"/>
                <w:b/>
                <w:sz w:val="20"/>
                <w:szCs w:val="20"/>
                <w:lang w:val="es-ES_tradnl"/>
              </w:rPr>
            </w:pPr>
            <w:r w:rsidRPr="00DC371E">
              <w:rPr>
                <w:rFonts w:ascii="Arial" w:hAnsi="Arial" w:cs="Arial"/>
                <w:b/>
                <w:sz w:val="20"/>
                <w:szCs w:val="20"/>
                <w:lang w:val="es-ES_tradnl"/>
              </w:rPr>
              <w:t>Contribuciones</w:t>
            </w:r>
          </w:p>
        </w:tc>
      </w:tr>
      <w:tr w:rsidR="00D75790" w:rsidRPr="00DC371E" w:rsidTr="00695E54">
        <w:trPr>
          <w:jc w:val="center"/>
        </w:trPr>
        <w:tc>
          <w:tcPr>
            <w:tcW w:w="2066" w:type="dxa"/>
            <w:shd w:val="clear" w:color="auto" w:fill="DBE5F1" w:themeFill="accent1" w:themeFillTint="33"/>
            <w:hideMark/>
          </w:tcPr>
          <w:p w:rsidR="00D75790" w:rsidRPr="00DC371E" w:rsidRDefault="00D75790" w:rsidP="00695E54">
            <w:pPr>
              <w:contextualSpacing/>
              <w:rPr>
                <w:rFonts w:ascii="Arial" w:hAnsi="Arial" w:cs="Arial"/>
                <w:sz w:val="20"/>
                <w:szCs w:val="20"/>
                <w:lang w:val="es-ES_tradnl"/>
              </w:rPr>
            </w:pPr>
            <w:r w:rsidRPr="00DC371E">
              <w:rPr>
                <w:rFonts w:ascii="Arial" w:hAnsi="Arial" w:cs="Arial"/>
                <w:sz w:val="20"/>
                <w:szCs w:val="20"/>
                <w:lang w:val="es-ES_tradnl"/>
              </w:rPr>
              <w:t>Residencial 5 y 6</w:t>
            </w:r>
          </w:p>
        </w:tc>
        <w:tc>
          <w:tcPr>
            <w:tcW w:w="1254"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25 %</w:t>
            </w:r>
          </w:p>
        </w:tc>
        <w:tc>
          <w:tcPr>
            <w:tcW w:w="1515"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25 %</w:t>
            </w:r>
          </w:p>
        </w:tc>
        <w:tc>
          <w:tcPr>
            <w:tcW w:w="1137" w:type="dxa"/>
            <w:shd w:val="clear" w:color="auto" w:fill="DBE5F1" w:themeFill="accent1" w:themeFillTint="33"/>
          </w:tcPr>
          <w:p w:rsidR="00D75790" w:rsidRPr="00DC371E" w:rsidRDefault="00D75790" w:rsidP="00695E54">
            <w:pPr>
              <w:contextualSpacing/>
              <w:jc w:val="center"/>
              <w:rPr>
                <w:rFonts w:ascii="Arial" w:hAnsi="Arial" w:cs="Arial"/>
                <w:sz w:val="20"/>
                <w:szCs w:val="20"/>
                <w:lang w:val="es-ES_tradnl"/>
              </w:rPr>
            </w:pPr>
          </w:p>
        </w:tc>
      </w:tr>
      <w:tr w:rsidR="00D75790" w:rsidRPr="00DC371E" w:rsidTr="00695E54">
        <w:trPr>
          <w:jc w:val="center"/>
        </w:trPr>
        <w:tc>
          <w:tcPr>
            <w:tcW w:w="2066" w:type="dxa"/>
            <w:shd w:val="clear" w:color="auto" w:fill="DBE5F1" w:themeFill="accent1" w:themeFillTint="33"/>
            <w:hideMark/>
          </w:tcPr>
          <w:p w:rsidR="00D75790" w:rsidRPr="00DC371E" w:rsidRDefault="00D75790" w:rsidP="00695E54">
            <w:pPr>
              <w:contextualSpacing/>
              <w:rPr>
                <w:rFonts w:ascii="Arial" w:hAnsi="Arial" w:cs="Arial"/>
                <w:sz w:val="20"/>
                <w:szCs w:val="20"/>
                <w:lang w:val="es-ES_tradnl"/>
              </w:rPr>
            </w:pPr>
            <w:r w:rsidRPr="00DC371E">
              <w:rPr>
                <w:rFonts w:ascii="Arial" w:hAnsi="Arial" w:cs="Arial"/>
                <w:sz w:val="20"/>
                <w:szCs w:val="20"/>
                <w:lang w:val="es-ES_tradnl"/>
              </w:rPr>
              <w:t>Comercial e Industrial</w:t>
            </w:r>
          </w:p>
        </w:tc>
        <w:tc>
          <w:tcPr>
            <w:tcW w:w="1254"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25 %</w:t>
            </w:r>
          </w:p>
        </w:tc>
        <w:tc>
          <w:tcPr>
            <w:tcW w:w="1515" w:type="dxa"/>
            <w:shd w:val="clear" w:color="auto" w:fill="DBE5F1" w:themeFill="accent1" w:themeFillTint="33"/>
            <w:hideMark/>
          </w:tcPr>
          <w:p w:rsidR="00D75790" w:rsidRPr="00DC371E" w:rsidRDefault="00D75790" w:rsidP="00695E54">
            <w:pPr>
              <w:contextualSpacing/>
              <w:jc w:val="center"/>
              <w:rPr>
                <w:rFonts w:ascii="Arial" w:hAnsi="Arial" w:cs="Arial"/>
                <w:sz w:val="20"/>
                <w:szCs w:val="20"/>
                <w:lang w:val="es-ES_tradnl"/>
              </w:rPr>
            </w:pPr>
            <w:r w:rsidRPr="00DC371E">
              <w:rPr>
                <w:rFonts w:ascii="Arial" w:hAnsi="Arial" w:cs="Arial"/>
                <w:sz w:val="20"/>
                <w:szCs w:val="20"/>
                <w:lang w:val="es-ES_tradnl"/>
              </w:rPr>
              <w:t>25 %</w:t>
            </w:r>
          </w:p>
        </w:tc>
        <w:tc>
          <w:tcPr>
            <w:tcW w:w="1137" w:type="dxa"/>
            <w:shd w:val="clear" w:color="auto" w:fill="DBE5F1" w:themeFill="accent1" w:themeFillTint="33"/>
          </w:tcPr>
          <w:p w:rsidR="00D75790" w:rsidRPr="00DC371E" w:rsidRDefault="00D75790" w:rsidP="00695E54">
            <w:pPr>
              <w:contextualSpacing/>
              <w:jc w:val="center"/>
              <w:rPr>
                <w:rFonts w:ascii="Arial" w:hAnsi="Arial" w:cs="Arial"/>
                <w:sz w:val="20"/>
                <w:szCs w:val="20"/>
                <w:lang w:val="es-ES_tradnl"/>
              </w:rPr>
            </w:pPr>
          </w:p>
        </w:tc>
      </w:tr>
    </w:tbl>
    <w:p w:rsidR="00D75790" w:rsidRPr="00DC371E" w:rsidRDefault="00D75790" w:rsidP="00D75790">
      <w:pPr>
        <w:contextualSpacing/>
        <w:rPr>
          <w:rFonts w:ascii="Arial" w:hAnsi="Arial" w:cs="Arial"/>
          <w:lang w:val="es-ES_tradnl"/>
        </w:rPr>
      </w:pPr>
    </w:p>
    <w:p w:rsidR="00D75790" w:rsidRDefault="00D75790" w:rsidP="00D75790">
      <w:pPr>
        <w:contextualSpacing/>
        <w:jc w:val="both"/>
        <w:rPr>
          <w:rFonts w:ascii="Arial" w:hAnsi="Arial" w:cs="Arial"/>
          <w:i/>
          <w:iCs/>
          <w:sz w:val="22"/>
          <w:szCs w:val="22"/>
          <w:lang w:val="es-ES_tradnl"/>
        </w:rPr>
      </w:pPr>
      <w:r w:rsidRPr="00DC371E">
        <w:rPr>
          <w:rFonts w:ascii="Arial" w:hAnsi="Arial" w:cs="Arial"/>
          <w:sz w:val="22"/>
          <w:szCs w:val="22"/>
          <w:lang w:val="es-ES_tradnl"/>
        </w:rPr>
        <w:lastRenderedPageBreak/>
        <w:t xml:space="preserve">En la Ordenanza No. 015 del 20 de diciembre de 2019 </w:t>
      </w:r>
      <w:r w:rsidRPr="00DC371E">
        <w:rPr>
          <w:rFonts w:ascii="Arial" w:hAnsi="Arial" w:cs="Arial"/>
          <w:i/>
          <w:iCs/>
          <w:sz w:val="22"/>
          <w:szCs w:val="22"/>
          <w:lang w:val="es-ES_tradnl"/>
        </w:rPr>
        <w:t>“Por el cual se establecen los porcentajes a subsidiar a los estratos 1, 2 y 3 y los factores de contribución para los estratos 5 y 6, y usos comerciales e industrial</w:t>
      </w: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i/>
          <w:iCs/>
          <w:sz w:val="22"/>
          <w:szCs w:val="22"/>
          <w:lang w:val="es-ES_tradnl"/>
        </w:rPr>
        <w:t xml:space="preserve">es de los servicios públicos domiciliarios de acueducto y alcantarillado en San Andrés Isla”, </w:t>
      </w:r>
      <w:r w:rsidRPr="00DC371E">
        <w:rPr>
          <w:rFonts w:ascii="Arial" w:hAnsi="Arial" w:cs="Arial"/>
          <w:sz w:val="22"/>
          <w:szCs w:val="22"/>
          <w:lang w:val="es-ES_tradnl"/>
        </w:rPr>
        <w:t>se pudo evidenciar lo siguiente:</w:t>
      </w:r>
    </w:p>
    <w:p w:rsidR="00D75790" w:rsidRPr="00DC371E" w:rsidRDefault="00D75790" w:rsidP="00D75790">
      <w:pPr>
        <w:ind w:left="294"/>
        <w:contextualSpacing/>
        <w:jc w:val="both"/>
        <w:rPr>
          <w:rFonts w:ascii="Arial" w:hAnsi="Arial" w:cs="Arial"/>
          <w:sz w:val="22"/>
          <w:szCs w:val="22"/>
          <w:lang w:val="es-ES_tradnl"/>
        </w:rPr>
      </w:pPr>
    </w:p>
    <w:p w:rsidR="00D75790" w:rsidRPr="00DC371E" w:rsidRDefault="00D75790" w:rsidP="00D75790">
      <w:pPr>
        <w:numPr>
          <w:ilvl w:val="0"/>
          <w:numId w:val="3"/>
        </w:numPr>
        <w:contextualSpacing/>
        <w:jc w:val="both"/>
        <w:rPr>
          <w:rFonts w:ascii="Arial" w:hAnsi="Arial" w:cs="Arial"/>
          <w:sz w:val="22"/>
          <w:szCs w:val="22"/>
          <w:lang w:val="es-ES_tradnl"/>
        </w:rPr>
      </w:pPr>
      <w:r w:rsidRPr="00DC371E">
        <w:rPr>
          <w:rFonts w:ascii="Arial" w:hAnsi="Arial" w:cs="Arial"/>
          <w:sz w:val="22"/>
          <w:szCs w:val="22"/>
          <w:lang w:val="es-ES_tradnl"/>
        </w:rPr>
        <w:t>Los porcentajes de subsidios de los Servicios de Acueducto y Alcantarillado para el uso residencial de los estratos 1,</w:t>
      </w:r>
      <w:r>
        <w:rPr>
          <w:rFonts w:ascii="Arial" w:hAnsi="Arial" w:cs="Arial"/>
          <w:sz w:val="22"/>
          <w:szCs w:val="22"/>
          <w:lang w:val="es-ES_tradnl"/>
        </w:rPr>
        <w:t xml:space="preserve"> </w:t>
      </w:r>
      <w:r w:rsidRPr="00DC371E">
        <w:rPr>
          <w:rFonts w:ascii="Arial" w:hAnsi="Arial" w:cs="Arial"/>
          <w:sz w:val="22"/>
          <w:szCs w:val="22"/>
          <w:lang w:val="es-ES_tradnl"/>
        </w:rPr>
        <w:t>2 y 3, exceden los porcentajes máximos establecidos en el artículo 125 de la Ley 1450 de 2011.</w:t>
      </w:r>
    </w:p>
    <w:p w:rsidR="00D75790" w:rsidRPr="00DC371E" w:rsidRDefault="00D75790" w:rsidP="00D75790">
      <w:pPr>
        <w:numPr>
          <w:ilvl w:val="0"/>
          <w:numId w:val="3"/>
        </w:numPr>
        <w:contextualSpacing/>
        <w:jc w:val="both"/>
        <w:rPr>
          <w:rFonts w:ascii="Arial" w:hAnsi="Arial" w:cs="Arial"/>
          <w:sz w:val="22"/>
          <w:szCs w:val="22"/>
          <w:lang w:val="es-ES_tradnl"/>
        </w:rPr>
      </w:pPr>
      <w:r w:rsidRPr="00DC371E">
        <w:rPr>
          <w:rFonts w:ascii="Arial" w:hAnsi="Arial" w:cs="Arial"/>
          <w:sz w:val="22"/>
          <w:szCs w:val="22"/>
          <w:lang w:val="es-ES_tradnl"/>
        </w:rPr>
        <w:t>Los porcentajes de contribución están por debajo de los mínimos establecidos en el artículo 125 de la Ley 1450 de 2011.</w:t>
      </w:r>
    </w:p>
    <w:p w:rsidR="00D75790" w:rsidRPr="00DC371E" w:rsidRDefault="00D75790" w:rsidP="00D75790">
      <w:pPr>
        <w:numPr>
          <w:ilvl w:val="0"/>
          <w:numId w:val="3"/>
        </w:numPr>
        <w:contextualSpacing/>
        <w:jc w:val="both"/>
        <w:rPr>
          <w:rFonts w:ascii="Arial" w:hAnsi="Arial" w:cs="Arial"/>
          <w:sz w:val="22"/>
          <w:szCs w:val="22"/>
          <w:lang w:val="es-ES_tradnl"/>
        </w:rPr>
      </w:pPr>
      <w:r w:rsidRPr="00DC371E">
        <w:rPr>
          <w:rFonts w:ascii="Arial" w:hAnsi="Arial" w:cs="Arial"/>
          <w:sz w:val="22"/>
          <w:szCs w:val="22"/>
          <w:lang w:val="es-ES_tradnl"/>
        </w:rPr>
        <w:t>La Ordenanza 015 de 2019 señaló que el Departamento cubrirá hasta el 70 % del valor asignado del SGP - APSB y lo demás deberá ser asumido por el Operador lo que demuestra una falta de planeación respecto a la necesidad de subsidios.</w:t>
      </w:r>
    </w:p>
    <w:p w:rsidR="00D75790" w:rsidRPr="00DC371E" w:rsidRDefault="00D75790" w:rsidP="00D75790">
      <w:pPr>
        <w:pStyle w:val="Prrafodelista"/>
        <w:numPr>
          <w:ilvl w:val="0"/>
          <w:numId w:val="3"/>
        </w:numPr>
        <w:spacing w:before="100" w:beforeAutospacing="1" w:after="119"/>
        <w:jc w:val="both"/>
        <w:rPr>
          <w:rFonts w:ascii="Arial" w:hAnsi="Arial" w:cs="Arial"/>
          <w:color w:val="000000"/>
          <w:sz w:val="22"/>
          <w:szCs w:val="22"/>
          <w:lang w:val="es-ES_tradnl" w:eastAsia="es-CO"/>
        </w:rPr>
      </w:pPr>
      <w:r w:rsidRPr="00DC371E">
        <w:rPr>
          <w:rFonts w:ascii="Arial" w:hAnsi="Arial" w:cs="Arial"/>
          <w:sz w:val="22"/>
          <w:szCs w:val="22"/>
          <w:lang w:val="es-ES_tradnl"/>
        </w:rPr>
        <w:t xml:space="preserve">La Ordenanza 015 del 20 de diciembre de 2019, no estableció los porcentajes de la contribución solidaria para la prestación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seo en los predios de uso residencial de estratos 5 y 6, ni en los predios de uso comercial ni industrial.</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este sentido, la Entidad Territorial no acata las condiciones para la focalización del gasto social, establecidas en el artículo 125 de la Ley 1450 de 2011 relacionada con los límites de asignaciones de subsidios para los Servicios Públicos de Acueducto y Alcantarillado.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También desatiende lo concerniente con las contribuciones solidarias del mismo artículo 125 de la Ley 1450 de 2011, relacionada con los porcentajes mínimos de asignación en los usuarios residencias de estratos 5 y 6 y de usos industriales y comerciales, ya que no estableció porcentajes de aportes en la prestación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seo.</w:t>
      </w: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En el informe elaborado por el MVCT de mayo de 2021, manifestó que en el transcurso de 2020 se presentó un nuevo proyecto de ordenanza a la Asamblea, pero este no fue aprobado.</w:t>
      </w:r>
    </w:p>
    <w:p w:rsidR="00D75790" w:rsidRPr="00DC371E" w:rsidRDefault="00D75790" w:rsidP="00D75790">
      <w:pPr>
        <w:shd w:val="clear" w:color="auto" w:fill="FFFFFF"/>
        <w:spacing w:before="100" w:beforeAutospacing="1" w:after="119"/>
        <w:contextualSpacing/>
        <w:jc w:val="both"/>
        <w:rPr>
          <w:rFonts w:ascii="Arial" w:hAnsi="Arial" w:cs="Arial"/>
          <w:sz w:val="22"/>
          <w:szCs w:val="22"/>
          <w:lang w:val="es-ES_tradnl"/>
        </w:rPr>
      </w:pPr>
    </w:p>
    <w:p w:rsidR="00D75790" w:rsidRPr="00DC371E" w:rsidRDefault="00D75790" w:rsidP="00D75790">
      <w:pPr>
        <w:pStyle w:val="Prrafodelista"/>
        <w:numPr>
          <w:ilvl w:val="1"/>
          <w:numId w:val="17"/>
        </w:numPr>
        <w:tabs>
          <w:tab w:val="center" w:pos="1418"/>
        </w:tabs>
        <w:jc w:val="both"/>
        <w:rPr>
          <w:rFonts w:ascii="Arial" w:hAnsi="Arial" w:cs="Arial"/>
          <w:b/>
          <w:sz w:val="22"/>
          <w:szCs w:val="22"/>
          <w:lang w:val="es-ES_tradnl"/>
        </w:rPr>
      </w:pPr>
      <w:r w:rsidRPr="00DC371E">
        <w:rPr>
          <w:rFonts w:ascii="Arial" w:hAnsi="Arial" w:cs="Arial"/>
          <w:b/>
          <w:sz w:val="22"/>
          <w:szCs w:val="22"/>
          <w:lang w:val="es-ES_tradnl"/>
        </w:rPr>
        <w:t>ESTRATIFICACIÓN.</w:t>
      </w:r>
    </w:p>
    <w:p w:rsidR="00D75790" w:rsidRPr="00DC371E" w:rsidRDefault="00D75790" w:rsidP="00D75790">
      <w:pPr>
        <w:contextualSpacing/>
        <w:jc w:val="both"/>
        <w:rPr>
          <w:rFonts w:ascii="Arial" w:hAnsi="Arial" w:cs="Arial"/>
          <w:b/>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estratificación socioeconómica es la clasificación de los inmuebles residenciales que deben recibir servicios públicos. Se realiza principalmente para cobrar de manera diferencial los servicios públicos domiciliarios permitiendo asignar subsidios y cobrar contribuciones en esta área.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El artículo 101.1. de la Ley 142 de 1994, ordenó que es deber de cada municipio clasificar en estratos los inmuebles residenciales que deben recibir Servicios Públicos Domiciliarios. Y es deber indelegable del alcalde realizar la estratificación respectiva.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Por otro lado, el numeral 4 del artículo 101, decretó que en cada municipio existirá una sola estratificación de inmuebles residenciales, aplicable a cada uno de los Servicios Públicos.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lastRenderedPageBreak/>
        <w:t>En relación con la actualización de la estratificación, el artículo 11 de la Ley 505 de 1999, se manifestó en los siguientes términos: Los alcaldes deberán garantizar que las estratificaciones se realicen, se adopten, se apliquen y permanezcan actualizadas a través del Comité Permanente de Estratificación municipal o distrital.</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A través del Decreto 694 del 7 de diciembre de 1995 la Administración Departamental adoptó la estratificación para la zona urbana de la Isla, zonas amenazadas de San Luis, Los Corales, Thompson Well y el corredor lineal de La Loma. También adoptó la estratificación de las fincas y viviendas dispersas en la zona rural de la Isla de San Andrés y el Municipio de Providencia a través del Decreto 268 de 1996.</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rPr>
      </w:pPr>
      <w:r w:rsidRPr="00DC371E">
        <w:rPr>
          <w:rFonts w:ascii="Arial" w:hAnsi="Arial" w:cs="Arial"/>
          <w:sz w:val="22"/>
        </w:rPr>
        <w:t>Por otro lado, adoptó la estratificación socioeconómica en los sectores de Altos del Bigth, Mitchell Hill, Hill Well y Morros Landing con el Decreto 270 del 17 de septiembre de 2002</w:t>
      </w:r>
      <w:r w:rsidRPr="00DC371E">
        <w:rPr>
          <w:rFonts w:ascii="Arial" w:hAnsi="Arial" w:cs="Arial"/>
          <w:sz w:val="22"/>
          <w:szCs w:val="22"/>
        </w:rPr>
        <w:t>, luego</w:t>
      </w:r>
      <w:r w:rsidRPr="00DC371E">
        <w:rPr>
          <w:rFonts w:ascii="Arial" w:hAnsi="Arial" w:cs="Arial"/>
          <w:sz w:val="22"/>
        </w:rPr>
        <w:t xml:space="preserve"> de la expedición del Decreto 694 de 1995, o sea 25 años después, y teniendo en cuenta lo importante que es esta herramienta de focalización de usuarios residenciales, aún no está actualizada.</w:t>
      </w:r>
    </w:p>
    <w:p w:rsidR="00D75790" w:rsidRPr="00DC371E" w:rsidRDefault="00D75790" w:rsidP="00D75790">
      <w:pPr>
        <w:ind w:left="450"/>
        <w:contextualSpacing/>
        <w:jc w:val="both"/>
        <w:rPr>
          <w:rFonts w:ascii="Arial" w:hAnsi="Arial" w:cs="Arial"/>
          <w:b/>
          <w:bCs/>
          <w:iCs/>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En relación con la actualización de la estratificación, el artículo 11 de la Ley 505 de 1999, se manifestó en los siguientes términos: Los alcaldes deberán garantizar que las estratificaciones se realicen, se adopten, se apliquen y permanezcan actualizadas a través del Comité Permanente de Estratificación municipal o distrital.</w:t>
      </w:r>
    </w:p>
    <w:p w:rsidR="00D75790" w:rsidRDefault="00D75790" w:rsidP="00D75790">
      <w:pPr>
        <w:contextualSpacing/>
        <w:jc w:val="both"/>
        <w:rPr>
          <w:rFonts w:ascii="Arial" w:hAnsi="Arial" w:cs="Arial"/>
          <w:bCs/>
          <w:noProof/>
          <w:sz w:val="22"/>
          <w:szCs w:val="20"/>
        </w:rPr>
      </w:pPr>
    </w:p>
    <w:p w:rsidR="00D75790" w:rsidRPr="00DC371E" w:rsidRDefault="00D75790" w:rsidP="00D75790">
      <w:pPr>
        <w:contextualSpacing/>
        <w:jc w:val="both"/>
        <w:rPr>
          <w:rFonts w:ascii="Arial" w:hAnsi="Arial" w:cs="Arial"/>
          <w:bCs/>
          <w:noProof/>
          <w:sz w:val="22"/>
          <w:szCs w:val="20"/>
        </w:rPr>
      </w:pPr>
      <w:r w:rsidRPr="00DC371E">
        <w:rPr>
          <w:rFonts w:ascii="Arial" w:hAnsi="Arial" w:cs="Arial"/>
          <w:bCs/>
          <w:noProof/>
          <w:sz w:val="22"/>
          <w:szCs w:val="20"/>
        </w:rPr>
        <w:t xml:space="preserve">En informe del MVCT radicado el dia 28 de mayo de 2021 bajo el </w:t>
      </w:r>
      <w:r>
        <w:rPr>
          <w:rFonts w:ascii="Arial" w:hAnsi="Arial" w:cs="Arial"/>
          <w:bCs/>
          <w:noProof/>
          <w:sz w:val="22"/>
          <w:szCs w:val="20"/>
        </w:rPr>
        <w:t>número</w:t>
      </w:r>
      <w:r w:rsidRPr="00DC371E">
        <w:rPr>
          <w:rFonts w:ascii="Arial" w:hAnsi="Arial" w:cs="Arial"/>
          <w:bCs/>
          <w:noProof/>
          <w:sz w:val="22"/>
          <w:szCs w:val="20"/>
        </w:rPr>
        <w:t xml:space="preserve"> 1-2021-</w:t>
      </w:r>
      <w:r w:rsidRPr="00DC371E">
        <w:rPr>
          <w:rFonts w:ascii="Arial" w:hAnsi="Arial" w:cs="Arial"/>
          <w:sz w:val="22"/>
          <w:szCs w:val="22"/>
          <w:lang w:val="es-ES_tradnl"/>
        </w:rPr>
        <w:t>046779</w:t>
      </w:r>
      <w:r w:rsidRPr="00DC371E">
        <w:rPr>
          <w:rFonts w:ascii="Arial" w:hAnsi="Arial" w:cs="Arial"/>
          <w:bCs/>
          <w:noProof/>
          <w:sz w:val="22"/>
          <w:szCs w:val="20"/>
        </w:rPr>
        <w:t xml:space="preserve">, en relacion con el </w:t>
      </w:r>
      <w:r>
        <w:rPr>
          <w:rFonts w:ascii="Arial" w:hAnsi="Arial" w:cs="Arial"/>
          <w:bCs/>
          <w:noProof/>
          <w:sz w:val="22"/>
          <w:szCs w:val="20"/>
        </w:rPr>
        <w:t>C</w:t>
      </w:r>
      <w:r w:rsidRPr="00DC371E">
        <w:rPr>
          <w:rFonts w:ascii="Arial" w:hAnsi="Arial" w:cs="Arial"/>
          <w:bCs/>
          <w:noProof/>
          <w:sz w:val="22"/>
          <w:szCs w:val="20"/>
        </w:rPr>
        <w:t>ontrato</w:t>
      </w:r>
      <w:r>
        <w:rPr>
          <w:rFonts w:ascii="Arial" w:hAnsi="Arial" w:cs="Arial"/>
          <w:bCs/>
          <w:noProof/>
          <w:sz w:val="22"/>
          <w:szCs w:val="20"/>
        </w:rPr>
        <w:t xml:space="preserve"> 2390 de 2019</w:t>
      </w:r>
      <w:r w:rsidRPr="00DC371E">
        <w:rPr>
          <w:rFonts w:ascii="Arial" w:hAnsi="Arial" w:cs="Arial"/>
          <w:bCs/>
          <w:noProof/>
          <w:sz w:val="22"/>
          <w:szCs w:val="20"/>
        </w:rPr>
        <w:t xml:space="preserve"> para la actualizacion de la estratificacion manifestó:</w:t>
      </w:r>
    </w:p>
    <w:p w:rsidR="00D75790" w:rsidRPr="00DC371E" w:rsidRDefault="00D75790" w:rsidP="00D75790">
      <w:pPr>
        <w:contextualSpacing/>
        <w:jc w:val="both"/>
        <w:rPr>
          <w:rFonts w:ascii="Arial" w:hAnsi="Arial" w:cs="Arial"/>
          <w:bCs/>
          <w:noProof/>
          <w:sz w:val="22"/>
          <w:szCs w:val="20"/>
        </w:rPr>
      </w:pPr>
    </w:p>
    <w:p w:rsidR="00D75790" w:rsidRPr="00E46D41" w:rsidRDefault="00D75790" w:rsidP="00D75790">
      <w:pPr>
        <w:ind w:left="1416"/>
        <w:contextualSpacing/>
        <w:jc w:val="both"/>
        <w:rPr>
          <w:rFonts w:ascii="Arial" w:hAnsi="Arial" w:cs="Arial"/>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El contrato aún se encuentra suspendido, con un avance del proyecto del 80%, siendo que a la fecha de la visita el convenio con el IGAC para adquirir los datos de la capa cartográfica de los registros 1 y 2, así como la información cartográfica, aún no se ha realizado</w:t>
      </w:r>
      <w:r w:rsidRPr="00E46D41">
        <w:rPr>
          <w:rFonts w:ascii="Arial" w:hAnsi="Arial" w:cs="Arial"/>
          <w:i/>
          <w:sz w:val="18"/>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Siendo esta la misma situación identificada en el informe realizado por </w:t>
      </w:r>
      <w:r>
        <w:rPr>
          <w:rFonts w:ascii="Arial" w:hAnsi="Arial" w:cs="Arial"/>
          <w:sz w:val="22"/>
          <w:szCs w:val="22"/>
          <w:lang w:val="es-ES_tradnl"/>
        </w:rPr>
        <w:t xml:space="preserve">esta Dirección </w:t>
      </w:r>
      <w:r w:rsidRPr="00DC371E">
        <w:rPr>
          <w:rFonts w:ascii="Arial" w:hAnsi="Arial" w:cs="Arial"/>
          <w:sz w:val="22"/>
          <w:szCs w:val="22"/>
          <w:lang w:val="es-ES_tradnl"/>
        </w:rPr>
        <w:t>en el mes de octubre de 2020, sin mostrar avance alguno.</w:t>
      </w:r>
    </w:p>
    <w:p w:rsidR="00D75790" w:rsidRPr="00DC371E" w:rsidRDefault="00D75790" w:rsidP="00D75790">
      <w:pPr>
        <w:contextualSpacing/>
        <w:jc w:val="both"/>
        <w:rPr>
          <w:rFonts w:ascii="Arial" w:hAnsi="Arial" w:cs="Arial"/>
          <w:bCs/>
          <w:i/>
          <w:iCs/>
          <w:noProof/>
          <w:sz w:val="22"/>
          <w:szCs w:val="20"/>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prestación adecuada de los Servicios Públicos Domiciliarios se pone en riesgo al tener una herramienta de focalización de usuarios desactualizada, ya que afecta el equilibrio de los subsidios y contribuciones, además de generar ineficiencias en el cálculo de los recursos necesarios para la financiación de los subsidios por parte de la Entidad Territorial.</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pStyle w:val="Prrafodelista"/>
        <w:numPr>
          <w:ilvl w:val="1"/>
          <w:numId w:val="17"/>
        </w:numPr>
        <w:tabs>
          <w:tab w:val="center" w:pos="1418"/>
        </w:tabs>
        <w:jc w:val="both"/>
        <w:rPr>
          <w:rFonts w:ascii="Arial" w:hAnsi="Arial" w:cs="Arial"/>
          <w:b/>
          <w:sz w:val="22"/>
          <w:szCs w:val="22"/>
          <w:lang w:val="es-ES_tradnl"/>
        </w:rPr>
      </w:pPr>
      <w:r w:rsidRPr="00DC371E">
        <w:rPr>
          <w:rFonts w:ascii="Arial" w:hAnsi="Arial" w:cs="Arial"/>
          <w:b/>
          <w:sz w:val="22"/>
          <w:szCs w:val="22"/>
          <w:lang w:val="es-ES_tradnl"/>
        </w:rPr>
        <w:t>PARTICIPACIÓN CIUDADANA</w:t>
      </w:r>
      <w:r>
        <w:rPr>
          <w:rFonts w:ascii="Arial" w:hAnsi="Arial" w:cs="Arial"/>
          <w:b/>
          <w:sz w:val="22"/>
          <w:szCs w:val="22"/>
          <w:lang w:val="es-ES_tradnl"/>
        </w:rPr>
        <w:t>.</w:t>
      </w:r>
    </w:p>
    <w:p w:rsidR="00D75790" w:rsidRPr="00DC371E" w:rsidRDefault="00D75790" w:rsidP="00D75790">
      <w:pPr>
        <w:ind w:left="360"/>
        <w:contextualSpacing/>
        <w:jc w:val="both"/>
        <w:rPr>
          <w:rFonts w:ascii="Arial" w:hAnsi="Arial" w:cs="Arial"/>
          <w:b/>
          <w:bCs/>
          <w:iCs/>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Ley 142 de 1994 brindó a la ciudadanía este mecanismo de participación que busca contribuir a una mayor eficiencia y eficacia en las empresas prestadoras y, en últimas, a ampliar su cobertura y mejorar su calidad en cumplimiento de la finalidad social del Estado.</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Los Comités de Desarrollo y Control Social - CDCS, son instancias de fiscalización de la prestación de los Servicios Públicos.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lastRenderedPageBreak/>
        <w:t xml:space="preserve">Corresponderá al </w:t>
      </w:r>
      <w:r>
        <w:rPr>
          <w:rFonts w:ascii="Arial" w:hAnsi="Arial" w:cs="Arial"/>
          <w:sz w:val="22"/>
          <w:szCs w:val="22"/>
          <w:lang w:val="es-ES_tradnl"/>
        </w:rPr>
        <w:t>a</w:t>
      </w:r>
      <w:r w:rsidRPr="00DC371E">
        <w:rPr>
          <w:rFonts w:ascii="Arial" w:hAnsi="Arial" w:cs="Arial"/>
          <w:sz w:val="22"/>
          <w:szCs w:val="22"/>
          <w:lang w:val="es-ES_tradnl"/>
        </w:rPr>
        <w:t xml:space="preserve">lcalde de cada municipio o distrito, velar por la conformación de los Comités, quién garantizará que en 3 meses contados a partir de la </w:t>
      </w:r>
      <w:r w:rsidR="00B47B1D" w:rsidRPr="00DC371E">
        <w:rPr>
          <w:rFonts w:ascii="Arial" w:hAnsi="Arial" w:cs="Arial"/>
          <w:sz w:val="22"/>
          <w:szCs w:val="22"/>
          <w:lang w:val="es-ES_tradnl"/>
        </w:rPr>
        <w:t>entrada en vigor</w:t>
      </w:r>
      <w:r w:rsidRPr="00DC371E">
        <w:rPr>
          <w:rFonts w:ascii="Arial" w:hAnsi="Arial" w:cs="Arial"/>
          <w:sz w:val="22"/>
          <w:szCs w:val="22"/>
          <w:lang w:val="es-ES_tradnl"/>
        </w:rPr>
        <w:t xml:space="preserve"> de la Ley 142.de 1994, exista en su municipio, al menos un comité.</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Si bien el CDCS es de iniciativa ciudadana, las administraciones territoriales deberán:</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708"/>
        <w:contextualSpacing/>
        <w:jc w:val="both"/>
        <w:rPr>
          <w:rFonts w:ascii="Arial" w:hAnsi="Arial" w:cs="Arial"/>
          <w:b/>
          <w:sz w:val="22"/>
          <w:szCs w:val="22"/>
          <w:lang w:val="es-ES_tradnl"/>
        </w:rPr>
      </w:pPr>
      <w:r w:rsidRPr="00DC371E">
        <w:rPr>
          <w:rFonts w:ascii="Arial" w:hAnsi="Arial" w:cs="Arial"/>
          <w:b/>
          <w:sz w:val="22"/>
          <w:szCs w:val="22"/>
          <w:lang w:val="es-ES_tradnl"/>
        </w:rPr>
        <w:t xml:space="preserve">Como </w:t>
      </w:r>
      <w:r>
        <w:rPr>
          <w:rFonts w:ascii="Arial" w:hAnsi="Arial" w:cs="Arial"/>
          <w:b/>
          <w:sz w:val="22"/>
          <w:szCs w:val="22"/>
          <w:lang w:val="es-ES_tradnl"/>
        </w:rPr>
        <w:t>a</w:t>
      </w:r>
      <w:r w:rsidRPr="00DC371E">
        <w:rPr>
          <w:rFonts w:ascii="Arial" w:hAnsi="Arial" w:cs="Arial"/>
          <w:b/>
          <w:sz w:val="22"/>
          <w:szCs w:val="22"/>
          <w:lang w:val="es-ES_tradnl"/>
        </w:rPr>
        <w:t>lcaldía</w:t>
      </w:r>
      <w:r>
        <w:rPr>
          <w:rFonts w:ascii="Arial" w:hAnsi="Arial" w:cs="Arial"/>
          <w:b/>
          <w:sz w:val="22"/>
          <w:szCs w:val="22"/>
          <w:lang w:val="es-ES_tradnl"/>
        </w:rPr>
        <w:t>.</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15"/>
        <w:contextualSpacing/>
        <w:jc w:val="both"/>
        <w:rPr>
          <w:rFonts w:ascii="Arial" w:hAnsi="Arial" w:cs="Arial"/>
          <w:sz w:val="22"/>
          <w:szCs w:val="22"/>
          <w:lang w:val="es-ES_tradnl"/>
        </w:rPr>
      </w:pPr>
      <w:r w:rsidRPr="00DC371E">
        <w:rPr>
          <w:rFonts w:ascii="Arial" w:hAnsi="Arial" w:cs="Arial"/>
          <w:sz w:val="22"/>
          <w:szCs w:val="22"/>
          <w:lang w:val="es-ES_tradnl"/>
        </w:rPr>
        <w:t xml:space="preserve">De acuerdo con el numeral 2 del artículo 5 de la Ley 142 de 1994, </w:t>
      </w:r>
      <w:r w:rsidRPr="00DC371E">
        <w:rPr>
          <w:rFonts w:ascii="Arial" w:hAnsi="Arial" w:cs="Arial"/>
          <w:bCs/>
          <w:sz w:val="22"/>
          <w:szCs w:val="22"/>
          <w:lang w:val="es-ES_tradnl"/>
        </w:rPr>
        <w:t>asegurar</w:t>
      </w:r>
      <w:r w:rsidRPr="00DC371E">
        <w:rPr>
          <w:rFonts w:ascii="Arial" w:hAnsi="Arial" w:cs="Arial"/>
          <w:sz w:val="22"/>
          <w:szCs w:val="22"/>
          <w:lang w:val="es-ES_tradnl"/>
        </w:rPr>
        <w:t xml:space="preserve"> en los términos de esta Ley, la participación de los usuarios en la gestión y fiscalización de las entidades que prestan los Servicios Públicos en el municipio.</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708"/>
        <w:contextualSpacing/>
        <w:jc w:val="both"/>
        <w:rPr>
          <w:rFonts w:ascii="Arial" w:hAnsi="Arial" w:cs="Arial"/>
          <w:b/>
          <w:sz w:val="22"/>
          <w:szCs w:val="22"/>
          <w:lang w:val="es-ES_tradnl"/>
        </w:rPr>
      </w:pPr>
      <w:r w:rsidRPr="00DC371E">
        <w:rPr>
          <w:rFonts w:ascii="Arial" w:hAnsi="Arial" w:cs="Arial"/>
          <w:b/>
          <w:sz w:val="22"/>
          <w:szCs w:val="22"/>
          <w:lang w:val="es-ES_tradnl"/>
        </w:rPr>
        <w:t xml:space="preserve">Como </w:t>
      </w:r>
      <w:r>
        <w:rPr>
          <w:rFonts w:ascii="Arial" w:hAnsi="Arial" w:cs="Arial"/>
          <w:b/>
          <w:sz w:val="22"/>
          <w:szCs w:val="22"/>
          <w:lang w:val="es-ES_tradnl"/>
        </w:rPr>
        <w:t>g</w:t>
      </w:r>
      <w:r w:rsidRPr="00DC371E">
        <w:rPr>
          <w:rFonts w:ascii="Arial" w:hAnsi="Arial" w:cs="Arial"/>
          <w:b/>
          <w:sz w:val="22"/>
          <w:szCs w:val="22"/>
          <w:lang w:val="es-ES_tradnl"/>
        </w:rPr>
        <w:t>obernación:</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Promover y coordinar la participación de la población en la constitución de los comités, por medio de una acción extensiva en su jurisdicción; además, apoyar y promover asociaciones departamentales de comités.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Asegurar, en coordinación con los municipios y la Superintendencia de Servicios Públicos Domiciliarios - SSPD, la capacitación de los vocales de control, para dotarlos de instrumentos básicos que les permitan organizar mejor su trabajo y contar con la información necesaria para representar a los comités.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Velar por la conformación de los comités en su jurisdicción.</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Reconocer dentro del término de quince (15) días hábiles a los comités que soliciten su inscripción previa verificación del cumplimiento de requisitos.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Llevar un registro actualizado de los comités de desarrollo y control social y vocales de control que sean reconocidos e inscritos por la alcaldía.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Colaborar con los comités mediante su capacitación y asesoría permanente.</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Escoger entre los vocales de control de los comités de desarrollo y control social del respectivo servicio, registrados ante la alcaldía, a aquellos que conformarán la tercera parte de los miembros de la junta directiva de las empresas 100 % oficiales de Servicios Públicos Domiciliarios del orden municipal.</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 acuerdo con la información aportada por la Entidad Territorial a través de correo electrónico el día 30 de abril de 2020, el Comité no está activo.</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Pr>
          <w:rFonts w:ascii="Arial" w:hAnsi="Arial" w:cs="Arial"/>
          <w:sz w:val="22"/>
          <w:szCs w:val="22"/>
          <w:lang w:val="es-ES_tradnl"/>
        </w:rPr>
        <w:t>Esta</w:t>
      </w:r>
      <w:r w:rsidRPr="00DC371E">
        <w:rPr>
          <w:rFonts w:ascii="Arial" w:hAnsi="Arial" w:cs="Arial"/>
          <w:sz w:val="22"/>
          <w:szCs w:val="22"/>
          <w:lang w:val="es-ES_tradnl"/>
        </w:rPr>
        <w:t xml:space="preserve"> Dirección efectuó requerimiento de información al Departamento Archipiélago de San Andrés y Providencia el día 9 de julio de 2021, a través del </w:t>
      </w:r>
      <w:r>
        <w:rPr>
          <w:rFonts w:ascii="Arial" w:hAnsi="Arial" w:cs="Arial"/>
          <w:sz w:val="22"/>
          <w:szCs w:val="22"/>
          <w:lang w:val="es-ES_tradnl"/>
        </w:rPr>
        <w:t xml:space="preserve">oficio con </w:t>
      </w:r>
      <w:r w:rsidRPr="00DC371E">
        <w:rPr>
          <w:rFonts w:ascii="Arial" w:hAnsi="Arial" w:cs="Arial"/>
          <w:sz w:val="22"/>
          <w:szCs w:val="22"/>
          <w:lang w:val="es-ES_tradnl"/>
        </w:rPr>
        <w:t>radicado 2-2021-035344. Entre otra información se requirió lo siguiente:</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Certificación de las gestiones realizadas por la Entidad en torno al Comité de Desarrollo y Control Social – Donde se verifique su existencia o inexistencia.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Entidad Territorial no remitió información al respecto.</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pStyle w:val="Prrafodelista"/>
        <w:numPr>
          <w:ilvl w:val="0"/>
          <w:numId w:val="17"/>
        </w:numPr>
        <w:jc w:val="both"/>
        <w:rPr>
          <w:rFonts w:ascii="Arial" w:hAnsi="Arial" w:cs="Arial"/>
          <w:b/>
          <w:sz w:val="22"/>
          <w:szCs w:val="22"/>
          <w:lang w:val="es-ES_tradnl"/>
        </w:rPr>
      </w:pPr>
      <w:r w:rsidRPr="00DC371E">
        <w:rPr>
          <w:rFonts w:ascii="Arial" w:hAnsi="Arial" w:cs="Arial"/>
          <w:b/>
          <w:sz w:val="22"/>
          <w:szCs w:val="22"/>
          <w:lang w:val="es-ES_tradnl"/>
        </w:rPr>
        <w:t>LÍNEA BASE Y METAS</w:t>
      </w:r>
      <w:r>
        <w:rPr>
          <w:rFonts w:ascii="Arial" w:hAnsi="Arial" w:cs="Arial"/>
          <w:b/>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lang w:val="es-ES_tradnl"/>
        </w:rPr>
        <w:t>COBERTURAS</w:t>
      </w:r>
      <w:r>
        <w:rPr>
          <w:rFonts w:ascii="Arial" w:hAnsi="Arial" w:cs="Arial"/>
          <w:b/>
          <w:bCs/>
          <w:sz w:val="22"/>
          <w:szCs w:val="22"/>
          <w:lang w:val="es-ES_tradnl"/>
        </w:rPr>
        <w:t>.</w:t>
      </w:r>
    </w:p>
    <w:p w:rsidR="00D75790" w:rsidRPr="00DC371E" w:rsidRDefault="00D75790" w:rsidP="00D75790">
      <w:pPr>
        <w:contextualSpacing/>
        <w:jc w:val="both"/>
        <w:rPr>
          <w:rFonts w:ascii="Arial" w:hAnsi="Arial" w:cs="Arial"/>
          <w:b/>
          <w:bCs/>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La </w:t>
      </w:r>
      <w:r>
        <w:rPr>
          <w:rFonts w:ascii="Arial" w:hAnsi="Arial" w:cs="Arial"/>
          <w:color w:val="222222"/>
          <w:sz w:val="22"/>
          <w:szCs w:val="22"/>
          <w:lang w:val="es-ES_tradnl"/>
        </w:rPr>
        <w:t>c</w:t>
      </w:r>
      <w:r w:rsidRPr="00DC371E">
        <w:rPr>
          <w:rFonts w:ascii="Arial" w:hAnsi="Arial" w:cs="Arial"/>
          <w:color w:val="222222"/>
          <w:sz w:val="22"/>
          <w:szCs w:val="22"/>
          <w:lang w:val="es-ES_tradnl"/>
        </w:rPr>
        <w:t xml:space="preserve">obertura en la prestación de </w:t>
      </w:r>
      <w:r w:rsidR="00E013AF" w:rsidRPr="00DC371E">
        <w:rPr>
          <w:rFonts w:ascii="Arial" w:hAnsi="Arial" w:cs="Arial"/>
          <w:color w:val="222222"/>
          <w:sz w:val="22"/>
          <w:szCs w:val="22"/>
          <w:lang w:val="es-ES_tradnl"/>
        </w:rPr>
        <w:t>servicios</w:t>
      </w:r>
      <w:r w:rsidRPr="00DC371E">
        <w:rPr>
          <w:rFonts w:ascii="Arial" w:hAnsi="Arial" w:cs="Arial"/>
          <w:color w:val="222222"/>
          <w:sz w:val="22"/>
          <w:szCs w:val="22"/>
          <w:lang w:val="es-ES_tradnl"/>
        </w:rPr>
        <w:t xml:space="preserve"> es la relación entre predios residenciales que tienen acceso al servicio y el total de los predios residenciales urbanos o rurales (centros poblados nucleados y vivienda dispersa), expresada en porcentaje.</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De acuerdo con el documento “</w:t>
      </w:r>
      <w:r w:rsidRPr="00DC371E">
        <w:rPr>
          <w:rFonts w:ascii="Arial" w:hAnsi="Arial" w:cs="Arial"/>
          <w:i/>
          <w:iCs/>
          <w:color w:val="222222"/>
          <w:sz w:val="22"/>
          <w:szCs w:val="22"/>
          <w:lang w:val="es-ES_tradnl"/>
        </w:rPr>
        <w:t>Actualización del informe de monitoreo al uso y ejecución de los recursos del sistema general de participaciones para agua potable y saneamiento básico (SGP-APSB) al Archipiélago de San Andrés, Providencia y santa catalina vigencias 2019 y 2020”</w:t>
      </w:r>
      <w:r w:rsidRPr="00DC371E">
        <w:rPr>
          <w:rFonts w:ascii="Arial" w:hAnsi="Arial" w:cs="Arial"/>
          <w:color w:val="222222"/>
          <w:sz w:val="22"/>
          <w:szCs w:val="22"/>
          <w:lang w:val="es-ES_tradnl"/>
        </w:rPr>
        <w:t>, radicado en el MHCP el día 28 de mayo de 2021 bajo el número 1</w:t>
      </w:r>
      <w:r w:rsidRPr="00DC371E">
        <w:rPr>
          <w:rFonts w:ascii="Arial" w:hAnsi="Arial" w:cs="Arial"/>
          <w:sz w:val="22"/>
          <w:szCs w:val="22"/>
          <w:lang w:val="es-ES_tradnl"/>
        </w:rPr>
        <w:t xml:space="preserve">-2021-046779 </w:t>
      </w:r>
      <w:r w:rsidRPr="00DC371E">
        <w:rPr>
          <w:rFonts w:ascii="Arial" w:hAnsi="Arial" w:cs="Arial"/>
          <w:color w:val="222222"/>
          <w:sz w:val="22"/>
          <w:szCs w:val="22"/>
          <w:lang w:val="es-ES_tradnl"/>
        </w:rPr>
        <w:t xml:space="preserve">el </w:t>
      </w:r>
      <w:r>
        <w:rPr>
          <w:rFonts w:ascii="Arial" w:hAnsi="Arial" w:cs="Arial"/>
          <w:color w:val="222222"/>
          <w:sz w:val="22"/>
          <w:szCs w:val="22"/>
          <w:lang w:val="es-ES_tradnl"/>
        </w:rPr>
        <w:t>Reporte de E</w:t>
      </w:r>
      <w:r w:rsidRPr="00DC371E">
        <w:rPr>
          <w:rFonts w:ascii="Arial" w:hAnsi="Arial" w:cs="Arial"/>
          <w:color w:val="222222"/>
          <w:sz w:val="22"/>
          <w:szCs w:val="22"/>
          <w:lang w:val="es-ES_tradnl"/>
        </w:rPr>
        <w:t xml:space="preserve">stratificación y </w:t>
      </w:r>
      <w:r>
        <w:rPr>
          <w:rFonts w:ascii="Arial" w:hAnsi="Arial" w:cs="Arial"/>
          <w:color w:val="222222"/>
          <w:sz w:val="22"/>
          <w:szCs w:val="22"/>
          <w:lang w:val="es-ES_tradnl"/>
        </w:rPr>
        <w:t>C</w:t>
      </w:r>
      <w:r w:rsidRPr="00DC371E">
        <w:rPr>
          <w:rFonts w:ascii="Arial" w:hAnsi="Arial" w:cs="Arial"/>
          <w:color w:val="222222"/>
          <w:sz w:val="22"/>
          <w:szCs w:val="22"/>
          <w:lang w:val="es-ES_tradnl"/>
        </w:rPr>
        <w:t xml:space="preserve">oberturas </w:t>
      </w:r>
      <w:r>
        <w:rPr>
          <w:rFonts w:ascii="Arial" w:hAnsi="Arial" w:cs="Arial"/>
          <w:color w:val="222222"/>
          <w:sz w:val="22"/>
          <w:szCs w:val="22"/>
          <w:lang w:val="es-ES_tradnl"/>
        </w:rPr>
        <w:t>-</w:t>
      </w:r>
      <w:r w:rsidRPr="00DC371E">
        <w:rPr>
          <w:rFonts w:ascii="Arial" w:hAnsi="Arial" w:cs="Arial"/>
          <w:color w:val="222222"/>
          <w:sz w:val="22"/>
          <w:szCs w:val="22"/>
          <w:lang w:val="es-ES_tradnl"/>
        </w:rPr>
        <w:t xml:space="preserve"> REC del SUI de la SSPD, por parte de la Entidad Territorial a 2019 demostró lo siguiente:</w:t>
      </w:r>
    </w:p>
    <w:p w:rsidR="00D75790" w:rsidRPr="00DC371E" w:rsidRDefault="00D75790" w:rsidP="00D75790">
      <w:pPr>
        <w:contextualSpacing/>
        <w:jc w:val="both"/>
        <w:rPr>
          <w:rFonts w:ascii="Arial" w:hAnsi="Arial" w:cs="Arial"/>
          <w:color w:val="222222"/>
          <w:sz w:val="22"/>
          <w:szCs w:val="22"/>
          <w:lang w:val="es-ES_tradnl"/>
        </w:rPr>
      </w:pPr>
    </w:p>
    <w:p w:rsidR="00D75790" w:rsidRPr="00E46D41" w:rsidRDefault="00D75790" w:rsidP="00D75790">
      <w:pPr>
        <w:contextualSpacing/>
        <w:jc w:val="center"/>
        <w:rPr>
          <w:rFonts w:ascii="Arial" w:hAnsi="Arial" w:cs="Arial"/>
          <w:b/>
          <w:bCs/>
          <w:color w:val="222222"/>
          <w:sz w:val="20"/>
          <w:szCs w:val="22"/>
          <w:lang w:val="es-ES_tradnl"/>
        </w:rPr>
      </w:pPr>
      <w:r w:rsidRPr="00E46D41">
        <w:rPr>
          <w:rFonts w:ascii="Arial" w:hAnsi="Arial" w:cs="Arial"/>
          <w:b/>
          <w:bCs/>
          <w:color w:val="222222"/>
          <w:sz w:val="20"/>
          <w:szCs w:val="22"/>
          <w:lang w:val="es-ES_tradnl"/>
        </w:rPr>
        <w:t>TABLA 21. COBERTURAS AAA</w:t>
      </w:r>
    </w:p>
    <w:tbl>
      <w:tblPr>
        <w:tblStyle w:val="Tablaconcuadrcula"/>
        <w:tblW w:w="0" w:type="auto"/>
        <w:jc w:val="center"/>
        <w:tblLook w:val="04A0" w:firstRow="1" w:lastRow="0" w:firstColumn="1" w:lastColumn="0" w:noHBand="0" w:noVBand="1"/>
      </w:tblPr>
      <w:tblGrid>
        <w:gridCol w:w="4414"/>
        <w:gridCol w:w="1250"/>
      </w:tblGrid>
      <w:tr w:rsidR="00D75790" w:rsidRPr="00DC371E" w:rsidTr="00695E54">
        <w:trPr>
          <w:jc w:val="center"/>
        </w:trPr>
        <w:tc>
          <w:tcPr>
            <w:tcW w:w="4414" w:type="dxa"/>
            <w:shd w:val="clear" w:color="auto" w:fill="DBE5F1" w:themeFill="accent1" w:themeFillTint="33"/>
          </w:tcPr>
          <w:p w:rsidR="00D75790" w:rsidRPr="00DC371E" w:rsidRDefault="00D75790" w:rsidP="00695E54">
            <w:pPr>
              <w:contextualSpacing/>
              <w:jc w:val="center"/>
              <w:rPr>
                <w:rFonts w:ascii="Arial" w:hAnsi="Arial" w:cs="Arial"/>
                <w:b/>
                <w:bCs/>
                <w:color w:val="222222"/>
                <w:sz w:val="20"/>
                <w:szCs w:val="20"/>
                <w:lang w:val="es-ES_tradnl"/>
              </w:rPr>
            </w:pPr>
            <w:r w:rsidRPr="00DC371E">
              <w:rPr>
                <w:rFonts w:ascii="Arial" w:hAnsi="Arial" w:cs="Arial"/>
                <w:b/>
                <w:bCs/>
                <w:color w:val="222222"/>
                <w:sz w:val="20"/>
                <w:szCs w:val="20"/>
                <w:lang w:val="es-ES_tradnl"/>
              </w:rPr>
              <w:t>Indicador</w:t>
            </w:r>
          </w:p>
        </w:tc>
        <w:tc>
          <w:tcPr>
            <w:tcW w:w="1250" w:type="dxa"/>
            <w:shd w:val="clear" w:color="auto" w:fill="DBE5F1" w:themeFill="accent1" w:themeFillTint="33"/>
          </w:tcPr>
          <w:p w:rsidR="00D75790" w:rsidRPr="00DC371E" w:rsidRDefault="00D75790" w:rsidP="00695E54">
            <w:pPr>
              <w:contextualSpacing/>
              <w:jc w:val="center"/>
              <w:rPr>
                <w:rFonts w:ascii="Arial" w:hAnsi="Arial" w:cs="Arial"/>
                <w:b/>
                <w:bCs/>
                <w:color w:val="222222"/>
                <w:sz w:val="20"/>
                <w:szCs w:val="20"/>
                <w:lang w:val="es-ES_tradnl"/>
              </w:rPr>
            </w:pPr>
            <w:r w:rsidRPr="00DC371E">
              <w:rPr>
                <w:rFonts w:ascii="Arial" w:hAnsi="Arial" w:cs="Arial"/>
                <w:b/>
                <w:bCs/>
                <w:color w:val="222222"/>
                <w:sz w:val="20"/>
                <w:szCs w:val="20"/>
                <w:lang w:val="es-ES_tradnl"/>
              </w:rPr>
              <w:t>REC 2019</w:t>
            </w:r>
          </w:p>
        </w:tc>
      </w:tr>
      <w:tr w:rsidR="00D75790" w:rsidRPr="00DC371E" w:rsidTr="00695E54">
        <w:trPr>
          <w:jc w:val="center"/>
        </w:trPr>
        <w:tc>
          <w:tcPr>
            <w:tcW w:w="4414" w:type="dxa"/>
            <w:shd w:val="clear" w:color="auto" w:fill="DBE5F1" w:themeFill="accent1" w:themeFillTint="33"/>
          </w:tcPr>
          <w:p w:rsidR="00D75790" w:rsidRPr="00DC371E" w:rsidRDefault="00D75790" w:rsidP="00695E54">
            <w:pPr>
              <w:contextualSpacing/>
              <w:jc w:val="both"/>
              <w:rPr>
                <w:rFonts w:ascii="Arial" w:hAnsi="Arial" w:cs="Arial"/>
                <w:color w:val="222222"/>
                <w:sz w:val="20"/>
                <w:szCs w:val="20"/>
                <w:lang w:val="es-ES_tradnl"/>
              </w:rPr>
            </w:pPr>
            <w:r w:rsidRPr="00DC371E">
              <w:rPr>
                <w:rFonts w:ascii="Arial" w:hAnsi="Arial" w:cs="Arial"/>
                <w:sz w:val="20"/>
                <w:szCs w:val="20"/>
              </w:rPr>
              <w:t>Cobertura de acueducto zona urbana</w:t>
            </w:r>
          </w:p>
        </w:tc>
        <w:tc>
          <w:tcPr>
            <w:tcW w:w="1250"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color w:val="222222"/>
                <w:sz w:val="20"/>
                <w:szCs w:val="20"/>
                <w:lang w:val="es-ES_tradnl"/>
              </w:rPr>
              <w:t>25</w:t>
            </w:r>
            <w:r>
              <w:rPr>
                <w:rFonts w:ascii="Arial" w:hAnsi="Arial" w:cs="Arial"/>
                <w:color w:val="222222"/>
                <w:sz w:val="20"/>
                <w:szCs w:val="20"/>
                <w:lang w:val="es-ES_tradnl"/>
              </w:rPr>
              <w:t xml:space="preserve"> </w:t>
            </w:r>
            <w:r w:rsidRPr="00DC371E">
              <w:rPr>
                <w:rFonts w:ascii="Arial" w:hAnsi="Arial" w:cs="Arial"/>
                <w:color w:val="222222"/>
                <w:sz w:val="20"/>
                <w:szCs w:val="20"/>
                <w:lang w:val="es-ES_tradnl"/>
              </w:rPr>
              <w:t>%</w:t>
            </w:r>
          </w:p>
        </w:tc>
      </w:tr>
      <w:tr w:rsidR="00D75790" w:rsidRPr="00DC371E" w:rsidTr="00695E54">
        <w:trPr>
          <w:jc w:val="center"/>
        </w:trPr>
        <w:tc>
          <w:tcPr>
            <w:tcW w:w="4414" w:type="dxa"/>
            <w:shd w:val="clear" w:color="auto" w:fill="DBE5F1" w:themeFill="accent1" w:themeFillTint="33"/>
          </w:tcPr>
          <w:p w:rsidR="00D75790" w:rsidRPr="00DC371E" w:rsidRDefault="00D75790" w:rsidP="00695E54">
            <w:pPr>
              <w:contextualSpacing/>
              <w:jc w:val="both"/>
              <w:rPr>
                <w:rFonts w:ascii="Arial" w:hAnsi="Arial" w:cs="Arial"/>
                <w:color w:val="222222"/>
                <w:sz w:val="20"/>
                <w:szCs w:val="20"/>
                <w:lang w:val="es-ES_tradnl"/>
              </w:rPr>
            </w:pPr>
            <w:r w:rsidRPr="00DC371E">
              <w:rPr>
                <w:rFonts w:ascii="Arial" w:hAnsi="Arial" w:cs="Arial"/>
                <w:sz w:val="20"/>
                <w:szCs w:val="20"/>
              </w:rPr>
              <w:t>Cobertura de acueducto rural nucleada</w:t>
            </w:r>
          </w:p>
        </w:tc>
        <w:tc>
          <w:tcPr>
            <w:tcW w:w="1250"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color w:val="222222"/>
                <w:sz w:val="20"/>
                <w:szCs w:val="20"/>
                <w:lang w:val="es-ES_tradnl"/>
              </w:rPr>
              <w:t>7</w:t>
            </w:r>
            <w:r>
              <w:rPr>
                <w:rFonts w:ascii="Arial" w:hAnsi="Arial" w:cs="Arial"/>
                <w:color w:val="222222"/>
                <w:sz w:val="20"/>
                <w:szCs w:val="20"/>
                <w:lang w:val="es-ES_tradnl"/>
              </w:rPr>
              <w:t>,</w:t>
            </w:r>
            <w:r w:rsidRPr="00DC371E">
              <w:rPr>
                <w:rFonts w:ascii="Arial" w:hAnsi="Arial" w:cs="Arial"/>
                <w:color w:val="222222"/>
                <w:sz w:val="20"/>
                <w:szCs w:val="20"/>
                <w:lang w:val="es-ES_tradnl"/>
              </w:rPr>
              <w:t>8</w:t>
            </w:r>
            <w:r>
              <w:rPr>
                <w:rFonts w:ascii="Arial" w:hAnsi="Arial" w:cs="Arial"/>
                <w:color w:val="222222"/>
                <w:sz w:val="20"/>
                <w:szCs w:val="20"/>
                <w:lang w:val="es-ES_tradnl"/>
              </w:rPr>
              <w:t xml:space="preserve"> </w:t>
            </w:r>
            <w:r w:rsidRPr="00DC371E">
              <w:rPr>
                <w:rFonts w:ascii="Arial" w:hAnsi="Arial" w:cs="Arial"/>
                <w:color w:val="222222"/>
                <w:sz w:val="20"/>
                <w:szCs w:val="20"/>
                <w:lang w:val="es-ES_tradnl"/>
              </w:rPr>
              <w:t>%</w:t>
            </w:r>
          </w:p>
        </w:tc>
      </w:tr>
      <w:tr w:rsidR="00D75790" w:rsidRPr="00DC371E" w:rsidTr="00695E54">
        <w:trPr>
          <w:jc w:val="center"/>
        </w:trPr>
        <w:tc>
          <w:tcPr>
            <w:tcW w:w="4414" w:type="dxa"/>
            <w:shd w:val="clear" w:color="auto" w:fill="DBE5F1" w:themeFill="accent1" w:themeFillTint="33"/>
          </w:tcPr>
          <w:p w:rsidR="00D75790" w:rsidRPr="00DC371E" w:rsidRDefault="00D75790" w:rsidP="00695E54">
            <w:pPr>
              <w:contextualSpacing/>
              <w:jc w:val="both"/>
              <w:rPr>
                <w:rFonts w:ascii="Arial" w:hAnsi="Arial" w:cs="Arial"/>
                <w:color w:val="222222"/>
                <w:sz w:val="20"/>
                <w:szCs w:val="20"/>
                <w:lang w:val="es-ES_tradnl"/>
              </w:rPr>
            </w:pPr>
            <w:r w:rsidRPr="00DC371E">
              <w:rPr>
                <w:rFonts w:ascii="Arial" w:hAnsi="Arial" w:cs="Arial"/>
                <w:sz w:val="20"/>
                <w:szCs w:val="20"/>
              </w:rPr>
              <w:t>Cobertura de alcantarillado zona urbana</w:t>
            </w:r>
          </w:p>
        </w:tc>
        <w:tc>
          <w:tcPr>
            <w:tcW w:w="1250"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color w:val="222222"/>
                <w:sz w:val="20"/>
                <w:szCs w:val="20"/>
                <w:lang w:val="es-ES_tradnl"/>
              </w:rPr>
              <w:t>9</w:t>
            </w:r>
            <w:r>
              <w:rPr>
                <w:rFonts w:ascii="Arial" w:hAnsi="Arial" w:cs="Arial"/>
                <w:color w:val="222222"/>
                <w:sz w:val="20"/>
                <w:szCs w:val="20"/>
                <w:lang w:val="es-ES_tradnl"/>
              </w:rPr>
              <w:t>,</w:t>
            </w:r>
            <w:r w:rsidRPr="00DC371E">
              <w:rPr>
                <w:rFonts w:ascii="Arial" w:hAnsi="Arial" w:cs="Arial"/>
                <w:color w:val="222222"/>
                <w:sz w:val="20"/>
                <w:szCs w:val="20"/>
                <w:lang w:val="es-ES_tradnl"/>
              </w:rPr>
              <w:t>3</w:t>
            </w:r>
            <w:r>
              <w:rPr>
                <w:rFonts w:ascii="Arial" w:hAnsi="Arial" w:cs="Arial"/>
                <w:color w:val="222222"/>
                <w:sz w:val="20"/>
                <w:szCs w:val="20"/>
                <w:lang w:val="es-ES_tradnl"/>
              </w:rPr>
              <w:t xml:space="preserve"> </w:t>
            </w:r>
            <w:r w:rsidRPr="00DC371E">
              <w:rPr>
                <w:rFonts w:ascii="Arial" w:hAnsi="Arial" w:cs="Arial"/>
                <w:color w:val="222222"/>
                <w:sz w:val="20"/>
                <w:szCs w:val="20"/>
                <w:lang w:val="es-ES_tradnl"/>
              </w:rPr>
              <w:t>%</w:t>
            </w:r>
          </w:p>
        </w:tc>
      </w:tr>
      <w:tr w:rsidR="00D75790" w:rsidRPr="00DC371E" w:rsidTr="00695E54">
        <w:trPr>
          <w:jc w:val="center"/>
        </w:trPr>
        <w:tc>
          <w:tcPr>
            <w:tcW w:w="4414" w:type="dxa"/>
            <w:shd w:val="clear" w:color="auto" w:fill="DBE5F1" w:themeFill="accent1" w:themeFillTint="33"/>
          </w:tcPr>
          <w:p w:rsidR="00D75790" w:rsidRPr="00DC371E" w:rsidRDefault="00D75790" w:rsidP="00695E54">
            <w:pPr>
              <w:contextualSpacing/>
              <w:jc w:val="both"/>
              <w:rPr>
                <w:rFonts w:ascii="Arial" w:hAnsi="Arial" w:cs="Arial"/>
                <w:color w:val="222222"/>
                <w:sz w:val="20"/>
                <w:szCs w:val="20"/>
                <w:lang w:val="es-ES_tradnl"/>
              </w:rPr>
            </w:pPr>
            <w:r w:rsidRPr="00DC371E">
              <w:rPr>
                <w:rFonts w:ascii="Arial" w:hAnsi="Arial" w:cs="Arial"/>
                <w:sz w:val="20"/>
                <w:szCs w:val="20"/>
              </w:rPr>
              <w:t>Cobertura de alcantarillado centro poblado</w:t>
            </w:r>
          </w:p>
        </w:tc>
        <w:tc>
          <w:tcPr>
            <w:tcW w:w="1250"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color w:val="222222"/>
                <w:sz w:val="20"/>
                <w:szCs w:val="20"/>
                <w:lang w:val="es-ES_tradnl"/>
              </w:rPr>
              <w:t>0</w:t>
            </w:r>
            <w:r>
              <w:rPr>
                <w:rFonts w:ascii="Arial" w:hAnsi="Arial" w:cs="Arial"/>
                <w:color w:val="222222"/>
                <w:sz w:val="20"/>
                <w:szCs w:val="20"/>
                <w:lang w:val="es-ES_tradnl"/>
              </w:rPr>
              <w:t xml:space="preserve"> </w:t>
            </w:r>
            <w:r w:rsidRPr="00DC371E">
              <w:rPr>
                <w:rFonts w:ascii="Arial" w:hAnsi="Arial" w:cs="Arial"/>
                <w:color w:val="222222"/>
                <w:sz w:val="20"/>
                <w:szCs w:val="20"/>
                <w:lang w:val="es-ES_tradnl"/>
              </w:rPr>
              <w:t>%</w:t>
            </w:r>
          </w:p>
        </w:tc>
      </w:tr>
      <w:tr w:rsidR="00D75790" w:rsidRPr="00DC371E" w:rsidTr="00695E54">
        <w:trPr>
          <w:jc w:val="center"/>
        </w:trPr>
        <w:tc>
          <w:tcPr>
            <w:tcW w:w="4414" w:type="dxa"/>
            <w:shd w:val="clear" w:color="auto" w:fill="DBE5F1" w:themeFill="accent1" w:themeFillTint="33"/>
          </w:tcPr>
          <w:p w:rsidR="00D75790" w:rsidRPr="00DC371E" w:rsidRDefault="00D75790" w:rsidP="00695E54">
            <w:pPr>
              <w:contextualSpacing/>
              <w:jc w:val="both"/>
              <w:rPr>
                <w:rFonts w:ascii="Arial" w:hAnsi="Arial" w:cs="Arial"/>
                <w:sz w:val="20"/>
                <w:szCs w:val="20"/>
              </w:rPr>
            </w:pPr>
            <w:r w:rsidRPr="00DC371E">
              <w:rPr>
                <w:rFonts w:ascii="Arial" w:hAnsi="Arial" w:cs="Arial"/>
                <w:sz w:val="20"/>
                <w:szCs w:val="20"/>
              </w:rPr>
              <w:t>Cobertura de aseo zona urbana (recolección)</w:t>
            </w:r>
          </w:p>
        </w:tc>
        <w:tc>
          <w:tcPr>
            <w:tcW w:w="1250"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color w:val="222222"/>
                <w:sz w:val="20"/>
                <w:szCs w:val="20"/>
                <w:lang w:val="es-ES_tradnl"/>
              </w:rPr>
              <w:t>100</w:t>
            </w:r>
            <w:r>
              <w:rPr>
                <w:rFonts w:ascii="Arial" w:hAnsi="Arial" w:cs="Arial"/>
                <w:color w:val="222222"/>
                <w:sz w:val="20"/>
                <w:szCs w:val="20"/>
                <w:lang w:val="es-ES_tradnl"/>
              </w:rPr>
              <w:t xml:space="preserve"> </w:t>
            </w:r>
            <w:r w:rsidRPr="00DC371E">
              <w:rPr>
                <w:rFonts w:ascii="Arial" w:hAnsi="Arial" w:cs="Arial"/>
                <w:color w:val="222222"/>
                <w:sz w:val="20"/>
                <w:szCs w:val="20"/>
                <w:lang w:val="es-ES_tradnl"/>
              </w:rPr>
              <w:t>%</w:t>
            </w:r>
          </w:p>
        </w:tc>
      </w:tr>
    </w:tbl>
    <w:p w:rsidR="00D75790" w:rsidRPr="00DC371E" w:rsidRDefault="00D75790" w:rsidP="00D75790">
      <w:pPr>
        <w:contextualSpacing/>
        <w:jc w:val="both"/>
        <w:rPr>
          <w:rFonts w:ascii="Arial" w:hAnsi="Arial" w:cs="Arial"/>
          <w:color w:val="222222"/>
          <w:sz w:val="22"/>
          <w:szCs w:val="22"/>
          <w:highlight w:val="yellow"/>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Teniendo en cuenta lo anterior, los indicadores de cobertura reportados por la Entidad en acueducto y alcantarillado presentan un significativo rezago y a nivel </w:t>
      </w:r>
      <w:r>
        <w:rPr>
          <w:rFonts w:ascii="Arial" w:hAnsi="Arial" w:cs="Arial"/>
          <w:color w:val="222222"/>
          <w:sz w:val="22"/>
          <w:szCs w:val="22"/>
          <w:lang w:val="es-ES_tradnl"/>
        </w:rPr>
        <w:t>N</w:t>
      </w:r>
      <w:r w:rsidRPr="00DC371E">
        <w:rPr>
          <w:rFonts w:ascii="Arial" w:hAnsi="Arial" w:cs="Arial"/>
          <w:color w:val="222222"/>
          <w:sz w:val="22"/>
          <w:szCs w:val="22"/>
          <w:lang w:val="es-ES_tradnl"/>
        </w:rPr>
        <w:t xml:space="preserve">acional, </w:t>
      </w:r>
      <w:r>
        <w:rPr>
          <w:rFonts w:ascii="Arial" w:hAnsi="Arial" w:cs="Arial"/>
          <w:color w:val="222222"/>
          <w:sz w:val="22"/>
          <w:szCs w:val="22"/>
          <w:lang w:val="es-ES_tradnl"/>
        </w:rPr>
        <w:t xml:space="preserve">debido a que </w:t>
      </w:r>
      <w:r w:rsidRPr="00DC371E">
        <w:rPr>
          <w:rFonts w:ascii="Arial" w:hAnsi="Arial" w:cs="Arial"/>
          <w:color w:val="222222"/>
          <w:sz w:val="22"/>
          <w:szCs w:val="22"/>
          <w:lang w:val="es-ES_tradnl"/>
        </w:rPr>
        <w:t xml:space="preserve">son inferiores. Más deficiente aún es la prestación en el área rural de estos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ervicios de </w:t>
      </w:r>
      <w:r>
        <w:rPr>
          <w:rFonts w:ascii="Arial" w:hAnsi="Arial" w:cs="Arial"/>
          <w:color w:val="222222"/>
          <w:sz w:val="22"/>
          <w:szCs w:val="22"/>
          <w:lang w:val="es-ES_tradnl"/>
        </w:rPr>
        <w:t>A</w:t>
      </w:r>
      <w:r w:rsidRPr="00DC371E">
        <w:rPr>
          <w:rFonts w:ascii="Arial" w:hAnsi="Arial" w:cs="Arial"/>
          <w:color w:val="222222"/>
          <w:sz w:val="22"/>
          <w:szCs w:val="22"/>
          <w:lang w:val="es-ES_tradnl"/>
        </w:rPr>
        <w:t xml:space="preserve">cueducto y </w:t>
      </w:r>
      <w:r>
        <w:rPr>
          <w:rFonts w:ascii="Arial" w:hAnsi="Arial" w:cs="Arial"/>
          <w:color w:val="222222"/>
          <w:sz w:val="22"/>
          <w:szCs w:val="22"/>
          <w:lang w:val="es-ES_tradnl"/>
        </w:rPr>
        <w:t>A</w:t>
      </w:r>
      <w:r w:rsidRPr="00DC371E">
        <w:rPr>
          <w:rFonts w:ascii="Arial" w:hAnsi="Arial" w:cs="Arial"/>
          <w:color w:val="222222"/>
          <w:sz w:val="22"/>
          <w:szCs w:val="22"/>
          <w:lang w:val="es-ES_tradnl"/>
        </w:rPr>
        <w:t>lcantarillado en el Archipiélago.</w:t>
      </w:r>
    </w:p>
    <w:p w:rsidR="00D75790" w:rsidRPr="00DC371E" w:rsidRDefault="00D75790" w:rsidP="00D75790">
      <w:pPr>
        <w:contextualSpacing/>
        <w:jc w:val="both"/>
        <w:rPr>
          <w:rFonts w:ascii="Arial" w:hAnsi="Arial" w:cs="Arial"/>
          <w:color w:val="222222"/>
          <w:sz w:val="22"/>
          <w:szCs w:val="22"/>
          <w:lang w:val="es-ES_tradnl"/>
        </w:rPr>
      </w:pP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r w:rsidRPr="00DC371E">
        <w:rPr>
          <w:rFonts w:ascii="Arial" w:hAnsi="Arial" w:cs="Arial"/>
          <w:sz w:val="22"/>
          <w:szCs w:val="22"/>
          <w:lang w:val="es-ES_tradnl"/>
        </w:rPr>
        <w:t xml:space="preserve">En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rPr>
        <w:t xml:space="preserve">el MVCT </w:t>
      </w:r>
      <w:r w:rsidRPr="00DC371E">
        <w:rPr>
          <w:rFonts w:ascii="Arial" w:hAnsi="Arial" w:cs="Arial"/>
          <w:sz w:val="22"/>
          <w:szCs w:val="22"/>
          <w:lang w:val="es-ES_tradnl"/>
        </w:rPr>
        <w:t xml:space="preserve">manifestó que a marzo de 2021 se tienen para acueducto 2.497 </w:t>
      </w:r>
      <w:r>
        <w:rPr>
          <w:rFonts w:ascii="Arial" w:hAnsi="Arial" w:cs="Arial"/>
          <w:sz w:val="22"/>
          <w:szCs w:val="22"/>
          <w:lang w:val="es-ES_tradnl"/>
        </w:rPr>
        <w:t xml:space="preserve">suscriptores </w:t>
      </w:r>
      <w:r w:rsidRPr="00DC371E">
        <w:rPr>
          <w:rFonts w:ascii="Arial" w:hAnsi="Arial" w:cs="Arial"/>
          <w:sz w:val="22"/>
          <w:szCs w:val="22"/>
          <w:lang w:val="es-ES_tradnl"/>
        </w:rPr>
        <w:t>renuentes (La cobertura de acueducto a marzo de 2021 es de 11.592 suscriptores</w:t>
      </w:r>
      <w:r w:rsidRPr="00DC371E">
        <w:rPr>
          <w:rStyle w:val="Refdenotaalpie"/>
          <w:rFonts w:ascii="Arial" w:hAnsi="Arial" w:cs="Arial"/>
          <w:sz w:val="22"/>
          <w:szCs w:val="22"/>
          <w:lang w:val="es-ES_tradnl"/>
        </w:rPr>
        <w:footnoteReference w:id="26"/>
      </w:r>
      <w:r w:rsidRPr="00DC371E">
        <w:rPr>
          <w:rFonts w:ascii="Arial" w:hAnsi="Arial" w:cs="Arial"/>
          <w:sz w:val="22"/>
          <w:szCs w:val="22"/>
          <w:lang w:val="es-ES_tradnl"/>
        </w:rPr>
        <w:t>) y 315 para alcantarillado (de 5.606 suscriptores). En este sentido y de acuerdo con lo manifestado por Veolia, existirían 9.095 suscriptores de acueducto y 5.291 suscriptores de alcantarillado.</w:t>
      </w:r>
    </w:p>
    <w:p w:rsidR="00D75790" w:rsidRDefault="00D75790" w:rsidP="00D75790">
      <w:pPr>
        <w:contextualSpacing/>
        <w:jc w:val="both"/>
        <w:rPr>
          <w:rFonts w:ascii="Arial" w:hAnsi="Arial" w:cs="Arial"/>
          <w:sz w:val="22"/>
          <w:szCs w:val="22"/>
        </w:rPr>
      </w:pPr>
      <w:r w:rsidRPr="007F0D4D">
        <w:rPr>
          <w:rFonts w:ascii="Arial" w:hAnsi="Arial" w:cs="Arial"/>
          <w:sz w:val="22"/>
          <w:szCs w:val="22"/>
        </w:rPr>
        <w:t>Ahora bien</w:t>
      </w:r>
      <w:r>
        <w:rPr>
          <w:rFonts w:ascii="Arial" w:hAnsi="Arial" w:cs="Arial"/>
          <w:sz w:val="22"/>
          <w:szCs w:val="22"/>
        </w:rPr>
        <w:t>,</w:t>
      </w:r>
      <w:r w:rsidRPr="007F0D4D">
        <w:rPr>
          <w:rFonts w:ascii="Arial" w:hAnsi="Arial" w:cs="Arial"/>
          <w:sz w:val="22"/>
          <w:szCs w:val="22"/>
        </w:rPr>
        <w:t xml:space="preserve"> </w:t>
      </w:r>
      <w:r>
        <w:rPr>
          <w:rFonts w:ascii="Arial" w:hAnsi="Arial" w:cs="Arial"/>
          <w:sz w:val="22"/>
          <w:szCs w:val="22"/>
        </w:rPr>
        <w:t xml:space="preserve">en la Isla de San Andrés, al calcular indicadores de prestación del servicio no se podría hablar de la cobertura de un Servicio Público Domiciliario de Acueducto. En este sentido esta Dirección calculó la </w:t>
      </w:r>
      <w:r w:rsidRPr="007F0D4D">
        <w:rPr>
          <w:rFonts w:ascii="Arial" w:hAnsi="Arial" w:cs="Arial"/>
          <w:sz w:val="22"/>
          <w:szCs w:val="22"/>
        </w:rPr>
        <w:t>cobertura de</w:t>
      </w:r>
      <w:r>
        <w:rPr>
          <w:rFonts w:ascii="Arial" w:hAnsi="Arial" w:cs="Arial"/>
          <w:sz w:val="22"/>
          <w:szCs w:val="22"/>
        </w:rPr>
        <w:t>l abastecimiento de</w:t>
      </w:r>
      <w:r w:rsidRPr="007F0D4D">
        <w:rPr>
          <w:rFonts w:ascii="Arial" w:hAnsi="Arial" w:cs="Arial"/>
          <w:sz w:val="22"/>
          <w:szCs w:val="22"/>
        </w:rPr>
        <w:t xml:space="preserve"> agua en la Isla</w:t>
      </w:r>
      <w:r>
        <w:rPr>
          <w:rFonts w:ascii="Arial" w:hAnsi="Arial" w:cs="Arial"/>
          <w:sz w:val="22"/>
          <w:szCs w:val="22"/>
        </w:rPr>
        <w:t xml:space="preserve"> (ya sea a través del sistema o de pozos)</w:t>
      </w:r>
      <w:r w:rsidRPr="007F0D4D">
        <w:rPr>
          <w:rFonts w:ascii="Arial" w:hAnsi="Arial" w:cs="Arial"/>
          <w:sz w:val="22"/>
          <w:szCs w:val="22"/>
        </w:rPr>
        <w:t>, en datos sería:</w:t>
      </w:r>
    </w:p>
    <w:p w:rsidR="00D75790" w:rsidRDefault="00D75790" w:rsidP="00D75790">
      <w:pPr>
        <w:contextualSpacing/>
        <w:jc w:val="both"/>
        <w:rPr>
          <w:rFonts w:ascii="Arial" w:hAnsi="Arial" w:cs="Arial"/>
          <w:sz w:val="22"/>
          <w:szCs w:val="22"/>
        </w:rPr>
      </w:pPr>
    </w:p>
    <w:tbl>
      <w:tblPr>
        <w:tblStyle w:val="Tablaconcuadrcula"/>
        <w:tblW w:w="7740" w:type="dxa"/>
        <w:jc w:val="center"/>
        <w:tblLook w:val="04A0" w:firstRow="1" w:lastRow="0" w:firstColumn="1" w:lastColumn="0" w:noHBand="0" w:noVBand="1"/>
      </w:tblPr>
      <w:tblGrid>
        <w:gridCol w:w="2405"/>
        <w:gridCol w:w="1669"/>
        <w:gridCol w:w="3666"/>
      </w:tblGrid>
      <w:tr w:rsidR="00D75790" w:rsidRPr="00CA2137" w:rsidTr="00695E54">
        <w:trPr>
          <w:trHeight w:val="229"/>
          <w:jc w:val="center"/>
        </w:trPr>
        <w:tc>
          <w:tcPr>
            <w:tcW w:w="7740" w:type="dxa"/>
            <w:gridSpan w:val="3"/>
          </w:tcPr>
          <w:p w:rsidR="00D75790" w:rsidRPr="00E46D41" w:rsidRDefault="00D75790" w:rsidP="00695E54">
            <w:pPr>
              <w:contextualSpacing/>
              <w:jc w:val="center"/>
              <w:rPr>
                <w:rFonts w:ascii="Arial" w:hAnsi="Arial" w:cs="Arial"/>
                <w:b/>
                <w:bCs/>
                <w:sz w:val="20"/>
                <w:szCs w:val="22"/>
              </w:rPr>
            </w:pPr>
            <w:r w:rsidRPr="00E46D41">
              <w:rPr>
                <w:rFonts w:ascii="Arial" w:hAnsi="Arial" w:cs="Arial"/>
                <w:b/>
                <w:bCs/>
                <w:sz w:val="20"/>
                <w:szCs w:val="22"/>
              </w:rPr>
              <w:t>Abastecimiento de agua en San Andrés</w:t>
            </w:r>
          </w:p>
        </w:tc>
      </w:tr>
      <w:tr w:rsidR="00D75790" w:rsidRPr="00CA2137" w:rsidTr="00695E54">
        <w:trPr>
          <w:trHeight w:val="215"/>
          <w:jc w:val="center"/>
        </w:trPr>
        <w:tc>
          <w:tcPr>
            <w:tcW w:w="2405" w:type="dxa"/>
          </w:tcPr>
          <w:p w:rsidR="00D75790" w:rsidRPr="00E46D41" w:rsidRDefault="00D75790" w:rsidP="00695E54">
            <w:pPr>
              <w:contextualSpacing/>
              <w:jc w:val="center"/>
              <w:rPr>
                <w:rFonts w:ascii="Arial" w:hAnsi="Arial" w:cs="Arial"/>
                <w:b/>
                <w:bCs/>
                <w:sz w:val="20"/>
                <w:szCs w:val="22"/>
              </w:rPr>
            </w:pPr>
            <w:r w:rsidRPr="00E46D41">
              <w:rPr>
                <w:rFonts w:ascii="Arial" w:hAnsi="Arial" w:cs="Arial"/>
                <w:b/>
                <w:bCs/>
                <w:sz w:val="20"/>
                <w:szCs w:val="22"/>
              </w:rPr>
              <w:t>Indicador</w:t>
            </w:r>
          </w:p>
        </w:tc>
        <w:tc>
          <w:tcPr>
            <w:tcW w:w="1669" w:type="dxa"/>
          </w:tcPr>
          <w:p w:rsidR="00D75790" w:rsidRPr="00E46D41" w:rsidRDefault="00D75790" w:rsidP="00695E54">
            <w:pPr>
              <w:contextualSpacing/>
              <w:jc w:val="center"/>
              <w:rPr>
                <w:rFonts w:ascii="Arial" w:hAnsi="Arial" w:cs="Arial"/>
                <w:b/>
                <w:bCs/>
                <w:sz w:val="20"/>
                <w:szCs w:val="22"/>
              </w:rPr>
            </w:pPr>
            <w:r w:rsidRPr="00E46D41">
              <w:rPr>
                <w:rFonts w:ascii="Arial" w:hAnsi="Arial" w:cs="Arial"/>
                <w:b/>
                <w:bCs/>
                <w:sz w:val="20"/>
                <w:szCs w:val="22"/>
              </w:rPr>
              <w:t>DATO</w:t>
            </w:r>
          </w:p>
        </w:tc>
        <w:tc>
          <w:tcPr>
            <w:tcW w:w="3666" w:type="dxa"/>
          </w:tcPr>
          <w:p w:rsidR="00D75790" w:rsidRPr="00E46D41" w:rsidRDefault="00D75790" w:rsidP="00695E54">
            <w:pPr>
              <w:contextualSpacing/>
              <w:jc w:val="center"/>
              <w:rPr>
                <w:rFonts w:ascii="Arial" w:hAnsi="Arial" w:cs="Arial"/>
                <w:b/>
                <w:bCs/>
                <w:sz w:val="20"/>
                <w:szCs w:val="22"/>
              </w:rPr>
            </w:pPr>
            <w:r w:rsidRPr="00E46D41">
              <w:rPr>
                <w:rFonts w:ascii="Arial" w:hAnsi="Arial" w:cs="Arial"/>
                <w:b/>
                <w:bCs/>
                <w:sz w:val="20"/>
                <w:szCs w:val="22"/>
              </w:rPr>
              <w:t>Fuente</w:t>
            </w:r>
          </w:p>
        </w:tc>
      </w:tr>
      <w:tr w:rsidR="00D75790" w:rsidRPr="00CA2137" w:rsidTr="00695E54">
        <w:trPr>
          <w:trHeight w:val="215"/>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Habitantes</w:t>
            </w:r>
          </w:p>
        </w:tc>
        <w:tc>
          <w:tcPr>
            <w:tcW w:w="1669" w:type="dxa"/>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73.850</w:t>
            </w:r>
          </w:p>
        </w:tc>
        <w:tc>
          <w:tcPr>
            <w:tcW w:w="3666"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Plan Desarrollo 2020-2023</w:t>
            </w:r>
          </w:p>
        </w:tc>
      </w:tr>
      <w:tr w:rsidR="00D75790" w:rsidRPr="00CA2137" w:rsidTr="00695E54">
        <w:trPr>
          <w:trHeight w:val="229"/>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lastRenderedPageBreak/>
              <w:t>Unidades de Vivienda</w:t>
            </w:r>
          </w:p>
        </w:tc>
        <w:tc>
          <w:tcPr>
            <w:tcW w:w="1669" w:type="dxa"/>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16.405</w:t>
            </w:r>
          </w:p>
        </w:tc>
        <w:tc>
          <w:tcPr>
            <w:tcW w:w="3666"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(DANE 2018):</w:t>
            </w:r>
          </w:p>
        </w:tc>
      </w:tr>
      <w:tr w:rsidR="00D75790" w:rsidRPr="00CA2137" w:rsidTr="00695E54">
        <w:trPr>
          <w:trHeight w:val="215"/>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Usuarios Acueducto</w:t>
            </w:r>
          </w:p>
        </w:tc>
        <w:tc>
          <w:tcPr>
            <w:tcW w:w="1669" w:type="dxa"/>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9.745</w:t>
            </w:r>
          </w:p>
        </w:tc>
        <w:tc>
          <w:tcPr>
            <w:tcW w:w="3666"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 xml:space="preserve">Veolia </w:t>
            </w:r>
            <w:r w:rsidR="00E013AF" w:rsidRPr="00E46D41">
              <w:rPr>
                <w:rFonts w:ascii="Arial" w:hAnsi="Arial" w:cs="Arial"/>
                <w:sz w:val="20"/>
                <w:szCs w:val="22"/>
              </w:rPr>
              <w:t>marzo</w:t>
            </w:r>
            <w:r w:rsidRPr="00E46D41">
              <w:rPr>
                <w:rFonts w:ascii="Arial" w:hAnsi="Arial" w:cs="Arial"/>
                <w:sz w:val="20"/>
                <w:szCs w:val="22"/>
              </w:rPr>
              <w:t xml:space="preserve"> 2021</w:t>
            </w:r>
          </w:p>
        </w:tc>
      </w:tr>
      <w:tr w:rsidR="00D75790" w:rsidRPr="00CA2137" w:rsidTr="00695E54">
        <w:trPr>
          <w:trHeight w:val="229"/>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Usuarios Renuentes</w:t>
            </w:r>
          </w:p>
        </w:tc>
        <w:tc>
          <w:tcPr>
            <w:tcW w:w="1669" w:type="dxa"/>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2.497</w:t>
            </w:r>
          </w:p>
        </w:tc>
        <w:tc>
          <w:tcPr>
            <w:tcW w:w="3666"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 xml:space="preserve">Veolia </w:t>
            </w:r>
            <w:r w:rsidR="00E013AF" w:rsidRPr="00E46D41">
              <w:rPr>
                <w:rFonts w:ascii="Arial" w:hAnsi="Arial" w:cs="Arial"/>
                <w:sz w:val="20"/>
                <w:szCs w:val="22"/>
              </w:rPr>
              <w:t>marzo</w:t>
            </w:r>
            <w:r w:rsidRPr="00E46D41">
              <w:rPr>
                <w:rFonts w:ascii="Arial" w:hAnsi="Arial" w:cs="Arial"/>
                <w:sz w:val="20"/>
                <w:szCs w:val="22"/>
              </w:rPr>
              <w:t xml:space="preserve"> 2021</w:t>
            </w:r>
          </w:p>
        </w:tc>
      </w:tr>
      <w:tr w:rsidR="00D75790" w:rsidRPr="00CA2137" w:rsidTr="00695E54">
        <w:trPr>
          <w:trHeight w:val="445"/>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Pozos residenciales</w:t>
            </w:r>
          </w:p>
        </w:tc>
        <w:tc>
          <w:tcPr>
            <w:tcW w:w="1669" w:type="dxa"/>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6.035</w:t>
            </w:r>
          </w:p>
        </w:tc>
        <w:tc>
          <w:tcPr>
            <w:tcW w:w="3666"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Datos de referencia - Gobernación departamental, 2004</w:t>
            </w:r>
          </w:p>
        </w:tc>
      </w:tr>
      <w:tr w:rsidR="00D75790" w:rsidRPr="00CA2137" w:rsidTr="00695E54">
        <w:trPr>
          <w:trHeight w:val="215"/>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Viviendas abastecidas de agua</w:t>
            </w:r>
          </w:p>
        </w:tc>
        <w:tc>
          <w:tcPr>
            <w:tcW w:w="5335" w:type="dxa"/>
            <w:gridSpan w:val="2"/>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Incluye renuentes y con pozos</w:t>
            </w:r>
          </w:p>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9.745 + 2.497 + 6.035= 18.277</w:t>
            </w:r>
          </w:p>
        </w:tc>
      </w:tr>
      <w:tr w:rsidR="00D75790" w:rsidRPr="00CA2137" w:rsidTr="00695E54">
        <w:trPr>
          <w:trHeight w:val="215"/>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 xml:space="preserve">Población con abastecimiento de agua </w:t>
            </w:r>
          </w:p>
        </w:tc>
        <w:tc>
          <w:tcPr>
            <w:tcW w:w="5335" w:type="dxa"/>
            <w:gridSpan w:val="2"/>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 xml:space="preserve">(18.277 *4 = </w:t>
            </w:r>
            <w:r w:rsidRPr="00E46D41">
              <w:rPr>
                <w:rFonts w:ascii="Arial" w:hAnsi="Arial" w:cs="Arial"/>
                <w:b/>
                <w:bCs/>
                <w:sz w:val="20"/>
                <w:szCs w:val="22"/>
              </w:rPr>
              <w:t>73.108</w:t>
            </w:r>
            <w:r w:rsidRPr="00E46D41">
              <w:rPr>
                <w:rFonts w:ascii="Arial" w:hAnsi="Arial" w:cs="Arial"/>
                <w:sz w:val="20"/>
                <w:szCs w:val="22"/>
              </w:rPr>
              <w:t>)</w:t>
            </w:r>
          </w:p>
        </w:tc>
      </w:tr>
      <w:tr w:rsidR="00D75790" w:rsidRPr="00CA2137" w:rsidTr="00695E54">
        <w:trPr>
          <w:trHeight w:val="215"/>
          <w:jc w:val="center"/>
        </w:trPr>
        <w:tc>
          <w:tcPr>
            <w:tcW w:w="2405" w:type="dxa"/>
          </w:tcPr>
          <w:p w:rsidR="00D75790" w:rsidRPr="00E46D41" w:rsidRDefault="00D75790" w:rsidP="00695E54">
            <w:pPr>
              <w:contextualSpacing/>
              <w:jc w:val="both"/>
              <w:rPr>
                <w:rFonts w:ascii="Arial" w:hAnsi="Arial" w:cs="Arial"/>
                <w:sz w:val="20"/>
                <w:szCs w:val="22"/>
              </w:rPr>
            </w:pPr>
            <w:r w:rsidRPr="00E46D41">
              <w:rPr>
                <w:rFonts w:ascii="Arial" w:hAnsi="Arial" w:cs="Arial"/>
                <w:sz w:val="20"/>
                <w:szCs w:val="22"/>
              </w:rPr>
              <w:t>Población con Abastecimiento de agua</w:t>
            </w:r>
          </w:p>
        </w:tc>
        <w:tc>
          <w:tcPr>
            <w:tcW w:w="5335" w:type="dxa"/>
            <w:gridSpan w:val="2"/>
          </w:tcPr>
          <w:p w:rsidR="00D75790" w:rsidRPr="00E46D41" w:rsidRDefault="00D75790" w:rsidP="00695E54">
            <w:pPr>
              <w:contextualSpacing/>
              <w:jc w:val="center"/>
              <w:rPr>
                <w:rFonts w:ascii="Arial" w:hAnsi="Arial" w:cs="Arial"/>
                <w:sz w:val="20"/>
                <w:szCs w:val="22"/>
              </w:rPr>
            </w:pPr>
            <w:r w:rsidRPr="00E46D41">
              <w:rPr>
                <w:rFonts w:ascii="Arial" w:hAnsi="Arial" w:cs="Arial"/>
                <w:sz w:val="20"/>
                <w:szCs w:val="22"/>
              </w:rPr>
              <w:t>98%</w:t>
            </w:r>
          </w:p>
        </w:tc>
      </w:tr>
    </w:tbl>
    <w:p w:rsidR="00D75790" w:rsidRPr="007F0D4D" w:rsidRDefault="00D75790" w:rsidP="00D75790">
      <w:pPr>
        <w:contextualSpacing/>
        <w:jc w:val="center"/>
        <w:rPr>
          <w:rFonts w:ascii="Arial" w:hAnsi="Arial" w:cs="Arial"/>
          <w:sz w:val="22"/>
          <w:szCs w:val="22"/>
        </w:rPr>
      </w:pPr>
      <w:r w:rsidRPr="001706A1">
        <w:rPr>
          <w:rFonts w:ascii="Arial" w:hAnsi="Arial" w:cs="Arial"/>
          <w:sz w:val="16"/>
          <w:szCs w:val="16"/>
        </w:rPr>
        <w:t>Cálculos DAF</w:t>
      </w:r>
    </w:p>
    <w:p w:rsidR="00D75790" w:rsidRPr="007F0D4D" w:rsidRDefault="00D75790" w:rsidP="00D75790">
      <w:pPr>
        <w:pStyle w:val="Textocomentario"/>
        <w:contextualSpacing/>
        <w:rPr>
          <w:rFonts w:ascii="Arial" w:hAnsi="Arial" w:cs="Arial"/>
          <w:sz w:val="22"/>
          <w:szCs w:val="22"/>
        </w:rPr>
      </w:pPr>
    </w:p>
    <w:p w:rsidR="00D75790" w:rsidRDefault="00D75790" w:rsidP="00D75790">
      <w:pPr>
        <w:pStyle w:val="Textocomentario"/>
        <w:contextualSpacing/>
        <w:rPr>
          <w:rFonts w:ascii="Arial" w:hAnsi="Arial" w:cs="Arial"/>
          <w:sz w:val="22"/>
          <w:szCs w:val="22"/>
        </w:rPr>
      </w:pPr>
      <w:r w:rsidRPr="007F0D4D">
        <w:rPr>
          <w:rFonts w:ascii="Arial" w:hAnsi="Arial" w:cs="Arial"/>
          <w:sz w:val="22"/>
          <w:szCs w:val="22"/>
        </w:rPr>
        <w:t>En este cálculo se debe tener en cuenta que:</w:t>
      </w:r>
    </w:p>
    <w:p w:rsidR="00D75790" w:rsidRPr="007F0D4D" w:rsidRDefault="00D75790" w:rsidP="00D75790">
      <w:pPr>
        <w:pStyle w:val="Textocomentario"/>
        <w:contextualSpacing/>
        <w:rPr>
          <w:rFonts w:ascii="Arial" w:hAnsi="Arial" w:cs="Arial"/>
          <w:sz w:val="22"/>
          <w:szCs w:val="22"/>
        </w:rPr>
      </w:pPr>
    </w:p>
    <w:p w:rsidR="00D75790" w:rsidRPr="007F0D4D" w:rsidRDefault="00D75790" w:rsidP="00D75790">
      <w:pPr>
        <w:pStyle w:val="Textocomentario"/>
        <w:numPr>
          <w:ilvl w:val="0"/>
          <w:numId w:val="23"/>
        </w:numPr>
        <w:contextualSpacing/>
        <w:jc w:val="both"/>
        <w:rPr>
          <w:rFonts w:ascii="Arial" w:hAnsi="Arial" w:cs="Arial"/>
          <w:sz w:val="22"/>
          <w:szCs w:val="22"/>
        </w:rPr>
      </w:pPr>
      <w:r w:rsidRPr="007F0D4D">
        <w:rPr>
          <w:rFonts w:ascii="Arial" w:hAnsi="Arial" w:cs="Arial"/>
          <w:sz w:val="22"/>
          <w:szCs w:val="22"/>
        </w:rPr>
        <w:t>Se están incluyendo los usuarios renuentes (</w:t>
      </w:r>
      <w:r>
        <w:rPr>
          <w:rFonts w:ascii="Arial" w:hAnsi="Arial" w:cs="Arial"/>
          <w:sz w:val="22"/>
          <w:szCs w:val="22"/>
        </w:rPr>
        <w:t>a</w:t>
      </w:r>
      <w:r w:rsidRPr="007F0D4D">
        <w:rPr>
          <w:rFonts w:ascii="Arial" w:hAnsi="Arial" w:cs="Arial"/>
          <w:sz w:val="22"/>
          <w:szCs w:val="22"/>
        </w:rPr>
        <w:t>quellos que no se quieren conectar a la red de acueducto)</w:t>
      </w:r>
    </w:p>
    <w:p w:rsidR="00D75790" w:rsidRPr="007F0D4D" w:rsidRDefault="00D75790" w:rsidP="00D75790">
      <w:pPr>
        <w:pStyle w:val="Textocomentario"/>
        <w:numPr>
          <w:ilvl w:val="0"/>
          <w:numId w:val="23"/>
        </w:numPr>
        <w:contextualSpacing/>
        <w:jc w:val="both"/>
        <w:rPr>
          <w:rFonts w:ascii="Arial" w:hAnsi="Arial" w:cs="Arial"/>
          <w:sz w:val="22"/>
          <w:szCs w:val="22"/>
        </w:rPr>
      </w:pPr>
      <w:r w:rsidRPr="007F0D4D">
        <w:rPr>
          <w:rFonts w:ascii="Arial" w:hAnsi="Arial" w:cs="Arial"/>
          <w:sz w:val="22"/>
          <w:szCs w:val="22"/>
        </w:rPr>
        <w:t>Se incluyen los resultados de los cálculos de la cantidad de pozos barrenos mediante los cuales</w:t>
      </w:r>
      <w:r>
        <w:rPr>
          <w:rFonts w:ascii="Arial" w:hAnsi="Arial" w:cs="Arial"/>
          <w:sz w:val="22"/>
          <w:szCs w:val="22"/>
        </w:rPr>
        <w:t>, una parte de</w:t>
      </w:r>
      <w:r w:rsidRPr="007F0D4D">
        <w:rPr>
          <w:rFonts w:ascii="Arial" w:hAnsi="Arial" w:cs="Arial"/>
          <w:sz w:val="22"/>
          <w:szCs w:val="22"/>
        </w:rPr>
        <w:t xml:space="preserve"> la población se abastece de agua, que datan de 2004, pero que aún sirven de referencia en documentos actualizados oficiales.</w:t>
      </w:r>
    </w:p>
    <w:p w:rsidR="00D75790" w:rsidRPr="00114455" w:rsidRDefault="00D75790" w:rsidP="00D75790">
      <w:pPr>
        <w:pStyle w:val="Prrafodelista"/>
        <w:numPr>
          <w:ilvl w:val="0"/>
          <w:numId w:val="23"/>
        </w:numPr>
        <w:jc w:val="both"/>
        <w:rPr>
          <w:rFonts w:ascii="Arial" w:hAnsi="Arial" w:cs="Arial"/>
          <w:sz w:val="22"/>
          <w:szCs w:val="22"/>
        </w:rPr>
      </w:pPr>
      <w:r w:rsidRPr="00114455">
        <w:rPr>
          <w:rFonts w:ascii="Arial" w:hAnsi="Arial" w:cs="Arial"/>
          <w:sz w:val="22"/>
          <w:szCs w:val="22"/>
        </w:rPr>
        <w:t>La cantidad de personas que serían beneficiadas con la conexión, por vivienda (4 personas).</w:t>
      </w:r>
    </w:p>
    <w:p w:rsidR="00D75790" w:rsidRPr="00114455" w:rsidRDefault="00D75790" w:rsidP="00D75790">
      <w:pPr>
        <w:pStyle w:val="Prrafodelista"/>
        <w:numPr>
          <w:ilvl w:val="0"/>
          <w:numId w:val="23"/>
        </w:numPr>
        <w:jc w:val="both"/>
        <w:rPr>
          <w:rFonts w:ascii="Arial" w:hAnsi="Arial" w:cs="Arial"/>
          <w:sz w:val="22"/>
          <w:szCs w:val="22"/>
        </w:rPr>
      </w:pPr>
      <w:r w:rsidRPr="00114455">
        <w:rPr>
          <w:rFonts w:ascii="Arial" w:hAnsi="Arial" w:cs="Arial"/>
          <w:sz w:val="22"/>
          <w:szCs w:val="22"/>
        </w:rPr>
        <w:t>Los datos del Operador</w:t>
      </w:r>
      <w:r>
        <w:rPr>
          <w:rFonts w:ascii="Arial" w:hAnsi="Arial" w:cs="Arial"/>
          <w:sz w:val="22"/>
          <w:szCs w:val="22"/>
        </w:rPr>
        <w:t xml:space="preserve"> del Servicio de Acueducto</w:t>
      </w:r>
      <w:r w:rsidRPr="00114455">
        <w:rPr>
          <w:rFonts w:ascii="Arial" w:hAnsi="Arial" w:cs="Arial"/>
          <w:sz w:val="22"/>
          <w:szCs w:val="22"/>
        </w:rPr>
        <w:t xml:space="preserve"> son de marzo de 2021.</w:t>
      </w:r>
    </w:p>
    <w:p w:rsidR="00D75790" w:rsidRPr="00114455" w:rsidRDefault="00D75790" w:rsidP="00D75790">
      <w:pPr>
        <w:pStyle w:val="Prrafodelista"/>
        <w:numPr>
          <w:ilvl w:val="0"/>
          <w:numId w:val="23"/>
        </w:numPr>
        <w:spacing w:after="20"/>
        <w:jc w:val="both"/>
        <w:rPr>
          <w:rFonts w:ascii="Arial" w:hAnsi="Arial" w:cs="Arial"/>
          <w:sz w:val="22"/>
          <w:szCs w:val="22"/>
        </w:rPr>
      </w:pPr>
      <w:r w:rsidRPr="00114455">
        <w:rPr>
          <w:rFonts w:ascii="Arial" w:hAnsi="Arial" w:cs="Arial"/>
          <w:sz w:val="22"/>
          <w:szCs w:val="22"/>
        </w:rPr>
        <w:t>En los términos de la Ley 142 de 1.994</w:t>
      </w:r>
      <w:r>
        <w:rPr>
          <w:rFonts w:ascii="Arial" w:hAnsi="Arial" w:cs="Arial"/>
          <w:sz w:val="22"/>
          <w:szCs w:val="22"/>
        </w:rPr>
        <w:t xml:space="preserve">, </w:t>
      </w:r>
      <w:r w:rsidRPr="00114455">
        <w:rPr>
          <w:rFonts w:ascii="Arial" w:hAnsi="Arial" w:cs="Arial"/>
          <w:sz w:val="22"/>
          <w:szCs w:val="22"/>
        </w:rPr>
        <w:t xml:space="preserve">la cobertura del </w:t>
      </w:r>
      <w:r>
        <w:rPr>
          <w:rFonts w:ascii="Arial" w:hAnsi="Arial" w:cs="Arial"/>
          <w:sz w:val="22"/>
          <w:szCs w:val="22"/>
        </w:rPr>
        <w:t>S</w:t>
      </w:r>
      <w:r w:rsidRPr="00114455">
        <w:rPr>
          <w:rFonts w:ascii="Arial" w:hAnsi="Arial" w:cs="Arial"/>
          <w:sz w:val="22"/>
          <w:szCs w:val="22"/>
        </w:rPr>
        <w:t xml:space="preserve">ervicio </w:t>
      </w:r>
      <w:r>
        <w:rPr>
          <w:rFonts w:ascii="Arial" w:hAnsi="Arial" w:cs="Arial"/>
          <w:sz w:val="22"/>
          <w:szCs w:val="22"/>
        </w:rPr>
        <w:t>P</w:t>
      </w:r>
      <w:r w:rsidRPr="00114455">
        <w:rPr>
          <w:rFonts w:ascii="Arial" w:hAnsi="Arial" w:cs="Arial"/>
          <w:sz w:val="22"/>
          <w:szCs w:val="22"/>
        </w:rPr>
        <w:t xml:space="preserve">úblico </w:t>
      </w:r>
      <w:r>
        <w:rPr>
          <w:rFonts w:ascii="Arial" w:hAnsi="Arial" w:cs="Arial"/>
          <w:sz w:val="22"/>
          <w:szCs w:val="22"/>
        </w:rPr>
        <w:t>D</w:t>
      </w:r>
      <w:r w:rsidRPr="00114455">
        <w:rPr>
          <w:rFonts w:ascii="Arial" w:hAnsi="Arial" w:cs="Arial"/>
          <w:sz w:val="22"/>
          <w:szCs w:val="22"/>
        </w:rPr>
        <w:t xml:space="preserve">omiciliario de </w:t>
      </w:r>
      <w:r>
        <w:rPr>
          <w:rFonts w:ascii="Arial" w:hAnsi="Arial" w:cs="Arial"/>
          <w:sz w:val="22"/>
          <w:szCs w:val="22"/>
        </w:rPr>
        <w:t>A</w:t>
      </w:r>
      <w:r w:rsidRPr="00114455">
        <w:rPr>
          <w:rFonts w:ascii="Arial" w:hAnsi="Arial" w:cs="Arial"/>
          <w:sz w:val="22"/>
          <w:szCs w:val="22"/>
        </w:rPr>
        <w:t>cueduct</w:t>
      </w:r>
      <w:r w:rsidRPr="00274EB0">
        <w:rPr>
          <w:rFonts w:ascii="Arial" w:hAnsi="Arial" w:cs="Arial"/>
          <w:sz w:val="22"/>
          <w:szCs w:val="22"/>
        </w:rPr>
        <w:t>o</w:t>
      </w:r>
      <w:r w:rsidRPr="00274EB0">
        <w:rPr>
          <w:rFonts w:ascii="Arial" w:hAnsi="Arial" w:cs="Arial"/>
          <w:sz w:val="18"/>
          <w:szCs w:val="18"/>
          <w:vertAlign w:val="superscript"/>
        </w:rPr>
        <w:footnoteReference w:id="27"/>
      </w:r>
      <w:r w:rsidRPr="00114455">
        <w:rPr>
          <w:rFonts w:ascii="Arial" w:hAnsi="Arial" w:cs="Arial"/>
          <w:sz w:val="16"/>
          <w:szCs w:val="16"/>
        </w:rPr>
        <w:t xml:space="preserve"> </w:t>
      </w:r>
      <w:r w:rsidRPr="00114455">
        <w:rPr>
          <w:rFonts w:ascii="Arial" w:hAnsi="Arial" w:cs="Arial"/>
          <w:sz w:val="22"/>
          <w:szCs w:val="22"/>
        </w:rPr>
        <w:t>(</w:t>
      </w:r>
      <w:r>
        <w:rPr>
          <w:rFonts w:ascii="Arial" w:hAnsi="Arial" w:cs="Arial"/>
          <w:sz w:val="22"/>
          <w:szCs w:val="22"/>
        </w:rPr>
        <w:t>i</w:t>
      </w:r>
      <w:r w:rsidRPr="00114455">
        <w:rPr>
          <w:rFonts w:ascii="Arial" w:hAnsi="Arial" w:cs="Arial"/>
          <w:sz w:val="22"/>
          <w:szCs w:val="22"/>
        </w:rPr>
        <w:t xml:space="preserve">ncluye medición y conexión) en San Andrés es incierta, en la medida en </w:t>
      </w:r>
      <w:r w:rsidR="00E013AF" w:rsidRPr="00114455">
        <w:rPr>
          <w:rFonts w:ascii="Arial" w:hAnsi="Arial" w:cs="Arial"/>
          <w:sz w:val="22"/>
          <w:szCs w:val="22"/>
        </w:rPr>
        <w:t>que,</w:t>
      </w:r>
      <w:r w:rsidRPr="00114455">
        <w:rPr>
          <w:rFonts w:ascii="Arial" w:hAnsi="Arial" w:cs="Arial"/>
          <w:sz w:val="22"/>
          <w:szCs w:val="22"/>
        </w:rPr>
        <w:t xml:space="preserve"> si bien el Operador menciona tener 9.745 usuarios, una parte de estos no son medidos en sus consumos y los renuentes (2.497 usuarios), no tienen completa la conexión intradomiliciaria.</w:t>
      </w:r>
    </w:p>
    <w:p w:rsidR="00D75790" w:rsidRPr="00114455" w:rsidRDefault="00D75790" w:rsidP="00D75790">
      <w:pPr>
        <w:pStyle w:val="Prrafodelista"/>
        <w:numPr>
          <w:ilvl w:val="0"/>
          <w:numId w:val="23"/>
        </w:numPr>
        <w:spacing w:after="20"/>
        <w:jc w:val="both"/>
        <w:rPr>
          <w:rFonts w:ascii="Arial" w:hAnsi="Arial" w:cs="Arial"/>
          <w:sz w:val="22"/>
          <w:szCs w:val="22"/>
        </w:rPr>
      </w:pPr>
      <w:r w:rsidRPr="00114455">
        <w:rPr>
          <w:rFonts w:ascii="Arial" w:hAnsi="Arial" w:cs="Arial"/>
          <w:sz w:val="22"/>
          <w:szCs w:val="22"/>
        </w:rPr>
        <w:t>Los reportes de la información oficial sobre las coberturas en la Isla presenta</w:t>
      </w:r>
      <w:r>
        <w:rPr>
          <w:rFonts w:ascii="Arial" w:hAnsi="Arial" w:cs="Arial"/>
          <w:sz w:val="22"/>
          <w:szCs w:val="22"/>
        </w:rPr>
        <w:t>n</w:t>
      </w:r>
      <w:r w:rsidRPr="00114455">
        <w:rPr>
          <w:rFonts w:ascii="Arial" w:hAnsi="Arial" w:cs="Arial"/>
          <w:sz w:val="22"/>
          <w:szCs w:val="22"/>
        </w:rPr>
        <w:t xml:space="preserve"> cifras del 25</w:t>
      </w:r>
      <w:r>
        <w:rPr>
          <w:rFonts w:ascii="Arial" w:hAnsi="Arial" w:cs="Arial"/>
          <w:sz w:val="22"/>
          <w:szCs w:val="22"/>
        </w:rPr>
        <w:t xml:space="preserve"> </w:t>
      </w:r>
      <w:r w:rsidRPr="00114455">
        <w:rPr>
          <w:rFonts w:ascii="Arial" w:hAnsi="Arial" w:cs="Arial"/>
          <w:sz w:val="22"/>
          <w:szCs w:val="22"/>
        </w:rPr>
        <w:t xml:space="preserve">% de cobertura </w:t>
      </w:r>
      <w:r>
        <w:rPr>
          <w:rFonts w:ascii="Arial" w:hAnsi="Arial" w:cs="Arial"/>
          <w:sz w:val="22"/>
          <w:szCs w:val="22"/>
        </w:rPr>
        <w:t>en la prestación del Servicio de A</w:t>
      </w:r>
      <w:r w:rsidRPr="00114455">
        <w:rPr>
          <w:rFonts w:ascii="Arial" w:hAnsi="Arial" w:cs="Arial"/>
          <w:sz w:val="22"/>
          <w:szCs w:val="22"/>
        </w:rPr>
        <w:t>cueducto urbano</w:t>
      </w:r>
      <w:r>
        <w:rPr>
          <w:rFonts w:ascii="Arial" w:hAnsi="Arial" w:cs="Arial"/>
          <w:sz w:val="22"/>
          <w:szCs w:val="22"/>
        </w:rPr>
        <w:t xml:space="preserve"> al cierre de la vigencia 2019.</w:t>
      </w:r>
    </w:p>
    <w:p w:rsidR="00D75790" w:rsidRDefault="00D75790" w:rsidP="00D75790">
      <w:pPr>
        <w:contextualSpacing/>
        <w:jc w:val="both"/>
        <w:rPr>
          <w:rFonts w:ascii="Arial" w:hAnsi="Arial" w:cs="Arial"/>
          <w:b/>
          <w:bCs/>
          <w:color w:val="222222"/>
          <w:sz w:val="22"/>
          <w:szCs w:val="22"/>
          <w:lang w:val="es-ES_tradnl"/>
        </w:rPr>
      </w:pPr>
    </w:p>
    <w:p w:rsidR="00D75790" w:rsidRPr="00DC371E" w:rsidRDefault="00D75790" w:rsidP="00D75790">
      <w:pPr>
        <w:contextualSpacing/>
        <w:jc w:val="both"/>
        <w:rPr>
          <w:rFonts w:ascii="Arial" w:hAnsi="Arial" w:cs="Arial"/>
          <w:b/>
          <w:bCs/>
          <w:color w:val="222222"/>
          <w:sz w:val="22"/>
          <w:szCs w:val="22"/>
          <w:lang w:val="es-ES_tradnl"/>
        </w:rPr>
      </w:pPr>
      <w:r w:rsidRPr="00DC371E">
        <w:rPr>
          <w:rFonts w:ascii="Arial" w:hAnsi="Arial" w:cs="Arial"/>
          <w:b/>
          <w:bCs/>
          <w:color w:val="222222"/>
          <w:sz w:val="22"/>
          <w:szCs w:val="22"/>
          <w:lang w:val="es-ES_tradnl"/>
        </w:rPr>
        <w:t>CONTINUIDAD</w:t>
      </w:r>
      <w:r>
        <w:rPr>
          <w:rFonts w:ascii="Arial" w:hAnsi="Arial" w:cs="Arial"/>
          <w:b/>
          <w:bCs/>
          <w:color w:val="222222"/>
          <w:sz w:val="22"/>
          <w:szCs w:val="22"/>
          <w:lang w:val="es-ES_tradnl"/>
        </w:rPr>
        <w:t>.</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Este indicador evalúa la disponibilidad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 a los usuarios en términos de horas al día, de acuerdo con la metodología para su cálculo establecida en la Resolución 2115 de 2007 y en porcentaje, según lo establecido en la Resolución CRA 315 de 2005.</w:t>
      </w:r>
    </w:p>
    <w:p w:rsidR="00D75790" w:rsidRPr="00DC371E" w:rsidRDefault="00D75790" w:rsidP="00D75790">
      <w:pPr>
        <w:contextualSpacing/>
        <w:jc w:val="both"/>
        <w:rPr>
          <w:rFonts w:ascii="Arial" w:hAnsi="Arial" w:cs="Arial"/>
          <w:color w:val="222222"/>
          <w:sz w:val="22"/>
          <w:szCs w:val="22"/>
          <w:lang w:val="es-ES_tradnl"/>
        </w:rPr>
      </w:pPr>
    </w:p>
    <w:p w:rsidR="00D75790" w:rsidRPr="00E46D41" w:rsidRDefault="00D75790" w:rsidP="00D75790">
      <w:pPr>
        <w:contextualSpacing/>
        <w:jc w:val="center"/>
        <w:rPr>
          <w:rFonts w:ascii="Arial" w:hAnsi="Arial" w:cs="Arial"/>
          <w:b/>
          <w:bCs/>
          <w:color w:val="222222"/>
          <w:sz w:val="20"/>
          <w:szCs w:val="22"/>
          <w:lang w:val="es-ES_tradnl"/>
        </w:rPr>
      </w:pPr>
      <w:r w:rsidRPr="00E46D41">
        <w:rPr>
          <w:rFonts w:ascii="Arial" w:hAnsi="Arial" w:cs="Arial"/>
          <w:b/>
          <w:bCs/>
          <w:color w:val="222222"/>
          <w:sz w:val="20"/>
          <w:szCs w:val="22"/>
          <w:lang w:val="es-ES_tradnl"/>
        </w:rPr>
        <w:t>TABLA 22 INDICE DE CONTINUIDAD</w:t>
      </w:r>
    </w:p>
    <w:tbl>
      <w:tblPr>
        <w:tblStyle w:val="Tablaconcuadrcula"/>
        <w:tblW w:w="0" w:type="auto"/>
        <w:jc w:val="center"/>
        <w:tblLook w:val="04A0" w:firstRow="1" w:lastRow="0" w:firstColumn="1" w:lastColumn="0" w:noHBand="0" w:noVBand="1"/>
      </w:tblPr>
      <w:tblGrid>
        <w:gridCol w:w="3028"/>
        <w:gridCol w:w="2428"/>
      </w:tblGrid>
      <w:tr w:rsidR="00D75790" w:rsidRPr="00DC371E" w:rsidTr="00695E54">
        <w:trPr>
          <w:jc w:val="center"/>
        </w:trPr>
        <w:tc>
          <w:tcPr>
            <w:tcW w:w="3028" w:type="dxa"/>
            <w:shd w:val="clear" w:color="auto" w:fill="DBE5F1" w:themeFill="accent1" w:themeFillTint="33"/>
          </w:tcPr>
          <w:p w:rsidR="00D75790" w:rsidRPr="00DC371E" w:rsidRDefault="00D75790" w:rsidP="00695E54">
            <w:pPr>
              <w:contextualSpacing/>
              <w:jc w:val="center"/>
              <w:rPr>
                <w:rFonts w:ascii="Arial" w:hAnsi="Arial" w:cs="Arial"/>
                <w:b/>
                <w:bCs/>
                <w:color w:val="222222"/>
                <w:sz w:val="20"/>
                <w:szCs w:val="20"/>
                <w:lang w:val="es-ES_tradnl"/>
              </w:rPr>
            </w:pPr>
            <w:r w:rsidRPr="00DC371E">
              <w:rPr>
                <w:rFonts w:ascii="Arial" w:hAnsi="Arial" w:cs="Arial"/>
                <w:b/>
                <w:bCs/>
                <w:sz w:val="20"/>
                <w:szCs w:val="20"/>
              </w:rPr>
              <w:t>Continuidad del servicio - IC</w:t>
            </w:r>
          </w:p>
        </w:tc>
        <w:tc>
          <w:tcPr>
            <w:tcW w:w="2428" w:type="dxa"/>
            <w:shd w:val="clear" w:color="auto" w:fill="DBE5F1" w:themeFill="accent1" w:themeFillTint="33"/>
          </w:tcPr>
          <w:p w:rsidR="00D75790" w:rsidRPr="00DC371E" w:rsidRDefault="00D75790" w:rsidP="00695E54">
            <w:pPr>
              <w:contextualSpacing/>
              <w:jc w:val="center"/>
              <w:rPr>
                <w:rFonts w:ascii="Arial" w:hAnsi="Arial" w:cs="Arial"/>
                <w:b/>
                <w:bCs/>
                <w:color w:val="222222"/>
                <w:sz w:val="20"/>
                <w:szCs w:val="20"/>
                <w:lang w:val="es-ES_tradnl"/>
              </w:rPr>
            </w:pPr>
            <w:r w:rsidRPr="00DC371E">
              <w:rPr>
                <w:rFonts w:ascii="Arial" w:hAnsi="Arial" w:cs="Arial"/>
                <w:b/>
                <w:bCs/>
                <w:sz w:val="20"/>
                <w:szCs w:val="20"/>
              </w:rPr>
              <w:t>Clasificación</w:t>
            </w:r>
          </w:p>
        </w:tc>
      </w:tr>
      <w:tr w:rsidR="00D75790" w:rsidRPr="00DC371E" w:rsidTr="00695E54">
        <w:trPr>
          <w:jc w:val="center"/>
        </w:trPr>
        <w:tc>
          <w:tcPr>
            <w:tcW w:w="30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0- 10 HORAS/DIA</w:t>
            </w:r>
          </w:p>
        </w:tc>
        <w:tc>
          <w:tcPr>
            <w:tcW w:w="24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(INSUFICIENTE)</w:t>
            </w:r>
          </w:p>
        </w:tc>
      </w:tr>
      <w:tr w:rsidR="00D75790" w:rsidRPr="00DC371E" w:rsidTr="00695E54">
        <w:trPr>
          <w:jc w:val="center"/>
        </w:trPr>
        <w:tc>
          <w:tcPr>
            <w:tcW w:w="30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10.1- 18 HORAS/DIA</w:t>
            </w:r>
          </w:p>
        </w:tc>
        <w:tc>
          <w:tcPr>
            <w:tcW w:w="24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(NO SATISFACTORIO)</w:t>
            </w:r>
          </w:p>
        </w:tc>
      </w:tr>
      <w:tr w:rsidR="00D75790" w:rsidRPr="00DC371E" w:rsidTr="00695E54">
        <w:trPr>
          <w:jc w:val="center"/>
        </w:trPr>
        <w:tc>
          <w:tcPr>
            <w:tcW w:w="30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18.1- 23 HORAS/DIA</w:t>
            </w:r>
          </w:p>
        </w:tc>
        <w:tc>
          <w:tcPr>
            <w:tcW w:w="24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(SUFICIENTE)</w:t>
            </w:r>
          </w:p>
        </w:tc>
      </w:tr>
      <w:tr w:rsidR="00D75790" w:rsidRPr="00DC371E" w:rsidTr="00695E54">
        <w:trPr>
          <w:jc w:val="center"/>
        </w:trPr>
        <w:tc>
          <w:tcPr>
            <w:tcW w:w="30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23.1 - 24 HORAS/DIA</w:t>
            </w:r>
          </w:p>
        </w:tc>
        <w:tc>
          <w:tcPr>
            <w:tcW w:w="2428" w:type="dxa"/>
            <w:shd w:val="clear" w:color="auto" w:fill="DBE5F1" w:themeFill="accent1" w:themeFillTint="33"/>
          </w:tcPr>
          <w:p w:rsidR="00D75790" w:rsidRPr="00DC371E" w:rsidRDefault="00D75790" w:rsidP="00695E54">
            <w:pPr>
              <w:contextualSpacing/>
              <w:jc w:val="center"/>
              <w:rPr>
                <w:rFonts w:ascii="Arial" w:hAnsi="Arial" w:cs="Arial"/>
                <w:color w:val="222222"/>
                <w:sz w:val="20"/>
                <w:szCs w:val="20"/>
                <w:lang w:val="es-ES_tradnl"/>
              </w:rPr>
            </w:pPr>
            <w:r w:rsidRPr="00DC371E">
              <w:rPr>
                <w:rFonts w:ascii="Arial" w:hAnsi="Arial" w:cs="Arial"/>
                <w:sz w:val="20"/>
                <w:szCs w:val="20"/>
              </w:rPr>
              <w:t>(CONTINUO)</w:t>
            </w:r>
          </w:p>
        </w:tc>
      </w:tr>
    </w:tbl>
    <w:p w:rsidR="00D75790" w:rsidRPr="00DC371E" w:rsidRDefault="00D75790" w:rsidP="00D75790">
      <w:pPr>
        <w:contextualSpacing/>
        <w:jc w:val="center"/>
        <w:rPr>
          <w:rFonts w:ascii="Arial" w:hAnsi="Arial" w:cs="Arial"/>
          <w:color w:val="222222"/>
          <w:sz w:val="16"/>
          <w:szCs w:val="16"/>
          <w:lang w:val="es-ES_tradnl"/>
        </w:rPr>
      </w:pPr>
      <w:r w:rsidRPr="00DC371E">
        <w:rPr>
          <w:rFonts w:ascii="Arial" w:hAnsi="Arial" w:cs="Arial"/>
          <w:color w:val="222222"/>
          <w:sz w:val="16"/>
          <w:szCs w:val="16"/>
          <w:lang w:val="es-ES_tradnl"/>
        </w:rPr>
        <w:t>Fuente: Resolución CRA 2115 de 2007</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lastRenderedPageBreak/>
        <w:t>En relación con la continuidad</w:t>
      </w:r>
      <w:r w:rsidRPr="00DC371E">
        <w:rPr>
          <w:rStyle w:val="Refdenotaalpie"/>
          <w:rFonts w:ascii="Arial" w:hAnsi="Arial" w:cs="Arial"/>
          <w:color w:val="222222"/>
          <w:sz w:val="22"/>
          <w:szCs w:val="22"/>
          <w:lang w:val="es-ES_tradnl"/>
        </w:rPr>
        <w:footnoteReference w:id="28"/>
      </w:r>
      <w:r w:rsidRPr="00DC371E">
        <w:rPr>
          <w:rFonts w:ascii="Arial" w:hAnsi="Arial" w:cs="Arial"/>
          <w:color w:val="222222"/>
          <w:sz w:val="22"/>
          <w:szCs w:val="22"/>
          <w:lang w:val="es-ES_tradnl"/>
        </w:rPr>
        <w:t xml:space="preserve"> en la prestación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 el informe del MVCT, hizo referencia en los siguientes aspectos:</w:t>
      </w:r>
    </w:p>
    <w:p w:rsidR="00D75790" w:rsidRPr="00DC371E" w:rsidRDefault="00D75790" w:rsidP="00D75790">
      <w:pPr>
        <w:contextualSpacing/>
        <w:jc w:val="both"/>
        <w:rPr>
          <w:rFonts w:ascii="Arial" w:hAnsi="Arial" w:cs="Arial"/>
          <w:color w:val="222222"/>
          <w:sz w:val="22"/>
          <w:szCs w:val="22"/>
          <w:lang w:val="es-ES_tradnl"/>
        </w:rPr>
      </w:pPr>
    </w:p>
    <w:p w:rsidR="00D75790" w:rsidRPr="00E46D41" w:rsidRDefault="00D75790" w:rsidP="00D75790">
      <w:pPr>
        <w:ind w:left="1416"/>
        <w:contextualSpacing/>
        <w:jc w:val="both"/>
        <w:rPr>
          <w:rFonts w:ascii="Arial" w:hAnsi="Arial" w:cs="Arial"/>
          <w:i/>
          <w:iCs/>
          <w:color w:val="222222"/>
          <w:sz w:val="18"/>
          <w:szCs w:val="22"/>
          <w:lang w:val="es-ES_tradnl"/>
        </w:rPr>
      </w:pPr>
      <w:r w:rsidRPr="00E46D41">
        <w:rPr>
          <w:rFonts w:ascii="Arial" w:hAnsi="Arial" w:cs="Arial"/>
          <w:iCs/>
          <w:color w:val="222222"/>
          <w:sz w:val="18"/>
          <w:szCs w:val="22"/>
          <w:lang w:val="es-ES_tradnl"/>
        </w:rPr>
        <w:t>“</w:t>
      </w:r>
      <w:r w:rsidRPr="00E46D41">
        <w:rPr>
          <w:rFonts w:ascii="Arial" w:hAnsi="Arial" w:cs="Arial"/>
          <w:i/>
          <w:iCs/>
          <w:color w:val="222222"/>
          <w:sz w:val="18"/>
          <w:szCs w:val="22"/>
          <w:lang w:val="es-ES_tradnl"/>
        </w:rPr>
        <w:t>Para la vigencia 2019 la entidad territorial no cumplió con este último indicador estratégico, debido a que conforme a la información recopilada en visita realizada en febrero de 2020 la continuidad era menor a 18,1 horas al día.</w:t>
      </w:r>
    </w:p>
    <w:p w:rsidR="00D75790" w:rsidRPr="00E46D41" w:rsidRDefault="00D75790" w:rsidP="00D75790">
      <w:pPr>
        <w:ind w:left="1416"/>
        <w:contextualSpacing/>
        <w:jc w:val="both"/>
        <w:rPr>
          <w:rFonts w:ascii="Arial" w:hAnsi="Arial" w:cs="Arial"/>
          <w:i/>
          <w:iCs/>
          <w:color w:val="222222"/>
          <w:sz w:val="18"/>
          <w:szCs w:val="22"/>
          <w:lang w:val="es-ES_tradnl"/>
        </w:rPr>
      </w:pPr>
    </w:p>
    <w:p w:rsidR="00D75790" w:rsidRPr="00E46D41" w:rsidRDefault="00D75790" w:rsidP="00D75790">
      <w:pPr>
        <w:ind w:left="1416"/>
        <w:contextualSpacing/>
        <w:jc w:val="both"/>
        <w:rPr>
          <w:rFonts w:ascii="Arial" w:hAnsi="Arial" w:cs="Arial"/>
          <w:i/>
          <w:iCs/>
          <w:color w:val="222222"/>
          <w:sz w:val="18"/>
          <w:szCs w:val="22"/>
          <w:lang w:val="es-ES_tradnl"/>
        </w:rPr>
      </w:pPr>
      <w:r w:rsidRPr="00E46D41">
        <w:rPr>
          <w:rFonts w:ascii="Arial" w:hAnsi="Arial" w:cs="Arial"/>
          <w:i/>
          <w:iCs/>
          <w:color w:val="222222"/>
          <w:sz w:val="18"/>
          <w:szCs w:val="22"/>
          <w:lang w:val="es-ES_tradnl"/>
        </w:rPr>
        <w:t xml:space="preserve">Así mismo, la información certificada por la (SSPD) señalaba que la continuidad en 2018 fue de 9,04 horas/día y de la vigencia 2019 no se dispuso de información, por lo cual no se pudo calcular el avance. </w:t>
      </w:r>
    </w:p>
    <w:p w:rsidR="00D75790" w:rsidRPr="00E46D41" w:rsidRDefault="00D75790" w:rsidP="00D75790">
      <w:pPr>
        <w:ind w:left="1416"/>
        <w:contextualSpacing/>
        <w:jc w:val="both"/>
        <w:rPr>
          <w:rFonts w:ascii="Arial" w:hAnsi="Arial" w:cs="Arial"/>
          <w:i/>
          <w:iCs/>
          <w:color w:val="222222"/>
          <w:sz w:val="18"/>
          <w:szCs w:val="22"/>
          <w:lang w:val="es-ES_tradnl"/>
        </w:rPr>
      </w:pPr>
    </w:p>
    <w:p w:rsidR="00D75790" w:rsidRPr="00E46D41" w:rsidRDefault="00D75790" w:rsidP="00D75790">
      <w:pPr>
        <w:ind w:left="1416"/>
        <w:contextualSpacing/>
        <w:jc w:val="both"/>
        <w:rPr>
          <w:rFonts w:ascii="Arial" w:hAnsi="Arial" w:cs="Arial"/>
          <w:color w:val="222222"/>
          <w:sz w:val="18"/>
          <w:szCs w:val="22"/>
          <w:lang w:val="es-ES_tradnl"/>
        </w:rPr>
      </w:pPr>
      <w:r w:rsidRPr="00E46D41">
        <w:rPr>
          <w:rFonts w:ascii="Arial" w:hAnsi="Arial" w:cs="Arial"/>
          <w:i/>
          <w:iCs/>
          <w:color w:val="222222"/>
          <w:sz w:val="18"/>
          <w:szCs w:val="22"/>
          <w:lang w:val="es-ES_tradnl"/>
        </w:rPr>
        <w:t>Para la vigencia 2020 se obtuvo información de Veolia Aguas del Archipiélago, en la que se presenta la continuidad en los sectores atendidos así:</w:t>
      </w:r>
    </w:p>
    <w:p w:rsidR="00D75790" w:rsidRPr="00E46D41" w:rsidRDefault="00D75790" w:rsidP="00D75790">
      <w:pPr>
        <w:ind w:left="708"/>
        <w:contextualSpacing/>
        <w:jc w:val="both"/>
        <w:rPr>
          <w:rFonts w:ascii="Arial" w:hAnsi="Arial" w:cs="Arial"/>
          <w:color w:val="222222"/>
          <w:sz w:val="18"/>
          <w:szCs w:val="22"/>
          <w:lang w:val="es-ES_tradnl"/>
        </w:rPr>
      </w:pPr>
    </w:p>
    <w:p w:rsidR="00D75790" w:rsidRPr="00E46D41" w:rsidRDefault="00D75790" w:rsidP="00D75790">
      <w:pPr>
        <w:ind w:left="708"/>
        <w:contextualSpacing/>
        <w:jc w:val="center"/>
        <w:rPr>
          <w:rFonts w:ascii="Arial" w:hAnsi="Arial" w:cs="Arial"/>
          <w:b/>
          <w:bCs/>
          <w:color w:val="222222"/>
          <w:sz w:val="18"/>
          <w:szCs w:val="22"/>
          <w:lang w:val="es-ES_tradnl"/>
        </w:rPr>
      </w:pPr>
      <w:r w:rsidRPr="00E46D41">
        <w:rPr>
          <w:rFonts w:ascii="Arial" w:hAnsi="Arial" w:cs="Arial"/>
          <w:b/>
          <w:bCs/>
          <w:color w:val="222222"/>
          <w:sz w:val="18"/>
          <w:szCs w:val="22"/>
          <w:lang w:val="es-ES_tradnl"/>
        </w:rPr>
        <w:t>TABLA 23. CONTINUIDAD SERVICIO DE ACUEDUCTO</w:t>
      </w:r>
    </w:p>
    <w:tbl>
      <w:tblPr>
        <w:tblStyle w:val="Tablaconcuadrcula"/>
        <w:tblW w:w="0" w:type="auto"/>
        <w:jc w:val="center"/>
        <w:tblLook w:val="04A0" w:firstRow="1" w:lastRow="0" w:firstColumn="1" w:lastColumn="0" w:noHBand="0" w:noVBand="1"/>
      </w:tblPr>
      <w:tblGrid>
        <w:gridCol w:w="2087"/>
        <w:gridCol w:w="3115"/>
      </w:tblGrid>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center"/>
              <w:rPr>
                <w:rFonts w:ascii="Arial" w:hAnsi="Arial" w:cs="Arial"/>
                <w:b/>
                <w:bCs/>
                <w:color w:val="222222"/>
                <w:sz w:val="16"/>
                <w:szCs w:val="20"/>
                <w:lang w:val="es-ES_tradnl"/>
              </w:rPr>
            </w:pPr>
            <w:r w:rsidRPr="00E46D41">
              <w:rPr>
                <w:rFonts w:ascii="Arial" w:hAnsi="Arial" w:cs="Arial"/>
                <w:b/>
                <w:bCs/>
                <w:color w:val="222222"/>
                <w:sz w:val="16"/>
                <w:szCs w:val="20"/>
                <w:lang w:val="es-ES_tradnl"/>
              </w:rPr>
              <w:t>Circuito hidráulico</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b/>
                <w:bCs/>
                <w:color w:val="222222"/>
                <w:sz w:val="16"/>
                <w:szCs w:val="20"/>
                <w:lang w:val="es-ES_tradnl"/>
              </w:rPr>
            </w:pPr>
            <w:r w:rsidRPr="00E46D41">
              <w:rPr>
                <w:rFonts w:ascii="Arial" w:hAnsi="Arial" w:cs="Arial"/>
                <w:b/>
                <w:bCs/>
                <w:color w:val="222222"/>
                <w:sz w:val="16"/>
                <w:szCs w:val="20"/>
                <w:lang w:val="es-ES_tradnl"/>
              </w:rPr>
              <w:t>Continuidad 2020</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Hotelero</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24 horas</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Sarie Bay</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24 horas</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Residencial</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4 horas / día</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Natania</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1 veces por semana 4 horas</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Almendros</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2 veces por semana 4 horas</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Loma</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1 vez cada 15 días</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Cove</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1 vez por semana</w:t>
            </w:r>
          </w:p>
        </w:tc>
      </w:tr>
      <w:tr w:rsidR="00D75790" w:rsidRPr="00655ED3"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6"/>
                <w:szCs w:val="20"/>
                <w:lang w:val="es-ES_tradnl"/>
              </w:rPr>
            </w:pPr>
            <w:r w:rsidRPr="00E46D41">
              <w:rPr>
                <w:rFonts w:ascii="Arial" w:hAnsi="Arial" w:cs="Arial"/>
                <w:color w:val="222222"/>
                <w:sz w:val="16"/>
                <w:szCs w:val="20"/>
                <w:lang w:val="es-ES_tradnl"/>
              </w:rPr>
              <w:t>San Luis</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6"/>
                <w:szCs w:val="20"/>
                <w:lang w:val="es-ES_tradnl"/>
              </w:rPr>
            </w:pPr>
            <w:r w:rsidRPr="00E46D41">
              <w:rPr>
                <w:rFonts w:ascii="Arial" w:hAnsi="Arial" w:cs="Arial"/>
                <w:color w:val="222222"/>
                <w:sz w:val="16"/>
                <w:szCs w:val="20"/>
                <w:lang w:val="es-ES_tradnl"/>
              </w:rPr>
              <w:t>18 horas / día</w:t>
            </w:r>
          </w:p>
        </w:tc>
      </w:tr>
    </w:tbl>
    <w:p w:rsidR="00D75790" w:rsidRPr="00E46D41" w:rsidRDefault="00D75790" w:rsidP="00D75790">
      <w:pPr>
        <w:ind w:left="708"/>
        <w:contextualSpacing/>
        <w:jc w:val="center"/>
        <w:rPr>
          <w:rFonts w:ascii="Arial" w:hAnsi="Arial" w:cs="Arial"/>
          <w:color w:val="222222"/>
          <w:sz w:val="12"/>
          <w:szCs w:val="16"/>
          <w:lang w:val="es-ES_tradnl"/>
        </w:rPr>
      </w:pPr>
      <w:r w:rsidRPr="00E46D41">
        <w:rPr>
          <w:rFonts w:ascii="Arial" w:hAnsi="Arial" w:cs="Arial"/>
          <w:color w:val="222222"/>
          <w:sz w:val="12"/>
          <w:szCs w:val="16"/>
          <w:lang w:val="es-ES_tradnl"/>
        </w:rPr>
        <w:t>Fuente: Veolia Aguas del Archipiélago</w:t>
      </w:r>
    </w:p>
    <w:p w:rsidR="00D75790" w:rsidRPr="00DC371E"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Solamente en 2 de 8 circuitos hidráulicos se encuentra una continuidad de 24 horas en la prestación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Llama la atención que</w:t>
      </w:r>
      <w:r>
        <w:rPr>
          <w:rFonts w:ascii="Arial" w:hAnsi="Arial" w:cs="Arial"/>
          <w:color w:val="222222"/>
          <w:sz w:val="22"/>
          <w:szCs w:val="22"/>
          <w:lang w:val="es-ES_tradnl"/>
        </w:rPr>
        <w:t>,</w:t>
      </w:r>
      <w:r w:rsidRPr="00DC371E">
        <w:rPr>
          <w:rFonts w:ascii="Arial" w:hAnsi="Arial" w:cs="Arial"/>
          <w:color w:val="222222"/>
          <w:sz w:val="22"/>
          <w:szCs w:val="22"/>
          <w:lang w:val="es-ES_tradnl"/>
        </w:rPr>
        <w:t xml:space="preserve"> en 5 circuitos hidráulicos la continuidad en 2020 fue insuficiente y en el circuito de San Luis, la continuidad fue no satisfactoria.</w:t>
      </w:r>
    </w:p>
    <w:p w:rsidR="00D75790" w:rsidRPr="00DC371E"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i/>
          <w:iCs/>
          <w:color w:val="222222"/>
          <w:sz w:val="22"/>
          <w:szCs w:val="22"/>
          <w:lang w:val="es-ES_tradnl"/>
        </w:rPr>
      </w:pPr>
      <w:r w:rsidRPr="00DC371E">
        <w:rPr>
          <w:rFonts w:ascii="Arial" w:hAnsi="Arial" w:cs="Arial"/>
          <w:color w:val="222222"/>
          <w:sz w:val="22"/>
          <w:szCs w:val="22"/>
          <w:lang w:val="es-ES_tradnl"/>
        </w:rPr>
        <w:t xml:space="preserve">En este sentido, dentro de los fines del Estado se encuentra que la prestación de los servicios públicos se realice de forma continua e ininterrumpida, constituyéndose para los prestadores de los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ervicios </w:t>
      </w:r>
      <w:r>
        <w:rPr>
          <w:rFonts w:ascii="Arial" w:hAnsi="Arial" w:cs="Arial"/>
          <w:color w:val="222222"/>
          <w:sz w:val="22"/>
          <w:szCs w:val="22"/>
          <w:lang w:val="es-ES_tradnl"/>
        </w:rPr>
        <w:t>P</w:t>
      </w:r>
      <w:r w:rsidRPr="00DC371E">
        <w:rPr>
          <w:rFonts w:ascii="Arial" w:hAnsi="Arial" w:cs="Arial"/>
          <w:color w:val="222222"/>
          <w:sz w:val="22"/>
          <w:szCs w:val="22"/>
          <w:lang w:val="es-ES_tradnl"/>
        </w:rPr>
        <w:t xml:space="preserve">úblicos </w:t>
      </w:r>
      <w:r>
        <w:rPr>
          <w:rFonts w:ascii="Arial" w:hAnsi="Arial" w:cs="Arial"/>
          <w:color w:val="222222"/>
          <w:sz w:val="22"/>
          <w:szCs w:val="22"/>
          <w:lang w:val="es-ES_tradnl"/>
        </w:rPr>
        <w:t>D</w:t>
      </w:r>
      <w:r w:rsidRPr="00DC371E">
        <w:rPr>
          <w:rFonts w:ascii="Arial" w:hAnsi="Arial" w:cs="Arial"/>
          <w:color w:val="222222"/>
          <w:sz w:val="22"/>
          <w:szCs w:val="22"/>
          <w:lang w:val="es-ES_tradnl"/>
        </w:rPr>
        <w:t>omiciliarios como obligación principal del contrato de servicios públicos la de garantizar la continuidad y calidad del servicio</w:t>
      </w:r>
      <w:r>
        <w:rPr>
          <w:rFonts w:ascii="Arial" w:hAnsi="Arial" w:cs="Arial"/>
          <w:i/>
          <w:iCs/>
          <w:color w:val="222222"/>
          <w:sz w:val="22"/>
          <w:szCs w:val="22"/>
          <w:lang w:val="es-ES_tradnl"/>
        </w:rPr>
        <w:t>.</w:t>
      </w:r>
    </w:p>
    <w:p w:rsidR="00D75790" w:rsidRPr="00DC371E" w:rsidRDefault="00D75790" w:rsidP="00D75790">
      <w:pPr>
        <w:contextualSpacing/>
        <w:jc w:val="both"/>
        <w:rPr>
          <w:rFonts w:ascii="Arial" w:hAnsi="Arial" w:cs="Arial"/>
          <w:i/>
          <w:iCs/>
          <w:color w:val="222222"/>
          <w:sz w:val="22"/>
          <w:szCs w:val="22"/>
          <w:lang w:val="es-ES_tradnl"/>
        </w:rPr>
      </w:pPr>
    </w:p>
    <w:p w:rsidR="00D75790" w:rsidRPr="00DC371E" w:rsidRDefault="00D75790" w:rsidP="00D75790">
      <w:pPr>
        <w:pStyle w:val="NormalWeb"/>
        <w:shd w:val="clear" w:color="auto" w:fill="FFFFFF"/>
        <w:spacing w:before="0" w:beforeAutospacing="0" w:after="150"/>
        <w:contextualSpacing/>
        <w:jc w:val="both"/>
        <w:rPr>
          <w:rFonts w:ascii="Arial" w:eastAsia="MS Mincho" w:hAnsi="Arial" w:cs="Arial"/>
          <w:color w:val="222222"/>
          <w:sz w:val="22"/>
          <w:szCs w:val="22"/>
          <w:lang w:val="es-ES_tradnl"/>
        </w:rPr>
      </w:pPr>
      <w:r w:rsidRPr="00DC371E">
        <w:rPr>
          <w:rFonts w:ascii="Arial" w:eastAsia="MS Mincho" w:hAnsi="Arial" w:cs="Arial"/>
          <w:color w:val="222222"/>
          <w:sz w:val="22"/>
          <w:szCs w:val="22"/>
          <w:lang w:val="es-ES_tradnl"/>
        </w:rPr>
        <w:t>De esta manera, se pone en riesgo la prestación adecuada del servicio, por la falta de continuidad, o por la continuidad insuficiente, en los términos del Resolución CRA 2115 de 2007, para los sectores que hacen parte de los circuitos hidráulicos de Natania, Residencial, Almendros, la Loma y El Cove, en la Isla de San Andrés.</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pStyle w:val="Prrafodelista"/>
        <w:numPr>
          <w:ilvl w:val="1"/>
          <w:numId w:val="17"/>
        </w:numPr>
        <w:jc w:val="both"/>
        <w:rPr>
          <w:rFonts w:ascii="Arial" w:hAnsi="Arial" w:cs="Arial"/>
          <w:b/>
          <w:sz w:val="22"/>
          <w:szCs w:val="22"/>
          <w:lang w:val="es-ES_tradnl"/>
        </w:rPr>
      </w:pPr>
      <w:r w:rsidRPr="00DC371E">
        <w:rPr>
          <w:rFonts w:ascii="Arial" w:hAnsi="Arial" w:cs="Arial"/>
          <w:b/>
          <w:sz w:val="22"/>
          <w:szCs w:val="22"/>
          <w:lang w:val="es-ES_tradnl"/>
        </w:rPr>
        <w:t>ÍNDICE DE AGUA NO CONTABILIZADA</w:t>
      </w:r>
      <w:r>
        <w:rPr>
          <w:rFonts w:ascii="Arial" w:hAnsi="Arial" w:cs="Arial"/>
          <w:b/>
          <w:sz w:val="22"/>
          <w:szCs w:val="22"/>
          <w:lang w:val="es-ES_tradnl"/>
        </w:rPr>
        <w:t>.</w:t>
      </w:r>
    </w:p>
    <w:p w:rsidR="00D75790" w:rsidRPr="00DC371E" w:rsidRDefault="00D75790" w:rsidP="00D75790">
      <w:pPr>
        <w:contextualSpacing/>
        <w:jc w:val="both"/>
        <w:rPr>
          <w:rFonts w:ascii="Arial" w:hAnsi="Arial" w:cs="Arial"/>
          <w:b/>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De acuerdo con el numeral 1 del artículo 5 de la Ley 142 de 1994, es competencia de los municipios en cuanto a la prestación de los servicios públicos, asegurar que se presten a sus habitantes, de manera eficiente.</w:t>
      </w:r>
    </w:p>
    <w:p w:rsidR="00D75790"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lastRenderedPageBreak/>
        <w:t>Un elevado índice de pérdidas refleja una ineficiente labor del prestador del Servicio, lo cual puede tener repercusiones ambientales, sobre el equilibrio económico de la empresa y por parte de la Comisión de Regulación de Agua Potable y Saneamiento - CRA y la Superintendencia de Servicios Públicos Domiciliares - SSPD.</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BD6716">
        <w:rPr>
          <w:rFonts w:ascii="Arial" w:hAnsi="Arial" w:cs="Arial"/>
          <w:color w:val="222222"/>
          <w:sz w:val="22"/>
          <w:szCs w:val="22"/>
          <w:lang w:val="es-ES_tradnl"/>
        </w:rPr>
        <w:t>Las pérdidas de agua en los sistemas de acueducto se pueden clasificar de</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forma general, en pérdidas técnicas y pérdidas comerciales.</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BD6716">
        <w:rPr>
          <w:rFonts w:ascii="Arial" w:hAnsi="Arial" w:cs="Arial"/>
          <w:color w:val="222222"/>
          <w:sz w:val="22"/>
          <w:szCs w:val="22"/>
          <w:lang w:val="es-ES_tradnl"/>
        </w:rPr>
        <w:t>Pérdidas técnicas: corresponden a</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aquellas debidas a fugas por fallas</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en los elementos de la red, tales</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como conductos, conexiones y</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tanques de almacenamiento</w:t>
      </w:r>
      <w:r>
        <w:rPr>
          <w:rFonts w:ascii="Arial" w:hAnsi="Arial" w:cs="Arial"/>
          <w:color w:val="222222"/>
          <w:sz w:val="22"/>
          <w:szCs w:val="22"/>
          <w:lang w:val="es-ES_tradnl"/>
        </w:rPr>
        <w:t>.</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BD6716">
        <w:rPr>
          <w:rFonts w:ascii="Arial" w:hAnsi="Arial" w:cs="Arial"/>
          <w:color w:val="222222"/>
          <w:sz w:val="22"/>
          <w:szCs w:val="22"/>
          <w:lang w:val="es-ES_tradnl"/>
        </w:rPr>
        <w:t>Pérdidas comerciales: corresponden</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a consumos ilegales, consumos no</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medidos, consumos medidos no</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facturados y a errores de</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micromedición y facturación.</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BD6716">
        <w:rPr>
          <w:rFonts w:ascii="Arial" w:hAnsi="Arial" w:cs="Arial"/>
          <w:color w:val="222222"/>
          <w:sz w:val="22"/>
          <w:szCs w:val="22"/>
          <w:lang w:val="es-ES_tradnl"/>
        </w:rPr>
        <w:t>A pesar de las diferencias existentes entre las causas y control de las pérdidas técnicas y las pérdidas</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comerciales, los programas de recuperación o reducción de pérdidas en la mayoría de los casos producen</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simultáneamente aumentos de facturación y reducción de producción.</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BD6716">
        <w:rPr>
          <w:rFonts w:ascii="Arial" w:hAnsi="Arial" w:cs="Arial"/>
          <w:color w:val="222222"/>
          <w:sz w:val="22"/>
          <w:szCs w:val="22"/>
          <w:lang w:val="es-ES_tradnl"/>
        </w:rPr>
        <w:t>En general, se reconoce la existencia de dos tipos de indicadores de pérdidas de agua: los indicadores</w:t>
      </w:r>
      <w:r>
        <w:rPr>
          <w:rFonts w:ascii="Arial" w:hAnsi="Arial" w:cs="Arial"/>
          <w:color w:val="222222"/>
          <w:sz w:val="22"/>
          <w:szCs w:val="22"/>
          <w:lang w:val="es-ES_tradnl"/>
        </w:rPr>
        <w:t xml:space="preserve"> </w:t>
      </w:r>
      <w:r w:rsidRPr="00BD6716">
        <w:rPr>
          <w:rFonts w:ascii="Arial" w:hAnsi="Arial" w:cs="Arial"/>
          <w:color w:val="222222"/>
          <w:sz w:val="22"/>
          <w:szCs w:val="22"/>
          <w:lang w:val="es-ES_tradnl"/>
        </w:rPr>
        <w:t>financieros y los indicadores operacionales.</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t xml:space="preserve">Los indicadores financieros son aquellos que reflejan principalmente los costos en los que incurre la empresa, o aquellos ingresos que deja de percibir por efecto de los volúmenes de agua perdida. Entre estos, los más conocidos son: </w:t>
      </w:r>
    </w:p>
    <w:p w:rsidR="00D75790" w:rsidRPr="00A402AE" w:rsidRDefault="00D75790" w:rsidP="00D75790">
      <w:pPr>
        <w:contextualSpacing/>
        <w:jc w:val="both"/>
        <w:rPr>
          <w:rFonts w:ascii="Arial" w:hAnsi="Arial" w:cs="Arial"/>
          <w:color w:val="222222"/>
          <w:sz w:val="22"/>
          <w:szCs w:val="22"/>
          <w:lang w:val="es-ES_tradnl"/>
        </w:rPr>
      </w:pPr>
    </w:p>
    <w:p w:rsidR="00D75790" w:rsidRPr="00A402AE"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sym w:font="Symbol" w:char="F0B7"/>
      </w:r>
      <w:r w:rsidRPr="00A402AE">
        <w:rPr>
          <w:rFonts w:ascii="Arial" w:hAnsi="Arial" w:cs="Arial"/>
          <w:color w:val="222222"/>
          <w:sz w:val="22"/>
          <w:szCs w:val="22"/>
          <w:lang w:val="es-ES_tradnl"/>
        </w:rPr>
        <w:t xml:space="preserve"> Costo anual de pérdidas comerciales</w:t>
      </w:r>
      <w:r>
        <w:rPr>
          <w:rFonts w:ascii="Arial" w:hAnsi="Arial" w:cs="Arial"/>
          <w:color w:val="222222"/>
          <w:sz w:val="22"/>
          <w:szCs w:val="22"/>
          <w:lang w:val="es-ES_tradnl"/>
        </w:rPr>
        <w:t>.</w:t>
      </w:r>
    </w:p>
    <w:p w:rsidR="00D75790" w:rsidRPr="00A402AE"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sym w:font="Symbol" w:char="F0B7"/>
      </w:r>
      <w:r w:rsidRPr="00A402AE">
        <w:rPr>
          <w:rFonts w:ascii="Arial" w:hAnsi="Arial" w:cs="Arial"/>
          <w:color w:val="222222"/>
          <w:sz w:val="22"/>
          <w:szCs w:val="22"/>
          <w:lang w:val="es-ES_tradnl"/>
        </w:rPr>
        <w:t xml:space="preserve"> Costo anual de pérdidas técnicas</w:t>
      </w:r>
      <w:r>
        <w:rPr>
          <w:rStyle w:val="Refdenotaalpie"/>
          <w:rFonts w:ascii="Arial" w:hAnsi="Arial"/>
          <w:color w:val="222222"/>
          <w:sz w:val="22"/>
          <w:szCs w:val="22"/>
          <w:lang w:val="es-ES_tradnl"/>
        </w:rPr>
        <w:footnoteReference w:id="29"/>
      </w:r>
      <w:r w:rsidRPr="00A402AE">
        <w:rPr>
          <w:rFonts w:ascii="Arial" w:hAnsi="Arial" w:cs="Arial"/>
          <w:color w:val="222222"/>
          <w:sz w:val="22"/>
          <w:szCs w:val="22"/>
          <w:lang w:val="es-ES_tradnl"/>
        </w:rPr>
        <w:t>.</w:t>
      </w:r>
    </w:p>
    <w:p w:rsidR="00D75790" w:rsidRPr="00A402AE" w:rsidRDefault="00D75790" w:rsidP="00D75790">
      <w:pPr>
        <w:contextualSpacing/>
        <w:jc w:val="both"/>
        <w:rPr>
          <w:rFonts w:ascii="Arial" w:hAnsi="Arial" w:cs="Arial"/>
          <w:color w:val="222222"/>
          <w:sz w:val="22"/>
          <w:szCs w:val="22"/>
          <w:lang w:val="es-ES_tradnl"/>
        </w:rPr>
      </w:pPr>
    </w:p>
    <w:p w:rsidR="00D75790" w:rsidRPr="00A402AE"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t>Los indicadores operacionales son aquellos cuyo objetivo es medir la gestión operativa de los prestadores en el manejo de las pérdidas, por lo cual los parámetros usados para su construcción buscan cuantificar en volumen y no en costos el nivel de pérdidas de un sistema. Los indicadores de tipo operacional más comunes son:</w:t>
      </w:r>
    </w:p>
    <w:p w:rsidR="00D75790" w:rsidRPr="00A402AE" w:rsidRDefault="00D75790" w:rsidP="00D75790">
      <w:pPr>
        <w:contextualSpacing/>
        <w:jc w:val="both"/>
        <w:rPr>
          <w:rFonts w:ascii="Arial" w:hAnsi="Arial" w:cs="Arial"/>
          <w:color w:val="222222"/>
          <w:sz w:val="22"/>
          <w:szCs w:val="22"/>
          <w:lang w:val="es-ES_tradnl"/>
        </w:rPr>
      </w:pPr>
    </w:p>
    <w:p w:rsidR="00D75790" w:rsidRPr="00A402AE"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sym w:font="Symbol" w:char="F0B7"/>
      </w:r>
      <w:r w:rsidRPr="00A402AE">
        <w:rPr>
          <w:rFonts w:ascii="Arial" w:hAnsi="Arial" w:cs="Arial"/>
          <w:color w:val="222222"/>
          <w:sz w:val="22"/>
          <w:szCs w:val="22"/>
          <w:lang w:val="es-ES_tradnl"/>
        </w:rPr>
        <w:t xml:space="preserve"> IANC: Agua no facturada como un porcentaje del volumen de agua producido</w:t>
      </w:r>
      <w:r>
        <w:rPr>
          <w:rFonts w:ascii="Arial" w:hAnsi="Arial" w:cs="Arial"/>
          <w:color w:val="222222"/>
          <w:sz w:val="22"/>
          <w:szCs w:val="22"/>
          <w:lang w:val="es-ES_tradnl"/>
        </w:rPr>
        <w:t>.</w:t>
      </w:r>
    </w:p>
    <w:p w:rsidR="00D75790" w:rsidRPr="00A402AE"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sym w:font="Symbol" w:char="F0B7"/>
      </w:r>
      <w:r w:rsidRPr="00A402AE">
        <w:rPr>
          <w:rFonts w:ascii="Arial" w:hAnsi="Arial" w:cs="Arial"/>
          <w:color w:val="222222"/>
          <w:sz w:val="22"/>
          <w:szCs w:val="22"/>
          <w:lang w:val="es-ES_tradnl"/>
        </w:rPr>
        <w:t xml:space="preserve"> IPUF</w:t>
      </w:r>
      <w:r>
        <w:rPr>
          <w:rFonts w:ascii="Arial" w:hAnsi="Arial" w:cs="Arial"/>
          <w:color w:val="222222"/>
          <w:sz w:val="22"/>
          <w:szCs w:val="22"/>
          <w:lang w:val="es-ES_tradnl"/>
        </w:rPr>
        <w:t xml:space="preserve">: </w:t>
      </w:r>
      <w:r w:rsidRPr="00A402AE">
        <w:rPr>
          <w:rFonts w:ascii="Arial" w:hAnsi="Arial" w:cs="Arial"/>
          <w:color w:val="222222"/>
          <w:sz w:val="22"/>
          <w:szCs w:val="22"/>
          <w:lang w:val="es-ES_tradnl"/>
        </w:rPr>
        <w:t>Índice de Pérdidas de Agua por Suscriptor Facturado.</w:t>
      </w:r>
      <w:r w:rsidRPr="00A337B5">
        <w:rPr>
          <w:rFonts w:ascii="Arial" w:hAnsi="Arial" w:cs="Arial"/>
          <w:color w:val="222222"/>
          <w:sz w:val="22"/>
          <w:szCs w:val="22"/>
          <w:lang w:val="es-ES_tradnl"/>
        </w:rPr>
        <w:t xml:space="preserve"> </w:t>
      </w:r>
      <w:r w:rsidRPr="00A402AE">
        <w:rPr>
          <w:rFonts w:ascii="Arial" w:hAnsi="Arial" w:cs="Arial"/>
          <w:color w:val="222222"/>
          <w:sz w:val="22"/>
          <w:szCs w:val="22"/>
          <w:lang w:val="es-ES_tradnl"/>
        </w:rPr>
        <w:t>Volumen de Pérdidas por suscriptor por mes (m³/suscriptor/mes)</w:t>
      </w:r>
      <w:r>
        <w:rPr>
          <w:rFonts w:ascii="Arial" w:hAnsi="Arial" w:cs="Arial"/>
          <w:color w:val="222222"/>
          <w:sz w:val="22"/>
          <w:szCs w:val="22"/>
          <w:lang w:val="es-ES_tradnl"/>
        </w:rPr>
        <w:t>.</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Pr>
          <w:rFonts w:ascii="Arial" w:hAnsi="Arial" w:cs="Arial"/>
          <w:color w:val="222222"/>
          <w:sz w:val="22"/>
          <w:szCs w:val="22"/>
          <w:lang w:val="es-ES_tradnl"/>
        </w:rPr>
        <w:t>De acuerdo con el estudio sectorial de los Servicios Públicos Domiciliarios de Acueducto y Alcantarillado 2019</w:t>
      </w:r>
      <w:r w:rsidRPr="00A337B5">
        <w:rPr>
          <w:rFonts w:ascii="Arial" w:hAnsi="Arial" w:cs="Arial"/>
          <w:sz w:val="16"/>
          <w:szCs w:val="16"/>
          <w:vertAlign w:val="superscript"/>
        </w:rPr>
        <w:footnoteReference w:id="30"/>
      </w:r>
      <w:r>
        <w:rPr>
          <w:rFonts w:ascii="Arial" w:hAnsi="Arial" w:cs="Arial"/>
          <w:color w:val="222222"/>
          <w:sz w:val="22"/>
          <w:szCs w:val="22"/>
          <w:lang w:val="es-ES_tradnl"/>
        </w:rPr>
        <w:t>, elaborado por la Superintendencia de Servicios Públicos Domiciliarios y publicado en diciembre de 2020, s</w:t>
      </w:r>
      <w:r w:rsidRPr="00A402AE">
        <w:rPr>
          <w:rFonts w:ascii="Arial" w:hAnsi="Arial" w:cs="Arial"/>
          <w:color w:val="222222"/>
          <w:sz w:val="22"/>
          <w:szCs w:val="22"/>
          <w:lang w:val="es-ES_tradnl"/>
        </w:rPr>
        <w:t>i bien el IANC establecido en la regulación anterior (Res</w:t>
      </w:r>
      <w:r>
        <w:rPr>
          <w:rFonts w:ascii="Arial" w:hAnsi="Arial" w:cs="Arial"/>
          <w:color w:val="222222"/>
          <w:sz w:val="22"/>
          <w:szCs w:val="22"/>
          <w:lang w:val="es-ES_tradnl"/>
        </w:rPr>
        <w:t>olución</w:t>
      </w:r>
      <w:r w:rsidRPr="00A402AE">
        <w:rPr>
          <w:rFonts w:ascii="Arial" w:hAnsi="Arial" w:cs="Arial"/>
          <w:color w:val="222222"/>
          <w:sz w:val="22"/>
          <w:szCs w:val="22"/>
          <w:lang w:val="es-ES_tradnl"/>
        </w:rPr>
        <w:t xml:space="preserve"> CRA 287 de 20</w:t>
      </w:r>
      <w:r>
        <w:rPr>
          <w:rFonts w:ascii="Arial" w:hAnsi="Arial" w:cs="Arial"/>
          <w:color w:val="222222"/>
          <w:sz w:val="22"/>
          <w:szCs w:val="22"/>
          <w:lang w:val="es-ES_tradnl"/>
        </w:rPr>
        <w:t>0</w:t>
      </w:r>
      <w:r w:rsidRPr="00A402AE">
        <w:rPr>
          <w:rFonts w:ascii="Arial" w:hAnsi="Arial" w:cs="Arial"/>
          <w:color w:val="222222"/>
          <w:sz w:val="22"/>
          <w:szCs w:val="22"/>
          <w:lang w:val="es-ES_tradnl"/>
        </w:rPr>
        <w:t>4 y Res</w:t>
      </w:r>
      <w:r>
        <w:rPr>
          <w:rFonts w:ascii="Arial" w:hAnsi="Arial" w:cs="Arial"/>
          <w:color w:val="222222"/>
          <w:sz w:val="22"/>
          <w:szCs w:val="22"/>
          <w:lang w:val="es-ES_tradnl"/>
        </w:rPr>
        <w:t>olución</w:t>
      </w:r>
      <w:r w:rsidRPr="00A402AE">
        <w:rPr>
          <w:rFonts w:ascii="Arial" w:hAnsi="Arial" w:cs="Arial"/>
          <w:color w:val="222222"/>
          <w:sz w:val="22"/>
          <w:szCs w:val="22"/>
          <w:lang w:val="es-ES_tradnl"/>
        </w:rPr>
        <w:t xml:space="preserve"> CRA 315 de 2005) fue reemplazado por el denominado Indicador de Pérdidas por Usuario Facturado - IPUF, para efectos del cálculo </w:t>
      </w:r>
      <w:r w:rsidRPr="00A402AE">
        <w:rPr>
          <w:rFonts w:ascii="Arial" w:hAnsi="Arial" w:cs="Arial"/>
          <w:color w:val="222222"/>
          <w:sz w:val="22"/>
          <w:szCs w:val="22"/>
          <w:lang w:val="es-ES_tradnl"/>
        </w:rPr>
        <w:lastRenderedPageBreak/>
        <w:t>de tarifas según metodología vigente (Res</w:t>
      </w:r>
      <w:r>
        <w:rPr>
          <w:rFonts w:ascii="Arial" w:hAnsi="Arial" w:cs="Arial"/>
          <w:color w:val="222222"/>
          <w:sz w:val="22"/>
          <w:szCs w:val="22"/>
          <w:lang w:val="es-ES_tradnl"/>
        </w:rPr>
        <w:t>olución</w:t>
      </w:r>
      <w:r w:rsidRPr="00A402AE">
        <w:rPr>
          <w:rFonts w:ascii="Arial" w:hAnsi="Arial" w:cs="Arial"/>
          <w:color w:val="222222"/>
          <w:sz w:val="22"/>
          <w:szCs w:val="22"/>
          <w:lang w:val="es-ES_tradnl"/>
        </w:rPr>
        <w:t xml:space="preserve"> CRA 688 de 2014), el IANC aún es un indicador que se toma como referente para estimar la eficiencia y rendimiento operativo de un sistema de acueducto, </w:t>
      </w:r>
      <w:r>
        <w:rPr>
          <w:rFonts w:ascii="Arial" w:hAnsi="Arial" w:cs="Arial"/>
          <w:color w:val="222222"/>
          <w:sz w:val="22"/>
          <w:szCs w:val="22"/>
          <w:lang w:val="es-ES_tradnl"/>
        </w:rPr>
        <w:t xml:space="preserve">definido en el artículo 256 de la </w:t>
      </w:r>
      <w:r w:rsidRPr="00A402AE">
        <w:rPr>
          <w:rFonts w:ascii="Arial" w:hAnsi="Arial" w:cs="Arial"/>
          <w:color w:val="222222"/>
          <w:sz w:val="22"/>
          <w:szCs w:val="22"/>
          <w:lang w:val="es-ES_tradnl"/>
        </w:rPr>
        <w:t>Resolución MVCT 330 de 2017.</w:t>
      </w:r>
    </w:p>
    <w:p w:rsidR="00D75790" w:rsidRDefault="00D75790" w:rsidP="00D75790">
      <w:pPr>
        <w:contextualSpacing/>
        <w:jc w:val="both"/>
        <w:rPr>
          <w:rFonts w:ascii="Arial" w:hAnsi="Arial" w:cs="Arial"/>
          <w:color w:val="222222"/>
          <w:sz w:val="22"/>
          <w:szCs w:val="22"/>
          <w:lang w:val="es-ES_tradnl"/>
        </w:rPr>
      </w:pPr>
    </w:p>
    <w:p w:rsidR="00D75790" w:rsidRPr="00A402AE" w:rsidRDefault="00D75790" w:rsidP="00D75790">
      <w:pPr>
        <w:contextualSpacing/>
        <w:jc w:val="both"/>
        <w:rPr>
          <w:rFonts w:ascii="Arial" w:hAnsi="Arial" w:cs="Arial"/>
          <w:color w:val="222222"/>
          <w:sz w:val="22"/>
          <w:szCs w:val="22"/>
          <w:lang w:val="es-ES_tradnl"/>
        </w:rPr>
      </w:pPr>
      <w:r>
        <w:rPr>
          <w:rFonts w:ascii="Arial" w:hAnsi="Arial" w:cs="Arial"/>
          <w:color w:val="222222"/>
          <w:sz w:val="22"/>
          <w:szCs w:val="22"/>
          <w:lang w:val="es-ES_tradnl"/>
        </w:rPr>
        <w:t>E</w:t>
      </w:r>
      <w:r w:rsidRPr="004B333F">
        <w:rPr>
          <w:rFonts w:ascii="Arial" w:hAnsi="Arial" w:cs="Arial"/>
          <w:color w:val="222222"/>
          <w:sz w:val="22"/>
          <w:szCs w:val="22"/>
          <w:lang w:val="es-ES_tradnl"/>
        </w:rPr>
        <w:t>s un indicador que se utiliza para estimar el dimensionamiento y necesidades de la infraestructura de abastecimiento de un municipio o área de prestación, así como el planteamiento de estrategias para la reducción de pérdidas físicas de agua o disminución de incertidumbre o estimativo del agua que comercialmente no es cobrada por parte de los prestadores de los servicios.</w:t>
      </w:r>
    </w:p>
    <w:p w:rsidR="00D75790" w:rsidRPr="00A402AE" w:rsidRDefault="00D75790" w:rsidP="00D75790">
      <w:pPr>
        <w:contextualSpacing/>
        <w:jc w:val="both"/>
        <w:rPr>
          <w:rFonts w:ascii="Arial" w:hAnsi="Arial" w:cs="Arial"/>
          <w:color w:val="222222"/>
          <w:sz w:val="22"/>
          <w:szCs w:val="22"/>
          <w:lang w:val="es-ES_tradnl"/>
        </w:rPr>
      </w:pPr>
    </w:p>
    <w:p w:rsidR="00D75790" w:rsidRPr="00A402AE" w:rsidRDefault="00D75790" w:rsidP="00D75790">
      <w:pPr>
        <w:contextualSpacing/>
        <w:jc w:val="both"/>
        <w:rPr>
          <w:rFonts w:ascii="Arial" w:hAnsi="Arial" w:cs="Arial"/>
          <w:color w:val="222222"/>
          <w:sz w:val="22"/>
          <w:szCs w:val="22"/>
          <w:lang w:val="es-ES_tradnl"/>
        </w:rPr>
      </w:pPr>
      <w:r w:rsidRPr="00A402AE">
        <w:rPr>
          <w:rFonts w:ascii="Arial" w:hAnsi="Arial" w:cs="Arial"/>
          <w:color w:val="222222"/>
          <w:sz w:val="22"/>
          <w:szCs w:val="22"/>
          <w:lang w:val="es-ES_tradnl"/>
        </w:rPr>
        <w:t>Según metodología tarifaria previa a la expedición de la Resolución CRA 688, se reconocía incorporar en tarifas un IANC del 30</w:t>
      </w:r>
      <w:r>
        <w:rPr>
          <w:rFonts w:ascii="Arial" w:hAnsi="Arial" w:cs="Arial"/>
          <w:color w:val="222222"/>
          <w:sz w:val="22"/>
          <w:szCs w:val="22"/>
          <w:lang w:val="es-ES_tradnl"/>
        </w:rPr>
        <w:t xml:space="preserve"> </w:t>
      </w:r>
      <w:r w:rsidRPr="00A402AE">
        <w:rPr>
          <w:rFonts w:ascii="Arial" w:hAnsi="Arial" w:cs="Arial"/>
          <w:color w:val="222222"/>
          <w:sz w:val="22"/>
          <w:szCs w:val="22"/>
          <w:lang w:val="es-ES_tradnl"/>
        </w:rPr>
        <w:t>% (Res</w:t>
      </w:r>
      <w:r>
        <w:rPr>
          <w:rFonts w:ascii="Arial" w:hAnsi="Arial" w:cs="Arial"/>
          <w:color w:val="222222"/>
          <w:sz w:val="22"/>
          <w:szCs w:val="22"/>
          <w:lang w:val="es-ES_tradnl"/>
        </w:rPr>
        <w:t>olución</w:t>
      </w:r>
      <w:r w:rsidRPr="00A402AE">
        <w:rPr>
          <w:rFonts w:ascii="Arial" w:hAnsi="Arial" w:cs="Arial"/>
          <w:color w:val="222222"/>
          <w:sz w:val="22"/>
          <w:szCs w:val="22"/>
          <w:lang w:val="es-ES_tradnl"/>
        </w:rPr>
        <w:t xml:space="preserve"> CRA 287 de 2004</w:t>
      </w:r>
      <w:r>
        <w:rPr>
          <w:rStyle w:val="Refdenotaalpie"/>
          <w:rFonts w:ascii="Arial" w:hAnsi="Arial"/>
          <w:color w:val="222222"/>
          <w:sz w:val="22"/>
          <w:szCs w:val="22"/>
          <w:lang w:val="es-ES_tradnl"/>
        </w:rPr>
        <w:footnoteReference w:id="31"/>
      </w:r>
      <w:r w:rsidRPr="00A402AE">
        <w:rPr>
          <w:rFonts w:ascii="Arial" w:hAnsi="Arial" w:cs="Arial"/>
          <w:color w:val="222222"/>
          <w:sz w:val="22"/>
          <w:szCs w:val="22"/>
          <w:lang w:val="es-ES_tradnl"/>
        </w:rPr>
        <w:t>).</w:t>
      </w:r>
    </w:p>
    <w:p w:rsidR="00D75790" w:rsidRPr="00A402AE"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Pr>
          <w:rFonts w:ascii="Arial" w:hAnsi="Arial" w:cs="Arial"/>
          <w:color w:val="222222"/>
          <w:sz w:val="22"/>
          <w:szCs w:val="22"/>
          <w:lang w:val="es-ES_tradnl"/>
        </w:rPr>
        <w:t xml:space="preserve">Por su parte, </w:t>
      </w:r>
      <w:r w:rsidRPr="00A402AE">
        <w:rPr>
          <w:rFonts w:ascii="Arial" w:hAnsi="Arial" w:cs="Arial"/>
          <w:color w:val="222222"/>
          <w:sz w:val="22"/>
          <w:szCs w:val="22"/>
          <w:lang w:val="es-ES_tradnl"/>
        </w:rPr>
        <w:t>el nivel aceptable del Índice de Pérdidas por Suscriptor Facturado – IPUF (Resolución CRA 688 de 2014) es de 6 m</w:t>
      </w:r>
      <w:r w:rsidRPr="00E46D41">
        <w:rPr>
          <w:rFonts w:ascii="Arial" w:hAnsi="Arial" w:cs="Arial"/>
          <w:color w:val="222222"/>
          <w:sz w:val="22"/>
          <w:szCs w:val="22"/>
          <w:vertAlign w:val="superscript"/>
          <w:lang w:val="es-ES_tradnl"/>
        </w:rPr>
        <w:t>3</w:t>
      </w:r>
      <w:r w:rsidRPr="00A402AE">
        <w:rPr>
          <w:rFonts w:ascii="Arial" w:hAnsi="Arial" w:cs="Arial"/>
          <w:color w:val="222222"/>
          <w:sz w:val="22"/>
          <w:szCs w:val="22"/>
          <w:lang w:val="es-ES_tradnl"/>
        </w:rPr>
        <w:t>/suscriptor/mes.</w:t>
      </w:r>
    </w:p>
    <w:p w:rsidR="00D75790"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pPr>
      <w:r>
        <w:rPr>
          <w:rFonts w:ascii="Arial" w:hAnsi="Arial" w:cs="Arial"/>
          <w:color w:val="222222"/>
          <w:sz w:val="22"/>
          <w:szCs w:val="22"/>
          <w:lang w:val="es-ES_tradnl"/>
        </w:rPr>
        <w:t xml:space="preserve">De acuerdo con el </w:t>
      </w:r>
      <w:r w:rsidRPr="00C31455">
        <w:rPr>
          <w:rFonts w:ascii="Arial" w:hAnsi="Arial" w:cs="Arial"/>
          <w:sz w:val="22"/>
          <w:szCs w:val="22"/>
        </w:rPr>
        <w:t xml:space="preserve">Informe Sectorial </w:t>
      </w:r>
      <w:r>
        <w:rPr>
          <w:rFonts w:ascii="Arial" w:hAnsi="Arial" w:cs="Arial"/>
          <w:sz w:val="22"/>
          <w:szCs w:val="22"/>
        </w:rPr>
        <w:t>d</w:t>
      </w:r>
      <w:r w:rsidRPr="00C31455">
        <w:rPr>
          <w:rFonts w:ascii="Arial" w:hAnsi="Arial" w:cs="Arial"/>
          <w:sz w:val="22"/>
          <w:szCs w:val="22"/>
        </w:rPr>
        <w:t xml:space="preserve">e </w:t>
      </w:r>
      <w:r>
        <w:rPr>
          <w:rFonts w:ascii="Arial" w:hAnsi="Arial" w:cs="Arial"/>
          <w:sz w:val="22"/>
          <w:szCs w:val="22"/>
        </w:rPr>
        <w:t>l</w:t>
      </w:r>
      <w:r w:rsidRPr="00C31455">
        <w:rPr>
          <w:rFonts w:ascii="Arial" w:hAnsi="Arial" w:cs="Arial"/>
          <w:sz w:val="22"/>
          <w:szCs w:val="22"/>
        </w:rPr>
        <w:t xml:space="preserve">os Servicios Públicos </w:t>
      </w:r>
      <w:r w:rsidRPr="00C31455">
        <w:rPr>
          <w:rFonts w:ascii="Arial" w:hAnsi="Arial" w:cs="Arial"/>
          <w:color w:val="222222"/>
          <w:sz w:val="22"/>
          <w:szCs w:val="22"/>
          <w:lang w:val="es-ES_tradnl"/>
        </w:rPr>
        <w:t xml:space="preserve">Domiciliarios </w:t>
      </w:r>
      <w:r>
        <w:rPr>
          <w:rFonts w:ascii="Arial" w:hAnsi="Arial" w:cs="Arial"/>
          <w:color w:val="222222"/>
          <w:sz w:val="22"/>
          <w:szCs w:val="22"/>
          <w:lang w:val="es-ES_tradnl"/>
        </w:rPr>
        <w:t>d</w:t>
      </w:r>
      <w:r w:rsidRPr="00C31455">
        <w:rPr>
          <w:rFonts w:ascii="Arial" w:hAnsi="Arial" w:cs="Arial"/>
          <w:color w:val="222222"/>
          <w:sz w:val="22"/>
          <w:szCs w:val="22"/>
          <w:lang w:val="es-ES_tradnl"/>
        </w:rPr>
        <w:t xml:space="preserve">e Acueducto </w:t>
      </w:r>
      <w:r>
        <w:rPr>
          <w:rFonts w:ascii="Arial" w:hAnsi="Arial" w:cs="Arial"/>
          <w:color w:val="222222"/>
          <w:sz w:val="22"/>
          <w:szCs w:val="22"/>
          <w:lang w:val="es-ES_tradnl"/>
        </w:rPr>
        <w:t>y</w:t>
      </w:r>
      <w:r w:rsidRPr="00C31455">
        <w:rPr>
          <w:rFonts w:ascii="Arial" w:hAnsi="Arial" w:cs="Arial"/>
          <w:color w:val="222222"/>
          <w:sz w:val="22"/>
          <w:szCs w:val="22"/>
          <w:lang w:val="es-ES_tradnl"/>
        </w:rPr>
        <w:t xml:space="preserve"> Alcantarillado 2018</w:t>
      </w:r>
      <w:r w:rsidRPr="00C31455">
        <w:rPr>
          <w:rFonts w:ascii="Arial" w:hAnsi="Arial" w:cs="Arial"/>
          <w:color w:val="222222"/>
          <w:sz w:val="22"/>
          <w:szCs w:val="22"/>
          <w:vertAlign w:val="superscript"/>
          <w:lang w:val="es-ES_tradnl"/>
        </w:rPr>
        <w:footnoteReference w:id="32"/>
      </w:r>
      <w:r w:rsidRPr="00C31455">
        <w:rPr>
          <w:rFonts w:ascii="Arial" w:hAnsi="Arial" w:cs="Arial"/>
          <w:color w:val="222222"/>
          <w:sz w:val="22"/>
          <w:szCs w:val="22"/>
          <w:lang w:val="es-ES_tradnl"/>
        </w:rPr>
        <w:t xml:space="preserve"> elaborado por la Superintendencia de Servicio Públicos Domiciliarios, con la expedición del nuevo Reglamento Técnico del Sector de Agua Potable y Saneamiento Básico </w:t>
      </w:r>
      <w:r>
        <w:rPr>
          <w:rFonts w:ascii="Arial" w:hAnsi="Arial" w:cs="Arial"/>
          <w:color w:val="222222"/>
          <w:sz w:val="22"/>
          <w:szCs w:val="22"/>
          <w:lang w:val="es-ES_tradnl"/>
        </w:rPr>
        <w:t xml:space="preserve">- </w:t>
      </w:r>
      <w:r w:rsidRPr="00C31455">
        <w:rPr>
          <w:rFonts w:ascii="Arial" w:hAnsi="Arial" w:cs="Arial"/>
          <w:color w:val="222222"/>
          <w:sz w:val="22"/>
          <w:szCs w:val="22"/>
          <w:lang w:val="es-ES_tradnl"/>
        </w:rPr>
        <w:t>RAS, se estableció como porcentaje de pérdidas técnicas aceptables para todos los componentes del sistema de acueducto un máximo del 25</w:t>
      </w:r>
      <w:r>
        <w:rPr>
          <w:rFonts w:ascii="Arial" w:hAnsi="Arial" w:cs="Arial"/>
          <w:color w:val="222222"/>
          <w:sz w:val="22"/>
          <w:szCs w:val="22"/>
          <w:lang w:val="es-ES_tradnl"/>
        </w:rPr>
        <w:t xml:space="preserve"> </w:t>
      </w:r>
      <w:r w:rsidRPr="00C31455">
        <w:rPr>
          <w:rFonts w:ascii="Arial" w:hAnsi="Arial" w:cs="Arial"/>
          <w:color w:val="222222"/>
          <w:sz w:val="22"/>
          <w:szCs w:val="22"/>
          <w:lang w:val="es-ES_tradnl"/>
        </w:rPr>
        <w:t>%, como un indicador de la eficiencia funcional y operativa del sistema de acueducto.</w:t>
      </w:r>
    </w:p>
    <w:p w:rsidR="00D75790" w:rsidRDefault="00D75790" w:rsidP="00D75790">
      <w:pPr>
        <w:contextualSpacing/>
        <w:jc w:val="both"/>
        <w:rPr>
          <w:rFonts w:ascii="Arial" w:hAnsi="Arial" w:cs="Arial"/>
          <w:color w:val="222222"/>
          <w:sz w:val="22"/>
          <w:szCs w:val="22"/>
          <w:lang w:val="es-ES_tradnl"/>
        </w:rPr>
      </w:pPr>
    </w:p>
    <w:p w:rsidR="00D75790" w:rsidRPr="00A402AE" w:rsidRDefault="00D75790" w:rsidP="00D75790">
      <w:pPr>
        <w:contextualSpacing/>
        <w:jc w:val="both"/>
        <w:rPr>
          <w:rFonts w:ascii="Arial" w:hAnsi="Arial" w:cs="Arial"/>
          <w:color w:val="222222"/>
          <w:sz w:val="22"/>
          <w:szCs w:val="22"/>
          <w:lang w:val="es-ES_tradnl"/>
        </w:rPr>
      </w:pPr>
      <w:r>
        <w:rPr>
          <w:rFonts w:ascii="Arial" w:hAnsi="Arial" w:cs="Arial"/>
          <w:color w:val="222222"/>
          <w:sz w:val="22"/>
          <w:szCs w:val="22"/>
          <w:lang w:val="es-ES_tradnl"/>
        </w:rPr>
        <w:t xml:space="preserve">Teniendo en cuenta </w:t>
      </w:r>
      <w:r w:rsidRPr="00592CDF">
        <w:rPr>
          <w:rFonts w:ascii="Arial" w:hAnsi="Arial" w:cs="Arial"/>
          <w:color w:val="222222"/>
          <w:sz w:val="22"/>
          <w:szCs w:val="22"/>
          <w:lang w:val="es-ES_tradnl"/>
        </w:rPr>
        <w:t>el parágrafo del artículo 44 de la Resolución 0330 de 2017</w:t>
      </w:r>
      <w:r>
        <w:rPr>
          <w:rFonts w:ascii="Arial" w:hAnsi="Arial" w:cs="Arial"/>
          <w:color w:val="222222"/>
          <w:sz w:val="22"/>
          <w:szCs w:val="22"/>
          <w:lang w:val="es-ES_tradnl"/>
        </w:rPr>
        <w:t xml:space="preserve"> del MVCT</w:t>
      </w:r>
      <w:r w:rsidRPr="00592CDF">
        <w:rPr>
          <w:rFonts w:ascii="Arial" w:hAnsi="Arial" w:cs="Arial"/>
          <w:color w:val="222222"/>
          <w:sz w:val="22"/>
          <w:szCs w:val="22"/>
          <w:lang w:val="es-ES_tradnl"/>
        </w:rPr>
        <w:t>, el porcentaje de pérdidas técnicas máximas esperadas en todos los componentes del sistema no debe superar el 25</w:t>
      </w:r>
      <w:r>
        <w:rPr>
          <w:rFonts w:ascii="Arial" w:hAnsi="Arial" w:cs="Arial"/>
          <w:color w:val="222222"/>
          <w:sz w:val="22"/>
          <w:szCs w:val="22"/>
          <w:lang w:val="es-ES_tradnl"/>
        </w:rPr>
        <w:t xml:space="preserve"> </w:t>
      </w:r>
      <w:r w:rsidRPr="00592CDF">
        <w:rPr>
          <w:rFonts w:ascii="Arial" w:hAnsi="Arial" w:cs="Arial"/>
          <w:color w:val="222222"/>
          <w:sz w:val="22"/>
          <w:szCs w:val="22"/>
          <w:lang w:val="es-ES_tradnl"/>
        </w:rPr>
        <w:t>%</w:t>
      </w:r>
      <w:r>
        <w:rPr>
          <w:rFonts w:ascii="Arial" w:hAnsi="Arial" w:cs="Arial"/>
          <w:color w:val="222222"/>
          <w:sz w:val="22"/>
          <w:szCs w:val="22"/>
          <w:lang w:val="es-ES_tradnl"/>
        </w:rPr>
        <w:t>. Esta Resolución reglamentó los requisitos técnicos que se deben cumplir en las etapas de planeación, diseño, construcción, puesta en marcha, operación, mantenimiento y rehabilitación de la infraestructura relacionada con los Servicios Públicos Domiciliarios de AAA.</w:t>
      </w:r>
    </w:p>
    <w:p w:rsidR="00D75790"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Pr>
          <w:rFonts w:ascii="Arial" w:hAnsi="Arial" w:cs="Arial"/>
          <w:color w:val="222222"/>
          <w:sz w:val="22"/>
          <w:szCs w:val="22"/>
          <w:lang w:val="es-ES_tradnl"/>
        </w:rPr>
        <w:t xml:space="preserve">Para el caso particular de San Andrés, </w:t>
      </w:r>
      <w:r w:rsidRPr="00DC371E">
        <w:rPr>
          <w:rFonts w:ascii="Arial" w:hAnsi="Arial" w:cs="Arial"/>
          <w:color w:val="222222"/>
          <w:sz w:val="22"/>
          <w:szCs w:val="22"/>
          <w:lang w:val="es-ES_tradnl"/>
        </w:rPr>
        <w:t>en</w:t>
      </w:r>
      <w:r>
        <w:rPr>
          <w:rFonts w:ascii="Arial" w:hAnsi="Arial" w:cs="Arial"/>
          <w:color w:val="222222"/>
          <w:sz w:val="22"/>
          <w:szCs w:val="22"/>
          <w:lang w:val="es-ES_tradnl"/>
        </w:rPr>
        <w:t xml:space="preserve"> </w:t>
      </w:r>
      <w:r w:rsidRPr="00DC371E">
        <w:rPr>
          <w:rFonts w:ascii="Arial" w:hAnsi="Arial" w:cs="Arial"/>
          <w:color w:val="222222"/>
          <w:sz w:val="22"/>
          <w:szCs w:val="22"/>
          <w:lang w:val="es-ES_tradnl"/>
        </w:rPr>
        <w:t>el Contrato de Operación Inicial firmado con Veolia, no se incluyó una meta de reducción de pérdidas de agua ya que presuntamente las redes estaban en buenas condiciones, lo cual una vez presurizadas evidenciaron lo contrario, presentándose pérdidas por encima del 85</w:t>
      </w:r>
      <w:r>
        <w:rPr>
          <w:rFonts w:ascii="Arial" w:hAnsi="Arial" w:cs="Arial"/>
          <w:color w:val="222222"/>
          <w:sz w:val="22"/>
          <w:szCs w:val="22"/>
          <w:lang w:val="es-ES_tradnl"/>
        </w:rPr>
        <w:t xml:space="preserve"> </w:t>
      </w:r>
      <w:r w:rsidRPr="00DC371E">
        <w:rPr>
          <w:rFonts w:ascii="Arial" w:hAnsi="Arial" w:cs="Arial"/>
          <w:color w:val="222222"/>
          <w:sz w:val="22"/>
          <w:szCs w:val="22"/>
          <w:lang w:val="es-ES_tradnl"/>
        </w:rPr>
        <w:t>%.</w:t>
      </w:r>
    </w:p>
    <w:p w:rsidR="00D75790" w:rsidRPr="00DC371E" w:rsidRDefault="00D75790" w:rsidP="00D75790">
      <w:pPr>
        <w:pStyle w:val="Prrafodelista"/>
        <w:ind w:left="0"/>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Sólo hasta el Otrosí No.6 del Contrato de Operación firmado en septiembre de 2008, se incluyó una meta de reducción de pérdidas, la cual quedó condicionada a la ejecución de un Plan de Obras e Inversiones cuya fuente de financiación es el Plan Departamental de Agua.</w:t>
      </w:r>
    </w:p>
    <w:p w:rsidR="00D75790" w:rsidRDefault="00D75790" w:rsidP="00D75790">
      <w:pPr>
        <w:contextualSpacing/>
        <w:jc w:val="both"/>
        <w:rPr>
          <w:rFonts w:ascii="Arial" w:hAnsi="Arial" w:cs="Arial"/>
          <w:sz w:val="22"/>
          <w:szCs w:val="22"/>
          <w:lang w:val="es-ES_tradnl"/>
        </w:rPr>
      </w:pPr>
    </w:p>
    <w:p w:rsidR="00D75790" w:rsidRPr="00DC371E" w:rsidRDefault="00D75790" w:rsidP="00D75790">
      <w:pPr>
        <w:spacing w:after="242"/>
        <w:ind w:left="-5"/>
        <w:contextualSpacing/>
        <w:jc w:val="both"/>
        <w:rPr>
          <w:rFonts w:ascii="Arial" w:hAnsi="Arial" w:cs="Arial"/>
          <w:sz w:val="22"/>
          <w:szCs w:val="22"/>
          <w:lang w:val="es-ES_tradnl"/>
        </w:rPr>
      </w:pPr>
      <w:r w:rsidRPr="00DC371E">
        <w:rPr>
          <w:rFonts w:ascii="Arial" w:hAnsi="Arial" w:cs="Arial"/>
          <w:color w:val="222222"/>
          <w:sz w:val="22"/>
          <w:szCs w:val="22"/>
          <w:lang w:val="es-ES_tradnl"/>
        </w:rPr>
        <w:t xml:space="preserve">La </w:t>
      </w:r>
      <w:r>
        <w:rPr>
          <w:rFonts w:ascii="Arial" w:hAnsi="Arial" w:cs="Arial"/>
          <w:color w:val="222222"/>
          <w:sz w:val="22"/>
          <w:szCs w:val="22"/>
          <w:lang w:val="es-ES_tradnl"/>
        </w:rPr>
        <w:t>E</w:t>
      </w:r>
      <w:r w:rsidRPr="00DC371E">
        <w:rPr>
          <w:rFonts w:ascii="Arial" w:hAnsi="Arial" w:cs="Arial"/>
          <w:color w:val="222222"/>
          <w:sz w:val="22"/>
          <w:szCs w:val="22"/>
          <w:lang w:val="es-ES_tradnl"/>
        </w:rPr>
        <w:t xml:space="preserve">ntidad </w:t>
      </w:r>
      <w:r>
        <w:rPr>
          <w:rFonts w:ascii="Arial" w:hAnsi="Arial" w:cs="Arial"/>
          <w:color w:val="222222"/>
          <w:sz w:val="22"/>
          <w:szCs w:val="22"/>
          <w:lang w:val="es-ES_tradnl"/>
        </w:rPr>
        <w:t>T</w:t>
      </w:r>
      <w:r w:rsidRPr="00DC371E">
        <w:rPr>
          <w:rFonts w:ascii="Arial" w:hAnsi="Arial" w:cs="Arial"/>
          <w:color w:val="222222"/>
          <w:sz w:val="22"/>
          <w:szCs w:val="22"/>
          <w:lang w:val="es-ES_tradnl"/>
        </w:rPr>
        <w:t>erritorial, en oficio d</w:t>
      </w:r>
      <w:r w:rsidRPr="00DC371E">
        <w:rPr>
          <w:rFonts w:ascii="Arial" w:hAnsi="Arial" w:cs="Arial"/>
          <w:sz w:val="22"/>
          <w:szCs w:val="22"/>
        </w:rPr>
        <w:t>el día 16 de julio de 2021 bajo el radicado 1-2021-061625, remitió certificación de Veolia d</w:t>
      </w:r>
      <w:r w:rsidRPr="00DC371E">
        <w:rPr>
          <w:rFonts w:ascii="Arial" w:hAnsi="Arial" w:cs="Arial"/>
          <w:sz w:val="22"/>
          <w:szCs w:val="22"/>
          <w:lang w:val="es-ES_tradnl"/>
        </w:rPr>
        <w:t>el día 13 de julio de 2021 en la que certificó que:</w:t>
      </w:r>
    </w:p>
    <w:p w:rsidR="00D75790" w:rsidRPr="00DC371E" w:rsidRDefault="00D75790" w:rsidP="00D75790">
      <w:pPr>
        <w:spacing w:after="242"/>
        <w:ind w:left="-5"/>
        <w:contextualSpacing/>
        <w:jc w:val="both"/>
        <w:rPr>
          <w:rFonts w:ascii="Arial" w:hAnsi="Arial" w:cs="Arial"/>
          <w:sz w:val="22"/>
          <w:szCs w:val="22"/>
          <w:lang w:val="es-ES_tradnl"/>
        </w:rPr>
      </w:pPr>
    </w:p>
    <w:p w:rsidR="00D75790" w:rsidRPr="00E46D41" w:rsidRDefault="00D75790" w:rsidP="00D75790">
      <w:pPr>
        <w:spacing w:after="242"/>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A cierre de la vigencia 2020 el índice de agua no contabilizada -IANC fue de 64%</w:t>
      </w:r>
      <w:r w:rsidRPr="00E46D41">
        <w:rPr>
          <w:rFonts w:ascii="Arial" w:hAnsi="Arial" w:cs="Arial"/>
          <w:iCs/>
          <w:sz w:val="18"/>
          <w:szCs w:val="22"/>
          <w:lang w:val="es-ES_tradnl"/>
        </w:rPr>
        <w:t>”.</w:t>
      </w:r>
    </w:p>
    <w:p w:rsidR="00D75790" w:rsidRPr="00DC371E" w:rsidRDefault="00D75790" w:rsidP="00D75790">
      <w:pPr>
        <w:spacing w:after="242"/>
        <w:ind w:left="-5"/>
        <w:contextualSpacing/>
        <w:jc w:val="both"/>
        <w:rPr>
          <w:rFonts w:ascii="Arial" w:hAnsi="Arial" w:cs="Arial"/>
          <w:sz w:val="22"/>
          <w:szCs w:val="22"/>
          <w:lang w:val="es-ES_tradnl"/>
        </w:rPr>
      </w:pP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r w:rsidRPr="00DC371E">
        <w:rPr>
          <w:rFonts w:ascii="Arial" w:hAnsi="Arial" w:cs="Arial"/>
          <w:sz w:val="22"/>
          <w:szCs w:val="22"/>
          <w:lang w:val="es-ES_tradnl"/>
        </w:rPr>
        <w:t>También certificaron que el IANC para esta vigencia 2021 es de 68</w:t>
      </w:r>
      <w:r>
        <w:rPr>
          <w:rFonts w:ascii="Arial" w:hAnsi="Arial" w:cs="Arial"/>
          <w:sz w:val="22"/>
          <w:szCs w:val="22"/>
          <w:lang w:val="es-ES_tradnl"/>
        </w:rPr>
        <w:t xml:space="preserve"> </w:t>
      </w:r>
      <w:r w:rsidRPr="00DC371E">
        <w:rPr>
          <w:rFonts w:ascii="Arial" w:hAnsi="Arial" w:cs="Arial"/>
          <w:sz w:val="22"/>
          <w:szCs w:val="22"/>
          <w:lang w:val="es-ES_tradnl"/>
        </w:rPr>
        <w:t xml:space="preserve">%. Si bien existen unas metas contractuales en cumplimiento de este Índice, van en detrimento de lo manifestado por la Comisión de Regulación de Agua Potable y Saneamiento Básico </w:t>
      </w:r>
      <w:r>
        <w:rPr>
          <w:rFonts w:ascii="Arial" w:hAnsi="Arial" w:cs="Arial"/>
          <w:sz w:val="22"/>
          <w:szCs w:val="22"/>
          <w:lang w:val="es-ES_tradnl"/>
        </w:rPr>
        <w:t xml:space="preserve">- </w:t>
      </w:r>
      <w:r w:rsidRPr="00DC371E">
        <w:rPr>
          <w:rFonts w:ascii="Arial" w:hAnsi="Arial" w:cs="Arial"/>
          <w:sz w:val="22"/>
          <w:szCs w:val="22"/>
          <w:lang w:val="es-ES_tradnl"/>
        </w:rPr>
        <w:t xml:space="preserve">CRA en la </w:t>
      </w:r>
      <w:r>
        <w:rPr>
          <w:rFonts w:ascii="Arial" w:hAnsi="Arial" w:cs="Arial"/>
          <w:sz w:val="22"/>
          <w:szCs w:val="22"/>
          <w:lang w:val="es-ES_tradnl"/>
        </w:rPr>
        <w:t>R</w:t>
      </w:r>
      <w:r w:rsidRPr="00DC371E">
        <w:rPr>
          <w:rFonts w:ascii="Arial" w:hAnsi="Arial" w:cs="Arial"/>
          <w:sz w:val="22"/>
          <w:szCs w:val="22"/>
          <w:lang w:val="es-ES_tradnl"/>
        </w:rPr>
        <w:t xml:space="preserve">esolución 287 de 2004, la cual estableció como </w:t>
      </w:r>
      <w:r>
        <w:rPr>
          <w:rFonts w:ascii="Arial" w:hAnsi="Arial" w:cs="Arial"/>
          <w:sz w:val="22"/>
          <w:szCs w:val="22"/>
          <w:lang w:val="es-ES_tradnl"/>
        </w:rPr>
        <w:t>base para el cálculo tarifario el</w:t>
      </w:r>
      <w:r w:rsidRPr="00DC371E">
        <w:rPr>
          <w:rFonts w:ascii="Arial" w:hAnsi="Arial" w:cs="Arial"/>
          <w:sz w:val="22"/>
          <w:szCs w:val="22"/>
          <w:lang w:val="es-ES_tradnl"/>
        </w:rPr>
        <w:t xml:space="preserve"> 30</w:t>
      </w:r>
      <w:r>
        <w:rPr>
          <w:rFonts w:ascii="Arial" w:hAnsi="Arial" w:cs="Arial"/>
          <w:sz w:val="22"/>
          <w:szCs w:val="22"/>
          <w:lang w:val="es-ES_tradnl"/>
        </w:rPr>
        <w:t xml:space="preserve"> </w:t>
      </w:r>
      <w:r w:rsidRPr="00DC371E">
        <w:rPr>
          <w:rFonts w:ascii="Arial" w:hAnsi="Arial" w:cs="Arial"/>
          <w:sz w:val="22"/>
          <w:szCs w:val="22"/>
          <w:lang w:val="es-ES_tradnl"/>
        </w:rPr>
        <w:t xml:space="preserve">% de las pérdidas para las entidades </w:t>
      </w:r>
      <w:r>
        <w:rPr>
          <w:rFonts w:ascii="Arial" w:hAnsi="Arial" w:cs="Arial"/>
          <w:sz w:val="22"/>
          <w:szCs w:val="22"/>
          <w:lang w:val="es-ES_tradnl"/>
        </w:rPr>
        <w:t>p</w:t>
      </w:r>
      <w:r w:rsidRPr="00DC371E">
        <w:rPr>
          <w:rFonts w:ascii="Arial" w:hAnsi="Arial" w:cs="Arial"/>
          <w:sz w:val="22"/>
          <w:szCs w:val="22"/>
          <w:lang w:val="es-ES_tradnl"/>
        </w:rPr>
        <w:t xml:space="preserve">restadoras del Servicio de </w:t>
      </w:r>
      <w:r>
        <w:rPr>
          <w:rFonts w:ascii="Arial" w:hAnsi="Arial" w:cs="Arial"/>
          <w:sz w:val="22"/>
          <w:szCs w:val="22"/>
          <w:lang w:val="es-ES_tradnl"/>
        </w:rPr>
        <w:t>A</w:t>
      </w:r>
      <w:r w:rsidRPr="00DC371E">
        <w:rPr>
          <w:rFonts w:ascii="Arial" w:hAnsi="Arial" w:cs="Arial"/>
          <w:sz w:val="22"/>
          <w:szCs w:val="22"/>
          <w:lang w:val="es-ES_tradnl"/>
        </w:rPr>
        <w:t>cueducto.</w:t>
      </w:r>
    </w:p>
    <w:p w:rsidR="00D75790" w:rsidRPr="00DC371E"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p>
    <w:p w:rsidR="00D75790"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r w:rsidRPr="00DC371E">
        <w:rPr>
          <w:rFonts w:ascii="Arial" w:hAnsi="Arial" w:cs="Arial"/>
          <w:sz w:val="22"/>
          <w:szCs w:val="22"/>
          <w:lang w:val="es-ES_tradnl"/>
        </w:rPr>
        <w:t xml:space="preserve">Adicional a lo anterior, Veolia certificó el día 13 de julio </w:t>
      </w:r>
      <w:r>
        <w:rPr>
          <w:rFonts w:ascii="Arial" w:hAnsi="Arial" w:cs="Arial"/>
          <w:sz w:val="22"/>
          <w:szCs w:val="22"/>
          <w:lang w:val="es-ES_tradnl"/>
        </w:rPr>
        <w:t>de</w:t>
      </w:r>
      <w:r w:rsidRPr="00DC371E">
        <w:rPr>
          <w:rFonts w:ascii="Arial" w:hAnsi="Arial" w:cs="Arial"/>
          <w:sz w:val="22"/>
          <w:szCs w:val="22"/>
          <w:lang w:val="es-ES_tradnl"/>
        </w:rPr>
        <w:t xml:space="preserve"> 2021 que el IANC para esta vigencia es de 68</w:t>
      </w:r>
      <w:r>
        <w:rPr>
          <w:rFonts w:ascii="Arial" w:hAnsi="Arial" w:cs="Arial"/>
          <w:sz w:val="22"/>
          <w:szCs w:val="22"/>
          <w:lang w:val="es-ES_tradnl"/>
        </w:rPr>
        <w:t xml:space="preserve"> </w:t>
      </w:r>
      <w:r w:rsidRPr="00DC371E">
        <w:rPr>
          <w:rFonts w:ascii="Arial" w:hAnsi="Arial" w:cs="Arial"/>
          <w:sz w:val="22"/>
          <w:szCs w:val="22"/>
          <w:lang w:val="es-ES_tradnl"/>
        </w:rPr>
        <w:t>%. Si bien existen unas metas contractuales en cumplimiento de este Índice,</w:t>
      </w:r>
      <w:r>
        <w:rPr>
          <w:rFonts w:ascii="Arial" w:hAnsi="Arial" w:cs="Arial"/>
          <w:sz w:val="22"/>
          <w:szCs w:val="22"/>
          <w:lang w:val="es-ES_tradnl"/>
        </w:rPr>
        <w:t xml:space="preserve"> </w:t>
      </w:r>
      <w:r w:rsidRPr="00E46D41">
        <w:rPr>
          <w:rFonts w:ascii="Arial" w:hAnsi="Arial" w:cs="Arial"/>
          <w:sz w:val="22"/>
          <w:szCs w:val="22"/>
          <w:lang w:val="es-ES_tradnl"/>
        </w:rPr>
        <w:t xml:space="preserve">el parágrafo del artículo 44 de la Resolución 0330 de 2017 hace referencia a que el porcentaje de pérdidas técnicas máximas esperadas en todos los componentes del sistema </w:t>
      </w:r>
      <w:r w:rsidRPr="00147D3C">
        <w:rPr>
          <w:rFonts w:ascii="Arial" w:hAnsi="Arial" w:cs="Arial"/>
          <w:sz w:val="22"/>
          <w:szCs w:val="22"/>
          <w:lang w:val="es-ES_tradnl"/>
        </w:rPr>
        <w:t xml:space="preserve">no debe superar el </w:t>
      </w:r>
      <w:r w:rsidRPr="00E46D41">
        <w:rPr>
          <w:rFonts w:ascii="Arial" w:hAnsi="Arial" w:cs="Arial"/>
          <w:sz w:val="22"/>
          <w:szCs w:val="22"/>
          <w:lang w:val="es-ES_tradnl"/>
        </w:rPr>
        <w:t>25</w:t>
      </w:r>
      <w:r>
        <w:rPr>
          <w:rFonts w:ascii="Arial" w:hAnsi="Arial" w:cs="Arial"/>
          <w:sz w:val="22"/>
          <w:szCs w:val="22"/>
          <w:lang w:val="es-ES_tradnl"/>
        </w:rPr>
        <w:t xml:space="preserve"> </w:t>
      </w:r>
      <w:r w:rsidRPr="00E46D41">
        <w:rPr>
          <w:rFonts w:ascii="Arial" w:hAnsi="Arial" w:cs="Arial"/>
          <w:sz w:val="22"/>
          <w:szCs w:val="22"/>
          <w:lang w:val="es-ES_tradnl"/>
        </w:rPr>
        <w:t xml:space="preserve">%. </w:t>
      </w:r>
      <w:r w:rsidRPr="00DC371E">
        <w:rPr>
          <w:rFonts w:ascii="Arial" w:hAnsi="Arial" w:cs="Arial"/>
          <w:sz w:val="22"/>
          <w:szCs w:val="22"/>
          <w:lang w:val="es-ES_tradnl"/>
        </w:rPr>
        <w:t xml:space="preserve">Esto significa que de cada 100 litros de agua que produce el sistema de acueducto, es aceptable que se pierdan por fugas, conexiones clandestinas o errores en la medición de consumos, un máximo de </w:t>
      </w:r>
      <w:r>
        <w:rPr>
          <w:rFonts w:ascii="Arial" w:hAnsi="Arial" w:cs="Arial"/>
          <w:sz w:val="22"/>
          <w:szCs w:val="22"/>
          <w:lang w:val="es-ES_tradnl"/>
        </w:rPr>
        <w:t>25</w:t>
      </w:r>
      <w:r w:rsidRPr="00DC371E">
        <w:rPr>
          <w:rFonts w:ascii="Arial" w:hAnsi="Arial" w:cs="Arial"/>
          <w:sz w:val="22"/>
          <w:szCs w:val="22"/>
          <w:lang w:val="es-ES_tradnl"/>
        </w:rPr>
        <w:t xml:space="preserve"> litros.</w:t>
      </w:r>
    </w:p>
    <w:p w:rsidR="00D75790" w:rsidRPr="00DC371E" w:rsidRDefault="00D75790" w:rsidP="00D75790">
      <w:pPr>
        <w:shd w:val="clear" w:color="auto" w:fill="FFFFFF"/>
        <w:spacing w:before="100" w:beforeAutospacing="1" w:after="100" w:afterAutospacing="1"/>
        <w:contextualSpacing/>
        <w:jc w:val="both"/>
        <w:rPr>
          <w:rFonts w:ascii="Arial" w:hAnsi="Arial" w:cs="Arial"/>
          <w:sz w:val="22"/>
          <w:szCs w:val="22"/>
          <w:lang w:val="es-ES_tradnl"/>
        </w:rPr>
      </w:pPr>
    </w:p>
    <w:p w:rsidR="00D75790" w:rsidRPr="00753E2C" w:rsidRDefault="00D75790" w:rsidP="00D75790">
      <w:pPr>
        <w:contextualSpacing/>
        <w:jc w:val="both"/>
        <w:rPr>
          <w:rFonts w:ascii="Arial" w:hAnsi="Arial" w:cs="Arial"/>
          <w:color w:val="222222"/>
          <w:sz w:val="22"/>
          <w:szCs w:val="22"/>
          <w:lang w:val="es-ES_tradnl"/>
        </w:rPr>
      </w:pPr>
      <w:r w:rsidRPr="00753E2C">
        <w:rPr>
          <w:rFonts w:ascii="Arial" w:hAnsi="Arial" w:cs="Arial"/>
          <w:color w:val="222222"/>
          <w:sz w:val="22"/>
          <w:szCs w:val="22"/>
          <w:lang w:val="es-ES_tradnl"/>
        </w:rPr>
        <w:t xml:space="preserve">Si bien la información aportada por la Supervisión y por el MVCT hace referencia a los componentes del indicador del Índice de Agua No Contabilizada, en la cual se evidencia un nivel importante de pérdidas, el IANC quedó derogado a partir del 2014 con la </w:t>
      </w:r>
      <w:r>
        <w:rPr>
          <w:rFonts w:ascii="Arial" w:hAnsi="Arial" w:cs="Arial"/>
          <w:color w:val="222222"/>
          <w:sz w:val="22"/>
          <w:szCs w:val="22"/>
          <w:lang w:val="es-ES_tradnl"/>
        </w:rPr>
        <w:t>R</w:t>
      </w:r>
      <w:r w:rsidRPr="00753E2C">
        <w:rPr>
          <w:rFonts w:ascii="Arial" w:hAnsi="Arial" w:cs="Arial"/>
          <w:color w:val="222222"/>
          <w:sz w:val="22"/>
          <w:szCs w:val="22"/>
          <w:lang w:val="es-ES_tradnl"/>
        </w:rPr>
        <w:t>esolución 688</w:t>
      </w:r>
      <w:r>
        <w:rPr>
          <w:rFonts w:ascii="Arial" w:hAnsi="Arial" w:cs="Arial"/>
          <w:color w:val="222222"/>
          <w:sz w:val="22"/>
          <w:szCs w:val="22"/>
          <w:lang w:val="es-ES_tradnl"/>
        </w:rPr>
        <w:t xml:space="preserve">, y reemplazado </w:t>
      </w:r>
      <w:r w:rsidRPr="00753E2C">
        <w:rPr>
          <w:rFonts w:ascii="Arial" w:hAnsi="Arial" w:cs="Arial"/>
          <w:color w:val="222222"/>
          <w:sz w:val="22"/>
          <w:szCs w:val="22"/>
          <w:lang w:val="es-ES_tradnl"/>
        </w:rPr>
        <w:t>por el IPUF.</w:t>
      </w:r>
    </w:p>
    <w:p w:rsidR="00D75790" w:rsidRDefault="00D75790" w:rsidP="00D75790">
      <w:pPr>
        <w:contextualSpacing/>
        <w:jc w:val="both"/>
        <w:rPr>
          <w:rFonts w:ascii="Arial" w:hAnsi="Arial" w:cs="Arial"/>
          <w:color w:val="222222"/>
          <w:sz w:val="22"/>
          <w:szCs w:val="22"/>
          <w:highlight w:val="yellow"/>
          <w:lang w:val="es-ES_tradnl"/>
        </w:rPr>
      </w:pPr>
    </w:p>
    <w:p w:rsidR="00D75790" w:rsidRDefault="00D75790" w:rsidP="00D75790">
      <w:pPr>
        <w:contextualSpacing/>
        <w:jc w:val="both"/>
        <w:rPr>
          <w:rFonts w:ascii="Arial" w:hAnsi="Arial" w:cs="Arial"/>
          <w:sz w:val="22"/>
          <w:szCs w:val="22"/>
          <w:lang w:val="es-ES_tradnl"/>
        </w:rPr>
      </w:pPr>
      <w:r>
        <w:rPr>
          <w:rFonts w:ascii="Arial" w:hAnsi="Arial" w:cs="Arial"/>
          <w:sz w:val="22"/>
          <w:szCs w:val="22"/>
          <w:lang w:val="es-ES_tradnl"/>
        </w:rPr>
        <w:t xml:space="preserve">Vale la pena aclarar que </w:t>
      </w:r>
      <w:r>
        <w:rPr>
          <w:rFonts w:ascii="Arial" w:hAnsi="Arial" w:cs="Arial"/>
          <w:color w:val="222222"/>
          <w:sz w:val="22"/>
          <w:szCs w:val="22"/>
          <w:lang w:val="es-ES_tradnl"/>
        </w:rPr>
        <w:t>e</w:t>
      </w:r>
      <w:r w:rsidRPr="00A402AE">
        <w:rPr>
          <w:rFonts w:ascii="Arial" w:hAnsi="Arial" w:cs="Arial"/>
          <w:color w:val="222222"/>
          <w:sz w:val="22"/>
          <w:szCs w:val="22"/>
          <w:lang w:val="es-ES_tradnl"/>
        </w:rPr>
        <w:t xml:space="preserve">l Índice de Pérdidas por Suscriptor Facturado </w:t>
      </w:r>
      <w:r>
        <w:rPr>
          <w:rFonts w:ascii="Arial" w:hAnsi="Arial" w:cs="Arial"/>
          <w:color w:val="222222"/>
          <w:sz w:val="22"/>
          <w:szCs w:val="22"/>
          <w:lang w:val="es-ES_tradnl"/>
        </w:rPr>
        <w:t xml:space="preserve">- </w:t>
      </w:r>
      <w:r w:rsidRPr="00A402AE">
        <w:rPr>
          <w:rFonts w:ascii="Arial" w:hAnsi="Arial" w:cs="Arial"/>
          <w:color w:val="222222"/>
          <w:sz w:val="22"/>
          <w:szCs w:val="22"/>
          <w:lang w:val="es-ES_tradnl"/>
        </w:rPr>
        <w:t xml:space="preserve">IPUF representa el volumen de agua perdida por suscriptor por mes. De acuerdo con la anterior expresión, el IPUF considera de forma agregada las pérdidas sin importar su distribución entre técnicas y comerciales, a partir de un volumen por suscriptor por mes. </w:t>
      </w:r>
      <w:r>
        <w:rPr>
          <w:rFonts w:ascii="Arial" w:hAnsi="Arial" w:cs="Arial"/>
          <w:sz w:val="22"/>
          <w:szCs w:val="22"/>
          <w:lang w:val="es-ES_tradnl"/>
        </w:rPr>
        <w:t>Es necesario hacer una correcta medición de consumos por suscriptor.</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Pr>
          <w:rFonts w:ascii="Arial" w:hAnsi="Arial" w:cs="Arial"/>
          <w:sz w:val="22"/>
          <w:szCs w:val="22"/>
          <w:lang w:val="es-ES_tradnl"/>
        </w:rPr>
        <w:t>E</w:t>
      </w:r>
      <w:r w:rsidRPr="00DC371E">
        <w:rPr>
          <w:rFonts w:ascii="Arial" w:hAnsi="Arial" w:cs="Arial"/>
          <w:sz w:val="22"/>
          <w:szCs w:val="22"/>
          <w:lang w:val="es-ES_tradnl"/>
        </w:rPr>
        <w:t xml:space="preserve">n cuanto a la medición de los consumos del </w:t>
      </w:r>
      <w:r>
        <w:rPr>
          <w:rFonts w:ascii="Arial" w:hAnsi="Arial" w:cs="Arial"/>
          <w:sz w:val="22"/>
          <w:szCs w:val="22"/>
          <w:lang w:val="es-ES_tradnl"/>
        </w:rPr>
        <w:t>S</w:t>
      </w:r>
      <w:r w:rsidRPr="00DC371E">
        <w:rPr>
          <w:rFonts w:ascii="Arial" w:hAnsi="Arial" w:cs="Arial"/>
          <w:sz w:val="22"/>
          <w:szCs w:val="22"/>
          <w:lang w:val="es-ES_tradnl"/>
        </w:rPr>
        <w:t xml:space="preserve">ervicio </w:t>
      </w:r>
      <w:r>
        <w:rPr>
          <w:rFonts w:ascii="Arial" w:hAnsi="Arial" w:cs="Arial"/>
          <w:sz w:val="22"/>
          <w:szCs w:val="22"/>
          <w:lang w:val="es-ES_tradnl"/>
        </w:rPr>
        <w:t>P</w:t>
      </w:r>
      <w:r w:rsidRPr="00DC371E">
        <w:rPr>
          <w:rFonts w:ascii="Arial" w:hAnsi="Arial" w:cs="Arial"/>
          <w:sz w:val="22"/>
          <w:szCs w:val="22"/>
          <w:lang w:val="es-ES_tradnl"/>
        </w:rPr>
        <w:t xml:space="preserve">úblico </w:t>
      </w:r>
      <w:r>
        <w:rPr>
          <w:rFonts w:ascii="Arial" w:hAnsi="Arial" w:cs="Arial"/>
          <w:sz w:val="22"/>
          <w:szCs w:val="22"/>
          <w:lang w:val="es-ES_tradnl"/>
        </w:rPr>
        <w:t>D</w:t>
      </w:r>
      <w:r w:rsidRPr="00DC371E">
        <w:rPr>
          <w:rFonts w:ascii="Arial" w:hAnsi="Arial" w:cs="Arial"/>
          <w:sz w:val="22"/>
          <w:szCs w:val="22"/>
          <w:lang w:val="es-ES_tradnl"/>
        </w:rPr>
        <w:t xml:space="preserve">omiciliario de </w:t>
      </w:r>
      <w:r>
        <w:rPr>
          <w:rFonts w:ascii="Arial" w:hAnsi="Arial" w:cs="Arial"/>
          <w:sz w:val="22"/>
          <w:szCs w:val="22"/>
          <w:lang w:val="es-ES_tradnl"/>
        </w:rPr>
        <w:t>A</w:t>
      </w:r>
      <w:r w:rsidRPr="00DC371E">
        <w:rPr>
          <w:rFonts w:ascii="Arial" w:hAnsi="Arial" w:cs="Arial"/>
          <w:sz w:val="22"/>
          <w:szCs w:val="22"/>
          <w:lang w:val="es-ES_tradnl"/>
        </w:rPr>
        <w:t xml:space="preserve">cueducto por parte de los usuarios, de acuerdo con certificación expedida por Veolia el 12 de julio de 2021, existen 4.002 micromedidores instalados, esto significa que menos de la mitad de los suscriptores del </w:t>
      </w:r>
      <w:r>
        <w:rPr>
          <w:rFonts w:ascii="Arial" w:hAnsi="Arial" w:cs="Arial"/>
          <w:sz w:val="22"/>
          <w:szCs w:val="22"/>
          <w:lang w:val="es-ES_tradnl"/>
        </w:rPr>
        <w:t>S</w:t>
      </w:r>
      <w:r w:rsidRPr="00DC371E">
        <w:rPr>
          <w:rFonts w:ascii="Arial" w:hAnsi="Arial" w:cs="Arial"/>
          <w:sz w:val="22"/>
          <w:szCs w:val="22"/>
          <w:lang w:val="es-ES_tradnl"/>
        </w:rPr>
        <w:t>ervicio de</w:t>
      </w:r>
      <w:r>
        <w:rPr>
          <w:rFonts w:ascii="Arial" w:hAnsi="Arial" w:cs="Arial"/>
          <w:sz w:val="22"/>
          <w:szCs w:val="22"/>
          <w:lang w:val="es-ES_tradnl"/>
        </w:rPr>
        <w:t xml:space="preserve"> A</w:t>
      </w:r>
      <w:r w:rsidRPr="00DC371E">
        <w:rPr>
          <w:rFonts w:ascii="Arial" w:hAnsi="Arial" w:cs="Arial"/>
          <w:sz w:val="22"/>
          <w:szCs w:val="22"/>
          <w:lang w:val="es-ES_tradnl"/>
        </w:rPr>
        <w:t xml:space="preserve">cueducto que tiene la Empresa son medidos en sus consumos. La información sobre la cantidad de micromedidores instalados es diferente en los informes de </w:t>
      </w:r>
      <w:r>
        <w:rPr>
          <w:rFonts w:ascii="Arial" w:hAnsi="Arial" w:cs="Arial"/>
          <w:sz w:val="22"/>
          <w:szCs w:val="22"/>
          <w:lang w:val="es-ES_tradnl"/>
        </w:rPr>
        <w:t>s</w:t>
      </w:r>
      <w:r w:rsidRPr="00DC371E">
        <w:rPr>
          <w:rFonts w:ascii="Arial" w:hAnsi="Arial" w:cs="Arial"/>
          <w:sz w:val="22"/>
          <w:szCs w:val="22"/>
          <w:lang w:val="es-ES_tradnl"/>
        </w:rPr>
        <w:t>upervisión a la certificada por Veolia.</w:t>
      </w:r>
      <w:r>
        <w:rPr>
          <w:rFonts w:ascii="Arial" w:hAnsi="Arial" w:cs="Arial"/>
          <w:sz w:val="22"/>
          <w:szCs w:val="22"/>
          <w:lang w:val="es-ES_tradnl"/>
        </w:rPr>
        <w:t xml:space="preserve"> Esta situación condiciona los resultados de la evaluación de un Indicador IPUF.</w:t>
      </w:r>
    </w:p>
    <w:p w:rsidR="00D75790" w:rsidRPr="00DC371E" w:rsidRDefault="00D75790" w:rsidP="00D75790">
      <w:pPr>
        <w:contextualSpacing/>
        <w:jc w:val="both"/>
        <w:rPr>
          <w:rFonts w:ascii="Arial" w:hAnsi="Arial" w:cs="Arial"/>
          <w:color w:val="222222"/>
          <w:sz w:val="22"/>
          <w:szCs w:val="22"/>
          <w:highlight w:val="yellow"/>
          <w:lang w:val="es-ES_tradnl"/>
        </w:rPr>
      </w:pPr>
    </w:p>
    <w:p w:rsidR="00D75790" w:rsidRPr="00DC371E" w:rsidRDefault="00D75790" w:rsidP="00D75790">
      <w:pPr>
        <w:pStyle w:val="Prrafodelista"/>
        <w:keepNext/>
        <w:keepLines/>
        <w:numPr>
          <w:ilvl w:val="0"/>
          <w:numId w:val="17"/>
        </w:numPr>
        <w:tabs>
          <w:tab w:val="center" w:pos="1373"/>
        </w:tabs>
        <w:spacing w:after="5"/>
        <w:jc w:val="both"/>
        <w:outlineLvl w:val="1"/>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t xml:space="preserve">OTROSÍ </w:t>
      </w:r>
      <w:r>
        <w:rPr>
          <w:rFonts w:ascii="Arial" w:hAnsi="Arial" w:cs="Arial"/>
          <w:b/>
          <w:color w:val="000000"/>
          <w:sz w:val="22"/>
          <w:szCs w:val="22"/>
          <w:lang w:val="es-ES_tradnl" w:eastAsia="es-CO"/>
        </w:rPr>
        <w:t>NÚMERO</w:t>
      </w:r>
      <w:r w:rsidRPr="00DC371E">
        <w:rPr>
          <w:rFonts w:ascii="Arial" w:hAnsi="Arial" w:cs="Arial"/>
          <w:b/>
          <w:color w:val="000000"/>
          <w:sz w:val="22"/>
          <w:szCs w:val="22"/>
          <w:lang w:val="es-ES_tradnl" w:eastAsia="es-CO"/>
        </w:rPr>
        <w:t xml:space="preserve"> 9</w:t>
      </w:r>
      <w:r>
        <w:rPr>
          <w:rFonts w:ascii="Arial" w:hAnsi="Arial" w:cs="Arial"/>
          <w:b/>
          <w:color w:val="000000"/>
          <w:sz w:val="22"/>
          <w:szCs w:val="22"/>
          <w:lang w:val="es-ES_tradnl" w:eastAsia="es-CO"/>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 xml:space="preserve">Como resultado del esquema de prestación de los Servicios de Acueducto y Alcantarillado </w:t>
      </w:r>
      <w:r>
        <w:rPr>
          <w:rFonts w:ascii="Arial" w:hAnsi="Arial" w:cs="Arial"/>
          <w:sz w:val="22"/>
          <w:szCs w:val="22"/>
          <w:lang w:val="es-ES_tradnl"/>
        </w:rPr>
        <w:t xml:space="preserve">diseñado por la Superintendencia de Servicios Públicos Domiciliarios, el Departamento Archipiélago de San Andrés </w:t>
      </w:r>
      <w:r w:rsidRPr="00DC371E">
        <w:rPr>
          <w:rFonts w:ascii="Arial" w:hAnsi="Arial" w:cs="Arial"/>
          <w:sz w:val="22"/>
          <w:szCs w:val="22"/>
          <w:lang w:val="es-ES_tradnl"/>
        </w:rPr>
        <w:t>creó la Empresa Aguas de San Andrés S.A. E.S.P. y en desarrollo de lo dispuesto en el artículo 2 del Decreto 1248 de 2004 se suscribió el Contrato de Operación entre ésta y Proactiva Aguas del Archipiélago S.A. E.S.P., hoy Veolia, el 8 de septiembre de 2005 por el término de quince (15) años contados a partir del 3 de octubre de 2005, cuyo objeto fue la operación de la infraestructura destinada a la prestación de los Servicios de Acueducto y Alcantarillado en la Isla.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lastRenderedPageBreak/>
        <w:t>El Contrato ha sido modificado por nueve (9) Otrosíes, debido a que se han presentado situaciones que han afectado la ejecución de</w:t>
      </w:r>
      <w:r>
        <w:rPr>
          <w:rFonts w:ascii="Arial" w:hAnsi="Arial" w:cs="Arial"/>
          <w:sz w:val="22"/>
          <w:szCs w:val="22"/>
          <w:lang w:val="es-ES_tradnl"/>
        </w:rPr>
        <w:t xml:space="preserve"> este</w:t>
      </w:r>
      <w:r w:rsidRPr="00DC371E">
        <w:rPr>
          <w:rFonts w:ascii="Arial" w:hAnsi="Arial" w:cs="Arial"/>
          <w:sz w:val="22"/>
          <w:szCs w:val="22"/>
          <w:lang w:val="es-ES_tradnl"/>
        </w:rPr>
        <w:t>, tales como: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numPr>
          <w:ilvl w:val="0"/>
          <w:numId w:val="4"/>
        </w:numPr>
        <w:spacing w:after="5"/>
        <w:ind w:left="426" w:hanging="360"/>
        <w:contextualSpacing/>
        <w:jc w:val="both"/>
        <w:rPr>
          <w:rFonts w:ascii="Arial" w:hAnsi="Arial" w:cs="Arial"/>
          <w:sz w:val="22"/>
          <w:szCs w:val="22"/>
          <w:lang w:val="es-ES_tradnl"/>
        </w:rPr>
      </w:pPr>
      <w:r w:rsidRPr="00DC371E">
        <w:rPr>
          <w:rFonts w:ascii="Arial" w:hAnsi="Arial" w:cs="Arial"/>
          <w:sz w:val="22"/>
          <w:szCs w:val="22"/>
          <w:lang w:val="es-ES_tradnl"/>
        </w:rPr>
        <w:t>Demora en la entrega de los aportes de la Nación y el Departamento pactados en el Contrato;</w:t>
      </w:r>
    </w:p>
    <w:p w:rsidR="00D75790" w:rsidRPr="00DC371E" w:rsidRDefault="00D75790" w:rsidP="00D75790">
      <w:pPr>
        <w:numPr>
          <w:ilvl w:val="0"/>
          <w:numId w:val="4"/>
        </w:numPr>
        <w:spacing w:after="5"/>
        <w:ind w:left="426" w:hanging="360"/>
        <w:contextualSpacing/>
        <w:jc w:val="both"/>
        <w:rPr>
          <w:rFonts w:ascii="Arial" w:hAnsi="Arial" w:cs="Arial"/>
          <w:sz w:val="22"/>
          <w:szCs w:val="22"/>
          <w:lang w:val="es-ES_tradnl"/>
        </w:rPr>
      </w:pPr>
      <w:r w:rsidRPr="00DC371E">
        <w:rPr>
          <w:rFonts w:ascii="Arial" w:hAnsi="Arial" w:cs="Arial"/>
          <w:sz w:val="22"/>
          <w:szCs w:val="22"/>
          <w:lang w:val="es-ES_tradnl"/>
        </w:rPr>
        <w:t>Ejecución de obras adicionales a las previstas en el contrato, por parte del operador por solicitudes de los Gobiernos Nacional y Departamental.</w:t>
      </w:r>
    </w:p>
    <w:p w:rsidR="00D75790" w:rsidRPr="00DC371E" w:rsidRDefault="00D75790" w:rsidP="00D75790">
      <w:pPr>
        <w:numPr>
          <w:ilvl w:val="0"/>
          <w:numId w:val="4"/>
        </w:numPr>
        <w:spacing w:after="5"/>
        <w:ind w:left="426" w:hanging="360"/>
        <w:contextualSpacing/>
        <w:jc w:val="both"/>
        <w:rPr>
          <w:rFonts w:ascii="Arial" w:hAnsi="Arial" w:cs="Arial"/>
          <w:sz w:val="22"/>
          <w:szCs w:val="22"/>
          <w:lang w:val="es-ES_tradnl"/>
        </w:rPr>
      </w:pPr>
      <w:r w:rsidRPr="00DC371E">
        <w:rPr>
          <w:rFonts w:ascii="Arial" w:hAnsi="Arial" w:cs="Arial"/>
          <w:sz w:val="22"/>
          <w:szCs w:val="22"/>
          <w:lang w:val="es-ES_tradnl"/>
        </w:rPr>
        <w:t>Asunción de costos adicionales por los daños a las redes existentes</w:t>
      </w:r>
      <w:r>
        <w:rPr>
          <w:rFonts w:ascii="Arial" w:hAnsi="Arial" w:cs="Arial"/>
          <w:sz w:val="22"/>
          <w:szCs w:val="22"/>
          <w:lang w:val="es-ES_tradnl"/>
        </w:rPr>
        <w:t>.</w:t>
      </w:r>
    </w:p>
    <w:p w:rsidR="00D75790" w:rsidRPr="00DC371E" w:rsidRDefault="00D75790" w:rsidP="00D75790">
      <w:pPr>
        <w:numPr>
          <w:ilvl w:val="0"/>
          <w:numId w:val="4"/>
        </w:numPr>
        <w:spacing w:after="5"/>
        <w:ind w:left="426" w:hanging="360"/>
        <w:contextualSpacing/>
        <w:jc w:val="both"/>
        <w:rPr>
          <w:rFonts w:ascii="Arial" w:hAnsi="Arial" w:cs="Arial"/>
          <w:sz w:val="22"/>
          <w:szCs w:val="22"/>
          <w:lang w:val="es-ES_tradnl"/>
        </w:rPr>
      </w:pPr>
      <w:r w:rsidRPr="00DC371E">
        <w:rPr>
          <w:rFonts w:ascii="Arial" w:hAnsi="Arial" w:cs="Arial"/>
          <w:sz w:val="22"/>
          <w:szCs w:val="22"/>
          <w:lang w:val="es-ES_tradnl"/>
        </w:rPr>
        <w:t>Renuencia de la comunidad para conectarse al Servicio de Acueducto por disponer de fuentes alternas de suministro de agua, como pozos profundos, almacenamiento de aguas lluvias, acceso a suministro de agua en carrotanques, desalinizadoras etc.</w:t>
      </w:r>
    </w:p>
    <w:p w:rsidR="00D75790" w:rsidRPr="00DC371E" w:rsidRDefault="00D75790" w:rsidP="00D75790">
      <w:pPr>
        <w:numPr>
          <w:ilvl w:val="0"/>
          <w:numId w:val="4"/>
        </w:numPr>
        <w:spacing w:after="5"/>
        <w:ind w:left="426" w:hanging="360"/>
        <w:contextualSpacing/>
        <w:jc w:val="both"/>
        <w:rPr>
          <w:rFonts w:ascii="Arial" w:hAnsi="Arial" w:cs="Arial"/>
          <w:sz w:val="22"/>
          <w:szCs w:val="22"/>
          <w:lang w:val="es-ES_tradnl"/>
        </w:rPr>
      </w:pPr>
      <w:r w:rsidRPr="00DC371E">
        <w:rPr>
          <w:rFonts w:ascii="Arial" w:hAnsi="Arial" w:cs="Arial"/>
          <w:sz w:val="22"/>
          <w:szCs w:val="22"/>
          <w:lang w:val="es-ES_tradnl"/>
        </w:rPr>
        <w:t>Renuencia de la comunidad para conectarse al Servicio de Alcantarillado por la utilización de pozos sépticos y al alto costo de la acometidas y obras requeridas para anular dichos pozos sépticos.</w:t>
      </w:r>
    </w:p>
    <w:p w:rsidR="00D75790" w:rsidRPr="00DC371E" w:rsidRDefault="00D75790" w:rsidP="00D75790">
      <w:pPr>
        <w:spacing w:after="5"/>
        <w:contextualSpacing/>
        <w:jc w:val="both"/>
        <w:rPr>
          <w:rFonts w:ascii="Arial" w:hAnsi="Arial" w:cs="Arial"/>
          <w:sz w:val="22"/>
          <w:szCs w:val="22"/>
          <w:lang w:val="es-ES_tradnl"/>
        </w:rPr>
      </w:pPr>
    </w:p>
    <w:p w:rsidR="00D75790" w:rsidRPr="00DC371E" w:rsidRDefault="00D75790" w:rsidP="00D75790">
      <w:pPr>
        <w:spacing w:after="5"/>
        <w:contextualSpacing/>
        <w:jc w:val="both"/>
        <w:rPr>
          <w:rFonts w:ascii="Arial" w:hAnsi="Arial" w:cs="Arial"/>
          <w:sz w:val="22"/>
          <w:szCs w:val="22"/>
          <w:lang w:val="es-ES_tradnl"/>
        </w:rPr>
      </w:pPr>
      <w:r w:rsidRPr="00DC371E">
        <w:rPr>
          <w:rFonts w:ascii="Arial" w:hAnsi="Arial" w:cs="Arial"/>
          <w:sz w:val="22"/>
          <w:szCs w:val="22"/>
          <w:lang w:val="es-ES_tradnl"/>
        </w:rPr>
        <w:t xml:space="preserve">De acuerdo con el sexagésimo informe trimestral de supervisión al contrato de operación del </w:t>
      </w:r>
      <w:r>
        <w:rPr>
          <w:rFonts w:ascii="Arial" w:hAnsi="Arial" w:cs="Arial"/>
          <w:sz w:val="22"/>
          <w:szCs w:val="22"/>
          <w:lang w:val="es-ES_tradnl"/>
        </w:rPr>
        <w:t>S</w:t>
      </w:r>
      <w:r w:rsidRPr="00DC371E">
        <w:rPr>
          <w:rFonts w:ascii="Arial" w:hAnsi="Arial" w:cs="Arial"/>
          <w:sz w:val="22"/>
          <w:szCs w:val="22"/>
          <w:lang w:val="es-ES_tradnl"/>
        </w:rPr>
        <w:t xml:space="preserve">ervicio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 xml:space="preserve">lcantarillado en la Isla de San Andrés, celebrado entre Aguas de San Andrés, como La Contratante y Veolia Aguas del Archipiélago elaborado por PGP, el cual corresponde al período del 1 de octubre al 31 de diciembre de 2020, entregado por la Entidad Territorial el día 16 de julio de 2021, </w:t>
      </w:r>
      <w:r>
        <w:rPr>
          <w:rFonts w:ascii="Arial" w:hAnsi="Arial" w:cs="Arial"/>
          <w:sz w:val="22"/>
          <w:szCs w:val="22"/>
          <w:lang w:val="es-ES_tradnl"/>
        </w:rPr>
        <w:t>mediante el oficio con</w:t>
      </w:r>
      <w:r w:rsidRPr="00DC371E">
        <w:rPr>
          <w:rFonts w:ascii="Arial" w:hAnsi="Arial" w:cs="Arial"/>
          <w:sz w:val="22"/>
          <w:szCs w:val="22"/>
          <w:lang w:val="es-ES_tradnl"/>
        </w:rPr>
        <w:t xml:space="preserve"> radicado 1-2021-061625, para resolver diferentes situaciones que han afectado la ejecución del </w:t>
      </w:r>
      <w:r>
        <w:rPr>
          <w:rFonts w:ascii="Arial" w:hAnsi="Arial" w:cs="Arial"/>
          <w:sz w:val="22"/>
          <w:szCs w:val="22"/>
          <w:lang w:val="es-ES_tradnl"/>
        </w:rPr>
        <w:t>C</w:t>
      </w:r>
      <w:r w:rsidRPr="00DC371E">
        <w:rPr>
          <w:rFonts w:ascii="Arial" w:hAnsi="Arial" w:cs="Arial"/>
          <w:sz w:val="22"/>
          <w:szCs w:val="22"/>
          <w:lang w:val="es-ES_tradnl"/>
        </w:rPr>
        <w:t xml:space="preserve">ontrato, se han firmado hasta el momento los nueve (9) </w:t>
      </w:r>
      <w:r>
        <w:rPr>
          <w:rFonts w:ascii="Arial" w:hAnsi="Arial" w:cs="Arial"/>
          <w:sz w:val="22"/>
          <w:szCs w:val="22"/>
          <w:lang w:val="es-ES_tradnl"/>
        </w:rPr>
        <w:t>O</w:t>
      </w:r>
      <w:r w:rsidRPr="00DC371E">
        <w:rPr>
          <w:rFonts w:ascii="Arial" w:hAnsi="Arial" w:cs="Arial"/>
          <w:sz w:val="22"/>
          <w:szCs w:val="22"/>
          <w:lang w:val="es-ES_tradnl"/>
        </w:rPr>
        <w:t>trosíes, que se relacionan en la siguiente tabla:</w:t>
      </w:r>
    </w:p>
    <w:p w:rsidR="00D75790" w:rsidRPr="00DC371E" w:rsidRDefault="00D75790" w:rsidP="00D75790">
      <w:pPr>
        <w:spacing w:after="5"/>
        <w:contextualSpacing/>
        <w:jc w:val="both"/>
        <w:rPr>
          <w:rFonts w:ascii="Arial" w:hAnsi="Arial" w:cs="Arial"/>
          <w:sz w:val="22"/>
          <w:szCs w:val="22"/>
          <w:lang w:val="es-ES_tradnl"/>
        </w:rPr>
      </w:pPr>
    </w:p>
    <w:p w:rsidR="00D75790" w:rsidRPr="00E46D41" w:rsidRDefault="00D75790" w:rsidP="00D75790">
      <w:pPr>
        <w:spacing w:after="5"/>
        <w:contextualSpacing/>
        <w:jc w:val="center"/>
        <w:rPr>
          <w:rFonts w:ascii="Arial" w:hAnsi="Arial" w:cs="Arial"/>
          <w:b/>
          <w:bCs/>
          <w:sz w:val="20"/>
          <w:szCs w:val="22"/>
          <w:lang w:val="es-ES_tradnl"/>
        </w:rPr>
      </w:pPr>
      <w:r w:rsidRPr="00E46D41">
        <w:rPr>
          <w:rFonts w:ascii="Arial" w:hAnsi="Arial" w:cs="Arial"/>
          <w:b/>
          <w:bCs/>
          <w:sz w:val="20"/>
          <w:szCs w:val="22"/>
          <w:lang w:val="es-ES_tradnl"/>
        </w:rPr>
        <w:t>TABLA 24. OTROSIES AL CONTRATO DE OPERACIÓN DE AA</w:t>
      </w:r>
    </w:p>
    <w:tbl>
      <w:tblPr>
        <w:tblStyle w:val="Tablaconcuadrcula1"/>
        <w:tblW w:w="80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1" w:type="dxa"/>
          <w:left w:w="107" w:type="dxa"/>
          <w:right w:w="62" w:type="dxa"/>
        </w:tblCellMar>
        <w:tblLook w:val="04A0" w:firstRow="1" w:lastRow="0" w:firstColumn="1" w:lastColumn="0" w:noHBand="0" w:noVBand="1"/>
      </w:tblPr>
      <w:tblGrid>
        <w:gridCol w:w="947"/>
        <w:gridCol w:w="1804"/>
        <w:gridCol w:w="5276"/>
      </w:tblGrid>
      <w:tr w:rsidR="00D75790" w:rsidRPr="00DC371E" w:rsidTr="00695E54">
        <w:trPr>
          <w:trHeight w:val="239"/>
          <w:jc w:val="center"/>
        </w:trPr>
        <w:tc>
          <w:tcPr>
            <w:tcW w:w="947" w:type="dxa"/>
            <w:shd w:val="clear" w:color="auto" w:fill="DBE5F1" w:themeFill="accent1" w:themeFillTint="33"/>
          </w:tcPr>
          <w:p w:rsidR="00D75790" w:rsidRPr="00DC371E" w:rsidRDefault="00D75790" w:rsidP="00695E54">
            <w:pPr>
              <w:ind w:right="51"/>
              <w:contextualSpacing/>
              <w:jc w:val="center"/>
              <w:rPr>
                <w:rFonts w:ascii="Arial" w:hAnsi="Arial" w:cs="Arial"/>
                <w:sz w:val="18"/>
                <w:szCs w:val="18"/>
                <w:lang w:val="es-ES_tradnl"/>
              </w:rPr>
            </w:pPr>
            <w:r>
              <w:rPr>
                <w:rFonts w:ascii="Arial" w:hAnsi="Arial" w:cs="Arial"/>
                <w:sz w:val="18"/>
                <w:szCs w:val="18"/>
                <w:lang w:val="es-ES_tradnl"/>
              </w:rPr>
              <w:t>Número</w:t>
            </w:r>
          </w:p>
        </w:tc>
        <w:tc>
          <w:tcPr>
            <w:tcW w:w="1804" w:type="dxa"/>
            <w:shd w:val="clear" w:color="auto" w:fill="DBE5F1" w:themeFill="accent1" w:themeFillTint="33"/>
          </w:tcPr>
          <w:p w:rsidR="00D75790" w:rsidRPr="00DC371E" w:rsidRDefault="00D75790" w:rsidP="00695E54">
            <w:pPr>
              <w:ind w:right="48"/>
              <w:contextualSpacing/>
              <w:jc w:val="center"/>
              <w:rPr>
                <w:rFonts w:ascii="Arial" w:hAnsi="Arial" w:cs="Arial"/>
                <w:sz w:val="18"/>
                <w:szCs w:val="18"/>
                <w:lang w:val="es-ES_tradnl"/>
              </w:rPr>
            </w:pPr>
            <w:r w:rsidRPr="00DC371E">
              <w:rPr>
                <w:rFonts w:ascii="Arial" w:hAnsi="Arial" w:cs="Arial"/>
                <w:sz w:val="18"/>
                <w:szCs w:val="18"/>
                <w:lang w:val="es-ES_tradnl"/>
              </w:rPr>
              <w:t>Fecha</w:t>
            </w:r>
          </w:p>
        </w:tc>
        <w:tc>
          <w:tcPr>
            <w:tcW w:w="5276" w:type="dxa"/>
            <w:shd w:val="clear" w:color="auto" w:fill="DBE5F1" w:themeFill="accent1" w:themeFillTint="33"/>
          </w:tcPr>
          <w:p w:rsidR="00D75790" w:rsidRPr="00DC371E" w:rsidRDefault="00D75790" w:rsidP="00695E54">
            <w:pPr>
              <w:ind w:right="51"/>
              <w:contextualSpacing/>
              <w:jc w:val="center"/>
              <w:rPr>
                <w:rFonts w:ascii="Arial" w:hAnsi="Arial" w:cs="Arial"/>
                <w:sz w:val="18"/>
                <w:szCs w:val="18"/>
                <w:lang w:val="es-ES_tradnl"/>
              </w:rPr>
            </w:pPr>
            <w:r w:rsidRPr="00DC371E">
              <w:rPr>
                <w:rFonts w:ascii="Arial" w:hAnsi="Arial" w:cs="Arial"/>
                <w:sz w:val="18"/>
                <w:szCs w:val="18"/>
                <w:lang w:val="es-ES_tradnl"/>
              </w:rPr>
              <w:t>Objeto</w:t>
            </w:r>
          </w:p>
        </w:tc>
      </w:tr>
      <w:tr w:rsidR="00D75790" w:rsidRPr="00DC371E" w:rsidTr="00695E54">
        <w:trPr>
          <w:trHeight w:val="636"/>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1</w:t>
            </w:r>
          </w:p>
        </w:tc>
        <w:tc>
          <w:tcPr>
            <w:tcW w:w="1804" w:type="dxa"/>
            <w:shd w:val="clear" w:color="auto" w:fill="DBE5F1" w:themeFill="accent1" w:themeFillTint="33"/>
            <w:vAlign w:val="center"/>
          </w:tcPr>
          <w:p w:rsidR="00D75790" w:rsidRPr="00DC371E" w:rsidRDefault="00D75790" w:rsidP="00695E54">
            <w:pPr>
              <w:ind w:left="2" w:right="386"/>
              <w:contextualSpacing/>
              <w:rPr>
                <w:rFonts w:ascii="Arial" w:hAnsi="Arial" w:cs="Arial"/>
                <w:sz w:val="18"/>
                <w:szCs w:val="18"/>
                <w:highlight w:val="yellow"/>
                <w:lang w:val="es-ES_tradnl"/>
              </w:rPr>
            </w:pPr>
            <w:r w:rsidRPr="00DC371E">
              <w:rPr>
                <w:rFonts w:ascii="Arial" w:hAnsi="Arial" w:cs="Arial"/>
                <w:sz w:val="18"/>
                <w:szCs w:val="18"/>
                <w:lang w:val="es-ES_tradnl"/>
              </w:rPr>
              <w:t>2/Abril/ 2007</w:t>
            </w:r>
          </w:p>
        </w:tc>
        <w:tc>
          <w:tcPr>
            <w:tcW w:w="5276" w:type="dxa"/>
            <w:shd w:val="clear" w:color="auto" w:fill="DBE5F1" w:themeFill="accent1" w:themeFillTint="33"/>
            <w:vAlign w:val="center"/>
          </w:tcPr>
          <w:p w:rsidR="00D75790" w:rsidRPr="00DC371E" w:rsidRDefault="00D75790" w:rsidP="00695E54">
            <w:pPr>
              <w:ind w:left="1" w:right="50"/>
              <w:contextualSpacing/>
              <w:jc w:val="both"/>
              <w:rPr>
                <w:rFonts w:ascii="Arial" w:hAnsi="Arial" w:cs="Arial"/>
                <w:sz w:val="18"/>
                <w:szCs w:val="18"/>
                <w:highlight w:val="yellow"/>
                <w:lang w:val="es-ES_tradnl"/>
              </w:rPr>
            </w:pPr>
            <w:r w:rsidRPr="00DC371E">
              <w:rPr>
                <w:rFonts w:ascii="Arial" w:hAnsi="Arial" w:cs="Arial"/>
                <w:sz w:val="18"/>
                <w:szCs w:val="18"/>
                <w:lang w:val="es-ES_tradnl"/>
              </w:rPr>
              <w:t xml:space="preserve">Se amplió el plazo de entrada en funcionamiento del Emisario Submarino del mes 18 al mes 21 de la Operación. Cláusula 12.6 </w:t>
            </w:r>
          </w:p>
        </w:tc>
      </w:tr>
      <w:tr w:rsidR="00D75790" w:rsidRPr="00DC371E" w:rsidTr="00695E54">
        <w:trPr>
          <w:trHeight w:val="645"/>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2</w:t>
            </w:r>
          </w:p>
        </w:tc>
        <w:tc>
          <w:tcPr>
            <w:tcW w:w="1804" w:type="dxa"/>
            <w:shd w:val="clear" w:color="auto" w:fill="DBE5F1" w:themeFill="accent1" w:themeFillTint="33"/>
            <w:vAlign w:val="center"/>
          </w:tcPr>
          <w:p w:rsidR="00D75790" w:rsidRPr="00DC371E" w:rsidRDefault="00D75790" w:rsidP="00695E54">
            <w:pPr>
              <w:ind w:left="2"/>
              <w:contextualSpacing/>
              <w:rPr>
                <w:rFonts w:ascii="Arial" w:hAnsi="Arial" w:cs="Arial"/>
                <w:sz w:val="18"/>
                <w:szCs w:val="18"/>
                <w:highlight w:val="yellow"/>
                <w:lang w:val="es-ES_tradnl"/>
              </w:rPr>
            </w:pPr>
            <w:r w:rsidRPr="00DC371E">
              <w:rPr>
                <w:rFonts w:ascii="Arial" w:hAnsi="Arial" w:cs="Arial"/>
                <w:sz w:val="18"/>
                <w:szCs w:val="18"/>
                <w:lang w:val="es-ES_tradnl"/>
              </w:rPr>
              <w:t>28/Junio/2007</w:t>
            </w:r>
          </w:p>
        </w:tc>
        <w:tc>
          <w:tcPr>
            <w:tcW w:w="5276" w:type="dxa"/>
            <w:shd w:val="clear" w:color="auto" w:fill="DBE5F1" w:themeFill="accent1" w:themeFillTint="33"/>
            <w:vAlign w:val="center"/>
          </w:tcPr>
          <w:p w:rsidR="00D75790" w:rsidRPr="00DC371E" w:rsidRDefault="00D75790" w:rsidP="00695E54">
            <w:pPr>
              <w:ind w:left="1" w:right="51"/>
              <w:contextualSpacing/>
              <w:jc w:val="both"/>
              <w:rPr>
                <w:rFonts w:ascii="Arial" w:hAnsi="Arial" w:cs="Arial"/>
                <w:sz w:val="18"/>
                <w:szCs w:val="18"/>
                <w:highlight w:val="yellow"/>
                <w:lang w:val="es-ES_tradnl"/>
              </w:rPr>
            </w:pPr>
            <w:r w:rsidRPr="00DC371E">
              <w:rPr>
                <w:rFonts w:ascii="Arial" w:hAnsi="Arial" w:cs="Arial"/>
                <w:sz w:val="18"/>
                <w:szCs w:val="18"/>
                <w:lang w:val="es-ES_tradnl"/>
              </w:rPr>
              <w:t>Se volvió a ampliar el plazo de entrada de operación del Emisario Submarino al mes 23 de operación. Cláusula 12.6</w:t>
            </w:r>
          </w:p>
        </w:tc>
      </w:tr>
      <w:tr w:rsidR="00D75790" w:rsidRPr="00DC371E" w:rsidTr="00695E54">
        <w:trPr>
          <w:trHeight w:val="469"/>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3</w:t>
            </w:r>
          </w:p>
        </w:tc>
        <w:tc>
          <w:tcPr>
            <w:tcW w:w="1804" w:type="dxa"/>
            <w:shd w:val="clear" w:color="auto" w:fill="DBE5F1" w:themeFill="accent1" w:themeFillTint="33"/>
            <w:vAlign w:val="center"/>
          </w:tcPr>
          <w:p w:rsidR="00D75790" w:rsidRPr="00DC371E" w:rsidRDefault="00D75790" w:rsidP="00695E54">
            <w:pPr>
              <w:ind w:left="2"/>
              <w:contextualSpacing/>
              <w:rPr>
                <w:rFonts w:ascii="Arial" w:hAnsi="Arial" w:cs="Arial"/>
                <w:sz w:val="18"/>
                <w:szCs w:val="18"/>
                <w:highlight w:val="yellow"/>
                <w:lang w:val="es-ES_tradnl"/>
              </w:rPr>
            </w:pPr>
            <w:r w:rsidRPr="00DC371E">
              <w:rPr>
                <w:rFonts w:ascii="Arial" w:hAnsi="Arial" w:cs="Arial"/>
                <w:sz w:val="18"/>
                <w:szCs w:val="18"/>
                <w:lang w:val="es-ES_tradnl"/>
              </w:rPr>
              <w:t>2/Octubre/ 2007</w:t>
            </w:r>
          </w:p>
        </w:tc>
        <w:tc>
          <w:tcPr>
            <w:tcW w:w="5276" w:type="dxa"/>
            <w:shd w:val="clear" w:color="auto" w:fill="DBE5F1" w:themeFill="accent1" w:themeFillTint="33"/>
            <w:vAlign w:val="center"/>
          </w:tcPr>
          <w:p w:rsidR="00D75790" w:rsidRPr="00DC371E" w:rsidRDefault="00D75790" w:rsidP="00695E54">
            <w:pPr>
              <w:ind w:left="1"/>
              <w:contextualSpacing/>
              <w:jc w:val="both"/>
              <w:rPr>
                <w:rFonts w:ascii="Arial" w:hAnsi="Arial" w:cs="Arial"/>
                <w:sz w:val="18"/>
                <w:szCs w:val="18"/>
                <w:highlight w:val="yellow"/>
                <w:lang w:val="es-ES_tradnl"/>
              </w:rPr>
            </w:pPr>
            <w:r w:rsidRPr="00DC371E">
              <w:rPr>
                <w:rFonts w:ascii="Arial" w:hAnsi="Arial" w:cs="Arial"/>
                <w:sz w:val="18"/>
                <w:szCs w:val="18"/>
                <w:lang w:val="es-ES_tradnl"/>
              </w:rPr>
              <w:t>Se amplió el plazo para la revisión y evaluación del cumplimiento de, especialmente nuevos suscriptores de alcantarillado por sesenta días. Cláusula 12.4 Aclaración que las cifras del INS se verifican con las cifras del año anterior. Cláusula 28, párrafo.</w:t>
            </w:r>
          </w:p>
        </w:tc>
      </w:tr>
      <w:tr w:rsidR="00D75790" w:rsidRPr="00DC371E" w:rsidTr="00695E54">
        <w:trPr>
          <w:trHeight w:val="781"/>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4</w:t>
            </w:r>
          </w:p>
        </w:tc>
        <w:tc>
          <w:tcPr>
            <w:tcW w:w="1804" w:type="dxa"/>
            <w:shd w:val="clear" w:color="auto" w:fill="DBE5F1" w:themeFill="accent1" w:themeFillTint="33"/>
            <w:vAlign w:val="center"/>
          </w:tcPr>
          <w:p w:rsidR="00D75790" w:rsidRPr="00DC371E" w:rsidRDefault="00D75790" w:rsidP="00695E54">
            <w:pPr>
              <w:ind w:left="2"/>
              <w:contextualSpacing/>
              <w:rPr>
                <w:rFonts w:ascii="Arial" w:hAnsi="Arial" w:cs="Arial"/>
                <w:sz w:val="18"/>
                <w:szCs w:val="18"/>
                <w:highlight w:val="yellow"/>
                <w:lang w:val="es-ES_tradnl"/>
              </w:rPr>
            </w:pPr>
          </w:p>
        </w:tc>
        <w:tc>
          <w:tcPr>
            <w:tcW w:w="5276" w:type="dxa"/>
            <w:shd w:val="clear" w:color="auto" w:fill="DBE5F1" w:themeFill="accent1" w:themeFillTint="33"/>
            <w:vAlign w:val="center"/>
          </w:tcPr>
          <w:p w:rsidR="00D75790" w:rsidRPr="00DC371E" w:rsidRDefault="00D75790" w:rsidP="00695E54">
            <w:pPr>
              <w:ind w:left="1" w:right="49"/>
              <w:contextualSpacing/>
              <w:jc w:val="both"/>
              <w:rPr>
                <w:rFonts w:ascii="Arial" w:hAnsi="Arial" w:cs="Arial"/>
                <w:sz w:val="18"/>
                <w:szCs w:val="18"/>
                <w:lang w:val="es-ES_tradnl"/>
              </w:rPr>
            </w:pPr>
            <w:r w:rsidRPr="00DC371E">
              <w:rPr>
                <w:rFonts w:ascii="Arial" w:hAnsi="Arial" w:cs="Arial"/>
                <w:sz w:val="18"/>
                <w:szCs w:val="18"/>
                <w:lang w:val="es-ES_tradnl"/>
              </w:rPr>
              <w:t xml:space="preserve">Se precisa alcance de apoyo en la gestión de la OCRE para funcionarios del Operador. Consecuentemente con las competencias departamentales. </w:t>
            </w:r>
          </w:p>
          <w:p w:rsidR="00D75790" w:rsidRPr="00DC371E" w:rsidRDefault="00D75790" w:rsidP="00695E54">
            <w:pPr>
              <w:ind w:left="1" w:right="49"/>
              <w:contextualSpacing/>
              <w:jc w:val="both"/>
              <w:rPr>
                <w:rFonts w:ascii="Arial" w:hAnsi="Arial" w:cs="Arial"/>
                <w:sz w:val="18"/>
                <w:szCs w:val="18"/>
                <w:highlight w:val="yellow"/>
                <w:lang w:val="es-ES_tradnl"/>
              </w:rPr>
            </w:pPr>
            <w:r w:rsidRPr="00DC371E">
              <w:rPr>
                <w:rFonts w:ascii="Arial" w:hAnsi="Arial" w:cs="Arial"/>
                <w:sz w:val="18"/>
                <w:szCs w:val="18"/>
                <w:lang w:val="es-ES_tradnl"/>
              </w:rPr>
              <w:t>Cláusula 11 .8</w:t>
            </w:r>
          </w:p>
        </w:tc>
      </w:tr>
      <w:tr w:rsidR="00D75790" w:rsidRPr="00DC371E" w:rsidTr="00695E54">
        <w:trPr>
          <w:trHeight w:val="240"/>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5</w:t>
            </w:r>
          </w:p>
        </w:tc>
        <w:tc>
          <w:tcPr>
            <w:tcW w:w="1804" w:type="dxa"/>
            <w:shd w:val="clear" w:color="auto" w:fill="DBE5F1" w:themeFill="accent1" w:themeFillTint="33"/>
            <w:vAlign w:val="center"/>
          </w:tcPr>
          <w:p w:rsidR="00D75790" w:rsidRPr="00DC371E" w:rsidRDefault="00D75790" w:rsidP="00695E54">
            <w:pPr>
              <w:ind w:right="43"/>
              <w:contextualSpacing/>
              <w:rPr>
                <w:rFonts w:ascii="Arial" w:hAnsi="Arial" w:cs="Arial"/>
                <w:sz w:val="18"/>
                <w:szCs w:val="18"/>
                <w:highlight w:val="yellow"/>
                <w:lang w:val="es-ES_tradnl"/>
              </w:rPr>
            </w:pPr>
            <w:r w:rsidRPr="00DC371E">
              <w:rPr>
                <w:rFonts w:ascii="Arial" w:hAnsi="Arial" w:cs="Arial"/>
                <w:sz w:val="18"/>
                <w:szCs w:val="18"/>
                <w:lang w:val="es-ES_tradnl"/>
              </w:rPr>
              <w:t>16/Mayo/2008</w:t>
            </w:r>
          </w:p>
        </w:tc>
        <w:tc>
          <w:tcPr>
            <w:tcW w:w="5276" w:type="dxa"/>
            <w:shd w:val="clear" w:color="auto" w:fill="DBE5F1" w:themeFill="accent1" w:themeFillTint="33"/>
            <w:vAlign w:val="center"/>
          </w:tcPr>
          <w:p w:rsidR="00D75790" w:rsidRPr="00DC371E" w:rsidRDefault="00D75790" w:rsidP="00695E54">
            <w:pPr>
              <w:ind w:left="1"/>
              <w:contextualSpacing/>
              <w:jc w:val="both"/>
              <w:rPr>
                <w:rFonts w:ascii="Arial" w:hAnsi="Arial" w:cs="Arial"/>
                <w:sz w:val="18"/>
                <w:szCs w:val="18"/>
                <w:highlight w:val="yellow"/>
                <w:lang w:val="es-ES_tradnl"/>
              </w:rPr>
            </w:pPr>
            <w:r w:rsidRPr="00DC371E">
              <w:rPr>
                <w:rFonts w:ascii="Arial" w:hAnsi="Arial" w:cs="Arial"/>
                <w:sz w:val="18"/>
                <w:szCs w:val="18"/>
                <w:lang w:val="es-ES_tradnl"/>
              </w:rPr>
              <w:t>Se prorroga la revisión y evaluación del cumplimiento de las Metas del Contrato de Operación por un término no superior a treinta (30) días</w:t>
            </w:r>
          </w:p>
        </w:tc>
      </w:tr>
      <w:tr w:rsidR="00D75790" w:rsidRPr="00DC371E" w:rsidTr="00695E54">
        <w:trPr>
          <w:trHeight w:val="469"/>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6</w:t>
            </w:r>
          </w:p>
        </w:tc>
        <w:tc>
          <w:tcPr>
            <w:tcW w:w="1804" w:type="dxa"/>
            <w:shd w:val="clear" w:color="auto" w:fill="DBE5F1" w:themeFill="accent1" w:themeFillTint="33"/>
            <w:vAlign w:val="center"/>
          </w:tcPr>
          <w:p w:rsidR="00D75790" w:rsidRPr="00DC371E" w:rsidRDefault="00D75790" w:rsidP="00695E54">
            <w:pPr>
              <w:ind w:right="43"/>
              <w:contextualSpacing/>
              <w:rPr>
                <w:rFonts w:ascii="Arial" w:hAnsi="Arial" w:cs="Arial"/>
                <w:sz w:val="18"/>
                <w:szCs w:val="18"/>
                <w:highlight w:val="yellow"/>
                <w:lang w:val="es-ES_tradnl"/>
              </w:rPr>
            </w:pPr>
            <w:r w:rsidRPr="00DC371E">
              <w:rPr>
                <w:rFonts w:ascii="Arial" w:hAnsi="Arial" w:cs="Arial"/>
                <w:sz w:val="18"/>
                <w:szCs w:val="18"/>
                <w:lang w:val="es-ES_tradnl"/>
              </w:rPr>
              <w:t>30/septiembre/2008</w:t>
            </w:r>
          </w:p>
        </w:tc>
        <w:tc>
          <w:tcPr>
            <w:tcW w:w="5276" w:type="dxa"/>
            <w:shd w:val="clear" w:color="auto" w:fill="DBE5F1" w:themeFill="accent1" w:themeFillTint="33"/>
            <w:vAlign w:val="center"/>
          </w:tcPr>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t xml:space="preserve">a. Se revisaron y ajustaron las metas del Contrato. </w:t>
            </w:r>
          </w:p>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t>b. Se acordó la entrega de aportes públicos adicionales con cargo al Plan Departamental de Aguas por $25.000 millones.</w:t>
            </w:r>
          </w:p>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t>c. Se autorizó el desembolso de cinco mil millones de pesos ($5.000.000.000) que se encontraban pendientes de giro.</w:t>
            </w:r>
          </w:p>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t>d. Se acordó que los costos de la conexión domiciliaria, acometida y medidor de los estratos 1, 2 y 3 que no pudieran</w:t>
            </w:r>
          </w:p>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lastRenderedPageBreak/>
              <w:t>ser cubiertos por los usuarios, podrían ser cubiertos por el Departamento o la Nación.</w:t>
            </w:r>
          </w:p>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t>e. Se modificaron los numerales 12.1, 12.2 12.3 y 12.4 del contrato, estableciéndose un Plan de Inversiones y las nuevas metas ajustadas.</w:t>
            </w:r>
          </w:p>
          <w:p w:rsidR="00D75790" w:rsidRPr="00DC371E" w:rsidRDefault="00D75790" w:rsidP="00695E54">
            <w:pPr>
              <w:ind w:left="1"/>
              <w:contextualSpacing/>
              <w:jc w:val="both"/>
              <w:rPr>
                <w:rFonts w:ascii="Arial" w:hAnsi="Arial" w:cs="Arial"/>
                <w:sz w:val="18"/>
                <w:szCs w:val="18"/>
                <w:lang w:val="es-ES_tradnl"/>
              </w:rPr>
            </w:pPr>
            <w:r w:rsidRPr="00DC371E">
              <w:rPr>
                <w:rFonts w:ascii="Arial" w:hAnsi="Arial" w:cs="Arial"/>
                <w:sz w:val="18"/>
                <w:szCs w:val="18"/>
                <w:lang w:val="es-ES_tradnl"/>
              </w:rPr>
              <w:t>f. Se hace al operador responsable de los diseños y la</w:t>
            </w:r>
          </w:p>
          <w:p w:rsidR="00D75790" w:rsidRPr="00DC371E" w:rsidRDefault="00D75790" w:rsidP="00695E54">
            <w:pPr>
              <w:ind w:left="1"/>
              <w:contextualSpacing/>
              <w:jc w:val="both"/>
              <w:rPr>
                <w:rFonts w:ascii="Arial" w:hAnsi="Arial" w:cs="Arial"/>
                <w:sz w:val="18"/>
                <w:szCs w:val="18"/>
                <w:highlight w:val="yellow"/>
                <w:lang w:val="es-ES_tradnl"/>
              </w:rPr>
            </w:pPr>
            <w:r w:rsidRPr="00DC371E">
              <w:rPr>
                <w:rFonts w:ascii="Arial" w:hAnsi="Arial" w:cs="Arial"/>
                <w:sz w:val="18"/>
                <w:szCs w:val="18"/>
                <w:lang w:val="es-ES_tradnl"/>
              </w:rPr>
              <w:t>interventoría de las obras con reconocimiento del 10% del valor del proyecto.</w:t>
            </w:r>
          </w:p>
        </w:tc>
      </w:tr>
      <w:tr w:rsidR="00D75790" w:rsidRPr="00DC371E" w:rsidTr="00695E54">
        <w:trPr>
          <w:trHeight w:val="658"/>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lastRenderedPageBreak/>
              <w:t>7</w:t>
            </w:r>
          </w:p>
        </w:tc>
        <w:tc>
          <w:tcPr>
            <w:tcW w:w="1804" w:type="dxa"/>
            <w:shd w:val="clear" w:color="auto" w:fill="DBE5F1" w:themeFill="accent1" w:themeFillTint="33"/>
            <w:vAlign w:val="center"/>
          </w:tcPr>
          <w:p w:rsidR="00D75790" w:rsidRPr="00DC371E" w:rsidRDefault="00D75790" w:rsidP="00695E54">
            <w:pPr>
              <w:ind w:left="2" w:right="46"/>
              <w:contextualSpacing/>
              <w:rPr>
                <w:rFonts w:ascii="Arial" w:hAnsi="Arial" w:cs="Arial"/>
                <w:sz w:val="18"/>
                <w:szCs w:val="18"/>
                <w:highlight w:val="yellow"/>
                <w:lang w:val="es-ES_tradnl"/>
              </w:rPr>
            </w:pPr>
            <w:r w:rsidRPr="00DC371E">
              <w:rPr>
                <w:rFonts w:ascii="Arial" w:hAnsi="Arial" w:cs="Arial"/>
                <w:sz w:val="18"/>
                <w:szCs w:val="18"/>
                <w:lang w:val="es-ES_tradnl"/>
              </w:rPr>
              <w:t>29/Diciem/2011</w:t>
            </w:r>
          </w:p>
        </w:tc>
        <w:tc>
          <w:tcPr>
            <w:tcW w:w="5276" w:type="dxa"/>
            <w:shd w:val="clear" w:color="auto" w:fill="DBE5F1" w:themeFill="accent1" w:themeFillTint="33"/>
            <w:vAlign w:val="center"/>
          </w:tcPr>
          <w:p w:rsidR="00D75790" w:rsidRPr="00DC371E" w:rsidRDefault="00D75790" w:rsidP="00695E54">
            <w:pPr>
              <w:contextualSpacing/>
              <w:jc w:val="both"/>
              <w:rPr>
                <w:rFonts w:ascii="Arial" w:hAnsi="Arial" w:cs="Arial"/>
                <w:sz w:val="18"/>
                <w:szCs w:val="18"/>
                <w:lang w:val="es-ES_tradnl"/>
              </w:rPr>
            </w:pPr>
            <w:r w:rsidRPr="00DC371E">
              <w:rPr>
                <w:rFonts w:ascii="Arial" w:hAnsi="Arial" w:cs="Arial"/>
                <w:sz w:val="18"/>
                <w:szCs w:val="18"/>
                <w:lang w:val="es-ES_tradnl"/>
              </w:rPr>
              <w:t>Se amplió el plazo de ejecución de los recursos del PDA hasta</w:t>
            </w:r>
          </w:p>
          <w:p w:rsidR="00D75790" w:rsidRPr="00DC371E" w:rsidRDefault="00D75790" w:rsidP="00695E54">
            <w:pPr>
              <w:ind w:left="1"/>
              <w:contextualSpacing/>
              <w:jc w:val="both"/>
              <w:rPr>
                <w:rFonts w:ascii="Arial" w:hAnsi="Arial" w:cs="Arial"/>
                <w:sz w:val="18"/>
                <w:szCs w:val="18"/>
                <w:highlight w:val="yellow"/>
                <w:lang w:val="es-ES_tradnl"/>
              </w:rPr>
            </w:pPr>
            <w:r w:rsidRPr="00DC371E">
              <w:rPr>
                <w:rFonts w:ascii="Arial" w:hAnsi="Arial" w:cs="Arial"/>
                <w:sz w:val="18"/>
                <w:szCs w:val="18"/>
                <w:lang w:val="es-ES_tradnl"/>
              </w:rPr>
              <w:t xml:space="preserve">el año 2014. </w:t>
            </w:r>
          </w:p>
        </w:tc>
      </w:tr>
      <w:tr w:rsidR="00D75790" w:rsidRPr="00DC371E" w:rsidTr="00695E54">
        <w:trPr>
          <w:trHeight w:val="697"/>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8</w:t>
            </w:r>
          </w:p>
        </w:tc>
        <w:tc>
          <w:tcPr>
            <w:tcW w:w="1804" w:type="dxa"/>
            <w:shd w:val="clear" w:color="auto" w:fill="DBE5F1" w:themeFill="accent1" w:themeFillTint="33"/>
            <w:vAlign w:val="center"/>
          </w:tcPr>
          <w:p w:rsidR="00D75790" w:rsidRPr="00DC371E" w:rsidRDefault="00D75790" w:rsidP="00695E54">
            <w:pPr>
              <w:ind w:left="2"/>
              <w:contextualSpacing/>
              <w:rPr>
                <w:rFonts w:ascii="Arial" w:hAnsi="Arial" w:cs="Arial"/>
                <w:sz w:val="18"/>
                <w:szCs w:val="18"/>
                <w:highlight w:val="yellow"/>
                <w:lang w:val="es-ES_tradnl"/>
              </w:rPr>
            </w:pPr>
            <w:r w:rsidRPr="00DC371E">
              <w:rPr>
                <w:rFonts w:ascii="Arial" w:hAnsi="Arial" w:cs="Arial"/>
                <w:sz w:val="18"/>
                <w:szCs w:val="18"/>
                <w:lang w:val="es-ES_tradnl"/>
              </w:rPr>
              <w:t>8/Marzo/2014</w:t>
            </w:r>
          </w:p>
        </w:tc>
        <w:tc>
          <w:tcPr>
            <w:tcW w:w="5276" w:type="dxa"/>
            <w:shd w:val="clear" w:color="auto" w:fill="DBE5F1" w:themeFill="accent1" w:themeFillTint="33"/>
            <w:vAlign w:val="center"/>
          </w:tcPr>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Se acuerda el desarrollo de una consultoría especializada (contratada por el Gobierno Nacional) para Establecer la viabilidad, modificaciones, las estrategias para la expansión de los servicios y el ajuste al contrato de operación. Las partes acogerán sus resultados.</w:t>
            </w:r>
          </w:p>
        </w:tc>
      </w:tr>
      <w:tr w:rsidR="00D75790" w:rsidRPr="00DC371E" w:rsidTr="00695E54">
        <w:trPr>
          <w:trHeight w:val="697"/>
          <w:jc w:val="center"/>
        </w:trPr>
        <w:tc>
          <w:tcPr>
            <w:tcW w:w="947" w:type="dxa"/>
            <w:shd w:val="clear" w:color="auto" w:fill="DBE5F1" w:themeFill="accent1" w:themeFillTint="33"/>
            <w:vAlign w:val="center"/>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9</w:t>
            </w:r>
          </w:p>
        </w:tc>
        <w:tc>
          <w:tcPr>
            <w:tcW w:w="1804" w:type="dxa"/>
            <w:shd w:val="clear" w:color="auto" w:fill="DBE5F1" w:themeFill="accent1" w:themeFillTint="33"/>
            <w:vAlign w:val="center"/>
          </w:tcPr>
          <w:p w:rsidR="00D75790" w:rsidRPr="00DC371E" w:rsidRDefault="00D75790" w:rsidP="00695E54">
            <w:pPr>
              <w:ind w:left="2"/>
              <w:contextualSpacing/>
              <w:rPr>
                <w:rFonts w:ascii="Arial" w:hAnsi="Arial" w:cs="Arial"/>
                <w:sz w:val="18"/>
                <w:szCs w:val="18"/>
                <w:highlight w:val="yellow"/>
                <w:lang w:val="es-ES_tradnl"/>
              </w:rPr>
            </w:pPr>
            <w:r w:rsidRPr="00DC371E">
              <w:rPr>
                <w:rFonts w:ascii="Arial" w:hAnsi="Arial" w:cs="Arial"/>
                <w:sz w:val="18"/>
                <w:szCs w:val="18"/>
                <w:lang w:val="es-ES_tradnl"/>
              </w:rPr>
              <w:t>22/Enero/2019</w:t>
            </w:r>
          </w:p>
        </w:tc>
        <w:tc>
          <w:tcPr>
            <w:tcW w:w="5276" w:type="dxa"/>
            <w:shd w:val="clear" w:color="auto" w:fill="DBE5F1" w:themeFill="accent1" w:themeFillTint="33"/>
            <w:vAlign w:val="center"/>
          </w:tcPr>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a. Se prorroga el plazo por 15 años</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b. Se compromete al operador con la formulación de un plan de control de pérdidas. Adiciona 10.1.3</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c. La contratante gestionara con el Departamento el plan de inversiones para la optimización del sistema 2018 – 2021.</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Adiciona 11.13</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d. Modifica metas en numerales 12.1, 12.2, 12.3, 12.4 y 12.7 e incluye el numeral 12.8 con alcance mínimo</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 xml:space="preserve">micromedición. </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e. Se modifica régimen tarifario. Cláusula 30</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f. Se modifica estructura tarifaria. Cláusula 32</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g. Se modifica tarifa sin medición. Cláusula 33</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h. Se modifica tarifa con medición. Estratos 1, 2 y3. Cláusula 34</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i. Se precisa cálculo de subsidios y contribuciones. Cláusula 37</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j. Se suprime ingresos del fondo de capitalización,</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manteniendo reglas de ejecución hasta la extinción del fondo. Cláusula 41</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k. Modifica causales de imposición de multas. Cláusula 63.5</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l. Modifica procedimiento de imposición de multas. Cláusula 66.6</w:t>
            </w:r>
          </w:p>
          <w:p w:rsidR="00D75790" w:rsidRPr="00DC371E" w:rsidRDefault="00D75790" w:rsidP="00695E54">
            <w:pPr>
              <w:ind w:left="1" w:right="47"/>
              <w:contextualSpacing/>
              <w:jc w:val="both"/>
              <w:rPr>
                <w:rFonts w:ascii="Arial" w:hAnsi="Arial" w:cs="Arial"/>
                <w:sz w:val="18"/>
                <w:szCs w:val="18"/>
                <w:lang w:val="es-ES_tradnl"/>
              </w:rPr>
            </w:pPr>
            <w:r w:rsidRPr="00DC371E">
              <w:rPr>
                <w:rFonts w:ascii="Arial" w:hAnsi="Arial" w:cs="Arial"/>
                <w:sz w:val="18"/>
                <w:szCs w:val="18"/>
                <w:lang w:val="es-ES_tradnl"/>
              </w:rPr>
              <w:t>m. Se suprime toda referencia a reportes o autorizaciones por parte de la SSPD.</w:t>
            </w:r>
          </w:p>
        </w:tc>
      </w:tr>
    </w:tbl>
    <w:p w:rsidR="00D75790" w:rsidRPr="00E46D41" w:rsidRDefault="00D75790" w:rsidP="00D75790">
      <w:pPr>
        <w:contextualSpacing/>
        <w:rPr>
          <w:rFonts w:ascii="Arial" w:hAnsi="Arial" w:cs="Arial"/>
          <w:sz w:val="22"/>
          <w:lang w:val="es-ES_tradnl"/>
        </w:rPr>
      </w:pPr>
    </w:p>
    <w:p w:rsidR="00D75790" w:rsidRPr="00DC371E" w:rsidRDefault="00D75790" w:rsidP="00D75790">
      <w:pPr>
        <w:contextualSpacing/>
        <w:jc w:val="both"/>
        <w:rPr>
          <w:rFonts w:ascii="Arial" w:hAnsi="Arial" w:cs="Arial"/>
          <w:sz w:val="22"/>
          <w:szCs w:val="22"/>
          <w:lang w:val="es-ES_tradnl"/>
        </w:rPr>
      </w:pPr>
      <w:r>
        <w:rPr>
          <w:rFonts w:ascii="Arial" w:hAnsi="Arial" w:cs="Arial"/>
          <w:sz w:val="22"/>
          <w:szCs w:val="22"/>
          <w:lang w:val="es-ES_tradnl"/>
        </w:rPr>
        <w:t>L</w:t>
      </w:r>
      <w:r w:rsidRPr="006B7C03">
        <w:rPr>
          <w:rFonts w:ascii="Arial" w:hAnsi="Arial" w:cs="Arial"/>
          <w:sz w:val="22"/>
          <w:szCs w:val="22"/>
          <w:lang w:val="es-ES_tradnl"/>
        </w:rPr>
        <w:t xml:space="preserve">a continua flexibilización de las condiciones iniciales y a la clara necesidad de contar con cláusulas exorbitantes, se han manifestado </w:t>
      </w:r>
      <w:r w:rsidRPr="00DC371E">
        <w:rPr>
          <w:rFonts w:ascii="Arial" w:hAnsi="Arial" w:cs="Arial"/>
          <w:sz w:val="22"/>
          <w:szCs w:val="22"/>
          <w:lang w:val="es-ES_tradnl"/>
        </w:rPr>
        <w:t xml:space="preserve">con la suscripción de 9 </w:t>
      </w:r>
      <w:r>
        <w:rPr>
          <w:rFonts w:ascii="Arial" w:hAnsi="Arial" w:cs="Arial"/>
          <w:sz w:val="22"/>
          <w:szCs w:val="22"/>
          <w:lang w:val="es-ES_tradnl"/>
        </w:rPr>
        <w:t>O</w:t>
      </w:r>
      <w:r w:rsidRPr="00DC371E">
        <w:rPr>
          <w:rFonts w:ascii="Arial" w:hAnsi="Arial" w:cs="Arial"/>
          <w:sz w:val="22"/>
          <w:szCs w:val="22"/>
          <w:lang w:val="es-ES_tradnl"/>
        </w:rPr>
        <w:t>trosíes desde su firma</w:t>
      </w:r>
      <w:r>
        <w:rPr>
          <w:rFonts w:ascii="Arial" w:hAnsi="Arial" w:cs="Arial"/>
          <w:sz w:val="22"/>
          <w:szCs w:val="22"/>
          <w:lang w:val="es-ES_tradnl"/>
        </w:rPr>
        <w:t>. Esta situación</w:t>
      </w:r>
      <w:r w:rsidRPr="00DC371E">
        <w:rPr>
          <w:rFonts w:ascii="Arial" w:hAnsi="Arial" w:cs="Arial"/>
          <w:sz w:val="22"/>
          <w:szCs w:val="22"/>
          <w:lang w:val="es-ES_tradnl"/>
        </w:rPr>
        <w:t xml:space="preserve"> también pone en riesgo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w:t>
      </w:r>
      <w:r>
        <w:rPr>
          <w:rFonts w:ascii="Arial" w:hAnsi="Arial" w:cs="Arial"/>
          <w:sz w:val="22"/>
          <w:szCs w:val="22"/>
          <w:lang w:val="es-ES_tradnl"/>
        </w:rPr>
        <w:t>P</w:t>
      </w:r>
      <w:r w:rsidRPr="00DC371E">
        <w:rPr>
          <w:rFonts w:ascii="Arial" w:hAnsi="Arial" w:cs="Arial"/>
          <w:sz w:val="22"/>
          <w:szCs w:val="22"/>
          <w:lang w:val="es-ES_tradnl"/>
        </w:rPr>
        <w:t xml:space="preserve">úblicos </w:t>
      </w:r>
      <w:r>
        <w:rPr>
          <w:rFonts w:ascii="Arial" w:hAnsi="Arial" w:cs="Arial"/>
          <w:sz w:val="22"/>
          <w:szCs w:val="22"/>
          <w:lang w:val="es-ES_tradnl"/>
        </w:rPr>
        <w:t>D</w:t>
      </w:r>
      <w:r w:rsidRPr="00DC371E">
        <w:rPr>
          <w:rFonts w:ascii="Arial" w:hAnsi="Arial" w:cs="Arial"/>
          <w:sz w:val="22"/>
          <w:szCs w:val="22"/>
          <w:lang w:val="es-ES_tradnl"/>
        </w:rPr>
        <w:t xml:space="preserve">omiciliarios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Es evidente que desde el año 2005 con la firma del </w:t>
      </w:r>
      <w:r>
        <w:rPr>
          <w:rFonts w:ascii="Arial" w:hAnsi="Arial" w:cs="Arial"/>
          <w:sz w:val="22"/>
          <w:szCs w:val="22"/>
          <w:lang w:val="es-ES_tradnl"/>
        </w:rPr>
        <w:t>C</w:t>
      </w:r>
      <w:r w:rsidRPr="00DC371E">
        <w:rPr>
          <w:rFonts w:ascii="Arial" w:hAnsi="Arial" w:cs="Arial"/>
          <w:sz w:val="22"/>
          <w:szCs w:val="22"/>
          <w:lang w:val="es-ES_tradnl"/>
        </w:rPr>
        <w:t xml:space="preserve">ontrato se han venido aplazando, prorrogando, modificando, aspectos que son relevantes y que son de inmediata resolución y desatienden lo contenido en la normatividad sectorial, como lo son las fallas en la continuidad del servicio, el índice de agua no contabilizada, el no incremento de coberturas en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 los componentes de los esquemas tarifarios en agua y alcantarillado, la asignación de porcentajes de subsidios y contribuciones, la correcta aplicación de la estratificación oficial, la medición de los consumos, entre otros. Los continuos incumplimientos en estos aspectos no pueden ampararse en la firma de nuevos otrosíes.</w:t>
      </w:r>
    </w:p>
    <w:p w:rsidR="00D75790" w:rsidRPr="00DC371E" w:rsidRDefault="00D75790" w:rsidP="00D75790">
      <w:pPr>
        <w:contextualSpacing/>
        <w:rPr>
          <w:rFonts w:ascii="Arial" w:hAnsi="Arial" w:cs="Arial"/>
          <w:lang w:val="es-ES_tradnl"/>
        </w:rPr>
      </w:pPr>
    </w:p>
    <w:p w:rsidR="00D75790" w:rsidRPr="00DC371E" w:rsidRDefault="00D75790" w:rsidP="00D75790">
      <w:pPr>
        <w:pStyle w:val="Prrafodelista"/>
        <w:numPr>
          <w:ilvl w:val="0"/>
          <w:numId w:val="17"/>
        </w:numPr>
        <w:tabs>
          <w:tab w:val="center" w:pos="759"/>
        </w:tabs>
        <w:jc w:val="both"/>
        <w:rPr>
          <w:rFonts w:ascii="Arial" w:hAnsi="Arial" w:cs="Arial"/>
          <w:b/>
          <w:bCs/>
          <w:sz w:val="22"/>
          <w:szCs w:val="22"/>
          <w:lang w:val="es-ES_tradnl"/>
        </w:rPr>
      </w:pPr>
      <w:r w:rsidRPr="00DC371E">
        <w:rPr>
          <w:rFonts w:ascii="Arial" w:hAnsi="Arial" w:cs="Arial"/>
          <w:b/>
          <w:bCs/>
          <w:sz w:val="22"/>
          <w:szCs w:val="22"/>
          <w:lang w:val="es-ES_tradnl"/>
        </w:rPr>
        <w:t xml:space="preserve">PLAN DEPARTAMENTAL DE AGUA </w:t>
      </w:r>
      <w:r>
        <w:rPr>
          <w:rFonts w:ascii="Arial" w:hAnsi="Arial" w:cs="Arial"/>
          <w:b/>
          <w:bCs/>
          <w:sz w:val="22"/>
          <w:szCs w:val="22"/>
          <w:lang w:val="es-ES_tradnl"/>
        </w:rPr>
        <w:t>–</w:t>
      </w:r>
      <w:r w:rsidRPr="00DC371E">
        <w:rPr>
          <w:rFonts w:ascii="Arial" w:hAnsi="Arial" w:cs="Arial"/>
          <w:b/>
          <w:bCs/>
          <w:sz w:val="22"/>
          <w:szCs w:val="22"/>
          <w:lang w:val="es-ES_tradnl"/>
        </w:rPr>
        <w:t xml:space="preserve"> PDA</w:t>
      </w:r>
      <w:r>
        <w:rPr>
          <w:rFonts w:ascii="Arial" w:hAnsi="Arial" w:cs="Arial"/>
          <w:b/>
          <w:bCs/>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Las funciones de Gestor del Plan Departamental de Agua del Archipiélago de San Andrés, Providencia y Santa Catalina están a cargo de la Secretaría de Servicios Públicos y Medio Ambiente </w:t>
      </w:r>
      <w:r>
        <w:rPr>
          <w:rFonts w:ascii="Arial" w:hAnsi="Arial" w:cs="Arial"/>
          <w:sz w:val="22"/>
          <w:szCs w:val="22"/>
          <w:lang w:val="es-ES_tradnl"/>
        </w:rPr>
        <w:t xml:space="preserve">- </w:t>
      </w:r>
      <w:r w:rsidRPr="00DC371E">
        <w:rPr>
          <w:rFonts w:ascii="Arial" w:hAnsi="Arial" w:cs="Arial"/>
          <w:sz w:val="22"/>
          <w:szCs w:val="22"/>
          <w:lang w:val="es-ES_tradnl"/>
        </w:rPr>
        <w:t>SSPYMA.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El Gestor es el responsable de la gestión, planeación, implementación, ejecución de los PDA y los asuntos relacionados con el Sector de Agua Potable y Saneamiento Básico en el Departamento, de acuerdo con lo establecido en el artículo 2.3.3.1.2.2. del Decreto 1077 de 2015.</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De acuerdo con el informe del MVCT</w:t>
      </w:r>
      <w:r w:rsidRPr="00DC371E">
        <w:rPr>
          <w:rFonts w:ascii="Arial" w:hAnsi="Arial" w:cs="Arial"/>
          <w:b/>
          <w:bCs/>
          <w:sz w:val="22"/>
          <w:szCs w:val="22"/>
          <w:vertAlign w:val="superscript"/>
          <w:lang w:val="es-ES_tradnl"/>
        </w:rPr>
        <w:footnoteReference w:id="33"/>
      </w:r>
      <w:r w:rsidRPr="00DC371E">
        <w:rPr>
          <w:rFonts w:ascii="Arial" w:hAnsi="Arial" w:cs="Arial"/>
          <w:sz w:val="22"/>
          <w:szCs w:val="22"/>
        </w:rPr>
        <w:t>, la disponibilidad de recursos en el patrimonio autónomo FIA del PDA del Archipiélago de San Andrés, Providencia y Santa Catalina, al 31 de diciembre de 2020</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contextualSpacing/>
        <w:jc w:val="center"/>
        <w:rPr>
          <w:rFonts w:ascii="Arial" w:hAnsi="Arial" w:cs="Arial"/>
          <w:b/>
          <w:bCs/>
          <w:sz w:val="20"/>
          <w:szCs w:val="22"/>
          <w:lang w:val="es-ES_tradnl"/>
        </w:rPr>
      </w:pPr>
      <w:r w:rsidRPr="00E46D41">
        <w:rPr>
          <w:rFonts w:ascii="Arial" w:hAnsi="Arial" w:cs="Arial"/>
          <w:b/>
          <w:bCs/>
          <w:sz w:val="20"/>
          <w:szCs w:val="22"/>
          <w:lang w:val="es-ES_tradnl"/>
        </w:rPr>
        <w:t>TABLA 25. DISPONIBILIDAD DE RECURSOS FIA A 31-12-2020</w:t>
      </w:r>
    </w:p>
    <w:p w:rsidR="00D75790" w:rsidRPr="00E46D41" w:rsidRDefault="00D75790" w:rsidP="00D75790">
      <w:pPr>
        <w:contextualSpacing/>
        <w:jc w:val="center"/>
        <w:rPr>
          <w:rFonts w:ascii="Arial" w:hAnsi="Arial" w:cs="Arial"/>
          <w:b/>
          <w:bCs/>
          <w:sz w:val="20"/>
          <w:szCs w:val="22"/>
          <w:lang w:val="es-ES_tradnl"/>
        </w:rPr>
      </w:pPr>
      <w:r w:rsidRPr="00E46D41">
        <w:rPr>
          <w:rFonts w:ascii="Arial" w:hAnsi="Arial" w:cs="Arial"/>
          <w:b/>
          <w:bCs/>
          <w:sz w:val="20"/>
          <w:szCs w:val="22"/>
        </w:rPr>
        <w:t>CIFRAS EN MILLONES DE PESOS</w:t>
      </w:r>
    </w:p>
    <w:tbl>
      <w:tblPr>
        <w:tblW w:w="464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32"/>
        <w:gridCol w:w="1041"/>
        <w:gridCol w:w="1455"/>
        <w:gridCol w:w="1352"/>
        <w:gridCol w:w="1386"/>
        <w:gridCol w:w="1541"/>
      </w:tblGrid>
      <w:tr w:rsidR="00D75790" w:rsidRPr="00DC371E" w:rsidTr="00695E54">
        <w:trPr>
          <w:trHeight w:val="271"/>
          <w:jc w:val="center"/>
        </w:trPr>
        <w:tc>
          <w:tcPr>
            <w:tcW w:w="0" w:type="auto"/>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lang w:val="es-ES_tradnl"/>
              </w:rPr>
              <w:t>Fuente</w:t>
            </w:r>
          </w:p>
        </w:tc>
        <w:tc>
          <w:tcPr>
            <w:tcW w:w="0" w:type="auto"/>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lang w:val="es-ES_tradnl"/>
              </w:rPr>
              <w:t>Recaudo</w:t>
            </w:r>
          </w:p>
        </w:tc>
        <w:tc>
          <w:tcPr>
            <w:tcW w:w="887" w:type="pct"/>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lang w:val="es-ES_tradnl"/>
              </w:rPr>
              <w:t>Rendimientos</w:t>
            </w:r>
          </w:p>
        </w:tc>
        <w:tc>
          <w:tcPr>
            <w:tcW w:w="824" w:type="pct"/>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lang w:val="es-ES_tradnl"/>
              </w:rPr>
              <w:t>CDR Expedido</w:t>
            </w:r>
          </w:p>
        </w:tc>
        <w:tc>
          <w:tcPr>
            <w:tcW w:w="841" w:type="pct"/>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lang w:val="es-ES_tradnl"/>
              </w:rPr>
              <w:t>Disponibilidad</w:t>
            </w:r>
          </w:p>
        </w:tc>
        <w:tc>
          <w:tcPr>
            <w:tcW w:w="939" w:type="pct"/>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lang w:val="es-ES_tradnl"/>
              </w:rPr>
              <w:t>% Disponibilidad</w:t>
            </w:r>
          </w:p>
        </w:tc>
      </w:tr>
      <w:tr w:rsidR="00D75790" w:rsidRPr="00DC371E" w:rsidTr="00695E54">
        <w:trPr>
          <w:trHeight w:val="319"/>
          <w:jc w:val="center"/>
        </w:trPr>
        <w:tc>
          <w:tcPr>
            <w:tcW w:w="873" w:type="pct"/>
            <w:shd w:val="clear" w:color="auto" w:fill="DBE5F1" w:themeFill="accent1" w:themeFillTint="33"/>
          </w:tcPr>
          <w:p w:rsidR="00D75790" w:rsidRPr="00DC371E" w:rsidRDefault="00D75790" w:rsidP="00695E54">
            <w:pPr>
              <w:autoSpaceDE w:val="0"/>
              <w:autoSpaceDN w:val="0"/>
              <w:adjustRightInd w:val="0"/>
              <w:contextualSpacing/>
              <w:rPr>
                <w:rFonts w:ascii="Arial" w:hAnsi="Arial" w:cs="Arial"/>
                <w:sz w:val="20"/>
                <w:szCs w:val="20"/>
                <w:lang w:val="es-ES_tradnl"/>
              </w:rPr>
            </w:pPr>
            <w:r w:rsidRPr="00DC371E">
              <w:rPr>
                <w:rFonts w:ascii="Arial" w:hAnsi="Arial" w:cs="Arial"/>
                <w:sz w:val="20"/>
                <w:szCs w:val="20"/>
                <w:lang w:val="es-ES_tradnl"/>
              </w:rPr>
              <w:t>S</w:t>
            </w:r>
            <w:r w:rsidRPr="00DC371E">
              <w:rPr>
                <w:rFonts w:ascii="Arial" w:hAnsi="Arial" w:cs="Arial"/>
                <w:sz w:val="20"/>
                <w:szCs w:val="20"/>
              </w:rPr>
              <w:t>GP- APSB</w:t>
            </w:r>
          </w:p>
        </w:tc>
        <w:tc>
          <w:tcPr>
            <w:tcW w:w="635"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7.989</w:t>
            </w:r>
          </w:p>
        </w:tc>
        <w:tc>
          <w:tcPr>
            <w:tcW w:w="887"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1.569</w:t>
            </w:r>
          </w:p>
        </w:tc>
        <w:tc>
          <w:tcPr>
            <w:tcW w:w="824"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5.561</w:t>
            </w:r>
          </w:p>
        </w:tc>
        <w:tc>
          <w:tcPr>
            <w:tcW w:w="841"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3.998</w:t>
            </w:r>
          </w:p>
        </w:tc>
        <w:tc>
          <w:tcPr>
            <w:tcW w:w="939"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35,8</w:t>
            </w:r>
            <w:r>
              <w:rPr>
                <w:rFonts w:ascii="Arial" w:hAnsi="Arial" w:cs="Arial"/>
                <w:sz w:val="20"/>
                <w:szCs w:val="20"/>
              </w:rPr>
              <w:t xml:space="preserve"> </w:t>
            </w:r>
            <w:r w:rsidRPr="00DC371E">
              <w:rPr>
                <w:rFonts w:ascii="Arial" w:hAnsi="Arial" w:cs="Arial"/>
                <w:sz w:val="20"/>
                <w:szCs w:val="20"/>
              </w:rPr>
              <w:t>%</w:t>
            </w:r>
          </w:p>
        </w:tc>
      </w:tr>
      <w:tr w:rsidR="00D75790" w:rsidRPr="00DC371E" w:rsidTr="00695E54">
        <w:trPr>
          <w:trHeight w:val="319"/>
          <w:jc w:val="center"/>
        </w:trPr>
        <w:tc>
          <w:tcPr>
            <w:tcW w:w="873" w:type="pct"/>
            <w:shd w:val="clear" w:color="auto" w:fill="DBE5F1" w:themeFill="accent1" w:themeFillTint="33"/>
          </w:tcPr>
          <w:p w:rsidR="00D75790" w:rsidRPr="00DC371E" w:rsidRDefault="00D75790" w:rsidP="00695E54">
            <w:pPr>
              <w:autoSpaceDE w:val="0"/>
              <w:autoSpaceDN w:val="0"/>
              <w:adjustRightInd w:val="0"/>
              <w:contextualSpacing/>
              <w:rPr>
                <w:rFonts w:ascii="Arial" w:hAnsi="Arial" w:cs="Arial"/>
                <w:sz w:val="20"/>
                <w:szCs w:val="20"/>
                <w:lang w:val="es-ES_tradnl"/>
              </w:rPr>
            </w:pPr>
            <w:r w:rsidRPr="00DC371E">
              <w:rPr>
                <w:rFonts w:ascii="Arial" w:hAnsi="Arial" w:cs="Arial"/>
                <w:sz w:val="20"/>
                <w:szCs w:val="20"/>
              </w:rPr>
              <w:t>Nación</w:t>
            </w:r>
          </w:p>
        </w:tc>
        <w:tc>
          <w:tcPr>
            <w:tcW w:w="635"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20.663</w:t>
            </w:r>
          </w:p>
        </w:tc>
        <w:tc>
          <w:tcPr>
            <w:tcW w:w="887"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6.556</w:t>
            </w:r>
          </w:p>
        </w:tc>
        <w:tc>
          <w:tcPr>
            <w:tcW w:w="824"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22.874</w:t>
            </w:r>
          </w:p>
        </w:tc>
        <w:tc>
          <w:tcPr>
            <w:tcW w:w="841"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4.344</w:t>
            </w:r>
          </w:p>
        </w:tc>
        <w:tc>
          <w:tcPr>
            <w:tcW w:w="939"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38,9</w:t>
            </w:r>
            <w:r>
              <w:rPr>
                <w:rFonts w:ascii="Arial" w:hAnsi="Arial" w:cs="Arial"/>
                <w:sz w:val="20"/>
                <w:szCs w:val="20"/>
              </w:rPr>
              <w:t xml:space="preserve"> </w:t>
            </w:r>
            <w:r w:rsidRPr="00DC371E">
              <w:rPr>
                <w:rFonts w:ascii="Arial" w:hAnsi="Arial" w:cs="Arial"/>
                <w:sz w:val="20"/>
                <w:szCs w:val="20"/>
              </w:rPr>
              <w:t>%</w:t>
            </w:r>
          </w:p>
        </w:tc>
      </w:tr>
      <w:tr w:rsidR="00D75790" w:rsidRPr="00DC371E" w:rsidTr="00695E54">
        <w:trPr>
          <w:trHeight w:val="319"/>
          <w:jc w:val="center"/>
        </w:trPr>
        <w:tc>
          <w:tcPr>
            <w:tcW w:w="873" w:type="pct"/>
            <w:shd w:val="clear" w:color="auto" w:fill="DBE5F1" w:themeFill="accent1" w:themeFillTint="33"/>
          </w:tcPr>
          <w:p w:rsidR="00D75790" w:rsidRPr="00DC371E" w:rsidRDefault="00D75790" w:rsidP="00695E54">
            <w:pPr>
              <w:autoSpaceDE w:val="0"/>
              <w:autoSpaceDN w:val="0"/>
              <w:adjustRightInd w:val="0"/>
              <w:contextualSpacing/>
              <w:rPr>
                <w:rFonts w:ascii="Arial" w:hAnsi="Arial" w:cs="Arial"/>
                <w:sz w:val="20"/>
                <w:szCs w:val="20"/>
                <w:lang w:val="es-ES_tradnl"/>
              </w:rPr>
            </w:pPr>
            <w:r w:rsidRPr="00DC371E">
              <w:rPr>
                <w:rFonts w:ascii="Arial" w:hAnsi="Arial" w:cs="Arial"/>
                <w:sz w:val="20"/>
                <w:szCs w:val="20"/>
              </w:rPr>
              <w:t>Otros recursos</w:t>
            </w:r>
          </w:p>
        </w:tc>
        <w:tc>
          <w:tcPr>
            <w:tcW w:w="635"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6.463</w:t>
            </w:r>
          </w:p>
        </w:tc>
        <w:tc>
          <w:tcPr>
            <w:tcW w:w="887"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1.319</w:t>
            </w:r>
          </w:p>
        </w:tc>
        <w:tc>
          <w:tcPr>
            <w:tcW w:w="824"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5.044</w:t>
            </w:r>
          </w:p>
        </w:tc>
        <w:tc>
          <w:tcPr>
            <w:tcW w:w="841"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2.738</w:t>
            </w:r>
          </w:p>
        </w:tc>
        <w:tc>
          <w:tcPr>
            <w:tcW w:w="939"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24,5</w:t>
            </w:r>
            <w:r>
              <w:rPr>
                <w:rFonts w:ascii="Arial" w:hAnsi="Arial" w:cs="Arial"/>
                <w:sz w:val="20"/>
                <w:szCs w:val="20"/>
              </w:rPr>
              <w:t xml:space="preserve"> </w:t>
            </w:r>
            <w:r w:rsidRPr="00DC371E">
              <w:rPr>
                <w:rFonts w:ascii="Arial" w:hAnsi="Arial" w:cs="Arial"/>
                <w:sz w:val="20"/>
                <w:szCs w:val="20"/>
              </w:rPr>
              <w:t>%</w:t>
            </w:r>
          </w:p>
        </w:tc>
      </w:tr>
      <w:tr w:rsidR="00D75790" w:rsidRPr="00DC371E" w:rsidTr="00695E54">
        <w:trPr>
          <w:trHeight w:val="319"/>
          <w:jc w:val="center"/>
        </w:trPr>
        <w:tc>
          <w:tcPr>
            <w:tcW w:w="873" w:type="pct"/>
            <w:shd w:val="clear" w:color="auto" w:fill="DBE5F1" w:themeFill="accent1" w:themeFillTint="33"/>
          </w:tcPr>
          <w:p w:rsidR="00D75790" w:rsidRPr="00DC371E" w:rsidRDefault="00D75790" w:rsidP="00695E54">
            <w:pPr>
              <w:autoSpaceDE w:val="0"/>
              <w:autoSpaceDN w:val="0"/>
              <w:adjustRightInd w:val="0"/>
              <w:contextualSpacing/>
              <w:rPr>
                <w:rFonts w:ascii="Arial" w:hAnsi="Arial" w:cs="Arial"/>
                <w:sz w:val="20"/>
                <w:szCs w:val="20"/>
                <w:lang w:val="es-ES_tradnl"/>
              </w:rPr>
            </w:pPr>
            <w:r w:rsidRPr="00DC371E">
              <w:rPr>
                <w:rFonts w:ascii="Arial" w:hAnsi="Arial" w:cs="Arial"/>
                <w:sz w:val="20"/>
                <w:szCs w:val="20"/>
              </w:rPr>
              <w:t>Nación (estratégicos)</w:t>
            </w:r>
          </w:p>
        </w:tc>
        <w:tc>
          <w:tcPr>
            <w:tcW w:w="635"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3.909</w:t>
            </w:r>
          </w:p>
        </w:tc>
        <w:tc>
          <w:tcPr>
            <w:tcW w:w="887"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316</w:t>
            </w:r>
          </w:p>
        </w:tc>
        <w:tc>
          <w:tcPr>
            <w:tcW w:w="824"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3.832</w:t>
            </w:r>
          </w:p>
        </w:tc>
        <w:tc>
          <w:tcPr>
            <w:tcW w:w="841"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79</w:t>
            </w:r>
          </w:p>
        </w:tc>
        <w:tc>
          <w:tcPr>
            <w:tcW w:w="939"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sz w:val="20"/>
                <w:szCs w:val="20"/>
                <w:lang w:val="es-ES_tradnl"/>
              </w:rPr>
            </w:pPr>
            <w:r w:rsidRPr="00DC371E">
              <w:rPr>
                <w:rFonts w:ascii="Arial" w:hAnsi="Arial" w:cs="Arial"/>
                <w:sz w:val="20"/>
                <w:szCs w:val="20"/>
              </w:rPr>
              <w:t>0,7</w:t>
            </w:r>
            <w:r>
              <w:rPr>
                <w:rFonts w:ascii="Arial" w:hAnsi="Arial" w:cs="Arial"/>
                <w:sz w:val="20"/>
                <w:szCs w:val="20"/>
              </w:rPr>
              <w:t xml:space="preserve"> </w:t>
            </w:r>
            <w:r w:rsidRPr="00DC371E">
              <w:rPr>
                <w:rFonts w:ascii="Arial" w:hAnsi="Arial" w:cs="Arial"/>
                <w:sz w:val="20"/>
                <w:szCs w:val="20"/>
              </w:rPr>
              <w:t>%</w:t>
            </w:r>
          </w:p>
        </w:tc>
      </w:tr>
      <w:tr w:rsidR="00D75790" w:rsidRPr="00DC371E" w:rsidTr="00695E54">
        <w:trPr>
          <w:trHeight w:val="290"/>
          <w:jc w:val="center"/>
        </w:trPr>
        <w:tc>
          <w:tcPr>
            <w:tcW w:w="873"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bCs/>
                <w:sz w:val="20"/>
                <w:szCs w:val="20"/>
                <w:lang w:val="es-ES_tradnl"/>
              </w:rPr>
            </w:pPr>
            <w:r w:rsidRPr="00DC371E">
              <w:rPr>
                <w:rFonts w:ascii="Arial" w:hAnsi="Arial" w:cs="Arial"/>
                <w:b/>
                <w:bCs/>
                <w:sz w:val="20"/>
                <w:szCs w:val="20"/>
                <w:lang w:val="es-ES_tradnl"/>
              </w:rPr>
              <w:t>Total</w:t>
            </w:r>
          </w:p>
        </w:tc>
        <w:tc>
          <w:tcPr>
            <w:tcW w:w="635"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bCs/>
                <w:sz w:val="20"/>
                <w:szCs w:val="20"/>
                <w:lang w:val="es-ES_tradnl"/>
              </w:rPr>
            </w:pPr>
            <w:r w:rsidRPr="00DC371E">
              <w:rPr>
                <w:rFonts w:ascii="Arial" w:hAnsi="Arial" w:cs="Arial"/>
                <w:b/>
                <w:bCs/>
                <w:sz w:val="20"/>
                <w:szCs w:val="20"/>
              </w:rPr>
              <w:t>39.024</w:t>
            </w:r>
          </w:p>
        </w:tc>
        <w:tc>
          <w:tcPr>
            <w:tcW w:w="887"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bCs/>
                <w:sz w:val="20"/>
                <w:szCs w:val="20"/>
                <w:lang w:val="es-ES_tradnl"/>
              </w:rPr>
            </w:pPr>
            <w:r w:rsidRPr="00DC371E">
              <w:rPr>
                <w:rFonts w:ascii="Arial" w:hAnsi="Arial" w:cs="Arial"/>
                <w:b/>
                <w:bCs/>
                <w:sz w:val="20"/>
                <w:szCs w:val="20"/>
              </w:rPr>
              <w:t>9.760</w:t>
            </w:r>
          </w:p>
        </w:tc>
        <w:tc>
          <w:tcPr>
            <w:tcW w:w="824"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bCs/>
                <w:sz w:val="20"/>
                <w:szCs w:val="20"/>
                <w:lang w:val="es-ES_tradnl"/>
              </w:rPr>
            </w:pPr>
            <w:r w:rsidRPr="00DC371E">
              <w:rPr>
                <w:rFonts w:ascii="Arial" w:hAnsi="Arial" w:cs="Arial"/>
                <w:b/>
                <w:bCs/>
                <w:sz w:val="20"/>
                <w:szCs w:val="20"/>
                <w:lang w:val="es-ES_tradnl"/>
              </w:rPr>
              <w:t>37.311</w:t>
            </w:r>
          </w:p>
        </w:tc>
        <w:tc>
          <w:tcPr>
            <w:tcW w:w="841" w:type="pct"/>
            <w:shd w:val="clear" w:color="auto" w:fill="DBE5F1" w:themeFill="accent1" w:themeFillTint="33"/>
          </w:tcPr>
          <w:p w:rsidR="00D75790" w:rsidRPr="00DC371E" w:rsidRDefault="00D75790" w:rsidP="00695E54">
            <w:pPr>
              <w:autoSpaceDE w:val="0"/>
              <w:autoSpaceDN w:val="0"/>
              <w:adjustRightInd w:val="0"/>
              <w:contextualSpacing/>
              <w:jc w:val="center"/>
              <w:rPr>
                <w:rFonts w:ascii="Arial" w:hAnsi="Arial" w:cs="Arial"/>
                <w:b/>
                <w:bCs/>
                <w:sz w:val="20"/>
                <w:szCs w:val="20"/>
                <w:lang w:val="es-ES_tradnl"/>
              </w:rPr>
            </w:pPr>
            <w:r w:rsidRPr="00DC371E">
              <w:rPr>
                <w:rFonts w:ascii="Arial" w:hAnsi="Arial" w:cs="Arial"/>
                <w:b/>
                <w:bCs/>
                <w:sz w:val="20"/>
                <w:szCs w:val="20"/>
              </w:rPr>
              <w:t>11.159</w:t>
            </w:r>
          </w:p>
        </w:tc>
        <w:tc>
          <w:tcPr>
            <w:tcW w:w="939" w:type="pct"/>
            <w:shd w:val="clear" w:color="auto" w:fill="DBE5F1" w:themeFill="accent1" w:themeFillTint="33"/>
            <w:vAlign w:val="center"/>
          </w:tcPr>
          <w:p w:rsidR="00D75790" w:rsidRPr="00DC371E" w:rsidRDefault="00D75790" w:rsidP="00695E54">
            <w:pPr>
              <w:autoSpaceDE w:val="0"/>
              <w:autoSpaceDN w:val="0"/>
              <w:adjustRightInd w:val="0"/>
              <w:contextualSpacing/>
              <w:jc w:val="center"/>
              <w:rPr>
                <w:rFonts w:ascii="Arial" w:hAnsi="Arial" w:cs="Arial"/>
                <w:b/>
                <w:bCs/>
                <w:sz w:val="20"/>
                <w:szCs w:val="20"/>
                <w:lang w:val="es-ES_tradnl"/>
              </w:rPr>
            </w:pPr>
          </w:p>
        </w:tc>
      </w:tr>
    </w:tbl>
    <w:p w:rsidR="00D75790" w:rsidRPr="00DC371E" w:rsidRDefault="00D75790" w:rsidP="00D75790">
      <w:pPr>
        <w:contextualSpacing/>
        <w:jc w:val="center"/>
        <w:rPr>
          <w:rFonts w:ascii="Arial" w:hAnsi="Arial" w:cs="Arial"/>
          <w:sz w:val="22"/>
          <w:szCs w:val="22"/>
          <w:lang w:val="es-ES_tradnl"/>
        </w:rPr>
      </w:pPr>
      <w:r w:rsidRPr="00DC371E">
        <w:rPr>
          <w:rFonts w:ascii="Arial" w:hAnsi="Arial" w:cs="Arial"/>
          <w:sz w:val="22"/>
          <w:szCs w:val="22"/>
          <w:lang w:val="es-ES_tradnl"/>
        </w:rPr>
        <w:t>Fuente: FIA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El artículo 2.3.3.1.5.1. del Decreto 1425 del 2019 en su sección 5, Instrumentos de Planeación, estableció que los PDA deben contar con seis instrumentos de planeación que deben ser aprobados por el Comité Directivo del PDA así:</w:t>
      </w:r>
    </w:p>
    <w:p w:rsidR="00D75790" w:rsidRPr="00DC371E" w:rsidRDefault="00D75790" w:rsidP="00D75790">
      <w:pPr>
        <w:contextualSpacing/>
        <w:jc w:val="both"/>
        <w:rPr>
          <w:rFonts w:ascii="Arial" w:hAnsi="Arial" w:cs="Arial"/>
          <w:sz w:val="22"/>
          <w:szCs w:val="22"/>
        </w:rPr>
      </w:pPr>
    </w:p>
    <w:p w:rsidR="00D75790" w:rsidRPr="00DC371E" w:rsidRDefault="00D75790" w:rsidP="00D75790">
      <w:pPr>
        <w:pStyle w:val="Prrafodelista"/>
        <w:numPr>
          <w:ilvl w:val="0"/>
          <w:numId w:val="11"/>
        </w:numPr>
        <w:jc w:val="both"/>
        <w:rPr>
          <w:rFonts w:ascii="Arial" w:hAnsi="Arial" w:cs="Arial"/>
          <w:sz w:val="22"/>
          <w:szCs w:val="22"/>
        </w:rPr>
      </w:pPr>
      <w:r w:rsidRPr="00DC371E">
        <w:rPr>
          <w:rFonts w:ascii="Arial" w:hAnsi="Arial" w:cs="Arial"/>
          <w:sz w:val="22"/>
          <w:szCs w:val="22"/>
        </w:rPr>
        <w:t>Manual Operativo</w:t>
      </w:r>
      <w:r>
        <w:rPr>
          <w:rFonts w:ascii="Arial" w:hAnsi="Arial" w:cs="Arial"/>
          <w:sz w:val="22"/>
          <w:szCs w:val="22"/>
        </w:rPr>
        <w:t>,</w:t>
      </w:r>
    </w:p>
    <w:p w:rsidR="00D75790" w:rsidRPr="00DC371E" w:rsidRDefault="00D75790" w:rsidP="00D75790">
      <w:pPr>
        <w:pStyle w:val="Prrafodelista"/>
        <w:numPr>
          <w:ilvl w:val="0"/>
          <w:numId w:val="11"/>
        </w:numPr>
        <w:jc w:val="both"/>
        <w:rPr>
          <w:rFonts w:ascii="Arial" w:hAnsi="Arial" w:cs="Arial"/>
          <w:sz w:val="22"/>
          <w:szCs w:val="22"/>
        </w:rPr>
      </w:pPr>
      <w:r w:rsidRPr="00DC371E">
        <w:rPr>
          <w:rFonts w:ascii="Arial" w:hAnsi="Arial" w:cs="Arial"/>
          <w:sz w:val="22"/>
          <w:szCs w:val="22"/>
        </w:rPr>
        <w:t>Plan Estratégico de Inversiones (PEI)</w:t>
      </w:r>
      <w:r>
        <w:rPr>
          <w:rFonts w:ascii="Arial" w:hAnsi="Arial" w:cs="Arial"/>
          <w:sz w:val="22"/>
          <w:szCs w:val="22"/>
        </w:rPr>
        <w:t>,</w:t>
      </w:r>
    </w:p>
    <w:p w:rsidR="00D75790" w:rsidRPr="00DC371E" w:rsidRDefault="00D75790" w:rsidP="00D75790">
      <w:pPr>
        <w:pStyle w:val="Prrafodelista"/>
        <w:numPr>
          <w:ilvl w:val="0"/>
          <w:numId w:val="11"/>
        </w:numPr>
        <w:jc w:val="both"/>
        <w:rPr>
          <w:rFonts w:ascii="Arial" w:hAnsi="Arial" w:cs="Arial"/>
          <w:sz w:val="22"/>
          <w:szCs w:val="22"/>
        </w:rPr>
      </w:pPr>
      <w:r w:rsidRPr="00DC371E">
        <w:rPr>
          <w:rFonts w:ascii="Arial" w:hAnsi="Arial" w:cs="Arial"/>
          <w:sz w:val="22"/>
          <w:szCs w:val="22"/>
        </w:rPr>
        <w:t>Plan de Aseguramiento de la Prestación</w:t>
      </w:r>
      <w:r>
        <w:rPr>
          <w:rFonts w:ascii="Arial" w:hAnsi="Arial" w:cs="Arial"/>
          <w:sz w:val="22"/>
          <w:szCs w:val="22"/>
        </w:rPr>
        <w:t>,</w:t>
      </w:r>
    </w:p>
    <w:p w:rsidR="00D75790" w:rsidRPr="00DC371E" w:rsidRDefault="00D75790" w:rsidP="00D75790">
      <w:pPr>
        <w:pStyle w:val="Prrafodelista"/>
        <w:numPr>
          <w:ilvl w:val="0"/>
          <w:numId w:val="11"/>
        </w:numPr>
        <w:jc w:val="both"/>
        <w:rPr>
          <w:rFonts w:ascii="Arial" w:hAnsi="Arial" w:cs="Arial"/>
          <w:sz w:val="22"/>
          <w:szCs w:val="22"/>
        </w:rPr>
      </w:pPr>
      <w:r w:rsidRPr="00DC371E">
        <w:rPr>
          <w:rFonts w:ascii="Arial" w:hAnsi="Arial" w:cs="Arial"/>
          <w:sz w:val="22"/>
          <w:szCs w:val="22"/>
        </w:rPr>
        <w:t>Plan Ambiental</w:t>
      </w:r>
      <w:r>
        <w:rPr>
          <w:rFonts w:ascii="Arial" w:hAnsi="Arial" w:cs="Arial"/>
          <w:sz w:val="22"/>
          <w:szCs w:val="22"/>
        </w:rPr>
        <w:t>,</w:t>
      </w:r>
    </w:p>
    <w:p w:rsidR="00D75790" w:rsidRPr="00DC371E" w:rsidRDefault="00D75790" w:rsidP="00D75790">
      <w:pPr>
        <w:pStyle w:val="Prrafodelista"/>
        <w:numPr>
          <w:ilvl w:val="0"/>
          <w:numId w:val="11"/>
        </w:numPr>
        <w:jc w:val="both"/>
        <w:rPr>
          <w:rFonts w:ascii="Arial" w:hAnsi="Arial" w:cs="Arial"/>
          <w:sz w:val="22"/>
          <w:szCs w:val="22"/>
        </w:rPr>
      </w:pPr>
      <w:r w:rsidRPr="00DC371E">
        <w:rPr>
          <w:rFonts w:ascii="Arial" w:hAnsi="Arial" w:cs="Arial"/>
          <w:sz w:val="22"/>
          <w:szCs w:val="22"/>
        </w:rPr>
        <w:t>Plan de Gestión Social</w:t>
      </w:r>
      <w:r>
        <w:rPr>
          <w:rFonts w:ascii="Arial" w:hAnsi="Arial" w:cs="Arial"/>
          <w:sz w:val="22"/>
          <w:szCs w:val="22"/>
        </w:rPr>
        <w:t>,</w:t>
      </w:r>
    </w:p>
    <w:p w:rsidR="00D75790" w:rsidRPr="00DC371E" w:rsidRDefault="00D75790" w:rsidP="00D75790">
      <w:pPr>
        <w:pStyle w:val="Prrafodelista"/>
        <w:numPr>
          <w:ilvl w:val="0"/>
          <w:numId w:val="11"/>
        </w:numPr>
        <w:jc w:val="both"/>
        <w:rPr>
          <w:rFonts w:ascii="Arial" w:hAnsi="Arial" w:cs="Arial"/>
          <w:sz w:val="22"/>
          <w:szCs w:val="22"/>
          <w:lang w:val="es-ES_tradnl"/>
        </w:rPr>
      </w:pPr>
      <w:r w:rsidRPr="00DC371E">
        <w:rPr>
          <w:rFonts w:ascii="Arial" w:hAnsi="Arial" w:cs="Arial"/>
          <w:sz w:val="22"/>
          <w:szCs w:val="22"/>
        </w:rPr>
        <w:t xml:space="preserve">Plan de Gestión </w:t>
      </w:r>
      <w:r>
        <w:rPr>
          <w:rFonts w:ascii="Arial" w:hAnsi="Arial" w:cs="Arial"/>
          <w:sz w:val="22"/>
          <w:szCs w:val="22"/>
        </w:rPr>
        <w:t>d</w:t>
      </w:r>
      <w:r w:rsidRPr="00DC371E">
        <w:rPr>
          <w:rFonts w:ascii="Arial" w:hAnsi="Arial" w:cs="Arial"/>
          <w:sz w:val="22"/>
          <w:szCs w:val="22"/>
        </w:rPr>
        <w:t>el Riesgo</w:t>
      </w:r>
      <w:r>
        <w:rPr>
          <w:rFonts w:ascii="Arial" w:hAnsi="Arial" w:cs="Arial"/>
          <w:sz w:val="22"/>
          <w:szCs w:val="22"/>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lang w:val="es-ES_tradnl"/>
        </w:rPr>
        <w:t xml:space="preserve">Al respecto, en el anexo 23 del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w:t>
      </w:r>
      <w:r w:rsidRPr="00DC371E">
        <w:rPr>
          <w:rFonts w:ascii="Arial" w:hAnsi="Arial" w:cs="Arial"/>
          <w:i/>
          <w:iCs/>
          <w:sz w:val="22"/>
          <w:szCs w:val="22"/>
        </w:rPr>
        <w:lastRenderedPageBreak/>
        <w:t>Catalina vigencias 2019 y 2020”,</w:t>
      </w:r>
      <w:r w:rsidRPr="00DC371E">
        <w:rPr>
          <w:rFonts w:ascii="Arial" w:hAnsi="Arial" w:cs="Arial"/>
          <w:sz w:val="22"/>
          <w:szCs w:val="22"/>
        </w:rPr>
        <w:t xml:space="preserve"> denominado </w:t>
      </w:r>
      <w:r w:rsidRPr="00DC371E">
        <w:rPr>
          <w:rFonts w:ascii="Arial" w:hAnsi="Arial" w:cs="Arial"/>
          <w:sz w:val="22"/>
          <w:szCs w:val="22"/>
          <w:lang w:val="es-ES_tradnl"/>
        </w:rPr>
        <w:t>“</w:t>
      </w:r>
      <w:r w:rsidRPr="00DC371E">
        <w:rPr>
          <w:rFonts w:ascii="Arial" w:hAnsi="Arial" w:cs="Arial"/>
          <w:i/>
          <w:iCs/>
          <w:sz w:val="22"/>
          <w:szCs w:val="22"/>
          <w:lang w:val="es-ES_tradnl"/>
        </w:rPr>
        <w:t>I</w:t>
      </w:r>
      <w:r w:rsidRPr="00DC371E">
        <w:rPr>
          <w:rFonts w:ascii="Arial" w:hAnsi="Arial" w:cs="Arial"/>
          <w:i/>
          <w:iCs/>
          <w:sz w:val="22"/>
          <w:szCs w:val="22"/>
        </w:rPr>
        <w:t>informe ejecución Plan Departamental de Agua con corte a junio del 2020</w:t>
      </w:r>
      <w:r w:rsidRPr="00DC371E">
        <w:rPr>
          <w:rFonts w:ascii="Arial" w:hAnsi="Arial" w:cs="Arial"/>
          <w:sz w:val="22"/>
          <w:szCs w:val="22"/>
        </w:rPr>
        <w:t xml:space="preserve">” se identifican aspectos relacionados con el cumplimiento al </w:t>
      </w:r>
      <w:r>
        <w:rPr>
          <w:rFonts w:ascii="Arial" w:hAnsi="Arial" w:cs="Arial"/>
          <w:sz w:val="22"/>
          <w:szCs w:val="22"/>
        </w:rPr>
        <w:t>D</w:t>
      </w:r>
      <w:r w:rsidRPr="00DC371E">
        <w:rPr>
          <w:rFonts w:ascii="Arial" w:hAnsi="Arial" w:cs="Arial"/>
          <w:sz w:val="22"/>
          <w:szCs w:val="22"/>
        </w:rPr>
        <w:t>ecreto 1425 de 2019, en los siguientes temas:</w:t>
      </w:r>
    </w:p>
    <w:p w:rsidR="00D75790" w:rsidRPr="00DC371E" w:rsidRDefault="00D75790" w:rsidP="00D75790">
      <w:pPr>
        <w:contextualSpacing/>
        <w:jc w:val="both"/>
        <w:rPr>
          <w:rFonts w:ascii="Arial" w:hAnsi="Arial" w:cs="Arial"/>
          <w:b/>
          <w:bCs/>
          <w:sz w:val="22"/>
          <w:szCs w:val="22"/>
        </w:rPr>
      </w:pPr>
    </w:p>
    <w:p w:rsidR="00D75790" w:rsidRPr="00DC371E" w:rsidRDefault="00D75790" w:rsidP="00D75790">
      <w:pPr>
        <w:contextualSpacing/>
        <w:jc w:val="both"/>
        <w:rPr>
          <w:rFonts w:ascii="Arial" w:hAnsi="Arial" w:cs="Arial"/>
          <w:b/>
          <w:bCs/>
          <w:sz w:val="22"/>
          <w:szCs w:val="22"/>
        </w:rPr>
      </w:pPr>
      <w:r w:rsidRPr="00DC371E">
        <w:rPr>
          <w:rFonts w:ascii="Arial" w:hAnsi="Arial" w:cs="Arial"/>
          <w:b/>
          <w:bCs/>
          <w:sz w:val="22"/>
          <w:szCs w:val="22"/>
        </w:rPr>
        <w:t>MANUAL OPERATIVO:</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rPr>
        <w:t xml:space="preserve">En el </w:t>
      </w:r>
      <w:r>
        <w:rPr>
          <w:rFonts w:ascii="Arial" w:hAnsi="Arial" w:cs="Arial"/>
          <w:sz w:val="22"/>
          <w:szCs w:val="22"/>
        </w:rPr>
        <w:t>C</w:t>
      </w:r>
      <w:r w:rsidRPr="00DC371E">
        <w:rPr>
          <w:rFonts w:ascii="Arial" w:hAnsi="Arial" w:cs="Arial"/>
          <w:sz w:val="22"/>
          <w:szCs w:val="22"/>
        </w:rPr>
        <w:t xml:space="preserve">omité </w:t>
      </w:r>
      <w:r>
        <w:rPr>
          <w:rFonts w:ascii="Arial" w:hAnsi="Arial" w:cs="Arial"/>
          <w:sz w:val="22"/>
          <w:szCs w:val="22"/>
        </w:rPr>
        <w:t>D</w:t>
      </w:r>
      <w:r w:rsidRPr="00DC371E">
        <w:rPr>
          <w:rFonts w:ascii="Arial" w:hAnsi="Arial" w:cs="Arial"/>
          <w:sz w:val="22"/>
          <w:szCs w:val="22"/>
        </w:rPr>
        <w:t xml:space="preserve">irectivo de (PDA) No. 22 del 27 de noviembre de 2020 fue aprobado el nuevo </w:t>
      </w:r>
      <w:r>
        <w:rPr>
          <w:rFonts w:ascii="Arial" w:hAnsi="Arial" w:cs="Arial"/>
          <w:sz w:val="22"/>
          <w:szCs w:val="22"/>
        </w:rPr>
        <w:t>M</w:t>
      </w:r>
      <w:r w:rsidRPr="00DC371E">
        <w:rPr>
          <w:rFonts w:ascii="Arial" w:hAnsi="Arial" w:cs="Arial"/>
          <w:sz w:val="22"/>
          <w:szCs w:val="22"/>
        </w:rPr>
        <w:t xml:space="preserve">anual </w:t>
      </w:r>
      <w:r>
        <w:rPr>
          <w:rFonts w:ascii="Arial" w:hAnsi="Arial" w:cs="Arial"/>
          <w:sz w:val="22"/>
          <w:szCs w:val="22"/>
        </w:rPr>
        <w:t>O</w:t>
      </w:r>
      <w:r w:rsidRPr="00DC371E">
        <w:rPr>
          <w:rFonts w:ascii="Arial" w:hAnsi="Arial" w:cs="Arial"/>
          <w:sz w:val="22"/>
          <w:szCs w:val="22"/>
        </w:rPr>
        <w:t>perativo del PDA que se adoptó en el Decreto 0411 del 28 de diciembre de 2020.</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lang w:val="es-ES_tradnl"/>
        </w:rPr>
        <w:t xml:space="preserve">Si bien este documento tiene por objetivo </w:t>
      </w:r>
      <w:r w:rsidRPr="00DC371E">
        <w:rPr>
          <w:rFonts w:ascii="Arial" w:hAnsi="Arial" w:cs="Arial"/>
          <w:sz w:val="22"/>
          <w:szCs w:val="22"/>
        </w:rPr>
        <w:t>definir los procedimientos bajo los cuales se desarrollará el Plan Departamental y dentro de su alcance se encuentra establecer las tareas específicas que le han sido asignadas a las diferentes Estructuras Operativas del Plan, en su parte introductoria hace referencia a 16 capítulos, de los cuales solo desarrolla 7, incluido el capítulo de anexos.</w:t>
      </w:r>
      <w:r>
        <w:rPr>
          <w:rFonts w:ascii="Arial" w:hAnsi="Arial" w:cs="Arial"/>
          <w:sz w:val="22"/>
          <w:szCs w:val="22"/>
        </w:rPr>
        <w:t xml:space="preserve"> De acuerdo con el análisis de esta Dirección, el documento e</w:t>
      </w:r>
      <w:r w:rsidRPr="00DC371E">
        <w:rPr>
          <w:rFonts w:ascii="Arial" w:hAnsi="Arial" w:cs="Arial"/>
          <w:sz w:val="22"/>
          <w:szCs w:val="22"/>
        </w:rPr>
        <w:t>s una compilación de las normas que hacen referencia al PDA, pero no particulariza, ni establece tareas específicas para el PDA de San Andrés. Es un documento que deberá ser ampliado y profundizado con cada uno de los procesos, procedimientos, pasos, actores, responsables, tiempos, recursos, equipos de seguimiento, productos esperados, entre otros aspectos, para que sea una herramienta útil en la gestión operativa del PDA.</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lang w:val="es-ES_tradnl"/>
        </w:rPr>
        <w:t xml:space="preserve">PLAN ESTRATÉGICO DE INVERSIONES </w:t>
      </w:r>
      <w:r>
        <w:rPr>
          <w:rFonts w:ascii="Arial" w:hAnsi="Arial" w:cs="Arial"/>
          <w:b/>
          <w:bCs/>
          <w:sz w:val="22"/>
          <w:szCs w:val="22"/>
          <w:lang w:val="es-ES_tradnl"/>
        </w:rPr>
        <w:t>–</w:t>
      </w:r>
      <w:r w:rsidRPr="00DC371E">
        <w:rPr>
          <w:rFonts w:ascii="Arial" w:hAnsi="Arial" w:cs="Arial"/>
          <w:b/>
          <w:bCs/>
          <w:sz w:val="22"/>
          <w:szCs w:val="22"/>
          <w:lang w:val="es-ES_tradnl"/>
        </w:rPr>
        <w:t xml:space="preserve"> PEI</w:t>
      </w:r>
      <w:r>
        <w:rPr>
          <w:rFonts w:ascii="Arial" w:hAnsi="Arial" w:cs="Arial"/>
          <w:b/>
          <w:bCs/>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El Plan Estratégico de Inversiones - PEI del PDA del Archipiélago de San Andrés, Providencia y Santa Catalina, fue aprobado por el </w:t>
      </w:r>
      <w:r>
        <w:rPr>
          <w:rFonts w:ascii="Arial" w:hAnsi="Arial" w:cs="Arial"/>
          <w:sz w:val="22"/>
          <w:szCs w:val="22"/>
          <w:lang w:val="es-ES_tradnl"/>
        </w:rPr>
        <w:t>C</w:t>
      </w:r>
      <w:r w:rsidRPr="00DC371E">
        <w:rPr>
          <w:rFonts w:ascii="Arial" w:hAnsi="Arial" w:cs="Arial"/>
          <w:sz w:val="22"/>
          <w:szCs w:val="22"/>
          <w:lang w:val="es-ES_tradnl"/>
        </w:rPr>
        <w:t xml:space="preserve">omité </w:t>
      </w:r>
      <w:r>
        <w:rPr>
          <w:rFonts w:ascii="Arial" w:hAnsi="Arial" w:cs="Arial"/>
          <w:sz w:val="22"/>
          <w:szCs w:val="22"/>
          <w:lang w:val="es-ES_tradnl"/>
        </w:rPr>
        <w:t>D</w:t>
      </w:r>
      <w:r w:rsidRPr="00DC371E">
        <w:rPr>
          <w:rFonts w:ascii="Arial" w:hAnsi="Arial" w:cs="Arial"/>
          <w:sz w:val="22"/>
          <w:szCs w:val="22"/>
          <w:lang w:val="es-ES_tradnl"/>
        </w:rPr>
        <w:t>irectivo el 27 de noviembre de 2020, siendo que</w:t>
      </w:r>
      <w:r>
        <w:rPr>
          <w:rFonts w:ascii="Arial" w:hAnsi="Arial" w:cs="Arial"/>
          <w:sz w:val="22"/>
          <w:szCs w:val="22"/>
          <w:lang w:val="es-ES_tradnl"/>
        </w:rPr>
        <w:t>,</w:t>
      </w:r>
      <w:r w:rsidRPr="00DC371E">
        <w:rPr>
          <w:rFonts w:ascii="Arial" w:hAnsi="Arial" w:cs="Arial"/>
          <w:sz w:val="22"/>
          <w:szCs w:val="22"/>
          <w:lang w:val="es-ES_tradnl"/>
        </w:rPr>
        <w:t xml:space="preserve"> conforme a lo informado por la </w:t>
      </w:r>
      <w:r>
        <w:rPr>
          <w:rFonts w:ascii="Arial" w:hAnsi="Arial" w:cs="Arial"/>
          <w:sz w:val="22"/>
          <w:szCs w:val="22"/>
          <w:lang w:val="es-ES_tradnl"/>
        </w:rPr>
        <w:t>C</w:t>
      </w:r>
      <w:r w:rsidRPr="00DC371E">
        <w:rPr>
          <w:rFonts w:ascii="Arial" w:hAnsi="Arial" w:cs="Arial"/>
          <w:sz w:val="22"/>
          <w:szCs w:val="22"/>
          <w:lang w:val="es-ES_tradnl"/>
        </w:rPr>
        <w:t>oordinadora el PEI de la vigencia 2020 no se ejecutó.</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el PEI correspondiente al año 2020, el total de recursos comprometidos fue de $7.406.393.863, recursos sin comprometer por $36.248.984.815, que equivalen al 83</w:t>
      </w:r>
      <w:r>
        <w:rPr>
          <w:rFonts w:ascii="Arial" w:hAnsi="Arial" w:cs="Arial"/>
          <w:sz w:val="22"/>
          <w:szCs w:val="22"/>
          <w:lang w:val="es-ES_tradnl"/>
        </w:rPr>
        <w:t xml:space="preserve"> </w:t>
      </w:r>
      <w:r w:rsidRPr="00DC371E">
        <w:rPr>
          <w:rFonts w:ascii="Arial" w:hAnsi="Arial" w:cs="Arial"/>
          <w:sz w:val="22"/>
          <w:szCs w:val="22"/>
          <w:lang w:val="es-ES_tradnl"/>
        </w:rPr>
        <w:t>% de los recursos disponibles.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Del total de recursos sin comprometer, $9.371.065.750 son recursos del SGP</w:t>
      </w:r>
      <w:r>
        <w:rPr>
          <w:rFonts w:ascii="Arial" w:hAnsi="Arial" w:cs="Arial"/>
          <w:sz w:val="22"/>
          <w:szCs w:val="22"/>
          <w:lang w:val="es-ES_tradnl"/>
        </w:rPr>
        <w:t xml:space="preserve"> </w:t>
      </w:r>
      <w:r w:rsidRPr="00DC371E">
        <w:rPr>
          <w:rFonts w:ascii="Arial" w:hAnsi="Arial" w:cs="Arial"/>
          <w:sz w:val="22"/>
          <w:szCs w:val="22"/>
          <w:lang w:val="es-ES_tradnl"/>
        </w:rPr>
        <w:t>-</w:t>
      </w:r>
      <w:r>
        <w:rPr>
          <w:rFonts w:ascii="Arial" w:hAnsi="Arial" w:cs="Arial"/>
          <w:sz w:val="22"/>
          <w:szCs w:val="22"/>
          <w:lang w:val="es-ES_tradnl"/>
        </w:rPr>
        <w:t xml:space="preserve"> </w:t>
      </w:r>
      <w:r w:rsidRPr="00DC371E">
        <w:rPr>
          <w:rFonts w:ascii="Arial" w:hAnsi="Arial" w:cs="Arial"/>
          <w:sz w:val="22"/>
          <w:szCs w:val="22"/>
          <w:lang w:val="es-ES_tradnl"/>
        </w:rPr>
        <w:t>APSB que equivalen al 27,14</w:t>
      </w:r>
      <w:r>
        <w:rPr>
          <w:rFonts w:ascii="Arial" w:hAnsi="Arial" w:cs="Arial"/>
          <w:sz w:val="22"/>
          <w:szCs w:val="22"/>
          <w:lang w:val="es-ES_tradnl"/>
        </w:rPr>
        <w:t xml:space="preserve"> </w:t>
      </w:r>
      <w:r w:rsidRPr="00DC371E">
        <w:rPr>
          <w:rFonts w:ascii="Arial" w:hAnsi="Arial" w:cs="Arial"/>
          <w:sz w:val="22"/>
          <w:szCs w:val="22"/>
          <w:lang w:val="es-ES_tradnl"/>
        </w:rPr>
        <w:t xml:space="preserve">% y se distribuyen así: $3.470.787.457 de la asignación de San Andrés </w:t>
      </w:r>
      <w:r>
        <w:rPr>
          <w:rFonts w:ascii="Arial" w:hAnsi="Arial" w:cs="Arial"/>
          <w:sz w:val="22"/>
          <w:szCs w:val="22"/>
          <w:lang w:val="es-ES_tradnl"/>
        </w:rPr>
        <w:t>como M</w:t>
      </w:r>
      <w:r w:rsidRPr="00DC371E">
        <w:rPr>
          <w:rFonts w:ascii="Arial" w:hAnsi="Arial" w:cs="Arial"/>
          <w:sz w:val="22"/>
          <w:szCs w:val="22"/>
          <w:lang w:val="es-ES_tradnl"/>
        </w:rPr>
        <w:t xml:space="preserve">unicipio, $470.721.380 de Providencia y $5.899.807.572 del </w:t>
      </w:r>
      <w:r>
        <w:rPr>
          <w:rFonts w:ascii="Arial" w:hAnsi="Arial" w:cs="Arial"/>
          <w:sz w:val="22"/>
          <w:szCs w:val="22"/>
          <w:lang w:val="es-ES_tradnl"/>
        </w:rPr>
        <w:t>D</w:t>
      </w:r>
      <w:r w:rsidRPr="00DC371E">
        <w:rPr>
          <w:rFonts w:ascii="Arial" w:hAnsi="Arial" w:cs="Arial"/>
          <w:sz w:val="22"/>
          <w:szCs w:val="22"/>
          <w:lang w:val="es-ES_tradnl"/>
        </w:rPr>
        <w:t>epartamento.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sz w:val="22"/>
          <w:szCs w:val="22"/>
        </w:rPr>
      </w:pPr>
      <w:r w:rsidRPr="00DC371E">
        <w:rPr>
          <w:rFonts w:ascii="Arial" w:hAnsi="Arial" w:cs="Arial"/>
          <w:b/>
          <w:bCs/>
          <w:sz w:val="22"/>
          <w:szCs w:val="22"/>
        </w:rPr>
        <w:t>PLAN DE ASEGURAMIENTO</w:t>
      </w:r>
      <w:r>
        <w:rPr>
          <w:rFonts w:ascii="Arial" w:hAnsi="Arial" w:cs="Arial"/>
          <w:b/>
          <w:bCs/>
          <w:sz w:val="22"/>
          <w:szCs w:val="22"/>
        </w:rPr>
        <w:t>.</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Se informa que en 2019 se trabajó la primera fase, el objetivo en 2020 era determinar las acciones a realizar en </w:t>
      </w:r>
      <w:r>
        <w:rPr>
          <w:rFonts w:ascii="Arial" w:hAnsi="Arial" w:cs="Arial"/>
          <w:sz w:val="22"/>
          <w:szCs w:val="22"/>
        </w:rPr>
        <w:t xml:space="preserve">el sector </w:t>
      </w:r>
      <w:r w:rsidRPr="00DC371E">
        <w:rPr>
          <w:rFonts w:ascii="Arial" w:hAnsi="Arial" w:cs="Arial"/>
          <w:sz w:val="22"/>
          <w:szCs w:val="22"/>
        </w:rPr>
        <w:t>rural en cuanto el fortalecimiento de la prestación en Providencia, la cobertura rural.</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rPr>
        <w:t>PLAN AMBIENTAL</w:t>
      </w:r>
      <w:r>
        <w:rPr>
          <w:rFonts w:ascii="Arial" w:hAnsi="Arial" w:cs="Arial"/>
          <w:b/>
          <w:bCs/>
          <w:sz w:val="22"/>
          <w:szCs w:val="22"/>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Se informa que el día 1 de octubre de 2020 fue envida la matriz de priorización y el documento para orientaciones del MVCT.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rPr>
        <w:t>PLAN DE GESTIÓN SOCIAL</w:t>
      </w:r>
      <w:r>
        <w:rPr>
          <w:rFonts w:ascii="Arial" w:hAnsi="Arial" w:cs="Arial"/>
          <w:b/>
          <w:bCs/>
          <w:sz w:val="22"/>
          <w:szCs w:val="22"/>
        </w:rPr>
        <w:t>.</w:t>
      </w:r>
    </w:p>
    <w:p w:rsidR="00D75790" w:rsidRPr="00E46D41" w:rsidRDefault="00D75790" w:rsidP="00D75790">
      <w:pPr>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Se asignaron recursos por valor de $100.000.000, se presentó ante el Ministerio el </w:t>
      </w:r>
      <w:r>
        <w:rPr>
          <w:rFonts w:ascii="Arial" w:hAnsi="Arial" w:cs="Arial"/>
          <w:sz w:val="22"/>
          <w:szCs w:val="22"/>
        </w:rPr>
        <w:t>P</w:t>
      </w:r>
      <w:r w:rsidRPr="00DC371E">
        <w:rPr>
          <w:rFonts w:ascii="Arial" w:hAnsi="Arial" w:cs="Arial"/>
          <w:sz w:val="22"/>
          <w:szCs w:val="22"/>
        </w:rPr>
        <w:t xml:space="preserve">lan de </w:t>
      </w:r>
      <w:r>
        <w:rPr>
          <w:rFonts w:ascii="Arial" w:hAnsi="Arial" w:cs="Arial"/>
          <w:sz w:val="22"/>
          <w:szCs w:val="22"/>
        </w:rPr>
        <w:t>G</w:t>
      </w:r>
      <w:r w:rsidRPr="00DC371E">
        <w:rPr>
          <w:rFonts w:ascii="Arial" w:hAnsi="Arial" w:cs="Arial"/>
          <w:sz w:val="22"/>
          <w:szCs w:val="22"/>
        </w:rPr>
        <w:t xml:space="preserve">estión </w:t>
      </w:r>
      <w:r>
        <w:rPr>
          <w:rFonts w:ascii="Arial" w:hAnsi="Arial" w:cs="Arial"/>
          <w:sz w:val="22"/>
          <w:szCs w:val="22"/>
        </w:rPr>
        <w:t>S</w:t>
      </w:r>
      <w:r w:rsidRPr="00DC371E">
        <w:rPr>
          <w:rFonts w:ascii="Arial" w:hAnsi="Arial" w:cs="Arial"/>
          <w:sz w:val="22"/>
          <w:szCs w:val="22"/>
        </w:rPr>
        <w:t>ocial para revisión y posterior aprobación, pues solo después de eso se ejecutan las acciones contempladas en el mismo; el documento presento varias observaciones para ajustes por lo cual no se logró para la vigencia el aval de este.</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b/>
          <w:bCs/>
          <w:sz w:val="22"/>
          <w:szCs w:val="22"/>
        </w:rPr>
      </w:pPr>
      <w:r w:rsidRPr="00DC371E">
        <w:rPr>
          <w:rFonts w:ascii="Arial" w:hAnsi="Arial" w:cs="Arial"/>
          <w:b/>
          <w:bCs/>
          <w:sz w:val="22"/>
          <w:szCs w:val="22"/>
        </w:rPr>
        <w:t>PLAN DE GESTIÓN DEL RIESGO</w:t>
      </w:r>
      <w:r>
        <w:rPr>
          <w:rFonts w:ascii="Arial" w:hAnsi="Arial" w:cs="Arial"/>
          <w:b/>
          <w:bCs/>
          <w:sz w:val="22"/>
          <w:szCs w:val="22"/>
        </w:rPr>
        <w:t>.</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Señala la profesional asignada de la SSPYMA que las capacitaciones empezaron en junio 9 y el plan fue enviando al MVCT el 23 de noviembre de 2020.</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b/>
          <w:bCs/>
          <w:sz w:val="22"/>
          <w:szCs w:val="22"/>
        </w:rPr>
      </w:pPr>
      <w:r w:rsidRPr="00DC371E">
        <w:rPr>
          <w:rFonts w:ascii="Arial" w:hAnsi="Arial" w:cs="Arial"/>
          <w:b/>
          <w:bCs/>
          <w:sz w:val="22"/>
          <w:szCs w:val="22"/>
        </w:rPr>
        <w:t>OPERATIVIDAD DEL GESTOR</w:t>
      </w:r>
      <w:r>
        <w:rPr>
          <w:rFonts w:ascii="Arial" w:hAnsi="Arial" w:cs="Arial"/>
          <w:b/>
          <w:bCs/>
          <w:sz w:val="22"/>
          <w:szCs w:val="22"/>
        </w:rPr>
        <w:t>.</w:t>
      </w:r>
    </w:p>
    <w:p w:rsidR="00D75790" w:rsidRPr="00E46D41" w:rsidRDefault="00D75790" w:rsidP="00D75790">
      <w:pPr>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Para la vigencia 2020 se realizó contratación del personal del </w:t>
      </w:r>
      <w:r>
        <w:rPr>
          <w:rFonts w:ascii="Arial" w:hAnsi="Arial" w:cs="Arial"/>
          <w:sz w:val="22"/>
          <w:szCs w:val="22"/>
        </w:rPr>
        <w:t>g</w:t>
      </w:r>
      <w:r w:rsidRPr="00DC371E">
        <w:rPr>
          <w:rFonts w:ascii="Arial" w:hAnsi="Arial" w:cs="Arial"/>
          <w:sz w:val="22"/>
          <w:szCs w:val="22"/>
        </w:rPr>
        <w:t>estor, aprobado en la vigencia 2019 con CDR No.8729, por valor de $292.324.661, cuya fuente es: otros recursos.</w:t>
      </w:r>
    </w:p>
    <w:p w:rsidR="00D75790" w:rsidRDefault="00D75790" w:rsidP="00D75790">
      <w:pPr>
        <w:rPr>
          <w:rFonts w:ascii="Arial" w:hAnsi="Arial" w:cs="Arial"/>
          <w:sz w:val="22"/>
          <w:szCs w:val="22"/>
        </w:rPr>
      </w:pPr>
      <w:r>
        <w:rPr>
          <w:rFonts w:ascii="Arial" w:hAnsi="Arial" w:cs="Arial"/>
          <w:sz w:val="22"/>
          <w:szCs w:val="22"/>
        </w:rPr>
        <w:br w:type="page"/>
      </w:r>
    </w:p>
    <w:p w:rsidR="00D75790" w:rsidRPr="00E46D41" w:rsidRDefault="00D75790" w:rsidP="00D75790">
      <w:pPr>
        <w:contextualSpacing/>
        <w:jc w:val="center"/>
        <w:rPr>
          <w:rFonts w:ascii="Arial" w:hAnsi="Arial" w:cs="Arial"/>
          <w:b/>
          <w:bCs/>
          <w:sz w:val="20"/>
          <w:szCs w:val="22"/>
        </w:rPr>
      </w:pPr>
      <w:r w:rsidRPr="00E46D41">
        <w:rPr>
          <w:rFonts w:ascii="Arial" w:hAnsi="Arial" w:cs="Arial"/>
          <w:b/>
          <w:bCs/>
          <w:sz w:val="20"/>
          <w:szCs w:val="22"/>
        </w:rPr>
        <w:lastRenderedPageBreak/>
        <w:t>TABLA 26. CONTRATACION GESTOR PDA</w:t>
      </w:r>
    </w:p>
    <w:p w:rsidR="00D75790" w:rsidRPr="00DC371E" w:rsidRDefault="00D75790" w:rsidP="00D75790">
      <w:pPr>
        <w:contextualSpacing/>
        <w:jc w:val="center"/>
        <w:rPr>
          <w:rFonts w:ascii="Arial" w:hAnsi="Arial" w:cs="Arial"/>
          <w:sz w:val="22"/>
          <w:szCs w:val="22"/>
          <w:lang w:val="es-ES_tradnl"/>
        </w:rPr>
      </w:pPr>
      <w:r w:rsidRPr="00A97C89">
        <w:rPr>
          <w:rFonts w:ascii="Arial" w:hAnsi="Arial" w:cs="Arial"/>
          <w:noProof/>
          <w:sz w:val="22"/>
          <w:szCs w:val="22"/>
          <w:lang w:val="es-CO" w:eastAsia="es-CO"/>
        </w:rPr>
        <w:drawing>
          <wp:inline distT="0" distB="0" distL="0" distR="0">
            <wp:extent cx="4953000" cy="2790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l="27325" t="24454" r="28888" b="31779"/>
                    <a:stretch>
                      <a:fillRect/>
                    </a:stretch>
                  </pic:blipFill>
                  <pic:spPr bwMode="auto">
                    <a:xfrm>
                      <a:off x="0" y="0"/>
                      <a:ext cx="4953000" cy="2790825"/>
                    </a:xfrm>
                    <a:prstGeom prst="rect">
                      <a:avLst/>
                    </a:prstGeom>
                    <a:noFill/>
                    <a:ln>
                      <a:noFill/>
                    </a:ln>
                  </pic:spPr>
                </pic:pic>
              </a:graphicData>
            </a:graphic>
          </wp:inline>
        </w:drawing>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Al respecto el informe del MVCT, hace referencia a lo anterior en los siguientes términos:</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rPr>
      </w:pPr>
      <w:r w:rsidRPr="00E46D41">
        <w:rPr>
          <w:rFonts w:ascii="Arial" w:hAnsi="Arial" w:cs="Arial"/>
          <w:iCs/>
          <w:sz w:val="18"/>
          <w:szCs w:val="22"/>
        </w:rPr>
        <w:t>“</w:t>
      </w:r>
      <w:r w:rsidRPr="00E46D41">
        <w:rPr>
          <w:rFonts w:ascii="Arial" w:hAnsi="Arial" w:cs="Arial"/>
          <w:i/>
          <w:iCs/>
          <w:sz w:val="18"/>
          <w:szCs w:val="22"/>
        </w:rPr>
        <w:t xml:space="preserve">En la visita realizada en marzo de 2021 se recibió información sobre la estructura que se conformó para el Gestor de PDA, así: Gestor (secretario de SSPYMA), 1 coordinador (profesional de la SSPYMA), 1 contador, 1 ambiental, 1 sanitario, 1 administrador de empresas, 1 psicóloga para la ejecución del plan social. </w:t>
      </w:r>
    </w:p>
    <w:p w:rsidR="00D75790" w:rsidRPr="00E46D41" w:rsidRDefault="00D75790" w:rsidP="00D75790">
      <w:pPr>
        <w:ind w:left="1416"/>
        <w:contextualSpacing/>
        <w:jc w:val="both"/>
        <w:rPr>
          <w:rFonts w:ascii="Arial" w:hAnsi="Arial" w:cs="Arial"/>
          <w:sz w:val="18"/>
          <w:szCs w:val="22"/>
        </w:rPr>
      </w:pPr>
    </w:p>
    <w:p w:rsidR="00D75790" w:rsidRPr="00E46D41" w:rsidRDefault="00D75790" w:rsidP="00D75790">
      <w:pPr>
        <w:ind w:left="1416"/>
        <w:contextualSpacing/>
        <w:jc w:val="both"/>
        <w:rPr>
          <w:rFonts w:ascii="Arial" w:hAnsi="Arial" w:cs="Arial"/>
          <w:b/>
          <w:bCs/>
          <w:i/>
          <w:iCs/>
          <w:sz w:val="18"/>
          <w:szCs w:val="22"/>
          <w:lang w:val="es-ES_tradnl"/>
        </w:rPr>
      </w:pPr>
      <w:r w:rsidRPr="00E46D41">
        <w:rPr>
          <w:rFonts w:ascii="Arial" w:hAnsi="Arial" w:cs="Arial"/>
          <w:i/>
          <w:iCs/>
          <w:sz w:val="18"/>
          <w:szCs w:val="22"/>
        </w:rPr>
        <w:t>Para 2021 la contratación se está realizando inicialmente con recursos propios, posteriormente se tramitará con el comité directivo la necesidad de recursos para el gestor</w:t>
      </w:r>
      <w:r w:rsidRPr="00E46D41">
        <w:rPr>
          <w:rFonts w:ascii="Arial" w:hAnsi="Arial" w:cs="Arial"/>
          <w:iCs/>
          <w:sz w:val="18"/>
          <w:szCs w:val="22"/>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 xml:space="preserve">Si bien se puede identificar que se está avanzando en dar cumplimiento a los lineamientos dados en el artículo 2.3.3.1.5.1. del Decreto 1425 del 2019 en relación </w:t>
      </w:r>
      <w:r>
        <w:rPr>
          <w:rFonts w:ascii="Arial" w:hAnsi="Arial" w:cs="Arial"/>
          <w:sz w:val="22"/>
          <w:szCs w:val="22"/>
        </w:rPr>
        <w:t>con</w:t>
      </w:r>
      <w:r w:rsidRPr="00DC371E">
        <w:rPr>
          <w:rFonts w:ascii="Arial" w:hAnsi="Arial" w:cs="Arial"/>
          <w:sz w:val="22"/>
          <w:szCs w:val="22"/>
        </w:rPr>
        <w:t xml:space="preserve"> los </w:t>
      </w:r>
      <w:r>
        <w:rPr>
          <w:rFonts w:ascii="Arial" w:hAnsi="Arial" w:cs="Arial"/>
          <w:sz w:val="22"/>
          <w:szCs w:val="22"/>
        </w:rPr>
        <w:t>i</w:t>
      </w:r>
      <w:r w:rsidRPr="00DC371E">
        <w:rPr>
          <w:rFonts w:ascii="Arial" w:hAnsi="Arial" w:cs="Arial"/>
          <w:sz w:val="22"/>
          <w:szCs w:val="22"/>
        </w:rPr>
        <w:t xml:space="preserve">nstrumentos de </w:t>
      </w:r>
      <w:r>
        <w:rPr>
          <w:rFonts w:ascii="Arial" w:hAnsi="Arial" w:cs="Arial"/>
          <w:sz w:val="22"/>
          <w:szCs w:val="22"/>
        </w:rPr>
        <w:t>p</w:t>
      </w:r>
      <w:r w:rsidRPr="00DC371E">
        <w:rPr>
          <w:rFonts w:ascii="Arial" w:hAnsi="Arial" w:cs="Arial"/>
          <w:sz w:val="22"/>
          <w:szCs w:val="22"/>
        </w:rPr>
        <w:t>laneación del PDA, los documentos en construcción o entregados, son documentos desarticulados que no contienen una estructura definida, no tienen información clara, ni exponen un propósito en el cumplimiento del PDA.</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Hacen más referencia a un conjunto de acciones particulares presentadas que no corresponden con una planeación, sino con la ejecución de acciones pasadas. Es preciso comprobar por parte de la Entidad, la necesidad y el objetivo de cada uno de estos instrumentos que deben ser herramientas de planeación, para que cumplan su propósito y sean de utilidad en el PDA.</w:t>
      </w:r>
    </w:p>
    <w:p w:rsidR="00D75790" w:rsidRPr="00DC371E" w:rsidRDefault="00D75790" w:rsidP="00D75790">
      <w:pPr>
        <w:ind w:left="-5"/>
        <w:contextualSpacing/>
        <w:rPr>
          <w:rFonts w:ascii="Arial" w:hAnsi="Arial" w:cs="Arial"/>
          <w:lang w:val="es-ES_tradnl"/>
        </w:rPr>
      </w:pPr>
    </w:p>
    <w:p w:rsidR="00D75790" w:rsidRPr="00DC371E" w:rsidRDefault="00D75790" w:rsidP="00D75790">
      <w:pPr>
        <w:keepNext/>
        <w:keepLines/>
        <w:ind w:left="10" w:hanging="10"/>
        <w:contextualSpacing/>
        <w:jc w:val="both"/>
        <w:outlineLvl w:val="1"/>
        <w:rPr>
          <w:rFonts w:ascii="Arial" w:hAnsi="Arial" w:cs="Arial"/>
          <w:b/>
          <w:color w:val="000000" w:themeColor="text1"/>
          <w:sz w:val="22"/>
          <w:szCs w:val="22"/>
          <w:lang w:val="es-ES_tradnl" w:eastAsia="es-CO"/>
        </w:rPr>
      </w:pPr>
      <w:r>
        <w:rPr>
          <w:rFonts w:ascii="Arial" w:hAnsi="Arial" w:cs="Arial"/>
          <w:b/>
          <w:color w:val="000000" w:themeColor="text1"/>
          <w:sz w:val="22"/>
          <w:szCs w:val="22"/>
          <w:lang w:val="es-ES_tradnl" w:eastAsia="es-CO"/>
        </w:rPr>
        <w:t>8</w:t>
      </w:r>
      <w:r w:rsidRPr="00DC371E">
        <w:rPr>
          <w:rFonts w:ascii="Arial" w:hAnsi="Arial" w:cs="Arial"/>
          <w:b/>
          <w:color w:val="000000" w:themeColor="text1"/>
          <w:sz w:val="22"/>
          <w:szCs w:val="22"/>
          <w:lang w:val="es-ES_tradnl" w:eastAsia="es-CO"/>
        </w:rPr>
        <w:t>.1. CONTRATOS O CONVENIOS SUSCRITOS CON RECURSOS DEL SGP - APSB EN EL MARCO DEL PDA</w:t>
      </w:r>
      <w:r>
        <w:rPr>
          <w:rFonts w:ascii="Arial" w:hAnsi="Arial" w:cs="Arial"/>
          <w:b/>
          <w:color w:val="000000" w:themeColor="text1"/>
          <w:sz w:val="22"/>
          <w:szCs w:val="22"/>
          <w:lang w:val="es-ES_tradnl" w:eastAsia="es-CO"/>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pStyle w:val="Prrafodelista"/>
        <w:numPr>
          <w:ilvl w:val="0"/>
          <w:numId w:val="13"/>
        </w:numPr>
        <w:spacing w:before="100" w:beforeAutospacing="1" w:after="119"/>
        <w:jc w:val="both"/>
        <w:rPr>
          <w:rFonts w:ascii="Arial" w:hAnsi="Arial" w:cs="Arial"/>
          <w:b/>
          <w:bCs/>
          <w:sz w:val="22"/>
          <w:szCs w:val="22"/>
          <w:lang w:val="es-ES_tradnl"/>
        </w:rPr>
      </w:pPr>
      <w:r w:rsidRPr="00DC371E">
        <w:rPr>
          <w:rFonts w:ascii="Arial" w:hAnsi="Arial" w:cs="Arial"/>
          <w:b/>
          <w:bCs/>
          <w:sz w:val="22"/>
          <w:szCs w:val="22"/>
          <w:lang w:val="es-ES_tradnl"/>
        </w:rPr>
        <w:t>Convenio Interadministrativo N°3043 De 2018</w:t>
      </w:r>
      <w:r>
        <w:rPr>
          <w:rFonts w:ascii="Arial" w:hAnsi="Arial" w:cs="Arial"/>
          <w:b/>
          <w:bCs/>
          <w:sz w:val="22"/>
          <w:szCs w:val="22"/>
          <w:lang w:val="es-ES_tradnl"/>
        </w:rPr>
        <w:t>.</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lastRenderedPageBreak/>
        <w:t xml:space="preserve">En el marco del Plan Departamental de Agua, la Entidad Territorial firmó el </w:t>
      </w:r>
      <w:r>
        <w:rPr>
          <w:rFonts w:ascii="Arial" w:hAnsi="Arial" w:cs="Arial"/>
          <w:sz w:val="22"/>
          <w:szCs w:val="22"/>
          <w:lang w:val="es-ES_tradnl"/>
        </w:rPr>
        <w:t>C</w:t>
      </w:r>
      <w:r w:rsidRPr="00DC371E">
        <w:rPr>
          <w:rFonts w:ascii="Arial" w:hAnsi="Arial" w:cs="Arial"/>
          <w:sz w:val="22"/>
          <w:szCs w:val="22"/>
          <w:lang w:val="es-ES_tradnl"/>
        </w:rPr>
        <w:t xml:space="preserve">onvenio </w:t>
      </w:r>
      <w:r>
        <w:rPr>
          <w:rFonts w:ascii="Arial" w:hAnsi="Arial" w:cs="Arial"/>
          <w:sz w:val="22"/>
          <w:szCs w:val="22"/>
          <w:lang w:val="es-ES_tradnl"/>
        </w:rPr>
        <w:t>I</w:t>
      </w:r>
      <w:r w:rsidRPr="00DC371E">
        <w:rPr>
          <w:rFonts w:ascii="Arial" w:hAnsi="Arial" w:cs="Arial"/>
          <w:sz w:val="22"/>
          <w:szCs w:val="22"/>
          <w:lang w:val="es-ES_tradnl"/>
        </w:rPr>
        <w:t>nteradministrativo N</w:t>
      </w:r>
      <w:r>
        <w:rPr>
          <w:rFonts w:ascii="Arial" w:hAnsi="Arial" w:cs="Arial"/>
          <w:sz w:val="22"/>
          <w:szCs w:val="22"/>
          <w:lang w:val="es-ES_tradnl"/>
        </w:rPr>
        <w:t xml:space="preserve">o. </w:t>
      </w:r>
      <w:r w:rsidRPr="000E3D72">
        <w:rPr>
          <w:rFonts w:ascii="Arial" w:hAnsi="Arial" w:cs="Arial"/>
          <w:sz w:val="22"/>
          <w:szCs w:val="22"/>
          <w:lang w:val="es-ES_tradnl"/>
        </w:rPr>
        <w:t>3043</w:t>
      </w:r>
      <w:r w:rsidRPr="00DC371E">
        <w:rPr>
          <w:rFonts w:ascii="Arial" w:hAnsi="Arial" w:cs="Arial"/>
          <w:sz w:val="22"/>
          <w:szCs w:val="22"/>
          <w:lang w:val="es-ES_tradnl"/>
        </w:rPr>
        <w:t xml:space="preserve"> de 2018 con Coralina, cuyo objeto fue la participación en la </w:t>
      </w:r>
      <w:r>
        <w:rPr>
          <w:rFonts w:ascii="Arial" w:hAnsi="Arial" w:cs="Arial"/>
          <w:sz w:val="22"/>
          <w:szCs w:val="22"/>
          <w:lang w:val="es-ES_tradnl"/>
        </w:rPr>
        <w:t>c</w:t>
      </w:r>
      <w:r w:rsidRPr="00DC371E">
        <w:rPr>
          <w:rFonts w:ascii="Arial" w:hAnsi="Arial" w:cs="Arial"/>
          <w:sz w:val="22"/>
          <w:szCs w:val="22"/>
          <w:lang w:val="es-ES_tradnl"/>
        </w:rPr>
        <w:t xml:space="preserve">oordinación interinstitucional del PAP </w:t>
      </w:r>
      <w:r>
        <w:rPr>
          <w:rFonts w:ascii="Arial" w:hAnsi="Arial" w:cs="Arial"/>
          <w:sz w:val="22"/>
          <w:szCs w:val="22"/>
          <w:lang w:val="es-ES_tradnl"/>
        </w:rPr>
        <w:t xml:space="preserve">- </w:t>
      </w:r>
      <w:r w:rsidRPr="00DC371E">
        <w:rPr>
          <w:rFonts w:ascii="Arial" w:hAnsi="Arial" w:cs="Arial"/>
          <w:sz w:val="22"/>
          <w:szCs w:val="22"/>
          <w:lang w:val="es-ES_tradnl"/>
        </w:rPr>
        <w:t>PDA de 2018 para lograr la armonización integral de los recursos y la implementación de esquemas eficientes y sostenibles en la prestación de los Servicios Públicos Domiciliarios de Agua Potable y Saneamiento Básico, teniendo en cuenta las características locales, la capacidad institucional de las entidades territoriales y personas prestadoras de servicios públicos y la implementación efectiva de esquemas de regionalización acorde a las especificaciones plasmadas en el estudio previo.</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La Corporación realizó la ejecución de varios de los proyectos que fueron implementados en 2019, dentro de estos se encontró la formulación de los planes de ahorro y uso eficiente de agua de la Isla de San Andrés y el Municipio de Providencia.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 xml:space="preserve">Al respecto, en el </w:t>
      </w:r>
      <w:r w:rsidRPr="00DC371E">
        <w:rPr>
          <w:rFonts w:ascii="Arial" w:hAnsi="Arial" w:cs="Arial"/>
          <w:sz w:val="22"/>
          <w:szCs w:val="22"/>
        </w:rPr>
        <w:t>documento “</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lang w:val="es-ES_tradnl"/>
        </w:rPr>
        <w:t xml:space="preserve">el MVCT </w:t>
      </w:r>
      <w:r w:rsidRPr="00DC371E">
        <w:rPr>
          <w:rFonts w:ascii="Arial" w:hAnsi="Arial" w:cs="Arial"/>
          <w:sz w:val="22"/>
          <w:szCs w:val="22"/>
        </w:rPr>
        <w:t xml:space="preserve">hace referencia a la suscripción de </w:t>
      </w:r>
      <w:r w:rsidRPr="00DC371E">
        <w:rPr>
          <w:rFonts w:ascii="Arial" w:hAnsi="Arial" w:cs="Arial"/>
          <w:sz w:val="22"/>
          <w:szCs w:val="22"/>
          <w:lang w:val="es-ES_tradnl"/>
        </w:rPr>
        <w:t>8 Contratos: (Contratos 157, 179, 184, 156, 145, 147, 149 y 146 de la vigencia 2019), cuyo objeto contractual, está relacionado con la prestación de servicios profesionales y de apoyo, bajo el marco del proyecto Programa de Uso Eficiente y Ahorro del Agua.</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E46D41" w:rsidRDefault="00D75790" w:rsidP="00D75790">
      <w:pPr>
        <w:spacing w:before="100" w:beforeAutospacing="1" w:after="119"/>
        <w:contextualSpacing/>
        <w:jc w:val="center"/>
        <w:rPr>
          <w:rFonts w:ascii="Arial" w:hAnsi="Arial" w:cs="Arial"/>
          <w:b/>
          <w:bCs/>
          <w:sz w:val="20"/>
          <w:szCs w:val="22"/>
          <w:lang w:val="es-ES_tradnl"/>
        </w:rPr>
      </w:pPr>
      <w:r w:rsidRPr="00E46D41">
        <w:rPr>
          <w:rFonts w:ascii="Arial" w:hAnsi="Arial" w:cs="Arial"/>
          <w:b/>
          <w:bCs/>
          <w:sz w:val="20"/>
          <w:szCs w:val="22"/>
          <w:lang w:val="es-ES_tradnl"/>
        </w:rPr>
        <w:t>TABLA 31. CONTRATOS DE PRESTACION DE SERVICIOS</w:t>
      </w: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19"/>
        <w:gridCol w:w="3696"/>
        <w:gridCol w:w="1276"/>
        <w:gridCol w:w="1418"/>
        <w:gridCol w:w="1275"/>
      </w:tblGrid>
      <w:tr w:rsidR="00D75790" w:rsidRPr="00DC371E" w:rsidTr="00695E54">
        <w:trPr>
          <w:trHeight w:val="729"/>
          <w:tblHeader/>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Contrato</w:t>
            </w:r>
          </w:p>
        </w:tc>
        <w:tc>
          <w:tcPr>
            <w:tcW w:w="3696"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Objeto contractual</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Valor (En millones de pesos)</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Fecha</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Plazo</w:t>
            </w:r>
          </w:p>
        </w:tc>
      </w:tr>
      <w:tr w:rsidR="00D75790" w:rsidRPr="00DC371E" w:rsidTr="00695E54">
        <w:trPr>
          <w:trHeight w:val="760"/>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157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w:t>
            </w:r>
          </w:p>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Para el grupo de Control y Vigilancia de la Corporación bajo el marco del proyecto “</w:t>
            </w:r>
            <w:r w:rsidRPr="00DC371E">
              <w:rPr>
                <w:rFonts w:ascii="Arial" w:hAnsi="Arial" w:cs="Arial"/>
                <w:i/>
                <w:iCs/>
                <w:sz w:val="16"/>
                <w:szCs w:val="16"/>
                <w:lang w:val="es-ES_tradnl"/>
              </w:rPr>
              <w:t>Programa de uso eficiente y ahorro del agua para el Municipio de Providencia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$16</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668"/>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179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en calidad de ingeniero ambiental, bajo el marco del proyecto "</w:t>
            </w:r>
            <w:r w:rsidRPr="00DC371E">
              <w:rPr>
                <w:rFonts w:ascii="Arial" w:hAnsi="Arial" w:cs="Arial"/>
                <w:i/>
                <w:iCs/>
                <w:sz w:val="16"/>
                <w:szCs w:val="16"/>
                <w:lang w:val="es-ES_tradnl"/>
              </w:rPr>
              <w:t>Programa de uso eficiente y ahorro del agua para el Municipio de Providencia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699"/>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184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de apoyo a la gestión, bajo el marco del proyecto "</w:t>
            </w:r>
            <w:r w:rsidRPr="00DC371E">
              <w:rPr>
                <w:rFonts w:ascii="Arial" w:hAnsi="Arial" w:cs="Arial"/>
                <w:i/>
                <w:iCs/>
                <w:sz w:val="16"/>
                <w:szCs w:val="16"/>
                <w:lang w:val="es-ES_tradnl"/>
              </w:rPr>
              <w:t>Programa de uso eficiente y ahorro del agua para el Municipio de Providencia y Santa Catalina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$11</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62"/>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156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en calidad de ingeniero ambiental, bajo el marco del proyecto "</w:t>
            </w:r>
            <w:r w:rsidRPr="00DC371E">
              <w:rPr>
                <w:rFonts w:ascii="Arial" w:hAnsi="Arial" w:cs="Arial"/>
                <w:i/>
                <w:iCs/>
                <w:sz w:val="16"/>
                <w:szCs w:val="16"/>
                <w:lang w:val="es-ES_tradnl"/>
              </w:rPr>
              <w:t>Programa de uso eficiente y ahorro del agua para el Municipio de Providencia y Santa Catalina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$18</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32"/>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145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para el grupo de control y vigilancia de la Corporación, en el marco del proyecto "</w:t>
            </w:r>
            <w:r w:rsidRPr="00DC371E">
              <w:rPr>
                <w:rFonts w:ascii="Arial" w:hAnsi="Arial" w:cs="Arial"/>
                <w:i/>
                <w:iCs/>
                <w:sz w:val="16"/>
                <w:szCs w:val="16"/>
                <w:lang w:val="es-ES_tradnl"/>
              </w:rPr>
              <w:t>Programa de uso eficiente y ahorro del agua de la isla de San Andrés</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$19</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47"/>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147 de 2918</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de apoyo a la gestión para desarrollar actividades del control y vigilancia ambiental, en el marco del proyecto "</w:t>
            </w:r>
            <w:r w:rsidRPr="00DC371E">
              <w:rPr>
                <w:rFonts w:ascii="Arial" w:hAnsi="Arial" w:cs="Arial"/>
                <w:i/>
                <w:iCs/>
                <w:sz w:val="16"/>
                <w:szCs w:val="16"/>
                <w:lang w:val="es-ES_tradnl"/>
              </w:rPr>
              <w:t>Plan de uso eficiente y ahorro de agua de la isla de San Andrés</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$13</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47"/>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lastRenderedPageBreak/>
              <w:t>149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de apoyo a la gestión en calidad de promotor para desarrollar actividades del área social en el marco del proyecto "</w:t>
            </w:r>
            <w:r w:rsidRPr="00DC371E">
              <w:rPr>
                <w:rFonts w:ascii="Arial" w:hAnsi="Arial" w:cs="Arial"/>
                <w:i/>
                <w:iCs/>
                <w:sz w:val="16"/>
                <w:szCs w:val="16"/>
                <w:lang w:val="es-ES_tradnl"/>
              </w:rPr>
              <w:t>Plan de uso eficiente y ahorro de agua de la isla de San Andrés</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$11</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12 días</w:t>
            </w:r>
          </w:p>
        </w:tc>
      </w:tr>
      <w:tr w:rsidR="00D75790" w:rsidRPr="00DC371E" w:rsidTr="00695E54">
        <w:trPr>
          <w:trHeight w:val="577"/>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146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para apoyar el grupo de control y vigilancia de la Corporación, bajo el proyecto "</w:t>
            </w:r>
            <w:r w:rsidRPr="00DC371E">
              <w:rPr>
                <w:rFonts w:ascii="Arial" w:hAnsi="Arial" w:cs="Arial"/>
                <w:i/>
                <w:iCs/>
                <w:sz w:val="16"/>
                <w:szCs w:val="16"/>
                <w:lang w:val="es-ES_tradnl"/>
              </w:rPr>
              <w:t>Plan de Uso Eficiente y Ahorro de Agua del Municipio de Providencia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$16</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77"/>
          <w:jc w:val="center"/>
        </w:trPr>
        <w:tc>
          <w:tcPr>
            <w:tcW w:w="1119" w:type="dxa"/>
            <w:shd w:val="clear" w:color="auto" w:fill="DBE5F1" w:themeFill="accent1" w:themeFillTint="33"/>
            <w:noWrap/>
            <w:vAlign w:val="center"/>
          </w:tcPr>
          <w:p w:rsidR="00D75790" w:rsidRPr="00DC371E" w:rsidRDefault="00D75790" w:rsidP="00695E54">
            <w:pPr>
              <w:contextualSpacing/>
              <w:jc w:val="center"/>
              <w:rPr>
                <w:rFonts w:ascii="Arial" w:hAnsi="Arial" w:cs="Arial"/>
                <w:sz w:val="16"/>
                <w:szCs w:val="16"/>
                <w:lang w:val="es-ES_tradnl"/>
              </w:rPr>
            </w:pPr>
          </w:p>
        </w:tc>
        <w:tc>
          <w:tcPr>
            <w:tcW w:w="369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Total</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$125</w:t>
            </w:r>
          </w:p>
        </w:tc>
        <w:tc>
          <w:tcPr>
            <w:tcW w:w="1418"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p>
        </w:tc>
        <w:tc>
          <w:tcPr>
            <w:tcW w:w="1275"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p>
        </w:tc>
      </w:tr>
    </w:tbl>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Los recursos SGP </w:t>
      </w:r>
      <w:r>
        <w:rPr>
          <w:rFonts w:ascii="Arial" w:hAnsi="Arial" w:cs="Arial"/>
          <w:sz w:val="22"/>
          <w:szCs w:val="22"/>
          <w:lang w:val="es-ES_tradnl"/>
        </w:rPr>
        <w:t xml:space="preserve">- </w:t>
      </w:r>
      <w:r w:rsidRPr="00DC371E">
        <w:rPr>
          <w:rFonts w:ascii="Arial" w:hAnsi="Arial" w:cs="Arial"/>
          <w:sz w:val="22"/>
          <w:szCs w:val="22"/>
          <w:lang w:val="es-ES_tradnl"/>
        </w:rPr>
        <w:t>APSB para departamentos, conforme el artículo 10 de la Ley 1176 de 2007, se destinan en: La promoción, estructuración, implementación e inversión en infraestructura; proyectos de abastecimiento de agua para consumo humano; proyectos de tratamiento y disposición final de residuos líquidos; proyectos de tratamiento, aprovechamiento y disposición final de residuos sólidos y el pago del servicio de deuda adquirida por el departamento para financiar infraestructura. No existen como destinación de los recursos sectoriales departamentales, proyectos asociados al Programa de Uso Eficiente y Ahorro de Agua.</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Al respecto, el Programa de Uso Eficiente y Ahorro de Agua se define como el conjunto de proyectos y acciones que </w:t>
      </w:r>
      <w:r w:rsidRPr="00E46D41">
        <w:rPr>
          <w:rFonts w:ascii="Arial" w:hAnsi="Arial" w:cs="Arial"/>
          <w:sz w:val="22"/>
          <w:szCs w:val="22"/>
          <w:lang w:val="es-ES_tradnl"/>
        </w:rPr>
        <w:t>deben elaborar y adoptar las entidades encargadas de la prestación de los servicios</w:t>
      </w:r>
      <w:r w:rsidRPr="00DC371E">
        <w:rPr>
          <w:rFonts w:ascii="Arial" w:hAnsi="Arial" w:cs="Arial"/>
          <w:sz w:val="22"/>
          <w:szCs w:val="22"/>
          <w:lang w:val="es-ES_tradnl"/>
        </w:rPr>
        <w:t xml:space="preserve"> de acueducto, alcantarillado, riego y drenaje, producción hidroeléctrica y demás usuarios del recurso hídrico, de conformidad con el artículo 1 de la Ley 373 de 1997. En este caso, la financiación de estos contratos no debió realizarse a través del Plan Departamental de Agua, ya que correspondía al prestador del Servicio de Acueducto el cual para el caso de San Andrés debió ser Veolia.</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En el marco de la ejecución del Plan Departamental de Agua, con estos $125 millones, no se debieron financiar los contratos de prestación de servicios para las actividades del programa de ahorro y uso eficiente del agua, toda vez que debieron ser financiados por el Prestador del Servicio de Acueducto.</w:t>
      </w:r>
    </w:p>
    <w:p w:rsidR="00D75790" w:rsidRPr="00DC371E" w:rsidRDefault="00D75790" w:rsidP="00D75790">
      <w:pPr>
        <w:shd w:val="clear" w:color="auto" w:fill="FFFFFF"/>
        <w:contextualSpacing/>
        <w:jc w:val="both"/>
        <w:rPr>
          <w:rFonts w:ascii="Arial" w:hAnsi="Arial" w:cs="Arial"/>
          <w:sz w:val="22"/>
          <w:szCs w:val="22"/>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Adicional a lo anterior, se identificó que estos objetos contractuales no están contemplados dentro de las destinaciones definidas en el artículo 10 de la Ley 1176 de 2007.</w:t>
      </w:r>
    </w:p>
    <w:p w:rsidR="00D75790" w:rsidRPr="00DC371E" w:rsidRDefault="00D75790" w:rsidP="00D75790">
      <w:pPr>
        <w:contextualSpacing/>
        <w:jc w:val="both"/>
        <w:rPr>
          <w:rFonts w:ascii="Arial" w:hAnsi="Arial" w:cs="Arial"/>
          <w:sz w:val="22"/>
          <w:szCs w:val="22"/>
          <w:highlight w:val="yellow"/>
          <w:lang w:val="es-ES_tradnl"/>
        </w:rPr>
      </w:pPr>
    </w:p>
    <w:p w:rsidR="00D75790" w:rsidRPr="00DC371E" w:rsidRDefault="00D75790" w:rsidP="00D75790">
      <w:pPr>
        <w:contextualSpacing/>
        <w:jc w:val="both"/>
        <w:rPr>
          <w:rFonts w:ascii="Arial" w:hAnsi="Arial" w:cs="Arial"/>
          <w:b/>
          <w:bCs/>
          <w:sz w:val="22"/>
        </w:rPr>
      </w:pPr>
      <w:r w:rsidRPr="00DC371E">
        <w:rPr>
          <w:rFonts w:ascii="Arial" w:hAnsi="Arial" w:cs="Arial"/>
          <w:b/>
          <w:bCs/>
          <w:sz w:val="22"/>
        </w:rPr>
        <w:t xml:space="preserve">ÍNDICE DE PLANES DEPARTAMENTALES. </w:t>
      </w:r>
      <w:r>
        <w:rPr>
          <w:rFonts w:ascii="Arial" w:hAnsi="Arial" w:cs="Arial"/>
          <w:b/>
          <w:bCs/>
          <w:sz w:val="22"/>
        </w:rPr>
        <w:t>–</w:t>
      </w:r>
      <w:r w:rsidRPr="00DC371E">
        <w:rPr>
          <w:rFonts w:ascii="Arial" w:hAnsi="Arial" w:cs="Arial"/>
          <w:b/>
          <w:bCs/>
          <w:sz w:val="22"/>
        </w:rPr>
        <w:t xml:space="preserve"> IPDA</w:t>
      </w:r>
      <w:r>
        <w:rPr>
          <w:rFonts w:ascii="Arial" w:hAnsi="Arial" w:cs="Arial"/>
          <w:b/>
          <w:bCs/>
          <w:sz w:val="22"/>
        </w:rPr>
        <w:t>.</w:t>
      </w:r>
    </w:p>
    <w:p w:rsidR="00D75790" w:rsidRPr="00DC371E" w:rsidRDefault="00D75790" w:rsidP="00D75790">
      <w:pPr>
        <w:contextualSpacing/>
        <w:jc w:val="both"/>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 xml:space="preserve">El IPDA es un Mecanismo de monitoreo y seguimiento al desempeño de los PDA, definido por el DNP con base en el </w:t>
      </w:r>
      <w:r>
        <w:rPr>
          <w:rFonts w:ascii="Arial" w:hAnsi="Arial" w:cs="Arial"/>
          <w:sz w:val="22"/>
        </w:rPr>
        <w:t>D</w:t>
      </w:r>
      <w:r w:rsidRPr="00DC371E">
        <w:rPr>
          <w:rFonts w:ascii="Arial" w:hAnsi="Arial" w:cs="Arial"/>
          <w:sz w:val="22"/>
        </w:rPr>
        <w:t>ecreto 1425 de 2019.</w:t>
      </w:r>
    </w:p>
    <w:p w:rsidR="00D75790" w:rsidRPr="00DC371E" w:rsidRDefault="00D75790" w:rsidP="00D75790">
      <w:pPr>
        <w:contextualSpacing/>
        <w:jc w:val="both"/>
        <w:rPr>
          <w:rFonts w:ascii="Arial" w:hAnsi="Arial" w:cs="Arial"/>
          <w:sz w:val="22"/>
        </w:rPr>
      </w:pPr>
    </w:p>
    <w:p w:rsidR="00D75790" w:rsidRPr="00DC371E" w:rsidRDefault="00D75790" w:rsidP="00D75790">
      <w:pPr>
        <w:shd w:val="clear" w:color="auto" w:fill="FFFFFF"/>
        <w:contextualSpacing/>
        <w:jc w:val="both"/>
        <w:textAlignment w:val="baseline"/>
        <w:rPr>
          <w:rFonts w:ascii="Arial" w:hAnsi="Arial" w:cs="Arial"/>
          <w:sz w:val="22"/>
        </w:rPr>
      </w:pPr>
      <w:r w:rsidRPr="00DC371E">
        <w:rPr>
          <w:rFonts w:ascii="Arial" w:hAnsi="Arial" w:cs="Arial"/>
          <w:sz w:val="22"/>
        </w:rPr>
        <w:t>El IPDA mide entre otros aspectos, la capacidad institucional y los resultados de la prestación del servicio.</w:t>
      </w:r>
    </w:p>
    <w:p w:rsidR="00D75790" w:rsidRPr="00DC371E" w:rsidRDefault="00D75790" w:rsidP="00D75790">
      <w:pPr>
        <w:shd w:val="clear" w:color="auto" w:fill="FFFFFF"/>
        <w:contextualSpacing/>
        <w:jc w:val="both"/>
        <w:textAlignment w:val="baseline"/>
        <w:rPr>
          <w:rFonts w:ascii="Arial" w:hAnsi="Arial" w:cs="Arial"/>
          <w:sz w:val="22"/>
        </w:rPr>
      </w:pPr>
    </w:p>
    <w:p w:rsidR="00D75790" w:rsidRPr="00DC371E" w:rsidRDefault="00D75790" w:rsidP="00D75790">
      <w:pPr>
        <w:shd w:val="clear" w:color="auto" w:fill="FFFFFF"/>
        <w:contextualSpacing/>
        <w:jc w:val="both"/>
        <w:textAlignment w:val="baseline"/>
        <w:rPr>
          <w:rFonts w:ascii="Arial" w:hAnsi="Arial" w:cs="Arial"/>
          <w:sz w:val="22"/>
        </w:rPr>
      </w:pPr>
      <w:r w:rsidRPr="00DC371E">
        <w:rPr>
          <w:rFonts w:ascii="Arial" w:hAnsi="Arial" w:cs="Arial"/>
          <w:sz w:val="22"/>
        </w:rPr>
        <w:lastRenderedPageBreak/>
        <w:t>En cuanto a la medición de la capacidad institucional, el IPDA evalúa tres aspectos:</w:t>
      </w:r>
    </w:p>
    <w:p w:rsidR="00D75790" w:rsidRPr="00DC371E" w:rsidRDefault="00D75790" w:rsidP="00D75790">
      <w:pPr>
        <w:shd w:val="clear" w:color="auto" w:fill="FFFFFF"/>
        <w:contextualSpacing/>
        <w:jc w:val="both"/>
        <w:textAlignment w:val="baseline"/>
        <w:rPr>
          <w:rFonts w:ascii="Arial" w:hAnsi="Arial" w:cs="Arial"/>
          <w:sz w:val="22"/>
        </w:rPr>
      </w:pPr>
    </w:p>
    <w:p w:rsidR="00D75790" w:rsidRPr="00DC371E" w:rsidRDefault="00D75790" w:rsidP="00D75790">
      <w:pPr>
        <w:pStyle w:val="Prrafodelista"/>
        <w:numPr>
          <w:ilvl w:val="0"/>
          <w:numId w:val="8"/>
        </w:numPr>
        <w:shd w:val="clear" w:color="auto" w:fill="FFFFFF"/>
        <w:jc w:val="both"/>
        <w:textAlignment w:val="baseline"/>
        <w:rPr>
          <w:rFonts w:ascii="Arial" w:hAnsi="Arial" w:cs="Arial"/>
          <w:sz w:val="22"/>
        </w:rPr>
      </w:pPr>
      <w:r w:rsidRPr="00DC371E">
        <w:rPr>
          <w:rFonts w:ascii="Arial" w:hAnsi="Arial" w:cs="Arial"/>
          <w:sz w:val="22"/>
        </w:rPr>
        <w:t>La estructura organizacional del gestor (</w:t>
      </w:r>
      <w:r>
        <w:rPr>
          <w:rFonts w:ascii="Arial" w:hAnsi="Arial" w:cs="Arial"/>
          <w:sz w:val="22"/>
        </w:rPr>
        <w:t>e</w:t>
      </w:r>
      <w:r w:rsidRPr="00DC371E">
        <w:rPr>
          <w:rFonts w:ascii="Arial" w:hAnsi="Arial" w:cs="Arial"/>
          <w:sz w:val="22"/>
        </w:rPr>
        <w:t xml:space="preserve">structura, </w:t>
      </w:r>
      <w:r>
        <w:rPr>
          <w:rFonts w:ascii="Arial" w:hAnsi="Arial" w:cs="Arial"/>
          <w:sz w:val="22"/>
        </w:rPr>
        <w:t>c</w:t>
      </w:r>
      <w:r w:rsidRPr="00DC371E">
        <w:rPr>
          <w:rFonts w:ascii="Arial" w:hAnsi="Arial" w:cs="Arial"/>
          <w:sz w:val="22"/>
        </w:rPr>
        <w:t>alidad del personal directivo y vinculación municipal)</w:t>
      </w:r>
      <w:r>
        <w:rPr>
          <w:rFonts w:ascii="Arial" w:hAnsi="Arial" w:cs="Arial"/>
          <w:sz w:val="22"/>
        </w:rPr>
        <w:t>.</w:t>
      </w:r>
    </w:p>
    <w:p w:rsidR="00D75790" w:rsidRPr="00DC371E" w:rsidRDefault="00D75790" w:rsidP="00D75790">
      <w:pPr>
        <w:pStyle w:val="Prrafodelista"/>
        <w:numPr>
          <w:ilvl w:val="0"/>
          <w:numId w:val="8"/>
        </w:numPr>
        <w:shd w:val="clear" w:color="auto" w:fill="FFFFFF"/>
        <w:jc w:val="both"/>
        <w:textAlignment w:val="baseline"/>
        <w:rPr>
          <w:rFonts w:ascii="Arial" w:hAnsi="Arial" w:cs="Arial"/>
          <w:sz w:val="22"/>
        </w:rPr>
      </w:pPr>
      <w:r w:rsidRPr="00DC371E">
        <w:rPr>
          <w:rFonts w:ascii="Arial" w:hAnsi="Arial" w:cs="Arial"/>
          <w:sz w:val="22"/>
        </w:rPr>
        <w:t>Planeación: (estudios y diseños)</w:t>
      </w:r>
      <w:r>
        <w:rPr>
          <w:rFonts w:ascii="Arial" w:hAnsi="Arial" w:cs="Arial"/>
          <w:sz w:val="22"/>
        </w:rPr>
        <w:t>.</w:t>
      </w:r>
    </w:p>
    <w:p w:rsidR="00D75790" w:rsidRPr="00DC371E" w:rsidRDefault="00D75790" w:rsidP="00D75790">
      <w:pPr>
        <w:pStyle w:val="Prrafodelista"/>
        <w:numPr>
          <w:ilvl w:val="0"/>
          <w:numId w:val="8"/>
        </w:numPr>
        <w:shd w:val="clear" w:color="auto" w:fill="FFFFFF"/>
        <w:jc w:val="both"/>
        <w:textAlignment w:val="baseline"/>
        <w:rPr>
          <w:rFonts w:ascii="Arial" w:hAnsi="Arial" w:cs="Arial"/>
          <w:sz w:val="22"/>
        </w:rPr>
      </w:pPr>
      <w:r w:rsidRPr="00DC371E">
        <w:rPr>
          <w:rFonts w:ascii="Arial" w:hAnsi="Arial" w:cs="Arial"/>
          <w:sz w:val="22"/>
        </w:rPr>
        <w:t>Aspectos financieros: (% gastos del gestor, % CDR contratados)</w:t>
      </w:r>
      <w:r>
        <w:rPr>
          <w:rFonts w:ascii="Arial" w:hAnsi="Arial" w:cs="Arial"/>
          <w:sz w:val="22"/>
        </w:rPr>
        <w:t>.</w:t>
      </w:r>
    </w:p>
    <w:p w:rsidR="00D75790" w:rsidRPr="00DC371E" w:rsidRDefault="00D75790" w:rsidP="00D75790">
      <w:pPr>
        <w:shd w:val="clear" w:color="auto" w:fill="FFFFFF"/>
        <w:contextualSpacing/>
        <w:jc w:val="both"/>
        <w:textAlignment w:val="baseline"/>
        <w:rPr>
          <w:rFonts w:ascii="Arial" w:hAnsi="Arial" w:cs="Arial"/>
          <w:sz w:val="22"/>
        </w:rPr>
      </w:pPr>
    </w:p>
    <w:p w:rsidR="00D75790" w:rsidRPr="00DC371E" w:rsidRDefault="00D75790" w:rsidP="00D75790">
      <w:pPr>
        <w:shd w:val="clear" w:color="auto" w:fill="FFFFFF"/>
        <w:contextualSpacing/>
        <w:jc w:val="both"/>
        <w:textAlignment w:val="baseline"/>
        <w:rPr>
          <w:rFonts w:ascii="Arial" w:hAnsi="Arial" w:cs="Arial"/>
          <w:sz w:val="22"/>
        </w:rPr>
      </w:pPr>
      <w:r w:rsidRPr="00DC371E">
        <w:rPr>
          <w:rFonts w:ascii="Arial" w:hAnsi="Arial" w:cs="Arial"/>
          <w:sz w:val="22"/>
        </w:rPr>
        <w:t>En lo que tiene que ver con la medición de los resultados el IPDA evalúa:</w:t>
      </w:r>
    </w:p>
    <w:p w:rsidR="00D75790" w:rsidRPr="00DC371E" w:rsidRDefault="00D75790" w:rsidP="00D75790">
      <w:pPr>
        <w:shd w:val="clear" w:color="auto" w:fill="FFFFFF"/>
        <w:contextualSpacing/>
        <w:jc w:val="both"/>
        <w:textAlignment w:val="baseline"/>
        <w:rPr>
          <w:rFonts w:ascii="Arial" w:hAnsi="Arial" w:cs="Arial"/>
          <w:sz w:val="22"/>
        </w:rPr>
      </w:pPr>
    </w:p>
    <w:p w:rsidR="00D75790" w:rsidRPr="00DC371E" w:rsidRDefault="00D75790" w:rsidP="00D75790">
      <w:pPr>
        <w:pStyle w:val="Prrafodelista"/>
        <w:numPr>
          <w:ilvl w:val="0"/>
          <w:numId w:val="21"/>
        </w:numPr>
        <w:shd w:val="clear" w:color="auto" w:fill="FFFFFF"/>
        <w:jc w:val="both"/>
        <w:textAlignment w:val="baseline"/>
        <w:rPr>
          <w:rFonts w:ascii="Arial" w:hAnsi="Arial" w:cs="Arial"/>
          <w:sz w:val="22"/>
        </w:rPr>
      </w:pPr>
      <w:r w:rsidRPr="00DC371E">
        <w:rPr>
          <w:rFonts w:ascii="Arial" w:hAnsi="Arial" w:cs="Arial"/>
          <w:sz w:val="22"/>
        </w:rPr>
        <w:t xml:space="preserve">Acueducto: </w:t>
      </w:r>
      <w:r>
        <w:rPr>
          <w:rFonts w:ascii="Arial" w:hAnsi="Arial" w:cs="Arial"/>
          <w:sz w:val="22"/>
        </w:rPr>
        <w:t>c</w:t>
      </w:r>
      <w:r w:rsidRPr="00DC371E">
        <w:rPr>
          <w:rFonts w:ascii="Arial" w:hAnsi="Arial" w:cs="Arial"/>
          <w:sz w:val="22"/>
        </w:rPr>
        <w:t>obertura, calidad y continuidad.</w:t>
      </w:r>
    </w:p>
    <w:p w:rsidR="00D75790" w:rsidRPr="00DC371E" w:rsidRDefault="00D75790" w:rsidP="00D75790">
      <w:pPr>
        <w:pStyle w:val="Prrafodelista"/>
        <w:numPr>
          <w:ilvl w:val="0"/>
          <w:numId w:val="21"/>
        </w:numPr>
        <w:shd w:val="clear" w:color="auto" w:fill="FFFFFF"/>
        <w:jc w:val="both"/>
        <w:textAlignment w:val="baseline"/>
        <w:rPr>
          <w:rFonts w:ascii="Arial" w:hAnsi="Arial" w:cs="Arial"/>
          <w:sz w:val="22"/>
        </w:rPr>
      </w:pPr>
      <w:r w:rsidRPr="00DC371E">
        <w:rPr>
          <w:rFonts w:ascii="Arial" w:hAnsi="Arial" w:cs="Arial"/>
          <w:sz w:val="22"/>
        </w:rPr>
        <w:t xml:space="preserve">Alcantarillado: </w:t>
      </w:r>
      <w:r>
        <w:rPr>
          <w:rFonts w:ascii="Arial" w:hAnsi="Arial" w:cs="Arial"/>
          <w:sz w:val="22"/>
        </w:rPr>
        <w:t>c</w:t>
      </w:r>
      <w:r w:rsidRPr="00DC371E">
        <w:rPr>
          <w:rFonts w:ascii="Arial" w:hAnsi="Arial" w:cs="Arial"/>
          <w:sz w:val="22"/>
        </w:rPr>
        <w:t xml:space="preserve">obertura </w:t>
      </w:r>
      <w:r>
        <w:rPr>
          <w:rFonts w:ascii="Arial" w:hAnsi="Arial" w:cs="Arial"/>
          <w:sz w:val="22"/>
        </w:rPr>
        <w:t>u</w:t>
      </w:r>
      <w:r w:rsidRPr="00DC371E">
        <w:rPr>
          <w:rFonts w:ascii="Arial" w:hAnsi="Arial" w:cs="Arial"/>
          <w:sz w:val="22"/>
        </w:rPr>
        <w:t>rbana y tratamiento de aguas residuales</w:t>
      </w:r>
      <w:r>
        <w:rPr>
          <w:rFonts w:ascii="Arial" w:hAnsi="Arial" w:cs="Arial"/>
          <w:sz w:val="22"/>
        </w:rPr>
        <w:t>.</w:t>
      </w:r>
    </w:p>
    <w:p w:rsidR="00D75790" w:rsidRPr="00DC371E" w:rsidRDefault="00D75790" w:rsidP="00D75790">
      <w:pPr>
        <w:pStyle w:val="Prrafodelista"/>
        <w:numPr>
          <w:ilvl w:val="0"/>
          <w:numId w:val="21"/>
        </w:numPr>
        <w:shd w:val="clear" w:color="auto" w:fill="FFFFFF"/>
        <w:jc w:val="both"/>
        <w:textAlignment w:val="baseline"/>
        <w:rPr>
          <w:rFonts w:ascii="Arial" w:hAnsi="Arial" w:cs="Arial"/>
          <w:sz w:val="22"/>
        </w:rPr>
      </w:pPr>
      <w:r w:rsidRPr="00DC371E">
        <w:rPr>
          <w:rFonts w:ascii="Arial" w:hAnsi="Arial" w:cs="Arial"/>
          <w:sz w:val="22"/>
        </w:rPr>
        <w:t xml:space="preserve">Aseo: </w:t>
      </w:r>
      <w:r>
        <w:rPr>
          <w:rFonts w:ascii="Arial" w:hAnsi="Arial" w:cs="Arial"/>
          <w:sz w:val="22"/>
        </w:rPr>
        <w:t>c</w:t>
      </w:r>
      <w:r w:rsidRPr="00DC371E">
        <w:rPr>
          <w:rFonts w:ascii="Arial" w:hAnsi="Arial" w:cs="Arial"/>
          <w:sz w:val="22"/>
        </w:rPr>
        <w:t>obertura urbana y disposición final adecuada.</w:t>
      </w:r>
    </w:p>
    <w:p w:rsidR="00D75790" w:rsidRPr="00DC371E" w:rsidRDefault="00D75790" w:rsidP="00D75790">
      <w:pPr>
        <w:shd w:val="clear" w:color="auto" w:fill="FFFFFF"/>
        <w:contextualSpacing/>
        <w:textAlignment w:val="baseline"/>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 xml:space="preserve">Teniendo en cuenta el informe de diagnóstico del MVCT, como resultado de la evaluación de los Planes Departamentales de Aguas realizada por el Departamento Nacional de Planeación </w:t>
      </w:r>
      <w:r>
        <w:rPr>
          <w:rFonts w:ascii="Arial" w:hAnsi="Arial" w:cs="Arial"/>
          <w:sz w:val="22"/>
        </w:rPr>
        <w:t xml:space="preserve">- </w:t>
      </w:r>
      <w:r w:rsidRPr="00DC371E">
        <w:rPr>
          <w:rFonts w:ascii="Arial" w:hAnsi="Arial" w:cs="Arial"/>
          <w:sz w:val="22"/>
        </w:rPr>
        <w:t xml:space="preserve">DNP en los años 2018 y 2019, en la cual se verifica la capacidad institucional </w:t>
      </w:r>
      <w:r>
        <w:rPr>
          <w:rFonts w:ascii="Arial" w:hAnsi="Arial" w:cs="Arial"/>
          <w:sz w:val="22"/>
        </w:rPr>
        <w:t>V</w:t>
      </w:r>
      <w:r w:rsidRPr="00DC371E">
        <w:rPr>
          <w:rFonts w:ascii="Arial" w:hAnsi="Arial" w:cs="Arial"/>
          <w:sz w:val="22"/>
        </w:rPr>
        <w:t xml:space="preserve">s. resultados, el </w:t>
      </w:r>
      <w:r>
        <w:rPr>
          <w:rFonts w:ascii="Arial" w:hAnsi="Arial" w:cs="Arial"/>
          <w:sz w:val="22"/>
        </w:rPr>
        <w:t>D</w:t>
      </w:r>
      <w:r w:rsidRPr="00DC371E">
        <w:rPr>
          <w:rFonts w:ascii="Arial" w:hAnsi="Arial" w:cs="Arial"/>
          <w:sz w:val="22"/>
        </w:rPr>
        <w:t>epartamento obtuvo un IPDA del 59</w:t>
      </w:r>
      <w:r>
        <w:rPr>
          <w:rFonts w:ascii="Arial" w:hAnsi="Arial" w:cs="Arial"/>
          <w:sz w:val="22"/>
        </w:rPr>
        <w:t>,</w:t>
      </w:r>
      <w:r w:rsidRPr="00DC371E">
        <w:rPr>
          <w:rFonts w:ascii="Arial" w:hAnsi="Arial" w:cs="Arial"/>
          <w:sz w:val="22"/>
        </w:rPr>
        <w:t>76</w:t>
      </w:r>
      <w:r>
        <w:rPr>
          <w:rFonts w:ascii="Arial" w:hAnsi="Arial" w:cs="Arial"/>
          <w:sz w:val="22"/>
        </w:rPr>
        <w:t xml:space="preserve"> </w:t>
      </w:r>
      <w:r w:rsidRPr="00DC371E">
        <w:rPr>
          <w:rFonts w:ascii="Arial" w:hAnsi="Arial" w:cs="Arial"/>
          <w:sz w:val="22"/>
        </w:rPr>
        <w:t>% y 58</w:t>
      </w:r>
      <w:r>
        <w:rPr>
          <w:rFonts w:ascii="Arial" w:hAnsi="Arial" w:cs="Arial"/>
          <w:sz w:val="22"/>
        </w:rPr>
        <w:t>,</w:t>
      </w:r>
      <w:r w:rsidRPr="00DC371E">
        <w:rPr>
          <w:rFonts w:ascii="Arial" w:hAnsi="Arial" w:cs="Arial"/>
          <w:sz w:val="22"/>
        </w:rPr>
        <w:t>39</w:t>
      </w:r>
      <w:r>
        <w:rPr>
          <w:rFonts w:ascii="Arial" w:hAnsi="Arial" w:cs="Arial"/>
          <w:sz w:val="22"/>
        </w:rPr>
        <w:t xml:space="preserve"> </w:t>
      </w:r>
      <w:r w:rsidRPr="00DC371E">
        <w:rPr>
          <w:rFonts w:ascii="Arial" w:hAnsi="Arial" w:cs="Arial"/>
          <w:sz w:val="22"/>
        </w:rPr>
        <w:t>%, respectivamente, ocupando los últimos puestos entre los 32 departamentos en el 2018 y el último puesto en la vigencia 2019, clasificándolo en ambas vigencias en el nivel bajo.</w:t>
      </w:r>
    </w:p>
    <w:p w:rsidR="00D75790" w:rsidRPr="00DC371E" w:rsidRDefault="00D75790" w:rsidP="00D75790">
      <w:pPr>
        <w:contextualSpacing/>
        <w:jc w:val="both"/>
        <w:rPr>
          <w:rFonts w:ascii="Arial" w:hAnsi="Arial" w:cs="Arial"/>
          <w:sz w:val="22"/>
        </w:rPr>
      </w:pPr>
    </w:p>
    <w:p w:rsidR="00D75790" w:rsidRPr="00DC371E" w:rsidRDefault="00D75790" w:rsidP="00D75790">
      <w:pPr>
        <w:contextualSpacing/>
        <w:jc w:val="both"/>
        <w:rPr>
          <w:rFonts w:ascii="Arial" w:hAnsi="Arial" w:cs="Arial"/>
          <w:sz w:val="22"/>
        </w:rPr>
      </w:pPr>
      <w:r w:rsidRPr="00DC371E">
        <w:rPr>
          <w:rFonts w:ascii="Arial" w:hAnsi="Arial" w:cs="Arial"/>
          <w:sz w:val="22"/>
        </w:rPr>
        <w:t>El artículo 2.3.3.1.3.1. del</w:t>
      </w:r>
      <w:r>
        <w:rPr>
          <w:rFonts w:ascii="Arial" w:hAnsi="Arial" w:cs="Arial"/>
          <w:sz w:val="22"/>
        </w:rPr>
        <w:t xml:space="preserve"> Decreto</w:t>
      </w:r>
      <w:r w:rsidRPr="00DC371E">
        <w:rPr>
          <w:rFonts w:ascii="Arial" w:hAnsi="Arial" w:cs="Arial"/>
          <w:sz w:val="22"/>
        </w:rPr>
        <w:t xml:space="preserve"> 1425 de 2019 manifestó que para aquellos departamentos que resulten clasificados en el Nivel Bajo, el Ministerio de Vivienda, Ciudad y Territorio hará parte del Comité Directivo del respectivo Plan Departamental con voz y voto para la aprobación y modificación de los instrumentos de planeación.</w:t>
      </w:r>
    </w:p>
    <w:p w:rsidR="00D75790" w:rsidRPr="00DC371E" w:rsidRDefault="00D75790" w:rsidP="00D75790">
      <w:pPr>
        <w:contextualSpacing/>
        <w:jc w:val="both"/>
        <w:rPr>
          <w:rFonts w:ascii="Arial" w:hAnsi="Arial" w:cs="Arial"/>
          <w:sz w:val="22"/>
          <w:szCs w:val="22"/>
          <w:highlight w:val="yellow"/>
          <w:lang w:val="es-ES_tradnl"/>
        </w:rPr>
      </w:pPr>
    </w:p>
    <w:p w:rsidR="00D75790" w:rsidRPr="00DC371E" w:rsidRDefault="00D75790" w:rsidP="00D75790">
      <w:pPr>
        <w:ind w:left="-5"/>
        <w:contextualSpacing/>
        <w:jc w:val="both"/>
        <w:rPr>
          <w:rFonts w:ascii="Arial" w:hAnsi="Arial" w:cs="Arial"/>
          <w:b/>
          <w:sz w:val="22"/>
          <w:szCs w:val="22"/>
          <w:lang w:val="es-ES_tradnl"/>
        </w:rPr>
      </w:pPr>
      <w:r w:rsidRPr="00DC371E">
        <w:rPr>
          <w:rFonts w:ascii="Arial" w:hAnsi="Arial" w:cs="Arial"/>
          <w:b/>
          <w:sz w:val="22"/>
          <w:szCs w:val="22"/>
          <w:lang w:val="es-ES_tradnl"/>
        </w:rPr>
        <w:t>8. CONCLUSIONES Y RECOMENDACIONES</w:t>
      </w:r>
      <w:r>
        <w:rPr>
          <w:rFonts w:ascii="Arial" w:hAnsi="Arial" w:cs="Arial"/>
          <w:b/>
          <w:sz w:val="22"/>
          <w:szCs w:val="22"/>
          <w:lang w:val="es-ES_tradnl"/>
        </w:rPr>
        <w:t>.</w:t>
      </w:r>
    </w:p>
    <w:p w:rsidR="00D75790" w:rsidRPr="00DC371E" w:rsidRDefault="00D75790" w:rsidP="00D75790">
      <w:pPr>
        <w:pStyle w:val="Prrafodelista"/>
        <w:ind w:left="0"/>
        <w:jc w:val="both"/>
        <w:rPr>
          <w:rFonts w:ascii="Arial" w:hAnsi="Arial" w:cs="Arial"/>
          <w:sz w:val="22"/>
          <w:szCs w:val="22"/>
          <w:highlight w:val="yellow"/>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sz w:val="22"/>
          <w:szCs w:val="22"/>
          <w:lang w:val="es-ES_tradnl"/>
        </w:rPr>
        <w:t>Bajo un esquema de gestión empresarial</w:t>
      </w:r>
      <w:r>
        <w:rPr>
          <w:rFonts w:ascii="Arial" w:hAnsi="Arial" w:cs="Arial"/>
          <w:sz w:val="22"/>
          <w:szCs w:val="22"/>
          <w:lang w:val="es-ES_tradnl"/>
        </w:rPr>
        <w:t>,</w:t>
      </w:r>
      <w:r w:rsidRPr="00DC371E">
        <w:rPr>
          <w:rFonts w:ascii="Arial" w:hAnsi="Arial" w:cs="Arial"/>
          <w:sz w:val="22"/>
          <w:szCs w:val="22"/>
          <w:lang w:val="es-ES_tradnl"/>
        </w:rPr>
        <w:t xml:space="preserve"> </w:t>
      </w:r>
      <w:r>
        <w:rPr>
          <w:rFonts w:ascii="Arial" w:hAnsi="Arial" w:cs="Arial"/>
          <w:sz w:val="22"/>
          <w:szCs w:val="22"/>
          <w:lang w:val="es-ES_tradnl"/>
        </w:rPr>
        <w:t xml:space="preserve">propuesto por la Superintendencia de Servicios Públicos Domiciliarios, </w:t>
      </w:r>
      <w:r w:rsidRPr="00DC371E">
        <w:rPr>
          <w:rFonts w:ascii="Arial" w:hAnsi="Arial" w:cs="Arial"/>
          <w:sz w:val="22"/>
          <w:szCs w:val="22"/>
          <w:lang w:val="es-ES_tradnl"/>
        </w:rPr>
        <w:t xml:space="preserve">desde la vigencia 2005 Aguas de San Andrés S.A. E.S.P. y Proactiva Aguas del Archipiélago S.A. E.S.P. celebraron un contrato cuyo objeto consistía en la operación de la infraestructura destinada a la prestación de los Servicios de Acueducto y Alcantarillado en la Isla. Desde hace 16 años los indicadores de </w:t>
      </w:r>
      <w:r w:rsidRPr="00DC371E">
        <w:rPr>
          <w:rFonts w:ascii="Arial" w:hAnsi="Arial" w:cs="Arial"/>
          <w:color w:val="222222"/>
          <w:sz w:val="22"/>
          <w:szCs w:val="22"/>
          <w:lang w:val="es-ES_tradnl"/>
        </w:rPr>
        <w:t xml:space="preserve">cobertura en la prestación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 en la Isla no han obtenido significativ</w:t>
      </w:r>
      <w:r>
        <w:rPr>
          <w:rFonts w:ascii="Arial" w:hAnsi="Arial" w:cs="Arial"/>
          <w:color w:val="222222"/>
          <w:sz w:val="22"/>
          <w:szCs w:val="22"/>
          <w:lang w:val="es-ES_tradnl"/>
        </w:rPr>
        <w:t>o</w:t>
      </w:r>
      <w:r w:rsidRPr="00DC371E">
        <w:rPr>
          <w:rFonts w:ascii="Arial" w:hAnsi="Arial" w:cs="Arial"/>
          <w:color w:val="222222"/>
          <w:sz w:val="22"/>
          <w:szCs w:val="22"/>
          <w:lang w:val="es-ES_tradnl"/>
        </w:rPr>
        <w:t xml:space="preserve">s </w:t>
      </w:r>
      <w:r>
        <w:rPr>
          <w:rFonts w:ascii="Arial" w:hAnsi="Arial" w:cs="Arial"/>
          <w:color w:val="222222"/>
          <w:sz w:val="22"/>
          <w:szCs w:val="22"/>
          <w:lang w:val="es-ES_tradnl"/>
        </w:rPr>
        <w:t>aumentos</w:t>
      </w:r>
      <w:r w:rsidRPr="00DC371E">
        <w:rPr>
          <w:rFonts w:ascii="Arial" w:hAnsi="Arial" w:cs="Arial"/>
          <w:color w:val="222222"/>
          <w:sz w:val="22"/>
          <w:szCs w:val="22"/>
          <w:lang w:val="es-ES_tradnl"/>
        </w:rPr>
        <w:t>, se mantienen en el 25</w:t>
      </w:r>
      <w:r>
        <w:rPr>
          <w:rFonts w:ascii="Arial" w:hAnsi="Arial" w:cs="Arial"/>
          <w:color w:val="222222"/>
          <w:sz w:val="22"/>
          <w:szCs w:val="22"/>
          <w:lang w:val="es-ES_tradnl"/>
        </w:rPr>
        <w:t xml:space="preserve"> </w:t>
      </w:r>
      <w:r w:rsidRPr="00DC371E">
        <w:rPr>
          <w:rFonts w:ascii="Arial" w:hAnsi="Arial" w:cs="Arial"/>
          <w:color w:val="222222"/>
          <w:sz w:val="22"/>
          <w:szCs w:val="22"/>
          <w:lang w:val="es-ES_tradnl"/>
        </w:rPr>
        <w:t xml:space="preserve">% de cobertura para el área urbana, presentando un importante rezago </w:t>
      </w:r>
      <w:r>
        <w:rPr>
          <w:rFonts w:ascii="Arial" w:hAnsi="Arial" w:cs="Arial"/>
          <w:color w:val="222222"/>
          <w:sz w:val="22"/>
          <w:szCs w:val="22"/>
          <w:lang w:val="es-ES_tradnl"/>
        </w:rPr>
        <w:t>con la media N</w:t>
      </w:r>
      <w:r w:rsidRPr="00DC371E">
        <w:rPr>
          <w:rFonts w:ascii="Arial" w:hAnsi="Arial" w:cs="Arial"/>
          <w:color w:val="222222"/>
          <w:sz w:val="22"/>
          <w:szCs w:val="22"/>
          <w:lang w:val="es-ES_tradnl"/>
        </w:rPr>
        <w:t xml:space="preserve">acional. Más deficiente aún es la prestación en el área rural de los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ervicios de </w:t>
      </w:r>
      <w:r>
        <w:rPr>
          <w:rFonts w:ascii="Arial" w:hAnsi="Arial" w:cs="Arial"/>
          <w:color w:val="222222"/>
          <w:sz w:val="22"/>
          <w:szCs w:val="22"/>
          <w:lang w:val="es-ES_tradnl"/>
        </w:rPr>
        <w:t>A</w:t>
      </w:r>
      <w:r w:rsidRPr="00DC371E">
        <w:rPr>
          <w:rFonts w:ascii="Arial" w:hAnsi="Arial" w:cs="Arial"/>
          <w:color w:val="222222"/>
          <w:sz w:val="22"/>
          <w:szCs w:val="22"/>
          <w:lang w:val="es-ES_tradnl"/>
        </w:rPr>
        <w:t xml:space="preserve">cueducto y </w:t>
      </w:r>
      <w:r>
        <w:rPr>
          <w:rFonts w:ascii="Arial" w:hAnsi="Arial" w:cs="Arial"/>
          <w:color w:val="222222"/>
          <w:sz w:val="22"/>
          <w:szCs w:val="22"/>
          <w:lang w:val="es-ES_tradnl"/>
        </w:rPr>
        <w:t>A</w:t>
      </w:r>
      <w:r w:rsidRPr="00DC371E">
        <w:rPr>
          <w:rFonts w:ascii="Arial" w:hAnsi="Arial" w:cs="Arial"/>
          <w:color w:val="222222"/>
          <w:sz w:val="22"/>
          <w:szCs w:val="22"/>
          <w:lang w:val="es-ES_tradnl"/>
        </w:rPr>
        <w:t>lcantarillado.</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sz w:val="22"/>
          <w:szCs w:val="22"/>
          <w:lang w:val="es-ES_tradnl"/>
        </w:rPr>
        <w:t xml:space="preserve">Desde el año 2005 con la firma del </w:t>
      </w:r>
      <w:r>
        <w:rPr>
          <w:rFonts w:ascii="Arial" w:hAnsi="Arial" w:cs="Arial"/>
          <w:sz w:val="22"/>
          <w:szCs w:val="22"/>
          <w:lang w:val="es-ES_tradnl"/>
        </w:rPr>
        <w:t>C</w:t>
      </w:r>
      <w:r w:rsidRPr="00DC371E">
        <w:rPr>
          <w:rFonts w:ascii="Arial" w:hAnsi="Arial" w:cs="Arial"/>
          <w:sz w:val="22"/>
          <w:szCs w:val="22"/>
          <w:lang w:val="es-ES_tradnl"/>
        </w:rPr>
        <w:t xml:space="preserve">ontrato de la Operación de los </w:t>
      </w:r>
      <w:r>
        <w:rPr>
          <w:rFonts w:ascii="Arial" w:hAnsi="Arial" w:cs="Arial"/>
          <w:sz w:val="22"/>
          <w:szCs w:val="22"/>
          <w:lang w:val="es-ES_tradnl"/>
        </w:rPr>
        <w:t>S</w:t>
      </w:r>
      <w:r w:rsidRPr="00DC371E">
        <w:rPr>
          <w:rFonts w:ascii="Arial" w:hAnsi="Arial" w:cs="Arial"/>
          <w:sz w:val="22"/>
          <w:szCs w:val="22"/>
          <w:lang w:val="es-ES_tradnl"/>
        </w:rPr>
        <w:t>ervicios de A</w:t>
      </w:r>
      <w:r>
        <w:rPr>
          <w:rFonts w:ascii="Arial" w:hAnsi="Arial" w:cs="Arial"/>
          <w:sz w:val="22"/>
          <w:szCs w:val="22"/>
          <w:lang w:val="es-ES_tradnl"/>
        </w:rPr>
        <w:t xml:space="preserve">cueducto y </w:t>
      </w:r>
      <w:r w:rsidRPr="00DC371E">
        <w:rPr>
          <w:rFonts w:ascii="Arial" w:hAnsi="Arial" w:cs="Arial"/>
          <w:sz w:val="22"/>
          <w:szCs w:val="22"/>
          <w:lang w:val="es-ES_tradnl"/>
        </w:rPr>
        <w:t>A</w:t>
      </w:r>
      <w:r>
        <w:rPr>
          <w:rFonts w:ascii="Arial" w:hAnsi="Arial" w:cs="Arial"/>
          <w:sz w:val="22"/>
          <w:szCs w:val="22"/>
          <w:lang w:val="es-ES_tradnl"/>
        </w:rPr>
        <w:t>lcantarillado</w:t>
      </w:r>
      <w:r w:rsidRPr="00DC371E">
        <w:rPr>
          <w:rFonts w:ascii="Arial" w:hAnsi="Arial" w:cs="Arial"/>
          <w:sz w:val="22"/>
          <w:szCs w:val="22"/>
          <w:lang w:val="es-ES_tradnl"/>
        </w:rPr>
        <w:t xml:space="preserve"> y la suscripción de 9 </w:t>
      </w:r>
      <w:r>
        <w:rPr>
          <w:rFonts w:ascii="Arial" w:hAnsi="Arial" w:cs="Arial"/>
          <w:sz w:val="22"/>
          <w:szCs w:val="22"/>
          <w:lang w:val="es-ES_tradnl"/>
        </w:rPr>
        <w:t>O</w:t>
      </w:r>
      <w:r w:rsidRPr="00DC371E">
        <w:rPr>
          <w:rFonts w:ascii="Arial" w:hAnsi="Arial" w:cs="Arial"/>
          <w:sz w:val="22"/>
          <w:szCs w:val="22"/>
          <w:lang w:val="es-ES_tradnl"/>
        </w:rPr>
        <w:t>trosíes, se han venido aplazando, prorrogando</w:t>
      </w:r>
      <w:r>
        <w:rPr>
          <w:rFonts w:ascii="Arial" w:hAnsi="Arial" w:cs="Arial"/>
          <w:sz w:val="22"/>
          <w:szCs w:val="22"/>
          <w:lang w:val="es-ES_tradnl"/>
        </w:rPr>
        <w:t xml:space="preserve"> y</w:t>
      </w:r>
      <w:r w:rsidRPr="00DC371E">
        <w:rPr>
          <w:rFonts w:ascii="Arial" w:hAnsi="Arial" w:cs="Arial"/>
          <w:sz w:val="22"/>
          <w:szCs w:val="22"/>
          <w:lang w:val="es-ES_tradnl"/>
        </w:rPr>
        <w:t xml:space="preserve"> modificando aspectos que son relevantes y desatienden lo contenido en la normatividad sectorial, como lo son las fallas en la continuidad del servicio, el excesivo índice de agua no contabilizada, el no incremento de coberturas en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 los componentes de los esquemas tarifarios en agua y alcantarillado, la inexacta asignación de porcentajes de subsidios y contribuciones, la indebida aplicación de la estratificación oficial, la medición de los consumos, entre otros. Los continuos incumplimientos en estos aspectos ponen en riesgo la prestación del servicio.</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spacing w:after="33"/>
        <w:contextualSpacing/>
        <w:jc w:val="both"/>
        <w:rPr>
          <w:rFonts w:ascii="Arial" w:hAnsi="Arial" w:cs="Arial"/>
          <w:b/>
          <w:bCs/>
          <w:sz w:val="22"/>
          <w:szCs w:val="22"/>
          <w:lang w:val="es-ES_tradnl"/>
        </w:rPr>
      </w:pPr>
      <w:r w:rsidRPr="00DC371E">
        <w:rPr>
          <w:rFonts w:ascii="Arial" w:hAnsi="Arial" w:cs="Arial"/>
          <w:sz w:val="22"/>
          <w:szCs w:val="22"/>
        </w:rPr>
        <w:lastRenderedPageBreak/>
        <w:t xml:space="preserve">Los recursos SGP </w:t>
      </w:r>
      <w:r>
        <w:rPr>
          <w:rFonts w:ascii="Arial" w:hAnsi="Arial" w:cs="Arial"/>
          <w:sz w:val="22"/>
          <w:szCs w:val="22"/>
        </w:rPr>
        <w:t xml:space="preserve">- </w:t>
      </w:r>
      <w:r w:rsidRPr="00DC371E">
        <w:rPr>
          <w:rFonts w:ascii="Arial" w:hAnsi="Arial" w:cs="Arial"/>
          <w:sz w:val="22"/>
          <w:szCs w:val="22"/>
        </w:rPr>
        <w:t xml:space="preserve">APSB no solo deben beneficiar a los usuarios del </w:t>
      </w:r>
      <w:r>
        <w:rPr>
          <w:rFonts w:ascii="Arial" w:hAnsi="Arial" w:cs="Arial"/>
          <w:sz w:val="22"/>
          <w:szCs w:val="22"/>
        </w:rPr>
        <w:t>S</w:t>
      </w:r>
      <w:r w:rsidRPr="00DC371E">
        <w:rPr>
          <w:rFonts w:ascii="Arial" w:hAnsi="Arial" w:cs="Arial"/>
          <w:sz w:val="22"/>
          <w:szCs w:val="22"/>
        </w:rPr>
        <w:t xml:space="preserve">ervicio de </w:t>
      </w:r>
      <w:r>
        <w:rPr>
          <w:rFonts w:ascii="Arial" w:hAnsi="Arial" w:cs="Arial"/>
          <w:sz w:val="22"/>
          <w:szCs w:val="22"/>
        </w:rPr>
        <w:t>A</w:t>
      </w:r>
      <w:r w:rsidRPr="00DC371E">
        <w:rPr>
          <w:rFonts w:ascii="Arial" w:hAnsi="Arial" w:cs="Arial"/>
          <w:sz w:val="22"/>
          <w:szCs w:val="22"/>
        </w:rPr>
        <w:t>seo y a aquellos que se conectan a las redes de los sistemas de acueducto y alcantarillado. Estos recursos deben orientarse al mejoramiento de la prestación</w:t>
      </w:r>
      <w:r>
        <w:rPr>
          <w:rFonts w:ascii="Arial" w:hAnsi="Arial" w:cs="Arial"/>
          <w:sz w:val="22"/>
          <w:szCs w:val="22"/>
        </w:rPr>
        <w:t xml:space="preserve"> en términos de aumentos de cobertura y de continuidad, para el caso particular del Archipiélago</w:t>
      </w:r>
      <w:r w:rsidRPr="00DC371E">
        <w:rPr>
          <w:rFonts w:ascii="Arial" w:hAnsi="Arial" w:cs="Arial"/>
          <w:sz w:val="22"/>
          <w:szCs w:val="22"/>
        </w:rPr>
        <w:t xml:space="preserve">. En este sentido, </w:t>
      </w:r>
      <w:r>
        <w:rPr>
          <w:rFonts w:ascii="Arial" w:hAnsi="Arial" w:cs="Arial"/>
          <w:sz w:val="22"/>
          <w:szCs w:val="22"/>
        </w:rPr>
        <w:t xml:space="preserve">la población que carece del abastecimiento de agua y no tiene saneamiento básico </w:t>
      </w:r>
      <w:r w:rsidRPr="00DC371E">
        <w:rPr>
          <w:rFonts w:ascii="Arial" w:hAnsi="Arial" w:cs="Arial"/>
          <w:sz w:val="22"/>
          <w:szCs w:val="22"/>
        </w:rPr>
        <w:t xml:space="preserve">debería estar incluida en un plan de inversión sectorial </w:t>
      </w:r>
      <w:r>
        <w:rPr>
          <w:rFonts w:ascii="Arial" w:hAnsi="Arial" w:cs="Arial"/>
          <w:sz w:val="22"/>
          <w:szCs w:val="22"/>
        </w:rPr>
        <w:t>en los términos de los literales b y c del artículo 10 de la Ley 1176 de 2007</w:t>
      </w:r>
      <w:r>
        <w:rPr>
          <w:rStyle w:val="Refdenotaalpie"/>
          <w:rFonts w:ascii="Arial" w:hAnsi="Arial"/>
          <w:sz w:val="22"/>
          <w:szCs w:val="22"/>
        </w:rPr>
        <w:footnoteReference w:id="34"/>
      </w:r>
      <w:r>
        <w:rPr>
          <w:rFonts w:ascii="Arial" w:hAnsi="Arial" w:cs="Arial"/>
          <w:sz w:val="22"/>
          <w:szCs w:val="22"/>
        </w:rPr>
        <w:t>.</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Los informes de supervisión al </w:t>
      </w:r>
      <w:r>
        <w:rPr>
          <w:rFonts w:ascii="Arial" w:hAnsi="Arial" w:cs="Arial"/>
          <w:sz w:val="22"/>
          <w:szCs w:val="22"/>
          <w:lang w:val="es-ES_tradnl"/>
        </w:rPr>
        <w:t>C</w:t>
      </w:r>
      <w:r w:rsidRPr="00DC371E">
        <w:rPr>
          <w:rFonts w:ascii="Arial" w:hAnsi="Arial" w:cs="Arial"/>
          <w:sz w:val="22"/>
          <w:szCs w:val="22"/>
          <w:lang w:val="es-ES_tradnl"/>
        </w:rPr>
        <w:t xml:space="preserve">ontrato de Operación de acueducto y </w:t>
      </w:r>
      <w:r w:rsidR="00E013AF" w:rsidRPr="00DC371E">
        <w:rPr>
          <w:rFonts w:ascii="Arial" w:hAnsi="Arial" w:cs="Arial"/>
          <w:sz w:val="22"/>
          <w:szCs w:val="22"/>
          <w:lang w:val="es-ES_tradnl"/>
        </w:rPr>
        <w:t>alcantarillado</w:t>
      </w:r>
      <w:r w:rsidRPr="00DC371E">
        <w:rPr>
          <w:rFonts w:ascii="Arial" w:hAnsi="Arial" w:cs="Arial"/>
          <w:sz w:val="22"/>
          <w:szCs w:val="22"/>
          <w:lang w:val="es-ES_tradnl"/>
        </w:rPr>
        <w:t xml:space="preserve"> han sido reiterativos en mostrar diferencias asociadas a incumplimientos al </w:t>
      </w:r>
      <w:r>
        <w:rPr>
          <w:rFonts w:ascii="Arial" w:hAnsi="Arial" w:cs="Arial"/>
          <w:sz w:val="22"/>
          <w:szCs w:val="22"/>
          <w:lang w:val="es-ES_tradnl"/>
        </w:rPr>
        <w:t>C</w:t>
      </w:r>
      <w:r w:rsidRPr="00DC371E">
        <w:rPr>
          <w:rFonts w:ascii="Arial" w:hAnsi="Arial" w:cs="Arial"/>
          <w:sz w:val="22"/>
          <w:szCs w:val="22"/>
          <w:lang w:val="es-ES_tradnl"/>
        </w:rPr>
        <w:t xml:space="preserve">ontrato, que no son tenidas en cuenta por la </w:t>
      </w:r>
      <w:r>
        <w:rPr>
          <w:rFonts w:ascii="Arial" w:hAnsi="Arial" w:cs="Arial"/>
          <w:sz w:val="22"/>
          <w:szCs w:val="22"/>
          <w:lang w:val="es-ES_tradnl"/>
        </w:rPr>
        <w:t xml:space="preserve">contratante ni la </w:t>
      </w:r>
      <w:r w:rsidRPr="00DC371E">
        <w:rPr>
          <w:rFonts w:ascii="Arial" w:hAnsi="Arial" w:cs="Arial"/>
          <w:sz w:val="22"/>
          <w:szCs w:val="22"/>
          <w:lang w:val="es-ES_tradnl"/>
        </w:rPr>
        <w:t xml:space="preserve">Entidad </w:t>
      </w:r>
      <w:r>
        <w:rPr>
          <w:rFonts w:ascii="Arial" w:hAnsi="Arial" w:cs="Arial"/>
          <w:sz w:val="22"/>
          <w:szCs w:val="22"/>
          <w:lang w:val="es-ES_tradnl"/>
        </w:rPr>
        <w:t xml:space="preserve">Territorial, </w:t>
      </w:r>
      <w:r w:rsidRPr="00DC371E">
        <w:rPr>
          <w:rFonts w:ascii="Arial" w:hAnsi="Arial" w:cs="Arial"/>
          <w:sz w:val="22"/>
          <w:szCs w:val="22"/>
          <w:lang w:val="es-ES_tradnl"/>
        </w:rPr>
        <w:t>ni evaluadas por el Operador.</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La herramienta de focalización del gasto social como lo es la </w:t>
      </w:r>
      <w:r w:rsidR="00E013AF" w:rsidRPr="00DC371E">
        <w:rPr>
          <w:rFonts w:ascii="Arial" w:hAnsi="Arial" w:cs="Arial"/>
          <w:sz w:val="22"/>
          <w:szCs w:val="22"/>
          <w:lang w:val="es-ES_tradnl"/>
        </w:rPr>
        <w:t>estratificación</w:t>
      </w:r>
      <w:r w:rsidRPr="00DC371E">
        <w:rPr>
          <w:rFonts w:ascii="Arial" w:hAnsi="Arial" w:cs="Arial"/>
          <w:sz w:val="22"/>
          <w:szCs w:val="22"/>
          <w:lang w:val="es-ES_tradnl"/>
        </w:rPr>
        <w:t xml:space="preserve"> se encuentra desactualizada. La asignación de recursos para la financiación de subsidios es deficiente con la estratificación desactualizada.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Durante las vigencias 2018 y 2019 no se efectuaron pagos por concepto de subsidios en la prestación de los </w:t>
      </w:r>
      <w:r>
        <w:rPr>
          <w:rFonts w:ascii="Arial" w:hAnsi="Arial" w:cs="Arial"/>
          <w:sz w:val="22"/>
          <w:szCs w:val="22"/>
          <w:lang w:val="es-ES_tradnl"/>
        </w:rPr>
        <w:t>S</w:t>
      </w:r>
      <w:r w:rsidRPr="00DC371E">
        <w:rPr>
          <w:rFonts w:ascii="Arial" w:hAnsi="Arial" w:cs="Arial"/>
          <w:sz w:val="22"/>
          <w:szCs w:val="22"/>
          <w:lang w:val="es-ES_tradnl"/>
        </w:rPr>
        <w:t xml:space="preserve">ervicios </w:t>
      </w:r>
      <w:r>
        <w:rPr>
          <w:rFonts w:ascii="Arial" w:hAnsi="Arial" w:cs="Arial"/>
          <w:sz w:val="22"/>
          <w:szCs w:val="22"/>
          <w:lang w:val="es-ES_tradnl"/>
        </w:rPr>
        <w:t>P</w:t>
      </w:r>
      <w:r w:rsidRPr="00DC371E">
        <w:rPr>
          <w:rFonts w:ascii="Arial" w:hAnsi="Arial" w:cs="Arial"/>
          <w:sz w:val="22"/>
          <w:szCs w:val="22"/>
          <w:lang w:val="es-ES_tradnl"/>
        </w:rPr>
        <w:t xml:space="preserve">úblicos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lcantarillado. En 2020 se autorizó el giro directo al Operador Veolia, para la financiación de los subsidios en esa vigencia.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De acuerdo con los Operadores de los servicios de aseo (Trash Busters)</w:t>
      </w:r>
      <w:r>
        <w:rPr>
          <w:rFonts w:ascii="Arial" w:hAnsi="Arial" w:cs="Arial"/>
          <w:sz w:val="22"/>
          <w:szCs w:val="22"/>
          <w:lang w:val="es-ES_tradnl"/>
        </w:rPr>
        <w:t>,</w:t>
      </w:r>
      <w:r w:rsidRPr="00DC371E">
        <w:rPr>
          <w:rFonts w:ascii="Arial" w:hAnsi="Arial" w:cs="Arial"/>
          <w:sz w:val="22"/>
          <w:szCs w:val="22"/>
          <w:lang w:val="es-ES_tradnl"/>
        </w:rPr>
        <w:t xml:space="preserve"> Acueducto y Alcantarillado, aún existen deudas por el pago de subsidios de las vigencias 2014 a 2018.</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rPr>
      </w:pPr>
      <w:r w:rsidRPr="00DC371E">
        <w:rPr>
          <w:rFonts w:ascii="Arial" w:hAnsi="Arial" w:cs="Arial"/>
          <w:sz w:val="22"/>
          <w:szCs w:val="22"/>
          <w:lang w:val="es-ES_tradnl"/>
        </w:rPr>
        <w:t xml:space="preserve">En relación con el pago de subsidios, </w:t>
      </w:r>
      <w:r w:rsidRPr="00DC371E">
        <w:rPr>
          <w:rFonts w:ascii="Arial" w:hAnsi="Arial" w:cs="Arial"/>
          <w:sz w:val="22"/>
          <w:szCs w:val="22"/>
        </w:rPr>
        <w:t>esta Dirección</w:t>
      </w:r>
      <w:r>
        <w:rPr>
          <w:rFonts w:ascii="Arial" w:hAnsi="Arial" w:cs="Arial"/>
          <w:sz w:val="22"/>
          <w:szCs w:val="22"/>
        </w:rPr>
        <w:t>, para el caso particular de San Andrés y Providencia y en el marco de la ejecución de una medida en virtud del Decreto 028 de 2008,</w:t>
      </w:r>
      <w:r w:rsidRPr="00DC371E">
        <w:rPr>
          <w:rFonts w:ascii="Arial" w:hAnsi="Arial" w:cs="Arial"/>
          <w:sz w:val="22"/>
          <w:szCs w:val="22"/>
        </w:rPr>
        <w:t xml:space="preserve"> no ve conveniente la transferencia de los recursos para subsidios a través del giro directo, sin un análisis riguroso por </w:t>
      </w:r>
      <w:r>
        <w:rPr>
          <w:rFonts w:ascii="Arial" w:hAnsi="Arial" w:cs="Arial"/>
          <w:sz w:val="22"/>
          <w:szCs w:val="22"/>
        </w:rPr>
        <w:t>parte de la Entidad Territorial</w:t>
      </w:r>
      <w:r w:rsidRPr="00DC371E">
        <w:rPr>
          <w:rFonts w:ascii="Arial" w:hAnsi="Arial" w:cs="Arial"/>
          <w:sz w:val="22"/>
          <w:szCs w:val="22"/>
        </w:rPr>
        <w:t xml:space="preserve"> de los componentes de la tarifa, especialmente los de la medición, la correcta asignación oficial de usos y estratos, la adecuada aplicación de los porcentajes de subsidios y contribuciones, el debido recaudo de las contribuciones solidarias, el adecuado proceso de generación de factura por parte del Operador y en el caso particular de Acueducto y Alcantarillado, el análisis del cumplimiento contractual de los indicadores por parte de Veolia. No basta con dar cumplimiento a los resultados del ejercicio del balance del esquema solidario, si no existe un soporte técnico que lo avale, ni un articulado proceso de presupuestación</w:t>
      </w:r>
      <w:r>
        <w:rPr>
          <w:rFonts w:ascii="Arial" w:hAnsi="Arial" w:cs="Arial"/>
          <w:sz w:val="22"/>
          <w:szCs w:val="22"/>
        </w:rPr>
        <w:t>.</w:t>
      </w:r>
    </w:p>
    <w:p w:rsidR="00D75790" w:rsidRPr="00DC371E" w:rsidRDefault="00D75790" w:rsidP="00D75790">
      <w:pPr>
        <w:spacing w:after="33"/>
        <w:contextualSpacing/>
        <w:jc w:val="both"/>
        <w:rPr>
          <w:rFonts w:ascii="Arial" w:hAnsi="Arial" w:cs="Arial"/>
          <w:sz w:val="22"/>
          <w:szCs w:val="22"/>
        </w:rPr>
      </w:pPr>
    </w:p>
    <w:p w:rsidR="00D75790" w:rsidRDefault="00D75790" w:rsidP="00D75790">
      <w:pPr>
        <w:contextualSpacing/>
        <w:jc w:val="both"/>
        <w:rPr>
          <w:rFonts w:ascii="Arial" w:hAnsi="Arial" w:cs="Arial"/>
          <w:sz w:val="22"/>
          <w:szCs w:val="22"/>
        </w:rPr>
      </w:pPr>
      <w:r w:rsidRPr="00DC371E">
        <w:rPr>
          <w:rFonts w:ascii="Arial" w:hAnsi="Arial" w:cs="Arial"/>
          <w:sz w:val="22"/>
          <w:szCs w:val="22"/>
        </w:rPr>
        <w:t xml:space="preserve">Llama la atención de </w:t>
      </w:r>
      <w:r>
        <w:rPr>
          <w:rFonts w:ascii="Arial" w:hAnsi="Arial" w:cs="Arial"/>
          <w:sz w:val="22"/>
          <w:szCs w:val="22"/>
        </w:rPr>
        <w:t>esta</w:t>
      </w:r>
      <w:r w:rsidRPr="00DC371E">
        <w:rPr>
          <w:rFonts w:ascii="Arial" w:hAnsi="Arial" w:cs="Arial"/>
          <w:sz w:val="22"/>
          <w:szCs w:val="22"/>
        </w:rPr>
        <w:t xml:space="preserve"> Dirección la celebración y ejecución del </w:t>
      </w:r>
      <w:r>
        <w:rPr>
          <w:rFonts w:ascii="Arial" w:hAnsi="Arial" w:cs="Arial"/>
          <w:sz w:val="22"/>
          <w:szCs w:val="22"/>
        </w:rPr>
        <w:t>C</w:t>
      </w:r>
      <w:r w:rsidRPr="00DC371E">
        <w:rPr>
          <w:rFonts w:ascii="Arial" w:hAnsi="Arial" w:cs="Arial"/>
          <w:sz w:val="22"/>
          <w:szCs w:val="22"/>
        </w:rPr>
        <w:t xml:space="preserve">ontrato de </w:t>
      </w:r>
      <w:r>
        <w:rPr>
          <w:rFonts w:ascii="Arial" w:hAnsi="Arial" w:cs="Arial"/>
          <w:sz w:val="22"/>
          <w:szCs w:val="22"/>
        </w:rPr>
        <w:t>O</w:t>
      </w:r>
      <w:r w:rsidRPr="00DC371E">
        <w:rPr>
          <w:rFonts w:ascii="Arial" w:hAnsi="Arial" w:cs="Arial"/>
          <w:sz w:val="22"/>
          <w:szCs w:val="22"/>
        </w:rPr>
        <w:t xml:space="preserve">peración suscrito entre Aguas </w:t>
      </w:r>
      <w:r>
        <w:rPr>
          <w:rFonts w:ascii="Arial" w:hAnsi="Arial" w:cs="Arial"/>
          <w:sz w:val="22"/>
          <w:szCs w:val="22"/>
        </w:rPr>
        <w:t>d</w:t>
      </w:r>
      <w:r w:rsidRPr="00DC371E">
        <w:rPr>
          <w:rFonts w:ascii="Arial" w:hAnsi="Arial" w:cs="Arial"/>
          <w:sz w:val="22"/>
          <w:szCs w:val="22"/>
        </w:rPr>
        <w:t xml:space="preserve">e San Andrés S.A. E.S.P., como contratante y Proactiva Aguas </w:t>
      </w:r>
      <w:r>
        <w:rPr>
          <w:rFonts w:ascii="Arial" w:hAnsi="Arial" w:cs="Arial"/>
          <w:sz w:val="22"/>
          <w:szCs w:val="22"/>
        </w:rPr>
        <w:t>d</w:t>
      </w:r>
      <w:r w:rsidRPr="00DC371E">
        <w:rPr>
          <w:rFonts w:ascii="Arial" w:hAnsi="Arial" w:cs="Arial"/>
          <w:sz w:val="22"/>
          <w:szCs w:val="22"/>
        </w:rPr>
        <w:t>el Archipiélago S.A. E.S.P., como contratista, el cual tiene por objeto la operación de la infraestructura destinada a la prestación de los servicios públicos de acueducto y alcantarillado por cuenta y riesgo del contratante.</w:t>
      </w:r>
    </w:p>
    <w:p w:rsidR="00020984" w:rsidRPr="00020984" w:rsidRDefault="00020984" w:rsidP="00020984">
      <w:pPr>
        <w:spacing w:line="257" w:lineRule="auto"/>
        <w:jc w:val="both"/>
      </w:pPr>
      <w:r w:rsidRPr="00020984">
        <w:rPr>
          <w:rFonts w:ascii="Arial" w:eastAsia="Times New Roman" w:hAnsi="Arial" w:cs="Arial"/>
          <w:sz w:val="22"/>
          <w:szCs w:val="22"/>
        </w:rPr>
        <w:lastRenderedPageBreak/>
        <w:t>Al respecto es preciso menciona</w:t>
      </w:r>
      <w:r>
        <w:rPr>
          <w:rFonts w:ascii="Arial" w:eastAsia="Times New Roman" w:hAnsi="Arial" w:cs="Arial"/>
          <w:sz w:val="22"/>
          <w:szCs w:val="22"/>
        </w:rPr>
        <w:t xml:space="preserve">r, que para esta Dirección no fue </w:t>
      </w:r>
      <w:r w:rsidRPr="00020984">
        <w:rPr>
          <w:rFonts w:ascii="Arial" w:eastAsia="Times New Roman" w:hAnsi="Arial" w:cs="Arial"/>
          <w:sz w:val="22"/>
          <w:szCs w:val="22"/>
        </w:rPr>
        <w:t>posible analizar los documentos que componen la etapa preparativa del Contrato, puesto que ni el Departamento, ni Aguas de San Andrés S.A. E.S.P., tienen en sus archivos los antecedentes de este, según lo pudo comprobar esta Dirección en las visitas de reconocimiento, en donde los funcionarios de la Gobernación y la Representante Legal de la Sociedad contratante manifestar</w:t>
      </w:r>
      <w:r>
        <w:rPr>
          <w:rFonts w:ascii="Arial" w:eastAsia="Times New Roman" w:hAnsi="Arial" w:cs="Arial"/>
          <w:sz w:val="22"/>
          <w:szCs w:val="22"/>
        </w:rPr>
        <w:t>on</w:t>
      </w:r>
      <w:r w:rsidRPr="00020984">
        <w:rPr>
          <w:rFonts w:ascii="Arial" w:eastAsia="Times New Roman" w:hAnsi="Arial" w:cs="Arial"/>
          <w:sz w:val="22"/>
          <w:szCs w:val="22"/>
        </w:rPr>
        <w:t xml:space="preserve"> no contar con el expediente contractual.</w:t>
      </w:r>
    </w:p>
    <w:p w:rsidR="00020984" w:rsidRPr="00020984" w:rsidRDefault="00020984" w:rsidP="00020984">
      <w:pPr>
        <w:spacing w:line="257" w:lineRule="auto"/>
        <w:jc w:val="both"/>
        <w:rPr>
          <w:rFonts w:ascii="Arial" w:eastAsia="Times New Roman" w:hAnsi="Arial" w:cs="Arial"/>
          <w:sz w:val="22"/>
          <w:szCs w:val="22"/>
        </w:rPr>
      </w:pPr>
    </w:p>
    <w:p w:rsidR="00020984" w:rsidRPr="00020984" w:rsidRDefault="00020984" w:rsidP="00020984">
      <w:pPr>
        <w:spacing w:line="257" w:lineRule="auto"/>
        <w:jc w:val="both"/>
      </w:pPr>
      <w:r w:rsidRPr="00020984">
        <w:rPr>
          <w:rFonts w:ascii="Arial" w:eastAsia="Times New Roman" w:hAnsi="Arial" w:cs="Arial"/>
          <w:sz w:val="22"/>
          <w:szCs w:val="22"/>
        </w:rPr>
        <w:t>Por otra parte, observa este</w:t>
      </w:r>
      <w:r w:rsidRPr="00020984">
        <w:rPr>
          <w:rFonts w:ascii="Arial" w:eastAsia="Times New Roman" w:hAnsi="Arial" w:cs="Arial"/>
          <w:sz w:val="22"/>
          <w:szCs w:val="22"/>
          <w:lang w:val="es-419"/>
        </w:rPr>
        <w:t xml:space="preserve"> Despacho con preocupación</w:t>
      </w:r>
      <w:r>
        <w:rPr>
          <w:rFonts w:ascii="Arial" w:eastAsia="Times New Roman" w:hAnsi="Arial" w:cs="Arial"/>
          <w:sz w:val="22"/>
          <w:szCs w:val="22"/>
          <w:lang w:val="es-419"/>
        </w:rPr>
        <w:t xml:space="preserve">, </w:t>
      </w:r>
      <w:r w:rsidRPr="00020984">
        <w:rPr>
          <w:rFonts w:ascii="Arial" w:eastAsia="Times New Roman" w:hAnsi="Arial" w:cs="Arial"/>
          <w:sz w:val="22"/>
          <w:szCs w:val="22"/>
          <w:lang w:val="es-419"/>
        </w:rPr>
        <w:t xml:space="preserve"> la estructuración y ejecución del Contrato de operación suscrito entre Aguas de San Andrés S.A. E.S.P. y Proactiva Aguas del Archipiélago S.A. E.S.P, hoy Veolia Aguas del Archipiélago S.A. E.S.P., y sus subsiguientes Otrosí (9 en total) en tanto a que el Contrato contiene estipulaciones contrarias al régimen aplicable al mismo y al ordenamiento jurídico.</w:t>
      </w:r>
    </w:p>
    <w:p w:rsidR="00020984" w:rsidRPr="00DC371E" w:rsidRDefault="00020984"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rPr>
      </w:pPr>
      <w:r w:rsidRPr="00DC371E">
        <w:rPr>
          <w:rFonts w:ascii="Arial" w:hAnsi="Arial" w:cs="Arial"/>
          <w:sz w:val="22"/>
          <w:szCs w:val="22"/>
        </w:rPr>
        <w:t>Con la información aportada por el Ministerio de Vivienda</w:t>
      </w:r>
      <w:r>
        <w:rPr>
          <w:rFonts w:ascii="Arial" w:hAnsi="Arial" w:cs="Arial"/>
          <w:sz w:val="22"/>
          <w:szCs w:val="22"/>
        </w:rPr>
        <w:t>, Ciudad y Territorio</w:t>
      </w:r>
      <w:r w:rsidRPr="00DC371E">
        <w:rPr>
          <w:rFonts w:ascii="Arial" w:hAnsi="Arial" w:cs="Arial"/>
          <w:sz w:val="22"/>
          <w:szCs w:val="22"/>
        </w:rPr>
        <w:t xml:space="preserve"> y la Entidad Territorial, se configuraron los eventos de riesgo c</w:t>
      </w:r>
      <w:r>
        <w:rPr>
          <w:rFonts w:ascii="Arial" w:hAnsi="Arial" w:cs="Arial"/>
          <w:sz w:val="22"/>
          <w:szCs w:val="22"/>
        </w:rPr>
        <w:t>ontenidos en el artículo 9 del D</w:t>
      </w:r>
      <w:r w:rsidRPr="00DC371E">
        <w:rPr>
          <w:rFonts w:ascii="Arial" w:hAnsi="Arial" w:cs="Arial"/>
          <w:sz w:val="22"/>
          <w:szCs w:val="22"/>
        </w:rPr>
        <w:t>ecreto 028 de 2008 asociados a:</w:t>
      </w:r>
    </w:p>
    <w:p w:rsidR="00D75790" w:rsidRPr="00DC371E" w:rsidRDefault="00D75790" w:rsidP="00D75790">
      <w:pPr>
        <w:contextualSpacing/>
        <w:jc w:val="both"/>
        <w:rPr>
          <w:rFonts w:ascii="Arial" w:hAnsi="Arial" w:cs="Arial"/>
          <w:sz w:val="22"/>
          <w:szCs w:val="22"/>
        </w:rPr>
      </w:pPr>
    </w:p>
    <w:p w:rsidR="00D75790" w:rsidRPr="00DC371E" w:rsidRDefault="00D75790" w:rsidP="00D75790">
      <w:pPr>
        <w:pStyle w:val="Prrafodelista"/>
        <w:numPr>
          <w:ilvl w:val="0"/>
          <w:numId w:val="10"/>
        </w:numPr>
        <w:jc w:val="both"/>
        <w:rPr>
          <w:rFonts w:ascii="Arial" w:hAnsi="Arial" w:cs="Arial"/>
        </w:rPr>
      </w:pPr>
      <w:r w:rsidRPr="00DC371E">
        <w:rPr>
          <w:rFonts w:ascii="Arial" w:hAnsi="Arial" w:cs="Arial"/>
          <w:sz w:val="22"/>
          <w:szCs w:val="22"/>
          <w:lang w:val="es-ES_tradnl"/>
        </w:rPr>
        <w:t>“No envío de información conforme a los plazos, condiciones y formatos indicados por el gobierno nacional, y/o haber remitido o entregado información incompleta o errónea”.</w:t>
      </w:r>
    </w:p>
    <w:p w:rsidR="00D75790" w:rsidRPr="00DC371E" w:rsidRDefault="00D75790" w:rsidP="00D75790">
      <w:pPr>
        <w:pStyle w:val="Prrafodelista"/>
        <w:numPr>
          <w:ilvl w:val="0"/>
          <w:numId w:val="10"/>
        </w:numPr>
        <w:jc w:val="both"/>
        <w:rPr>
          <w:rFonts w:ascii="Arial" w:hAnsi="Arial" w:cs="Arial"/>
        </w:rPr>
      </w:pPr>
      <w:r w:rsidRPr="00DC371E">
        <w:rPr>
          <w:rFonts w:ascii="Arial" w:hAnsi="Arial" w:cs="Arial"/>
          <w:sz w:val="22"/>
          <w:szCs w:val="22"/>
          <w:lang w:val="es-ES_tradnl"/>
        </w:rPr>
        <w:t xml:space="preserve">“No haber entregado a los encargados de efectuar las auditorías, la información y/o </w:t>
      </w:r>
      <w:r w:rsidR="00E013AF" w:rsidRPr="00DC371E">
        <w:rPr>
          <w:rFonts w:ascii="Arial" w:hAnsi="Arial" w:cs="Arial"/>
          <w:sz w:val="22"/>
          <w:szCs w:val="22"/>
          <w:lang w:val="es-ES_tradnl"/>
        </w:rPr>
        <w:t>soportes requeridos</w:t>
      </w:r>
      <w:r w:rsidRPr="00DC371E">
        <w:rPr>
          <w:rFonts w:ascii="Arial" w:hAnsi="Arial" w:cs="Arial"/>
          <w:sz w:val="22"/>
          <w:szCs w:val="22"/>
          <w:lang w:val="es-ES_tradnl"/>
        </w:rPr>
        <w:t xml:space="preserve"> para su desarrollo, en los términos y oportunidad solicitados</w:t>
      </w:r>
    </w:p>
    <w:p w:rsidR="00D75790" w:rsidRPr="00DC371E" w:rsidRDefault="00D75790" w:rsidP="00D75790">
      <w:pPr>
        <w:pStyle w:val="Prrafodelista"/>
        <w:numPr>
          <w:ilvl w:val="0"/>
          <w:numId w:val="10"/>
        </w:numPr>
        <w:jc w:val="both"/>
        <w:rPr>
          <w:rFonts w:ascii="Arial" w:hAnsi="Arial" w:cs="Arial"/>
        </w:rPr>
      </w:pPr>
      <w:r w:rsidRPr="00DC371E">
        <w:rPr>
          <w:rFonts w:ascii="Arial" w:hAnsi="Arial" w:cs="Arial"/>
          <w:sz w:val="22"/>
          <w:szCs w:val="22"/>
          <w:lang w:val="es-ES_tradnl"/>
        </w:rPr>
        <w:t>Cambio en la destinación de los recursos</w:t>
      </w:r>
    </w:p>
    <w:p w:rsidR="00D75790" w:rsidRPr="00DC371E" w:rsidRDefault="00D75790" w:rsidP="00D75790">
      <w:pPr>
        <w:pStyle w:val="Prrafodelista"/>
        <w:numPr>
          <w:ilvl w:val="0"/>
          <w:numId w:val="10"/>
        </w:numPr>
        <w:jc w:val="both"/>
        <w:rPr>
          <w:rFonts w:ascii="Arial" w:hAnsi="Arial" w:cs="Arial"/>
        </w:rPr>
      </w:pPr>
      <w:r w:rsidRPr="00DC371E">
        <w:rPr>
          <w:rFonts w:ascii="Arial" w:hAnsi="Arial" w:cs="Arial"/>
          <w:sz w:val="22"/>
          <w:szCs w:val="22"/>
          <w:lang w:val="es-ES_tradnl"/>
        </w:rPr>
        <w:t>“No cumplimiento de las condiciones de focalización, identificación de beneficiarios de programas sociales, estratificación y demás procedimientos previstos para la adecuada focalización y ejecución del gasto social</w:t>
      </w:r>
    </w:p>
    <w:p w:rsidR="00D75790" w:rsidRPr="00DC371E" w:rsidRDefault="00D75790" w:rsidP="00D75790">
      <w:pPr>
        <w:pStyle w:val="Prrafodelista"/>
        <w:numPr>
          <w:ilvl w:val="0"/>
          <w:numId w:val="10"/>
        </w:numPr>
        <w:jc w:val="both"/>
        <w:rPr>
          <w:rFonts w:ascii="Arial" w:hAnsi="Arial" w:cs="Arial"/>
        </w:rPr>
      </w:pPr>
      <w:r w:rsidRPr="00DC371E">
        <w:rPr>
          <w:rFonts w:ascii="Arial" w:hAnsi="Arial" w:cs="Arial"/>
          <w:sz w:val="22"/>
          <w:szCs w:val="22"/>
        </w:rPr>
        <w:t>“Suscripción,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p>
    <w:p w:rsidR="00D75790" w:rsidRPr="00DC371E" w:rsidRDefault="00D75790" w:rsidP="00D75790">
      <w:pPr>
        <w:pStyle w:val="Prrafodelista"/>
        <w:numPr>
          <w:ilvl w:val="0"/>
          <w:numId w:val="10"/>
        </w:numPr>
        <w:jc w:val="both"/>
        <w:rPr>
          <w:rFonts w:ascii="Arial" w:hAnsi="Arial" w:cs="Arial"/>
          <w:sz w:val="22"/>
          <w:szCs w:val="22"/>
          <w:lang w:val="es-ES_tradnl"/>
        </w:rPr>
      </w:pPr>
      <w:r w:rsidRPr="00DC371E">
        <w:rPr>
          <w:rFonts w:ascii="Arial" w:hAnsi="Arial" w:cs="Arial"/>
          <w:sz w:val="22"/>
          <w:szCs w:val="22"/>
          <w:lang w:val="es-ES_tradnl"/>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A través de la implementación de la </w:t>
      </w:r>
      <w:r>
        <w:rPr>
          <w:rFonts w:ascii="Arial" w:hAnsi="Arial" w:cs="Arial"/>
          <w:color w:val="222222"/>
          <w:sz w:val="22"/>
          <w:szCs w:val="22"/>
          <w:lang w:val="es-ES_tradnl"/>
        </w:rPr>
        <w:t>M</w:t>
      </w:r>
      <w:r w:rsidRPr="00DC371E">
        <w:rPr>
          <w:rFonts w:ascii="Arial" w:hAnsi="Arial" w:cs="Arial"/>
          <w:color w:val="222222"/>
          <w:sz w:val="22"/>
          <w:szCs w:val="22"/>
          <w:lang w:val="es-ES_tradnl"/>
        </w:rPr>
        <w:t xml:space="preserve">edida </w:t>
      </w:r>
      <w:r>
        <w:rPr>
          <w:rFonts w:ascii="Arial" w:hAnsi="Arial" w:cs="Arial"/>
          <w:color w:val="222222"/>
          <w:sz w:val="22"/>
          <w:szCs w:val="22"/>
          <w:lang w:val="es-ES_tradnl"/>
        </w:rPr>
        <w:t>P</w:t>
      </w:r>
      <w:r w:rsidRPr="00DC371E">
        <w:rPr>
          <w:rFonts w:ascii="Arial" w:hAnsi="Arial" w:cs="Arial"/>
          <w:color w:val="222222"/>
          <w:sz w:val="22"/>
          <w:szCs w:val="22"/>
          <w:lang w:val="es-ES_tradnl"/>
        </w:rPr>
        <w:t xml:space="preserve">reventiva de Plan de Desempeño, se acompañará a la Entidad Territorial para conjurar los eventos de riesgo </w:t>
      </w:r>
      <w:r>
        <w:rPr>
          <w:rFonts w:ascii="Arial" w:hAnsi="Arial" w:cs="Arial"/>
          <w:color w:val="222222"/>
          <w:sz w:val="22"/>
          <w:szCs w:val="22"/>
          <w:lang w:val="es-ES_tradnl"/>
        </w:rPr>
        <w:t xml:space="preserve">9.1, 9.2, 9.4, 9.12, 9.17 y 9.18 </w:t>
      </w:r>
      <w:r w:rsidRPr="00DC371E">
        <w:rPr>
          <w:rFonts w:ascii="Arial" w:hAnsi="Arial" w:cs="Arial"/>
          <w:color w:val="222222"/>
          <w:sz w:val="22"/>
          <w:szCs w:val="22"/>
          <w:lang w:val="es-ES_tradnl"/>
        </w:rPr>
        <w:t xml:space="preserve">identificados por </w:t>
      </w:r>
      <w:r>
        <w:rPr>
          <w:rFonts w:ascii="Arial" w:hAnsi="Arial" w:cs="Arial"/>
          <w:color w:val="222222"/>
          <w:sz w:val="22"/>
          <w:szCs w:val="22"/>
          <w:lang w:val="es-ES_tradnl"/>
        </w:rPr>
        <w:t>esta</w:t>
      </w:r>
      <w:r w:rsidRPr="00DC371E">
        <w:rPr>
          <w:rFonts w:ascii="Arial" w:hAnsi="Arial" w:cs="Arial"/>
          <w:color w:val="222222"/>
          <w:sz w:val="22"/>
          <w:szCs w:val="22"/>
          <w:lang w:val="es-ES_tradnl"/>
        </w:rPr>
        <w:t xml:space="preserve"> Dirección en el presente informe, con el objetivo de fortalecer 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ector a través del mejoramiento en la prestación de los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ervicios </w:t>
      </w:r>
      <w:r>
        <w:rPr>
          <w:rFonts w:ascii="Arial" w:hAnsi="Arial" w:cs="Arial"/>
          <w:color w:val="222222"/>
          <w:sz w:val="22"/>
          <w:szCs w:val="22"/>
          <w:lang w:val="es-ES_tradnl"/>
        </w:rPr>
        <w:t>P</w:t>
      </w:r>
      <w:r w:rsidRPr="00DC371E">
        <w:rPr>
          <w:rFonts w:ascii="Arial" w:hAnsi="Arial" w:cs="Arial"/>
          <w:color w:val="222222"/>
          <w:sz w:val="22"/>
          <w:szCs w:val="22"/>
          <w:lang w:val="es-ES_tradnl"/>
        </w:rPr>
        <w:t xml:space="preserve">úblicos </w:t>
      </w:r>
      <w:r>
        <w:rPr>
          <w:rFonts w:ascii="Arial" w:hAnsi="Arial" w:cs="Arial"/>
          <w:color w:val="222222"/>
          <w:sz w:val="22"/>
          <w:szCs w:val="22"/>
          <w:lang w:val="es-ES_tradnl"/>
        </w:rPr>
        <w:t>D</w:t>
      </w:r>
      <w:r w:rsidRPr="00DC371E">
        <w:rPr>
          <w:rFonts w:ascii="Arial" w:hAnsi="Arial" w:cs="Arial"/>
          <w:color w:val="222222"/>
          <w:sz w:val="22"/>
          <w:szCs w:val="22"/>
          <w:lang w:val="es-ES_tradnl"/>
        </w:rPr>
        <w:t xml:space="preserve">omiciliarios de </w:t>
      </w:r>
      <w:r>
        <w:rPr>
          <w:rFonts w:ascii="Arial" w:hAnsi="Arial" w:cs="Arial"/>
          <w:color w:val="222222"/>
          <w:sz w:val="22"/>
          <w:szCs w:val="22"/>
          <w:lang w:val="es-ES_tradnl"/>
        </w:rPr>
        <w:t>A</w:t>
      </w:r>
      <w:r w:rsidRPr="00DC371E">
        <w:rPr>
          <w:rFonts w:ascii="Arial" w:hAnsi="Arial" w:cs="Arial"/>
          <w:color w:val="222222"/>
          <w:sz w:val="22"/>
          <w:szCs w:val="22"/>
          <w:lang w:val="es-ES_tradnl"/>
        </w:rPr>
        <w:t xml:space="preserve">cueducto y </w:t>
      </w:r>
      <w:r>
        <w:rPr>
          <w:rFonts w:ascii="Arial" w:hAnsi="Arial" w:cs="Arial"/>
          <w:color w:val="222222"/>
          <w:sz w:val="22"/>
          <w:szCs w:val="22"/>
          <w:lang w:val="es-ES_tradnl"/>
        </w:rPr>
        <w:t>A</w:t>
      </w:r>
      <w:r w:rsidRPr="00DC371E">
        <w:rPr>
          <w:rFonts w:ascii="Arial" w:hAnsi="Arial" w:cs="Arial"/>
          <w:color w:val="222222"/>
          <w:sz w:val="22"/>
          <w:szCs w:val="22"/>
          <w:lang w:val="es-ES_tradnl"/>
        </w:rPr>
        <w:t>lcantarillado</w:t>
      </w:r>
      <w:r>
        <w:rPr>
          <w:rFonts w:ascii="Arial" w:hAnsi="Arial" w:cs="Arial"/>
          <w:color w:val="222222"/>
          <w:sz w:val="22"/>
          <w:szCs w:val="22"/>
          <w:lang w:val="es-ES_tradnl"/>
        </w:rPr>
        <w:t>, así como también o</w:t>
      </w:r>
      <w:r w:rsidRPr="00DC371E">
        <w:rPr>
          <w:rFonts w:ascii="Arial" w:hAnsi="Arial" w:cs="Arial"/>
          <w:color w:val="222222"/>
          <w:sz w:val="22"/>
          <w:szCs w:val="22"/>
          <w:lang w:val="es-ES_tradnl"/>
        </w:rPr>
        <w:t xml:space="preserve">ptimizar la planeación y ejecución de los recursos del SGP </w:t>
      </w:r>
      <w:r>
        <w:rPr>
          <w:rFonts w:ascii="Arial" w:hAnsi="Arial" w:cs="Arial"/>
          <w:color w:val="222222"/>
          <w:sz w:val="22"/>
          <w:szCs w:val="22"/>
          <w:lang w:val="es-ES_tradnl"/>
        </w:rPr>
        <w:t xml:space="preserve">- </w:t>
      </w:r>
      <w:r w:rsidRPr="00DC371E">
        <w:rPr>
          <w:rFonts w:ascii="Arial" w:hAnsi="Arial" w:cs="Arial"/>
          <w:color w:val="222222"/>
          <w:sz w:val="22"/>
          <w:szCs w:val="22"/>
          <w:lang w:val="es-ES_tradnl"/>
        </w:rPr>
        <w:t>APSB, mejorar los mecanismos de participación ciudadana</w:t>
      </w:r>
      <w:r>
        <w:rPr>
          <w:rFonts w:ascii="Arial" w:hAnsi="Arial" w:cs="Arial"/>
          <w:color w:val="222222"/>
          <w:sz w:val="22"/>
          <w:szCs w:val="22"/>
          <w:lang w:val="es-ES_tradnl"/>
        </w:rPr>
        <w:t xml:space="preserve"> en los Servicios Públicos de Acueducto, Alcantarillado y Aseo</w:t>
      </w:r>
      <w:r w:rsidRPr="00DC371E">
        <w:rPr>
          <w:rFonts w:ascii="Arial" w:hAnsi="Arial" w:cs="Arial"/>
          <w:color w:val="222222"/>
          <w:sz w:val="22"/>
          <w:szCs w:val="22"/>
          <w:lang w:val="es-ES_tradnl"/>
        </w:rPr>
        <w:t>, orientar la asignación de los recursos que financiación subsidios mediante la actualización de la estratificación y la revisión a las facturas presentadas por los Operadores</w:t>
      </w:r>
      <w:r>
        <w:rPr>
          <w:rFonts w:ascii="Arial" w:hAnsi="Arial" w:cs="Arial"/>
          <w:color w:val="222222"/>
          <w:sz w:val="22"/>
          <w:szCs w:val="22"/>
          <w:lang w:val="es-ES_tradnl"/>
        </w:rPr>
        <w:t>.</w:t>
      </w:r>
    </w:p>
    <w:p w:rsidR="00D75790" w:rsidRPr="00DC371E" w:rsidRDefault="00D75790" w:rsidP="00D75790">
      <w:pPr>
        <w:contextualSpacing/>
        <w:jc w:val="both"/>
        <w:rPr>
          <w:rFonts w:ascii="Arial" w:hAnsi="Arial" w:cs="Arial"/>
          <w:sz w:val="22"/>
          <w:szCs w:val="22"/>
          <w:highlight w:val="yellow"/>
          <w:lang w:val="es-419"/>
        </w:rPr>
      </w:pPr>
    </w:p>
    <w:p w:rsidR="00D75790" w:rsidRPr="00DC371E" w:rsidRDefault="00D75790" w:rsidP="00D75790">
      <w:pPr>
        <w:contextualSpacing/>
        <w:jc w:val="both"/>
        <w:rPr>
          <w:rFonts w:ascii="Arial" w:hAnsi="Arial" w:cs="Arial"/>
          <w:b/>
          <w:iCs/>
          <w:color w:val="000000" w:themeColor="text1"/>
          <w:sz w:val="22"/>
          <w:szCs w:val="22"/>
          <w:lang w:val="es-ES_tradnl"/>
        </w:rPr>
      </w:pPr>
      <w:r w:rsidRPr="00DC371E">
        <w:rPr>
          <w:rFonts w:ascii="Arial" w:hAnsi="Arial" w:cs="Arial"/>
          <w:b/>
          <w:iCs/>
          <w:color w:val="000000" w:themeColor="text1"/>
          <w:sz w:val="22"/>
          <w:szCs w:val="22"/>
          <w:lang w:val="es-ES_tradnl"/>
        </w:rPr>
        <w:t>9. EVENTOS DE RIESGO</w:t>
      </w:r>
      <w:r>
        <w:rPr>
          <w:rFonts w:ascii="Arial" w:hAnsi="Arial" w:cs="Arial"/>
          <w:b/>
          <w:iCs/>
          <w:color w:val="000000" w:themeColor="text1"/>
          <w:sz w:val="22"/>
          <w:szCs w:val="22"/>
          <w:lang w:val="es-ES_tradnl"/>
        </w:rPr>
        <w:t>:</w:t>
      </w:r>
    </w:p>
    <w:p w:rsidR="00D75790" w:rsidRPr="00DC371E" w:rsidRDefault="00D75790" w:rsidP="00D75790">
      <w:pPr>
        <w:contextualSpacing/>
        <w:jc w:val="both"/>
        <w:rPr>
          <w:rFonts w:ascii="Arial" w:hAnsi="Arial" w:cs="Arial"/>
          <w:b/>
          <w:iCs/>
          <w:color w:val="000000" w:themeColor="text1"/>
          <w:sz w:val="22"/>
          <w:szCs w:val="22"/>
          <w:lang w:val="es-ES_tradnl"/>
        </w:rPr>
      </w:pPr>
    </w:p>
    <w:p w:rsidR="00D75790" w:rsidRPr="00F006FA" w:rsidRDefault="00D75790" w:rsidP="00D75790">
      <w:pPr>
        <w:contextualSpacing/>
        <w:jc w:val="both"/>
        <w:rPr>
          <w:rFonts w:ascii="Arial" w:hAnsi="Arial" w:cs="Arial"/>
          <w:sz w:val="22"/>
          <w:szCs w:val="22"/>
          <w:lang w:val="es-ES_tradnl"/>
        </w:rPr>
      </w:pPr>
      <w:r w:rsidRPr="00F006FA">
        <w:rPr>
          <w:rFonts w:ascii="Arial" w:hAnsi="Arial" w:cs="Arial"/>
          <w:sz w:val="22"/>
          <w:szCs w:val="22"/>
          <w:lang w:val="es-ES_tradnl"/>
        </w:rPr>
        <w:t xml:space="preserve">El material probatorio de los </w:t>
      </w:r>
      <w:r>
        <w:rPr>
          <w:rFonts w:ascii="Arial" w:hAnsi="Arial" w:cs="Arial"/>
          <w:sz w:val="22"/>
          <w:szCs w:val="22"/>
          <w:lang w:val="es-ES_tradnl"/>
        </w:rPr>
        <w:t>E</w:t>
      </w:r>
      <w:r w:rsidRPr="00F006FA">
        <w:rPr>
          <w:rFonts w:ascii="Arial" w:hAnsi="Arial" w:cs="Arial"/>
          <w:sz w:val="22"/>
          <w:szCs w:val="22"/>
          <w:lang w:val="es-ES_tradnl"/>
        </w:rPr>
        <w:t xml:space="preserve">ventos de </w:t>
      </w:r>
      <w:r>
        <w:rPr>
          <w:rFonts w:ascii="Arial" w:hAnsi="Arial" w:cs="Arial"/>
          <w:sz w:val="22"/>
          <w:szCs w:val="22"/>
          <w:lang w:val="es-ES_tradnl"/>
        </w:rPr>
        <w:t>R</w:t>
      </w:r>
      <w:r w:rsidRPr="00F006FA">
        <w:rPr>
          <w:rFonts w:ascii="Arial" w:hAnsi="Arial" w:cs="Arial"/>
          <w:sz w:val="22"/>
          <w:szCs w:val="22"/>
          <w:lang w:val="es-ES_tradnl"/>
        </w:rPr>
        <w:t xml:space="preserve">iesgo se encuentra asociado a los oficios 1-2020-019965 de fecha 9 de marzo de 2020 </w:t>
      </w:r>
      <w:r w:rsidRPr="00F006FA">
        <w:rPr>
          <w:rFonts w:ascii="Arial" w:hAnsi="Arial" w:cs="Arial"/>
          <w:i/>
          <w:iCs/>
          <w:sz w:val="22"/>
          <w:szCs w:val="22"/>
          <w:lang w:val="es-ES_tradnl"/>
        </w:rPr>
        <w:t>“Informe de Diagnóstico de las vigencias 2018 y 2019 sobre el uso y ejecución de los recursos del Sistema General de Participaciones para Agua Potable y Saneamiento Básico (SGP_APSB) en el Archipiélago de San Andrés, Providencia y Santa Catalina, a la administración de dichos recursos en el marco del PDA y el aseguramiento de la prestación de los servicios de acueducto, alcantarillado y aseo</w:t>
      </w:r>
      <w:r w:rsidRPr="00F006FA">
        <w:rPr>
          <w:rFonts w:ascii="Arial" w:hAnsi="Arial" w:cs="Arial"/>
          <w:sz w:val="22"/>
          <w:szCs w:val="22"/>
          <w:lang w:val="es-ES_tradnl"/>
        </w:rPr>
        <w:t xml:space="preserve">” y 1-2021-046779 de fecha 28 de mayo de 2021, </w:t>
      </w:r>
      <w:r w:rsidRPr="00F006FA">
        <w:rPr>
          <w:rFonts w:ascii="Arial" w:hAnsi="Arial" w:cs="Arial"/>
          <w:i/>
          <w:iCs/>
          <w:sz w:val="22"/>
          <w:szCs w:val="22"/>
          <w:lang w:val="es-ES_tradnl"/>
        </w:rPr>
        <w:t>“Actualización del informe de monitoreo al uso y</w:t>
      </w:r>
      <w:r w:rsidRPr="00F006FA">
        <w:rPr>
          <w:rFonts w:ascii="Arial" w:hAnsi="Arial" w:cs="Arial"/>
          <w:i/>
          <w:iCs/>
          <w:sz w:val="22"/>
          <w:szCs w:val="22"/>
        </w:rPr>
        <w:t xml:space="preserve"> ejecución de los recursos del Sistema General de Participaciones para Agua Potable y Saneamiento Básico (SGP-APSB) al Archipiélago de San Andrés, Providencia y Santa Catalina vigencias 2019 y 2020”,</w:t>
      </w:r>
      <w:r w:rsidRPr="00F006FA">
        <w:rPr>
          <w:rFonts w:ascii="Arial" w:hAnsi="Arial" w:cs="Arial"/>
          <w:sz w:val="22"/>
          <w:szCs w:val="22"/>
        </w:rPr>
        <w:t xml:space="preserve"> elaborado por el MVCT (informe de 63 páginas y 30 anexos</w:t>
      </w:r>
      <w:r>
        <w:rPr>
          <w:rFonts w:ascii="Arial" w:hAnsi="Arial" w:cs="Arial"/>
          <w:sz w:val="22"/>
          <w:szCs w:val="22"/>
          <w:lang w:val="es-ES_tradnl"/>
        </w:rPr>
        <w:t xml:space="preserve"> </w:t>
      </w:r>
      <w:r w:rsidRPr="00F006FA">
        <w:rPr>
          <w:rFonts w:ascii="Arial" w:hAnsi="Arial" w:cs="Arial"/>
          <w:sz w:val="22"/>
          <w:szCs w:val="22"/>
          <w:lang w:val="es-ES_tradnl"/>
        </w:rPr>
        <w:t xml:space="preserve">el cual hace parte del expediente de la Entidad Territorial. </w:t>
      </w:r>
    </w:p>
    <w:p w:rsidR="00D75790" w:rsidRPr="00F006FA"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F006FA">
        <w:rPr>
          <w:rFonts w:ascii="Arial" w:hAnsi="Arial" w:cs="Arial"/>
          <w:sz w:val="22"/>
          <w:szCs w:val="22"/>
          <w:lang w:val="es-ES_tradnl"/>
        </w:rPr>
        <w:t xml:space="preserve">El 9 de julio de 2021 </w:t>
      </w:r>
      <w:r>
        <w:rPr>
          <w:rFonts w:ascii="Arial" w:hAnsi="Arial" w:cs="Arial"/>
          <w:sz w:val="22"/>
          <w:szCs w:val="22"/>
          <w:lang w:val="es-ES_tradnl"/>
        </w:rPr>
        <w:t>esta</w:t>
      </w:r>
      <w:r w:rsidRPr="00F006FA">
        <w:rPr>
          <w:rFonts w:ascii="Arial" w:hAnsi="Arial" w:cs="Arial"/>
          <w:sz w:val="22"/>
          <w:szCs w:val="22"/>
          <w:lang w:val="es-ES_tradnl"/>
        </w:rPr>
        <w:t xml:space="preserve"> </w:t>
      </w:r>
      <w:r>
        <w:rPr>
          <w:rFonts w:ascii="Arial" w:hAnsi="Arial" w:cs="Arial"/>
          <w:sz w:val="22"/>
          <w:szCs w:val="22"/>
          <w:lang w:val="es-ES_tradnl"/>
        </w:rPr>
        <w:t xml:space="preserve">Dirección </w:t>
      </w:r>
      <w:r w:rsidRPr="00F006FA">
        <w:rPr>
          <w:rFonts w:ascii="Arial" w:hAnsi="Arial" w:cs="Arial"/>
          <w:sz w:val="22"/>
          <w:szCs w:val="22"/>
          <w:lang w:val="es-ES_tradnl"/>
        </w:rPr>
        <w:t>solicitó información adicional a la Entidad, de la cual se obtuvo respuesta parcial, el día 16 de julio de 2021 través de oficio</w:t>
      </w:r>
      <w:r>
        <w:rPr>
          <w:rFonts w:ascii="Arial" w:hAnsi="Arial" w:cs="Arial"/>
          <w:sz w:val="22"/>
          <w:szCs w:val="22"/>
          <w:lang w:val="es-ES_tradnl"/>
        </w:rPr>
        <w:t xml:space="preserve"> con radicado No.</w:t>
      </w:r>
      <w:r w:rsidRPr="00F006FA">
        <w:rPr>
          <w:rFonts w:ascii="Arial" w:hAnsi="Arial" w:cs="Arial"/>
          <w:sz w:val="22"/>
          <w:szCs w:val="22"/>
          <w:lang w:val="es-ES_tradnl"/>
        </w:rPr>
        <w:t xml:space="preserve"> 1-2021-061625. Esta información también fue usada como material probatorio en la configuración de los siguientes </w:t>
      </w:r>
      <w:r>
        <w:rPr>
          <w:rFonts w:ascii="Arial" w:hAnsi="Arial" w:cs="Arial"/>
          <w:sz w:val="22"/>
          <w:szCs w:val="22"/>
          <w:lang w:val="es-ES_tradnl"/>
        </w:rPr>
        <w:t>E</w:t>
      </w:r>
      <w:r w:rsidRPr="00F006FA">
        <w:rPr>
          <w:rFonts w:ascii="Arial" w:hAnsi="Arial" w:cs="Arial"/>
          <w:sz w:val="22"/>
          <w:szCs w:val="22"/>
          <w:lang w:val="es-ES_tradnl"/>
        </w:rPr>
        <w:t xml:space="preserve">ventos de </w:t>
      </w:r>
      <w:r>
        <w:rPr>
          <w:rFonts w:ascii="Arial" w:hAnsi="Arial" w:cs="Arial"/>
          <w:sz w:val="22"/>
          <w:szCs w:val="22"/>
          <w:lang w:val="es-ES_tradnl"/>
        </w:rPr>
        <w:t>R</w:t>
      </w:r>
      <w:r w:rsidRPr="00F006FA">
        <w:rPr>
          <w:rFonts w:ascii="Arial" w:hAnsi="Arial" w:cs="Arial"/>
          <w:sz w:val="22"/>
          <w:szCs w:val="22"/>
          <w:lang w:val="es-ES_tradnl"/>
        </w:rPr>
        <w:t>iesgo: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i/>
          <w:iCs/>
          <w:sz w:val="22"/>
          <w:szCs w:val="22"/>
          <w:lang w:val="es-ES_tradnl"/>
        </w:rPr>
      </w:pPr>
      <w:bookmarkStart w:id="1" w:name="_Hlk79474110"/>
      <w:r w:rsidRPr="00E46D41">
        <w:rPr>
          <w:rFonts w:ascii="Arial" w:hAnsi="Arial" w:cs="Arial"/>
          <w:b/>
          <w:bCs/>
          <w:iCs/>
          <w:sz w:val="22"/>
          <w:szCs w:val="22"/>
          <w:lang w:val="es-ES_tradnl"/>
        </w:rPr>
        <w:t>9.1. “</w:t>
      </w:r>
      <w:r w:rsidRPr="00DC371E">
        <w:rPr>
          <w:rFonts w:ascii="Arial" w:hAnsi="Arial" w:cs="Arial"/>
          <w:b/>
          <w:bCs/>
          <w:i/>
          <w:iCs/>
          <w:sz w:val="22"/>
          <w:szCs w:val="22"/>
          <w:lang w:val="es-ES_tradnl"/>
        </w:rPr>
        <w:t>No envío de información conforme a los plazos, condiciones y formatos indicados por el gobierno nacional, y/o haber remitido o entregado información incompleta o errónea</w:t>
      </w:r>
      <w:r w:rsidRPr="00E46D41">
        <w:rPr>
          <w:rFonts w:ascii="Arial" w:hAnsi="Arial" w:cs="Arial"/>
          <w:b/>
          <w:bCs/>
          <w:iCs/>
          <w:sz w:val="22"/>
          <w:szCs w:val="22"/>
          <w:lang w:val="es-ES_tradnl"/>
        </w:rPr>
        <w:t>”.</w:t>
      </w:r>
    </w:p>
    <w:p w:rsidR="00D75790" w:rsidRDefault="00D75790" w:rsidP="00D75790">
      <w:pPr>
        <w:jc w:val="both"/>
        <w:rPr>
          <w:rFonts w:ascii="Arial" w:hAnsi="Arial" w:cs="Arial"/>
          <w:b/>
          <w:bCs/>
          <w:sz w:val="22"/>
          <w:szCs w:val="22"/>
          <w:lang w:val="es-ES_tradnl"/>
        </w:rPr>
      </w:pPr>
    </w:p>
    <w:p w:rsidR="00D75790" w:rsidRPr="005E684A" w:rsidRDefault="00D75790" w:rsidP="00D75790">
      <w:pPr>
        <w:jc w:val="both"/>
        <w:rPr>
          <w:rFonts w:ascii="Arial" w:hAnsi="Arial" w:cs="Arial"/>
          <w:b/>
          <w:bCs/>
          <w:sz w:val="22"/>
          <w:szCs w:val="22"/>
          <w:lang w:val="es-ES_tradnl"/>
        </w:rPr>
      </w:pPr>
      <w:r w:rsidRPr="005E684A">
        <w:rPr>
          <w:rFonts w:ascii="Arial" w:hAnsi="Arial" w:cs="Arial"/>
          <w:b/>
          <w:bCs/>
          <w:sz w:val="22"/>
          <w:szCs w:val="22"/>
          <w:lang w:val="es-ES_tradnl"/>
        </w:rPr>
        <w:t>Reporte de información:</w:t>
      </w:r>
    </w:p>
    <w:p w:rsidR="00D75790" w:rsidRPr="00DC371E" w:rsidRDefault="00D75790" w:rsidP="00D75790">
      <w:pPr>
        <w:contextualSpacing/>
        <w:jc w:val="both"/>
        <w:rPr>
          <w:rFonts w:ascii="Arial" w:hAnsi="Arial" w:cs="Arial"/>
          <w:b/>
          <w:bCs/>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El Consolidador de Hacienda e Información Pública </w:t>
      </w:r>
      <w:r>
        <w:rPr>
          <w:rFonts w:ascii="Arial" w:hAnsi="Arial" w:cs="Arial"/>
          <w:sz w:val="22"/>
          <w:szCs w:val="22"/>
          <w:lang w:val="es-ES_tradnl"/>
        </w:rPr>
        <w:t xml:space="preserve">- </w:t>
      </w:r>
      <w:r w:rsidRPr="00DC371E">
        <w:rPr>
          <w:rFonts w:ascii="Arial" w:hAnsi="Arial" w:cs="Arial"/>
          <w:sz w:val="22"/>
          <w:szCs w:val="22"/>
          <w:lang w:val="es-ES_tradnl"/>
        </w:rPr>
        <w:t>CHIP es un sistema que permite definir, capturar, consolidar y difundir información cuantitativa y cualitativa, producida por entidades públicas y otros actores, con destino al gobierno central, organismos de control y ciudadanía en general, para apoyar la toma de decisiones en materia de política macroeconómica y fiscal, así como la definición, ejecución y administración de planes de gobierno.</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El Decreto 1536 de 2016 señala</w:t>
      </w:r>
      <w:r>
        <w:rPr>
          <w:rFonts w:ascii="Arial" w:hAnsi="Arial" w:cs="Arial"/>
          <w:sz w:val="22"/>
          <w:szCs w:val="22"/>
          <w:lang w:val="es-ES_tradnl"/>
        </w:rPr>
        <w:t xml:space="preserve"> en su </w:t>
      </w:r>
      <w:r w:rsidRPr="00DC371E">
        <w:rPr>
          <w:rFonts w:ascii="Arial" w:hAnsi="Arial" w:cs="Arial"/>
          <w:sz w:val="22"/>
          <w:szCs w:val="22"/>
          <w:lang w:val="es-ES_tradnl"/>
        </w:rPr>
        <w:t>"</w:t>
      </w:r>
      <w:r>
        <w:rPr>
          <w:rFonts w:ascii="Arial" w:hAnsi="Arial" w:cs="Arial"/>
          <w:i/>
          <w:sz w:val="22"/>
          <w:szCs w:val="22"/>
          <w:lang w:val="es-ES_tradnl"/>
        </w:rPr>
        <w:t>a</w:t>
      </w:r>
      <w:r w:rsidRPr="00225ADA">
        <w:rPr>
          <w:rFonts w:ascii="Arial" w:hAnsi="Arial" w:cs="Arial"/>
          <w:i/>
          <w:sz w:val="22"/>
          <w:szCs w:val="22"/>
          <w:lang w:val="es-ES_tradnl"/>
        </w:rPr>
        <w:t>rtículo 2.6.4.2. Ámbito de aplicación del FUT.</w:t>
      </w:r>
      <w:r>
        <w:rPr>
          <w:rFonts w:ascii="Arial" w:hAnsi="Arial" w:cs="Arial"/>
          <w:i/>
          <w:sz w:val="22"/>
          <w:szCs w:val="22"/>
          <w:lang w:val="es-ES_tradnl"/>
        </w:rPr>
        <w:t xml:space="preserve"> </w:t>
      </w:r>
      <w:r w:rsidRPr="00225ADA">
        <w:rPr>
          <w:rFonts w:ascii="Arial" w:hAnsi="Arial" w:cs="Arial"/>
          <w:i/>
          <w:sz w:val="22"/>
          <w:szCs w:val="22"/>
          <w:lang w:val="es-ES_tradnl"/>
        </w:rPr>
        <w:t>El FUT será de obligatorio diligenciamiento y presentación por parte del sector central de los Departamentos, Distritos, Municipios, de sus respectivos establecimientos públicos, de las entidades asimiladas a estos, y de los Territorios y Resguardos Indígenas certificados y/o Asociaciones de estos últimos, a los que se refiere el Decreto 1953 de 2014 o la norma que lo modifique, adicione o sustituya</w:t>
      </w:r>
      <w:r>
        <w:rPr>
          <w:rFonts w:ascii="Arial" w:hAnsi="Arial" w:cs="Arial"/>
          <w:sz w:val="22"/>
          <w:szCs w:val="22"/>
          <w:lang w:val="es-ES_tradnl"/>
        </w:rPr>
        <w:t>”.</w:t>
      </w:r>
    </w:p>
    <w:p w:rsidR="00D75790" w:rsidRPr="00DC371E" w:rsidRDefault="00D75790" w:rsidP="00D75790">
      <w:pPr>
        <w:spacing w:after="33"/>
        <w:contextualSpacing/>
        <w:jc w:val="both"/>
        <w:rPr>
          <w:rFonts w:ascii="Arial" w:hAnsi="Arial" w:cs="Arial"/>
          <w:sz w:val="22"/>
          <w:szCs w:val="22"/>
          <w:lang w:val="es-ES_tradnl"/>
        </w:rPr>
      </w:pPr>
    </w:p>
    <w:p w:rsidR="00D75790" w:rsidRPr="00FA07ED" w:rsidRDefault="00D75790" w:rsidP="00D75790">
      <w:pPr>
        <w:pStyle w:val="Prrafodelista"/>
        <w:numPr>
          <w:ilvl w:val="0"/>
          <w:numId w:val="35"/>
        </w:numPr>
        <w:spacing w:after="33"/>
        <w:jc w:val="both"/>
        <w:rPr>
          <w:rFonts w:ascii="Arial" w:hAnsi="Arial" w:cs="Arial"/>
          <w:b/>
          <w:bCs/>
          <w:sz w:val="22"/>
          <w:szCs w:val="22"/>
          <w:lang w:val="es-ES_tradnl"/>
        </w:rPr>
      </w:pPr>
      <w:r w:rsidRPr="00FA07ED">
        <w:rPr>
          <w:rFonts w:ascii="Arial" w:hAnsi="Arial" w:cs="Arial"/>
          <w:b/>
          <w:bCs/>
          <w:sz w:val="22"/>
          <w:szCs w:val="22"/>
          <w:lang w:val="es-ES_tradnl"/>
        </w:rPr>
        <w:t>Gastos de inversión:</w:t>
      </w:r>
    </w:p>
    <w:p w:rsidR="00D75790"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De acuerdo con el reporte de la información al Sistema Consolidador de Hacienda e información P</w:t>
      </w:r>
      <w:r>
        <w:rPr>
          <w:rFonts w:ascii="Arial" w:hAnsi="Arial" w:cs="Arial"/>
          <w:sz w:val="22"/>
          <w:szCs w:val="22"/>
          <w:lang w:val="es-ES_tradnl"/>
        </w:rPr>
        <w:t>ú</w:t>
      </w:r>
      <w:r w:rsidRPr="00DC371E">
        <w:rPr>
          <w:rFonts w:ascii="Arial" w:hAnsi="Arial" w:cs="Arial"/>
          <w:sz w:val="22"/>
          <w:szCs w:val="22"/>
          <w:lang w:val="es-ES_tradnl"/>
        </w:rPr>
        <w:t xml:space="preserve">blica </w:t>
      </w:r>
      <w:r>
        <w:rPr>
          <w:rFonts w:ascii="Arial" w:hAnsi="Arial" w:cs="Arial"/>
          <w:sz w:val="22"/>
          <w:szCs w:val="22"/>
          <w:lang w:val="es-ES_tradnl"/>
        </w:rPr>
        <w:t xml:space="preserve">- </w:t>
      </w:r>
      <w:r w:rsidRPr="00DC371E">
        <w:rPr>
          <w:rFonts w:ascii="Arial" w:hAnsi="Arial" w:cs="Arial"/>
          <w:sz w:val="22"/>
          <w:szCs w:val="22"/>
          <w:lang w:val="es-ES_tradnl"/>
        </w:rPr>
        <w:t xml:space="preserve">CHIP de la Contaduría General de la Nación, en la </w:t>
      </w:r>
      <w:r>
        <w:rPr>
          <w:rFonts w:ascii="Arial" w:hAnsi="Arial" w:cs="Arial"/>
          <w:sz w:val="22"/>
          <w:szCs w:val="22"/>
          <w:lang w:val="es-ES_tradnl"/>
        </w:rPr>
        <w:t>C</w:t>
      </w:r>
      <w:r w:rsidRPr="00DC371E">
        <w:rPr>
          <w:rFonts w:ascii="Arial" w:hAnsi="Arial" w:cs="Arial"/>
          <w:sz w:val="22"/>
          <w:szCs w:val="22"/>
          <w:lang w:val="es-ES_tradnl"/>
        </w:rPr>
        <w:t xml:space="preserve">ategoría de </w:t>
      </w:r>
      <w:r>
        <w:rPr>
          <w:rFonts w:ascii="Arial" w:hAnsi="Arial" w:cs="Arial"/>
          <w:sz w:val="22"/>
          <w:szCs w:val="22"/>
          <w:lang w:val="es-ES_tradnl"/>
        </w:rPr>
        <w:t>G</w:t>
      </w:r>
      <w:r w:rsidRPr="00DC371E">
        <w:rPr>
          <w:rFonts w:ascii="Arial" w:hAnsi="Arial" w:cs="Arial"/>
          <w:sz w:val="22"/>
          <w:szCs w:val="22"/>
          <w:lang w:val="es-ES_tradnl"/>
        </w:rPr>
        <w:t xml:space="preserve">astos de </w:t>
      </w:r>
      <w:r>
        <w:rPr>
          <w:rFonts w:ascii="Arial" w:hAnsi="Arial" w:cs="Arial"/>
          <w:sz w:val="22"/>
          <w:szCs w:val="22"/>
          <w:lang w:val="es-ES_tradnl"/>
        </w:rPr>
        <w:t>I</w:t>
      </w:r>
      <w:r w:rsidRPr="00DC371E">
        <w:rPr>
          <w:rFonts w:ascii="Arial" w:hAnsi="Arial" w:cs="Arial"/>
          <w:sz w:val="22"/>
          <w:szCs w:val="22"/>
          <w:lang w:val="es-ES_tradnl"/>
        </w:rPr>
        <w:t>nversión</w:t>
      </w:r>
      <w:r>
        <w:rPr>
          <w:rFonts w:ascii="Arial" w:hAnsi="Arial" w:cs="Arial"/>
          <w:sz w:val="22"/>
          <w:szCs w:val="22"/>
          <w:lang w:val="es-ES_tradnl"/>
        </w:rPr>
        <w:t>,</w:t>
      </w:r>
      <w:r w:rsidRPr="00DC371E">
        <w:rPr>
          <w:rFonts w:ascii="Arial" w:hAnsi="Arial" w:cs="Arial"/>
          <w:sz w:val="22"/>
          <w:szCs w:val="22"/>
          <w:lang w:val="es-ES_tradnl"/>
        </w:rPr>
        <w:t xml:space="preserve"> del Formulario Único Territorial</w:t>
      </w:r>
      <w:r>
        <w:rPr>
          <w:rFonts w:ascii="Arial" w:hAnsi="Arial" w:cs="Arial"/>
          <w:sz w:val="22"/>
          <w:szCs w:val="22"/>
          <w:lang w:val="es-ES_tradnl"/>
        </w:rPr>
        <w:t xml:space="preserve"> - FUT</w:t>
      </w:r>
      <w:r w:rsidRPr="00DC371E">
        <w:rPr>
          <w:rFonts w:ascii="Arial" w:hAnsi="Arial" w:cs="Arial"/>
          <w:sz w:val="22"/>
          <w:szCs w:val="22"/>
          <w:lang w:val="es-ES_tradnl"/>
        </w:rPr>
        <w:t>, en el periodo de septiembre a diciembre de 2020, se identificó lo siguiente:</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lastRenderedPageBreak/>
        <w:t xml:space="preserve">TABLA 28. REPORTE FUT GASTOS DE INVERSION </w:t>
      </w: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DICIEMBRE 2020</w:t>
      </w:r>
    </w:p>
    <w:tbl>
      <w:tblPr>
        <w:tblStyle w:val="Tablaconcuadrcula"/>
        <w:tblW w:w="7479" w:type="dxa"/>
        <w:jc w:val="center"/>
        <w:tblLook w:val="04A0" w:firstRow="1" w:lastRow="0" w:firstColumn="1" w:lastColumn="0" w:noHBand="0" w:noVBand="1"/>
      </w:tblPr>
      <w:tblGrid>
        <w:gridCol w:w="2260"/>
        <w:gridCol w:w="3445"/>
        <w:gridCol w:w="1774"/>
      </w:tblGrid>
      <w:tr w:rsidR="00D75790" w:rsidRPr="00224CD4" w:rsidTr="00695E54">
        <w:trPr>
          <w:trHeight w:val="166"/>
          <w:jc w:val="center"/>
        </w:trPr>
        <w:tc>
          <w:tcPr>
            <w:tcW w:w="2260"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Nombre</w:t>
            </w:r>
          </w:p>
        </w:tc>
        <w:tc>
          <w:tcPr>
            <w:tcW w:w="3445"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Fuente de financiación</w:t>
            </w:r>
          </w:p>
        </w:tc>
        <w:tc>
          <w:tcPr>
            <w:tcW w:w="1774"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Compromiso</w:t>
            </w:r>
          </w:p>
        </w:tc>
      </w:tr>
      <w:tr w:rsidR="00D75790" w:rsidRPr="00224CD4" w:rsidTr="00695E54">
        <w:trPr>
          <w:trHeight w:val="680"/>
          <w:jc w:val="center"/>
        </w:trPr>
        <w:tc>
          <w:tcPr>
            <w:tcW w:w="2260"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ASEO-FORTALECIMIENTO INSTITUCIONAL</w:t>
            </w:r>
          </w:p>
        </w:tc>
        <w:tc>
          <w:tcPr>
            <w:tcW w:w="344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SGP AGUA POTABLE Y SANEAMIENTO BASICO - ONCE DOCEAVAS VIGENCIA ACTUAL MAS ULTIMA DOCEAVA VIGENCIA ANTERIOR</w:t>
            </w:r>
          </w:p>
        </w:tc>
        <w:tc>
          <w:tcPr>
            <w:tcW w:w="1774"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$2.599.453.620</w:t>
            </w:r>
          </w:p>
        </w:tc>
      </w:tr>
    </w:tbl>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No se reportaron compromisos para el pago de subsidios con los recursos sectoriales, en el </w:t>
      </w:r>
      <w:r>
        <w:rPr>
          <w:rFonts w:ascii="Arial" w:hAnsi="Arial" w:cs="Arial"/>
          <w:sz w:val="22"/>
          <w:szCs w:val="22"/>
          <w:lang w:val="es-ES_tradnl"/>
        </w:rPr>
        <w:t>Servicio</w:t>
      </w:r>
      <w:r w:rsidRPr="00DC371E">
        <w:rPr>
          <w:rFonts w:ascii="Arial" w:hAnsi="Arial" w:cs="Arial"/>
          <w:sz w:val="22"/>
          <w:szCs w:val="22"/>
          <w:lang w:val="es-ES_tradnl"/>
        </w:rPr>
        <w:t xml:space="preserve"> de Aseo. Tampoco se reportaron las transferencias al Plan Departamental de Agua, al cierre de la vigencia 2020.</w:t>
      </w:r>
    </w:p>
    <w:p w:rsidR="00D75790" w:rsidRPr="00DC371E" w:rsidRDefault="00D75790" w:rsidP="00D75790">
      <w:pPr>
        <w:spacing w:after="33"/>
        <w:contextualSpacing/>
        <w:jc w:val="both"/>
        <w:rPr>
          <w:rFonts w:ascii="Arial" w:hAnsi="Arial" w:cs="Arial"/>
          <w:sz w:val="22"/>
          <w:szCs w:val="22"/>
          <w:lang w:val="es-ES_tradnl"/>
        </w:rPr>
      </w:pPr>
    </w:p>
    <w:p w:rsidR="00D75790" w:rsidRPr="00FA07ED" w:rsidRDefault="00D75790" w:rsidP="00D75790">
      <w:pPr>
        <w:pStyle w:val="Prrafodelista"/>
        <w:numPr>
          <w:ilvl w:val="0"/>
          <w:numId w:val="35"/>
        </w:numPr>
        <w:spacing w:after="33"/>
        <w:jc w:val="both"/>
        <w:rPr>
          <w:rFonts w:ascii="Arial" w:hAnsi="Arial" w:cs="Arial"/>
          <w:b/>
          <w:bCs/>
          <w:sz w:val="22"/>
          <w:szCs w:val="22"/>
          <w:lang w:val="es-ES_tradnl"/>
        </w:rPr>
      </w:pPr>
      <w:r w:rsidRPr="00FA07ED">
        <w:rPr>
          <w:rFonts w:ascii="Arial" w:hAnsi="Arial" w:cs="Arial"/>
          <w:b/>
          <w:bCs/>
          <w:sz w:val="22"/>
          <w:szCs w:val="22"/>
          <w:lang w:val="es-ES_tradnl"/>
        </w:rPr>
        <w:t>Registros presupuestales:</w:t>
      </w:r>
    </w:p>
    <w:p w:rsidR="00D75790"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En cuanto a</w:t>
      </w:r>
      <w:r w:rsidRPr="00DC371E">
        <w:rPr>
          <w:rFonts w:ascii="Arial" w:hAnsi="Arial" w:cs="Arial"/>
          <w:sz w:val="22"/>
          <w:szCs w:val="22"/>
          <w:lang w:val="es-ES_tradnl"/>
        </w:rPr>
        <w:t xml:space="preserve"> </w:t>
      </w:r>
      <w:r>
        <w:rPr>
          <w:rFonts w:ascii="Arial" w:hAnsi="Arial" w:cs="Arial"/>
          <w:sz w:val="22"/>
          <w:szCs w:val="22"/>
          <w:lang w:val="es-ES_tradnl"/>
        </w:rPr>
        <w:t xml:space="preserve">los </w:t>
      </w:r>
      <w:r w:rsidRPr="00DC371E">
        <w:rPr>
          <w:rFonts w:ascii="Arial" w:hAnsi="Arial" w:cs="Arial"/>
          <w:sz w:val="22"/>
          <w:szCs w:val="22"/>
          <w:lang w:val="es-ES_tradnl"/>
        </w:rPr>
        <w:t xml:space="preserve">registros presupuestales entregados por la Entidad Territorial, en la vigencia 2020 se financiaron subsidios en </w:t>
      </w:r>
      <w:r>
        <w:rPr>
          <w:rFonts w:ascii="Arial" w:hAnsi="Arial" w:cs="Arial"/>
          <w:sz w:val="22"/>
          <w:szCs w:val="22"/>
          <w:lang w:val="es-ES_tradnl"/>
        </w:rPr>
        <w:t>A</w:t>
      </w:r>
      <w:r w:rsidRPr="00DC371E">
        <w:rPr>
          <w:rFonts w:ascii="Arial" w:hAnsi="Arial" w:cs="Arial"/>
          <w:sz w:val="22"/>
          <w:szCs w:val="22"/>
          <w:lang w:val="es-ES_tradnl"/>
        </w:rPr>
        <w:t>seo por $935 millones</w:t>
      </w:r>
      <w:r>
        <w:rPr>
          <w:rFonts w:ascii="Arial" w:hAnsi="Arial" w:cs="Arial"/>
          <w:sz w:val="22"/>
          <w:szCs w:val="22"/>
          <w:lang w:val="es-ES_tradnl"/>
        </w:rPr>
        <w:t xml:space="preserve"> y </w:t>
      </w:r>
      <w:r w:rsidRPr="00DC371E">
        <w:rPr>
          <w:rFonts w:ascii="Arial" w:hAnsi="Arial" w:cs="Arial"/>
          <w:sz w:val="22"/>
          <w:szCs w:val="22"/>
          <w:lang w:val="es-ES_tradnl"/>
        </w:rPr>
        <w:t xml:space="preserve">se comprometieron recursos para el Plan Departamental de Agua por $842 millones y $754 millones con los </w:t>
      </w:r>
      <w:r>
        <w:rPr>
          <w:rFonts w:ascii="Arial" w:hAnsi="Arial" w:cs="Arial"/>
          <w:sz w:val="22"/>
          <w:szCs w:val="22"/>
          <w:lang w:val="es-ES_tradnl"/>
        </w:rPr>
        <w:t>R</w:t>
      </w:r>
      <w:r w:rsidRPr="00DC371E">
        <w:rPr>
          <w:rFonts w:ascii="Arial" w:hAnsi="Arial" w:cs="Arial"/>
          <w:sz w:val="22"/>
          <w:szCs w:val="22"/>
          <w:lang w:val="es-ES_tradnl"/>
        </w:rPr>
        <w:t xml:space="preserve">egistros </w:t>
      </w:r>
      <w:r>
        <w:rPr>
          <w:rFonts w:ascii="Arial" w:hAnsi="Arial" w:cs="Arial"/>
          <w:sz w:val="22"/>
          <w:szCs w:val="22"/>
          <w:lang w:val="es-ES_tradnl"/>
        </w:rPr>
        <w:t>P</w:t>
      </w:r>
      <w:r w:rsidRPr="00DC371E">
        <w:rPr>
          <w:rFonts w:ascii="Arial" w:hAnsi="Arial" w:cs="Arial"/>
          <w:sz w:val="22"/>
          <w:szCs w:val="22"/>
          <w:lang w:val="es-ES_tradnl"/>
        </w:rPr>
        <w:t>resupuestales 3580 y 4322.</w:t>
      </w: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Esta información es diferente a la reportada por la Entidad al FUT al corte diciembre de 2020, ya que solamente se reportaron 2 actividades en dos registros presupuestales, asociados a los registros 5190 (por $754 millones con destino al Patrimonio Autónomo FIA) y 5150 (por $842 millones con destino al Patrimonio Autónomo FIA).</w:t>
      </w:r>
    </w:p>
    <w:p w:rsidR="00D75790"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 xml:space="preserve">Al cierre de la vigencia 2020, no se reportó </w:t>
      </w:r>
      <w:r w:rsidRPr="00DC371E">
        <w:rPr>
          <w:rFonts w:ascii="Arial" w:hAnsi="Arial" w:cs="Arial"/>
          <w:sz w:val="22"/>
          <w:szCs w:val="22"/>
          <w:lang w:val="es-ES_tradnl"/>
        </w:rPr>
        <w:t>al Sistema Consolidador de Hacienda e información P</w:t>
      </w:r>
      <w:r>
        <w:rPr>
          <w:rFonts w:ascii="Arial" w:hAnsi="Arial" w:cs="Arial"/>
          <w:sz w:val="22"/>
          <w:szCs w:val="22"/>
          <w:lang w:val="es-ES_tradnl"/>
        </w:rPr>
        <w:t>ú</w:t>
      </w:r>
      <w:r w:rsidRPr="00DC371E">
        <w:rPr>
          <w:rFonts w:ascii="Arial" w:hAnsi="Arial" w:cs="Arial"/>
          <w:sz w:val="22"/>
          <w:szCs w:val="22"/>
          <w:lang w:val="es-ES_tradnl"/>
        </w:rPr>
        <w:t xml:space="preserve">blica </w:t>
      </w:r>
      <w:r>
        <w:rPr>
          <w:rFonts w:ascii="Arial" w:hAnsi="Arial" w:cs="Arial"/>
          <w:sz w:val="22"/>
          <w:szCs w:val="22"/>
          <w:lang w:val="es-ES_tradnl"/>
        </w:rPr>
        <w:t xml:space="preserve">- </w:t>
      </w:r>
      <w:r w:rsidRPr="00DC371E">
        <w:rPr>
          <w:rFonts w:ascii="Arial" w:hAnsi="Arial" w:cs="Arial"/>
          <w:sz w:val="22"/>
          <w:szCs w:val="22"/>
          <w:lang w:val="es-ES_tradnl"/>
        </w:rPr>
        <w:t xml:space="preserve">CHIP de la Contaduría General de la Nación, en la </w:t>
      </w:r>
      <w:r>
        <w:rPr>
          <w:rFonts w:ascii="Arial" w:hAnsi="Arial" w:cs="Arial"/>
          <w:sz w:val="22"/>
          <w:szCs w:val="22"/>
          <w:lang w:val="es-ES_tradnl"/>
        </w:rPr>
        <w:t>C</w:t>
      </w:r>
      <w:r w:rsidRPr="00DC371E">
        <w:rPr>
          <w:rFonts w:ascii="Arial" w:hAnsi="Arial" w:cs="Arial"/>
          <w:sz w:val="22"/>
          <w:szCs w:val="22"/>
          <w:lang w:val="es-ES_tradnl"/>
        </w:rPr>
        <w:t xml:space="preserve">ategoría de </w:t>
      </w:r>
      <w:r>
        <w:rPr>
          <w:rFonts w:ascii="Arial" w:hAnsi="Arial" w:cs="Arial"/>
          <w:sz w:val="22"/>
          <w:szCs w:val="22"/>
          <w:lang w:val="es-ES_tradnl"/>
        </w:rPr>
        <w:t>Registros Presupuestales</w:t>
      </w:r>
      <w:r w:rsidRPr="00DC371E">
        <w:rPr>
          <w:rFonts w:ascii="Arial" w:hAnsi="Arial" w:cs="Arial"/>
          <w:sz w:val="22"/>
          <w:szCs w:val="22"/>
          <w:lang w:val="es-ES_tradnl"/>
        </w:rPr>
        <w:t xml:space="preserve"> del Formulario Único Territorial</w:t>
      </w:r>
      <w:r>
        <w:rPr>
          <w:rFonts w:ascii="Arial" w:hAnsi="Arial" w:cs="Arial"/>
          <w:sz w:val="22"/>
          <w:szCs w:val="22"/>
          <w:lang w:val="es-ES_tradnl"/>
        </w:rPr>
        <w:t xml:space="preserve"> - FUT la información asociada a los registros presupuestales por medio de los cuales se financiaron los subsidios en esta vigencia.</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De esta manera, se identifican diferencias en la información contenida en las ejecuciones presupuestales</w:t>
      </w:r>
      <w:r>
        <w:rPr>
          <w:rFonts w:ascii="Arial" w:hAnsi="Arial" w:cs="Arial"/>
          <w:sz w:val="22"/>
          <w:szCs w:val="22"/>
          <w:lang w:val="es-ES_tradnl"/>
        </w:rPr>
        <w:t xml:space="preserve"> de gastos de inversión, los registros presupuestales</w:t>
      </w:r>
      <w:r w:rsidRPr="00DC371E">
        <w:rPr>
          <w:rFonts w:ascii="Arial" w:hAnsi="Arial" w:cs="Arial"/>
          <w:sz w:val="22"/>
          <w:szCs w:val="22"/>
          <w:lang w:val="es-ES_tradnl"/>
        </w:rPr>
        <w:t xml:space="preserve"> y la información reportada al Sistema Consolidador de Hacienda e Información Pública </w:t>
      </w:r>
      <w:r>
        <w:rPr>
          <w:rFonts w:ascii="Arial" w:hAnsi="Arial" w:cs="Arial"/>
          <w:sz w:val="22"/>
          <w:szCs w:val="22"/>
          <w:lang w:val="es-ES_tradnl"/>
        </w:rPr>
        <w:t xml:space="preserve">- </w:t>
      </w:r>
      <w:r w:rsidRPr="00DC371E">
        <w:rPr>
          <w:rFonts w:ascii="Arial" w:hAnsi="Arial" w:cs="Arial"/>
          <w:sz w:val="22"/>
          <w:szCs w:val="22"/>
          <w:lang w:val="es-ES_tradnl"/>
        </w:rPr>
        <w:t>CHIP</w:t>
      </w:r>
      <w:r>
        <w:rPr>
          <w:rFonts w:ascii="Arial" w:hAnsi="Arial" w:cs="Arial"/>
          <w:sz w:val="22"/>
          <w:szCs w:val="22"/>
          <w:lang w:val="es-ES_tradnl"/>
        </w:rPr>
        <w:t xml:space="preserve"> en los formularios de gastos de inversión y registros presupuestales con corte al cierre de la vigencia 2020.</w:t>
      </w:r>
    </w:p>
    <w:p w:rsidR="00D75790" w:rsidRPr="00DC371E" w:rsidRDefault="00D75790" w:rsidP="00D75790">
      <w:pPr>
        <w:pStyle w:val="Prrafodelista"/>
        <w:spacing w:after="33"/>
        <w:jc w:val="both"/>
        <w:rPr>
          <w:rFonts w:ascii="Arial" w:hAnsi="Arial" w:cs="Arial"/>
          <w:sz w:val="22"/>
          <w:szCs w:val="22"/>
          <w:lang w:val="es-ES_tradnl"/>
        </w:rPr>
      </w:pPr>
    </w:p>
    <w:p w:rsidR="00D75790" w:rsidRDefault="00D75790" w:rsidP="00D75790">
      <w:pPr>
        <w:jc w:val="both"/>
        <w:rPr>
          <w:rFonts w:ascii="Arial" w:hAnsi="Arial" w:cs="Arial"/>
          <w:sz w:val="22"/>
          <w:szCs w:val="22"/>
          <w:lang w:val="es-ES_tradnl"/>
        </w:rPr>
      </w:pPr>
      <w:r w:rsidRPr="00DC371E">
        <w:rPr>
          <w:rFonts w:ascii="Arial" w:hAnsi="Arial" w:cs="Arial"/>
          <w:sz w:val="22"/>
          <w:szCs w:val="22"/>
          <w:lang w:val="es-ES_tradnl"/>
        </w:rPr>
        <w:t xml:space="preserve">En este aspecto, </w:t>
      </w:r>
      <w:r>
        <w:rPr>
          <w:rFonts w:ascii="Arial" w:hAnsi="Arial" w:cs="Arial"/>
          <w:sz w:val="22"/>
          <w:szCs w:val="22"/>
          <w:lang w:val="es-ES_tradnl"/>
        </w:rPr>
        <w:t xml:space="preserve">se </w:t>
      </w:r>
      <w:r w:rsidRPr="001C77CB">
        <w:rPr>
          <w:rFonts w:ascii="Arial" w:hAnsi="Arial" w:cs="Arial"/>
          <w:sz w:val="22"/>
          <w:szCs w:val="22"/>
          <w:lang w:val="es-ES_tradnl"/>
        </w:rPr>
        <w:t xml:space="preserve">configura el riesgo asociado al no envío de información conforme a los plazos, condiciones y formatos indicados por el gobierno nacional, y/o haber remitido o entregado información incompleta o errónea, </w:t>
      </w:r>
      <w:r>
        <w:rPr>
          <w:rFonts w:ascii="Arial" w:hAnsi="Arial" w:cs="Arial"/>
          <w:sz w:val="22"/>
          <w:szCs w:val="22"/>
          <w:lang w:val="es-ES_tradnl"/>
        </w:rPr>
        <w:t>coligado al</w:t>
      </w:r>
      <w:r w:rsidRPr="00DC371E">
        <w:rPr>
          <w:rFonts w:ascii="Arial" w:hAnsi="Arial" w:cs="Arial"/>
          <w:sz w:val="22"/>
          <w:szCs w:val="22"/>
          <w:lang w:val="es-ES_tradnl"/>
        </w:rPr>
        <w:t xml:space="preserve"> reporte erróneo de la información presupuestal al Sistema Consolidador de Hacienda e Información Pública – CHIP en la </w:t>
      </w:r>
      <w:r>
        <w:rPr>
          <w:rFonts w:ascii="Arial" w:hAnsi="Arial" w:cs="Arial"/>
          <w:sz w:val="22"/>
          <w:szCs w:val="22"/>
          <w:lang w:val="es-ES_tradnl"/>
        </w:rPr>
        <w:t>C</w:t>
      </w:r>
      <w:r w:rsidRPr="00DC371E">
        <w:rPr>
          <w:rFonts w:ascii="Arial" w:hAnsi="Arial" w:cs="Arial"/>
          <w:sz w:val="22"/>
          <w:szCs w:val="22"/>
          <w:lang w:val="es-ES_tradnl"/>
        </w:rPr>
        <w:t xml:space="preserve">ategoría de Gastos de </w:t>
      </w:r>
      <w:r>
        <w:rPr>
          <w:rFonts w:ascii="Arial" w:hAnsi="Arial" w:cs="Arial"/>
          <w:sz w:val="22"/>
          <w:szCs w:val="22"/>
          <w:lang w:val="es-ES_tradnl"/>
        </w:rPr>
        <w:t>I</w:t>
      </w:r>
      <w:r w:rsidRPr="00DC371E">
        <w:rPr>
          <w:rFonts w:ascii="Arial" w:hAnsi="Arial" w:cs="Arial"/>
          <w:sz w:val="22"/>
          <w:szCs w:val="22"/>
          <w:lang w:val="es-ES_tradnl"/>
        </w:rPr>
        <w:t>nversión del Formulario Único Territorial,</w:t>
      </w:r>
      <w:r>
        <w:rPr>
          <w:rFonts w:ascii="Arial" w:hAnsi="Arial" w:cs="Arial"/>
          <w:sz w:val="22"/>
          <w:szCs w:val="22"/>
          <w:lang w:val="es-ES_tradnl"/>
        </w:rPr>
        <w:t xml:space="preserve"> a</w:t>
      </w:r>
      <w:r w:rsidRPr="00DC371E">
        <w:rPr>
          <w:rFonts w:ascii="Arial" w:hAnsi="Arial" w:cs="Arial"/>
          <w:sz w:val="22"/>
          <w:szCs w:val="22"/>
          <w:lang w:val="es-ES_tradnl"/>
        </w:rPr>
        <w:t>l no identificar en el reporte al FUT el gasto en subsidio</w:t>
      </w:r>
      <w:r>
        <w:rPr>
          <w:rFonts w:ascii="Arial" w:hAnsi="Arial" w:cs="Arial"/>
          <w:sz w:val="22"/>
          <w:szCs w:val="22"/>
          <w:lang w:val="es-ES_tradnl"/>
        </w:rPr>
        <w:t>s</w:t>
      </w:r>
      <w:r w:rsidRPr="00DC371E">
        <w:rPr>
          <w:rFonts w:ascii="Arial" w:hAnsi="Arial" w:cs="Arial"/>
          <w:sz w:val="22"/>
          <w:szCs w:val="22"/>
          <w:lang w:val="es-ES_tradnl"/>
        </w:rPr>
        <w:t xml:space="preserve"> en el </w:t>
      </w:r>
      <w:r>
        <w:rPr>
          <w:rFonts w:ascii="Arial" w:hAnsi="Arial" w:cs="Arial"/>
          <w:sz w:val="22"/>
          <w:szCs w:val="22"/>
          <w:lang w:val="es-ES_tradnl"/>
        </w:rPr>
        <w:t>Servicio</w:t>
      </w:r>
      <w:r w:rsidRPr="00DC371E">
        <w:rPr>
          <w:rFonts w:ascii="Arial" w:hAnsi="Arial" w:cs="Arial"/>
          <w:sz w:val="22"/>
          <w:szCs w:val="22"/>
          <w:lang w:val="es-ES_tradnl"/>
        </w:rPr>
        <w:t xml:space="preserve"> de </w:t>
      </w:r>
      <w:r>
        <w:rPr>
          <w:rFonts w:ascii="Arial" w:hAnsi="Arial" w:cs="Arial"/>
          <w:sz w:val="22"/>
          <w:szCs w:val="22"/>
          <w:lang w:val="es-ES_tradnl"/>
        </w:rPr>
        <w:t>A</w:t>
      </w:r>
      <w:r w:rsidRPr="00DC371E">
        <w:rPr>
          <w:rFonts w:ascii="Arial" w:hAnsi="Arial" w:cs="Arial"/>
          <w:sz w:val="22"/>
          <w:szCs w:val="22"/>
          <w:lang w:val="es-ES_tradnl"/>
        </w:rPr>
        <w:t>seo, ni las transferencias al PDA en la vigencia 2020</w:t>
      </w:r>
      <w:r>
        <w:rPr>
          <w:rFonts w:ascii="Arial" w:hAnsi="Arial" w:cs="Arial"/>
          <w:sz w:val="22"/>
          <w:szCs w:val="22"/>
          <w:lang w:val="es-ES_tradnl"/>
        </w:rPr>
        <w:t>, ni en el de registros presupuestales al solo reportar el FUT las transferencias al Consorcio FIA en el marco de la ejecución del PDA, al cierre de la vigencia 2020, no reportando los subsidios financiados en esta vigencia.</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b/>
          <w:bCs/>
          <w:sz w:val="22"/>
          <w:szCs w:val="22"/>
          <w:lang w:val="es-ES_tradnl"/>
        </w:rPr>
      </w:pPr>
      <w:r w:rsidRPr="00DC371E">
        <w:rPr>
          <w:rFonts w:ascii="Arial" w:hAnsi="Arial" w:cs="Arial"/>
          <w:b/>
          <w:bCs/>
          <w:sz w:val="22"/>
          <w:szCs w:val="22"/>
          <w:lang w:val="es-ES_tradnl"/>
        </w:rPr>
        <w:lastRenderedPageBreak/>
        <w:t>EVIDENCIAS</w:t>
      </w:r>
    </w:p>
    <w:p w:rsidR="00D75790" w:rsidRDefault="00D75790" w:rsidP="00D75790">
      <w:pPr>
        <w:spacing w:after="33"/>
        <w:contextualSpacing/>
        <w:jc w:val="both"/>
        <w:rPr>
          <w:rFonts w:ascii="Arial" w:hAnsi="Arial" w:cs="Arial"/>
          <w:b/>
          <w:bCs/>
          <w:sz w:val="22"/>
          <w:szCs w:val="22"/>
          <w:lang w:val="es-ES_tradnl"/>
        </w:rPr>
      </w:pPr>
    </w:p>
    <w:p w:rsidR="00D75790" w:rsidRPr="00063AAD" w:rsidRDefault="00D75790" w:rsidP="00D75790">
      <w:pPr>
        <w:contextualSpacing/>
        <w:jc w:val="both"/>
        <w:rPr>
          <w:rFonts w:ascii="Arial" w:hAnsi="Arial" w:cs="Arial"/>
          <w:sz w:val="22"/>
          <w:szCs w:val="22"/>
          <w:lang w:val="es-ES_tradnl"/>
        </w:rPr>
      </w:pPr>
      <w:r w:rsidRPr="00063AAD">
        <w:rPr>
          <w:rFonts w:ascii="Arial" w:hAnsi="Arial" w:cs="Arial"/>
          <w:sz w:val="22"/>
          <w:szCs w:val="22"/>
          <w:lang w:val="es-ES_tradnl"/>
        </w:rPr>
        <w:t>Obra en el expediente digital en el Sistema de Información Electrónica Documental</w:t>
      </w:r>
      <w:r>
        <w:rPr>
          <w:rFonts w:ascii="Arial" w:hAnsi="Arial" w:cs="Arial"/>
          <w:sz w:val="22"/>
          <w:szCs w:val="22"/>
          <w:lang w:val="es-ES_tradnl"/>
        </w:rPr>
        <w:t xml:space="preserve"> </w:t>
      </w:r>
      <w:r w:rsidRPr="00063AAD">
        <w:rPr>
          <w:rFonts w:ascii="Arial" w:hAnsi="Arial" w:cs="Arial"/>
          <w:sz w:val="22"/>
          <w:szCs w:val="22"/>
          <w:lang w:val="es-ES_tradnl"/>
        </w:rPr>
        <w:t xml:space="preserve">- SIED del Ministerio de Hacienda y Crédito Público número </w:t>
      </w:r>
      <w:r w:rsidRPr="00233F8B">
        <w:rPr>
          <w:rFonts w:ascii="Arial" w:hAnsi="Arial" w:cs="Arial"/>
          <w:sz w:val="22"/>
          <w:szCs w:val="22"/>
          <w:lang w:val="es-ES_tradnl"/>
        </w:rPr>
        <w:t>20/2021/D028-PREDI, el siguiente material probatorio</w:t>
      </w:r>
      <w:r w:rsidRPr="00063AAD">
        <w:rPr>
          <w:rFonts w:ascii="Arial" w:hAnsi="Arial" w:cs="Arial"/>
          <w:sz w:val="22"/>
          <w:szCs w:val="22"/>
          <w:lang w:val="es-ES_tradnl"/>
        </w:rPr>
        <w:t>:</w:t>
      </w:r>
    </w:p>
    <w:p w:rsidR="00D75790" w:rsidRPr="00063AAD" w:rsidRDefault="00D75790" w:rsidP="00D75790">
      <w:pPr>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 xml:space="preserve">1. </w:t>
      </w:r>
      <w:r w:rsidRPr="00063AAD">
        <w:rPr>
          <w:rFonts w:ascii="Arial" w:hAnsi="Arial" w:cs="Arial"/>
          <w:sz w:val="22"/>
          <w:szCs w:val="22"/>
          <w:lang w:val="es-ES_tradnl"/>
        </w:rPr>
        <w:t>2 Ejecución presupuestal de gastos SAI vigencia 2020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063AAD">
        <w:rPr>
          <w:rFonts w:ascii="Arial" w:hAnsi="Arial" w:cs="Arial"/>
          <w:sz w:val="22"/>
          <w:szCs w:val="22"/>
          <w:lang w:val="es-ES_tradnl"/>
        </w:rPr>
        <w:t xml:space="preserve"> </w:t>
      </w:r>
      <w:r w:rsidRPr="00233F8B">
        <w:rPr>
          <w:rFonts w:ascii="Arial" w:hAnsi="Arial" w:cs="Arial"/>
          <w:sz w:val="22"/>
          <w:szCs w:val="22"/>
          <w:lang w:val="es-ES_tradnl"/>
        </w:rPr>
        <w:t>20/2021/D028-PREDI</w:t>
      </w:r>
      <w:r>
        <w:rPr>
          <w:rFonts w:ascii="Arial" w:hAnsi="Arial" w:cs="Arial"/>
          <w:sz w:val="22"/>
          <w:szCs w:val="22"/>
          <w:lang w:val="es-ES_tradnl"/>
        </w:rPr>
        <w:t xml:space="preserve">. Radicado </w:t>
      </w:r>
      <w:r w:rsidRPr="00063AAD">
        <w:rPr>
          <w:rFonts w:ascii="Arial" w:hAnsi="Arial" w:cs="Arial"/>
          <w:sz w:val="22"/>
          <w:szCs w:val="22"/>
          <w:lang w:val="es-ES_tradnl"/>
        </w:rPr>
        <w:t>1-2021-046779</w:t>
      </w:r>
      <w:r>
        <w:rPr>
          <w:rFonts w:ascii="Arial" w:hAnsi="Arial" w:cs="Arial"/>
          <w:sz w:val="22"/>
          <w:szCs w:val="22"/>
          <w:lang w:val="es-ES_tradnl"/>
        </w:rPr>
        <w:t xml:space="preserve"> del 28 de mayo de 2021. Enlace:</w:t>
      </w:r>
    </w:p>
    <w:p w:rsidR="00D75790" w:rsidRDefault="006E598A" w:rsidP="00D75790">
      <w:pPr>
        <w:spacing w:after="33"/>
        <w:contextualSpacing/>
        <w:jc w:val="both"/>
        <w:rPr>
          <w:rFonts w:ascii="Arial" w:hAnsi="Arial" w:cs="Arial"/>
          <w:sz w:val="22"/>
          <w:szCs w:val="22"/>
          <w:lang w:val="es-ES_tradnl"/>
        </w:rPr>
      </w:pPr>
      <w:hyperlink r:id="rId19" w:history="1">
        <w:r w:rsidR="00D75790" w:rsidRPr="008C4F65">
          <w:rPr>
            <w:rStyle w:val="Hipervnculo"/>
            <w:rFonts w:ascii="Arial" w:hAnsi="Arial" w:cs="Arial"/>
            <w:sz w:val="22"/>
            <w:szCs w:val="22"/>
            <w:lang w:val="es-ES_tradnl"/>
          </w:rPr>
          <w:t>http://portalgestiondoc.minhacienda.red/PortalEmpleado/viewer.jsp?config=Zi9VUg3O0uxA123v9AcUOFppSBTF1C8eqPJV/tAt4QODBrbwFrdu3Dh+o5gKaUzTxiReTwqeHtHZ0FcviePP/3thUHujxT4F3pap6pq5y/aL/oWVRVESvRahrHMDZkHrfQXI3kuXcwuiOnRzc3mp9Rb6CmznsrPu7RJOEem7ufZa1pzKbQqAXzTTmQ1B4zVg&amp;guid=6a6645fc17b301a8a7522fb&amp;idrepository=879</w:t>
        </w:r>
      </w:hyperlink>
    </w:p>
    <w:p w:rsidR="00D75790"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 xml:space="preserve">2. </w:t>
      </w:r>
      <w:r w:rsidRPr="00063AAD">
        <w:rPr>
          <w:rFonts w:ascii="Arial" w:hAnsi="Arial" w:cs="Arial"/>
          <w:sz w:val="22"/>
          <w:szCs w:val="22"/>
          <w:lang w:val="es-ES_tradnl"/>
        </w:rPr>
        <w:t>5 Registros presupuestales SAI vigencia 2020.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063AAD">
        <w:rPr>
          <w:rFonts w:ascii="Arial" w:hAnsi="Arial" w:cs="Arial"/>
          <w:sz w:val="22"/>
          <w:szCs w:val="22"/>
          <w:lang w:val="es-ES_tradnl"/>
        </w:rPr>
        <w:t xml:space="preserve"> </w:t>
      </w:r>
      <w:r w:rsidRPr="00233F8B">
        <w:rPr>
          <w:rFonts w:ascii="Arial" w:hAnsi="Arial" w:cs="Arial"/>
          <w:sz w:val="22"/>
          <w:szCs w:val="22"/>
          <w:lang w:val="es-ES_tradnl"/>
        </w:rPr>
        <w:t>20/2021/D028-PREDI</w:t>
      </w:r>
      <w:r>
        <w:rPr>
          <w:rFonts w:ascii="Arial" w:hAnsi="Arial" w:cs="Arial"/>
          <w:sz w:val="22"/>
          <w:szCs w:val="22"/>
          <w:lang w:val="es-ES_tradnl"/>
        </w:rPr>
        <w:t xml:space="preserve">. Radicado </w:t>
      </w:r>
      <w:r w:rsidRPr="00063AAD">
        <w:rPr>
          <w:rFonts w:ascii="Arial" w:hAnsi="Arial" w:cs="Arial"/>
          <w:sz w:val="22"/>
          <w:szCs w:val="22"/>
          <w:lang w:val="es-ES_tradnl"/>
        </w:rPr>
        <w:t>1-2021-046779</w:t>
      </w:r>
      <w:r>
        <w:rPr>
          <w:rFonts w:ascii="Arial" w:hAnsi="Arial" w:cs="Arial"/>
          <w:sz w:val="22"/>
          <w:szCs w:val="22"/>
          <w:lang w:val="es-ES_tradnl"/>
        </w:rPr>
        <w:t xml:space="preserve"> del 28 de mayo de 2021. Enlace:</w:t>
      </w:r>
    </w:p>
    <w:p w:rsidR="00D75790" w:rsidRDefault="006E598A" w:rsidP="00D75790">
      <w:pPr>
        <w:spacing w:after="33"/>
        <w:contextualSpacing/>
        <w:jc w:val="both"/>
        <w:rPr>
          <w:rFonts w:ascii="Arial" w:hAnsi="Arial" w:cs="Arial"/>
          <w:sz w:val="22"/>
          <w:szCs w:val="22"/>
          <w:lang w:val="es-ES_tradnl"/>
        </w:rPr>
      </w:pPr>
      <w:hyperlink r:id="rId20" w:history="1">
        <w:r w:rsidR="00D75790" w:rsidRPr="008C4F65">
          <w:rPr>
            <w:rStyle w:val="Hipervnculo"/>
            <w:rFonts w:ascii="Arial" w:hAnsi="Arial" w:cs="Arial"/>
            <w:sz w:val="22"/>
            <w:szCs w:val="22"/>
            <w:lang w:val="es-ES_tradnl"/>
          </w:rPr>
          <w:t>http://portalgestiondoc.minhacienda.red/PortalEmpleado/viewer.jsp?config=pNU/2QGcyC1gAae6pZN/HN1AIhoMpfxhuUyaLL4zCNbWWJxjpzen917X2vyut/2gon42w3LM9QpkmpEUnKhuiwY1+lIGsXt51cxcVVN17X8ggNLTWlvWaI27hTqYtymF0XbYGSzf89UESCRp5a8vojniaj/oXOROiMyaJsVqld49LsD3iRCj0QxmBAMF8OoI&amp;guid=6a6645fc17b301a8a7522fd&amp;idrepository=879</w:t>
        </w:r>
      </w:hyperlink>
    </w:p>
    <w:p w:rsidR="00D75790" w:rsidRPr="00063AAD"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 xml:space="preserve">3. </w:t>
      </w:r>
      <w:r w:rsidRPr="00063AAD">
        <w:rPr>
          <w:rFonts w:ascii="Arial" w:hAnsi="Arial" w:cs="Arial"/>
          <w:sz w:val="22"/>
          <w:szCs w:val="22"/>
          <w:lang w:val="es-ES_tradnl"/>
        </w:rPr>
        <w:t>Reporte al Consolidador de Hacienda</w:t>
      </w:r>
      <w:r>
        <w:rPr>
          <w:rFonts w:ascii="Arial" w:hAnsi="Arial" w:cs="Arial"/>
          <w:sz w:val="22"/>
          <w:szCs w:val="22"/>
          <w:lang w:val="es-ES_tradnl"/>
        </w:rPr>
        <w:t xml:space="preserve"> </w:t>
      </w:r>
      <w:r w:rsidRPr="00063AAD">
        <w:rPr>
          <w:rFonts w:ascii="Arial" w:hAnsi="Arial" w:cs="Arial"/>
          <w:sz w:val="22"/>
          <w:szCs w:val="22"/>
          <w:lang w:val="es-ES_tradnl"/>
        </w:rPr>
        <w:t>Categor</w:t>
      </w:r>
      <w:r>
        <w:rPr>
          <w:rFonts w:ascii="Arial" w:hAnsi="Arial" w:cs="Arial"/>
          <w:sz w:val="22"/>
          <w:szCs w:val="22"/>
          <w:lang w:val="es-ES_tradnl"/>
        </w:rPr>
        <w:t>í</w:t>
      </w:r>
      <w:r w:rsidRPr="00063AAD">
        <w:rPr>
          <w:rFonts w:ascii="Arial" w:hAnsi="Arial" w:cs="Arial"/>
          <w:sz w:val="22"/>
          <w:szCs w:val="22"/>
          <w:lang w:val="es-ES_tradnl"/>
        </w:rPr>
        <w:t xml:space="preserve">a Gastos de Inversión </w:t>
      </w:r>
      <w:r>
        <w:rPr>
          <w:rFonts w:ascii="Arial" w:hAnsi="Arial" w:cs="Arial"/>
          <w:sz w:val="22"/>
          <w:szCs w:val="22"/>
          <w:lang w:val="es-ES_tradnl"/>
        </w:rPr>
        <w:t xml:space="preserve">del FUT </w:t>
      </w:r>
      <w:r w:rsidRPr="00063AAD">
        <w:rPr>
          <w:rFonts w:ascii="Arial" w:hAnsi="Arial" w:cs="Arial"/>
          <w:sz w:val="22"/>
          <w:szCs w:val="22"/>
          <w:lang w:val="es-ES_tradnl"/>
        </w:rPr>
        <w:t>2020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063AAD">
        <w:rPr>
          <w:rFonts w:ascii="Arial" w:hAnsi="Arial" w:cs="Arial"/>
          <w:sz w:val="22"/>
          <w:szCs w:val="22"/>
          <w:lang w:val="es-ES_tradnl"/>
        </w:rPr>
        <w:t xml:space="preserve"> </w:t>
      </w:r>
      <w:r w:rsidRPr="00233F8B">
        <w:rPr>
          <w:rFonts w:ascii="Arial" w:hAnsi="Arial" w:cs="Arial"/>
          <w:sz w:val="22"/>
          <w:szCs w:val="22"/>
          <w:lang w:val="es-ES_tradnl"/>
        </w:rPr>
        <w:t>20/2021/D028-PREDI</w:t>
      </w:r>
      <w:r w:rsidRPr="00063AAD">
        <w:rPr>
          <w:rFonts w:ascii="Arial" w:hAnsi="Arial" w:cs="Arial"/>
          <w:sz w:val="22"/>
          <w:szCs w:val="22"/>
          <w:lang w:val="es-ES_tradnl"/>
        </w:rPr>
        <w:t>. Diagnóstico de julio 2021. Enlace:</w:t>
      </w:r>
    </w:p>
    <w:p w:rsidR="00D75790" w:rsidRDefault="006E598A" w:rsidP="00D75790">
      <w:pPr>
        <w:spacing w:after="33"/>
        <w:contextualSpacing/>
        <w:jc w:val="both"/>
        <w:rPr>
          <w:rFonts w:ascii="Arial" w:hAnsi="Arial" w:cs="Arial"/>
          <w:sz w:val="22"/>
          <w:szCs w:val="22"/>
          <w:lang w:val="es-ES_tradnl"/>
        </w:rPr>
      </w:pPr>
      <w:hyperlink r:id="rId21" w:history="1">
        <w:r w:rsidR="00D75790" w:rsidRPr="008C4F65">
          <w:rPr>
            <w:rStyle w:val="Hipervnculo"/>
            <w:rFonts w:ascii="Arial" w:hAnsi="Arial" w:cs="Arial"/>
            <w:sz w:val="22"/>
            <w:szCs w:val="22"/>
            <w:lang w:val="es-ES_tradnl"/>
          </w:rPr>
          <w:t>http://portalgestiondoc.minhacienda.red/PortalEmpleado/viewer.jsp?config=bXJ2C+1UILxiUCvV76uCisvXuTIYkckNUwIw8BT/YLodppJ2yZs6LJoFHiGoKRX5qQwgq7Stq4sKq/MlW8Puj5tu7itezmQm2OTMNTcHtDXFWGgy1N51IXVIcMFVm62tgEiuJST0ko0ZsyuZ2b/lLfLTk3OQlE7Nnmf40yzWiZfnOe7cnO17fahXW69dQFH+&amp;guid=6a6645fc17b301a8a7562ac&amp;idrepository=879</w:t>
        </w:r>
      </w:hyperlink>
    </w:p>
    <w:p w:rsidR="00D75790" w:rsidRPr="00063AAD"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sz w:val="22"/>
          <w:szCs w:val="22"/>
          <w:lang w:val="es-ES_tradnl"/>
        </w:rPr>
      </w:pPr>
      <w:r>
        <w:rPr>
          <w:rFonts w:ascii="Arial" w:hAnsi="Arial" w:cs="Arial"/>
          <w:sz w:val="22"/>
          <w:szCs w:val="22"/>
          <w:lang w:val="es-ES_tradnl"/>
        </w:rPr>
        <w:t xml:space="preserve">4. </w:t>
      </w:r>
      <w:r w:rsidRPr="00063AAD">
        <w:rPr>
          <w:rFonts w:ascii="Arial" w:hAnsi="Arial" w:cs="Arial"/>
          <w:sz w:val="22"/>
          <w:szCs w:val="22"/>
          <w:lang w:val="es-ES_tradnl"/>
        </w:rPr>
        <w:t>Reporte al Consolidador de Hacienda</w:t>
      </w:r>
      <w:r>
        <w:rPr>
          <w:rFonts w:ascii="Arial" w:hAnsi="Arial" w:cs="Arial"/>
          <w:sz w:val="22"/>
          <w:szCs w:val="22"/>
          <w:lang w:val="es-ES_tradnl"/>
        </w:rPr>
        <w:t xml:space="preserve"> </w:t>
      </w:r>
      <w:r w:rsidRPr="00063AAD">
        <w:rPr>
          <w:rFonts w:ascii="Arial" w:hAnsi="Arial" w:cs="Arial"/>
          <w:sz w:val="22"/>
          <w:szCs w:val="22"/>
          <w:lang w:val="es-ES_tradnl"/>
        </w:rPr>
        <w:t>Categor</w:t>
      </w:r>
      <w:r>
        <w:rPr>
          <w:rFonts w:ascii="Arial" w:hAnsi="Arial" w:cs="Arial"/>
          <w:sz w:val="22"/>
          <w:szCs w:val="22"/>
          <w:lang w:val="es-ES_tradnl"/>
        </w:rPr>
        <w:t>í</w:t>
      </w:r>
      <w:r w:rsidRPr="00063AAD">
        <w:rPr>
          <w:rFonts w:ascii="Arial" w:hAnsi="Arial" w:cs="Arial"/>
          <w:sz w:val="22"/>
          <w:szCs w:val="22"/>
          <w:lang w:val="es-ES_tradnl"/>
        </w:rPr>
        <w:t xml:space="preserve">a Registros Presupuestales </w:t>
      </w:r>
      <w:r>
        <w:rPr>
          <w:rFonts w:ascii="Arial" w:hAnsi="Arial" w:cs="Arial"/>
          <w:sz w:val="22"/>
          <w:szCs w:val="22"/>
          <w:lang w:val="es-ES_tradnl"/>
        </w:rPr>
        <w:t xml:space="preserve">del FUT </w:t>
      </w:r>
      <w:r w:rsidRPr="00063AAD">
        <w:rPr>
          <w:rFonts w:ascii="Arial" w:hAnsi="Arial" w:cs="Arial"/>
          <w:sz w:val="22"/>
          <w:szCs w:val="22"/>
          <w:lang w:val="es-ES_tradnl"/>
        </w:rPr>
        <w:t>2020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063AAD">
        <w:rPr>
          <w:rFonts w:ascii="Arial" w:hAnsi="Arial" w:cs="Arial"/>
          <w:sz w:val="22"/>
          <w:szCs w:val="22"/>
          <w:lang w:val="es-ES_tradnl"/>
        </w:rPr>
        <w:t xml:space="preserve"> </w:t>
      </w:r>
      <w:r w:rsidRPr="00233F8B">
        <w:rPr>
          <w:rFonts w:ascii="Arial" w:hAnsi="Arial" w:cs="Arial"/>
          <w:sz w:val="22"/>
          <w:szCs w:val="22"/>
          <w:lang w:val="es-ES_tradnl"/>
        </w:rPr>
        <w:t>20/2021/D028-PREDI</w:t>
      </w:r>
      <w:r w:rsidRPr="00063AAD">
        <w:rPr>
          <w:rFonts w:ascii="Arial" w:hAnsi="Arial" w:cs="Arial"/>
          <w:sz w:val="22"/>
          <w:szCs w:val="22"/>
          <w:lang w:val="es-ES_tradnl"/>
        </w:rPr>
        <w:t>. Diagnóstico de julio 2021. Enlace:</w:t>
      </w:r>
    </w:p>
    <w:p w:rsidR="00D75790" w:rsidRDefault="006E598A" w:rsidP="00D75790">
      <w:pPr>
        <w:spacing w:after="33"/>
        <w:contextualSpacing/>
        <w:jc w:val="both"/>
        <w:rPr>
          <w:rFonts w:ascii="Arial" w:hAnsi="Arial" w:cs="Arial"/>
          <w:sz w:val="22"/>
          <w:szCs w:val="22"/>
          <w:lang w:val="es-ES_tradnl"/>
        </w:rPr>
      </w:pPr>
      <w:hyperlink r:id="rId22" w:history="1">
        <w:r w:rsidR="00D75790" w:rsidRPr="008C4F65">
          <w:rPr>
            <w:rStyle w:val="Hipervnculo"/>
            <w:rFonts w:ascii="Arial" w:hAnsi="Arial" w:cs="Arial"/>
            <w:sz w:val="22"/>
            <w:szCs w:val="22"/>
            <w:lang w:val="es-ES_tradnl"/>
          </w:rPr>
          <w:t>http://portalgestiondoc.minhacienda.red/PortalEmpleado/viewer.jsp?config=KJHxY3V5Q5PQJsIAOAQVely+oH+PSBWhYjlqMkdvugXLqcc4KcpeqqG1+jpPIud2iWSNpgXgkyx4xVehjr6smpNuLbPHH6shlQGKxm0l7ehNihdshMQR6YIpfNA1/doPGJkfV0zIKKYejWCGYwdmKoMeRw87KisIlUHwSFLCLhA6YO7q9BPlLLg24fIFkeTK&amp;guid=6a6645fc17b301a8a755764&amp;idrepository=879</w:t>
        </w:r>
      </w:hyperlink>
    </w:p>
    <w:p w:rsidR="00D75790" w:rsidRPr="00DC371E" w:rsidRDefault="00D75790" w:rsidP="00D75790">
      <w:pPr>
        <w:spacing w:after="33"/>
        <w:contextualSpacing/>
        <w:jc w:val="both"/>
        <w:rPr>
          <w:rFonts w:ascii="Arial" w:hAnsi="Arial" w:cs="Arial"/>
          <w:b/>
          <w:bCs/>
          <w:sz w:val="22"/>
          <w:szCs w:val="22"/>
          <w:lang w:val="es-ES_tradnl"/>
        </w:rPr>
      </w:pPr>
    </w:p>
    <w:p w:rsidR="00D75790" w:rsidRPr="00DC371E" w:rsidRDefault="00D75790" w:rsidP="00D75790">
      <w:pPr>
        <w:contextualSpacing/>
        <w:jc w:val="both"/>
        <w:rPr>
          <w:rFonts w:ascii="Arial" w:hAnsi="Arial" w:cs="Arial"/>
          <w:b/>
          <w:bCs/>
          <w:i/>
          <w:iCs/>
          <w:sz w:val="22"/>
          <w:szCs w:val="22"/>
          <w:lang w:val="es-ES_tradnl"/>
        </w:rPr>
      </w:pPr>
      <w:bookmarkStart w:id="2" w:name="_Hlk79475269"/>
      <w:bookmarkEnd w:id="1"/>
      <w:r w:rsidRPr="00E46D41">
        <w:rPr>
          <w:rFonts w:ascii="Arial" w:hAnsi="Arial" w:cs="Arial"/>
          <w:b/>
          <w:bCs/>
          <w:iCs/>
          <w:sz w:val="22"/>
          <w:szCs w:val="22"/>
          <w:lang w:val="es-ES_tradnl"/>
        </w:rPr>
        <w:lastRenderedPageBreak/>
        <w:t>9.2</w:t>
      </w:r>
      <w:r w:rsidRPr="00DC371E">
        <w:rPr>
          <w:rFonts w:ascii="Arial" w:hAnsi="Arial" w:cs="Arial"/>
          <w:b/>
          <w:bCs/>
          <w:i/>
          <w:iCs/>
          <w:sz w:val="22"/>
          <w:szCs w:val="22"/>
          <w:lang w:val="es-ES_tradnl"/>
        </w:rPr>
        <w:t xml:space="preserve"> </w:t>
      </w:r>
      <w:r>
        <w:rPr>
          <w:rFonts w:ascii="Arial" w:hAnsi="Arial" w:cs="Arial"/>
          <w:b/>
          <w:bCs/>
          <w:iCs/>
          <w:sz w:val="22"/>
          <w:szCs w:val="22"/>
          <w:lang w:val="es-ES_tradnl"/>
        </w:rPr>
        <w:t>“</w:t>
      </w:r>
      <w:r w:rsidRPr="00DC371E">
        <w:rPr>
          <w:rFonts w:ascii="Arial" w:hAnsi="Arial" w:cs="Arial"/>
          <w:b/>
          <w:bCs/>
          <w:i/>
          <w:iCs/>
          <w:sz w:val="22"/>
          <w:szCs w:val="22"/>
          <w:lang w:val="es-ES_tradnl"/>
        </w:rPr>
        <w:t xml:space="preserve">No haber entregado a los encargados de efectuar las auditorías, la información y/o </w:t>
      </w:r>
      <w:r w:rsidR="00E013AF" w:rsidRPr="00DC371E">
        <w:rPr>
          <w:rFonts w:ascii="Arial" w:hAnsi="Arial" w:cs="Arial"/>
          <w:b/>
          <w:bCs/>
          <w:i/>
          <w:iCs/>
          <w:sz w:val="22"/>
          <w:szCs w:val="22"/>
          <w:lang w:val="es-ES_tradnl"/>
        </w:rPr>
        <w:t>soportes requeridos</w:t>
      </w:r>
      <w:r w:rsidRPr="00DC371E">
        <w:rPr>
          <w:rFonts w:ascii="Arial" w:hAnsi="Arial" w:cs="Arial"/>
          <w:b/>
          <w:bCs/>
          <w:i/>
          <w:iCs/>
          <w:sz w:val="22"/>
          <w:szCs w:val="22"/>
          <w:lang w:val="es-ES_tradnl"/>
        </w:rPr>
        <w:t xml:space="preserve"> para su desarrollo, en los términos y oportunidad solicitados</w:t>
      </w:r>
      <w:r>
        <w:rPr>
          <w:rFonts w:ascii="Arial" w:hAnsi="Arial" w:cs="Arial"/>
          <w:b/>
          <w:bCs/>
          <w:iCs/>
          <w:sz w:val="22"/>
          <w:szCs w:val="22"/>
          <w:lang w:val="es-ES_tradnl"/>
        </w:rPr>
        <w:t>”</w:t>
      </w:r>
      <w:r w:rsidRPr="00DC371E">
        <w:rPr>
          <w:rFonts w:ascii="Arial" w:hAnsi="Arial" w:cs="Arial"/>
          <w:b/>
          <w:bCs/>
          <w:i/>
          <w:iCs/>
          <w:sz w:val="22"/>
          <w:szCs w:val="22"/>
          <w:lang w:val="es-ES_tradnl"/>
        </w:rPr>
        <w:t>.</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lang w:val="es-ES_tradnl"/>
        </w:rPr>
        <w:t>Entrega de información</w:t>
      </w:r>
      <w:r>
        <w:rPr>
          <w:rFonts w:ascii="Arial" w:hAnsi="Arial" w:cs="Arial"/>
          <w:b/>
          <w:bCs/>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Pr>
          <w:rFonts w:ascii="Arial" w:hAnsi="Arial" w:cs="Arial"/>
          <w:sz w:val="22"/>
          <w:szCs w:val="22"/>
          <w:lang w:val="es-ES_tradnl"/>
        </w:rPr>
        <w:t>L</w:t>
      </w:r>
      <w:r w:rsidRPr="00DC371E">
        <w:rPr>
          <w:rFonts w:ascii="Arial" w:hAnsi="Arial" w:cs="Arial"/>
          <w:sz w:val="22"/>
          <w:szCs w:val="22"/>
          <w:lang w:val="es-ES_tradnl"/>
        </w:rPr>
        <w:t>a Dirección General de Apoyo Fiscal del Ministerio de Hacienda y Crédito Público, efectuó requerimiento de información al Departamento Archipiélago de San Andrés y Providencia el día 9 de julio de 2021, a través del radicado 2-2021-035344. Entre otra información se requirió lo siguiente:</w:t>
      </w:r>
    </w:p>
    <w:p w:rsidR="00D75790" w:rsidRPr="00DC371E" w:rsidRDefault="00D75790" w:rsidP="00D75790">
      <w:pPr>
        <w:contextualSpacing/>
        <w:jc w:val="both"/>
        <w:rPr>
          <w:rFonts w:ascii="Arial" w:hAnsi="Arial" w:cs="Arial"/>
          <w:sz w:val="22"/>
          <w:szCs w:val="22"/>
          <w:lang w:val="es-ES_tradnl"/>
        </w:rPr>
      </w:pPr>
    </w:p>
    <w:p w:rsidR="00D75790" w:rsidRPr="00BF526E" w:rsidRDefault="00D75790" w:rsidP="00D75790">
      <w:pPr>
        <w:pStyle w:val="Prrafodelista"/>
        <w:numPr>
          <w:ilvl w:val="0"/>
          <w:numId w:val="10"/>
        </w:numPr>
        <w:jc w:val="both"/>
        <w:rPr>
          <w:rFonts w:ascii="Arial" w:hAnsi="Arial" w:cs="Arial"/>
          <w:sz w:val="22"/>
          <w:szCs w:val="22"/>
          <w:lang w:val="es-ES_tradnl"/>
        </w:rPr>
      </w:pPr>
      <w:r w:rsidRPr="00BF526E">
        <w:rPr>
          <w:rFonts w:ascii="Arial" w:hAnsi="Arial" w:cs="Arial"/>
          <w:sz w:val="22"/>
          <w:szCs w:val="22"/>
          <w:lang w:val="es-ES_tradnl"/>
        </w:rPr>
        <w:t>Informe de verificación de la correcta asignación de los recursos del Sistema General de Participaciones para Agua Potable y Saneamiento Básico, en virtud de la autorización del giro directo de subsidios a los Operadores de Acueducto, Alcantarillado y Aseo Veolia y Trash Busters de las vigencias 2020 y 2021, en cumplimiento de la aplicación del artículo 4 del Decreto Legislativo 528 de 2020.</w:t>
      </w:r>
    </w:p>
    <w:p w:rsidR="00D75790" w:rsidRPr="00BF526E" w:rsidRDefault="00D75790" w:rsidP="00D75790">
      <w:pPr>
        <w:pStyle w:val="Prrafodelista"/>
        <w:numPr>
          <w:ilvl w:val="0"/>
          <w:numId w:val="10"/>
        </w:numPr>
        <w:jc w:val="both"/>
        <w:rPr>
          <w:rFonts w:ascii="Arial" w:hAnsi="Arial" w:cs="Arial"/>
          <w:sz w:val="22"/>
          <w:szCs w:val="22"/>
          <w:lang w:val="es-ES_tradnl"/>
        </w:rPr>
      </w:pPr>
      <w:r w:rsidRPr="00BF526E">
        <w:rPr>
          <w:rFonts w:ascii="Arial" w:hAnsi="Arial" w:cs="Arial"/>
          <w:sz w:val="22"/>
          <w:szCs w:val="22"/>
          <w:lang w:val="es-ES_tradnl"/>
        </w:rPr>
        <w:t>Copia actualizada del documento: “</w:t>
      </w:r>
      <w:r w:rsidRPr="00E46D41">
        <w:rPr>
          <w:rFonts w:ascii="Arial" w:hAnsi="Arial" w:cs="Arial"/>
          <w:i/>
          <w:sz w:val="22"/>
          <w:szCs w:val="22"/>
          <w:lang w:val="es-ES_tradnl"/>
        </w:rPr>
        <w:t>Resultados del monitoreo a la calidad del agua subterránea por Unidades de Planificación Insular</w:t>
      </w:r>
      <w:r w:rsidRPr="00BF526E">
        <w:rPr>
          <w:rFonts w:ascii="Arial" w:hAnsi="Arial" w:cs="Arial"/>
          <w:sz w:val="22"/>
          <w:szCs w:val="22"/>
          <w:lang w:val="es-ES_tradnl"/>
        </w:rPr>
        <w:t>”.</w:t>
      </w:r>
    </w:p>
    <w:p w:rsidR="00D75790" w:rsidRPr="00BF526E" w:rsidRDefault="00D75790" w:rsidP="00D75790">
      <w:pPr>
        <w:pStyle w:val="Prrafodelista"/>
        <w:numPr>
          <w:ilvl w:val="0"/>
          <w:numId w:val="10"/>
        </w:numPr>
        <w:jc w:val="both"/>
        <w:rPr>
          <w:rFonts w:ascii="Arial" w:hAnsi="Arial" w:cs="Arial"/>
          <w:sz w:val="22"/>
          <w:szCs w:val="22"/>
          <w:lang w:val="es-ES_tradnl"/>
        </w:rPr>
      </w:pPr>
      <w:r w:rsidRPr="00BF526E">
        <w:rPr>
          <w:rFonts w:ascii="Arial" w:hAnsi="Arial" w:cs="Arial"/>
          <w:sz w:val="22"/>
          <w:szCs w:val="22"/>
          <w:lang w:val="es-ES_tradnl"/>
        </w:rPr>
        <w:t>Certificación de las gestiones realizadas por la Entidad en torno al Comité de Desarrollo y Control Social donde se verifique su existencia o inexistencia.</w:t>
      </w:r>
    </w:p>
    <w:p w:rsidR="00D75790" w:rsidRPr="00DC371E" w:rsidRDefault="00D75790" w:rsidP="00D75790">
      <w:pPr>
        <w:pStyle w:val="Prrafodelista"/>
        <w:numPr>
          <w:ilvl w:val="0"/>
          <w:numId w:val="10"/>
        </w:numPr>
        <w:jc w:val="both"/>
        <w:rPr>
          <w:rFonts w:ascii="Arial" w:hAnsi="Arial" w:cs="Arial"/>
          <w:sz w:val="22"/>
          <w:szCs w:val="22"/>
          <w:lang w:val="es-ES_tradnl"/>
        </w:rPr>
      </w:pPr>
      <w:r w:rsidRPr="00DC371E">
        <w:rPr>
          <w:rFonts w:ascii="Arial" w:hAnsi="Arial" w:cs="Arial"/>
          <w:sz w:val="22"/>
          <w:szCs w:val="22"/>
          <w:lang w:val="es-ES_tradnl"/>
        </w:rPr>
        <w:t>Certificación y relación de permisos y licencias del uso del agua por parte de la Autoridad Ambiental en pozos de extracción acuífera.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cu</w:t>
      </w:r>
      <w:r>
        <w:rPr>
          <w:rFonts w:ascii="Arial" w:hAnsi="Arial" w:cs="Arial"/>
          <w:sz w:val="22"/>
          <w:szCs w:val="22"/>
          <w:lang w:val="es-ES_tradnl"/>
        </w:rPr>
        <w:t>a</w:t>
      </w:r>
      <w:r w:rsidRPr="00DC371E">
        <w:rPr>
          <w:rFonts w:ascii="Arial" w:hAnsi="Arial" w:cs="Arial"/>
          <w:sz w:val="22"/>
          <w:szCs w:val="22"/>
          <w:lang w:val="es-ES_tradnl"/>
        </w:rPr>
        <w:t>nto al requerimiento de información del primer ítem la Entidad Territorial a través de</w:t>
      </w:r>
      <w:r>
        <w:rPr>
          <w:rFonts w:ascii="Arial" w:hAnsi="Arial" w:cs="Arial"/>
          <w:sz w:val="22"/>
          <w:szCs w:val="22"/>
          <w:lang w:val="es-ES_tradnl"/>
        </w:rPr>
        <w:t>l</w:t>
      </w:r>
      <w:r w:rsidRPr="00DC371E">
        <w:rPr>
          <w:rFonts w:ascii="Arial" w:hAnsi="Arial" w:cs="Arial"/>
          <w:sz w:val="22"/>
          <w:szCs w:val="22"/>
          <w:lang w:val="es-ES_tradnl"/>
        </w:rPr>
        <w:t xml:space="preserve"> oficio </w:t>
      </w:r>
      <w:r>
        <w:rPr>
          <w:rFonts w:ascii="Arial" w:hAnsi="Arial" w:cs="Arial"/>
          <w:sz w:val="22"/>
          <w:szCs w:val="22"/>
          <w:lang w:val="es-ES_tradnl"/>
        </w:rPr>
        <w:t xml:space="preserve">con número de radicado </w:t>
      </w:r>
      <w:r w:rsidRPr="00DC371E">
        <w:rPr>
          <w:rFonts w:ascii="Arial" w:hAnsi="Arial" w:cs="Arial"/>
          <w:sz w:val="22"/>
          <w:szCs w:val="22"/>
          <w:lang w:val="es-ES_tradnl"/>
        </w:rPr>
        <w:t>1-2021-061625 del 16 de julio de 2021 remitió la siguiente respuesta: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pStyle w:val="Prrafodelista"/>
        <w:numPr>
          <w:ilvl w:val="0"/>
          <w:numId w:val="10"/>
        </w:numPr>
        <w:jc w:val="both"/>
        <w:rPr>
          <w:rFonts w:ascii="Arial" w:hAnsi="Arial" w:cs="Arial"/>
          <w:sz w:val="22"/>
          <w:szCs w:val="22"/>
          <w:lang w:val="es-ES_tradnl"/>
        </w:rPr>
      </w:pPr>
      <w:r w:rsidRPr="00DC371E">
        <w:rPr>
          <w:rFonts w:ascii="Arial" w:hAnsi="Arial" w:cs="Arial"/>
          <w:sz w:val="22"/>
          <w:szCs w:val="22"/>
          <w:lang w:val="es-ES_tradnl"/>
        </w:rPr>
        <w:t>Relacionó una tabla del giro directo</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contextualSpacing/>
        <w:jc w:val="center"/>
        <w:rPr>
          <w:rFonts w:ascii="Arial" w:hAnsi="Arial" w:cs="Arial"/>
          <w:b/>
          <w:bCs/>
          <w:sz w:val="20"/>
          <w:szCs w:val="22"/>
          <w:lang w:val="es-ES_tradnl"/>
        </w:rPr>
      </w:pPr>
      <w:r w:rsidRPr="00E46D41">
        <w:rPr>
          <w:rFonts w:ascii="Arial" w:hAnsi="Arial" w:cs="Arial"/>
          <w:b/>
          <w:bCs/>
          <w:sz w:val="20"/>
          <w:szCs w:val="22"/>
          <w:lang w:val="es-ES_tradnl"/>
        </w:rPr>
        <w:t>TABLA 29- RELACION GIRO DIRECTO 2020. AA</w:t>
      </w:r>
    </w:p>
    <w:tbl>
      <w:tblPr>
        <w:tblStyle w:val="Tablaconcuadrcula"/>
        <w:tblW w:w="0" w:type="auto"/>
        <w:jc w:val="center"/>
        <w:tblLook w:val="04A0" w:firstRow="1" w:lastRow="0" w:firstColumn="1" w:lastColumn="0" w:noHBand="0" w:noVBand="1"/>
      </w:tblPr>
      <w:tblGrid>
        <w:gridCol w:w="1574"/>
        <w:gridCol w:w="1709"/>
        <w:gridCol w:w="1329"/>
      </w:tblGrid>
      <w:tr w:rsidR="00D75790" w:rsidRPr="00BF526E" w:rsidTr="00695E54">
        <w:trPr>
          <w:jc w:val="center"/>
        </w:trPr>
        <w:tc>
          <w:tcPr>
            <w:tcW w:w="1574" w:type="dxa"/>
            <w:shd w:val="clear" w:color="auto" w:fill="DBE5F1" w:themeFill="accent1" w:themeFillTint="33"/>
          </w:tcPr>
          <w:p w:rsidR="00D75790" w:rsidRPr="00E46D41" w:rsidRDefault="00D75790" w:rsidP="00695E54">
            <w:pPr>
              <w:contextualSpacing/>
              <w:jc w:val="center"/>
              <w:rPr>
                <w:rFonts w:ascii="Arial" w:hAnsi="Arial" w:cs="Arial"/>
                <w:b/>
                <w:bCs/>
                <w:sz w:val="18"/>
                <w:szCs w:val="22"/>
                <w:lang w:val="es-ES_tradnl"/>
              </w:rPr>
            </w:pPr>
            <w:r w:rsidRPr="00E46D41">
              <w:rPr>
                <w:rFonts w:ascii="Arial" w:hAnsi="Arial" w:cs="Arial"/>
                <w:b/>
                <w:bCs/>
                <w:sz w:val="18"/>
                <w:szCs w:val="22"/>
                <w:lang w:val="es-ES_tradnl"/>
              </w:rPr>
              <w:t>Valor Girado</w:t>
            </w:r>
          </w:p>
        </w:tc>
        <w:tc>
          <w:tcPr>
            <w:tcW w:w="1709" w:type="dxa"/>
            <w:shd w:val="clear" w:color="auto" w:fill="DBE5F1" w:themeFill="accent1" w:themeFillTint="33"/>
          </w:tcPr>
          <w:p w:rsidR="00D75790" w:rsidRPr="00E46D41" w:rsidRDefault="00D75790" w:rsidP="00695E54">
            <w:pPr>
              <w:contextualSpacing/>
              <w:jc w:val="center"/>
              <w:rPr>
                <w:rFonts w:ascii="Arial" w:hAnsi="Arial" w:cs="Arial"/>
                <w:b/>
                <w:bCs/>
                <w:sz w:val="18"/>
                <w:szCs w:val="22"/>
                <w:lang w:val="es-ES_tradnl"/>
              </w:rPr>
            </w:pPr>
            <w:r w:rsidRPr="00E46D41">
              <w:rPr>
                <w:rFonts w:ascii="Arial" w:hAnsi="Arial" w:cs="Arial"/>
                <w:b/>
                <w:bCs/>
                <w:sz w:val="18"/>
                <w:szCs w:val="22"/>
                <w:lang w:val="es-ES_tradnl"/>
              </w:rPr>
              <w:t>Valor Balance</w:t>
            </w:r>
          </w:p>
        </w:tc>
        <w:tc>
          <w:tcPr>
            <w:tcW w:w="1329" w:type="dxa"/>
            <w:shd w:val="clear" w:color="auto" w:fill="DBE5F1" w:themeFill="accent1" w:themeFillTint="33"/>
          </w:tcPr>
          <w:p w:rsidR="00D75790" w:rsidRPr="00E46D41" w:rsidRDefault="00D75790" w:rsidP="00695E54">
            <w:pPr>
              <w:contextualSpacing/>
              <w:jc w:val="center"/>
              <w:rPr>
                <w:rFonts w:ascii="Arial" w:hAnsi="Arial" w:cs="Arial"/>
                <w:b/>
                <w:bCs/>
                <w:sz w:val="18"/>
                <w:szCs w:val="22"/>
                <w:lang w:val="es-ES_tradnl"/>
              </w:rPr>
            </w:pPr>
            <w:r w:rsidRPr="00E46D41">
              <w:rPr>
                <w:rFonts w:ascii="Arial" w:hAnsi="Arial" w:cs="Arial"/>
                <w:b/>
                <w:bCs/>
                <w:sz w:val="18"/>
                <w:szCs w:val="22"/>
                <w:lang w:val="es-ES_tradnl"/>
              </w:rPr>
              <w:t>Diferencia</w:t>
            </w:r>
          </w:p>
        </w:tc>
      </w:tr>
      <w:tr w:rsidR="00D75790" w:rsidRPr="00BF526E" w:rsidTr="00695E54">
        <w:trPr>
          <w:jc w:val="center"/>
        </w:trPr>
        <w:tc>
          <w:tcPr>
            <w:tcW w:w="1574" w:type="dxa"/>
            <w:shd w:val="clear" w:color="auto" w:fill="DBE5F1" w:themeFill="accent1" w:themeFillTint="33"/>
          </w:tcPr>
          <w:p w:rsidR="00D75790" w:rsidRPr="00E46D41" w:rsidRDefault="00D75790" w:rsidP="00695E54">
            <w:pPr>
              <w:contextualSpacing/>
              <w:jc w:val="center"/>
              <w:rPr>
                <w:rFonts w:ascii="Arial" w:hAnsi="Arial" w:cs="Arial"/>
                <w:sz w:val="18"/>
                <w:szCs w:val="22"/>
                <w:lang w:val="es-ES_tradnl"/>
              </w:rPr>
            </w:pPr>
            <w:r w:rsidRPr="00E46D41">
              <w:rPr>
                <w:rFonts w:ascii="Arial" w:hAnsi="Arial" w:cs="Arial"/>
                <w:sz w:val="18"/>
                <w:szCs w:val="22"/>
                <w:lang w:val="es-ES_tradnl"/>
              </w:rPr>
              <w:t>$1.845</w:t>
            </w:r>
          </w:p>
        </w:tc>
        <w:tc>
          <w:tcPr>
            <w:tcW w:w="1709" w:type="dxa"/>
            <w:shd w:val="clear" w:color="auto" w:fill="DBE5F1" w:themeFill="accent1" w:themeFillTint="33"/>
          </w:tcPr>
          <w:p w:rsidR="00D75790" w:rsidRPr="00E46D41" w:rsidRDefault="00D75790" w:rsidP="00695E54">
            <w:pPr>
              <w:contextualSpacing/>
              <w:jc w:val="center"/>
              <w:rPr>
                <w:rFonts w:ascii="Arial" w:hAnsi="Arial" w:cs="Arial"/>
                <w:sz w:val="18"/>
                <w:szCs w:val="22"/>
                <w:lang w:val="es-ES_tradnl"/>
              </w:rPr>
            </w:pPr>
            <w:r w:rsidRPr="00E46D41">
              <w:rPr>
                <w:rFonts w:ascii="Arial" w:hAnsi="Arial" w:cs="Arial"/>
                <w:sz w:val="18"/>
                <w:szCs w:val="22"/>
                <w:lang w:val="es-ES_tradnl"/>
              </w:rPr>
              <w:t>$1.963</w:t>
            </w:r>
          </w:p>
        </w:tc>
        <w:tc>
          <w:tcPr>
            <w:tcW w:w="1329" w:type="dxa"/>
            <w:shd w:val="clear" w:color="auto" w:fill="DBE5F1" w:themeFill="accent1" w:themeFillTint="33"/>
          </w:tcPr>
          <w:p w:rsidR="00D75790" w:rsidRPr="00E46D41" w:rsidRDefault="00D75790" w:rsidP="00695E54">
            <w:pPr>
              <w:contextualSpacing/>
              <w:jc w:val="center"/>
              <w:rPr>
                <w:rFonts w:ascii="Arial" w:hAnsi="Arial" w:cs="Arial"/>
                <w:sz w:val="18"/>
                <w:szCs w:val="22"/>
                <w:lang w:val="es-ES_tradnl"/>
              </w:rPr>
            </w:pPr>
            <w:r w:rsidRPr="00E46D41">
              <w:rPr>
                <w:rFonts w:ascii="Arial" w:hAnsi="Arial" w:cs="Arial"/>
                <w:sz w:val="18"/>
                <w:szCs w:val="22"/>
                <w:lang w:val="es-ES_tradnl"/>
              </w:rPr>
              <w:t>$117</w:t>
            </w:r>
          </w:p>
        </w:tc>
      </w:tr>
    </w:tbl>
    <w:p w:rsidR="00D75790" w:rsidRPr="00DC371E" w:rsidRDefault="00D75790" w:rsidP="00D75790">
      <w:pPr>
        <w:contextualSpacing/>
        <w:jc w:val="center"/>
        <w:rPr>
          <w:rFonts w:ascii="Arial" w:hAnsi="Arial" w:cs="Arial"/>
          <w:sz w:val="18"/>
          <w:szCs w:val="18"/>
          <w:lang w:val="es-ES_tradnl"/>
        </w:rPr>
      </w:pPr>
      <w:r w:rsidRPr="00DC371E">
        <w:rPr>
          <w:rFonts w:ascii="Arial" w:hAnsi="Arial" w:cs="Arial"/>
          <w:sz w:val="18"/>
          <w:szCs w:val="18"/>
          <w:lang w:val="es-ES_tradnl"/>
        </w:rPr>
        <w:t>Fuente: Entidad Territorial. Cifras en millones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Con relación al giro directo del Operador del Servicio de Aseo, la Entidad Territorial respondió lo siguiente:</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En lo referente al giro directo a la empresa de Aseo Trash Busters S.A. E.S.P, se le negó la solicitud hecha por la Empresa debido a la falta de actualización de la Ordenanza que establece los porcentajes de subsidios y contribuciones</w:t>
      </w:r>
      <w:r w:rsidRPr="00E46D41">
        <w:rPr>
          <w:rFonts w:ascii="Arial" w:hAnsi="Arial" w:cs="Arial"/>
          <w:iCs/>
          <w:sz w:val="18"/>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Vale la pena hacer referencia a lo contenido en el artículo 4 del </w:t>
      </w:r>
      <w:r>
        <w:rPr>
          <w:rFonts w:ascii="Arial" w:hAnsi="Arial" w:cs="Arial"/>
          <w:sz w:val="22"/>
          <w:szCs w:val="22"/>
          <w:lang w:val="es-ES_tradnl"/>
        </w:rPr>
        <w:t>D</w:t>
      </w:r>
      <w:r w:rsidRPr="00DC371E">
        <w:rPr>
          <w:rFonts w:ascii="Arial" w:hAnsi="Arial" w:cs="Arial"/>
          <w:sz w:val="22"/>
          <w:szCs w:val="22"/>
          <w:lang w:val="es-ES_tradnl"/>
        </w:rPr>
        <w:t>ecreto</w:t>
      </w:r>
      <w:r>
        <w:rPr>
          <w:rFonts w:ascii="Arial" w:hAnsi="Arial" w:cs="Arial"/>
          <w:sz w:val="22"/>
          <w:szCs w:val="22"/>
          <w:lang w:val="es-ES_tradnl"/>
        </w:rPr>
        <w:t xml:space="preserve"> Ley</w:t>
      </w:r>
      <w:r w:rsidRPr="00DC371E">
        <w:rPr>
          <w:rFonts w:ascii="Arial" w:hAnsi="Arial" w:cs="Arial"/>
          <w:sz w:val="22"/>
          <w:szCs w:val="22"/>
          <w:lang w:val="es-ES_tradnl"/>
        </w:rPr>
        <w:t xml:space="preserve"> 528</w:t>
      </w:r>
      <w:r w:rsidRPr="00DC371E">
        <w:rPr>
          <w:rStyle w:val="Refdenotaalpie"/>
          <w:rFonts w:ascii="Arial" w:hAnsi="Arial" w:cs="Arial"/>
          <w:sz w:val="22"/>
          <w:szCs w:val="22"/>
          <w:lang w:val="es-ES_tradnl"/>
        </w:rPr>
        <w:footnoteReference w:id="35"/>
      </w:r>
      <w:r w:rsidRPr="00DC371E">
        <w:rPr>
          <w:rFonts w:ascii="Arial" w:hAnsi="Arial" w:cs="Arial"/>
          <w:sz w:val="22"/>
          <w:szCs w:val="22"/>
          <w:lang w:val="es-ES_tradnl"/>
        </w:rPr>
        <w:t xml:space="preserve"> de 2020:</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lastRenderedPageBreak/>
        <w:t xml:space="preserve">“El municipio deberá realizar la verificación de la </w:t>
      </w:r>
      <w:r w:rsidRPr="00E46D41">
        <w:rPr>
          <w:rFonts w:ascii="Arial" w:hAnsi="Arial" w:cs="Arial"/>
          <w:b/>
          <w:bCs/>
          <w:i/>
          <w:iCs/>
          <w:sz w:val="18"/>
          <w:szCs w:val="22"/>
          <w:lang w:val="es-ES_tradnl"/>
        </w:rPr>
        <w:t>correcta asignación</w:t>
      </w:r>
      <w:r w:rsidRPr="00E46D41">
        <w:rPr>
          <w:rFonts w:ascii="Arial" w:hAnsi="Arial" w:cs="Arial"/>
          <w:i/>
          <w:iCs/>
          <w:sz w:val="18"/>
          <w:szCs w:val="22"/>
          <w:lang w:val="es-ES_tradnl"/>
        </w:rPr>
        <w:t xml:space="preserve"> de los recursos del Sistema General de Participaciones para Agua Potable y Saneamiento Básico destinados a financiar los subsidios”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Pr>
          <w:rFonts w:ascii="Arial" w:hAnsi="Arial" w:cs="Arial"/>
          <w:sz w:val="22"/>
          <w:szCs w:val="22"/>
          <w:lang w:val="es-ES_tradnl"/>
        </w:rPr>
        <w:t>Esta</w:t>
      </w:r>
      <w:r w:rsidRPr="00DC371E">
        <w:rPr>
          <w:rFonts w:ascii="Arial" w:hAnsi="Arial" w:cs="Arial"/>
          <w:sz w:val="22"/>
          <w:szCs w:val="22"/>
          <w:lang w:val="es-ES_tradnl"/>
        </w:rPr>
        <w:t xml:space="preserve"> D</w:t>
      </w:r>
      <w:r>
        <w:rPr>
          <w:rFonts w:ascii="Arial" w:hAnsi="Arial" w:cs="Arial"/>
          <w:sz w:val="22"/>
          <w:szCs w:val="22"/>
          <w:lang w:val="es-ES_tradnl"/>
        </w:rPr>
        <w:t>irección</w:t>
      </w:r>
      <w:r w:rsidRPr="00DC371E">
        <w:rPr>
          <w:rFonts w:ascii="Arial" w:hAnsi="Arial" w:cs="Arial"/>
          <w:sz w:val="22"/>
          <w:szCs w:val="22"/>
          <w:lang w:val="es-ES_tradnl"/>
        </w:rPr>
        <w:t xml:space="preserve"> requirió un informe a la Entidad Territorial sobre la verificación de la correcta asignación de los recursos que financiaron los subsidios. La verificación, al menos debería contener </w:t>
      </w:r>
      <w:r w:rsidRPr="00DC371E">
        <w:rPr>
          <w:rFonts w:ascii="Arial" w:hAnsi="Arial" w:cs="Arial"/>
          <w:sz w:val="22"/>
          <w:szCs w:val="22"/>
        </w:rPr>
        <w:t xml:space="preserve">un análisis riguroso por parte de la Entidad Territorial de lo contenido en el régimen de servicios públicos y el </w:t>
      </w:r>
      <w:r>
        <w:rPr>
          <w:rFonts w:ascii="Arial" w:hAnsi="Arial" w:cs="Arial"/>
          <w:sz w:val="22"/>
          <w:szCs w:val="22"/>
        </w:rPr>
        <w:t>D</w:t>
      </w:r>
      <w:r w:rsidRPr="00DC371E">
        <w:rPr>
          <w:rFonts w:ascii="Arial" w:hAnsi="Arial" w:cs="Arial"/>
          <w:sz w:val="22"/>
          <w:szCs w:val="22"/>
        </w:rPr>
        <w:t xml:space="preserve">ecreto 1013 de 2005 </w:t>
      </w:r>
      <w:r>
        <w:rPr>
          <w:rFonts w:ascii="Arial" w:hAnsi="Arial" w:cs="Arial"/>
          <w:sz w:val="22"/>
          <w:szCs w:val="22"/>
        </w:rPr>
        <w:t>“</w:t>
      </w:r>
      <w:r w:rsidRPr="00DC371E">
        <w:rPr>
          <w:rFonts w:ascii="Arial" w:hAnsi="Arial" w:cs="Arial"/>
          <w:i/>
          <w:iCs/>
          <w:sz w:val="22"/>
          <w:szCs w:val="22"/>
        </w:rPr>
        <w:t>Por el cual se estableció la metodología para la determinación del equilibrio entre los subsidios y las contribuciones para los servicios públicos domiciliarios de acueducto, alcantarillado y aseo</w:t>
      </w:r>
      <w:r>
        <w:rPr>
          <w:rFonts w:ascii="Arial" w:hAnsi="Arial" w:cs="Arial"/>
          <w:sz w:val="22"/>
          <w:szCs w:val="22"/>
        </w:rPr>
        <w:t>”</w:t>
      </w:r>
      <w:r w:rsidRPr="00DC371E">
        <w:rPr>
          <w:rFonts w:ascii="Arial" w:hAnsi="Arial" w:cs="Arial"/>
          <w:sz w:val="22"/>
          <w:szCs w:val="22"/>
        </w:rPr>
        <w:t xml:space="preserve">, entre la información oficial y la presentada por los Operadores de los </w:t>
      </w:r>
      <w:r>
        <w:rPr>
          <w:rFonts w:ascii="Arial" w:hAnsi="Arial" w:cs="Arial"/>
          <w:sz w:val="22"/>
          <w:szCs w:val="22"/>
        </w:rPr>
        <w:t>S</w:t>
      </w:r>
      <w:r w:rsidRPr="00DC371E">
        <w:rPr>
          <w:rFonts w:ascii="Arial" w:hAnsi="Arial" w:cs="Arial"/>
          <w:sz w:val="22"/>
          <w:szCs w:val="22"/>
        </w:rPr>
        <w:t xml:space="preserve">ervicios </w:t>
      </w:r>
      <w:r>
        <w:rPr>
          <w:rFonts w:ascii="Arial" w:hAnsi="Arial" w:cs="Arial"/>
          <w:sz w:val="22"/>
          <w:szCs w:val="22"/>
        </w:rPr>
        <w:t>P</w:t>
      </w:r>
      <w:r w:rsidRPr="00DC371E">
        <w:rPr>
          <w:rFonts w:ascii="Arial" w:hAnsi="Arial" w:cs="Arial"/>
          <w:sz w:val="22"/>
          <w:szCs w:val="22"/>
        </w:rPr>
        <w:t xml:space="preserve">úblicos </w:t>
      </w:r>
      <w:r>
        <w:rPr>
          <w:rFonts w:ascii="Arial" w:hAnsi="Arial" w:cs="Arial"/>
          <w:sz w:val="22"/>
          <w:szCs w:val="22"/>
        </w:rPr>
        <w:t>D</w:t>
      </w:r>
      <w:r w:rsidRPr="00DC371E">
        <w:rPr>
          <w:rFonts w:ascii="Arial" w:hAnsi="Arial" w:cs="Arial"/>
          <w:sz w:val="22"/>
          <w:szCs w:val="22"/>
        </w:rPr>
        <w:t>omiciliarios de Acueducto, Alcantarillado y Aseo, relacionada con la facturación presentada por los Operadores en los componentes de:</w:t>
      </w:r>
    </w:p>
    <w:p w:rsidR="00D75790" w:rsidRPr="00DC371E" w:rsidRDefault="00D75790" w:rsidP="00D75790">
      <w:pPr>
        <w:contextualSpacing/>
        <w:jc w:val="both"/>
        <w:rPr>
          <w:rFonts w:ascii="Arial" w:hAnsi="Arial" w:cs="Arial"/>
          <w:sz w:val="22"/>
          <w:szCs w:val="22"/>
        </w:rPr>
      </w:pPr>
    </w:p>
    <w:p w:rsidR="00D75790" w:rsidRPr="00DC371E" w:rsidRDefault="00D75790" w:rsidP="00D75790">
      <w:pPr>
        <w:pStyle w:val="Prrafodelista"/>
        <w:numPr>
          <w:ilvl w:val="0"/>
          <w:numId w:val="16"/>
        </w:numPr>
        <w:jc w:val="both"/>
        <w:rPr>
          <w:rFonts w:ascii="Arial" w:hAnsi="Arial" w:cs="Arial"/>
          <w:sz w:val="22"/>
          <w:szCs w:val="22"/>
        </w:rPr>
      </w:pPr>
      <w:r w:rsidRPr="00DC371E">
        <w:rPr>
          <w:rFonts w:ascii="Arial" w:hAnsi="Arial" w:cs="Arial"/>
          <w:sz w:val="22"/>
          <w:szCs w:val="22"/>
        </w:rPr>
        <w:t>Estratificación oficial Vs</w:t>
      </w:r>
      <w:r>
        <w:rPr>
          <w:rFonts w:ascii="Arial" w:hAnsi="Arial" w:cs="Arial"/>
          <w:sz w:val="22"/>
          <w:szCs w:val="22"/>
        </w:rPr>
        <w:t>.</w:t>
      </w:r>
      <w:r w:rsidRPr="00DC371E">
        <w:rPr>
          <w:rFonts w:ascii="Arial" w:hAnsi="Arial" w:cs="Arial"/>
          <w:sz w:val="22"/>
          <w:szCs w:val="22"/>
        </w:rPr>
        <w:t xml:space="preserve"> estratificación aplicada por el Operador.</w:t>
      </w:r>
    </w:p>
    <w:p w:rsidR="00D75790" w:rsidRPr="00DC371E" w:rsidRDefault="00D75790" w:rsidP="00D75790">
      <w:pPr>
        <w:pStyle w:val="Prrafodelista"/>
        <w:numPr>
          <w:ilvl w:val="0"/>
          <w:numId w:val="16"/>
        </w:numPr>
        <w:jc w:val="both"/>
        <w:rPr>
          <w:rFonts w:ascii="Arial" w:hAnsi="Arial" w:cs="Arial"/>
          <w:sz w:val="22"/>
          <w:szCs w:val="22"/>
        </w:rPr>
      </w:pPr>
      <w:r w:rsidRPr="00DC371E">
        <w:rPr>
          <w:rFonts w:ascii="Arial" w:hAnsi="Arial" w:cs="Arial"/>
          <w:sz w:val="22"/>
          <w:szCs w:val="22"/>
        </w:rPr>
        <w:t>Consumos por usuarios. Análisis de variaciones de consumos y consumos básicos.</w:t>
      </w:r>
    </w:p>
    <w:p w:rsidR="00D75790" w:rsidRPr="00DC371E" w:rsidRDefault="00D75790" w:rsidP="00D75790">
      <w:pPr>
        <w:pStyle w:val="Prrafodelista"/>
        <w:numPr>
          <w:ilvl w:val="0"/>
          <w:numId w:val="16"/>
        </w:numPr>
        <w:jc w:val="both"/>
        <w:rPr>
          <w:rFonts w:ascii="Arial" w:hAnsi="Arial" w:cs="Arial"/>
          <w:sz w:val="22"/>
          <w:szCs w:val="22"/>
        </w:rPr>
      </w:pPr>
      <w:r w:rsidRPr="00DC371E">
        <w:rPr>
          <w:rFonts w:ascii="Arial" w:hAnsi="Arial" w:cs="Arial"/>
          <w:sz w:val="22"/>
          <w:szCs w:val="22"/>
        </w:rPr>
        <w:t>Cantidad de usuarios atendidos, discriminados por servicio, estrato y uso</w:t>
      </w:r>
      <w:r>
        <w:rPr>
          <w:rFonts w:ascii="Arial" w:hAnsi="Arial" w:cs="Arial"/>
          <w:sz w:val="22"/>
          <w:szCs w:val="22"/>
        </w:rPr>
        <w:t>.</w:t>
      </w:r>
    </w:p>
    <w:p w:rsidR="00D75790" w:rsidRPr="00DC371E" w:rsidRDefault="00D75790" w:rsidP="00D75790">
      <w:pPr>
        <w:pStyle w:val="Prrafodelista"/>
        <w:numPr>
          <w:ilvl w:val="0"/>
          <w:numId w:val="16"/>
        </w:numPr>
        <w:autoSpaceDE w:val="0"/>
        <w:autoSpaceDN w:val="0"/>
        <w:adjustRightInd w:val="0"/>
        <w:jc w:val="both"/>
        <w:rPr>
          <w:rFonts w:ascii="Arial" w:hAnsi="Arial" w:cs="Arial"/>
          <w:sz w:val="22"/>
          <w:szCs w:val="22"/>
        </w:rPr>
      </w:pPr>
      <w:r w:rsidRPr="00DC371E">
        <w:rPr>
          <w:rFonts w:ascii="Arial" w:hAnsi="Arial" w:cs="Arial"/>
          <w:sz w:val="22"/>
          <w:szCs w:val="22"/>
        </w:rPr>
        <w:t xml:space="preserve">Estructura tarifaria vigente, y el porcentaje o factor de </w:t>
      </w:r>
      <w:r>
        <w:rPr>
          <w:rFonts w:ascii="Arial" w:hAnsi="Arial" w:cs="Arial"/>
          <w:sz w:val="22"/>
          <w:szCs w:val="22"/>
        </w:rPr>
        <w:t>a</w:t>
      </w:r>
      <w:r w:rsidRPr="00DC371E">
        <w:rPr>
          <w:rFonts w:ascii="Arial" w:hAnsi="Arial" w:cs="Arial"/>
          <w:sz w:val="22"/>
          <w:szCs w:val="22"/>
        </w:rPr>
        <w:t xml:space="preserve">porte </w:t>
      </w:r>
      <w:r>
        <w:rPr>
          <w:rFonts w:ascii="Arial" w:hAnsi="Arial" w:cs="Arial"/>
          <w:sz w:val="22"/>
          <w:szCs w:val="22"/>
        </w:rPr>
        <w:t>s</w:t>
      </w:r>
      <w:r w:rsidRPr="00DC371E">
        <w:rPr>
          <w:rFonts w:ascii="Arial" w:hAnsi="Arial" w:cs="Arial"/>
          <w:sz w:val="22"/>
          <w:szCs w:val="22"/>
        </w:rPr>
        <w:t>olidario aplicado en el año respectivo.</w:t>
      </w:r>
    </w:p>
    <w:p w:rsidR="00D75790" w:rsidRPr="00DC371E" w:rsidRDefault="00D75790" w:rsidP="00D75790">
      <w:pPr>
        <w:pStyle w:val="Prrafodelista"/>
        <w:numPr>
          <w:ilvl w:val="0"/>
          <w:numId w:val="16"/>
        </w:numPr>
        <w:autoSpaceDE w:val="0"/>
        <w:autoSpaceDN w:val="0"/>
        <w:adjustRightInd w:val="0"/>
        <w:jc w:val="both"/>
        <w:rPr>
          <w:rFonts w:ascii="Arial" w:hAnsi="Arial" w:cs="Arial"/>
          <w:sz w:val="22"/>
          <w:szCs w:val="22"/>
        </w:rPr>
      </w:pPr>
      <w:r w:rsidRPr="00DC371E">
        <w:rPr>
          <w:rFonts w:ascii="Arial" w:hAnsi="Arial" w:cs="Arial"/>
          <w:sz w:val="22"/>
          <w:szCs w:val="22"/>
        </w:rPr>
        <w:t>Verificación del debido recaudo de las contribuciones solidarias en usuarios de uso industrial, comercial y de uso residencia de estratos 5 y 6.</w:t>
      </w:r>
    </w:p>
    <w:p w:rsidR="00D75790" w:rsidRPr="00DC371E" w:rsidRDefault="00D75790" w:rsidP="00D75790">
      <w:pPr>
        <w:pStyle w:val="Prrafodelista"/>
        <w:numPr>
          <w:ilvl w:val="0"/>
          <w:numId w:val="16"/>
        </w:numPr>
        <w:autoSpaceDE w:val="0"/>
        <w:autoSpaceDN w:val="0"/>
        <w:adjustRightInd w:val="0"/>
        <w:jc w:val="both"/>
        <w:rPr>
          <w:rFonts w:ascii="Arial" w:hAnsi="Arial" w:cs="Arial"/>
          <w:sz w:val="22"/>
          <w:szCs w:val="22"/>
        </w:rPr>
      </w:pPr>
      <w:r w:rsidRPr="00DC371E">
        <w:rPr>
          <w:rFonts w:ascii="Arial" w:hAnsi="Arial" w:cs="Arial"/>
          <w:sz w:val="22"/>
          <w:szCs w:val="22"/>
        </w:rPr>
        <w:t>Verificación de la adecuada aplicación de los porcentajes de subsidios y contribuciones.</w:t>
      </w:r>
    </w:p>
    <w:p w:rsidR="00D75790" w:rsidRPr="00DC371E" w:rsidRDefault="00D75790" w:rsidP="00D75790">
      <w:pPr>
        <w:pStyle w:val="Prrafodelista"/>
        <w:numPr>
          <w:ilvl w:val="0"/>
          <w:numId w:val="16"/>
        </w:numPr>
        <w:autoSpaceDE w:val="0"/>
        <w:autoSpaceDN w:val="0"/>
        <w:adjustRightInd w:val="0"/>
        <w:jc w:val="both"/>
        <w:rPr>
          <w:rFonts w:ascii="Arial" w:hAnsi="Arial" w:cs="Arial"/>
          <w:sz w:val="22"/>
          <w:szCs w:val="22"/>
        </w:rPr>
      </w:pPr>
      <w:r w:rsidRPr="00DC371E">
        <w:rPr>
          <w:rFonts w:ascii="Arial" w:hAnsi="Arial" w:cs="Arial"/>
          <w:sz w:val="22"/>
          <w:szCs w:val="22"/>
        </w:rPr>
        <w:t xml:space="preserve">En el </w:t>
      </w:r>
      <w:r>
        <w:rPr>
          <w:rFonts w:ascii="Arial" w:hAnsi="Arial" w:cs="Arial"/>
          <w:sz w:val="22"/>
          <w:szCs w:val="22"/>
        </w:rPr>
        <w:t>S</w:t>
      </w:r>
      <w:r w:rsidRPr="00DC371E">
        <w:rPr>
          <w:rFonts w:ascii="Arial" w:hAnsi="Arial" w:cs="Arial"/>
          <w:sz w:val="22"/>
          <w:szCs w:val="22"/>
        </w:rPr>
        <w:t xml:space="preserve">ervicio de </w:t>
      </w:r>
      <w:r>
        <w:rPr>
          <w:rFonts w:ascii="Arial" w:hAnsi="Arial" w:cs="Arial"/>
          <w:sz w:val="22"/>
          <w:szCs w:val="22"/>
        </w:rPr>
        <w:t>A</w:t>
      </w:r>
      <w:r w:rsidRPr="00DC371E">
        <w:rPr>
          <w:rFonts w:ascii="Arial" w:hAnsi="Arial" w:cs="Arial"/>
          <w:sz w:val="22"/>
          <w:szCs w:val="22"/>
        </w:rPr>
        <w:t xml:space="preserve">seo, verificación de los resultados del aforo de los </w:t>
      </w:r>
      <w:r>
        <w:rPr>
          <w:rFonts w:ascii="Arial" w:hAnsi="Arial" w:cs="Arial"/>
          <w:sz w:val="22"/>
          <w:szCs w:val="22"/>
        </w:rPr>
        <w:t>g</w:t>
      </w:r>
      <w:r w:rsidRPr="00DC371E">
        <w:rPr>
          <w:rFonts w:ascii="Arial" w:hAnsi="Arial" w:cs="Arial"/>
          <w:sz w:val="22"/>
          <w:szCs w:val="22"/>
        </w:rPr>
        <w:t xml:space="preserve">randes </w:t>
      </w:r>
      <w:r>
        <w:rPr>
          <w:rFonts w:ascii="Arial" w:hAnsi="Arial" w:cs="Arial"/>
          <w:sz w:val="22"/>
          <w:szCs w:val="22"/>
        </w:rPr>
        <w:t>g</w:t>
      </w:r>
      <w:r w:rsidRPr="00DC371E">
        <w:rPr>
          <w:rFonts w:ascii="Arial" w:hAnsi="Arial" w:cs="Arial"/>
          <w:sz w:val="22"/>
          <w:szCs w:val="22"/>
        </w:rPr>
        <w:t xml:space="preserve">eneradores y la información de los </w:t>
      </w:r>
      <w:r>
        <w:rPr>
          <w:rFonts w:ascii="Arial" w:hAnsi="Arial" w:cs="Arial"/>
          <w:sz w:val="22"/>
          <w:szCs w:val="22"/>
        </w:rPr>
        <w:t>p</w:t>
      </w:r>
      <w:r w:rsidRPr="00DC371E">
        <w:rPr>
          <w:rFonts w:ascii="Arial" w:hAnsi="Arial" w:cs="Arial"/>
          <w:sz w:val="22"/>
          <w:szCs w:val="22"/>
        </w:rPr>
        <w:t xml:space="preserve">equeños </w:t>
      </w:r>
      <w:r>
        <w:rPr>
          <w:rFonts w:ascii="Arial" w:hAnsi="Arial" w:cs="Arial"/>
          <w:sz w:val="22"/>
          <w:szCs w:val="22"/>
        </w:rPr>
        <w:t>p</w:t>
      </w:r>
      <w:r w:rsidRPr="00DC371E">
        <w:rPr>
          <w:rFonts w:ascii="Arial" w:hAnsi="Arial" w:cs="Arial"/>
          <w:sz w:val="22"/>
          <w:szCs w:val="22"/>
        </w:rPr>
        <w:t xml:space="preserve">roductores y </w:t>
      </w:r>
      <w:r>
        <w:rPr>
          <w:rFonts w:ascii="Arial" w:hAnsi="Arial" w:cs="Arial"/>
          <w:sz w:val="22"/>
          <w:szCs w:val="22"/>
        </w:rPr>
        <w:t>m</w:t>
      </w:r>
      <w:r w:rsidRPr="00DC371E">
        <w:rPr>
          <w:rFonts w:ascii="Arial" w:hAnsi="Arial" w:cs="Arial"/>
          <w:sz w:val="22"/>
          <w:szCs w:val="22"/>
        </w:rPr>
        <w:t>ultiusuarios que lo hayan solicitado.</w:t>
      </w:r>
    </w:p>
    <w:p w:rsidR="00D75790" w:rsidRPr="00DC371E" w:rsidRDefault="00D75790" w:rsidP="00D75790">
      <w:pPr>
        <w:pStyle w:val="Prrafodelista"/>
        <w:numPr>
          <w:ilvl w:val="0"/>
          <w:numId w:val="16"/>
        </w:numPr>
        <w:autoSpaceDE w:val="0"/>
        <w:autoSpaceDN w:val="0"/>
        <w:adjustRightInd w:val="0"/>
        <w:jc w:val="both"/>
        <w:rPr>
          <w:rFonts w:ascii="Arial" w:hAnsi="Arial" w:cs="Arial"/>
          <w:sz w:val="22"/>
          <w:szCs w:val="22"/>
        </w:rPr>
      </w:pPr>
      <w:r w:rsidRPr="00DC371E">
        <w:rPr>
          <w:rFonts w:ascii="Arial" w:hAnsi="Arial" w:cs="Arial"/>
          <w:sz w:val="22"/>
          <w:szCs w:val="22"/>
        </w:rPr>
        <w:t xml:space="preserve">Análisis de costos en los componentes tarifarios del </w:t>
      </w:r>
      <w:r>
        <w:rPr>
          <w:rFonts w:ascii="Arial" w:hAnsi="Arial" w:cs="Arial"/>
          <w:sz w:val="22"/>
          <w:szCs w:val="22"/>
        </w:rPr>
        <w:t>S</w:t>
      </w:r>
      <w:r w:rsidRPr="00DC371E">
        <w:rPr>
          <w:rFonts w:ascii="Arial" w:hAnsi="Arial" w:cs="Arial"/>
          <w:sz w:val="22"/>
          <w:szCs w:val="22"/>
        </w:rPr>
        <w:t xml:space="preserve">ervicio de </w:t>
      </w:r>
      <w:r>
        <w:rPr>
          <w:rFonts w:ascii="Arial" w:hAnsi="Arial" w:cs="Arial"/>
          <w:sz w:val="22"/>
          <w:szCs w:val="22"/>
        </w:rPr>
        <w:t>A</w:t>
      </w:r>
      <w:r w:rsidRPr="00DC371E">
        <w:rPr>
          <w:rFonts w:ascii="Arial" w:hAnsi="Arial" w:cs="Arial"/>
          <w:sz w:val="22"/>
          <w:szCs w:val="22"/>
        </w:rPr>
        <w:t>seo, especialmente los de transporte y disposición final.</w:t>
      </w:r>
    </w:p>
    <w:p w:rsidR="00D75790" w:rsidRPr="00DC371E" w:rsidRDefault="00D75790" w:rsidP="00D75790">
      <w:pPr>
        <w:contextualSpacing/>
        <w:jc w:val="both"/>
        <w:rPr>
          <w:rFonts w:ascii="Arial" w:hAnsi="Arial" w:cs="Arial"/>
          <w:sz w:val="22"/>
          <w:szCs w:val="22"/>
        </w:rPr>
      </w:pPr>
    </w:p>
    <w:p w:rsidR="00D75790" w:rsidRPr="00DC371E" w:rsidRDefault="00D75790" w:rsidP="00D75790">
      <w:pPr>
        <w:contextualSpacing/>
        <w:jc w:val="both"/>
        <w:rPr>
          <w:rFonts w:ascii="Arial" w:hAnsi="Arial" w:cs="Arial"/>
          <w:sz w:val="22"/>
          <w:szCs w:val="22"/>
          <w:lang w:val="es-ES_tradnl"/>
        </w:rPr>
      </w:pPr>
      <w:r>
        <w:rPr>
          <w:rFonts w:ascii="Arial" w:hAnsi="Arial" w:cs="Arial"/>
          <w:sz w:val="22"/>
          <w:szCs w:val="22"/>
        </w:rPr>
        <w:t>L</w:t>
      </w:r>
      <w:r w:rsidRPr="00DC371E">
        <w:rPr>
          <w:rFonts w:ascii="Arial" w:hAnsi="Arial" w:cs="Arial"/>
          <w:sz w:val="22"/>
          <w:szCs w:val="22"/>
        </w:rPr>
        <w:t xml:space="preserve">a información entregada, no corresponde con una adecuada verificación del uso de los recursos del SGP </w:t>
      </w:r>
      <w:r>
        <w:rPr>
          <w:rFonts w:ascii="Arial" w:hAnsi="Arial" w:cs="Arial"/>
          <w:sz w:val="22"/>
          <w:szCs w:val="22"/>
        </w:rPr>
        <w:t xml:space="preserve">- </w:t>
      </w:r>
      <w:r w:rsidRPr="00DC371E">
        <w:rPr>
          <w:rFonts w:ascii="Arial" w:hAnsi="Arial" w:cs="Arial"/>
          <w:sz w:val="22"/>
          <w:szCs w:val="22"/>
        </w:rPr>
        <w:t>APSB que financian los subsidios para los servicios de Acueducto y Alcantarillado</w:t>
      </w:r>
      <w:r>
        <w:rPr>
          <w:rFonts w:ascii="Arial" w:hAnsi="Arial" w:cs="Arial"/>
          <w:sz w:val="22"/>
          <w:szCs w:val="22"/>
        </w:rPr>
        <w:t>, la cual, de conformidad con el régimen de servicios públicos, debió contener lo exigido en decreto 1013 de 2005, lo cual se relacionó en el párrafo inmediatamente anterior</w:t>
      </w:r>
      <w:r w:rsidRPr="00DC371E">
        <w:rPr>
          <w:rFonts w:ascii="Arial" w:hAnsi="Arial" w:cs="Arial"/>
          <w:sz w:val="22"/>
          <w:szCs w:val="22"/>
        </w:rPr>
        <w:t>. La Entidad Territorial se circunscribió a relacionar de manera sucinta los montos totales que fueron requeridos por el Operador, financiados con el SGP APSB por giro directo en los servicios de acueducto y alcantarillado, incumpliendo con la entrega de información requerida.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Los restantes documentos no fueron entregados por la Entidad Territorial:</w:t>
      </w:r>
    </w:p>
    <w:p w:rsidR="00D75790" w:rsidRPr="00DC371E" w:rsidRDefault="00D75790" w:rsidP="00D75790">
      <w:pPr>
        <w:contextualSpacing/>
        <w:jc w:val="both"/>
        <w:rPr>
          <w:rFonts w:ascii="Arial" w:hAnsi="Arial" w:cs="Arial"/>
          <w:sz w:val="22"/>
          <w:szCs w:val="22"/>
          <w:lang w:val="es-ES_tradnl"/>
        </w:rPr>
      </w:pPr>
    </w:p>
    <w:p w:rsidR="00D75790" w:rsidRPr="005C2706" w:rsidRDefault="00D75790" w:rsidP="00D75790">
      <w:pPr>
        <w:pStyle w:val="Prrafodelista"/>
        <w:numPr>
          <w:ilvl w:val="0"/>
          <w:numId w:val="10"/>
        </w:numPr>
        <w:jc w:val="both"/>
        <w:rPr>
          <w:rFonts w:ascii="Arial" w:hAnsi="Arial" w:cs="Arial"/>
          <w:sz w:val="22"/>
          <w:szCs w:val="22"/>
          <w:lang w:val="es-ES_tradnl"/>
        </w:rPr>
      </w:pPr>
      <w:r w:rsidRPr="005C2706">
        <w:rPr>
          <w:rFonts w:ascii="Arial" w:hAnsi="Arial" w:cs="Arial"/>
          <w:sz w:val="22"/>
          <w:szCs w:val="22"/>
          <w:lang w:val="es-ES_tradnl"/>
        </w:rPr>
        <w:t>Copia actualizada del documento: “</w:t>
      </w:r>
      <w:r w:rsidRPr="00E46D41">
        <w:rPr>
          <w:rFonts w:ascii="Arial" w:hAnsi="Arial" w:cs="Arial"/>
          <w:i/>
          <w:sz w:val="22"/>
          <w:szCs w:val="22"/>
          <w:lang w:val="es-ES_tradnl"/>
        </w:rPr>
        <w:t>Resultados del monitoreo a la calidad del agua subterránea por Unidades de Planificación Insular</w:t>
      </w:r>
      <w:r w:rsidRPr="005C2706">
        <w:rPr>
          <w:rFonts w:ascii="Arial" w:hAnsi="Arial" w:cs="Arial"/>
          <w:sz w:val="22"/>
          <w:szCs w:val="22"/>
          <w:lang w:val="es-ES_tradnl"/>
        </w:rPr>
        <w:t>”.</w:t>
      </w:r>
    </w:p>
    <w:p w:rsidR="00D75790" w:rsidRPr="005C2706" w:rsidRDefault="00D75790" w:rsidP="00D75790">
      <w:pPr>
        <w:pStyle w:val="Prrafodelista"/>
        <w:numPr>
          <w:ilvl w:val="0"/>
          <w:numId w:val="10"/>
        </w:numPr>
        <w:jc w:val="both"/>
        <w:rPr>
          <w:rFonts w:ascii="Arial" w:hAnsi="Arial" w:cs="Arial"/>
          <w:sz w:val="22"/>
          <w:szCs w:val="22"/>
          <w:lang w:val="es-ES_tradnl"/>
        </w:rPr>
      </w:pPr>
      <w:r w:rsidRPr="005C2706">
        <w:rPr>
          <w:rFonts w:ascii="Arial" w:hAnsi="Arial" w:cs="Arial"/>
          <w:sz w:val="22"/>
          <w:szCs w:val="22"/>
          <w:lang w:val="es-ES_tradnl"/>
        </w:rPr>
        <w:t>Certificación de las gestiones realizadas por la Entidad en torno al Comité de Desarrollo y Control Social donde se verifique su existencia o inexistencia.</w:t>
      </w:r>
    </w:p>
    <w:p w:rsidR="00D75790" w:rsidRPr="00DC371E" w:rsidRDefault="00D75790" w:rsidP="00D75790">
      <w:pPr>
        <w:pStyle w:val="Prrafodelista"/>
        <w:numPr>
          <w:ilvl w:val="0"/>
          <w:numId w:val="10"/>
        </w:numPr>
        <w:jc w:val="both"/>
        <w:rPr>
          <w:rFonts w:ascii="Arial" w:hAnsi="Arial" w:cs="Arial"/>
          <w:sz w:val="22"/>
          <w:szCs w:val="22"/>
          <w:lang w:val="es-ES_tradnl"/>
        </w:rPr>
      </w:pPr>
      <w:r w:rsidRPr="00DC371E">
        <w:rPr>
          <w:rFonts w:ascii="Arial" w:hAnsi="Arial" w:cs="Arial"/>
          <w:sz w:val="22"/>
          <w:szCs w:val="22"/>
          <w:lang w:val="es-ES_tradnl"/>
        </w:rPr>
        <w:t>Certificación y relación de permisos y licencias del uso del agua por parte de la Autoridad Ambiental en pozos de extracción acuífera.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lastRenderedPageBreak/>
        <w:t>De acuerdo con lo establecido en el artículo 22 del Decreto 028 de 2008 para efectos del ejercicio de las actividades de monitoreo, seguimiento y control integral, es deber de las entidades territoriales suministrar la información requerida a los responsables institucionales en desarrollo de la Estrategia.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Así las cosas, la no entrega de la información solicitada por la Dirección de Apoyo Fiscal del Ministerio de Hacienda y Crédito Público, se constituye como un evento de riesgo en el marco de la estrategia de Monitoreo, Seguimiento y Control Integral al uso de los recursos del Sistema General de Participaciones.</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b/>
          <w:bCs/>
          <w:sz w:val="22"/>
          <w:szCs w:val="22"/>
          <w:lang w:val="es-ES_tradnl"/>
        </w:rPr>
        <w:t>Evidencias:</w:t>
      </w:r>
    </w:p>
    <w:p w:rsidR="00D75790" w:rsidRPr="00DC371E" w:rsidRDefault="00D75790" w:rsidP="00D75790">
      <w:pPr>
        <w:contextualSpacing/>
        <w:jc w:val="both"/>
        <w:rPr>
          <w:rFonts w:ascii="Arial" w:hAnsi="Arial" w:cs="Arial"/>
          <w:sz w:val="22"/>
          <w:szCs w:val="22"/>
          <w:lang w:val="es-ES_tradnl"/>
        </w:rPr>
      </w:pPr>
    </w:p>
    <w:p w:rsidR="00D75790" w:rsidRPr="00D64AD1" w:rsidRDefault="00D75790" w:rsidP="00D75790">
      <w:pPr>
        <w:contextualSpacing/>
        <w:jc w:val="both"/>
        <w:rPr>
          <w:rFonts w:ascii="Arial" w:hAnsi="Arial" w:cs="Arial"/>
          <w:sz w:val="22"/>
          <w:szCs w:val="22"/>
          <w:lang w:val="es-ES_tradnl"/>
        </w:rPr>
      </w:pPr>
      <w:r w:rsidRPr="00D64AD1">
        <w:rPr>
          <w:rFonts w:ascii="Arial" w:hAnsi="Arial" w:cs="Arial"/>
          <w:sz w:val="22"/>
          <w:szCs w:val="22"/>
          <w:lang w:val="es-ES_tradnl"/>
        </w:rPr>
        <w:t>Obra en el expediente digital en el Sistema de Información Electrónica Documental</w:t>
      </w:r>
      <w:r>
        <w:rPr>
          <w:rFonts w:ascii="Arial" w:hAnsi="Arial" w:cs="Arial"/>
          <w:sz w:val="22"/>
          <w:szCs w:val="22"/>
          <w:lang w:val="es-ES_tradnl"/>
        </w:rPr>
        <w:t xml:space="preserve"> </w:t>
      </w:r>
      <w:r w:rsidRPr="00D64AD1">
        <w:rPr>
          <w:rFonts w:ascii="Arial" w:hAnsi="Arial" w:cs="Arial"/>
          <w:sz w:val="22"/>
          <w:szCs w:val="22"/>
          <w:lang w:val="es-ES_tradnl"/>
        </w:rPr>
        <w:t>- SIED del Ministerio de Hacienda y Crédito Público número 20/2021/D028-PREDI, el siguiente material probatorio, en 1. Oficio de requerimiento de información del día 9 de julio de 2021, bajo el radicado 2-2021-035344 y 2</w:t>
      </w:r>
      <w:r>
        <w:rPr>
          <w:rFonts w:ascii="Arial" w:hAnsi="Arial" w:cs="Arial"/>
          <w:sz w:val="22"/>
          <w:szCs w:val="22"/>
          <w:lang w:val="es-ES_tradnl"/>
        </w:rPr>
        <w:t>.</w:t>
      </w:r>
      <w:r w:rsidRPr="00D64AD1">
        <w:rPr>
          <w:rFonts w:ascii="Arial" w:hAnsi="Arial" w:cs="Arial"/>
          <w:sz w:val="22"/>
          <w:szCs w:val="22"/>
          <w:lang w:val="es-ES_tradnl"/>
        </w:rPr>
        <w:t xml:space="preserve"> Respuesta de SAI</w:t>
      </w:r>
      <w:r>
        <w:rPr>
          <w:rFonts w:ascii="Arial" w:hAnsi="Arial" w:cs="Arial"/>
          <w:sz w:val="22"/>
          <w:szCs w:val="22"/>
          <w:lang w:val="es-ES_tradnl"/>
        </w:rPr>
        <w:t xml:space="preserve"> </w:t>
      </w:r>
      <w:r w:rsidRPr="00D64AD1">
        <w:rPr>
          <w:rFonts w:ascii="Arial" w:hAnsi="Arial" w:cs="Arial"/>
          <w:sz w:val="22"/>
          <w:szCs w:val="22"/>
          <w:lang w:val="es-ES_tradnl"/>
        </w:rPr>
        <w:t>Radicado 1-2021-061625 del día 16 de julio de 2021:</w:t>
      </w:r>
    </w:p>
    <w:p w:rsidR="00D75790" w:rsidRPr="00063AAD" w:rsidRDefault="00D75790" w:rsidP="00D75790">
      <w:pPr>
        <w:contextualSpacing/>
        <w:jc w:val="both"/>
        <w:rPr>
          <w:rFonts w:ascii="Arial" w:hAnsi="Arial" w:cs="Arial"/>
          <w:sz w:val="22"/>
          <w:szCs w:val="22"/>
          <w:lang w:val="es-ES_tradnl"/>
        </w:rPr>
      </w:pPr>
    </w:p>
    <w:p w:rsidR="00D75790" w:rsidRDefault="00D75790" w:rsidP="00D75790">
      <w:pPr>
        <w:pStyle w:val="Prrafodelista"/>
        <w:numPr>
          <w:ilvl w:val="0"/>
          <w:numId w:val="25"/>
        </w:numPr>
        <w:spacing w:after="33"/>
        <w:jc w:val="both"/>
        <w:rPr>
          <w:rFonts w:ascii="Arial" w:hAnsi="Arial" w:cs="Arial"/>
          <w:sz w:val="22"/>
          <w:szCs w:val="22"/>
          <w:lang w:val="es-ES_tradnl"/>
        </w:rPr>
      </w:pPr>
      <w:r w:rsidRPr="00D64AD1">
        <w:rPr>
          <w:rFonts w:ascii="Arial" w:hAnsi="Arial" w:cs="Arial"/>
          <w:sz w:val="22"/>
          <w:szCs w:val="22"/>
          <w:lang w:val="es-ES_tradnl"/>
        </w:rPr>
        <w:t>Radicado 2-2021-035344.Sector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D64AD1">
        <w:rPr>
          <w:rFonts w:ascii="Arial" w:hAnsi="Arial" w:cs="Arial"/>
          <w:sz w:val="22"/>
          <w:szCs w:val="22"/>
          <w:lang w:val="es-ES_tradnl"/>
        </w:rPr>
        <w:t xml:space="preserve"> 20/2021/D028-PREDI. Radicado 2-2021-035344 de fecha del 9 de julio de 2021. Enlace: </w:t>
      </w:r>
      <w:hyperlink r:id="rId23" w:history="1">
        <w:r w:rsidRPr="008C4F65">
          <w:rPr>
            <w:rStyle w:val="Hipervnculo"/>
            <w:rFonts w:ascii="Arial" w:hAnsi="Arial" w:cs="Arial"/>
            <w:sz w:val="22"/>
            <w:szCs w:val="22"/>
            <w:lang w:val="es-ES_tradnl"/>
          </w:rPr>
          <w:t>http://portalgestiondoc.minhacienda.red/PortalEmpleado/viewer.jsp?config=Zi9VUg3O0uxA123v9AcUOFppSBTF1C8eqPJV/tAt4QODBrbwFrdu3Dh+o5gKaUzTxiReTwqeHtHZ0FcviePP/3thUHujxT4F3pap6pq5y/aL/oWVRVESvRahrHMDZkHrfQXI3kuXcwuiOnRzc3mp9Rb6CmznsrPu7RJOEem7ufZa1pzKbQqAXzTTmQ1B4zVg&amp;guid=6a6645fc17b301a8a7522fb&amp;idrepository=879</w:t>
        </w:r>
      </w:hyperlink>
    </w:p>
    <w:p w:rsidR="00D75790" w:rsidRDefault="00D75790" w:rsidP="00D75790">
      <w:pPr>
        <w:contextualSpacing/>
        <w:jc w:val="both"/>
        <w:rPr>
          <w:rFonts w:ascii="Arial" w:hAnsi="Arial" w:cs="Arial"/>
          <w:sz w:val="22"/>
          <w:szCs w:val="22"/>
          <w:lang w:val="es-ES_tradnl"/>
        </w:rPr>
      </w:pPr>
    </w:p>
    <w:p w:rsidR="00D75790" w:rsidRDefault="00D75790" w:rsidP="00D75790">
      <w:pPr>
        <w:pStyle w:val="Prrafodelista"/>
        <w:numPr>
          <w:ilvl w:val="0"/>
          <w:numId w:val="25"/>
        </w:numPr>
        <w:jc w:val="both"/>
        <w:rPr>
          <w:rFonts w:ascii="Arial" w:hAnsi="Arial" w:cs="Arial"/>
          <w:sz w:val="22"/>
          <w:szCs w:val="22"/>
          <w:lang w:val="es-ES_tradnl"/>
        </w:rPr>
      </w:pPr>
      <w:r w:rsidRPr="00D64AD1">
        <w:rPr>
          <w:rFonts w:ascii="Arial" w:hAnsi="Arial" w:cs="Arial"/>
          <w:sz w:val="22"/>
          <w:szCs w:val="22"/>
          <w:lang w:val="es-ES_tradnl"/>
        </w:rPr>
        <w:t>Ministerio de Hacienda_1.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D64AD1">
        <w:rPr>
          <w:rFonts w:ascii="Arial" w:hAnsi="Arial" w:cs="Arial"/>
          <w:sz w:val="22"/>
          <w:szCs w:val="22"/>
          <w:lang w:val="es-ES_tradnl"/>
        </w:rPr>
        <w:t xml:space="preserve"> 20/2021/D028-PREDI. Radicado 1-2021-061625 del día 16 de julio de 2021. Enlace:</w:t>
      </w:r>
    </w:p>
    <w:p w:rsidR="00D75790" w:rsidRDefault="006E598A" w:rsidP="00D75790">
      <w:pPr>
        <w:pStyle w:val="Prrafodelista"/>
        <w:jc w:val="both"/>
        <w:rPr>
          <w:rFonts w:ascii="Arial" w:hAnsi="Arial" w:cs="Arial"/>
          <w:sz w:val="22"/>
          <w:szCs w:val="22"/>
          <w:lang w:val="es-ES_tradnl"/>
        </w:rPr>
      </w:pPr>
      <w:hyperlink r:id="rId24" w:history="1">
        <w:r w:rsidR="00D75790" w:rsidRPr="008C4F65">
          <w:rPr>
            <w:rStyle w:val="Hipervnculo"/>
            <w:rFonts w:ascii="Arial" w:hAnsi="Arial" w:cs="Arial"/>
            <w:sz w:val="22"/>
            <w:szCs w:val="22"/>
            <w:lang w:val="es-ES_tradnl"/>
          </w:rPr>
          <w:t>http://portalgestiondoc.minhacienda.red/PortalEmpleado/viewer.jsp?config=gAnkmgBPFp6jH01VffK5zX24duUz48ulS9XZSiXVTZ+VYQFbXpmPc054muy6ww+iofG8b5maJqfwhuIgZZ7iocUb0e3/NW5w0mp28PnOucgAyOtDtQc/on8Kdz6kxrt7B/ZBQdBjP4mWxYmV3Oh1P2/knyIG7SO7xMTyezG6093GgoX3MCakQcDUn3u1DmdGHmIhp4cbs3DIQWIEFSVAlQ==&amp;guid=664f915717aaa7e6a1b7eb9&amp;idrepository=307</w:t>
        </w:r>
      </w:hyperlink>
      <w:r w:rsidR="00D75790" w:rsidRPr="00D64AD1">
        <w:rPr>
          <w:rFonts w:ascii="Arial" w:hAnsi="Arial" w:cs="Arial"/>
          <w:sz w:val="22"/>
          <w:szCs w:val="22"/>
          <w:lang w:val="es-ES_tradnl"/>
        </w:rPr>
        <w:t>)</w:t>
      </w:r>
    </w:p>
    <w:bookmarkEnd w:id="2"/>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sz w:val="22"/>
          <w:szCs w:val="22"/>
          <w:lang w:val="es-ES_tradnl"/>
        </w:rPr>
      </w:pPr>
      <w:bookmarkStart w:id="3" w:name="_Hlk79475464"/>
      <w:r w:rsidRPr="00DC371E">
        <w:rPr>
          <w:rFonts w:ascii="Arial" w:hAnsi="Arial" w:cs="Arial"/>
          <w:b/>
          <w:bCs/>
          <w:sz w:val="22"/>
          <w:szCs w:val="22"/>
          <w:lang w:val="es-ES_tradnl"/>
        </w:rPr>
        <w:t>9.4. “</w:t>
      </w:r>
      <w:r w:rsidRPr="00DC371E">
        <w:rPr>
          <w:rFonts w:ascii="Arial" w:hAnsi="Arial" w:cs="Arial"/>
          <w:b/>
          <w:bCs/>
          <w:i/>
          <w:iCs/>
          <w:sz w:val="22"/>
          <w:szCs w:val="22"/>
          <w:lang w:val="es-ES_tradnl"/>
        </w:rPr>
        <w:t>Cambio en la destinación de los recursos</w:t>
      </w:r>
      <w:r w:rsidRPr="00DC371E">
        <w:rPr>
          <w:rFonts w:ascii="Arial" w:hAnsi="Arial" w:cs="Arial"/>
          <w:b/>
          <w:bCs/>
          <w:sz w:val="22"/>
          <w:szCs w:val="22"/>
          <w:lang w:val="es-ES_tradnl"/>
        </w:rPr>
        <w:t>”</w:t>
      </w:r>
      <w:r>
        <w:rPr>
          <w:rFonts w:ascii="Arial" w:hAnsi="Arial" w:cs="Arial"/>
          <w:b/>
          <w:bCs/>
          <w:sz w:val="22"/>
          <w:szCs w:val="22"/>
          <w:lang w:val="es-ES_tradnl"/>
        </w:rPr>
        <w:t>.</w:t>
      </w:r>
    </w:p>
    <w:p w:rsidR="00D75790" w:rsidRPr="00DC371E" w:rsidRDefault="00D75790" w:rsidP="00D75790">
      <w:pPr>
        <w:shd w:val="clear" w:color="auto" w:fill="FFFFFF"/>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Los recursos del Sistema General de Participaciones SGP de Agua Potable y Saneamiento Básico - APSB, tienen destinación específica, tanto para</w:t>
      </w:r>
      <w:r>
        <w:rPr>
          <w:rFonts w:ascii="Arial" w:hAnsi="Arial" w:cs="Arial"/>
          <w:sz w:val="22"/>
          <w:szCs w:val="22"/>
          <w:lang w:val="es-ES_tradnl"/>
        </w:rPr>
        <w:t xml:space="preserve"> los</w:t>
      </w:r>
      <w:r w:rsidRPr="00DC371E">
        <w:rPr>
          <w:rFonts w:ascii="Arial" w:hAnsi="Arial" w:cs="Arial"/>
          <w:sz w:val="22"/>
          <w:szCs w:val="22"/>
          <w:lang w:val="es-ES_tradnl"/>
        </w:rPr>
        <w:t xml:space="preserve"> departamento</w:t>
      </w:r>
      <w:r>
        <w:rPr>
          <w:rFonts w:ascii="Arial" w:hAnsi="Arial" w:cs="Arial"/>
          <w:sz w:val="22"/>
          <w:szCs w:val="22"/>
          <w:lang w:val="es-ES_tradnl"/>
        </w:rPr>
        <w:t>s</w:t>
      </w:r>
      <w:r w:rsidRPr="00DC371E">
        <w:rPr>
          <w:rFonts w:ascii="Arial" w:hAnsi="Arial" w:cs="Arial"/>
          <w:sz w:val="22"/>
          <w:szCs w:val="22"/>
          <w:lang w:val="es-ES_tradnl"/>
        </w:rPr>
        <w:t xml:space="preserve"> como para municipios, los cuales están consignados en los artículos 10 y 11 de la Ley 1176 de 2007.</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lastRenderedPageBreak/>
        <w:t>San Andrés, Providencia y Santa Catalina, recibe recursos de transferencias del SGP - APSB, como Departamento y como Municipio. En la configuración del Evento de Riesgo, aplica el artículo 10 de la Ley 1176 de 2007, el cual tiene las siguientes destinaciones específicas como Departamento, en el marco del PDA.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sz w:val="22"/>
          <w:szCs w:val="22"/>
          <w:lang w:val="es-ES_tradnl"/>
        </w:rPr>
      </w:pPr>
      <w:r w:rsidRPr="00DC371E">
        <w:rPr>
          <w:rFonts w:ascii="Arial" w:hAnsi="Arial" w:cs="Arial"/>
          <w:b/>
          <w:bCs/>
          <w:sz w:val="22"/>
          <w:szCs w:val="22"/>
          <w:lang w:val="es-ES_tradnl"/>
        </w:rPr>
        <w:t>Departamentos:</w:t>
      </w:r>
    </w:p>
    <w:p w:rsidR="00D75790" w:rsidRPr="00DC371E" w:rsidRDefault="00D75790" w:rsidP="00D75790">
      <w:pPr>
        <w:contextualSpacing/>
        <w:jc w:val="both"/>
        <w:rPr>
          <w:rFonts w:ascii="Arial" w:hAnsi="Arial" w:cs="Arial"/>
          <w:b/>
          <w:bCs/>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El artículo 10 de la Ley 1176 establece que con los recursos del Sistema General de Participaciones correspondientes a la Participación para Agua Potable y Saneamiento Básico financian las siguientes actividades, en el marco del Plan Departamental de Agua y Saneamiento:</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E46D41" w:rsidRDefault="00D75790" w:rsidP="00D75790">
      <w:pPr>
        <w:spacing w:before="100" w:beforeAutospacing="1" w:after="119"/>
        <w:ind w:left="1416"/>
        <w:contextualSpacing/>
        <w:jc w:val="both"/>
        <w:rPr>
          <w:rFonts w:ascii="Arial" w:hAnsi="Arial" w:cs="Arial"/>
          <w:i/>
          <w:iCs/>
          <w:sz w:val="18"/>
          <w:szCs w:val="22"/>
          <w:lang w:val="es-ES_tradnl"/>
        </w:rPr>
      </w:pPr>
      <w:r w:rsidRPr="00E46D41">
        <w:rPr>
          <w:rFonts w:ascii="Arial" w:hAnsi="Arial" w:cs="Arial"/>
          <w:sz w:val="18"/>
          <w:szCs w:val="22"/>
          <w:lang w:val="es-ES_tradnl"/>
        </w:rPr>
        <w:t>“a</w:t>
      </w:r>
      <w:r w:rsidRPr="00E46D41">
        <w:rPr>
          <w:rFonts w:ascii="Arial" w:hAnsi="Arial" w:cs="Arial"/>
          <w:i/>
          <w:iCs/>
          <w:sz w:val="18"/>
          <w:szCs w:val="22"/>
          <w:lang w:val="es-ES_tradnl"/>
        </w:rPr>
        <w:t>) Promoción, estructuración, implementación e inversión en infraestructura de esquemas regionales de prestación de los servicios, de acuerdo con los planes regionales y/o departamentales de agua y saneamiento;</w:t>
      </w:r>
    </w:p>
    <w:p w:rsidR="00D75790" w:rsidRPr="00E46D41" w:rsidRDefault="00D75790" w:rsidP="00D75790">
      <w:pPr>
        <w:spacing w:before="100" w:beforeAutospacing="1" w:after="119"/>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b) Proyectos regionales de abastecimiento de agua para consumo humano;</w:t>
      </w:r>
    </w:p>
    <w:p w:rsidR="00D75790" w:rsidRPr="00E46D41" w:rsidRDefault="00D75790" w:rsidP="00D75790">
      <w:pPr>
        <w:spacing w:before="100" w:beforeAutospacing="1" w:after="119"/>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c) Proyectos de tratamiento y disposición final de residuos líquidos con impacto regional;</w:t>
      </w:r>
    </w:p>
    <w:p w:rsidR="00D75790" w:rsidRPr="00E46D41" w:rsidRDefault="00D75790" w:rsidP="00D75790">
      <w:pPr>
        <w:spacing w:before="100" w:beforeAutospacing="1" w:after="119"/>
        <w:ind w:left="1416"/>
        <w:contextualSpacing/>
        <w:jc w:val="both"/>
        <w:rPr>
          <w:rFonts w:ascii="Arial" w:hAnsi="Arial" w:cs="Arial"/>
          <w:i/>
          <w:iCs/>
          <w:sz w:val="18"/>
          <w:szCs w:val="22"/>
          <w:lang w:val="es-ES_tradnl"/>
        </w:rPr>
      </w:pPr>
      <w:r w:rsidRPr="00E46D41">
        <w:rPr>
          <w:rFonts w:ascii="Arial" w:hAnsi="Arial" w:cs="Arial"/>
          <w:i/>
          <w:iCs/>
          <w:sz w:val="18"/>
          <w:szCs w:val="22"/>
          <w:lang w:val="es-ES_tradnl"/>
        </w:rPr>
        <w:t>d) Proyectos de tratamiento, aprovechamiento y disposición final de residuos sólidos con impacto regional;</w:t>
      </w:r>
    </w:p>
    <w:p w:rsidR="00D75790" w:rsidRPr="00DC371E" w:rsidRDefault="00D75790" w:rsidP="00D75790">
      <w:pPr>
        <w:spacing w:before="100" w:beforeAutospacing="1" w:after="119"/>
        <w:ind w:left="1416"/>
        <w:contextualSpacing/>
        <w:jc w:val="both"/>
        <w:rPr>
          <w:rFonts w:ascii="Arial" w:hAnsi="Arial" w:cs="Arial"/>
          <w:sz w:val="22"/>
          <w:szCs w:val="22"/>
          <w:lang w:val="es-ES_tradnl"/>
        </w:rPr>
      </w:pPr>
      <w:r w:rsidRPr="00E46D41">
        <w:rPr>
          <w:rFonts w:ascii="Arial" w:hAnsi="Arial" w:cs="Arial"/>
          <w:i/>
          <w:iCs/>
          <w:sz w:val="18"/>
          <w:szCs w:val="22"/>
          <w:lang w:val="es-ES_tradnl"/>
        </w:rPr>
        <w:t>e) Pago del servicio de deuda adquirida por el departamento para financiar infraestructura del sector de agua potable y saneamiento básico, en cumplimiento de sus competencias, en el marco del Plan Departamental de Agua y Saneamiento</w:t>
      </w:r>
      <w:r w:rsidRPr="00E46D41">
        <w:rPr>
          <w:rFonts w:ascii="Arial" w:hAnsi="Arial" w:cs="Arial"/>
          <w:sz w:val="18"/>
          <w:szCs w:val="22"/>
          <w:lang w:val="es-ES_tradnl"/>
        </w:rPr>
        <w:t>”.</w:t>
      </w:r>
    </w:p>
    <w:p w:rsidR="00D75790" w:rsidRDefault="00D75790" w:rsidP="00D75790">
      <w:pPr>
        <w:spacing w:before="100" w:beforeAutospacing="1" w:after="119"/>
        <w:contextualSpacing/>
        <w:jc w:val="both"/>
        <w:rPr>
          <w:rFonts w:ascii="Arial" w:hAnsi="Arial" w:cs="Arial"/>
          <w:sz w:val="22"/>
          <w:szCs w:val="22"/>
          <w:lang w:val="es-ES_tradnl"/>
        </w:rPr>
      </w:pPr>
    </w:p>
    <w:p w:rsidR="00D75790" w:rsidRDefault="00D75790" w:rsidP="00D75790">
      <w:pPr>
        <w:spacing w:before="100" w:beforeAutospacing="1" w:after="119"/>
        <w:contextualSpacing/>
        <w:jc w:val="both"/>
        <w:rPr>
          <w:rFonts w:ascii="Arial" w:hAnsi="Arial" w:cs="Arial"/>
          <w:sz w:val="22"/>
          <w:szCs w:val="22"/>
          <w:lang w:val="es-ES_tradnl"/>
        </w:rPr>
      </w:pPr>
      <w:r>
        <w:rPr>
          <w:rFonts w:ascii="Arial" w:hAnsi="Arial" w:cs="Arial"/>
          <w:sz w:val="22"/>
          <w:szCs w:val="22"/>
          <w:lang w:val="es-ES_tradnl"/>
        </w:rPr>
        <w:t xml:space="preserve">En este sentido, la Entidad Territorial para el pago de subsidios, expidió la resolución 1607 de 2020 y suscribió en la vigencia 2019 contratos de prestación de servicios, de conformidad con el siguiente análisis: </w:t>
      </w:r>
    </w:p>
    <w:p w:rsidR="00D75790" w:rsidRDefault="00D75790" w:rsidP="00D75790">
      <w:pPr>
        <w:spacing w:before="100" w:beforeAutospacing="1" w:after="119"/>
        <w:contextualSpacing/>
        <w:jc w:val="both"/>
        <w:rPr>
          <w:rFonts w:ascii="Arial" w:hAnsi="Arial" w:cs="Arial"/>
          <w:sz w:val="22"/>
          <w:szCs w:val="22"/>
          <w:lang w:val="es-ES_tradnl"/>
        </w:rPr>
      </w:pPr>
    </w:p>
    <w:p w:rsidR="00D75790" w:rsidRDefault="00D75790" w:rsidP="00D75790">
      <w:pPr>
        <w:spacing w:before="100" w:beforeAutospacing="1" w:after="119"/>
        <w:contextualSpacing/>
        <w:jc w:val="both"/>
        <w:rPr>
          <w:rFonts w:ascii="Arial" w:hAnsi="Arial" w:cs="Arial"/>
          <w:sz w:val="22"/>
          <w:szCs w:val="22"/>
          <w:lang w:val="es-ES_tradnl"/>
        </w:rPr>
      </w:pPr>
    </w:p>
    <w:p w:rsidR="00D75790" w:rsidRPr="00A55C2E" w:rsidRDefault="00D75790" w:rsidP="00D75790">
      <w:pPr>
        <w:spacing w:after="33"/>
        <w:jc w:val="both"/>
        <w:rPr>
          <w:rFonts w:ascii="Arial" w:hAnsi="Arial" w:cs="Arial"/>
          <w:b/>
          <w:bCs/>
          <w:sz w:val="22"/>
          <w:szCs w:val="22"/>
          <w:lang w:val="es-ES_tradnl"/>
        </w:rPr>
      </w:pPr>
      <w:r>
        <w:rPr>
          <w:rFonts w:ascii="Arial" w:hAnsi="Arial" w:cs="Arial"/>
          <w:b/>
          <w:bCs/>
          <w:sz w:val="22"/>
          <w:szCs w:val="22"/>
          <w:lang w:val="es-ES_tradnl"/>
        </w:rPr>
        <w:t xml:space="preserve">a. </w:t>
      </w:r>
      <w:r w:rsidRPr="00A55C2E">
        <w:rPr>
          <w:rFonts w:ascii="Arial" w:hAnsi="Arial" w:cs="Arial"/>
          <w:b/>
          <w:bCs/>
          <w:sz w:val="22"/>
          <w:szCs w:val="22"/>
          <w:lang w:val="es-ES_tradnl"/>
        </w:rPr>
        <w:t>Resolución 1607 del 15 de mayo de 2020:</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b/>
          <w:bCs/>
          <w:sz w:val="22"/>
          <w:szCs w:val="22"/>
          <w:lang w:val="es-ES_tradnl"/>
        </w:rPr>
      </w:pPr>
      <w:r w:rsidRPr="00DC371E">
        <w:rPr>
          <w:rFonts w:ascii="Arial" w:hAnsi="Arial" w:cs="Arial"/>
          <w:sz w:val="22"/>
          <w:szCs w:val="22"/>
          <w:lang w:val="es-ES_tradnl"/>
        </w:rPr>
        <w:t xml:space="preserve">La Entidad entregó la </w:t>
      </w:r>
      <w:r>
        <w:rPr>
          <w:rFonts w:ascii="Arial" w:hAnsi="Arial" w:cs="Arial"/>
          <w:sz w:val="22"/>
          <w:szCs w:val="22"/>
          <w:lang w:val="es-ES_tradnl"/>
        </w:rPr>
        <w:t>R</w:t>
      </w:r>
      <w:r w:rsidRPr="00DC371E">
        <w:rPr>
          <w:rFonts w:ascii="Arial" w:hAnsi="Arial" w:cs="Arial"/>
          <w:sz w:val="22"/>
          <w:szCs w:val="22"/>
          <w:lang w:val="es-ES_tradnl"/>
        </w:rPr>
        <w:t xml:space="preserve">esolución 1607 del 15 de mayo de 2020, por medio de la cual la Gobernación autorizó el pago de subsidios al Operador de los </w:t>
      </w:r>
      <w:r>
        <w:rPr>
          <w:rFonts w:ascii="Arial" w:hAnsi="Arial" w:cs="Arial"/>
          <w:sz w:val="22"/>
          <w:szCs w:val="22"/>
          <w:lang w:val="es-ES_tradnl"/>
        </w:rPr>
        <w:t>S</w:t>
      </w:r>
      <w:r w:rsidRPr="00DC371E">
        <w:rPr>
          <w:rFonts w:ascii="Arial" w:hAnsi="Arial" w:cs="Arial"/>
          <w:sz w:val="22"/>
          <w:szCs w:val="22"/>
          <w:lang w:val="es-ES_tradnl"/>
        </w:rPr>
        <w:t xml:space="preserve">ervicios </w:t>
      </w:r>
      <w:r>
        <w:rPr>
          <w:rFonts w:ascii="Arial" w:hAnsi="Arial" w:cs="Arial"/>
          <w:sz w:val="22"/>
          <w:szCs w:val="22"/>
          <w:lang w:val="es-ES_tradnl"/>
        </w:rPr>
        <w:t>P</w:t>
      </w:r>
      <w:r w:rsidRPr="00DC371E">
        <w:rPr>
          <w:rFonts w:ascii="Arial" w:hAnsi="Arial" w:cs="Arial"/>
          <w:sz w:val="22"/>
          <w:szCs w:val="22"/>
          <w:lang w:val="es-ES_tradnl"/>
        </w:rPr>
        <w:t xml:space="preserve">úblicos </w:t>
      </w:r>
      <w:r>
        <w:rPr>
          <w:rFonts w:ascii="Arial" w:hAnsi="Arial" w:cs="Arial"/>
          <w:sz w:val="22"/>
          <w:szCs w:val="22"/>
          <w:lang w:val="es-ES_tradnl"/>
        </w:rPr>
        <w:t>D</w:t>
      </w:r>
      <w:r w:rsidRPr="00DC371E">
        <w:rPr>
          <w:rFonts w:ascii="Arial" w:hAnsi="Arial" w:cs="Arial"/>
          <w:sz w:val="22"/>
          <w:szCs w:val="22"/>
          <w:lang w:val="es-ES_tradnl"/>
        </w:rPr>
        <w:t xml:space="preserve">omiciliarios de </w:t>
      </w:r>
      <w:r>
        <w:rPr>
          <w:rFonts w:ascii="Arial" w:hAnsi="Arial" w:cs="Arial"/>
          <w:sz w:val="22"/>
          <w:szCs w:val="22"/>
          <w:lang w:val="es-ES_tradnl"/>
        </w:rPr>
        <w:t>A</w:t>
      </w:r>
      <w:r w:rsidRPr="00DC371E">
        <w:rPr>
          <w:rFonts w:ascii="Arial" w:hAnsi="Arial" w:cs="Arial"/>
          <w:sz w:val="22"/>
          <w:szCs w:val="22"/>
          <w:lang w:val="es-ES_tradnl"/>
        </w:rPr>
        <w:t xml:space="preserve">cueducto y </w:t>
      </w:r>
      <w:r>
        <w:rPr>
          <w:rFonts w:ascii="Arial" w:hAnsi="Arial" w:cs="Arial"/>
          <w:sz w:val="22"/>
          <w:szCs w:val="22"/>
          <w:lang w:val="es-ES_tradnl"/>
        </w:rPr>
        <w:t>A</w:t>
      </w:r>
      <w:r w:rsidRPr="00DC371E">
        <w:rPr>
          <w:rFonts w:ascii="Arial" w:hAnsi="Arial" w:cs="Arial"/>
          <w:sz w:val="22"/>
          <w:szCs w:val="22"/>
          <w:lang w:val="es-ES_tradnl"/>
        </w:rPr>
        <w:t xml:space="preserve">lcantarillado con los recursos del SGP </w:t>
      </w:r>
      <w:r>
        <w:rPr>
          <w:rFonts w:ascii="Arial" w:hAnsi="Arial" w:cs="Arial"/>
          <w:sz w:val="22"/>
          <w:szCs w:val="22"/>
          <w:lang w:val="es-ES_tradnl"/>
        </w:rPr>
        <w:t xml:space="preserve">- </w:t>
      </w:r>
      <w:r w:rsidRPr="00DC371E">
        <w:rPr>
          <w:rFonts w:ascii="Arial" w:hAnsi="Arial" w:cs="Arial"/>
          <w:sz w:val="22"/>
          <w:szCs w:val="22"/>
          <w:lang w:val="es-ES_tradnl"/>
        </w:rPr>
        <w:t xml:space="preserve">APSB del </w:t>
      </w:r>
      <w:r w:rsidRPr="00E46D41">
        <w:rPr>
          <w:rFonts w:ascii="Arial" w:hAnsi="Arial" w:cs="Arial"/>
          <w:bCs/>
          <w:sz w:val="22"/>
          <w:szCs w:val="22"/>
          <w:lang w:val="es-ES_tradnl"/>
        </w:rPr>
        <w:t>Departamento</w:t>
      </w:r>
      <w:r w:rsidRPr="00DC371E">
        <w:rPr>
          <w:rFonts w:ascii="Arial" w:hAnsi="Arial" w:cs="Arial"/>
          <w:b/>
          <w:bCs/>
          <w:sz w:val="22"/>
          <w:szCs w:val="22"/>
          <w:lang w:val="es-ES_tradnl"/>
        </w:rPr>
        <w:t xml:space="preserve">, </w:t>
      </w:r>
      <w:r w:rsidRPr="00DC371E">
        <w:rPr>
          <w:rFonts w:ascii="Arial" w:hAnsi="Arial" w:cs="Arial"/>
          <w:sz w:val="22"/>
          <w:szCs w:val="22"/>
          <w:lang w:val="es-ES_tradnl"/>
        </w:rPr>
        <w:t>por los siguientes conceptos:</w:t>
      </w:r>
    </w:p>
    <w:p w:rsidR="00D75790" w:rsidRPr="00DC371E" w:rsidRDefault="00D75790" w:rsidP="00D75790">
      <w:pPr>
        <w:spacing w:after="33"/>
        <w:contextualSpacing/>
        <w:jc w:val="both"/>
        <w:rPr>
          <w:rFonts w:ascii="Arial" w:hAnsi="Arial" w:cs="Arial"/>
          <w:sz w:val="22"/>
          <w:szCs w:val="22"/>
          <w:lang w:val="es-ES_tradnl"/>
        </w:rPr>
      </w:pPr>
    </w:p>
    <w:p w:rsidR="00D75790" w:rsidRPr="00E46D41" w:rsidRDefault="00D75790" w:rsidP="00D75790">
      <w:pPr>
        <w:spacing w:after="33"/>
        <w:contextualSpacing/>
        <w:jc w:val="center"/>
        <w:rPr>
          <w:rFonts w:ascii="Arial" w:hAnsi="Arial" w:cs="Arial"/>
          <w:b/>
          <w:bCs/>
          <w:sz w:val="20"/>
          <w:szCs w:val="22"/>
          <w:lang w:val="es-ES_tradnl"/>
        </w:rPr>
      </w:pPr>
      <w:r w:rsidRPr="00E46D41">
        <w:rPr>
          <w:rFonts w:ascii="Arial" w:hAnsi="Arial" w:cs="Arial"/>
          <w:b/>
          <w:bCs/>
          <w:sz w:val="20"/>
          <w:szCs w:val="22"/>
          <w:lang w:val="es-ES_tradnl"/>
        </w:rPr>
        <w:t>TABLA 30. PAGO DEFICIT DE SUBSIDIOS RESOLUCION 1607</w:t>
      </w:r>
      <w:r>
        <w:rPr>
          <w:rFonts w:ascii="Arial" w:hAnsi="Arial" w:cs="Arial"/>
          <w:b/>
          <w:bCs/>
          <w:sz w:val="20"/>
          <w:szCs w:val="22"/>
          <w:lang w:val="es-ES_tradnl"/>
        </w:rPr>
        <w:t xml:space="preserve"> DE 2020</w:t>
      </w:r>
    </w:p>
    <w:tbl>
      <w:tblPr>
        <w:tblStyle w:val="Tablaconcuadrcula"/>
        <w:tblW w:w="8500" w:type="dxa"/>
        <w:jc w:val="center"/>
        <w:tblLook w:val="04A0" w:firstRow="1" w:lastRow="0" w:firstColumn="1" w:lastColumn="0" w:noHBand="0" w:noVBand="1"/>
      </w:tblPr>
      <w:tblGrid>
        <w:gridCol w:w="1085"/>
        <w:gridCol w:w="6281"/>
        <w:gridCol w:w="1134"/>
      </w:tblGrid>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Factura</w:t>
            </w:r>
          </w:p>
        </w:tc>
        <w:tc>
          <w:tcPr>
            <w:tcW w:w="6281"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Concepto</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Valor. En Millones</w:t>
            </w:r>
          </w:p>
        </w:tc>
      </w:tr>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105</w:t>
            </w:r>
          </w:p>
        </w:tc>
        <w:tc>
          <w:tcPr>
            <w:tcW w:w="6281"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Pago de diferencias generadas por los giros extemporáneos en los pagos de recursos de que trata la cláusula 26 del contrato de operación para los años 3 y 4 (2007 y 2008)</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sz w:val="18"/>
                <w:szCs w:val="20"/>
                <w:lang w:val="es-ES_tradnl"/>
              </w:rPr>
            </w:pPr>
            <w:r w:rsidRPr="00E46D41">
              <w:rPr>
                <w:rFonts w:ascii="Arial" w:hAnsi="Arial" w:cs="Arial"/>
                <w:sz w:val="18"/>
                <w:szCs w:val="20"/>
                <w:lang w:val="es-ES_tradnl"/>
              </w:rPr>
              <w:t>22</w:t>
            </w:r>
          </w:p>
        </w:tc>
      </w:tr>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466</w:t>
            </w:r>
          </w:p>
        </w:tc>
        <w:tc>
          <w:tcPr>
            <w:tcW w:w="6281"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Balance de subsidios y contribuciones del mes de marzo de 2019</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sz w:val="18"/>
                <w:szCs w:val="20"/>
                <w:lang w:val="es-ES_tradnl"/>
              </w:rPr>
            </w:pPr>
            <w:r w:rsidRPr="00E46D41">
              <w:rPr>
                <w:rFonts w:ascii="Arial" w:hAnsi="Arial" w:cs="Arial"/>
                <w:sz w:val="18"/>
                <w:szCs w:val="20"/>
                <w:lang w:val="es-ES_tradnl"/>
              </w:rPr>
              <w:t>68</w:t>
            </w:r>
          </w:p>
        </w:tc>
      </w:tr>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467</w:t>
            </w:r>
          </w:p>
        </w:tc>
        <w:tc>
          <w:tcPr>
            <w:tcW w:w="6281"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Balance de subsidios y contribuciones mes de abril de 2019</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sz w:val="18"/>
                <w:szCs w:val="20"/>
                <w:lang w:val="es-ES_tradnl"/>
              </w:rPr>
            </w:pPr>
            <w:r w:rsidRPr="00E46D41">
              <w:rPr>
                <w:rFonts w:ascii="Arial" w:hAnsi="Arial" w:cs="Arial"/>
                <w:sz w:val="18"/>
                <w:szCs w:val="20"/>
                <w:lang w:val="es-ES_tradnl"/>
              </w:rPr>
              <w:t>52</w:t>
            </w:r>
          </w:p>
        </w:tc>
      </w:tr>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VAA609</w:t>
            </w:r>
          </w:p>
        </w:tc>
        <w:tc>
          <w:tcPr>
            <w:tcW w:w="6281"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Balance subsidios y contribuciones acueducto mayo a diciembre de 2019</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sz w:val="18"/>
                <w:szCs w:val="20"/>
                <w:lang w:val="es-ES_tradnl"/>
              </w:rPr>
            </w:pPr>
            <w:r w:rsidRPr="00E46D41">
              <w:rPr>
                <w:rFonts w:ascii="Arial" w:hAnsi="Arial" w:cs="Arial"/>
                <w:sz w:val="18"/>
                <w:szCs w:val="20"/>
                <w:lang w:val="es-ES_tradnl"/>
              </w:rPr>
              <w:t>729</w:t>
            </w:r>
          </w:p>
        </w:tc>
      </w:tr>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VAA610</w:t>
            </w:r>
          </w:p>
        </w:tc>
        <w:tc>
          <w:tcPr>
            <w:tcW w:w="6281"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r w:rsidRPr="00E46D41">
              <w:rPr>
                <w:rFonts w:ascii="Arial" w:hAnsi="Arial" w:cs="Arial"/>
                <w:sz w:val="18"/>
                <w:szCs w:val="20"/>
                <w:lang w:val="es-ES_tradnl"/>
              </w:rPr>
              <w:t>Balance de subsidios y contribuciones alcantarillado mayo a diciembre de 2019</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sz w:val="18"/>
                <w:szCs w:val="20"/>
                <w:lang w:val="es-ES_tradnl"/>
              </w:rPr>
            </w:pPr>
            <w:r w:rsidRPr="00E46D41">
              <w:rPr>
                <w:rFonts w:ascii="Arial" w:hAnsi="Arial" w:cs="Arial"/>
                <w:sz w:val="18"/>
                <w:szCs w:val="20"/>
                <w:lang w:val="es-ES_tradnl"/>
              </w:rPr>
              <w:t>80</w:t>
            </w:r>
          </w:p>
        </w:tc>
      </w:tr>
      <w:tr w:rsidR="00D75790" w:rsidRPr="00936B36" w:rsidTr="00695E54">
        <w:trPr>
          <w:jc w:val="center"/>
        </w:trPr>
        <w:tc>
          <w:tcPr>
            <w:tcW w:w="1085" w:type="dxa"/>
            <w:shd w:val="clear" w:color="auto" w:fill="DBE5F1" w:themeFill="accent1" w:themeFillTint="33"/>
          </w:tcPr>
          <w:p w:rsidR="00D75790" w:rsidRPr="00E46D41" w:rsidRDefault="00D75790" w:rsidP="00695E54">
            <w:pPr>
              <w:spacing w:after="33"/>
              <w:contextualSpacing/>
              <w:jc w:val="both"/>
              <w:rPr>
                <w:rFonts w:ascii="Arial" w:hAnsi="Arial" w:cs="Arial"/>
                <w:sz w:val="18"/>
                <w:szCs w:val="20"/>
                <w:lang w:val="es-ES_tradnl"/>
              </w:rPr>
            </w:pPr>
          </w:p>
        </w:tc>
        <w:tc>
          <w:tcPr>
            <w:tcW w:w="6281"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TOTAL A PAGAR</w:t>
            </w:r>
          </w:p>
        </w:tc>
        <w:tc>
          <w:tcPr>
            <w:tcW w:w="1134" w:type="dxa"/>
            <w:shd w:val="clear" w:color="auto" w:fill="DBE5F1" w:themeFill="accent1" w:themeFillTint="33"/>
          </w:tcPr>
          <w:p w:rsidR="00D75790" w:rsidRPr="00E46D41" w:rsidRDefault="00D75790" w:rsidP="00695E54">
            <w:pPr>
              <w:spacing w:after="33"/>
              <w:contextualSpacing/>
              <w:jc w:val="center"/>
              <w:rPr>
                <w:rFonts w:ascii="Arial" w:hAnsi="Arial" w:cs="Arial"/>
                <w:b/>
                <w:bCs/>
                <w:sz w:val="18"/>
                <w:szCs w:val="20"/>
                <w:lang w:val="es-ES_tradnl"/>
              </w:rPr>
            </w:pPr>
            <w:r w:rsidRPr="00E46D41">
              <w:rPr>
                <w:rFonts w:ascii="Arial" w:hAnsi="Arial" w:cs="Arial"/>
                <w:b/>
                <w:bCs/>
                <w:sz w:val="18"/>
                <w:szCs w:val="20"/>
                <w:lang w:val="es-ES_tradnl"/>
              </w:rPr>
              <w:t>952</w:t>
            </w:r>
          </w:p>
        </w:tc>
      </w:tr>
    </w:tbl>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Al respecto se puede identificar que:</w:t>
      </w:r>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pStyle w:val="Prrafodelista"/>
        <w:numPr>
          <w:ilvl w:val="0"/>
          <w:numId w:val="26"/>
        </w:numPr>
        <w:spacing w:after="33"/>
        <w:jc w:val="both"/>
        <w:rPr>
          <w:rFonts w:ascii="Arial" w:hAnsi="Arial" w:cs="Arial"/>
          <w:sz w:val="22"/>
          <w:szCs w:val="22"/>
          <w:lang w:val="es-ES_tradnl"/>
        </w:rPr>
      </w:pPr>
      <w:r w:rsidRPr="00DC371E">
        <w:rPr>
          <w:rFonts w:ascii="Arial" w:hAnsi="Arial" w:cs="Arial"/>
          <w:sz w:val="22"/>
          <w:szCs w:val="22"/>
          <w:lang w:val="es-ES_tradnl"/>
        </w:rPr>
        <w:lastRenderedPageBreak/>
        <w:t>Para el giro de estos recursos (</w:t>
      </w:r>
      <w:r>
        <w:rPr>
          <w:rFonts w:ascii="Arial" w:hAnsi="Arial" w:cs="Arial"/>
          <w:sz w:val="22"/>
          <w:szCs w:val="22"/>
          <w:lang w:val="es-ES_tradnl"/>
        </w:rPr>
        <w:t>d</w:t>
      </w:r>
      <w:r w:rsidRPr="00DC371E">
        <w:rPr>
          <w:rFonts w:ascii="Arial" w:hAnsi="Arial" w:cs="Arial"/>
          <w:sz w:val="22"/>
          <w:szCs w:val="22"/>
          <w:lang w:val="es-ES_tradnl"/>
        </w:rPr>
        <w:t>euda del déficit</w:t>
      </w:r>
      <w:r w:rsidRPr="00DC371E">
        <w:rPr>
          <w:rStyle w:val="Refdenotaalpie"/>
          <w:rFonts w:ascii="Arial" w:hAnsi="Arial" w:cs="Arial"/>
          <w:sz w:val="22"/>
          <w:szCs w:val="22"/>
          <w:lang w:val="es-ES_tradnl"/>
        </w:rPr>
        <w:footnoteReference w:id="36"/>
      </w:r>
      <w:r w:rsidRPr="00DC371E">
        <w:rPr>
          <w:rFonts w:ascii="Arial" w:hAnsi="Arial" w:cs="Arial"/>
          <w:sz w:val="22"/>
          <w:szCs w:val="22"/>
          <w:lang w:val="es-ES_tradnl"/>
        </w:rPr>
        <w:t xml:space="preserve"> de subsidios), se ampararon en normas COVID que rigieron a partir de la vigencia 2020 y 2021. Las normas COVID</w:t>
      </w:r>
      <w:r w:rsidRPr="00DC371E">
        <w:rPr>
          <w:rStyle w:val="Refdenotaalpie"/>
          <w:rFonts w:ascii="Arial" w:hAnsi="Arial" w:cs="Arial"/>
          <w:sz w:val="22"/>
          <w:szCs w:val="22"/>
          <w:lang w:val="es-ES_tradnl"/>
        </w:rPr>
        <w:footnoteReference w:id="37"/>
      </w:r>
      <w:r w:rsidRPr="00DC371E">
        <w:rPr>
          <w:rFonts w:ascii="Arial" w:hAnsi="Arial" w:cs="Arial"/>
          <w:sz w:val="22"/>
          <w:szCs w:val="22"/>
          <w:lang w:val="es-ES_tradnl"/>
        </w:rPr>
        <w:t xml:space="preserve"> dan prioridad al gasto apremiante que se causó para focalizar la atención en el manejo de la Pandemia para las vigencias 2020 y 2021. En materia sectorial, bajo el </w:t>
      </w:r>
      <w:r>
        <w:rPr>
          <w:rFonts w:ascii="Arial" w:hAnsi="Arial" w:cs="Arial"/>
          <w:sz w:val="22"/>
          <w:szCs w:val="22"/>
          <w:lang w:val="es-ES_tradnl"/>
        </w:rPr>
        <w:t>D</w:t>
      </w:r>
      <w:r w:rsidRPr="00DC371E">
        <w:rPr>
          <w:rFonts w:ascii="Arial" w:hAnsi="Arial" w:cs="Arial"/>
          <w:sz w:val="22"/>
          <w:szCs w:val="22"/>
          <w:lang w:val="es-ES_tradnl"/>
        </w:rPr>
        <w:t>ecreto 528</w:t>
      </w:r>
      <w:r>
        <w:rPr>
          <w:rFonts w:ascii="Arial" w:hAnsi="Arial" w:cs="Arial"/>
          <w:sz w:val="22"/>
          <w:szCs w:val="22"/>
          <w:lang w:val="es-ES_tradnl"/>
        </w:rPr>
        <w:t xml:space="preserve"> de 2020</w:t>
      </w:r>
      <w:r w:rsidRPr="00DC371E">
        <w:rPr>
          <w:rFonts w:ascii="Arial" w:hAnsi="Arial" w:cs="Arial"/>
          <w:sz w:val="22"/>
          <w:szCs w:val="22"/>
          <w:lang w:val="es-ES_tradnl"/>
        </w:rPr>
        <w:t>, entre otros.</w:t>
      </w:r>
    </w:p>
    <w:p w:rsidR="00D75790" w:rsidRPr="00DC371E" w:rsidRDefault="00D75790" w:rsidP="00D75790">
      <w:pPr>
        <w:pStyle w:val="Prrafodelista"/>
        <w:spacing w:after="33"/>
        <w:jc w:val="both"/>
        <w:rPr>
          <w:rFonts w:ascii="Arial" w:hAnsi="Arial" w:cs="Arial"/>
          <w:sz w:val="22"/>
          <w:szCs w:val="22"/>
          <w:lang w:val="es-ES_tradnl"/>
        </w:rPr>
      </w:pPr>
    </w:p>
    <w:p w:rsidR="00D75790" w:rsidRPr="00DC371E" w:rsidRDefault="00D75790" w:rsidP="00D75790">
      <w:pPr>
        <w:pStyle w:val="Prrafodelista"/>
        <w:numPr>
          <w:ilvl w:val="0"/>
          <w:numId w:val="26"/>
        </w:numPr>
        <w:spacing w:after="33"/>
        <w:jc w:val="both"/>
        <w:rPr>
          <w:rFonts w:ascii="Arial" w:hAnsi="Arial" w:cs="Arial"/>
          <w:i/>
          <w:iCs/>
          <w:sz w:val="22"/>
          <w:szCs w:val="22"/>
          <w:lang w:val="es-ES_tradnl"/>
        </w:rPr>
      </w:pPr>
      <w:r w:rsidRPr="00DC371E">
        <w:rPr>
          <w:rFonts w:ascii="Arial" w:hAnsi="Arial" w:cs="Arial"/>
          <w:sz w:val="22"/>
          <w:szCs w:val="22"/>
          <w:lang w:val="es-ES_tradnl"/>
        </w:rPr>
        <w:t xml:space="preserve">El artículo 1 del </w:t>
      </w:r>
      <w:r>
        <w:rPr>
          <w:rFonts w:ascii="Arial" w:hAnsi="Arial" w:cs="Arial"/>
          <w:sz w:val="22"/>
          <w:szCs w:val="22"/>
          <w:lang w:val="es-ES_tradnl"/>
        </w:rPr>
        <w:t>D</w:t>
      </w:r>
      <w:r w:rsidRPr="00DC371E">
        <w:rPr>
          <w:rFonts w:ascii="Arial" w:hAnsi="Arial" w:cs="Arial"/>
          <w:sz w:val="22"/>
          <w:szCs w:val="22"/>
          <w:lang w:val="es-ES_tradnl"/>
        </w:rPr>
        <w:t>ecreto</w:t>
      </w:r>
      <w:r>
        <w:rPr>
          <w:rFonts w:ascii="Arial" w:hAnsi="Arial" w:cs="Arial"/>
          <w:sz w:val="22"/>
          <w:szCs w:val="22"/>
          <w:lang w:val="es-ES_tradnl"/>
        </w:rPr>
        <w:t xml:space="preserve"> Legislativo</w:t>
      </w:r>
      <w:r w:rsidRPr="00DC371E">
        <w:rPr>
          <w:rFonts w:ascii="Arial" w:hAnsi="Arial" w:cs="Arial"/>
          <w:sz w:val="22"/>
          <w:szCs w:val="22"/>
          <w:lang w:val="es-ES_tradnl"/>
        </w:rPr>
        <w:t xml:space="preserve"> 528</w:t>
      </w:r>
      <w:r>
        <w:rPr>
          <w:rFonts w:ascii="Arial" w:hAnsi="Arial" w:cs="Arial"/>
          <w:sz w:val="22"/>
          <w:szCs w:val="22"/>
          <w:lang w:val="es-ES_tradnl"/>
        </w:rPr>
        <w:t xml:space="preserve"> de 2020</w:t>
      </w:r>
      <w:r w:rsidRPr="00DC371E">
        <w:rPr>
          <w:rFonts w:ascii="Arial" w:hAnsi="Arial" w:cs="Arial"/>
          <w:sz w:val="22"/>
          <w:szCs w:val="22"/>
          <w:lang w:val="es-ES_tradnl"/>
        </w:rPr>
        <w:t xml:space="preserve"> </w:t>
      </w:r>
      <w:r>
        <w:rPr>
          <w:rFonts w:ascii="Arial" w:hAnsi="Arial" w:cs="Arial"/>
          <w:sz w:val="22"/>
          <w:szCs w:val="22"/>
          <w:lang w:val="es-ES_tradnl"/>
        </w:rPr>
        <w:t>indica</w:t>
      </w:r>
      <w:r w:rsidRPr="00DC371E">
        <w:rPr>
          <w:rFonts w:ascii="Arial" w:hAnsi="Arial" w:cs="Arial"/>
          <w:sz w:val="22"/>
          <w:szCs w:val="22"/>
          <w:lang w:val="es-ES_tradnl"/>
        </w:rPr>
        <w:t xml:space="preserve"> que </w:t>
      </w:r>
      <w:r>
        <w:rPr>
          <w:rFonts w:ascii="Arial" w:hAnsi="Arial" w:cs="Arial"/>
          <w:iCs/>
          <w:sz w:val="22"/>
          <w:szCs w:val="22"/>
          <w:lang w:val="es-ES_tradnl"/>
        </w:rPr>
        <w:t>“</w:t>
      </w:r>
      <w:r>
        <w:rPr>
          <w:rFonts w:ascii="Arial" w:hAnsi="Arial" w:cs="Arial"/>
          <w:i/>
          <w:iCs/>
          <w:sz w:val="22"/>
          <w:szCs w:val="22"/>
          <w:lang w:val="es-ES_tradnl"/>
        </w:rPr>
        <w:t>l</w:t>
      </w:r>
      <w:r w:rsidRPr="00E46D41">
        <w:rPr>
          <w:rFonts w:ascii="Arial" w:hAnsi="Arial" w:cs="Arial"/>
          <w:iCs/>
          <w:sz w:val="22"/>
          <w:szCs w:val="22"/>
          <w:lang w:val="es-ES_tradnl"/>
        </w:rPr>
        <w:t>as</w:t>
      </w:r>
      <w:r w:rsidRPr="00DC371E">
        <w:rPr>
          <w:rFonts w:ascii="Arial" w:hAnsi="Arial" w:cs="Arial"/>
          <w:i/>
          <w:iCs/>
          <w:sz w:val="22"/>
          <w:szCs w:val="22"/>
          <w:lang w:val="es-ES_tradnl"/>
        </w:rPr>
        <w:t xml:space="preserve"> personas prestadoras de los servicios públicos de acueducto, alcantarillado y/o aseo, podrán diferir por un plazo de treinta y seis (36) meses el cobro del cargo fijo y del </w:t>
      </w:r>
      <w:r w:rsidRPr="00DC371E">
        <w:rPr>
          <w:rFonts w:ascii="Arial" w:hAnsi="Arial" w:cs="Arial"/>
          <w:b/>
          <w:bCs/>
          <w:i/>
          <w:iCs/>
          <w:sz w:val="22"/>
          <w:szCs w:val="22"/>
          <w:lang w:val="es-ES_tradnl"/>
        </w:rPr>
        <w:t>consumo no subsidiado</w:t>
      </w:r>
      <w:r w:rsidRPr="00DC371E">
        <w:rPr>
          <w:rFonts w:ascii="Arial" w:hAnsi="Arial" w:cs="Arial"/>
          <w:i/>
          <w:iCs/>
          <w:sz w:val="22"/>
          <w:szCs w:val="22"/>
          <w:lang w:val="es-ES_tradnl"/>
        </w:rPr>
        <w:t xml:space="preserve"> a los usuarios residenciales de estratos 1 y 2, por los </w:t>
      </w:r>
      <w:r w:rsidRPr="00DC371E">
        <w:rPr>
          <w:rFonts w:ascii="Arial" w:hAnsi="Arial" w:cs="Arial"/>
          <w:b/>
          <w:bCs/>
          <w:i/>
          <w:iCs/>
          <w:sz w:val="22"/>
          <w:szCs w:val="22"/>
          <w:lang w:val="es-ES_tradnl"/>
        </w:rPr>
        <w:t xml:space="preserve">consumos causados durante los sesenta (60) días </w:t>
      </w:r>
      <w:r w:rsidRPr="00DC371E">
        <w:rPr>
          <w:rFonts w:ascii="Arial" w:hAnsi="Arial" w:cs="Arial"/>
          <w:i/>
          <w:iCs/>
          <w:sz w:val="22"/>
          <w:szCs w:val="22"/>
          <w:lang w:val="es-ES_tradnl"/>
        </w:rPr>
        <w:t>siguientes a la declaratoria de Emergencia Económica, Social y Ecológica, sin que pueda trasladarle al usuario final ningún interés o costo financiero por el diferimiento del cobro.</w:t>
      </w:r>
    </w:p>
    <w:p w:rsidR="00D75790" w:rsidRPr="00DC371E" w:rsidRDefault="00D75790" w:rsidP="00D75790">
      <w:pPr>
        <w:pStyle w:val="Prrafodelista"/>
        <w:rPr>
          <w:rFonts w:ascii="Arial" w:hAnsi="Arial" w:cs="Arial"/>
          <w:i/>
          <w:iCs/>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Es evidente que este artículo, no ampara el pago de subsidios de vigencias anteriores a la declaratoria de emergencia, sino que hace referencia al alivio a través del pago diferido por consumos de los servicio</w:t>
      </w:r>
      <w:r>
        <w:rPr>
          <w:rFonts w:ascii="Arial" w:hAnsi="Arial" w:cs="Arial"/>
          <w:sz w:val="22"/>
          <w:szCs w:val="22"/>
          <w:lang w:val="es-ES_tradnl"/>
        </w:rPr>
        <w:t>s</w:t>
      </w:r>
      <w:r w:rsidRPr="00DC371E">
        <w:rPr>
          <w:rFonts w:ascii="Arial" w:hAnsi="Arial" w:cs="Arial"/>
          <w:sz w:val="22"/>
          <w:szCs w:val="22"/>
          <w:lang w:val="es-ES_tradnl"/>
        </w:rPr>
        <w:t xml:space="preserve"> de </w:t>
      </w:r>
      <w:r>
        <w:rPr>
          <w:rFonts w:ascii="Arial" w:hAnsi="Arial" w:cs="Arial"/>
          <w:sz w:val="22"/>
          <w:szCs w:val="22"/>
          <w:lang w:val="es-ES_tradnl"/>
        </w:rPr>
        <w:t>Acueducto,</w:t>
      </w:r>
      <w:r w:rsidRPr="00936B36">
        <w:rPr>
          <w:rFonts w:ascii="Arial" w:hAnsi="Arial" w:cs="Arial"/>
          <w:sz w:val="22"/>
          <w:szCs w:val="22"/>
          <w:lang w:val="es-ES_tradnl"/>
        </w:rPr>
        <w:t xml:space="preserve"> Alcantarillado</w:t>
      </w:r>
      <w:r>
        <w:rPr>
          <w:rFonts w:ascii="Arial" w:hAnsi="Arial" w:cs="Arial"/>
          <w:sz w:val="22"/>
          <w:szCs w:val="22"/>
          <w:lang w:val="es-ES_tradnl"/>
        </w:rPr>
        <w:t xml:space="preserve"> y Aseo </w:t>
      </w:r>
      <w:r w:rsidRPr="00DC371E">
        <w:rPr>
          <w:rFonts w:ascii="Arial" w:hAnsi="Arial" w:cs="Arial"/>
          <w:sz w:val="22"/>
          <w:szCs w:val="22"/>
          <w:lang w:val="es-ES_tradnl"/>
        </w:rPr>
        <w:t>causados durante los 60 días siguientes a la declaratoria de la Emergencia.</w:t>
      </w:r>
    </w:p>
    <w:p w:rsidR="00D75790" w:rsidRPr="00DC371E" w:rsidRDefault="00D75790" w:rsidP="00D75790">
      <w:pPr>
        <w:spacing w:after="33"/>
        <w:contextualSpacing/>
        <w:jc w:val="both"/>
        <w:rPr>
          <w:rFonts w:ascii="Arial" w:hAnsi="Arial" w:cs="Arial"/>
          <w:i/>
          <w:iCs/>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Por su parte, el artículo 4 del </w:t>
      </w:r>
      <w:r>
        <w:rPr>
          <w:rFonts w:ascii="Arial" w:hAnsi="Arial" w:cs="Arial"/>
          <w:sz w:val="22"/>
          <w:szCs w:val="22"/>
          <w:lang w:val="es-ES_tradnl"/>
        </w:rPr>
        <w:t>D</w:t>
      </w:r>
      <w:r w:rsidRPr="00DC371E">
        <w:rPr>
          <w:rFonts w:ascii="Arial" w:hAnsi="Arial" w:cs="Arial"/>
          <w:sz w:val="22"/>
          <w:szCs w:val="22"/>
          <w:lang w:val="es-ES_tradnl"/>
        </w:rPr>
        <w:t>ecreto</w:t>
      </w:r>
      <w:r>
        <w:rPr>
          <w:rFonts w:ascii="Arial" w:hAnsi="Arial" w:cs="Arial"/>
          <w:sz w:val="22"/>
          <w:szCs w:val="22"/>
          <w:lang w:val="es-ES_tradnl"/>
        </w:rPr>
        <w:t xml:space="preserve"> Legislativo</w:t>
      </w:r>
      <w:r w:rsidRPr="00DC371E">
        <w:rPr>
          <w:rFonts w:ascii="Arial" w:hAnsi="Arial" w:cs="Arial"/>
          <w:sz w:val="22"/>
          <w:szCs w:val="22"/>
          <w:lang w:val="es-ES_tradnl"/>
        </w:rPr>
        <w:t xml:space="preserve"> 528 de 2020 hizo referencia al giro directo en los siguientes términos: </w:t>
      </w: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ind w:left="1416"/>
        <w:contextualSpacing/>
        <w:jc w:val="both"/>
        <w:rPr>
          <w:rFonts w:ascii="Arial" w:hAnsi="Arial" w:cs="Arial"/>
          <w:i/>
          <w:iCs/>
          <w:sz w:val="18"/>
          <w:szCs w:val="22"/>
          <w:lang w:val="es-ES_tradnl"/>
        </w:rPr>
      </w:pPr>
      <w:r w:rsidRPr="00E46D41">
        <w:rPr>
          <w:rFonts w:ascii="Arial" w:hAnsi="Arial" w:cs="Arial"/>
          <w:iCs/>
          <w:sz w:val="18"/>
          <w:szCs w:val="22"/>
          <w:lang w:val="es-ES_tradnl"/>
        </w:rPr>
        <w:t>“</w:t>
      </w:r>
      <w:r w:rsidRPr="00E46D41">
        <w:rPr>
          <w:rFonts w:ascii="Arial" w:hAnsi="Arial" w:cs="Arial"/>
          <w:i/>
          <w:iCs/>
          <w:sz w:val="18"/>
          <w:szCs w:val="22"/>
          <w:lang w:val="es-ES_tradnl"/>
        </w:rPr>
        <w:t>Mientras permanezca vigente la declaratoria del Estado de Emergencia Económica, Social y Ecológica por causa de la Pande</w:t>
      </w:r>
      <w:r>
        <w:rPr>
          <w:rFonts w:ascii="Arial" w:hAnsi="Arial" w:cs="Arial"/>
          <w:i/>
          <w:iCs/>
          <w:sz w:val="18"/>
          <w:szCs w:val="22"/>
          <w:lang w:val="es-ES_tradnl"/>
        </w:rPr>
        <w:t>m</w:t>
      </w:r>
      <w:r w:rsidRPr="00E46D41">
        <w:rPr>
          <w:rFonts w:ascii="Arial" w:hAnsi="Arial" w:cs="Arial"/>
          <w:i/>
          <w:iCs/>
          <w:sz w:val="18"/>
          <w:szCs w:val="22"/>
          <w:lang w:val="es-ES_tradnl"/>
        </w:rPr>
        <w:t xml:space="preserve">ia COVID-19, aquellos municipios que en la </w:t>
      </w:r>
      <w:r w:rsidRPr="00E46D41">
        <w:rPr>
          <w:rFonts w:ascii="Arial" w:hAnsi="Arial" w:cs="Arial"/>
          <w:b/>
          <w:bCs/>
          <w:i/>
          <w:iCs/>
          <w:sz w:val="18"/>
          <w:szCs w:val="22"/>
          <w:lang w:val="es-ES_tradnl"/>
        </w:rPr>
        <w:t>vigencia 2020</w:t>
      </w:r>
      <w:r w:rsidRPr="00E46D41">
        <w:rPr>
          <w:rStyle w:val="Refdenotaalpie"/>
          <w:rFonts w:ascii="Arial" w:hAnsi="Arial" w:cs="Arial"/>
          <w:i/>
          <w:iCs/>
          <w:sz w:val="18"/>
          <w:szCs w:val="22"/>
          <w:lang w:val="es-ES_tradnl"/>
        </w:rPr>
        <w:footnoteReference w:id="38"/>
      </w:r>
      <w:r w:rsidRPr="00E46D41">
        <w:rPr>
          <w:rFonts w:ascii="Arial" w:hAnsi="Arial" w:cs="Arial"/>
          <w:b/>
          <w:bCs/>
          <w:i/>
          <w:iCs/>
          <w:sz w:val="18"/>
          <w:szCs w:val="22"/>
          <w:lang w:val="es-ES_tradnl"/>
        </w:rPr>
        <w:t xml:space="preserve"> </w:t>
      </w:r>
      <w:r w:rsidRPr="00E46D41">
        <w:rPr>
          <w:rFonts w:ascii="Arial" w:hAnsi="Arial" w:cs="Arial"/>
          <w:i/>
          <w:iCs/>
          <w:sz w:val="18"/>
          <w:szCs w:val="22"/>
          <w:lang w:val="es-ES_tradnl"/>
        </w:rPr>
        <w:t xml:space="preserve">no hayan girado los recursos del Sistema General de Participaciones para Agua Potable y Saneamiento Básico a las personas prestadoras de servicios públicos de acueducto, alcantarillado y aseo que operan en su territorio, con el fin de dar cumplimiento al literal a) del artículo 11 de la Ley 1176 de 2007, deberán realizar los giros correspondientes a más </w:t>
      </w:r>
      <w:r w:rsidRPr="00E46D41">
        <w:rPr>
          <w:rFonts w:ascii="Arial" w:hAnsi="Arial" w:cs="Arial"/>
          <w:b/>
          <w:bCs/>
          <w:i/>
          <w:iCs/>
          <w:sz w:val="18"/>
          <w:szCs w:val="22"/>
          <w:lang w:val="es-ES_tradnl"/>
        </w:rPr>
        <w:t>tardar el 15 de abril de 2020</w:t>
      </w:r>
      <w:r w:rsidRPr="00E46D41">
        <w:rPr>
          <w:rFonts w:ascii="Arial" w:hAnsi="Arial" w:cs="Arial"/>
          <w:i/>
          <w:iCs/>
          <w:sz w:val="18"/>
          <w:szCs w:val="22"/>
          <w:lang w:val="es-ES_tradnl"/>
        </w:rPr>
        <w:t>.</w:t>
      </w:r>
      <w:r>
        <w:rPr>
          <w:rFonts w:ascii="Arial" w:hAnsi="Arial" w:cs="Arial"/>
          <w:i/>
          <w:iCs/>
          <w:sz w:val="18"/>
          <w:szCs w:val="22"/>
          <w:lang w:val="es-ES_tradnl"/>
        </w:rPr>
        <w:t xml:space="preserve"> (…)</w:t>
      </w:r>
    </w:p>
    <w:p w:rsidR="00D75790" w:rsidRDefault="00D75790" w:rsidP="00D75790">
      <w:pPr>
        <w:spacing w:after="33"/>
        <w:ind w:left="1416"/>
        <w:contextualSpacing/>
        <w:jc w:val="both"/>
        <w:rPr>
          <w:rFonts w:ascii="Arial" w:hAnsi="Arial" w:cs="Arial"/>
          <w:i/>
          <w:iCs/>
          <w:sz w:val="18"/>
          <w:szCs w:val="22"/>
          <w:lang w:val="es-ES_tradnl"/>
        </w:rPr>
      </w:pPr>
    </w:p>
    <w:p w:rsidR="00D75790" w:rsidRPr="00E46D41" w:rsidRDefault="00D75790" w:rsidP="00D75790">
      <w:pPr>
        <w:spacing w:after="33"/>
        <w:ind w:left="1416"/>
        <w:contextualSpacing/>
        <w:jc w:val="both"/>
        <w:rPr>
          <w:rFonts w:ascii="Arial" w:hAnsi="Arial" w:cs="Arial"/>
          <w:sz w:val="18"/>
          <w:szCs w:val="22"/>
          <w:lang w:val="es-ES_tradnl"/>
        </w:rPr>
      </w:pPr>
      <w:r w:rsidRPr="00E46D41">
        <w:rPr>
          <w:rFonts w:ascii="Arial" w:hAnsi="Arial" w:cs="Arial"/>
          <w:i/>
          <w:iCs/>
          <w:sz w:val="18"/>
          <w:szCs w:val="22"/>
          <w:lang w:val="es-ES_tradnl"/>
        </w:rPr>
        <w:t>[…] En todo caso, el municipio deberá realizar la verificación de la correcta asignación de los recursos del Sistema General de Participaciones para Agua Potable y Saneamiento Básico</w:t>
      </w:r>
      <w:r w:rsidRPr="00E46D41">
        <w:rPr>
          <w:rFonts w:ascii="Arial" w:hAnsi="Arial" w:cs="Arial"/>
          <w:i/>
          <w:sz w:val="18"/>
          <w:szCs w:val="22"/>
          <w:lang w:val="es-ES_tradnl"/>
        </w:rPr>
        <w:t>”.</w:t>
      </w:r>
    </w:p>
    <w:p w:rsidR="00D75790" w:rsidRPr="00E46D41" w:rsidRDefault="00D75790" w:rsidP="00D75790">
      <w:pPr>
        <w:spacing w:after="33"/>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Para este caso y teniendo en cuenta el término de cumplimiento, serían pagos por el déficit de subsidios causados entre el 1 de enero hasta el 15 de abril de la vigencia 2020. Posterior a esto los Prestadores podrían recurrir, como en este caso y ante el MVCT, a la figura del giro directo. </w:t>
      </w:r>
      <w:r w:rsidRPr="00E46D41">
        <w:rPr>
          <w:rFonts w:ascii="Arial" w:hAnsi="Arial" w:cs="Arial"/>
          <w:bCs/>
          <w:sz w:val="22"/>
          <w:szCs w:val="22"/>
          <w:lang w:val="es-ES_tradnl"/>
        </w:rPr>
        <w:t>El Municipio debió verificar</w:t>
      </w:r>
      <w:r w:rsidRPr="00DC371E">
        <w:rPr>
          <w:rFonts w:ascii="Arial" w:hAnsi="Arial" w:cs="Arial"/>
          <w:sz w:val="22"/>
          <w:szCs w:val="22"/>
          <w:lang w:val="es-ES_tradnl"/>
        </w:rPr>
        <w:t xml:space="preserve"> el cumplimento de la aplicación correcta de la </w:t>
      </w:r>
      <w:r>
        <w:rPr>
          <w:rFonts w:ascii="Arial" w:hAnsi="Arial" w:cs="Arial"/>
          <w:sz w:val="22"/>
          <w:szCs w:val="22"/>
          <w:lang w:val="es-ES_tradnl"/>
        </w:rPr>
        <w:t>R</w:t>
      </w:r>
      <w:r w:rsidRPr="00DC371E">
        <w:rPr>
          <w:rFonts w:ascii="Arial" w:hAnsi="Arial" w:cs="Arial"/>
          <w:sz w:val="22"/>
          <w:szCs w:val="22"/>
          <w:lang w:val="es-ES_tradnl"/>
        </w:rPr>
        <w:t>esolución 1607 del 15 de mayo de 2020, en cuanto a fechas de aplicación para el pago de subsidios, en concordancia con el principio presupuestal de anualidad.</w:t>
      </w:r>
    </w:p>
    <w:p w:rsidR="00D75790" w:rsidRPr="00DC371E" w:rsidRDefault="00D75790" w:rsidP="00D75790">
      <w:pPr>
        <w:spacing w:after="33"/>
        <w:ind w:left="360"/>
        <w:contextualSpacing/>
        <w:jc w:val="both"/>
        <w:rPr>
          <w:rFonts w:ascii="Arial" w:hAnsi="Arial" w:cs="Arial"/>
          <w:sz w:val="22"/>
          <w:szCs w:val="22"/>
          <w:lang w:val="es-ES_tradnl"/>
        </w:rPr>
      </w:pPr>
    </w:p>
    <w:p w:rsidR="00D75790" w:rsidRPr="00DC371E" w:rsidRDefault="00D75790" w:rsidP="00D75790">
      <w:pPr>
        <w:pStyle w:val="Prrafodelista"/>
        <w:numPr>
          <w:ilvl w:val="0"/>
          <w:numId w:val="27"/>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de la </w:t>
      </w:r>
      <w:r>
        <w:rPr>
          <w:rFonts w:ascii="Arial" w:hAnsi="Arial" w:cs="Arial"/>
          <w:sz w:val="22"/>
          <w:szCs w:val="22"/>
          <w:lang w:val="es-ES_tradnl"/>
        </w:rPr>
        <w:t>P</w:t>
      </w:r>
      <w:r w:rsidRPr="00DC371E">
        <w:rPr>
          <w:rFonts w:ascii="Arial" w:hAnsi="Arial" w:cs="Arial"/>
          <w:sz w:val="22"/>
          <w:szCs w:val="22"/>
          <w:lang w:val="es-ES_tradnl"/>
        </w:rPr>
        <w:t xml:space="preserve">articipación del SGP APSB para </w:t>
      </w:r>
      <w:r w:rsidRPr="00936B36">
        <w:rPr>
          <w:rFonts w:ascii="Arial" w:hAnsi="Arial" w:cs="Arial"/>
          <w:bCs/>
          <w:sz w:val="22"/>
          <w:szCs w:val="22"/>
          <w:lang w:val="es-ES_tradnl"/>
        </w:rPr>
        <w:t>departamentos</w:t>
      </w:r>
      <w:r w:rsidRPr="00DC371E">
        <w:rPr>
          <w:rFonts w:ascii="Arial" w:hAnsi="Arial" w:cs="Arial"/>
          <w:sz w:val="22"/>
          <w:szCs w:val="22"/>
          <w:lang w:val="es-ES_tradnl"/>
        </w:rPr>
        <w:t>, no acogen en sus destinaciones, deudas por concepto del déficit de subsidios.</w:t>
      </w:r>
    </w:p>
    <w:p w:rsidR="00D75790" w:rsidRPr="00DC371E" w:rsidRDefault="00D75790" w:rsidP="00D75790">
      <w:pPr>
        <w:pStyle w:val="Prrafodelista"/>
        <w:numPr>
          <w:ilvl w:val="0"/>
          <w:numId w:val="27"/>
        </w:numPr>
        <w:spacing w:after="33"/>
        <w:jc w:val="both"/>
        <w:rPr>
          <w:rFonts w:ascii="Arial" w:hAnsi="Arial" w:cs="Arial"/>
          <w:sz w:val="22"/>
          <w:szCs w:val="22"/>
          <w:lang w:val="es-ES_tradnl"/>
        </w:rPr>
      </w:pPr>
      <w:r w:rsidRPr="00DC371E">
        <w:rPr>
          <w:rFonts w:ascii="Arial" w:hAnsi="Arial" w:cs="Arial"/>
          <w:sz w:val="22"/>
          <w:szCs w:val="22"/>
          <w:lang w:val="es-ES_tradnl"/>
        </w:rPr>
        <w:lastRenderedPageBreak/>
        <w:t xml:space="preserve">Los recursos de la </w:t>
      </w:r>
      <w:r>
        <w:rPr>
          <w:rFonts w:ascii="Arial" w:hAnsi="Arial" w:cs="Arial"/>
          <w:sz w:val="22"/>
          <w:szCs w:val="22"/>
          <w:lang w:val="es-ES_tradnl"/>
        </w:rPr>
        <w:t>P</w:t>
      </w:r>
      <w:r w:rsidRPr="00DC371E">
        <w:rPr>
          <w:rFonts w:ascii="Arial" w:hAnsi="Arial" w:cs="Arial"/>
          <w:sz w:val="22"/>
          <w:szCs w:val="22"/>
          <w:lang w:val="es-ES_tradnl"/>
        </w:rPr>
        <w:t>articipación del SGP</w:t>
      </w:r>
      <w:r>
        <w:rPr>
          <w:rFonts w:ascii="Arial" w:hAnsi="Arial" w:cs="Arial"/>
          <w:sz w:val="22"/>
          <w:szCs w:val="22"/>
          <w:lang w:val="es-ES_tradnl"/>
        </w:rPr>
        <w:t xml:space="preserve"> -</w:t>
      </w:r>
      <w:r w:rsidRPr="00DC371E">
        <w:rPr>
          <w:rFonts w:ascii="Arial" w:hAnsi="Arial" w:cs="Arial"/>
          <w:sz w:val="22"/>
          <w:szCs w:val="22"/>
          <w:lang w:val="es-ES_tradnl"/>
        </w:rPr>
        <w:t xml:space="preserve"> APSB para municipios, financian subsidios que se otorguen a los estratos subsidiables en la prestación de los servicios públicos domiciliarios.</w:t>
      </w:r>
    </w:p>
    <w:p w:rsidR="00D75790" w:rsidRPr="00DC371E" w:rsidRDefault="00D75790" w:rsidP="00D75790">
      <w:pPr>
        <w:pStyle w:val="Prrafodelista"/>
        <w:numPr>
          <w:ilvl w:val="0"/>
          <w:numId w:val="27"/>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de la </w:t>
      </w:r>
      <w:r>
        <w:rPr>
          <w:rFonts w:ascii="Arial" w:hAnsi="Arial" w:cs="Arial"/>
          <w:sz w:val="22"/>
          <w:szCs w:val="22"/>
          <w:lang w:val="es-ES_tradnl"/>
        </w:rPr>
        <w:t>P</w:t>
      </w:r>
      <w:r w:rsidRPr="00DC371E">
        <w:rPr>
          <w:rFonts w:ascii="Arial" w:hAnsi="Arial" w:cs="Arial"/>
          <w:sz w:val="22"/>
          <w:szCs w:val="22"/>
          <w:lang w:val="es-ES_tradnl"/>
        </w:rPr>
        <w:t xml:space="preserve">articipación del SGP </w:t>
      </w:r>
      <w:r>
        <w:rPr>
          <w:rFonts w:ascii="Arial" w:hAnsi="Arial" w:cs="Arial"/>
          <w:sz w:val="22"/>
          <w:szCs w:val="22"/>
          <w:lang w:val="es-ES_tradnl"/>
        </w:rPr>
        <w:t xml:space="preserve">- </w:t>
      </w:r>
      <w:r w:rsidRPr="00DC371E">
        <w:rPr>
          <w:rFonts w:ascii="Arial" w:hAnsi="Arial" w:cs="Arial"/>
          <w:sz w:val="22"/>
          <w:szCs w:val="22"/>
          <w:lang w:val="es-ES_tradnl"/>
        </w:rPr>
        <w:t xml:space="preserve">APSB para </w:t>
      </w:r>
      <w:r w:rsidRPr="00E46D41">
        <w:rPr>
          <w:rFonts w:ascii="Arial" w:hAnsi="Arial" w:cs="Arial"/>
          <w:bCs/>
          <w:sz w:val="22"/>
          <w:szCs w:val="22"/>
          <w:lang w:val="es-ES_tradnl"/>
        </w:rPr>
        <w:t>municipios</w:t>
      </w:r>
      <w:r w:rsidRPr="00DC371E">
        <w:rPr>
          <w:rFonts w:ascii="Arial" w:hAnsi="Arial" w:cs="Arial"/>
          <w:sz w:val="22"/>
          <w:szCs w:val="22"/>
          <w:lang w:val="es-ES_tradnl"/>
        </w:rPr>
        <w:t xml:space="preserve">, no contemplan en sus destinaciones, </w:t>
      </w:r>
      <w:r w:rsidRPr="00E46D41">
        <w:rPr>
          <w:rFonts w:ascii="Arial" w:hAnsi="Arial" w:cs="Arial"/>
          <w:bCs/>
          <w:sz w:val="22"/>
          <w:szCs w:val="22"/>
          <w:lang w:val="es-ES_tradnl"/>
        </w:rPr>
        <w:t>deudas</w:t>
      </w:r>
      <w:r w:rsidRPr="00DC371E">
        <w:rPr>
          <w:rFonts w:ascii="Arial" w:hAnsi="Arial" w:cs="Arial"/>
          <w:sz w:val="22"/>
          <w:szCs w:val="22"/>
          <w:lang w:val="es-ES_tradnl"/>
        </w:rPr>
        <w:t xml:space="preserve"> por concepto del pago del déficit de subsidios del </w:t>
      </w:r>
      <w:r>
        <w:rPr>
          <w:rFonts w:ascii="Arial" w:hAnsi="Arial" w:cs="Arial"/>
          <w:sz w:val="22"/>
          <w:szCs w:val="22"/>
          <w:lang w:val="es-ES_tradnl"/>
        </w:rPr>
        <w:t>S</w:t>
      </w:r>
      <w:r w:rsidRPr="00DC371E">
        <w:rPr>
          <w:rFonts w:ascii="Arial" w:hAnsi="Arial" w:cs="Arial"/>
          <w:sz w:val="22"/>
          <w:szCs w:val="22"/>
          <w:lang w:val="es-ES_tradnl"/>
        </w:rPr>
        <w:t xml:space="preserve">ector de </w:t>
      </w:r>
      <w:r>
        <w:rPr>
          <w:rFonts w:ascii="Arial" w:hAnsi="Arial" w:cs="Arial"/>
          <w:sz w:val="22"/>
          <w:szCs w:val="22"/>
          <w:lang w:val="es-ES_tradnl"/>
        </w:rPr>
        <w:t>A</w:t>
      </w:r>
      <w:r w:rsidRPr="00DC371E">
        <w:rPr>
          <w:rFonts w:ascii="Arial" w:hAnsi="Arial" w:cs="Arial"/>
          <w:sz w:val="22"/>
          <w:szCs w:val="22"/>
          <w:lang w:val="es-ES_tradnl"/>
        </w:rPr>
        <w:t xml:space="preserve">gua </w:t>
      </w:r>
      <w:r>
        <w:rPr>
          <w:rFonts w:ascii="Arial" w:hAnsi="Arial" w:cs="Arial"/>
          <w:sz w:val="22"/>
          <w:szCs w:val="22"/>
          <w:lang w:val="es-ES_tradnl"/>
        </w:rPr>
        <w:t>P</w:t>
      </w:r>
      <w:r w:rsidRPr="00DC371E">
        <w:rPr>
          <w:rFonts w:ascii="Arial" w:hAnsi="Arial" w:cs="Arial"/>
          <w:sz w:val="22"/>
          <w:szCs w:val="22"/>
          <w:lang w:val="es-ES_tradnl"/>
        </w:rPr>
        <w:t xml:space="preserve">otable y </w:t>
      </w:r>
      <w:r>
        <w:rPr>
          <w:rFonts w:ascii="Arial" w:hAnsi="Arial" w:cs="Arial"/>
          <w:sz w:val="22"/>
          <w:szCs w:val="22"/>
          <w:lang w:val="es-ES_tradnl"/>
        </w:rPr>
        <w:t>S</w:t>
      </w:r>
      <w:r w:rsidRPr="00DC371E">
        <w:rPr>
          <w:rFonts w:ascii="Arial" w:hAnsi="Arial" w:cs="Arial"/>
          <w:sz w:val="22"/>
          <w:szCs w:val="22"/>
          <w:lang w:val="es-ES_tradnl"/>
        </w:rPr>
        <w:t xml:space="preserve">aneamiento </w:t>
      </w:r>
      <w:r>
        <w:rPr>
          <w:rFonts w:ascii="Arial" w:hAnsi="Arial" w:cs="Arial"/>
          <w:sz w:val="22"/>
          <w:szCs w:val="22"/>
          <w:lang w:val="es-ES_tradnl"/>
        </w:rPr>
        <w:t>B</w:t>
      </w:r>
      <w:r w:rsidRPr="00DC371E">
        <w:rPr>
          <w:rFonts w:ascii="Arial" w:hAnsi="Arial" w:cs="Arial"/>
          <w:sz w:val="22"/>
          <w:szCs w:val="22"/>
          <w:lang w:val="es-ES_tradnl"/>
        </w:rPr>
        <w:t>ásico.</w:t>
      </w:r>
    </w:p>
    <w:p w:rsidR="00D75790" w:rsidRPr="00DC371E" w:rsidRDefault="00D75790" w:rsidP="00D75790">
      <w:pPr>
        <w:pStyle w:val="Prrafodelista"/>
        <w:numPr>
          <w:ilvl w:val="0"/>
          <w:numId w:val="27"/>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recursos citados corresponden a </w:t>
      </w:r>
      <w:r w:rsidRPr="00E46D41">
        <w:rPr>
          <w:rFonts w:ascii="Arial" w:hAnsi="Arial" w:cs="Arial"/>
          <w:bCs/>
          <w:sz w:val="22"/>
          <w:szCs w:val="22"/>
          <w:lang w:val="es-ES_tradnl"/>
        </w:rPr>
        <w:t>deudas</w:t>
      </w:r>
      <w:r w:rsidRPr="00DC371E">
        <w:rPr>
          <w:rFonts w:ascii="Arial" w:hAnsi="Arial" w:cs="Arial"/>
          <w:sz w:val="22"/>
          <w:szCs w:val="22"/>
          <w:lang w:val="es-ES_tradnl"/>
        </w:rPr>
        <w:t xml:space="preserve"> por concepto de déficit de subsidios de vigencias anteriores, las cuales, tampoco podían ser financiadas con los recursos sectoriales, ni siquiera desde la participación que recibe San Andrés como Municipio, mucho menos deudas de vigencias 2007 ni 2008.</w:t>
      </w:r>
    </w:p>
    <w:p w:rsidR="00D75790" w:rsidRPr="00DC371E" w:rsidRDefault="00D75790" w:rsidP="00D75790">
      <w:pPr>
        <w:pStyle w:val="Prrafodelista"/>
        <w:numPr>
          <w:ilvl w:val="0"/>
          <w:numId w:val="27"/>
        </w:numPr>
        <w:spacing w:after="33"/>
        <w:jc w:val="both"/>
        <w:rPr>
          <w:rFonts w:ascii="Arial" w:hAnsi="Arial" w:cs="Arial"/>
          <w:sz w:val="22"/>
          <w:szCs w:val="22"/>
          <w:lang w:val="es-ES_tradnl"/>
        </w:rPr>
      </w:pPr>
      <w:r w:rsidRPr="00DC371E">
        <w:rPr>
          <w:rFonts w:ascii="Arial" w:hAnsi="Arial" w:cs="Arial"/>
          <w:sz w:val="22"/>
          <w:szCs w:val="22"/>
          <w:lang w:val="es-ES_tradnl"/>
        </w:rPr>
        <w:t xml:space="preserve">Los pagos de subsidios (abril a diciembre de la </w:t>
      </w:r>
      <w:r>
        <w:rPr>
          <w:rFonts w:ascii="Arial" w:hAnsi="Arial" w:cs="Arial"/>
          <w:sz w:val="22"/>
          <w:szCs w:val="22"/>
          <w:lang w:val="es-ES_tradnl"/>
        </w:rPr>
        <w:t>v</w:t>
      </w:r>
      <w:r w:rsidRPr="00DC371E">
        <w:rPr>
          <w:rFonts w:ascii="Arial" w:hAnsi="Arial" w:cs="Arial"/>
          <w:sz w:val="22"/>
          <w:szCs w:val="22"/>
          <w:lang w:val="es-ES_tradnl"/>
        </w:rPr>
        <w:t>igencia 2019), debieron ser presupuestados desde la vigencia 2018 y pagados en la vigencia 2019. Sin embargo</w:t>
      </w:r>
      <w:r>
        <w:rPr>
          <w:rFonts w:ascii="Arial" w:hAnsi="Arial" w:cs="Arial"/>
          <w:sz w:val="22"/>
          <w:szCs w:val="22"/>
          <w:lang w:val="es-ES_tradnl"/>
        </w:rPr>
        <w:t>,</w:t>
      </w:r>
      <w:r w:rsidRPr="00DC371E">
        <w:rPr>
          <w:rFonts w:ascii="Arial" w:hAnsi="Arial" w:cs="Arial"/>
          <w:sz w:val="22"/>
          <w:szCs w:val="22"/>
          <w:lang w:val="es-ES_tradnl"/>
        </w:rPr>
        <w:t xml:space="preserve"> en el documento denominado informe mensual de ejecución presupuestal de gastos, suscrita por la Secretaria de Hacienda y correspondiente a la vigencia 2019, certificaron la inexistencia de cuentas por pagar, “no se reportaron movimientos”. En este sentido, no existía el soporte presupuestal (</w:t>
      </w:r>
      <w:r>
        <w:rPr>
          <w:rFonts w:ascii="Arial" w:hAnsi="Arial" w:cs="Arial"/>
          <w:sz w:val="22"/>
          <w:szCs w:val="22"/>
          <w:lang w:val="es-ES_tradnl"/>
        </w:rPr>
        <w:t>n</w:t>
      </w:r>
      <w:r w:rsidRPr="00DC371E">
        <w:rPr>
          <w:rFonts w:ascii="Arial" w:hAnsi="Arial" w:cs="Arial"/>
          <w:sz w:val="22"/>
          <w:szCs w:val="22"/>
          <w:lang w:val="es-ES_tradnl"/>
        </w:rPr>
        <w:t xml:space="preserve">i cuentas por pagar ni reservas debidamente constituidas) para efectuar el pago de estos subsidios. </w:t>
      </w:r>
    </w:p>
    <w:p w:rsidR="00D75790" w:rsidRPr="00DC371E" w:rsidRDefault="00D75790" w:rsidP="00D75790">
      <w:pPr>
        <w:pStyle w:val="Prrafodelista"/>
        <w:numPr>
          <w:ilvl w:val="0"/>
          <w:numId w:val="28"/>
        </w:numPr>
        <w:spacing w:after="33"/>
        <w:jc w:val="both"/>
        <w:rPr>
          <w:rFonts w:ascii="Arial" w:hAnsi="Arial" w:cs="Arial"/>
          <w:sz w:val="22"/>
          <w:szCs w:val="22"/>
          <w:lang w:val="es-ES_tradnl"/>
        </w:rPr>
      </w:pPr>
      <w:r w:rsidRPr="00DC371E">
        <w:rPr>
          <w:rFonts w:ascii="Arial" w:hAnsi="Arial" w:cs="Arial"/>
          <w:sz w:val="22"/>
          <w:szCs w:val="22"/>
          <w:lang w:val="es-ES_tradnl"/>
        </w:rPr>
        <w:t xml:space="preserve">San Andrés recibe recursos del SGP </w:t>
      </w:r>
      <w:r>
        <w:rPr>
          <w:rFonts w:ascii="Arial" w:hAnsi="Arial" w:cs="Arial"/>
          <w:sz w:val="22"/>
          <w:szCs w:val="22"/>
          <w:lang w:val="es-ES_tradnl"/>
        </w:rPr>
        <w:t xml:space="preserve">- </w:t>
      </w:r>
      <w:r w:rsidRPr="00DC371E">
        <w:rPr>
          <w:rFonts w:ascii="Arial" w:hAnsi="Arial" w:cs="Arial"/>
          <w:sz w:val="22"/>
          <w:szCs w:val="22"/>
          <w:lang w:val="es-ES_tradnl"/>
        </w:rPr>
        <w:t xml:space="preserve">APSB como Municipio y Departamento. De acuerdo con la ejecución presupuestal, la fuente de financiación usada, fueron los recursos del balance del SGP Municipio y no como Departamento desatendiendo la </w:t>
      </w:r>
      <w:r>
        <w:rPr>
          <w:rFonts w:ascii="Arial" w:hAnsi="Arial" w:cs="Arial"/>
          <w:sz w:val="22"/>
          <w:szCs w:val="22"/>
          <w:lang w:val="es-ES_tradnl"/>
        </w:rPr>
        <w:t>R</w:t>
      </w:r>
      <w:r w:rsidRPr="00DC371E">
        <w:rPr>
          <w:rFonts w:ascii="Arial" w:hAnsi="Arial" w:cs="Arial"/>
          <w:sz w:val="22"/>
          <w:szCs w:val="22"/>
          <w:lang w:val="es-ES_tradnl"/>
        </w:rPr>
        <w:t>esolución 1607 del 15 de mayo de 2020.</w:t>
      </w:r>
    </w:p>
    <w:p w:rsidR="00D75790" w:rsidRPr="00E46D41" w:rsidRDefault="00D75790" w:rsidP="00D75790">
      <w:pPr>
        <w:spacing w:after="33"/>
        <w:jc w:val="both"/>
        <w:rPr>
          <w:rFonts w:ascii="Arial" w:hAnsi="Arial" w:cs="Arial"/>
          <w:sz w:val="22"/>
          <w:szCs w:val="22"/>
          <w:lang w:val="es-ES_tradnl"/>
        </w:rPr>
      </w:pPr>
    </w:p>
    <w:p w:rsidR="00D75790" w:rsidRPr="00DC371E" w:rsidRDefault="00D75790" w:rsidP="00D75790">
      <w:pPr>
        <w:spacing w:after="33"/>
        <w:contextualSpacing/>
        <w:jc w:val="both"/>
        <w:rPr>
          <w:rFonts w:ascii="Arial" w:hAnsi="Arial" w:cs="Arial"/>
          <w:sz w:val="22"/>
          <w:szCs w:val="22"/>
          <w:lang w:val="es-ES_tradnl"/>
        </w:rPr>
      </w:pPr>
      <w:r w:rsidRPr="00DC371E">
        <w:rPr>
          <w:rFonts w:ascii="Arial" w:hAnsi="Arial" w:cs="Arial"/>
          <w:sz w:val="22"/>
          <w:szCs w:val="22"/>
          <w:lang w:val="es-ES_tradnl"/>
        </w:rPr>
        <w:t xml:space="preserve">En conclusión, la </w:t>
      </w:r>
      <w:r w:rsidRPr="00E46D41">
        <w:rPr>
          <w:rFonts w:ascii="Arial" w:hAnsi="Arial" w:cs="Arial"/>
          <w:bCs/>
          <w:sz w:val="22"/>
          <w:szCs w:val="22"/>
          <w:lang w:val="es-ES_tradnl"/>
        </w:rPr>
        <w:t>deuda</w:t>
      </w:r>
      <w:r w:rsidRPr="00DC371E">
        <w:rPr>
          <w:rFonts w:ascii="Arial" w:hAnsi="Arial" w:cs="Arial"/>
          <w:sz w:val="22"/>
          <w:szCs w:val="22"/>
          <w:lang w:val="es-ES_tradnl"/>
        </w:rPr>
        <w:t xml:space="preserve"> por déficit de subsidios de vigencias anteriores no es un concepto financiable con los recursos corrientes de la </w:t>
      </w:r>
      <w:r>
        <w:rPr>
          <w:rFonts w:ascii="Arial" w:hAnsi="Arial" w:cs="Arial"/>
          <w:sz w:val="22"/>
          <w:szCs w:val="22"/>
          <w:lang w:val="es-ES_tradnl"/>
        </w:rPr>
        <w:t>P</w:t>
      </w:r>
      <w:r w:rsidRPr="00DC371E">
        <w:rPr>
          <w:rFonts w:ascii="Arial" w:hAnsi="Arial" w:cs="Arial"/>
          <w:sz w:val="22"/>
          <w:szCs w:val="22"/>
          <w:lang w:val="es-ES_tradnl"/>
        </w:rPr>
        <w:t>articipación del Sistema General de Participaciones del Sector de Agua Potable para departamentos (</w:t>
      </w:r>
      <w:r>
        <w:rPr>
          <w:rFonts w:ascii="Arial" w:hAnsi="Arial" w:cs="Arial"/>
          <w:sz w:val="22"/>
          <w:szCs w:val="22"/>
          <w:lang w:val="es-ES_tradnl"/>
        </w:rPr>
        <w:t>a</w:t>
      </w:r>
      <w:r w:rsidRPr="00DC371E">
        <w:rPr>
          <w:rFonts w:ascii="Arial" w:hAnsi="Arial" w:cs="Arial"/>
          <w:sz w:val="22"/>
          <w:szCs w:val="22"/>
          <w:lang w:val="es-ES_tradnl"/>
        </w:rPr>
        <w:t>rt</w:t>
      </w:r>
      <w:r>
        <w:rPr>
          <w:rFonts w:ascii="Arial" w:hAnsi="Arial" w:cs="Arial"/>
          <w:sz w:val="22"/>
          <w:szCs w:val="22"/>
          <w:lang w:val="es-ES_tradnl"/>
        </w:rPr>
        <w:t>í</w:t>
      </w:r>
      <w:r w:rsidRPr="00DC371E">
        <w:rPr>
          <w:rFonts w:ascii="Arial" w:hAnsi="Arial" w:cs="Arial"/>
          <w:sz w:val="22"/>
          <w:szCs w:val="22"/>
          <w:lang w:val="es-ES_tradnl"/>
        </w:rPr>
        <w:t xml:space="preserve">culo 10 </w:t>
      </w:r>
      <w:r>
        <w:rPr>
          <w:rFonts w:ascii="Arial" w:hAnsi="Arial" w:cs="Arial"/>
          <w:sz w:val="22"/>
          <w:szCs w:val="22"/>
          <w:lang w:val="es-ES_tradnl"/>
        </w:rPr>
        <w:t>L</w:t>
      </w:r>
      <w:r w:rsidRPr="00DC371E">
        <w:rPr>
          <w:rFonts w:ascii="Arial" w:hAnsi="Arial" w:cs="Arial"/>
          <w:sz w:val="22"/>
          <w:szCs w:val="22"/>
          <w:lang w:val="es-ES_tradnl"/>
        </w:rPr>
        <w:t>ey 1176 de 2007) ni para municipios (</w:t>
      </w:r>
      <w:r>
        <w:rPr>
          <w:rFonts w:ascii="Arial" w:hAnsi="Arial" w:cs="Arial"/>
          <w:sz w:val="22"/>
          <w:szCs w:val="22"/>
          <w:lang w:val="es-ES_tradnl"/>
        </w:rPr>
        <w:t>a</w:t>
      </w:r>
      <w:r w:rsidRPr="00DC371E">
        <w:rPr>
          <w:rFonts w:ascii="Arial" w:hAnsi="Arial" w:cs="Arial"/>
          <w:sz w:val="22"/>
          <w:szCs w:val="22"/>
          <w:lang w:val="es-ES_tradnl"/>
        </w:rPr>
        <w:t xml:space="preserve">rtículo 11 de la </w:t>
      </w:r>
      <w:r>
        <w:rPr>
          <w:rFonts w:ascii="Arial" w:hAnsi="Arial" w:cs="Arial"/>
          <w:sz w:val="22"/>
          <w:szCs w:val="22"/>
          <w:lang w:val="es-ES_tradnl"/>
        </w:rPr>
        <w:t>L</w:t>
      </w:r>
      <w:r w:rsidRPr="00DC371E">
        <w:rPr>
          <w:rFonts w:ascii="Arial" w:hAnsi="Arial" w:cs="Arial"/>
          <w:sz w:val="22"/>
          <w:szCs w:val="22"/>
          <w:lang w:val="es-ES_tradnl"/>
        </w:rPr>
        <w:t xml:space="preserve">ey 1176 de 2007), conceptos en los que se usaron los recursos SGP </w:t>
      </w:r>
      <w:r>
        <w:rPr>
          <w:rFonts w:ascii="Arial" w:hAnsi="Arial" w:cs="Arial"/>
          <w:sz w:val="22"/>
          <w:szCs w:val="22"/>
          <w:lang w:val="es-ES_tradnl"/>
        </w:rPr>
        <w:t xml:space="preserve">- </w:t>
      </w:r>
      <w:r w:rsidRPr="00DC371E">
        <w:rPr>
          <w:rFonts w:ascii="Arial" w:hAnsi="Arial" w:cs="Arial"/>
          <w:sz w:val="22"/>
          <w:szCs w:val="22"/>
          <w:lang w:val="es-ES_tradnl"/>
        </w:rPr>
        <w:t xml:space="preserve">APSB, de conformidad con la </w:t>
      </w:r>
      <w:r>
        <w:rPr>
          <w:rFonts w:ascii="Arial" w:hAnsi="Arial" w:cs="Arial"/>
          <w:sz w:val="22"/>
          <w:szCs w:val="22"/>
          <w:lang w:val="es-ES_tradnl"/>
        </w:rPr>
        <w:t>R</w:t>
      </w:r>
      <w:r w:rsidRPr="00DC371E">
        <w:rPr>
          <w:rFonts w:ascii="Arial" w:hAnsi="Arial" w:cs="Arial"/>
          <w:sz w:val="22"/>
          <w:szCs w:val="22"/>
          <w:lang w:val="es-ES_tradnl"/>
        </w:rPr>
        <w:t xml:space="preserve">esolución 1607 del 15 de mayo de 2020, los </w:t>
      </w:r>
      <w:r>
        <w:rPr>
          <w:rFonts w:ascii="Arial" w:hAnsi="Arial" w:cs="Arial"/>
          <w:sz w:val="22"/>
          <w:szCs w:val="22"/>
          <w:lang w:val="es-ES_tradnl"/>
        </w:rPr>
        <w:t>registros presupuestales</w:t>
      </w:r>
      <w:r w:rsidRPr="00DC371E">
        <w:rPr>
          <w:rFonts w:ascii="Arial" w:hAnsi="Arial" w:cs="Arial"/>
          <w:sz w:val="22"/>
          <w:szCs w:val="22"/>
          <w:lang w:val="es-ES_tradnl"/>
        </w:rPr>
        <w:t xml:space="preserve"> 1988, 1989 y 2124 de fecha 22 de mayo de 2020 y los comprobantes 1569, 1570 y 1571 por los valores de $869 millones, $77</w:t>
      </w:r>
      <w:r>
        <w:rPr>
          <w:rFonts w:ascii="Arial" w:hAnsi="Arial" w:cs="Arial"/>
          <w:sz w:val="22"/>
          <w:szCs w:val="22"/>
          <w:lang w:val="es-ES_tradnl"/>
        </w:rPr>
        <w:t>,</w:t>
      </w:r>
      <w:r w:rsidRPr="00DC371E">
        <w:rPr>
          <w:rFonts w:ascii="Arial" w:hAnsi="Arial" w:cs="Arial"/>
          <w:sz w:val="22"/>
          <w:szCs w:val="22"/>
          <w:lang w:val="es-ES_tradnl"/>
        </w:rPr>
        <w:t>9 millones y $4</w:t>
      </w:r>
      <w:r>
        <w:rPr>
          <w:rFonts w:ascii="Arial" w:hAnsi="Arial" w:cs="Arial"/>
          <w:sz w:val="22"/>
          <w:szCs w:val="22"/>
          <w:lang w:val="es-ES_tradnl"/>
        </w:rPr>
        <w:t>,</w:t>
      </w:r>
      <w:r w:rsidRPr="00DC371E">
        <w:rPr>
          <w:rFonts w:ascii="Arial" w:hAnsi="Arial" w:cs="Arial"/>
          <w:sz w:val="22"/>
          <w:szCs w:val="22"/>
          <w:lang w:val="es-ES_tradnl"/>
        </w:rPr>
        <w:t>8 millones respectivamente.</w:t>
      </w:r>
    </w:p>
    <w:p w:rsidR="00D75790" w:rsidRPr="00DC371E" w:rsidRDefault="00D75790" w:rsidP="00D75790">
      <w:pPr>
        <w:spacing w:after="33"/>
        <w:contextualSpacing/>
        <w:jc w:val="both"/>
        <w:rPr>
          <w:rFonts w:ascii="Arial" w:hAnsi="Arial" w:cs="Arial"/>
          <w:sz w:val="22"/>
          <w:szCs w:val="22"/>
          <w:lang w:val="es-ES_tradnl"/>
        </w:rPr>
      </w:pPr>
    </w:p>
    <w:p w:rsidR="00D75790" w:rsidRDefault="00D75790" w:rsidP="00D75790">
      <w:pPr>
        <w:spacing w:after="33"/>
        <w:contextualSpacing/>
        <w:jc w:val="both"/>
        <w:rPr>
          <w:rFonts w:ascii="Arial" w:hAnsi="Arial" w:cs="Arial"/>
          <w:b/>
          <w:bCs/>
          <w:sz w:val="22"/>
          <w:szCs w:val="22"/>
          <w:lang w:val="es-ES_tradnl"/>
        </w:rPr>
      </w:pPr>
      <w:r w:rsidRPr="00DC371E">
        <w:rPr>
          <w:rFonts w:ascii="Arial" w:hAnsi="Arial" w:cs="Arial"/>
          <w:b/>
          <w:bCs/>
          <w:sz w:val="22"/>
          <w:szCs w:val="22"/>
          <w:lang w:val="es-ES_tradnl"/>
        </w:rPr>
        <w:t>EVIDENCIA</w:t>
      </w:r>
    </w:p>
    <w:p w:rsidR="00D75790" w:rsidRDefault="00D75790" w:rsidP="00D75790">
      <w:pPr>
        <w:spacing w:after="33"/>
        <w:contextualSpacing/>
        <w:jc w:val="both"/>
        <w:rPr>
          <w:rFonts w:ascii="Arial" w:hAnsi="Arial" w:cs="Arial"/>
          <w:b/>
          <w:bCs/>
          <w:sz w:val="22"/>
          <w:szCs w:val="22"/>
          <w:lang w:val="es-ES_tradnl"/>
        </w:rPr>
      </w:pPr>
    </w:p>
    <w:p w:rsidR="00D75790" w:rsidRPr="00B63282" w:rsidRDefault="00D75790" w:rsidP="00D75790">
      <w:pPr>
        <w:spacing w:after="33"/>
        <w:contextualSpacing/>
        <w:jc w:val="both"/>
        <w:rPr>
          <w:rFonts w:ascii="Arial" w:hAnsi="Arial" w:cs="Arial"/>
          <w:sz w:val="22"/>
          <w:szCs w:val="22"/>
          <w:lang w:val="es-ES_tradnl"/>
        </w:rPr>
      </w:pPr>
      <w:r w:rsidRPr="00D64AD1">
        <w:rPr>
          <w:rFonts w:ascii="Arial" w:hAnsi="Arial" w:cs="Arial"/>
          <w:sz w:val="22"/>
          <w:szCs w:val="22"/>
          <w:lang w:val="es-ES_tradnl"/>
        </w:rPr>
        <w:t>Obra en el expediente digital en el Sistema de Información Electrónica Documental- SIED del Ministerio de Hacienda y Crédito Público número 20/2021/D028-PREDI, el siguiente material probatorio</w:t>
      </w:r>
      <w:r>
        <w:rPr>
          <w:rFonts w:ascii="Arial" w:hAnsi="Arial" w:cs="Arial"/>
          <w:sz w:val="22"/>
          <w:szCs w:val="22"/>
          <w:lang w:val="es-ES_tradnl"/>
        </w:rPr>
        <w:t>: 1. Informe de Monitoreo de actualización del Diagnóstico SAI. 2. Resolución 1607 de 2020 y 3. Relación de registros presupuestales SAI 2020.</w:t>
      </w:r>
    </w:p>
    <w:p w:rsidR="00D75790" w:rsidRDefault="00D75790" w:rsidP="00D75790">
      <w:pPr>
        <w:spacing w:after="33"/>
        <w:contextualSpacing/>
        <w:jc w:val="both"/>
        <w:rPr>
          <w:rFonts w:ascii="Arial" w:hAnsi="Arial" w:cs="Arial"/>
          <w:sz w:val="22"/>
          <w:szCs w:val="22"/>
          <w:lang w:val="es-ES_tradnl"/>
        </w:rPr>
      </w:pPr>
    </w:p>
    <w:p w:rsidR="00D75790" w:rsidRDefault="00D75790" w:rsidP="00D75790">
      <w:pPr>
        <w:pStyle w:val="Prrafodelista"/>
        <w:numPr>
          <w:ilvl w:val="0"/>
          <w:numId w:val="30"/>
        </w:numPr>
        <w:jc w:val="both"/>
        <w:rPr>
          <w:rFonts w:ascii="Arial" w:hAnsi="Arial" w:cs="Arial"/>
          <w:sz w:val="22"/>
          <w:szCs w:val="22"/>
          <w:lang w:val="es-ES_tradnl"/>
        </w:rPr>
      </w:pPr>
      <w:r w:rsidRPr="00B63282">
        <w:rPr>
          <w:rFonts w:ascii="Arial" w:hAnsi="Arial" w:cs="Arial"/>
          <w:sz w:val="22"/>
          <w:szCs w:val="22"/>
          <w:lang w:val="es-ES_tradnl"/>
        </w:rPr>
        <w:t>Oficio MVCT 2021EE0036676 con informe de monitoreo SAI. Cleaned.pdf.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B63282">
        <w:rPr>
          <w:rFonts w:ascii="Arial" w:hAnsi="Arial" w:cs="Arial"/>
          <w:sz w:val="22"/>
          <w:szCs w:val="22"/>
          <w:lang w:val="es-ES_tradnl"/>
        </w:rPr>
        <w:t xml:space="preserve"> 20/2021/D028-PREDI. Radicado N</w:t>
      </w:r>
      <w:r w:rsidR="00F42CB1">
        <w:rPr>
          <w:rFonts w:ascii="Arial" w:hAnsi="Arial" w:cs="Arial"/>
          <w:sz w:val="22"/>
          <w:szCs w:val="22"/>
          <w:lang w:val="es-ES_tradnl"/>
        </w:rPr>
        <w:t>o.</w:t>
      </w:r>
      <w:r w:rsidRPr="00B63282">
        <w:rPr>
          <w:rFonts w:ascii="Arial" w:hAnsi="Arial" w:cs="Arial"/>
          <w:sz w:val="22"/>
          <w:szCs w:val="22"/>
          <w:lang w:val="es-ES_tradnl"/>
        </w:rPr>
        <w:t xml:space="preserve"> 1-2021-046779 del 28 de mayo de 2021. Enlace:</w:t>
      </w:r>
    </w:p>
    <w:p w:rsidR="00D75790" w:rsidRDefault="006E598A" w:rsidP="00D75790">
      <w:pPr>
        <w:pStyle w:val="Prrafodelista"/>
        <w:jc w:val="both"/>
        <w:rPr>
          <w:rFonts w:ascii="Arial" w:hAnsi="Arial" w:cs="Arial"/>
          <w:sz w:val="22"/>
          <w:szCs w:val="22"/>
          <w:lang w:val="es-ES_tradnl"/>
        </w:rPr>
      </w:pPr>
      <w:hyperlink r:id="rId25" w:history="1">
        <w:r w:rsidR="00D75790" w:rsidRPr="001F4E67">
          <w:rPr>
            <w:rStyle w:val="Hipervnculo"/>
            <w:rFonts w:ascii="Arial" w:hAnsi="Arial" w:cs="Arial"/>
            <w:sz w:val="22"/>
            <w:szCs w:val="22"/>
            <w:lang w:val="es-ES_tradnl"/>
          </w:rPr>
          <w:t>http://portalgestiondoc.minhacienda.red/PortalEmpleado/viewer.jsp?config=NVju4A96dt23+PpHdzFyf0iI2J5PBHM/azx7uL4pmpWsi8mToFJSAq3+Wn5ysaxBboNC0N</w:t>
        </w:r>
        <w:r w:rsidR="00D75790" w:rsidRPr="001F4E67">
          <w:rPr>
            <w:rStyle w:val="Hipervnculo"/>
            <w:rFonts w:ascii="Arial" w:hAnsi="Arial" w:cs="Arial"/>
            <w:sz w:val="22"/>
            <w:szCs w:val="22"/>
            <w:lang w:val="es-ES_tradnl"/>
          </w:rPr>
          <w:lastRenderedPageBreak/>
          <w:t>MCKGJgRt/1pwjJ9fquj4fWyCDoFxQHOvjrsq9WDYKg6P/2THDp0oFxX7hJxQzqBYmrCJ6vPzWm80zjuXJstDcJFlfYJUBKs7eiMAoxvazaHPIKLKKPzTFCGyz+&amp;guid=4ac1e169179b50d4a97-6bca&amp;idrepository=314</w:t>
        </w:r>
      </w:hyperlink>
    </w:p>
    <w:p w:rsidR="00D75790" w:rsidRDefault="00D75790" w:rsidP="00D75790">
      <w:pPr>
        <w:contextualSpacing/>
        <w:jc w:val="both"/>
        <w:rPr>
          <w:rFonts w:ascii="Arial" w:hAnsi="Arial" w:cs="Arial"/>
          <w:sz w:val="22"/>
          <w:szCs w:val="22"/>
          <w:lang w:val="es-ES_tradnl"/>
        </w:rPr>
      </w:pPr>
    </w:p>
    <w:p w:rsidR="00D75790" w:rsidRDefault="00D75790" w:rsidP="00D75790">
      <w:pPr>
        <w:pStyle w:val="Prrafodelista"/>
        <w:numPr>
          <w:ilvl w:val="0"/>
          <w:numId w:val="30"/>
        </w:numPr>
        <w:jc w:val="both"/>
        <w:rPr>
          <w:rFonts w:ascii="Arial" w:hAnsi="Arial" w:cs="Arial"/>
          <w:sz w:val="22"/>
          <w:szCs w:val="22"/>
          <w:lang w:val="es-ES_tradnl"/>
        </w:rPr>
      </w:pPr>
      <w:r w:rsidRPr="00B63282">
        <w:rPr>
          <w:rFonts w:ascii="Arial" w:hAnsi="Arial" w:cs="Arial"/>
          <w:sz w:val="22"/>
          <w:szCs w:val="22"/>
          <w:lang w:val="es-ES_tradnl"/>
        </w:rPr>
        <w:t>Resolución 1607 de 2020 pago sub</w:t>
      </w:r>
      <w:r>
        <w:rPr>
          <w:rFonts w:ascii="Arial" w:hAnsi="Arial" w:cs="Arial"/>
          <w:sz w:val="22"/>
          <w:szCs w:val="22"/>
          <w:lang w:val="es-ES_tradnl"/>
        </w:rPr>
        <w:t>sidios de</w:t>
      </w:r>
      <w:r w:rsidRPr="00B63282">
        <w:rPr>
          <w:rFonts w:ascii="Arial" w:hAnsi="Arial" w:cs="Arial"/>
          <w:sz w:val="22"/>
          <w:szCs w:val="22"/>
          <w:lang w:val="es-ES_tradnl"/>
        </w:rPr>
        <w:t xml:space="preserve"> acu</w:t>
      </w:r>
      <w:r>
        <w:rPr>
          <w:rFonts w:ascii="Arial" w:hAnsi="Arial" w:cs="Arial"/>
          <w:sz w:val="22"/>
          <w:szCs w:val="22"/>
          <w:lang w:val="es-ES_tradnl"/>
        </w:rPr>
        <w:t xml:space="preserve">educto y </w:t>
      </w:r>
      <w:r w:rsidRPr="00B63282">
        <w:rPr>
          <w:rFonts w:ascii="Arial" w:hAnsi="Arial" w:cs="Arial"/>
          <w:sz w:val="22"/>
          <w:szCs w:val="22"/>
          <w:lang w:val="es-ES_tradnl"/>
        </w:rPr>
        <w:t>alc</w:t>
      </w:r>
      <w:r>
        <w:rPr>
          <w:rFonts w:ascii="Arial" w:hAnsi="Arial" w:cs="Arial"/>
          <w:sz w:val="22"/>
          <w:szCs w:val="22"/>
          <w:lang w:val="es-ES_tradnl"/>
        </w:rPr>
        <w:t>antarillado</w:t>
      </w:r>
      <w:r w:rsidRPr="00B63282">
        <w:rPr>
          <w:rFonts w:ascii="Arial" w:hAnsi="Arial" w:cs="Arial"/>
          <w:sz w:val="22"/>
          <w:szCs w:val="22"/>
          <w:lang w:val="es-ES_tradnl"/>
        </w:rPr>
        <w:t xml:space="preserve"> (mar-dic 2019)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B63282">
        <w:rPr>
          <w:rFonts w:ascii="Arial" w:hAnsi="Arial" w:cs="Arial"/>
          <w:sz w:val="22"/>
          <w:szCs w:val="22"/>
          <w:lang w:val="es-ES_tradnl"/>
        </w:rPr>
        <w:t xml:space="preserve"> 20/2021/D028-PREDI. Radicado N</w:t>
      </w:r>
      <w:r w:rsidR="00F42CB1">
        <w:rPr>
          <w:rFonts w:ascii="Arial" w:hAnsi="Arial" w:cs="Arial"/>
          <w:sz w:val="22"/>
          <w:szCs w:val="22"/>
          <w:lang w:val="es-ES_tradnl"/>
        </w:rPr>
        <w:t>o.</w:t>
      </w:r>
      <w:r w:rsidRPr="00B63282">
        <w:rPr>
          <w:rFonts w:ascii="Arial" w:hAnsi="Arial" w:cs="Arial"/>
          <w:sz w:val="22"/>
          <w:szCs w:val="22"/>
          <w:lang w:val="es-ES_tradnl"/>
        </w:rPr>
        <w:t xml:space="preserve"> 1-2021-046779 del 28 de mayo de 2021. Enlace:</w:t>
      </w:r>
    </w:p>
    <w:p w:rsidR="00D75790" w:rsidRPr="00B63282" w:rsidRDefault="006E598A" w:rsidP="00D75790">
      <w:pPr>
        <w:pStyle w:val="Prrafodelista"/>
        <w:jc w:val="both"/>
        <w:rPr>
          <w:rFonts w:ascii="Arial" w:hAnsi="Arial" w:cs="Arial"/>
          <w:sz w:val="22"/>
          <w:szCs w:val="22"/>
          <w:lang w:val="es-ES_tradnl"/>
        </w:rPr>
      </w:pPr>
      <w:hyperlink r:id="rId26" w:history="1">
        <w:r w:rsidR="00D75790" w:rsidRPr="001F4E67">
          <w:rPr>
            <w:rStyle w:val="Hipervnculo"/>
            <w:rFonts w:ascii="Arial" w:hAnsi="Arial" w:cs="Arial"/>
            <w:sz w:val="22"/>
            <w:szCs w:val="22"/>
            <w:lang w:val="es-ES_tradnl"/>
          </w:rPr>
          <w:t>http://portalgestiondoc.minhacienda.red/PortalEmpleado/viewer.jsp?config=jmPa+wMw4pn7DTwBOfkshHnzTH4YA28cqBMSFe/kto+zwwNzijvYwjj12V4uVF/mlWOSG7m8y5fvvoWj0T5dNFea7h6s10MZGZrJ85Zym77OsDrV/nbjV4NFya3GLaW6Wh7BXVYXHj7QfcDBuMKXjUeJMr5F8WBdWzk+WCWSfOUzER6BK548DOAAoH0EaQxF&amp;guid=6a6645fc17b3062c5d97&amp;idrepository=879</w:t>
        </w:r>
      </w:hyperlink>
    </w:p>
    <w:p w:rsidR="00D75790" w:rsidRPr="00DC371E" w:rsidRDefault="00D75790" w:rsidP="00D75790">
      <w:pPr>
        <w:spacing w:after="33"/>
        <w:contextualSpacing/>
        <w:jc w:val="both"/>
        <w:rPr>
          <w:rFonts w:ascii="Arial" w:hAnsi="Arial" w:cs="Arial"/>
          <w:sz w:val="22"/>
          <w:szCs w:val="22"/>
          <w:lang w:val="es-ES_tradnl"/>
        </w:rPr>
      </w:pPr>
    </w:p>
    <w:p w:rsidR="00D75790" w:rsidRPr="009F6FB1" w:rsidRDefault="00D75790" w:rsidP="00D75790">
      <w:pPr>
        <w:pStyle w:val="Prrafodelista"/>
        <w:numPr>
          <w:ilvl w:val="0"/>
          <w:numId w:val="30"/>
        </w:numPr>
        <w:spacing w:after="33"/>
        <w:jc w:val="both"/>
        <w:rPr>
          <w:rFonts w:ascii="Arial" w:hAnsi="Arial" w:cs="Arial"/>
          <w:sz w:val="22"/>
          <w:szCs w:val="22"/>
          <w:lang w:val="es-ES_tradnl"/>
        </w:rPr>
      </w:pPr>
      <w:r w:rsidRPr="009F6FB1">
        <w:rPr>
          <w:rFonts w:ascii="Arial" w:hAnsi="Arial" w:cs="Arial"/>
          <w:sz w:val="22"/>
          <w:szCs w:val="22"/>
          <w:lang w:val="es-ES_tradnl"/>
        </w:rPr>
        <w:t>Registros presupuestales SAI vigencia 2020.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9F6FB1">
        <w:rPr>
          <w:rFonts w:ascii="Arial" w:hAnsi="Arial" w:cs="Arial"/>
          <w:sz w:val="22"/>
          <w:szCs w:val="22"/>
          <w:lang w:val="es-ES_tradnl"/>
        </w:rPr>
        <w:t xml:space="preserve"> 20/2021/D028-PREDI. Radicado 1-2021-046779 del 28 de mayo de 2021. Enlace: </w:t>
      </w:r>
      <w:hyperlink r:id="rId27" w:history="1">
        <w:r w:rsidRPr="009F6FB1">
          <w:rPr>
            <w:rStyle w:val="Hipervnculo"/>
            <w:rFonts w:ascii="Arial" w:hAnsi="Arial" w:cs="Arial"/>
            <w:sz w:val="22"/>
            <w:szCs w:val="22"/>
            <w:lang w:val="es-ES_tradnl"/>
          </w:rPr>
          <w:t>http://portalgestiondoc.minhacienda.red/PortalEmpleado/viewer.jsp?config=pNU/2QGcyC1gAae6pZN/HN1AIhoMpfxhuUyaLL4zCNbWWJxjpzen917X2vyut/2gon42w3LM9QpkmpEUnKhuiwY1+lIGsXt51cxcVVN17X8ggNLTWlvWaI27hTqYtymF0XbYGSzf89UESCRp5a8vojniaj/oXOROiMyaJsVqld49LsD3iRCj0QxmBAMF8OoI&amp;guid=6a6645fc17b301a8a7522fd&amp;idrepository=879</w:t>
        </w:r>
      </w:hyperlink>
    </w:p>
    <w:p w:rsidR="00D75790" w:rsidRPr="00DC371E" w:rsidRDefault="00D75790" w:rsidP="00D75790">
      <w:pPr>
        <w:spacing w:after="33"/>
        <w:contextualSpacing/>
        <w:jc w:val="both"/>
        <w:rPr>
          <w:rFonts w:ascii="Arial" w:hAnsi="Arial" w:cs="Arial"/>
          <w:sz w:val="22"/>
          <w:szCs w:val="22"/>
          <w:lang w:val="es-ES_tradnl"/>
        </w:rPr>
      </w:pPr>
    </w:p>
    <w:p w:rsidR="00D75790" w:rsidRPr="00DC371E" w:rsidRDefault="00D75790" w:rsidP="00D75790">
      <w:pPr>
        <w:pStyle w:val="Prrafodelista"/>
        <w:spacing w:before="100" w:beforeAutospacing="1" w:after="119"/>
        <w:ind w:left="1080"/>
        <w:jc w:val="both"/>
        <w:rPr>
          <w:rFonts w:ascii="Arial" w:hAnsi="Arial" w:cs="Arial"/>
          <w:b/>
          <w:sz w:val="22"/>
          <w:szCs w:val="22"/>
          <w:lang w:val="es-ES_tradnl"/>
        </w:rPr>
      </w:pPr>
      <w:r>
        <w:rPr>
          <w:rFonts w:ascii="Arial" w:hAnsi="Arial" w:cs="Arial"/>
          <w:b/>
          <w:sz w:val="22"/>
          <w:szCs w:val="22"/>
          <w:lang w:val="es-ES_tradnl"/>
        </w:rPr>
        <w:t xml:space="preserve">b. </w:t>
      </w:r>
      <w:r w:rsidRPr="00DC371E">
        <w:rPr>
          <w:rFonts w:ascii="Arial" w:hAnsi="Arial" w:cs="Arial"/>
          <w:b/>
          <w:sz w:val="22"/>
          <w:szCs w:val="22"/>
          <w:lang w:val="es-ES_tradnl"/>
        </w:rPr>
        <w:t>Contratos de prestación de servicios</w:t>
      </w:r>
      <w:r>
        <w:rPr>
          <w:rFonts w:ascii="Arial" w:hAnsi="Arial" w:cs="Arial"/>
          <w:b/>
          <w:sz w:val="22"/>
          <w:szCs w:val="22"/>
          <w:lang w:val="es-ES_tradnl"/>
        </w:rPr>
        <w:t>:</w:t>
      </w:r>
    </w:p>
    <w:p w:rsidR="00D75790" w:rsidRPr="00DC371E" w:rsidRDefault="00D75790" w:rsidP="00D75790">
      <w:pPr>
        <w:shd w:val="clear" w:color="auto" w:fill="FFFFFF"/>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En el marco del Plan Departamental de Agua, la Entidad Territorial firmó el Convenio Interadministrativo No. 3043 de 2018 con Coralina, cuyo objeto es “</w:t>
      </w:r>
      <w:r w:rsidRPr="00DC371E">
        <w:rPr>
          <w:rFonts w:ascii="Arial" w:hAnsi="Arial" w:cs="Arial"/>
          <w:i/>
          <w:sz w:val="22"/>
          <w:szCs w:val="22"/>
          <w:lang w:val="es-ES_tradnl"/>
        </w:rPr>
        <w:t>la participación en la Coordinación interinstitucional del PAP PDA de 2018 para lograr la armonización integral de los recursos y la implementación de esquemas eficientes y sostenibles en la prestación de los servicios públicos domiciliarios de agua potable y saneamiento básico, teniendo en cuenta las características locales, la capacidad institucional de las entidades territoriales y personas prestadoras de servicios públicos y la implementación efectiva de esquemas de regionalización acorde a las especificaciones plasmadas en el estudio previo</w:t>
      </w:r>
      <w:r w:rsidRPr="00DC371E">
        <w:rPr>
          <w:rFonts w:ascii="Arial" w:hAnsi="Arial" w:cs="Arial"/>
          <w:sz w:val="22"/>
          <w:szCs w:val="22"/>
          <w:lang w:val="es-ES_tradnl"/>
        </w:rPr>
        <w:t>”.</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La Corporación realizó la ejecución de varios de los proyectos concertados que fueron implementados en 2019, dentro del cual se encontró la formulación de los Planes de Ahorro y Uso Eficiente de Agua de la Isla de San Andrés y el Municipio de Providencia.</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 xml:space="preserve">Al respecto, en el </w:t>
      </w:r>
      <w:r w:rsidRPr="00DC371E">
        <w:rPr>
          <w:rFonts w:ascii="Arial" w:hAnsi="Arial" w:cs="Arial"/>
          <w:sz w:val="22"/>
          <w:szCs w:val="22"/>
        </w:rPr>
        <w:t>documento “</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lang w:val="es-ES_tradnl"/>
        </w:rPr>
        <w:t xml:space="preserve">elaborado por el MVCT, </w:t>
      </w:r>
      <w:r w:rsidRPr="00DC371E">
        <w:rPr>
          <w:rFonts w:ascii="Arial" w:hAnsi="Arial" w:cs="Arial"/>
          <w:sz w:val="22"/>
          <w:szCs w:val="22"/>
        </w:rPr>
        <w:t xml:space="preserve">hace referencia a la suscripción de </w:t>
      </w:r>
      <w:r>
        <w:rPr>
          <w:rFonts w:ascii="Arial" w:hAnsi="Arial" w:cs="Arial"/>
          <w:sz w:val="22"/>
          <w:szCs w:val="22"/>
          <w:lang w:val="es-ES_tradnl"/>
        </w:rPr>
        <w:t>8</w:t>
      </w:r>
      <w:r w:rsidRPr="00DC371E">
        <w:rPr>
          <w:rFonts w:ascii="Arial" w:hAnsi="Arial" w:cs="Arial"/>
          <w:sz w:val="22"/>
          <w:szCs w:val="22"/>
          <w:lang w:val="es-ES_tradnl"/>
        </w:rPr>
        <w:t xml:space="preserve"> </w:t>
      </w:r>
      <w:r w:rsidRPr="00284FAD">
        <w:rPr>
          <w:rFonts w:ascii="Arial" w:hAnsi="Arial" w:cs="Arial"/>
          <w:sz w:val="22"/>
          <w:szCs w:val="22"/>
          <w:lang w:val="es-ES_tradnl"/>
        </w:rPr>
        <w:t xml:space="preserve">Contratos: </w:t>
      </w:r>
      <w:r w:rsidRPr="00284FAD">
        <w:rPr>
          <w:rFonts w:ascii="Arial" w:hAnsi="Arial" w:cs="Arial"/>
          <w:sz w:val="22"/>
          <w:szCs w:val="22"/>
          <w:lang w:val="es-ES_tradnl"/>
        </w:rPr>
        <w:lastRenderedPageBreak/>
        <w:t>(Contratos 157, 179, 184, 156, 145, 147, 149 y 146 de la vigencia 2019), cuyo objeto contractual, está relacionado con la prestación de servicios profesionales y de apoyo, bajo el</w:t>
      </w:r>
      <w:r w:rsidRPr="00DC371E">
        <w:rPr>
          <w:rFonts w:ascii="Arial" w:hAnsi="Arial" w:cs="Arial"/>
          <w:sz w:val="22"/>
          <w:szCs w:val="22"/>
          <w:lang w:val="es-ES_tradnl"/>
        </w:rPr>
        <w:t xml:space="preserve"> marco del proyecto Programa de Uso Eficiente y Ahorro del Agua. </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E46D41" w:rsidRDefault="00D75790" w:rsidP="00D75790">
      <w:pPr>
        <w:spacing w:before="100" w:beforeAutospacing="1" w:after="119"/>
        <w:contextualSpacing/>
        <w:jc w:val="center"/>
        <w:rPr>
          <w:rFonts w:ascii="Arial" w:hAnsi="Arial" w:cs="Arial"/>
          <w:b/>
          <w:bCs/>
          <w:sz w:val="20"/>
          <w:szCs w:val="22"/>
          <w:lang w:val="es-ES_tradnl"/>
        </w:rPr>
      </w:pPr>
      <w:r w:rsidRPr="00E46D41">
        <w:rPr>
          <w:rFonts w:ascii="Arial" w:hAnsi="Arial" w:cs="Arial"/>
          <w:b/>
          <w:bCs/>
          <w:sz w:val="20"/>
          <w:szCs w:val="22"/>
          <w:lang w:val="es-ES_tradnl"/>
        </w:rPr>
        <w:t>TABLA 31. CONTRATOS DE PRESTACION DE SERVICIOS</w:t>
      </w: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19"/>
        <w:gridCol w:w="3696"/>
        <w:gridCol w:w="1276"/>
        <w:gridCol w:w="1418"/>
        <w:gridCol w:w="1275"/>
      </w:tblGrid>
      <w:tr w:rsidR="00D75790" w:rsidRPr="00DC371E" w:rsidTr="00695E54">
        <w:trPr>
          <w:trHeight w:val="729"/>
          <w:tblHeader/>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Contrato</w:t>
            </w:r>
          </w:p>
        </w:tc>
        <w:tc>
          <w:tcPr>
            <w:tcW w:w="3696"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Objeto contractual</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Valor (En millones de pesos)</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Fecha</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b/>
                <w:bCs/>
                <w:sz w:val="16"/>
                <w:szCs w:val="16"/>
                <w:lang w:val="es-ES_tradnl"/>
              </w:rPr>
            </w:pPr>
            <w:r w:rsidRPr="00DC371E">
              <w:rPr>
                <w:rFonts w:ascii="Arial" w:hAnsi="Arial" w:cs="Arial"/>
                <w:b/>
                <w:bCs/>
                <w:sz w:val="16"/>
                <w:szCs w:val="16"/>
                <w:lang w:val="es-ES_tradnl"/>
              </w:rPr>
              <w:t>Plazo</w:t>
            </w:r>
          </w:p>
        </w:tc>
      </w:tr>
      <w:tr w:rsidR="00D75790" w:rsidRPr="00DC371E" w:rsidTr="00695E54">
        <w:trPr>
          <w:trHeight w:val="760"/>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157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w:t>
            </w:r>
          </w:p>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Para el grupo de Control y Vigilancia de la Corporación bajo el marco del proyecto “</w:t>
            </w:r>
            <w:r w:rsidRPr="00DC371E">
              <w:rPr>
                <w:rFonts w:ascii="Arial" w:hAnsi="Arial" w:cs="Arial"/>
                <w:i/>
                <w:iCs/>
                <w:sz w:val="16"/>
                <w:szCs w:val="16"/>
                <w:lang w:val="es-ES_tradnl"/>
              </w:rPr>
              <w:t>Programa de uso eficiente y ahorro del agua para el Municipio de Providencia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$16</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668"/>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179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en calidad de ingeniero ambiental, bajo el marco del proyecto "</w:t>
            </w:r>
            <w:r w:rsidRPr="00DC371E">
              <w:rPr>
                <w:rFonts w:ascii="Arial" w:hAnsi="Arial" w:cs="Arial"/>
                <w:i/>
                <w:iCs/>
                <w:sz w:val="16"/>
                <w:szCs w:val="16"/>
                <w:lang w:val="es-ES_tradnl"/>
              </w:rPr>
              <w:t>Programa de uso eficiente y ahorro del agua para el Municipio de Providencia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699"/>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184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de apoyo a la gestión, bajo el marco del proyecto "</w:t>
            </w:r>
            <w:r w:rsidRPr="00DC371E">
              <w:rPr>
                <w:rFonts w:ascii="Arial" w:hAnsi="Arial" w:cs="Arial"/>
                <w:i/>
                <w:iCs/>
                <w:sz w:val="16"/>
                <w:szCs w:val="16"/>
                <w:lang w:val="es-ES_tradnl"/>
              </w:rPr>
              <w:t>Programa de uso eficiente y ahorro del agua para el Municipio de Providencia y Santa Catalina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$11</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26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62"/>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156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en calidad de ingeniero ambiental, bajo el marco del proyecto "</w:t>
            </w:r>
            <w:r w:rsidRPr="00DC371E">
              <w:rPr>
                <w:rFonts w:ascii="Arial" w:hAnsi="Arial" w:cs="Arial"/>
                <w:i/>
                <w:iCs/>
                <w:sz w:val="16"/>
                <w:szCs w:val="16"/>
                <w:lang w:val="es-ES_tradnl"/>
              </w:rPr>
              <w:t>Programa de uso eficiente y ahorro del agua para el Municipio de Providencia y Santa Catalina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$18</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32"/>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145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para el grupo de control y vigilancia de la Corporación, en el marco del proyecto "</w:t>
            </w:r>
            <w:r w:rsidRPr="00DC371E">
              <w:rPr>
                <w:rFonts w:ascii="Arial" w:hAnsi="Arial" w:cs="Arial"/>
                <w:i/>
                <w:iCs/>
                <w:sz w:val="16"/>
                <w:szCs w:val="16"/>
                <w:lang w:val="es-ES_tradnl"/>
              </w:rPr>
              <w:t>Programa de uso eficiente y ahorro del agua de la isla de San Andrés</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$19</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47"/>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147 de 2</w:t>
            </w:r>
            <w:r>
              <w:rPr>
                <w:rFonts w:ascii="Arial" w:hAnsi="Arial" w:cs="Arial"/>
                <w:sz w:val="16"/>
                <w:szCs w:val="16"/>
                <w:lang w:val="es-ES_tradnl"/>
              </w:rPr>
              <w:t>0</w:t>
            </w:r>
            <w:r w:rsidRPr="00DC371E">
              <w:rPr>
                <w:rFonts w:ascii="Arial" w:hAnsi="Arial" w:cs="Arial"/>
                <w:sz w:val="16"/>
                <w:szCs w:val="16"/>
                <w:lang w:val="es-ES_tradnl"/>
              </w:rPr>
              <w:t>18</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de apoyo a la gestión para desarrollar actividades del control y vigilancia ambiental, en el marco del proyecto "</w:t>
            </w:r>
            <w:r w:rsidRPr="00DC371E">
              <w:rPr>
                <w:rFonts w:ascii="Arial" w:hAnsi="Arial" w:cs="Arial"/>
                <w:i/>
                <w:iCs/>
                <w:sz w:val="16"/>
                <w:szCs w:val="16"/>
                <w:lang w:val="es-ES_tradnl"/>
              </w:rPr>
              <w:t>Plan de uso eficiente y ahorro de agua de la isla de San Andrés</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$13</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47"/>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149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de apoyo a la gestión en calidad de promotor para desarrollar actividades del área social en el marco del proyecto "</w:t>
            </w:r>
            <w:r w:rsidRPr="00DC371E">
              <w:rPr>
                <w:rFonts w:ascii="Arial" w:hAnsi="Arial" w:cs="Arial"/>
                <w:i/>
                <w:iCs/>
                <w:sz w:val="16"/>
                <w:szCs w:val="16"/>
                <w:lang w:val="es-ES_tradnl"/>
              </w:rPr>
              <w:t>Plan de uso eficiente y ahorro de agua de la isla de San Andrés</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$11</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12 días</w:t>
            </w:r>
          </w:p>
        </w:tc>
      </w:tr>
      <w:tr w:rsidR="00D75790" w:rsidRPr="00DC371E" w:rsidTr="00695E54">
        <w:trPr>
          <w:trHeight w:val="577"/>
          <w:jc w:val="center"/>
        </w:trPr>
        <w:tc>
          <w:tcPr>
            <w:tcW w:w="1119" w:type="dxa"/>
            <w:shd w:val="clear" w:color="auto" w:fill="DBE5F1" w:themeFill="accent1" w:themeFillTint="33"/>
            <w:noWrap/>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146 de 2019</w:t>
            </w:r>
          </w:p>
        </w:tc>
        <w:tc>
          <w:tcPr>
            <w:tcW w:w="3696" w:type="dxa"/>
            <w:shd w:val="clear" w:color="auto" w:fill="DBE5F1" w:themeFill="accent1" w:themeFillTint="33"/>
            <w:hideMark/>
          </w:tcPr>
          <w:p w:rsidR="00D75790" w:rsidRPr="00DC371E" w:rsidRDefault="00D75790" w:rsidP="00695E54">
            <w:pPr>
              <w:contextualSpacing/>
              <w:jc w:val="both"/>
              <w:rPr>
                <w:rFonts w:ascii="Arial" w:hAnsi="Arial" w:cs="Arial"/>
                <w:sz w:val="16"/>
                <w:szCs w:val="16"/>
                <w:lang w:val="es-ES_tradnl"/>
              </w:rPr>
            </w:pPr>
            <w:r w:rsidRPr="00DC371E">
              <w:rPr>
                <w:rFonts w:ascii="Arial" w:hAnsi="Arial" w:cs="Arial"/>
                <w:sz w:val="16"/>
                <w:szCs w:val="16"/>
                <w:lang w:val="es-ES_tradnl"/>
              </w:rPr>
              <w:t>Contrato de prestación de servicios profesionales para apoyar el grupo de control y vigilancia de la Corporación, bajo el proyecto "</w:t>
            </w:r>
            <w:r w:rsidRPr="00DC371E">
              <w:rPr>
                <w:rFonts w:ascii="Arial" w:hAnsi="Arial" w:cs="Arial"/>
                <w:i/>
                <w:iCs/>
                <w:sz w:val="16"/>
                <w:szCs w:val="16"/>
                <w:lang w:val="es-ES_tradnl"/>
              </w:rPr>
              <w:t>Plan de Uso Eficiente y Ahorro de Agua del Municipio de Providencia</w:t>
            </w:r>
            <w:r w:rsidRPr="00DC371E">
              <w:rPr>
                <w:rFonts w:ascii="Arial" w:hAnsi="Arial" w:cs="Arial"/>
                <w:sz w:val="16"/>
                <w:szCs w:val="16"/>
                <w:lang w:val="es-ES_tradnl"/>
              </w:rPr>
              <w:t>”.</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$16</w:t>
            </w:r>
          </w:p>
        </w:tc>
        <w:tc>
          <w:tcPr>
            <w:tcW w:w="1418"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21 de junio de 2019</w:t>
            </w:r>
          </w:p>
        </w:tc>
        <w:tc>
          <w:tcPr>
            <w:tcW w:w="1275"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5 meses y 15 días</w:t>
            </w:r>
          </w:p>
        </w:tc>
      </w:tr>
      <w:tr w:rsidR="00D75790" w:rsidRPr="00DC371E" w:rsidTr="00695E54">
        <w:trPr>
          <w:trHeight w:val="577"/>
          <w:jc w:val="center"/>
        </w:trPr>
        <w:tc>
          <w:tcPr>
            <w:tcW w:w="1119" w:type="dxa"/>
            <w:shd w:val="clear" w:color="auto" w:fill="DBE5F1" w:themeFill="accent1" w:themeFillTint="33"/>
            <w:noWrap/>
            <w:vAlign w:val="center"/>
          </w:tcPr>
          <w:p w:rsidR="00D75790" w:rsidRPr="00DC371E" w:rsidRDefault="00D75790" w:rsidP="00695E54">
            <w:pPr>
              <w:contextualSpacing/>
              <w:jc w:val="center"/>
              <w:rPr>
                <w:rFonts w:ascii="Arial" w:hAnsi="Arial" w:cs="Arial"/>
                <w:sz w:val="16"/>
                <w:szCs w:val="16"/>
                <w:lang w:val="es-ES_tradnl"/>
              </w:rPr>
            </w:pPr>
          </w:p>
        </w:tc>
        <w:tc>
          <w:tcPr>
            <w:tcW w:w="369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Total</w:t>
            </w:r>
          </w:p>
        </w:tc>
        <w:tc>
          <w:tcPr>
            <w:tcW w:w="1276" w:type="dxa"/>
            <w:shd w:val="clear" w:color="auto" w:fill="DBE5F1" w:themeFill="accent1" w:themeFillTint="33"/>
            <w:vAlign w:val="center"/>
            <w:hideMark/>
          </w:tcPr>
          <w:p w:rsidR="00D75790" w:rsidRPr="00DC371E" w:rsidRDefault="00D75790" w:rsidP="00695E54">
            <w:pPr>
              <w:contextualSpacing/>
              <w:jc w:val="center"/>
              <w:rPr>
                <w:rFonts w:ascii="Arial" w:hAnsi="Arial" w:cs="Arial"/>
                <w:sz w:val="16"/>
                <w:szCs w:val="16"/>
                <w:lang w:val="es-ES_tradnl"/>
              </w:rPr>
            </w:pPr>
            <w:r w:rsidRPr="00DC371E">
              <w:rPr>
                <w:rFonts w:ascii="Arial" w:hAnsi="Arial" w:cs="Arial"/>
                <w:sz w:val="16"/>
                <w:szCs w:val="16"/>
                <w:lang w:val="es-ES_tradnl"/>
              </w:rPr>
              <w:t>$125</w:t>
            </w:r>
          </w:p>
        </w:tc>
        <w:tc>
          <w:tcPr>
            <w:tcW w:w="1418"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p>
        </w:tc>
        <w:tc>
          <w:tcPr>
            <w:tcW w:w="1275" w:type="dxa"/>
            <w:shd w:val="clear" w:color="auto" w:fill="DBE5F1" w:themeFill="accent1" w:themeFillTint="33"/>
            <w:vAlign w:val="center"/>
          </w:tcPr>
          <w:p w:rsidR="00D75790" w:rsidRPr="00DC371E" w:rsidRDefault="00D75790" w:rsidP="00695E54">
            <w:pPr>
              <w:contextualSpacing/>
              <w:jc w:val="center"/>
              <w:rPr>
                <w:rFonts w:ascii="Arial" w:hAnsi="Arial" w:cs="Arial"/>
                <w:sz w:val="16"/>
                <w:szCs w:val="16"/>
                <w:lang w:val="es-ES_tradnl"/>
              </w:rPr>
            </w:pPr>
          </w:p>
        </w:tc>
      </w:tr>
    </w:tbl>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Los recursos </w:t>
      </w:r>
      <w:r>
        <w:rPr>
          <w:rFonts w:ascii="Arial" w:hAnsi="Arial" w:cs="Arial"/>
          <w:sz w:val="22"/>
          <w:szCs w:val="22"/>
          <w:lang w:val="es-ES_tradnl"/>
        </w:rPr>
        <w:t xml:space="preserve">del </w:t>
      </w:r>
      <w:r w:rsidRPr="00DC371E">
        <w:rPr>
          <w:rFonts w:ascii="Arial" w:hAnsi="Arial" w:cs="Arial"/>
          <w:sz w:val="22"/>
          <w:szCs w:val="22"/>
          <w:lang w:val="es-ES_tradnl"/>
        </w:rPr>
        <w:t xml:space="preserve">SGP </w:t>
      </w:r>
      <w:r>
        <w:rPr>
          <w:rFonts w:ascii="Arial" w:hAnsi="Arial" w:cs="Arial"/>
          <w:sz w:val="22"/>
          <w:szCs w:val="22"/>
          <w:lang w:val="es-ES_tradnl"/>
        </w:rPr>
        <w:t xml:space="preserve">- </w:t>
      </w:r>
      <w:r w:rsidRPr="00DC371E">
        <w:rPr>
          <w:rFonts w:ascii="Arial" w:hAnsi="Arial" w:cs="Arial"/>
          <w:sz w:val="22"/>
          <w:szCs w:val="22"/>
          <w:lang w:val="es-ES_tradnl"/>
        </w:rPr>
        <w:t xml:space="preserve">APSB para departamentos, conforme el artículo 10 de la Ley 1176 de 2007, se destinan en: </w:t>
      </w:r>
      <w:r>
        <w:rPr>
          <w:rFonts w:ascii="Arial" w:hAnsi="Arial" w:cs="Arial"/>
          <w:sz w:val="22"/>
          <w:szCs w:val="22"/>
          <w:lang w:val="es-ES_tradnl"/>
        </w:rPr>
        <w:t>l</w:t>
      </w:r>
      <w:r w:rsidRPr="00DC371E">
        <w:rPr>
          <w:rFonts w:ascii="Arial" w:hAnsi="Arial" w:cs="Arial"/>
          <w:sz w:val="22"/>
          <w:szCs w:val="22"/>
          <w:lang w:val="es-ES_tradnl"/>
        </w:rPr>
        <w:t>a promoción, estructuración, implementación e inversión en infraestructura; proyectos de abastecimiento de agua para consumo humano; proyectos de tratamiento y disposición final de residuos líquidos; proyectos de tratamiento, aprovechamiento y disposición final de residuos sólidos y el pago del servicio de deuda adquirida por el departamento para financiar infraestructura. No existen como destinación de los recursos sectoriales departamentales, proyectos asociados al Programa de Uso Eficiente y Ahorro de Agua.</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pacing w:before="100" w:beforeAutospacing="1" w:after="119"/>
        <w:contextualSpacing/>
        <w:jc w:val="both"/>
        <w:rPr>
          <w:rFonts w:ascii="Arial" w:hAnsi="Arial" w:cs="Arial"/>
          <w:sz w:val="22"/>
          <w:szCs w:val="22"/>
          <w:lang w:val="es-ES_tradnl"/>
        </w:rPr>
      </w:pPr>
      <w:r w:rsidRPr="00DC371E">
        <w:rPr>
          <w:rFonts w:ascii="Arial" w:hAnsi="Arial" w:cs="Arial"/>
          <w:sz w:val="22"/>
          <w:szCs w:val="22"/>
          <w:lang w:val="es-ES_tradnl"/>
        </w:rPr>
        <w:t xml:space="preserve">Al respecto, el Programa de Uso Eficiente y Ahorro de Agua se define como el conjunto de proyectos y acciones que </w:t>
      </w:r>
      <w:r w:rsidRPr="00E46D41">
        <w:rPr>
          <w:rFonts w:ascii="Arial" w:hAnsi="Arial" w:cs="Arial"/>
          <w:sz w:val="22"/>
          <w:szCs w:val="22"/>
          <w:lang w:val="es-ES_tradnl"/>
        </w:rPr>
        <w:t>deben elaborar y adoptar las entidades encargadas de la prestación de los servicios</w:t>
      </w:r>
      <w:r w:rsidRPr="00DC371E">
        <w:rPr>
          <w:rFonts w:ascii="Arial" w:hAnsi="Arial" w:cs="Arial"/>
          <w:sz w:val="22"/>
          <w:szCs w:val="22"/>
          <w:lang w:val="es-ES_tradnl"/>
        </w:rPr>
        <w:t xml:space="preserve"> de acueducto, alcantarillado, riego y drenaje, producción hidroeléctrica y demás usuarios del recurso hídrico, de conformidad con el artículo 1 de la Ley 373 de 1997. En este caso, la financiación de estos contratos no debió realizarse a través del Plan Departamental de Agua, ya que correspondía al prestador del Servicio de Acueducto el cual para el caso de San Andrés debió ser Veolia.</w:t>
      </w:r>
    </w:p>
    <w:p w:rsidR="00D75790" w:rsidRPr="00DC371E" w:rsidRDefault="00D75790" w:rsidP="00D75790">
      <w:pPr>
        <w:spacing w:before="100" w:beforeAutospacing="1" w:after="119"/>
        <w:contextualSpacing/>
        <w:jc w:val="both"/>
        <w:rPr>
          <w:rFonts w:ascii="Arial" w:hAnsi="Arial" w:cs="Arial"/>
          <w:sz w:val="22"/>
          <w:szCs w:val="22"/>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En el marco de la ejecución del Plan Departamental de Agua, con estos $125 millones, no se debieron financiar los contratos de prestación de servicios para las actividades del Programa de Ahorro y Uso Eficiente del Agua, toda vez que debieron ser financiados por el Prestador del Servicio de Acueducto.</w:t>
      </w:r>
    </w:p>
    <w:p w:rsidR="00D75790" w:rsidRPr="00DC371E" w:rsidRDefault="00D75790" w:rsidP="00D75790">
      <w:pPr>
        <w:shd w:val="clear" w:color="auto" w:fill="FFFFFF"/>
        <w:contextualSpacing/>
        <w:jc w:val="both"/>
        <w:rPr>
          <w:rFonts w:ascii="Arial" w:hAnsi="Arial" w:cs="Arial"/>
          <w:sz w:val="22"/>
          <w:szCs w:val="22"/>
          <w:lang w:val="es-ES_tradnl"/>
        </w:rPr>
      </w:pPr>
    </w:p>
    <w:p w:rsidR="00D75790" w:rsidRPr="00DC371E" w:rsidRDefault="00D75790" w:rsidP="00D75790">
      <w:pPr>
        <w:shd w:val="clear" w:color="auto" w:fill="FFFFFF"/>
        <w:contextualSpacing/>
        <w:jc w:val="both"/>
        <w:rPr>
          <w:rFonts w:ascii="Arial" w:hAnsi="Arial" w:cs="Arial"/>
          <w:sz w:val="22"/>
          <w:szCs w:val="22"/>
          <w:lang w:val="es-ES_tradnl"/>
        </w:rPr>
      </w:pPr>
      <w:r w:rsidRPr="00DC371E">
        <w:rPr>
          <w:rFonts w:ascii="Arial" w:hAnsi="Arial" w:cs="Arial"/>
          <w:sz w:val="22"/>
          <w:szCs w:val="22"/>
          <w:lang w:val="es-ES_tradnl"/>
        </w:rPr>
        <w:t>Adicional a lo anterior, se identificó que estos objetos contractuales no están contemplados dentro de las destinaciones definidas en el artículo 10 de la Ley 1176 de 2007.</w:t>
      </w:r>
    </w:p>
    <w:p w:rsidR="00D75790" w:rsidRDefault="00D75790" w:rsidP="00D75790">
      <w:pPr>
        <w:shd w:val="clear" w:color="auto" w:fill="FFFFFF"/>
        <w:contextualSpacing/>
        <w:jc w:val="both"/>
        <w:rPr>
          <w:rFonts w:ascii="Arial" w:hAnsi="Arial" w:cs="Arial"/>
          <w:sz w:val="22"/>
          <w:szCs w:val="22"/>
          <w:lang w:val="es-ES_tradnl"/>
        </w:rPr>
      </w:pPr>
    </w:p>
    <w:p w:rsidR="00D75790" w:rsidRDefault="00D75790" w:rsidP="00D75790">
      <w:pPr>
        <w:shd w:val="clear" w:color="auto" w:fill="FFFFFF"/>
        <w:contextualSpacing/>
        <w:jc w:val="both"/>
        <w:rPr>
          <w:rFonts w:ascii="Arial" w:hAnsi="Arial" w:cs="Arial"/>
          <w:sz w:val="22"/>
          <w:szCs w:val="22"/>
          <w:lang w:val="es-ES_tradnl"/>
        </w:rPr>
      </w:pPr>
    </w:p>
    <w:p w:rsidR="00D75790" w:rsidRDefault="00D75790" w:rsidP="00D75790">
      <w:pPr>
        <w:shd w:val="clear" w:color="auto" w:fill="FFFFFF"/>
        <w:contextualSpacing/>
        <w:jc w:val="both"/>
        <w:rPr>
          <w:rFonts w:ascii="Arial" w:hAnsi="Arial" w:cs="Arial"/>
          <w:sz w:val="22"/>
          <w:szCs w:val="22"/>
          <w:lang w:val="es-ES_tradnl"/>
        </w:rPr>
      </w:pPr>
      <w:r>
        <w:rPr>
          <w:rFonts w:ascii="Arial" w:hAnsi="Arial" w:cs="Arial"/>
          <w:sz w:val="22"/>
          <w:szCs w:val="22"/>
          <w:lang w:val="es-ES_tradnl"/>
        </w:rPr>
        <w:t xml:space="preserve">De esta manera se configura el riesgo en el cambio de la destinación de los recursos del SGP APSB, identificando que el Archipiélago de San Andrés, Providencia y Santa Catalina pone en riesgo la financiación sectorial al hacer un uso no contemplado en los artículos 10 y 11 de la Ley 1176, vulnerado el propósito de los recursos Sectoriales del SGP de mantener y ampliar la cobertura, calidad y continuidad en la prestación de los servicios públicos domiciliarios de Acueducto, Alcantarillado y Aseo, </w:t>
      </w:r>
    </w:p>
    <w:p w:rsidR="00D75790" w:rsidRPr="00DC371E" w:rsidRDefault="00D75790" w:rsidP="00D75790">
      <w:pPr>
        <w:shd w:val="clear" w:color="auto" w:fill="FFFFFF"/>
        <w:contextualSpacing/>
        <w:jc w:val="both"/>
        <w:rPr>
          <w:rFonts w:ascii="Arial" w:hAnsi="Arial" w:cs="Arial"/>
          <w:sz w:val="22"/>
          <w:szCs w:val="22"/>
          <w:lang w:val="es-ES_tradnl"/>
        </w:rPr>
      </w:pPr>
    </w:p>
    <w:p w:rsidR="00D75790" w:rsidRDefault="00D75790" w:rsidP="00D75790">
      <w:pPr>
        <w:shd w:val="clear" w:color="auto" w:fill="FFFFFF"/>
        <w:ind w:left="360"/>
        <w:contextualSpacing/>
        <w:jc w:val="both"/>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t xml:space="preserve">Evidencias: </w:t>
      </w:r>
    </w:p>
    <w:p w:rsidR="00D75790" w:rsidRDefault="00D75790" w:rsidP="00D75790">
      <w:pPr>
        <w:shd w:val="clear" w:color="auto" w:fill="FFFFFF"/>
        <w:ind w:left="360"/>
        <w:contextualSpacing/>
        <w:jc w:val="both"/>
        <w:rPr>
          <w:rFonts w:ascii="Arial" w:hAnsi="Arial" w:cs="Arial"/>
          <w:b/>
          <w:color w:val="000000"/>
          <w:sz w:val="22"/>
          <w:szCs w:val="22"/>
          <w:lang w:val="es-ES_tradnl" w:eastAsia="es-CO"/>
        </w:rPr>
      </w:pPr>
    </w:p>
    <w:p w:rsidR="00D75790" w:rsidRDefault="00D75790" w:rsidP="00D75790">
      <w:pPr>
        <w:shd w:val="clear" w:color="auto" w:fill="FFFFFF"/>
        <w:contextualSpacing/>
        <w:jc w:val="both"/>
        <w:rPr>
          <w:rFonts w:ascii="Arial" w:hAnsi="Arial" w:cs="Arial"/>
          <w:b/>
          <w:color w:val="000000"/>
          <w:sz w:val="22"/>
          <w:szCs w:val="22"/>
          <w:lang w:val="es-ES_tradnl" w:eastAsia="es-CO"/>
        </w:rPr>
      </w:pPr>
      <w:r w:rsidRPr="00D64AD1">
        <w:rPr>
          <w:rFonts w:ascii="Arial" w:hAnsi="Arial" w:cs="Arial"/>
          <w:sz w:val="22"/>
          <w:szCs w:val="22"/>
          <w:lang w:val="es-ES_tradnl"/>
        </w:rPr>
        <w:t>Obra en el expediente digital en el Sistema de Información Electrónica Documental</w:t>
      </w:r>
      <w:r>
        <w:rPr>
          <w:rFonts w:ascii="Arial" w:hAnsi="Arial" w:cs="Arial"/>
          <w:sz w:val="22"/>
          <w:szCs w:val="22"/>
          <w:lang w:val="es-ES_tradnl"/>
        </w:rPr>
        <w:t xml:space="preserve"> </w:t>
      </w:r>
      <w:r w:rsidRPr="00D64AD1">
        <w:rPr>
          <w:rFonts w:ascii="Arial" w:hAnsi="Arial" w:cs="Arial"/>
          <w:sz w:val="22"/>
          <w:szCs w:val="22"/>
          <w:lang w:val="es-ES_tradnl"/>
        </w:rPr>
        <w:t>- SIED del Ministerio de Hacienda y Crédito Público número 20/2021/D028-PREDI, el siguiente material probatorio</w:t>
      </w:r>
      <w:r>
        <w:rPr>
          <w:rFonts w:ascii="Arial" w:hAnsi="Arial" w:cs="Arial"/>
          <w:sz w:val="22"/>
          <w:szCs w:val="22"/>
          <w:lang w:val="es-ES_tradnl"/>
        </w:rPr>
        <w:t xml:space="preserve">. 1. </w:t>
      </w:r>
      <w:r w:rsidRPr="00DC371E">
        <w:rPr>
          <w:rFonts w:ascii="Arial" w:hAnsi="Arial" w:cs="Arial"/>
          <w:sz w:val="22"/>
          <w:szCs w:val="22"/>
          <w:lang w:val="es-ES_tradnl" w:eastAsia="es-CO"/>
        </w:rPr>
        <w:t>C</w:t>
      </w:r>
      <w:r w:rsidRPr="00DC371E">
        <w:rPr>
          <w:rFonts w:ascii="Arial" w:hAnsi="Arial" w:cs="Arial"/>
          <w:sz w:val="22"/>
          <w:szCs w:val="22"/>
          <w:lang w:val="es-ES_tradnl"/>
        </w:rPr>
        <w:t>ontratos No 157, 179, 184, 156, 145, 147, 149 y 146 de 2019.</w:t>
      </w:r>
      <w:r>
        <w:rPr>
          <w:rFonts w:ascii="Arial" w:hAnsi="Arial" w:cs="Arial"/>
          <w:sz w:val="22"/>
          <w:szCs w:val="22"/>
          <w:lang w:val="es-ES_tradnl"/>
        </w:rPr>
        <w:t xml:space="preserve"> 2. Informe de Monitoreo.</w:t>
      </w:r>
    </w:p>
    <w:p w:rsidR="00D75790" w:rsidRPr="00DC371E" w:rsidRDefault="00D75790" w:rsidP="00D75790">
      <w:pPr>
        <w:shd w:val="clear" w:color="auto" w:fill="FFFFFF"/>
        <w:ind w:left="360"/>
        <w:contextualSpacing/>
        <w:jc w:val="both"/>
        <w:rPr>
          <w:rFonts w:ascii="Arial" w:hAnsi="Arial" w:cs="Arial"/>
          <w:b/>
          <w:color w:val="000000"/>
          <w:sz w:val="22"/>
          <w:szCs w:val="22"/>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sidRPr="00E505F1">
        <w:rPr>
          <w:rFonts w:ascii="Arial" w:hAnsi="Arial" w:cs="Arial"/>
          <w:sz w:val="22"/>
          <w:szCs w:val="27"/>
          <w:lang w:val="es-ES_tradnl" w:eastAsia="es-CO"/>
        </w:rPr>
        <w:t xml:space="preserve">1. Contrato184.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 xml:space="preserve">1-2020-019965 de fecha 9 de marzo de 2020. </w:t>
      </w:r>
      <w:r w:rsidRPr="00E505F1">
        <w:rPr>
          <w:rFonts w:ascii="Arial" w:hAnsi="Arial" w:cs="Arial"/>
          <w:sz w:val="22"/>
          <w:szCs w:val="27"/>
          <w:lang w:val="es-ES_tradnl" w:eastAsia="es-CO"/>
        </w:rPr>
        <w:t>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28" w:history="1">
        <w:r w:rsidR="00D75790" w:rsidRPr="004A7CCF">
          <w:rPr>
            <w:rStyle w:val="Hipervnculo"/>
            <w:rFonts w:ascii="Arial" w:hAnsi="Arial" w:cs="Arial"/>
            <w:sz w:val="22"/>
            <w:szCs w:val="27"/>
            <w:lang w:val="es-ES_tradnl" w:eastAsia="es-CO"/>
          </w:rPr>
          <w:t>http://portalgestiondoc.minhacienda.red/PortalEmpleado/viewer.jsp?config=C054j4UF6Zbkebzqrlw0RFIeErrs/tVT9DWCIi1Rar0w+swpbzQLP9YnIe6cDi5N6o3xt22u1StrA/u4/X1F4K0+rlwlHSF5oG4nOG1t9YRXn7q3ua6ps8RzGpd6bsfItzgOq9TPfvzSdAYvgCEsqxg6xxw+gl4XjdtYGz7F0q/KGExmnUy2omoK2cJfUJMy&amp;guid=6a6645fc17b30a7dc79382b&amp;idrepository=879</w:t>
        </w:r>
      </w:hyperlink>
      <w:r w:rsidR="00D75790">
        <w:rPr>
          <w:rFonts w:ascii="Arial" w:hAnsi="Arial" w:cs="Arial"/>
          <w:sz w:val="22"/>
          <w:szCs w:val="27"/>
          <w:lang w:val="es-ES_tradnl" w:eastAsia="es-CO"/>
        </w:rPr>
        <w:t xml:space="preserve">. </w:t>
      </w:r>
    </w:p>
    <w:p w:rsidR="00D75790"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sidRPr="00E505F1">
        <w:rPr>
          <w:rFonts w:ascii="Arial" w:hAnsi="Arial" w:cs="Arial"/>
          <w:sz w:val="22"/>
          <w:szCs w:val="27"/>
          <w:lang w:val="es-ES_tradnl" w:eastAsia="es-CO"/>
        </w:rPr>
        <w:t xml:space="preserve">2. Contrato 179.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 xml:space="preserve">1-2020-019965 de fecha 9 de marzo de 2020. </w:t>
      </w:r>
      <w:r w:rsidRPr="00E505F1">
        <w:rPr>
          <w:rFonts w:ascii="Arial" w:hAnsi="Arial" w:cs="Arial"/>
          <w:sz w:val="22"/>
          <w:szCs w:val="27"/>
          <w:lang w:val="es-ES_tradnl" w:eastAsia="es-CO"/>
        </w:rPr>
        <w:t>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29" w:history="1">
        <w:r w:rsidR="00D75790" w:rsidRPr="004A7CCF">
          <w:rPr>
            <w:rStyle w:val="Hipervnculo"/>
            <w:rFonts w:ascii="Arial" w:hAnsi="Arial" w:cs="Arial"/>
            <w:sz w:val="22"/>
            <w:szCs w:val="27"/>
            <w:lang w:val="es-ES_tradnl" w:eastAsia="es-CO"/>
          </w:rPr>
          <w:t>http://portalgestiondoc.minhacienda.red/PortalEmpleado/viewer.jsp?config=TejTbVT3fPVHG6xC5ib0fDMGpuy5rNK4jf+sO5JAc1+0Pl22+BipRssOYPFM+MET61u4+9klHMmCpaefsFCicdVv/+AgtSJV/y8uzD07m0HcTmixbQU0QprIYAQOe3QLA5QIoUGXuAq9hPiSD+rj7bV1bKBDGQVMPg359yEZUyY5b36G6vSA1vASKw+6GtDz&amp;guid=6a6645fc17b30a7dc793827&amp;idrepository=879</w:t>
        </w:r>
      </w:hyperlink>
      <w:r w:rsidR="00D75790">
        <w:rPr>
          <w:rFonts w:ascii="Arial" w:hAnsi="Arial" w:cs="Arial"/>
          <w:sz w:val="22"/>
          <w:szCs w:val="27"/>
          <w:lang w:val="es-ES_tradnl" w:eastAsia="es-CO"/>
        </w:rPr>
        <w:t>.</w:t>
      </w:r>
    </w:p>
    <w:p w:rsidR="00D75790"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Pr>
          <w:rFonts w:ascii="Arial" w:hAnsi="Arial" w:cs="Arial"/>
          <w:sz w:val="22"/>
          <w:szCs w:val="27"/>
          <w:lang w:val="es-ES_tradnl" w:eastAsia="es-CO"/>
        </w:rPr>
        <w:t xml:space="preserve">3. </w:t>
      </w:r>
      <w:r w:rsidRPr="00E505F1">
        <w:rPr>
          <w:rFonts w:ascii="Arial" w:hAnsi="Arial" w:cs="Arial"/>
          <w:sz w:val="22"/>
          <w:szCs w:val="27"/>
          <w:lang w:val="es-ES_tradnl" w:eastAsia="es-CO"/>
        </w:rPr>
        <w:t>Contrato 157.</w:t>
      </w:r>
      <w:r w:rsidRPr="00E505F1">
        <w:rPr>
          <w:rFonts w:ascii="Arial" w:hAnsi="Arial" w:cs="Arial"/>
          <w:sz w:val="22"/>
          <w:szCs w:val="22"/>
          <w:lang w:val="es-ES_tradnl"/>
        </w:rPr>
        <w:t xml:space="preserve"> 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 xml:space="preserve">1-2020-019965 de fecha 9 de marzo de 2020. </w:t>
      </w:r>
      <w:r w:rsidRPr="00E505F1">
        <w:rPr>
          <w:rFonts w:ascii="Arial" w:hAnsi="Arial" w:cs="Arial"/>
          <w:sz w:val="22"/>
          <w:szCs w:val="27"/>
          <w:lang w:val="es-ES_tradnl" w:eastAsia="es-CO"/>
        </w:rPr>
        <w:t>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30" w:history="1">
        <w:r w:rsidR="00D75790" w:rsidRPr="004A7CCF">
          <w:rPr>
            <w:rStyle w:val="Hipervnculo"/>
            <w:rFonts w:ascii="Arial" w:hAnsi="Arial" w:cs="Arial"/>
            <w:sz w:val="22"/>
            <w:szCs w:val="27"/>
            <w:lang w:val="es-ES_tradnl" w:eastAsia="es-CO"/>
          </w:rPr>
          <w:t>http://portalgestiondoc.minhacienda.red/PortalEmpleado/viewer.jsp?config=kccqOMAG0QHyL2vmc6PeewprzfyXkOvv4wJhDZYG+Qs7jGBg5S134LWii5/WVjqSZhOYNgyGRyjMIGUDno05pDbrHWJJ/DL0fMeAkr/JVnrZtsZERjV8jPPFWqk7w+WiK3kx5kVOjMiOthuAflv3slIoX2XuN3qwkQ9SsWywvGtLERE6EDDH9RDtFAjm/nxP&amp;guid=6a6645fc17b30a7dc79366f&amp;idrepository=879</w:t>
        </w:r>
      </w:hyperlink>
    </w:p>
    <w:p w:rsidR="00D75790" w:rsidRPr="004E696E"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Pr>
          <w:rFonts w:ascii="Arial" w:hAnsi="Arial" w:cs="Arial"/>
          <w:sz w:val="22"/>
          <w:szCs w:val="27"/>
          <w:lang w:val="es-ES_tradnl" w:eastAsia="es-CO"/>
        </w:rPr>
        <w:t xml:space="preserve">4. </w:t>
      </w:r>
      <w:r w:rsidRPr="00E505F1">
        <w:rPr>
          <w:rFonts w:ascii="Arial" w:hAnsi="Arial" w:cs="Arial"/>
          <w:sz w:val="22"/>
          <w:szCs w:val="27"/>
          <w:lang w:val="es-ES_tradnl" w:eastAsia="es-CO"/>
        </w:rPr>
        <w:t xml:space="preserve">Contrato 156.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 xml:space="preserve">1-2020-019965 de fecha 9 de marzo de 2020. </w:t>
      </w:r>
      <w:r w:rsidRPr="00E505F1">
        <w:rPr>
          <w:rFonts w:ascii="Arial" w:hAnsi="Arial" w:cs="Arial"/>
          <w:sz w:val="22"/>
          <w:szCs w:val="27"/>
          <w:lang w:val="es-ES_tradnl" w:eastAsia="es-CO"/>
        </w:rPr>
        <w:t>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31" w:history="1">
        <w:r w:rsidR="00D75790" w:rsidRPr="004A7CCF">
          <w:rPr>
            <w:rStyle w:val="Hipervnculo"/>
            <w:rFonts w:ascii="Arial" w:hAnsi="Arial" w:cs="Arial"/>
            <w:sz w:val="22"/>
            <w:szCs w:val="27"/>
            <w:lang w:val="es-ES_tradnl" w:eastAsia="es-CO"/>
          </w:rPr>
          <w:t>http://portalgestiondoc.minhacienda.red/PortalEmpleado/viewer.jsp?config=3XIDshyMH1BoSOOJcAcu3L4vjsXUqE9C0oEQ3TMHVc0IGhExwedJAYYBKDH2iI/H5GebjC8Mbyb9jMTKrHP2vAUTbnsDGctQHN6HtQrgZTDIdgMhQCyWFdcHifXnrLdIMM63wEEwjIM1H1aT24/YHE59dky1GA+nZ4FOd7NGxT3ibFKkXCAEmLaQw4E49zzP&amp;guid=6a6645fc17b30a7dc79366b&amp;idrepository=879</w:t>
        </w:r>
      </w:hyperlink>
    </w:p>
    <w:p w:rsidR="00D75790"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Pr>
          <w:rFonts w:ascii="Arial" w:hAnsi="Arial" w:cs="Arial"/>
          <w:sz w:val="22"/>
          <w:szCs w:val="27"/>
          <w:lang w:val="es-ES_tradnl" w:eastAsia="es-CO"/>
        </w:rPr>
        <w:t xml:space="preserve">5. </w:t>
      </w:r>
      <w:r w:rsidRPr="00E505F1">
        <w:rPr>
          <w:rFonts w:ascii="Arial" w:hAnsi="Arial" w:cs="Arial"/>
          <w:sz w:val="22"/>
          <w:szCs w:val="27"/>
          <w:lang w:val="es-ES_tradnl" w:eastAsia="es-CO"/>
        </w:rPr>
        <w:t xml:space="preserve">Contrato 149.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1-2020-019965 de fecha 9 de marzo de 2020</w:t>
      </w:r>
      <w:r w:rsidRPr="00E505F1">
        <w:rPr>
          <w:rFonts w:ascii="Arial" w:hAnsi="Arial" w:cs="Arial"/>
          <w:sz w:val="22"/>
          <w:szCs w:val="27"/>
          <w:lang w:val="es-ES_tradnl" w:eastAsia="es-CO"/>
        </w:rPr>
        <w:t xml:space="preserve"> 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32" w:history="1">
        <w:r w:rsidR="00D75790" w:rsidRPr="004A7CCF">
          <w:rPr>
            <w:rStyle w:val="Hipervnculo"/>
            <w:rFonts w:ascii="Arial" w:hAnsi="Arial" w:cs="Arial"/>
            <w:sz w:val="22"/>
            <w:szCs w:val="27"/>
            <w:lang w:val="es-ES_tradnl" w:eastAsia="es-CO"/>
          </w:rPr>
          <w:t>http://portalgestiondoc.minhacienda.red/PortalEmpleado/viewer.jsp?config=bl9c79mmAIo4QIyASRP55EZtPwZkLz3u8rr0LEueM2rJGgRDj74cUt2qLRVbvYzZlWzbBReFc2jMEe8EtOozmAt5UmlZBjqTkYYmkSS75VaB+BNxLiUF7LByputVo1mxmnK+WMsbBGcZBhbsl47LMFeJ72e3Fhqsoxuj08O0oCawLzdhir7b6IZ08vifiR3N&amp;guid=6a6645fc17b30a7dc793667&amp;idrepository=879</w:t>
        </w:r>
      </w:hyperlink>
      <w:r w:rsidR="00D75790">
        <w:rPr>
          <w:rFonts w:ascii="Arial" w:hAnsi="Arial" w:cs="Arial"/>
          <w:sz w:val="22"/>
          <w:szCs w:val="27"/>
          <w:lang w:val="es-ES_tradnl" w:eastAsia="es-CO"/>
        </w:rPr>
        <w:t>.</w:t>
      </w:r>
    </w:p>
    <w:p w:rsidR="00D75790"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Pr>
          <w:rFonts w:ascii="Arial" w:hAnsi="Arial" w:cs="Arial"/>
          <w:sz w:val="22"/>
          <w:szCs w:val="27"/>
          <w:lang w:val="es-ES_tradnl" w:eastAsia="es-CO"/>
        </w:rPr>
        <w:t xml:space="preserve">6. </w:t>
      </w:r>
      <w:r w:rsidRPr="00E505F1">
        <w:rPr>
          <w:rFonts w:ascii="Arial" w:hAnsi="Arial" w:cs="Arial"/>
          <w:sz w:val="22"/>
          <w:szCs w:val="27"/>
          <w:lang w:val="es-ES_tradnl" w:eastAsia="es-CO"/>
        </w:rPr>
        <w:t xml:space="preserve">Contrato 147.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1-2020-019965 de fecha 9 de marzo de 2020</w:t>
      </w:r>
      <w:r w:rsidRPr="00E505F1">
        <w:rPr>
          <w:rFonts w:ascii="Arial" w:hAnsi="Arial" w:cs="Arial"/>
          <w:sz w:val="22"/>
          <w:szCs w:val="27"/>
          <w:lang w:val="es-ES_tradnl" w:eastAsia="es-CO"/>
        </w:rPr>
        <w:t xml:space="preserve">. Enlace: </w:t>
      </w:r>
      <w:hyperlink r:id="rId33" w:history="1">
        <w:r w:rsidRPr="00DF2372">
          <w:rPr>
            <w:rStyle w:val="Hipervnculo"/>
            <w:rFonts w:ascii="Arial" w:hAnsi="Arial" w:cs="Arial"/>
            <w:sz w:val="22"/>
            <w:szCs w:val="27"/>
            <w:lang w:val="es-ES_tradnl" w:eastAsia="es-CO"/>
          </w:rPr>
          <w:t>http://portalgestiondoc.minhacienda.red/PortalEmpleado/viewer.jsp?config=h8B7T7V2cpztcgQBuDME1S/e1Cm22/ADKE0vE7zOjMPE8lP4OUoC0xWpG4DZ+KL20VADmezdmcdC4WLvpRV+XfR4Wsps8XxJkvmwc36swePeGy9eBQZTMk4X/IzgOHX+Ve54OIirwnkMXbUzC9IFK6fiFAI5uuobJnENn8oFY7fuF/0VsO2/2Ft8RQqCDB9O&amp;guid=6a6645fc17b30a7dc793663&amp;idrepository=879</w:t>
        </w:r>
      </w:hyperlink>
      <w:r w:rsidRPr="00E505F1">
        <w:rPr>
          <w:rFonts w:ascii="Arial" w:hAnsi="Arial" w:cs="Arial"/>
          <w:sz w:val="22"/>
          <w:szCs w:val="27"/>
          <w:lang w:val="es-ES_tradnl" w:eastAsia="es-CO"/>
        </w:rPr>
        <w:t>.</w:t>
      </w:r>
    </w:p>
    <w:p w:rsidR="00D75790"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Pr>
          <w:rFonts w:ascii="Arial" w:hAnsi="Arial" w:cs="Arial"/>
          <w:sz w:val="22"/>
          <w:szCs w:val="27"/>
          <w:lang w:val="es-ES_tradnl" w:eastAsia="es-CO"/>
        </w:rPr>
        <w:lastRenderedPageBreak/>
        <w:t xml:space="preserve">7. </w:t>
      </w:r>
      <w:r w:rsidRPr="00E505F1">
        <w:rPr>
          <w:rFonts w:ascii="Arial" w:hAnsi="Arial" w:cs="Arial"/>
          <w:sz w:val="22"/>
          <w:szCs w:val="27"/>
          <w:lang w:val="es-ES_tradnl" w:eastAsia="es-CO"/>
        </w:rPr>
        <w:t xml:space="preserve">Contrato 146.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 xml:space="preserve">1-2020-019965 de fecha 9 de marzo de 2020. </w:t>
      </w:r>
      <w:r w:rsidRPr="00E505F1">
        <w:rPr>
          <w:rFonts w:ascii="Arial" w:hAnsi="Arial" w:cs="Arial"/>
          <w:sz w:val="22"/>
          <w:szCs w:val="27"/>
          <w:lang w:val="es-ES_tradnl" w:eastAsia="es-CO"/>
        </w:rPr>
        <w:t>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34" w:history="1">
        <w:r w:rsidR="00D75790" w:rsidRPr="001F4E67">
          <w:rPr>
            <w:rStyle w:val="Hipervnculo"/>
            <w:rFonts w:ascii="Arial" w:hAnsi="Arial" w:cs="Arial"/>
            <w:sz w:val="22"/>
            <w:szCs w:val="27"/>
            <w:lang w:val="es-ES_tradnl" w:eastAsia="es-CO"/>
          </w:rPr>
          <w:t>http://portalgestiondoc.minhacienda.red/PortalEmpleado/viewer.jsp?config=r5DJ1UVk1cW5SiT3RzLbKs27zIRWOB6GdtWP0f4+yQffLDisFlsfg6JwQjvntx6CA8eMrfHX3ZQa/7Rna6resT5viNiRzLpyxB/EXGCLurJj0JdcQkMwR8vQBpPcw0/L+blCkJmDw7sXhJe7HZpKlS8VQuIkHjafjDt5WvXXJrYdFYPrXUZXAXMEspGSycKt&amp;guid=6a6645fc17b30a7dc79365e&amp;idrepository=879</w:t>
        </w:r>
      </w:hyperlink>
    </w:p>
    <w:p w:rsidR="00D75790" w:rsidRPr="004E696E" w:rsidRDefault="00D75790" w:rsidP="00D75790">
      <w:pPr>
        <w:pStyle w:val="Prrafodelista"/>
        <w:shd w:val="clear" w:color="auto" w:fill="FFFFFF"/>
        <w:ind w:left="345"/>
        <w:jc w:val="both"/>
        <w:rPr>
          <w:rFonts w:ascii="Arial" w:hAnsi="Arial" w:cs="Arial"/>
          <w:sz w:val="22"/>
          <w:szCs w:val="27"/>
          <w:lang w:val="es-ES_tradnl" w:eastAsia="es-CO"/>
        </w:rPr>
      </w:pPr>
    </w:p>
    <w:p w:rsidR="00D75790" w:rsidRPr="00E505F1" w:rsidRDefault="00D75790" w:rsidP="00D75790">
      <w:pPr>
        <w:shd w:val="clear" w:color="auto" w:fill="FFFFFF"/>
        <w:jc w:val="both"/>
        <w:rPr>
          <w:rFonts w:ascii="Arial" w:hAnsi="Arial" w:cs="Arial"/>
          <w:sz w:val="22"/>
          <w:szCs w:val="27"/>
          <w:lang w:val="es-ES_tradnl" w:eastAsia="es-CO"/>
        </w:rPr>
      </w:pPr>
      <w:r>
        <w:rPr>
          <w:rFonts w:ascii="Arial" w:hAnsi="Arial" w:cs="Arial"/>
          <w:sz w:val="22"/>
          <w:szCs w:val="27"/>
          <w:lang w:val="es-ES_tradnl" w:eastAsia="es-CO"/>
        </w:rPr>
        <w:t xml:space="preserve">8. </w:t>
      </w:r>
      <w:r w:rsidRPr="00E505F1">
        <w:rPr>
          <w:rFonts w:ascii="Arial" w:hAnsi="Arial" w:cs="Arial"/>
          <w:sz w:val="22"/>
          <w:szCs w:val="27"/>
          <w:lang w:val="es-ES_tradnl" w:eastAsia="es-CO"/>
        </w:rPr>
        <w:t xml:space="preserve">Contrato 145. </w:t>
      </w:r>
      <w:r w:rsidRPr="00E505F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F42CB1">
        <w:rPr>
          <w:rFonts w:ascii="Arial" w:hAnsi="Arial" w:cs="Arial"/>
          <w:sz w:val="22"/>
          <w:szCs w:val="22"/>
          <w:lang w:val="es-ES_tradnl"/>
        </w:rPr>
        <w:t>o.</w:t>
      </w:r>
      <w:r w:rsidRPr="00E505F1">
        <w:rPr>
          <w:rFonts w:ascii="Arial" w:hAnsi="Arial" w:cs="Arial"/>
          <w:sz w:val="22"/>
          <w:szCs w:val="22"/>
          <w:lang w:val="es-ES_tradnl"/>
        </w:rPr>
        <w:t xml:space="preserve"> 20/2021/D028-PREDI. Radicado N</w:t>
      </w:r>
      <w:r w:rsidRPr="00E505F1">
        <w:rPr>
          <w:rFonts w:ascii="Arial" w:hAnsi="Arial" w:cs="Arial"/>
          <w:sz w:val="22"/>
          <w:szCs w:val="27"/>
          <w:lang w:val="es-ES_tradnl" w:eastAsia="es-CO"/>
        </w:rPr>
        <w:t xml:space="preserve"> </w:t>
      </w:r>
      <w:r w:rsidRPr="00E505F1">
        <w:rPr>
          <w:rFonts w:ascii="Arial" w:hAnsi="Arial" w:cs="Arial"/>
          <w:sz w:val="22"/>
          <w:szCs w:val="22"/>
          <w:lang w:val="es-ES_tradnl"/>
        </w:rPr>
        <w:t xml:space="preserve">1-2020-019965 de fecha 9 de marzo de 2020. </w:t>
      </w:r>
      <w:r w:rsidRPr="00E505F1">
        <w:rPr>
          <w:rFonts w:ascii="Arial" w:hAnsi="Arial" w:cs="Arial"/>
          <w:sz w:val="22"/>
          <w:szCs w:val="27"/>
          <w:lang w:val="es-ES_tradnl" w:eastAsia="es-CO"/>
        </w:rPr>
        <w:t>Enlace:</w:t>
      </w:r>
    </w:p>
    <w:p w:rsidR="00D75790" w:rsidRDefault="006E598A" w:rsidP="00D75790">
      <w:pPr>
        <w:pStyle w:val="Prrafodelista"/>
        <w:shd w:val="clear" w:color="auto" w:fill="FFFFFF"/>
        <w:ind w:left="345"/>
        <w:jc w:val="both"/>
        <w:rPr>
          <w:rFonts w:ascii="Arial" w:hAnsi="Arial" w:cs="Arial"/>
          <w:sz w:val="22"/>
          <w:szCs w:val="27"/>
          <w:lang w:val="es-ES_tradnl" w:eastAsia="es-CO"/>
        </w:rPr>
      </w:pPr>
      <w:hyperlink r:id="rId35" w:history="1">
        <w:r w:rsidR="00D75790" w:rsidRPr="008C4F65">
          <w:rPr>
            <w:rStyle w:val="Hipervnculo"/>
            <w:rFonts w:ascii="Arial" w:hAnsi="Arial" w:cs="Arial"/>
            <w:sz w:val="22"/>
            <w:szCs w:val="27"/>
            <w:lang w:val="es-ES_tradnl" w:eastAsia="es-CO"/>
          </w:rPr>
          <w:t>http://portalgestiondoc.minhacienda.red/PortalEmpleado/viewer.jsp?config=cBPfHDxWnENuc5VTOZ0IbyCimA5VeA00PBsIyIcPMjUF4Fa8EWFroDsSOEz+j/YY4FQcQ8VvZFc99LL15uITWyHOp+kq6ZYJZSzcnS3eg38Og++ihlPzy9/t6NwvDIskE+r8aP/gFgFLd5NGsXWi0wLO45tBnPVp2GVtElXaTZSDO9pI9tjppqq33NKFGMSw&amp;guid=6a6645fc17b30a7dc79365a&amp;idrepository=879</w:t>
        </w:r>
      </w:hyperlink>
    </w:p>
    <w:p w:rsidR="00D75790" w:rsidRPr="00047465" w:rsidRDefault="00D75790" w:rsidP="00D75790">
      <w:pPr>
        <w:pStyle w:val="Prrafodelista"/>
        <w:rPr>
          <w:rFonts w:ascii="Arial" w:hAnsi="Arial" w:cs="Arial"/>
          <w:sz w:val="22"/>
          <w:szCs w:val="27"/>
          <w:lang w:val="es-ES_tradnl" w:eastAsia="es-CO"/>
        </w:rPr>
      </w:pPr>
    </w:p>
    <w:p w:rsidR="00D75790" w:rsidRDefault="00D75790" w:rsidP="00D75790">
      <w:pPr>
        <w:contextualSpacing/>
        <w:jc w:val="both"/>
        <w:rPr>
          <w:rFonts w:ascii="Arial" w:hAnsi="Arial" w:cs="Arial"/>
          <w:sz w:val="22"/>
          <w:szCs w:val="22"/>
          <w:lang w:val="es-ES_tradnl"/>
        </w:rPr>
      </w:pPr>
      <w:r>
        <w:rPr>
          <w:rFonts w:ascii="Arial" w:hAnsi="Arial" w:cs="Arial"/>
          <w:sz w:val="22"/>
          <w:szCs w:val="22"/>
          <w:lang w:val="es-ES_tradnl"/>
        </w:rPr>
        <w:t xml:space="preserve">9. </w:t>
      </w:r>
      <w:r w:rsidRPr="00047465">
        <w:rPr>
          <w:rFonts w:ascii="Arial" w:hAnsi="Arial" w:cs="Arial"/>
          <w:sz w:val="22"/>
          <w:szCs w:val="22"/>
          <w:lang w:val="es-ES_tradnl"/>
        </w:rPr>
        <w:t>Oficio MVCT 2021EE0036676 con informe de monitoreo SAI. Cleaned.pdf.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047465">
        <w:rPr>
          <w:rFonts w:ascii="Arial" w:hAnsi="Arial" w:cs="Arial"/>
          <w:sz w:val="22"/>
          <w:szCs w:val="22"/>
          <w:lang w:val="es-ES_tradnl"/>
        </w:rPr>
        <w:t xml:space="preserve"> 20/2021/D028-PREDI. Radicado N</w:t>
      </w:r>
      <w:r w:rsidR="00E013AF">
        <w:rPr>
          <w:rFonts w:ascii="Arial" w:hAnsi="Arial" w:cs="Arial"/>
          <w:sz w:val="22"/>
          <w:szCs w:val="22"/>
          <w:lang w:val="es-ES_tradnl"/>
        </w:rPr>
        <w:t>o.</w:t>
      </w:r>
      <w:r w:rsidRPr="00047465">
        <w:rPr>
          <w:rFonts w:ascii="Arial" w:hAnsi="Arial" w:cs="Arial"/>
          <w:sz w:val="22"/>
          <w:szCs w:val="22"/>
          <w:lang w:val="es-ES_tradnl"/>
        </w:rPr>
        <w:t xml:space="preserve"> 1-2021-046779 del 28 de mayo de 2021. Enlace:</w:t>
      </w:r>
      <w:hyperlink r:id="rId36" w:history="1">
        <w:r w:rsidRPr="001F4E67">
          <w:rPr>
            <w:rStyle w:val="Hipervnculo"/>
            <w:rFonts w:ascii="Arial" w:hAnsi="Arial" w:cs="Arial"/>
            <w:sz w:val="22"/>
            <w:szCs w:val="22"/>
            <w:lang w:val="es-ES_tradnl"/>
          </w:rPr>
          <w: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w:t>
        </w:r>
      </w:hyperlink>
      <w:r>
        <w:rPr>
          <w:rFonts w:ascii="Arial" w:hAnsi="Arial" w:cs="Arial"/>
          <w:sz w:val="22"/>
          <w:szCs w:val="22"/>
          <w:lang w:val="es-ES_tradnl"/>
        </w:rPr>
        <w:t xml:space="preserve"> </w:t>
      </w:r>
    </w:p>
    <w:p w:rsidR="00D75790" w:rsidRPr="00047465" w:rsidRDefault="00D75790" w:rsidP="00D75790">
      <w:pPr>
        <w:contextualSpacing/>
        <w:jc w:val="both"/>
        <w:rPr>
          <w:rFonts w:ascii="Arial" w:hAnsi="Arial" w:cs="Arial"/>
          <w:sz w:val="22"/>
          <w:szCs w:val="22"/>
          <w:lang w:val="es-ES_tradnl"/>
        </w:rPr>
      </w:pPr>
    </w:p>
    <w:bookmarkEnd w:id="3"/>
    <w:p w:rsidR="00D75790" w:rsidRPr="00DC371E" w:rsidRDefault="00D75790" w:rsidP="00D75790">
      <w:pPr>
        <w:contextualSpacing/>
        <w:jc w:val="both"/>
        <w:rPr>
          <w:rFonts w:ascii="Arial" w:hAnsi="Arial" w:cs="Arial"/>
          <w:b/>
          <w:bCs/>
          <w:noProof/>
          <w:sz w:val="22"/>
          <w:szCs w:val="22"/>
          <w:highlight w:val="yellow"/>
          <w:lang w:val="es-ES_tradnl"/>
        </w:rPr>
      </w:pPr>
    </w:p>
    <w:p w:rsidR="00D75790" w:rsidRDefault="00D75790" w:rsidP="00D75790">
      <w:pPr>
        <w:contextualSpacing/>
        <w:jc w:val="both"/>
        <w:rPr>
          <w:rFonts w:ascii="Arial" w:hAnsi="Arial" w:cs="Arial"/>
          <w:b/>
          <w:sz w:val="22"/>
          <w:szCs w:val="22"/>
          <w:lang w:val="es-ES_tradnl"/>
        </w:rPr>
      </w:pPr>
      <w:bookmarkStart w:id="4" w:name="_Hlk79475549"/>
    </w:p>
    <w:p w:rsidR="00D75790" w:rsidRPr="00DC371E"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9.12. “</w:t>
      </w:r>
      <w:r w:rsidRPr="00DC371E">
        <w:rPr>
          <w:rFonts w:ascii="Arial" w:hAnsi="Arial" w:cs="Arial"/>
          <w:b/>
          <w:i/>
          <w:iCs/>
          <w:sz w:val="22"/>
          <w:szCs w:val="22"/>
          <w:lang w:val="es-ES_tradnl"/>
        </w:rPr>
        <w:t>No cumplimiento de las condiciones de focalización, identificación de beneficiarios de programas sociales, estratificación y demás procedimientos previstos para la adecuada focalización y ejecución del gasto social</w:t>
      </w:r>
      <w:r w:rsidRPr="00DC371E">
        <w:rPr>
          <w:rFonts w:ascii="Arial" w:hAnsi="Arial" w:cs="Arial"/>
          <w:b/>
          <w:sz w:val="22"/>
          <w:szCs w:val="22"/>
          <w:lang w:val="es-ES_tradnl"/>
        </w:rPr>
        <w:t>”.</w:t>
      </w:r>
    </w:p>
    <w:p w:rsidR="00D75790" w:rsidRPr="00DC371E" w:rsidRDefault="00D75790" w:rsidP="00D75790">
      <w:pPr>
        <w:contextualSpacing/>
        <w:jc w:val="both"/>
        <w:rPr>
          <w:rFonts w:ascii="Arial" w:hAnsi="Arial" w:cs="Arial"/>
          <w:b/>
          <w:i/>
          <w:sz w:val="22"/>
          <w:szCs w:val="22"/>
          <w:lang w:val="es-ES_tradnl"/>
        </w:rPr>
      </w:pPr>
    </w:p>
    <w:p w:rsidR="00D75790" w:rsidRPr="00DC371E" w:rsidRDefault="00D75790" w:rsidP="00D75790">
      <w:pPr>
        <w:pStyle w:val="Prrafodelista"/>
        <w:numPr>
          <w:ilvl w:val="0"/>
          <w:numId w:val="2"/>
        </w:numPr>
        <w:jc w:val="both"/>
        <w:rPr>
          <w:rFonts w:ascii="Arial" w:hAnsi="Arial" w:cs="Arial"/>
          <w:b/>
          <w:sz w:val="22"/>
          <w:szCs w:val="22"/>
          <w:lang w:val="es-ES_tradnl"/>
        </w:rPr>
      </w:pPr>
      <w:r w:rsidRPr="00DC371E">
        <w:rPr>
          <w:rFonts w:ascii="Arial" w:hAnsi="Arial" w:cs="Arial"/>
          <w:b/>
          <w:sz w:val="22"/>
          <w:szCs w:val="22"/>
          <w:lang w:val="es-ES_tradnl"/>
        </w:rPr>
        <w:t>Condiciones para la focalización del gasto social</w:t>
      </w:r>
      <w:r>
        <w:rPr>
          <w:rFonts w:ascii="Arial" w:hAnsi="Arial" w:cs="Arial"/>
          <w:b/>
          <w:sz w:val="22"/>
          <w:szCs w:val="22"/>
          <w:lang w:val="es-ES_tradnl"/>
        </w:rPr>
        <w:t>:</w:t>
      </w:r>
    </w:p>
    <w:p w:rsidR="00D75790" w:rsidRPr="00DC371E" w:rsidRDefault="00D75790" w:rsidP="00D75790">
      <w:pPr>
        <w:contextualSpacing/>
        <w:jc w:val="both"/>
        <w:rPr>
          <w:rFonts w:ascii="Arial" w:hAnsi="Arial" w:cs="Arial"/>
          <w:b/>
          <w:sz w:val="22"/>
          <w:szCs w:val="22"/>
          <w:lang w:val="es-ES_tradnl"/>
        </w:rPr>
      </w:pPr>
    </w:p>
    <w:p w:rsidR="00D75790" w:rsidRPr="00757381" w:rsidRDefault="00D75790" w:rsidP="00D75790">
      <w:pPr>
        <w:pStyle w:val="Prrafodelista"/>
        <w:numPr>
          <w:ilvl w:val="0"/>
          <w:numId w:val="36"/>
        </w:numPr>
        <w:jc w:val="both"/>
        <w:rPr>
          <w:rFonts w:ascii="Arial" w:hAnsi="Arial" w:cs="Arial"/>
          <w:b/>
          <w:sz w:val="22"/>
          <w:szCs w:val="22"/>
          <w:lang w:val="es-ES_tradnl"/>
        </w:rPr>
      </w:pPr>
      <w:r w:rsidRPr="00757381">
        <w:rPr>
          <w:rFonts w:ascii="Arial" w:hAnsi="Arial" w:cs="Arial"/>
          <w:b/>
          <w:sz w:val="22"/>
          <w:szCs w:val="22"/>
          <w:lang w:val="es-ES_tradnl"/>
        </w:rPr>
        <w:t>Asignación de subsidios.</w:t>
      </w:r>
    </w:p>
    <w:p w:rsidR="00D75790"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Default="00D75790" w:rsidP="00D75790">
      <w:pPr>
        <w:spacing w:before="100" w:beforeAutospacing="1" w:after="119"/>
        <w:contextualSpacing/>
        <w:jc w:val="both"/>
        <w:rPr>
          <w:rFonts w:ascii="Arial" w:hAnsi="Arial" w:cs="Arial"/>
          <w:color w:val="000000"/>
          <w:sz w:val="22"/>
          <w:szCs w:val="22"/>
          <w:lang w:val="es-ES_tradnl" w:eastAsia="es-CO"/>
        </w:rPr>
      </w:pPr>
      <w:r w:rsidRPr="00DC371E">
        <w:rPr>
          <w:rFonts w:ascii="Arial" w:hAnsi="Arial" w:cs="Arial"/>
          <w:color w:val="000000"/>
          <w:sz w:val="22"/>
          <w:szCs w:val="22"/>
          <w:lang w:val="es-ES_tradnl" w:eastAsia="es-CO"/>
        </w:rPr>
        <w:t>El artículo 125 de la Ley 1450 de 2011, estableció en relación con los subsidios y contribuciones para los Servicios de Acueducto, Alcantarillado y Aseo, lo siguiente:</w:t>
      </w:r>
    </w:p>
    <w:p w:rsidR="00D75790"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Pr="00E46D41" w:rsidRDefault="00D75790" w:rsidP="00D75790">
      <w:pPr>
        <w:spacing w:before="100" w:beforeAutospacing="1" w:after="119"/>
        <w:ind w:left="1416"/>
        <w:contextualSpacing/>
        <w:jc w:val="both"/>
        <w:rPr>
          <w:rFonts w:ascii="Arial" w:hAnsi="Arial" w:cs="Arial"/>
          <w:color w:val="000000"/>
          <w:sz w:val="18"/>
          <w:szCs w:val="22"/>
          <w:lang w:val="es-ES_tradnl" w:eastAsia="es-CO"/>
        </w:rPr>
      </w:pPr>
      <w:r w:rsidRPr="00E46D41">
        <w:rPr>
          <w:rFonts w:ascii="Arial" w:hAnsi="Arial" w:cs="Arial"/>
          <w:color w:val="000000"/>
          <w:sz w:val="18"/>
          <w:szCs w:val="22"/>
          <w:lang w:val="es-ES_tradnl" w:eastAsia="es-CO"/>
        </w:rPr>
        <w:lastRenderedPageBreak/>
        <w:t>“</w:t>
      </w:r>
      <w:r w:rsidRPr="00E46D41">
        <w:rPr>
          <w:rFonts w:ascii="Arial" w:hAnsi="Arial" w:cs="Arial"/>
          <w:i/>
          <w:iCs/>
          <w:color w:val="000000"/>
          <w:sz w:val="18"/>
          <w:szCs w:val="22"/>
          <w:lang w:val="es-ES_tradnl" w:eastAsia="es-CO"/>
        </w:rPr>
        <w:t>Los subsidios en ningún caso serán superiores al setenta por ciento (70 %) del costo del suministro para el estrato 1, cuarenta por ciento (40 %) para el estrato 2 y quince por ciento (15 %) para el estrato 3.</w:t>
      </w:r>
    </w:p>
    <w:p w:rsidR="00D75790" w:rsidRPr="00E46D41" w:rsidRDefault="00D75790" w:rsidP="00D75790">
      <w:pPr>
        <w:spacing w:before="100" w:beforeAutospacing="1" w:after="119"/>
        <w:ind w:left="1416"/>
        <w:contextualSpacing/>
        <w:jc w:val="both"/>
        <w:rPr>
          <w:rFonts w:ascii="Arial" w:hAnsi="Arial" w:cs="Arial"/>
          <w:i/>
          <w:iCs/>
          <w:color w:val="000000"/>
          <w:sz w:val="18"/>
          <w:szCs w:val="22"/>
          <w:lang w:val="es-ES_tradnl" w:eastAsia="es-CO"/>
        </w:rPr>
      </w:pPr>
    </w:p>
    <w:p w:rsidR="00D75790" w:rsidRPr="00E46D41" w:rsidRDefault="00D75790" w:rsidP="00D75790">
      <w:pPr>
        <w:spacing w:before="100" w:beforeAutospacing="1" w:after="119"/>
        <w:ind w:left="1416"/>
        <w:contextualSpacing/>
        <w:jc w:val="both"/>
        <w:rPr>
          <w:rFonts w:ascii="Arial" w:hAnsi="Arial" w:cs="Arial"/>
          <w:color w:val="000000"/>
          <w:sz w:val="18"/>
          <w:szCs w:val="22"/>
          <w:lang w:val="es-ES_tradnl" w:eastAsia="es-CO"/>
        </w:rPr>
      </w:pPr>
      <w:r w:rsidRPr="00E46D41">
        <w:rPr>
          <w:rFonts w:ascii="Arial" w:hAnsi="Arial" w:cs="Arial"/>
          <w:i/>
          <w:iCs/>
          <w:color w:val="000000"/>
          <w:sz w:val="18"/>
          <w:szCs w:val="22"/>
          <w:lang w:val="es-ES_tradnl" w:eastAsia="es-CO"/>
        </w:rPr>
        <w:t>Los factores de aporte solidario para los servicios públicos de acueducto, alcantarillado y aseo a que hace referencia el artículo 2 de la Ley 632 de 2000 serán como mínimo los siguientes: Suscriptores Residenciales de estrato 5: cincuenta por ciento (50 %); Suscriptores Residenciales de estrato 6: sesenta por ciento (60 %); Suscriptores Comerciales: cincuenta por ciento (50 %); Suscriptores Industriales: treinta por ciento (30%)”</w:t>
      </w:r>
      <w:r w:rsidRPr="00E46D41">
        <w:rPr>
          <w:rFonts w:ascii="Arial" w:hAnsi="Arial" w:cs="Arial"/>
          <w:color w:val="000000"/>
          <w:sz w:val="18"/>
          <w:szCs w:val="22"/>
          <w:lang w:val="es-ES_tradnl" w:eastAsia="es-CO"/>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 xml:space="preserve">En el documento </w:t>
      </w:r>
      <w:r w:rsidRPr="00DC371E">
        <w:rPr>
          <w:rFonts w:ascii="Arial" w:hAnsi="Arial" w:cs="Arial"/>
          <w:sz w:val="22"/>
          <w:szCs w:val="22"/>
        </w:rPr>
        <w:t>“</w:t>
      </w:r>
      <w:r w:rsidRPr="00DC371E">
        <w:rPr>
          <w:rFonts w:ascii="Arial" w:hAnsi="Arial" w:cs="Arial"/>
          <w:i/>
          <w:iCs/>
          <w:sz w:val="22"/>
          <w:szCs w:val="22"/>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DC371E">
        <w:rPr>
          <w:rFonts w:ascii="Arial" w:hAnsi="Arial" w:cs="Arial"/>
          <w:sz w:val="22"/>
          <w:szCs w:val="22"/>
          <w:lang w:val="es-ES_tradnl"/>
        </w:rPr>
        <w:t>el MVCT</w:t>
      </w:r>
      <w:r w:rsidRPr="00DC371E">
        <w:rPr>
          <w:rFonts w:ascii="Arial" w:hAnsi="Arial" w:cs="Arial"/>
          <w:sz w:val="22"/>
          <w:szCs w:val="22"/>
        </w:rPr>
        <w:t xml:space="preserve"> manifestó que </w:t>
      </w:r>
      <w:r w:rsidRPr="00DC371E">
        <w:rPr>
          <w:rFonts w:ascii="Arial" w:hAnsi="Arial" w:cs="Arial"/>
          <w:sz w:val="22"/>
          <w:szCs w:val="22"/>
          <w:lang w:val="es-ES_tradnl"/>
        </w:rPr>
        <w:t>la Entidad Territorial expidió la Ordenanza 015 de 2019, por medio de la cual se establecieron los porcentajes a subsidiar a los estratos 1, 2 y 3 y los factores de contribución para los estratos 5 y 6 y usos industriales y comerciales de los Servicios Públicos Domiciliarios de Acueducto y Alcantarillado en San Andrés Isla.</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Los porcentajes de subsidios y contribuciones fueron:</w:t>
      </w:r>
    </w:p>
    <w:p w:rsidR="00D75790" w:rsidRPr="00DC371E" w:rsidRDefault="00D75790" w:rsidP="00D75790">
      <w:pPr>
        <w:contextualSpacing/>
        <w:jc w:val="both"/>
        <w:rPr>
          <w:rFonts w:ascii="Arial" w:hAnsi="Arial" w:cs="Arial"/>
          <w:sz w:val="22"/>
          <w:szCs w:val="22"/>
          <w:lang w:val="es-ES_tradnl"/>
        </w:rPr>
      </w:pPr>
    </w:p>
    <w:p w:rsidR="00D75790" w:rsidRPr="00E46D41" w:rsidRDefault="00D75790" w:rsidP="00D75790">
      <w:pPr>
        <w:contextualSpacing/>
        <w:jc w:val="center"/>
        <w:rPr>
          <w:rFonts w:ascii="Arial" w:hAnsi="Arial" w:cs="Arial"/>
          <w:b/>
          <w:bCs/>
          <w:sz w:val="22"/>
          <w:lang w:val="es-ES_tradnl"/>
        </w:rPr>
      </w:pPr>
      <w:r w:rsidRPr="00E46D41">
        <w:rPr>
          <w:rFonts w:ascii="Arial" w:hAnsi="Arial" w:cs="Arial"/>
          <w:b/>
          <w:bCs/>
          <w:sz w:val="20"/>
          <w:szCs w:val="22"/>
          <w:lang w:val="es-ES_tradnl"/>
        </w:rPr>
        <w:t>TABLA 32. SUBSIDIOS Y CONTRIBUCIONES</w:t>
      </w:r>
    </w:p>
    <w:tbl>
      <w:tblPr>
        <w:tblStyle w:val="Tablaconcuadrcula"/>
        <w:tblW w:w="0" w:type="auto"/>
        <w:jc w:val="center"/>
        <w:tblLook w:val="04A0" w:firstRow="1" w:lastRow="0" w:firstColumn="1" w:lastColumn="0" w:noHBand="0" w:noVBand="1"/>
      </w:tblPr>
      <w:tblGrid>
        <w:gridCol w:w="2405"/>
        <w:gridCol w:w="1353"/>
        <w:gridCol w:w="1671"/>
        <w:gridCol w:w="1137"/>
        <w:gridCol w:w="11"/>
      </w:tblGrid>
      <w:tr w:rsidR="00D75790" w:rsidRPr="00DC371E" w:rsidTr="00695E54">
        <w:trPr>
          <w:gridAfter w:val="1"/>
          <w:wAfter w:w="11" w:type="dxa"/>
          <w:jc w:val="center"/>
        </w:trPr>
        <w:tc>
          <w:tcPr>
            <w:tcW w:w="2405" w:type="dxa"/>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Uso</w:t>
            </w:r>
          </w:p>
        </w:tc>
        <w:tc>
          <w:tcPr>
            <w:tcW w:w="1353" w:type="dxa"/>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Acueducto</w:t>
            </w:r>
          </w:p>
        </w:tc>
        <w:tc>
          <w:tcPr>
            <w:tcW w:w="1671" w:type="dxa"/>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Alcantarillado</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Aseo</w:t>
            </w:r>
          </w:p>
        </w:tc>
      </w:tr>
      <w:tr w:rsidR="00D75790" w:rsidRPr="00DC371E" w:rsidTr="00695E54">
        <w:trPr>
          <w:jc w:val="center"/>
        </w:trPr>
        <w:tc>
          <w:tcPr>
            <w:tcW w:w="6577" w:type="dxa"/>
            <w:gridSpan w:val="5"/>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Subsidios</w:t>
            </w:r>
          </w:p>
        </w:tc>
      </w:tr>
      <w:tr w:rsidR="00D75790" w:rsidRPr="00DC371E" w:rsidTr="00695E54">
        <w:trPr>
          <w:gridAfter w:val="1"/>
          <w:wAfter w:w="11" w:type="dxa"/>
          <w:jc w:val="center"/>
        </w:trPr>
        <w:tc>
          <w:tcPr>
            <w:tcW w:w="2405"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Residencial 1</w:t>
            </w:r>
          </w:p>
        </w:tc>
        <w:tc>
          <w:tcPr>
            <w:tcW w:w="1353"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85 %</w:t>
            </w:r>
          </w:p>
        </w:tc>
        <w:tc>
          <w:tcPr>
            <w:tcW w:w="1671"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82 %</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50 %</w:t>
            </w:r>
          </w:p>
        </w:tc>
      </w:tr>
      <w:tr w:rsidR="00D75790" w:rsidRPr="00DC371E" w:rsidTr="00695E54">
        <w:trPr>
          <w:gridAfter w:val="1"/>
          <w:wAfter w:w="11" w:type="dxa"/>
          <w:jc w:val="center"/>
        </w:trPr>
        <w:tc>
          <w:tcPr>
            <w:tcW w:w="2405"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Residencial 2</w:t>
            </w:r>
          </w:p>
        </w:tc>
        <w:tc>
          <w:tcPr>
            <w:tcW w:w="1353"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83 %</w:t>
            </w:r>
          </w:p>
        </w:tc>
        <w:tc>
          <w:tcPr>
            <w:tcW w:w="1671"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79 %</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40 %</w:t>
            </w:r>
          </w:p>
        </w:tc>
      </w:tr>
      <w:tr w:rsidR="00D75790" w:rsidRPr="00DC371E" w:rsidTr="00695E54">
        <w:trPr>
          <w:gridAfter w:val="1"/>
          <w:wAfter w:w="11" w:type="dxa"/>
          <w:jc w:val="center"/>
        </w:trPr>
        <w:tc>
          <w:tcPr>
            <w:tcW w:w="2405"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Residencial 3</w:t>
            </w:r>
          </w:p>
        </w:tc>
        <w:tc>
          <w:tcPr>
            <w:tcW w:w="1353"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74 %</w:t>
            </w:r>
          </w:p>
        </w:tc>
        <w:tc>
          <w:tcPr>
            <w:tcW w:w="1671"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70 %</w:t>
            </w:r>
          </w:p>
        </w:tc>
        <w:tc>
          <w:tcPr>
            <w:tcW w:w="1137"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15 %</w:t>
            </w:r>
          </w:p>
        </w:tc>
      </w:tr>
      <w:tr w:rsidR="00D75790" w:rsidRPr="00DC371E" w:rsidTr="00695E54">
        <w:trPr>
          <w:jc w:val="center"/>
        </w:trPr>
        <w:tc>
          <w:tcPr>
            <w:tcW w:w="6577" w:type="dxa"/>
            <w:gridSpan w:val="5"/>
            <w:shd w:val="clear" w:color="auto" w:fill="DBE5F1" w:themeFill="accent1" w:themeFillTint="33"/>
            <w:hideMark/>
          </w:tcPr>
          <w:p w:rsidR="00D75790" w:rsidRPr="00DC371E" w:rsidRDefault="00D75790" w:rsidP="00695E54">
            <w:pPr>
              <w:contextualSpacing/>
              <w:jc w:val="center"/>
              <w:rPr>
                <w:rFonts w:ascii="Arial" w:hAnsi="Arial" w:cs="Arial"/>
                <w:b/>
                <w:sz w:val="18"/>
                <w:szCs w:val="18"/>
                <w:lang w:val="es-ES_tradnl"/>
              </w:rPr>
            </w:pPr>
            <w:r w:rsidRPr="00DC371E">
              <w:rPr>
                <w:rFonts w:ascii="Arial" w:hAnsi="Arial" w:cs="Arial"/>
                <w:b/>
                <w:sz w:val="18"/>
                <w:szCs w:val="18"/>
                <w:lang w:val="es-ES_tradnl"/>
              </w:rPr>
              <w:t>Contribuciones</w:t>
            </w:r>
          </w:p>
        </w:tc>
      </w:tr>
      <w:tr w:rsidR="00D75790" w:rsidRPr="00DC371E" w:rsidTr="00695E54">
        <w:trPr>
          <w:gridAfter w:val="1"/>
          <w:wAfter w:w="11" w:type="dxa"/>
          <w:jc w:val="center"/>
        </w:trPr>
        <w:tc>
          <w:tcPr>
            <w:tcW w:w="2405"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Residencial 5 y 6</w:t>
            </w:r>
          </w:p>
        </w:tc>
        <w:tc>
          <w:tcPr>
            <w:tcW w:w="1353"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25 %</w:t>
            </w:r>
          </w:p>
        </w:tc>
        <w:tc>
          <w:tcPr>
            <w:tcW w:w="1671"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25 %</w:t>
            </w:r>
          </w:p>
        </w:tc>
        <w:tc>
          <w:tcPr>
            <w:tcW w:w="1137" w:type="dxa"/>
            <w:shd w:val="clear" w:color="auto" w:fill="DBE5F1" w:themeFill="accent1" w:themeFillTint="33"/>
          </w:tcPr>
          <w:p w:rsidR="00D75790" w:rsidRPr="00DC371E" w:rsidRDefault="00D75790" w:rsidP="00695E54">
            <w:pPr>
              <w:contextualSpacing/>
              <w:jc w:val="center"/>
              <w:rPr>
                <w:rFonts w:ascii="Arial" w:hAnsi="Arial" w:cs="Arial"/>
                <w:sz w:val="18"/>
                <w:szCs w:val="18"/>
                <w:lang w:val="es-ES_tradnl"/>
              </w:rPr>
            </w:pPr>
          </w:p>
        </w:tc>
      </w:tr>
      <w:tr w:rsidR="00D75790" w:rsidRPr="00DC371E" w:rsidTr="00695E54">
        <w:trPr>
          <w:gridAfter w:val="1"/>
          <w:wAfter w:w="11" w:type="dxa"/>
          <w:jc w:val="center"/>
        </w:trPr>
        <w:tc>
          <w:tcPr>
            <w:tcW w:w="2405" w:type="dxa"/>
            <w:shd w:val="clear" w:color="auto" w:fill="DBE5F1" w:themeFill="accent1" w:themeFillTint="33"/>
            <w:hideMark/>
          </w:tcPr>
          <w:p w:rsidR="00D75790" w:rsidRPr="00DC371E" w:rsidRDefault="00D75790" w:rsidP="00695E54">
            <w:pPr>
              <w:contextualSpacing/>
              <w:rPr>
                <w:rFonts w:ascii="Arial" w:hAnsi="Arial" w:cs="Arial"/>
                <w:sz w:val="18"/>
                <w:szCs w:val="18"/>
                <w:lang w:val="es-ES_tradnl"/>
              </w:rPr>
            </w:pPr>
            <w:r w:rsidRPr="00DC371E">
              <w:rPr>
                <w:rFonts w:ascii="Arial" w:hAnsi="Arial" w:cs="Arial"/>
                <w:sz w:val="18"/>
                <w:szCs w:val="18"/>
                <w:lang w:val="es-ES_tradnl"/>
              </w:rPr>
              <w:t>Comercial e Industrial</w:t>
            </w:r>
          </w:p>
        </w:tc>
        <w:tc>
          <w:tcPr>
            <w:tcW w:w="1353"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25 %</w:t>
            </w:r>
          </w:p>
        </w:tc>
        <w:tc>
          <w:tcPr>
            <w:tcW w:w="1671" w:type="dxa"/>
            <w:shd w:val="clear" w:color="auto" w:fill="DBE5F1" w:themeFill="accent1" w:themeFillTint="33"/>
            <w:hideMark/>
          </w:tcPr>
          <w:p w:rsidR="00D75790" w:rsidRPr="00DC371E" w:rsidRDefault="00D75790" w:rsidP="00695E54">
            <w:pPr>
              <w:contextualSpacing/>
              <w:jc w:val="center"/>
              <w:rPr>
                <w:rFonts w:ascii="Arial" w:hAnsi="Arial" w:cs="Arial"/>
                <w:sz w:val="18"/>
                <w:szCs w:val="18"/>
                <w:lang w:val="es-ES_tradnl"/>
              </w:rPr>
            </w:pPr>
            <w:r w:rsidRPr="00DC371E">
              <w:rPr>
                <w:rFonts w:ascii="Arial" w:hAnsi="Arial" w:cs="Arial"/>
                <w:sz w:val="18"/>
                <w:szCs w:val="18"/>
                <w:lang w:val="es-ES_tradnl"/>
              </w:rPr>
              <w:t>25 %</w:t>
            </w:r>
          </w:p>
        </w:tc>
        <w:tc>
          <w:tcPr>
            <w:tcW w:w="1137" w:type="dxa"/>
            <w:shd w:val="clear" w:color="auto" w:fill="DBE5F1" w:themeFill="accent1" w:themeFillTint="33"/>
          </w:tcPr>
          <w:p w:rsidR="00D75790" w:rsidRPr="00DC371E" w:rsidRDefault="00D75790" w:rsidP="00695E54">
            <w:pPr>
              <w:contextualSpacing/>
              <w:jc w:val="center"/>
              <w:rPr>
                <w:rFonts w:ascii="Arial" w:hAnsi="Arial" w:cs="Arial"/>
                <w:sz w:val="18"/>
                <w:szCs w:val="18"/>
                <w:lang w:val="es-ES_tradnl"/>
              </w:rPr>
            </w:pPr>
          </w:p>
        </w:tc>
      </w:tr>
    </w:tbl>
    <w:p w:rsidR="00D75790" w:rsidRPr="00E46D41" w:rsidRDefault="00D75790" w:rsidP="00D75790">
      <w:pPr>
        <w:contextualSpacing/>
        <w:rPr>
          <w:rFonts w:ascii="Arial" w:hAnsi="Arial" w:cs="Arial"/>
          <w:sz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Los porcentajes de subsidios de los Servicios de Acueducto y Alcantarillado para el uso residencial de los estratos 1, 2 y 3, exceden los porcentajes máximos establecidos en el artículo 125 de la Ley 1450 de 2011.</w:t>
      </w:r>
    </w:p>
    <w:p w:rsidR="00D75790" w:rsidRPr="00DC371E"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En este sentido, la Entidad Territorial no acató las condiciones para la focalización del gasto social, establecidas en la Ley 1450 de 2011 relacionada con los límites de asignaciones de subsidios, ni la Ley 632 de 2000 en lo pertinente a las contribuciones solidarias para los Servicios Públicos de Acueducto, Alcantarillado y Aseo.</w:t>
      </w:r>
    </w:p>
    <w:p w:rsidR="00D75790" w:rsidRDefault="00D75790" w:rsidP="00D75790">
      <w:pPr>
        <w:contextualSpacing/>
        <w:jc w:val="both"/>
        <w:rPr>
          <w:rFonts w:ascii="Arial" w:hAnsi="Arial" w:cs="Arial"/>
          <w:sz w:val="22"/>
          <w:szCs w:val="22"/>
          <w:lang w:val="es-ES_tradnl"/>
        </w:rPr>
      </w:pPr>
    </w:p>
    <w:p w:rsidR="00D75790" w:rsidRPr="00757381" w:rsidRDefault="00D75790" w:rsidP="00D75790">
      <w:pPr>
        <w:pStyle w:val="Prrafodelista"/>
        <w:numPr>
          <w:ilvl w:val="0"/>
          <w:numId w:val="36"/>
        </w:numPr>
        <w:jc w:val="both"/>
        <w:rPr>
          <w:rFonts w:ascii="Arial" w:hAnsi="Arial" w:cs="Arial"/>
          <w:b/>
          <w:bCs/>
          <w:sz w:val="22"/>
          <w:szCs w:val="22"/>
          <w:lang w:val="es-ES_tradnl"/>
        </w:rPr>
      </w:pPr>
      <w:r w:rsidRPr="00757381">
        <w:rPr>
          <w:rFonts w:ascii="Arial" w:hAnsi="Arial" w:cs="Arial"/>
          <w:b/>
          <w:bCs/>
          <w:sz w:val="22"/>
          <w:szCs w:val="22"/>
          <w:lang w:val="es-ES_tradnl"/>
        </w:rPr>
        <w:t>Asignación de contribuciones.</w:t>
      </w:r>
    </w:p>
    <w:p w:rsidR="00D75790" w:rsidRDefault="00D75790" w:rsidP="00D75790">
      <w:pPr>
        <w:contextualSpacing/>
        <w:jc w:val="both"/>
        <w:rPr>
          <w:rFonts w:ascii="Arial" w:hAnsi="Arial" w:cs="Arial"/>
          <w:b/>
          <w:bCs/>
          <w:sz w:val="22"/>
          <w:szCs w:val="22"/>
          <w:lang w:val="es-ES_tradnl"/>
        </w:rPr>
      </w:pPr>
    </w:p>
    <w:p w:rsidR="00D75790" w:rsidRDefault="00D75790" w:rsidP="00D75790">
      <w:pPr>
        <w:spacing w:before="100" w:beforeAutospacing="1" w:after="119"/>
        <w:contextualSpacing/>
        <w:jc w:val="both"/>
        <w:rPr>
          <w:rFonts w:ascii="Arial" w:hAnsi="Arial" w:cs="Arial"/>
          <w:color w:val="000000"/>
          <w:sz w:val="22"/>
          <w:szCs w:val="22"/>
          <w:lang w:val="es-ES_tradnl" w:eastAsia="es-CO"/>
        </w:rPr>
      </w:pPr>
      <w:r w:rsidRPr="00DC371E">
        <w:rPr>
          <w:rFonts w:ascii="Arial" w:hAnsi="Arial" w:cs="Arial"/>
          <w:color w:val="000000"/>
          <w:sz w:val="22"/>
          <w:szCs w:val="22"/>
          <w:lang w:val="es-ES_tradnl" w:eastAsia="es-CO"/>
        </w:rPr>
        <w:t xml:space="preserve">El artículo 125 de la Ley 1450 de 2011, estableció en relación con </w:t>
      </w:r>
      <w:r>
        <w:rPr>
          <w:rFonts w:ascii="Arial" w:hAnsi="Arial" w:cs="Arial"/>
          <w:color w:val="000000"/>
          <w:sz w:val="22"/>
          <w:szCs w:val="22"/>
          <w:lang w:val="es-ES_tradnl" w:eastAsia="es-CO"/>
        </w:rPr>
        <w:t xml:space="preserve">las </w:t>
      </w:r>
      <w:r w:rsidRPr="00DC371E">
        <w:rPr>
          <w:rFonts w:ascii="Arial" w:hAnsi="Arial" w:cs="Arial"/>
          <w:color w:val="000000"/>
          <w:sz w:val="22"/>
          <w:szCs w:val="22"/>
          <w:lang w:val="es-ES_tradnl" w:eastAsia="es-CO"/>
        </w:rPr>
        <w:t>contribuciones para los Servicios de Acueducto, Alcantarillado y Aseo, lo siguiente:</w:t>
      </w:r>
    </w:p>
    <w:p w:rsidR="00D75790"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Pr="00E46D41" w:rsidRDefault="00D75790" w:rsidP="00D75790">
      <w:pPr>
        <w:spacing w:before="100" w:beforeAutospacing="1" w:after="119"/>
        <w:ind w:left="1416"/>
        <w:contextualSpacing/>
        <w:jc w:val="both"/>
        <w:rPr>
          <w:rFonts w:ascii="Arial" w:hAnsi="Arial" w:cs="Arial"/>
          <w:color w:val="000000"/>
          <w:sz w:val="18"/>
          <w:szCs w:val="22"/>
          <w:lang w:val="es-ES_tradnl" w:eastAsia="es-CO"/>
        </w:rPr>
      </w:pPr>
      <w:r w:rsidRPr="00E46D41">
        <w:rPr>
          <w:rFonts w:ascii="Arial" w:hAnsi="Arial" w:cs="Arial"/>
          <w:color w:val="000000"/>
          <w:sz w:val="18"/>
          <w:szCs w:val="22"/>
          <w:lang w:val="es-ES_tradnl" w:eastAsia="es-CO"/>
        </w:rPr>
        <w:t>“</w:t>
      </w:r>
      <w:r w:rsidRPr="00E46D41">
        <w:rPr>
          <w:rFonts w:ascii="Arial" w:hAnsi="Arial" w:cs="Arial"/>
          <w:i/>
          <w:color w:val="000000"/>
          <w:sz w:val="18"/>
          <w:szCs w:val="22"/>
          <w:lang w:val="es-ES_tradnl" w:eastAsia="es-CO"/>
        </w:rPr>
        <w:t>[…]</w:t>
      </w:r>
      <w:r w:rsidRPr="00E46D41">
        <w:rPr>
          <w:rFonts w:ascii="Arial" w:hAnsi="Arial" w:cs="Arial"/>
          <w:color w:val="000000"/>
          <w:sz w:val="18"/>
          <w:szCs w:val="22"/>
          <w:lang w:val="es-ES_tradnl" w:eastAsia="es-CO"/>
        </w:rPr>
        <w:t xml:space="preserve"> </w:t>
      </w:r>
      <w:r w:rsidRPr="00E46D41">
        <w:rPr>
          <w:rFonts w:ascii="Arial" w:hAnsi="Arial" w:cs="Arial"/>
          <w:i/>
          <w:iCs/>
          <w:color w:val="000000"/>
          <w:sz w:val="18"/>
          <w:szCs w:val="22"/>
          <w:lang w:val="es-ES_tradnl" w:eastAsia="es-CO"/>
        </w:rPr>
        <w:t xml:space="preserve">Los factores de aporte solidario para los servicios públicos de acueducto, alcantarillado y aseo a que hace referencia el artículo 2 de la Ley 632 de 2000 serán como </w:t>
      </w:r>
      <w:r w:rsidRPr="00E46D41">
        <w:rPr>
          <w:rFonts w:ascii="Arial" w:hAnsi="Arial" w:cs="Arial"/>
          <w:b/>
          <w:bCs/>
          <w:i/>
          <w:iCs/>
          <w:color w:val="000000"/>
          <w:sz w:val="18"/>
          <w:szCs w:val="22"/>
          <w:lang w:val="es-ES_tradnl" w:eastAsia="es-CO"/>
        </w:rPr>
        <w:t>mínimo</w:t>
      </w:r>
      <w:r w:rsidRPr="00E46D41">
        <w:rPr>
          <w:rFonts w:ascii="Arial" w:hAnsi="Arial" w:cs="Arial"/>
          <w:i/>
          <w:iCs/>
          <w:color w:val="000000"/>
          <w:sz w:val="18"/>
          <w:szCs w:val="22"/>
          <w:lang w:val="es-ES_tradnl" w:eastAsia="es-CO"/>
        </w:rPr>
        <w:t xml:space="preserve"> los siguientes: Suscriptores Residenciales de estrato 5: cincuenta por ciento (50 %); Suscriptores Residenciales de estrato 6: sesenta por ciento (60 %); Suscriptores Comerciales: cincuenta por ciento (50 %); Suscriptores Industriales: treinta por ciento (30%)”</w:t>
      </w:r>
      <w:r w:rsidRPr="00E46D41">
        <w:rPr>
          <w:rFonts w:ascii="Arial" w:hAnsi="Arial" w:cs="Arial"/>
          <w:color w:val="000000"/>
          <w:sz w:val="18"/>
          <w:szCs w:val="22"/>
          <w:lang w:val="es-ES_tradnl" w:eastAsia="es-CO"/>
        </w:rPr>
        <w:t>.</w:t>
      </w:r>
    </w:p>
    <w:p w:rsidR="00D75790" w:rsidRDefault="00D75790" w:rsidP="00D75790">
      <w:pPr>
        <w:contextualSpacing/>
        <w:jc w:val="both"/>
        <w:rPr>
          <w:rFonts w:ascii="Arial" w:hAnsi="Arial" w:cs="Arial"/>
          <w:b/>
          <w:bCs/>
          <w:sz w:val="22"/>
          <w:szCs w:val="22"/>
          <w:lang w:val="es-ES_tradnl"/>
        </w:rPr>
      </w:pPr>
    </w:p>
    <w:p w:rsidR="00D75790" w:rsidRDefault="00D75790" w:rsidP="00D75790">
      <w:pPr>
        <w:contextualSpacing/>
        <w:jc w:val="both"/>
        <w:rPr>
          <w:rFonts w:ascii="Arial" w:hAnsi="Arial" w:cs="Arial"/>
          <w:sz w:val="22"/>
          <w:szCs w:val="22"/>
          <w:lang w:val="es-ES_tradnl"/>
        </w:rPr>
      </w:pPr>
      <w:r w:rsidRPr="00C814FB">
        <w:rPr>
          <w:rFonts w:ascii="Arial" w:hAnsi="Arial" w:cs="Arial"/>
          <w:sz w:val="22"/>
          <w:szCs w:val="22"/>
          <w:lang w:val="es-ES_tradnl"/>
        </w:rPr>
        <w:lastRenderedPageBreak/>
        <w:t>Por un lado, l</w:t>
      </w:r>
      <w:r w:rsidRPr="00DC371E">
        <w:rPr>
          <w:rFonts w:ascii="Arial" w:hAnsi="Arial" w:cs="Arial"/>
          <w:sz w:val="22"/>
          <w:szCs w:val="22"/>
          <w:lang w:val="es-ES_tradnl"/>
        </w:rPr>
        <w:t>os porcentajes de contribución</w:t>
      </w:r>
      <w:r>
        <w:rPr>
          <w:rFonts w:ascii="Arial" w:hAnsi="Arial" w:cs="Arial"/>
          <w:sz w:val="22"/>
          <w:szCs w:val="22"/>
          <w:lang w:val="es-ES_tradnl"/>
        </w:rPr>
        <w:t xml:space="preserve"> para los servicios de Acueducto y Alcantarillado, de acuerdo con Ordenanza 015 de 2019, </w:t>
      </w:r>
      <w:r w:rsidRPr="00DC371E">
        <w:rPr>
          <w:rFonts w:ascii="Arial" w:hAnsi="Arial" w:cs="Arial"/>
          <w:sz w:val="22"/>
          <w:szCs w:val="22"/>
          <w:lang w:val="es-ES_tradnl"/>
        </w:rPr>
        <w:t>están por debajo de los mínimos establecidos en el artículo 125 de la Ley 1450 de 2011.</w:t>
      </w:r>
      <w:r>
        <w:rPr>
          <w:rFonts w:ascii="Arial" w:hAnsi="Arial" w:cs="Arial"/>
          <w:sz w:val="22"/>
          <w:szCs w:val="22"/>
          <w:lang w:val="es-ES_tradnl"/>
        </w:rPr>
        <w:t xml:space="preserve"> La contribución solidaria para los usuarios residenciales de estratos 5 y 6 y de usos industrial y comercial es apenas del 25 %.</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center"/>
        <w:rPr>
          <w:rFonts w:ascii="Arial" w:hAnsi="Arial" w:cs="Arial"/>
          <w:sz w:val="22"/>
          <w:szCs w:val="22"/>
          <w:lang w:val="es-ES_tradnl"/>
        </w:rPr>
      </w:pPr>
      <w:r>
        <w:rPr>
          <w:rFonts w:ascii="Arial" w:hAnsi="Arial" w:cs="Arial"/>
          <w:sz w:val="22"/>
          <w:szCs w:val="22"/>
          <w:lang w:val="es-ES_tradnl"/>
        </w:rPr>
        <w:t>TABLA 32 A. Contribuciones Ordenanza de 2019</w:t>
      </w:r>
    </w:p>
    <w:tbl>
      <w:tblPr>
        <w:tblStyle w:val="Tablaconcuadrcula"/>
        <w:tblW w:w="0" w:type="auto"/>
        <w:jc w:val="center"/>
        <w:tblLook w:val="04A0" w:firstRow="1" w:lastRow="0" w:firstColumn="1" w:lastColumn="0" w:noHBand="0" w:noVBand="1"/>
      </w:tblPr>
      <w:tblGrid>
        <w:gridCol w:w="2392"/>
        <w:gridCol w:w="2393"/>
        <w:gridCol w:w="2393"/>
      </w:tblGrid>
      <w:tr w:rsidR="00D75790" w:rsidRPr="00BA52C7" w:rsidTr="00695E54">
        <w:trPr>
          <w:trHeight w:val="564"/>
          <w:jc w:val="center"/>
        </w:trPr>
        <w:tc>
          <w:tcPr>
            <w:tcW w:w="2392" w:type="dxa"/>
            <w:shd w:val="clear" w:color="auto" w:fill="DBE5F1" w:themeFill="accent1" w:themeFillTint="33"/>
          </w:tcPr>
          <w:p w:rsidR="00D75790" w:rsidRPr="00720E0E" w:rsidRDefault="00D75790" w:rsidP="00695E54">
            <w:pPr>
              <w:contextualSpacing/>
              <w:jc w:val="center"/>
              <w:rPr>
                <w:rFonts w:ascii="Arial" w:hAnsi="Arial" w:cs="Arial"/>
                <w:b/>
                <w:bCs/>
                <w:sz w:val="20"/>
                <w:szCs w:val="20"/>
                <w:lang w:val="es-ES_tradnl"/>
              </w:rPr>
            </w:pPr>
            <w:r w:rsidRPr="00720E0E">
              <w:rPr>
                <w:rFonts w:ascii="Arial" w:hAnsi="Arial" w:cs="Arial"/>
                <w:b/>
                <w:bCs/>
                <w:sz w:val="20"/>
                <w:szCs w:val="20"/>
                <w:lang w:val="es-ES_tradnl"/>
              </w:rPr>
              <w:t>Usos</w:t>
            </w:r>
          </w:p>
        </w:tc>
        <w:tc>
          <w:tcPr>
            <w:tcW w:w="2393" w:type="dxa"/>
            <w:shd w:val="clear" w:color="auto" w:fill="DBE5F1" w:themeFill="accent1" w:themeFillTint="33"/>
          </w:tcPr>
          <w:p w:rsidR="00D75790" w:rsidRPr="00720E0E" w:rsidRDefault="00D75790" w:rsidP="00695E54">
            <w:pPr>
              <w:contextualSpacing/>
              <w:jc w:val="center"/>
              <w:rPr>
                <w:rFonts w:ascii="Arial" w:hAnsi="Arial" w:cs="Arial"/>
                <w:b/>
                <w:bCs/>
                <w:sz w:val="20"/>
                <w:szCs w:val="20"/>
                <w:lang w:val="es-ES_tradnl"/>
              </w:rPr>
            </w:pPr>
            <w:r w:rsidRPr="00720E0E">
              <w:rPr>
                <w:rFonts w:ascii="Arial" w:hAnsi="Arial" w:cs="Arial"/>
                <w:b/>
                <w:bCs/>
                <w:sz w:val="20"/>
                <w:szCs w:val="20"/>
                <w:lang w:val="es-ES_tradnl"/>
              </w:rPr>
              <w:t>Ordenanza 015 del 20 de diciembre de 2019. Acueducto y Alcantarillado</w:t>
            </w:r>
          </w:p>
        </w:tc>
        <w:tc>
          <w:tcPr>
            <w:tcW w:w="2393" w:type="dxa"/>
            <w:shd w:val="clear" w:color="auto" w:fill="DBE5F1" w:themeFill="accent1" w:themeFillTint="33"/>
          </w:tcPr>
          <w:p w:rsidR="00D75790" w:rsidRPr="00720E0E" w:rsidRDefault="00D75790" w:rsidP="00695E54">
            <w:pPr>
              <w:contextualSpacing/>
              <w:jc w:val="center"/>
              <w:rPr>
                <w:rFonts w:ascii="Arial" w:hAnsi="Arial" w:cs="Arial"/>
                <w:b/>
                <w:bCs/>
                <w:sz w:val="20"/>
                <w:szCs w:val="20"/>
                <w:lang w:val="es-ES_tradnl"/>
              </w:rPr>
            </w:pPr>
            <w:r w:rsidRPr="00720E0E">
              <w:rPr>
                <w:rFonts w:ascii="Arial" w:hAnsi="Arial" w:cs="Arial"/>
                <w:b/>
                <w:bCs/>
                <w:sz w:val="20"/>
                <w:szCs w:val="20"/>
                <w:lang w:val="es-ES_tradnl"/>
              </w:rPr>
              <w:t>Artículo 125 de la Ley 1450</w:t>
            </w:r>
          </w:p>
          <w:p w:rsidR="00D75790" w:rsidRPr="00720E0E" w:rsidRDefault="00D75790" w:rsidP="00695E54">
            <w:pPr>
              <w:contextualSpacing/>
              <w:jc w:val="center"/>
              <w:rPr>
                <w:rFonts w:ascii="Arial" w:hAnsi="Arial" w:cs="Arial"/>
                <w:b/>
                <w:bCs/>
                <w:sz w:val="20"/>
                <w:szCs w:val="20"/>
                <w:lang w:val="es-ES_tradnl"/>
              </w:rPr>
            </w:pPr>
            <w:r w:rsidRPr="00720E0E">
              <w:rPr>
                <w:rFonts w:ascii="Arial" w:hAnsi="Arial" w:cs="Arial"/>
                <w:b/>
                <w:bCs/>
                <w:sz w:val="20"/>
                <w:szCs w:val="20"/>
                <w:lang w:val="es-ES_tradnl"/>
              </w:rPr>
              <w:t>de 2011</w:t>
            </w:r>
          </w:p>
        </w:tc>
      </w:tr>
      <w:tr w:rsidR="00D75790" w:rsidRPr="00BA52C7" w:rsidTr="00695E54">
        <w:trPr>
          <w:trHeight w:val="184"/>
          <w:jc w:val="center"/>
        </w:trPr>
        <w:tc>
          <w:tcPr>
            <w:tcW w:w="2392" w:type="dxa"/>
            <w:shd w:val="clear" w:color="auto" w:fill="DBE5F1" w:themeFill="accent1" w:themeFillTint="33"/>
          </w:tcPr>
          <w:p w:rsidR="00D75790" w:rsidRPr="00BA52C7" w:rsidRDefault="00D75790" w:rsidP="00695E54">
            <w:pPr>
              <w:contextualSpacing/>
              <w:jc w:val="both"/>
              <w:rPr>
                <w:rFonts w:ascii="Arial" w:hAnsi="Arial" w:cs="Arial"/>
                <w:sz w:val="20"/>
                <w:szCs w:val="20"/>
                <w:lang w:val="es-ES_tradnl"/>
              </w:rPr>
            </w:pPr>
            <w:r w:rsidRPr="00BA52C7">
              <w:rPr>
                <w:rFonts w:ascii="Arial" w:hAnsi="Arial" w:cs="Arial"/>
                <w:sz w:val="20"/>
                <w:szCs w:val="20"/>
                <w:lang w:val="es-ES_tradnl"/>
              </w:rPr>
              <w:t>Residencial Estrato 5</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25%</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50</w:t>
            </w:r>
            <w:r>
              <w:rPr>
                <w:rFonts w:ascii="Arial" w:hAnsi="Arial" w:cs="Arial"/>
                <w:sz w:val="20"/>
                <w:szCs w:val="20"/>
                <w:lang w:val="es-ES_tradnl"/>
              </w:rPr>
              <w:t xml:space="preserve"> </w:t>
            </w:r>
            <w:r w:rsidRPr="00BA52C7">
              <w:rPr>
                <w:rFonts w:ascii="Arial" w:hAnsi="Arial" w:cs="Arial"/>
                <w:sz w:val="20"/>
                <w:szCs w:val="20"/>
                <w:lang w:val="es-ES_tradnl"/>
              </w:rPr>
              <w:t>%</w:t>
            </w:r>
          </w:p>
        </w:tc>
      </w:tr>
      <w:tr w:rsidR="00D75790" w:rsidRPr="00BA52C7" w:rsidTr="00695E54">
        <w:trPr>
          <w:trHeight w:val="184"/>
          <w:jc w:val="center"/>
        </w:trPr>
        <w:tc>
          <w:tcPr>
            <w:tcW w:w="2392" w:type="dxa"/>
            <w:shd w:val="clear" w:color="auto" w:fill="DBE5F1" w:themeFill="accent1" w:themeFillTint="33"/>
          </w:tcPr>
          <w:p w:rsidR="00D75790" w:rsidRPr="00BA52C7" w:rsidRDefault="00D75790" w:rsidP="00695E54">
            <w:pPr>
              <w:contextualSpacing/>
              <w:jc w:val="both"/>
              <w:rPr>
                <w:rFonts w:ascii="Arial" w:hAnsi="Arial" w:cs="Arial"/>
                <w:sz w:val="20"/>
                <w:szCs w:val="20"/>
                <w:lang w:val="es-ES_tradnl"/>
              </w:rPr>
            </w:pPr>
            <w:r w:rsidRPr="00BA52C7">
              <w:rPr>
                <w:rFonts w:ascii="Arial" w:hAnsi="Arial" w:cs="Arial"/>
                <w:sz w:val="20"/>
                <w:szCs w:val="20"/>
                <w:lang w:val="es-ES_tradnl"/>
              </w:rPr>
              <w:t>Residencial Estrato 6</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25%</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60</w:t>
            </w:r>
            <w:r>
              <w:rPr>
                <w:rFonts w:ascii="Arial" w:hAnsi="Arial" w:cs="Arial"/>
                <w:sz w:val="20"/>
                <w:szCs w:val="20"/>
                <w:lang w:val="es-ES_tradnl"/>
              </w:rPr>
              <w:t xml:space="preserve"> </w:t>
            </w:r>
            <w:r w:rsidRPr="00BA52C7">
              <w:rPr>
                <w:rFonts w:ascii="Arial" w:hAnsi="Arial" w:cs="Arial"/>
                <w:sz w:val="20"/>
                <w:szCs w:val="20"/>
                <w:lang w:val="es-ES_tradnl"/>
              </w:rPr>
              <w:t>%</w:t>
            </w:r>
          </w:p>
        </w:tc>
      </w:tr>
      <w:tr w:rsidR="00D75790" w:rsidRPr="00BA52C7" w:rsidTr="00695E54">
        <w:trPr>
          <w:trHeight w:val="184"/>
          <w:jc w:val="center"/>
        </w:trPr>
        <w:tc>
          <w:tcPr>
            <w:tcW w:w="2392" w:type="dxa"/>
            <w:shd w:val="clear" w:color="auto" w:fill="DBE5F1" w:themeFill="accent1" w:themeFillTint="33"/>
          </w:tcPr>
          <w:p w:rsidR="00D75790" w:rsidRPr="00BA52C7" w:rsidRDefault="00D75790" w:rsidP="00695E54">
            <w:pPr>
              <w:contextualSpacing/>
              <w:jc w:val="both"/>
              <w:rPr>
                <w:rFonts w:ascii="Arial" w:hAnsi="Arial" w:cs="Arial"/>
                <w:sz w:val="20"/>
                <w:szCs w:val="20"/>
                <w:lang w:val="es-ES_tradnl"/>
              </w:rPr>
            </w:pPr>
            <w:r w:rsidRPr="00BA52C7">
              <w:rPr>
                <w:rFonts w:ascii="Arial" w:hAnsi="Arial" w:cs="Arial"/>
                <w:sz w:val="20"/>
                <w:szCs w:val="20"/>
                <w:lang w:val="es-ES_tradnl"/>
              </w:rPr>
              <w:t xml:space="preserve">Industrial </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25%</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30</w:t>
            </w:r>
            <w:r>
              <w:rPr>
                <w:rFonts w:ascii="Arial" w:hAnsi="Arial" w:cs="Arial"/>
                <w:sz w:val="20"/>
                <w:szCs w:val="20"/>
                <w:lang w:val="es-ES_tradnl"/>
              </w:rPr>
              <w:t xml:space="preserve"> </w:t>
            </w:r>
            <w:r w:rsidRPr="00BA52C7">
              <w:rPr>
                <w:rFonts w:ascii="Arial" w:hAnsi="Arial" w:cs="Arial"/>
                <w:sz w:val="20"/>
                <w:szCs w:val="20"/>
                <w:lang w:val="es-ES_tradnl"/>
              </w:rPr>
              <w:t>%</w:t>
            </w:r>
          </w:p>
        </w:tc>
      </w:tr>
      <w:tr w:rsidR="00D75790" w:rsidRPr="00BA52C7" w:rsidTr="00695E54">
        <w:trPr>
          <w:trHeight w:val="171"/>
          <w:jc w:val="center"/>
        </w:trPr>
        <w:tc>
          <w:tcPr>
            <w:tcW w:w="2392" w:type="dxa"/>
            <w:shd w:val="clear" w:color="auto" w:fill="DBE5F1" w:themeFill="accent1" w:themeFillTint="33"/>
          </w:tcPr>
          <w:p w:rsidR="00D75790" w:rsidRPr="00BA52C7" w:rsidRDefault="00D75790" w:rsidP="00695E54">
            <w:pPr>
              <w:contextualSpacing/>
              <w:jc w:val="both"/>
              <w:rPr>
                <w:rFonts w:ascii="Arial" w:hAnsi="Arial" w:cs="Arial"/>
                <w:sz w:val="20"/>
                <w:szCs w:val="20"/>
                <w:lang w:val="es-ES_tradnl"/>
              </w:rPr>
            </w:pPr>
            <w:r w:rsidRPr="00BA52C7">
              <w:rPr>
                <w:rFonts w:ascii="Arial" w:hAnsi="Arial" w:cs="Arial"/>
                <w:sz w:val="20"/>
                <w:szCs w:val="20"/>
                <w:lang w:val="es-ES_tradnl"/>
              </w:rPr>
              <w:t>Comercial</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25%</w:t>
            </w:r>
          </w:p>
        </w:tc>
        <w:tc>
          <w:tcPr>
            <w:tcW w:w="2393" w:type="dxa"/>
            <w:shd w:val="clear" w:color="auto" w:fill="DBE5F1" w:themeFill="accent1" w:themeFillTint="33"/>
          </w:tcPr>
          <w:p w:rsidR="00D75790" w:rsidRPr="00BA52C7" w:rsidRDefault="00D75790" w:rsidP="00695E54">
            <w:pPr>
              <w:contextualSpacing/>
              <w:jc w:val="center"/>
              <w:rPr>
                <w:rFonts w:ascii="Arial" w:hAnsi="Arial" w:cs="Arial"/>
                <w:sz w:val="20"/>
                <w:szCs w:val="20"/>
                <w:lang w:val="es-ES_tradnl"/>
              </w:rPr>
            </w:pPr>
            <w:r w:rsidRPr="00BA52C7">
              <w:rPr>
                <w:rFonts w:ascii="Arial" w:hAnsi="Arial" w:cs="Arial"/>
                <w:sz w:val="20"/>
                <w:szCs w:val="20"/>
                <w:lang w:val="es-ES_tradnl"/>
              </w:rPr>
              <w:t>50</w:t>
            </w:r>
            <w:r>
              <w:rPr>
                <w:rFonts w:ascii="Arial" w:hAnsi="Arial" w:cs="Arial"/>
                <w:sz w:val="20"/>
                <w:szCs w:val="20"/>
                <w:lang w:val="es-ES_tradnl"/>
              </w:rPr>
              <w:t xml:space="preserve"> </w:t>
            </w:r>
            <w:r w:rsidRPr="00BA52C7">
              <w:rPr>
                <w:rFonts w:ascii="Arial" w:hAnsi="Arial" w:cs="Arial"/>
                <w:sz w:val="20"/>
                <w:szCs w:val="20"/>
                <w:lang w:val="es-ES_tradnl"/>
              </w:rPr>
              <w:t>%</w:t>
            </w:r>
          </w:p>
        </w:tc>
      </w:tr>
    </w:tbl>
    <w:p w:rsidR="00D75790" w:rsidRPr="00DC371E" w:rsidRDefault="00D75790" w:rsidP="00D75790">
      <w:pPr>
        <w:contextualSpacing/>
        <w:jc w:val="both"/>
        <w:rPr>
          <w:rFonts w:ascii="Arial" w:hAnsi="Arial" w:cs="Arial"/>
          <w:sz w:val="22"/>
          <w:szCs w:val="22"/>
          <w:lang w:val="es-ES_tradnl"/>
        </w:rPr>
      </w:pPr>
    </w:p>
    <w:p w:rsidR="00D75790" w:rsidRDefault="00D75790" w:rsidP="00D75790">
      <w:pPr>
        <w:spacing w:before="100" w:beforeAutospacing="1" w:after="119"/>
        <w:contextualSpacing/>
        <w:jc w:val="both"/>
        <w:rPr>
          <w:rFonts w:ascii="Arial" w:hAnsi="Arial" w:cs="Arial"/>
          <w:sz w:val="22"/>
          <w:szCs w:val="22"/>
          <w:lang w:val="es-ES_tradnl"/>
        </w:rPr>
      </w:pPr>
      <w:r>
        <w:rPr>
          <w:rFonts w:ascii="Arial" w:hAnsi="Arial" w:cs="Arial"/>
          <w:sz w:val="22"/>
          <w:szCs w:val="22"/>
          <w:lang w:val="es-ES_tradnl"/>
        </w:rPr>
        <w:t>Por otro lado, l</w:t>
      </w:r>
      <w:r w:rsidRPr="00D5125F">
        <w:rPr>
          <w:rFonts w:ascii="Arial" w:hAnsi="Arial" w:cs="Arial"/>
          <w:sz w:val="22"/>
          <w:szCs w:val="22"/>
          <w:lang w:val="es-ES_tradnl"/>
        </w:rPr>
        <w:t xml:space="preserve">a Ordenanza 015 del 20 de diciembre de 2019, no estableció los porcentajes de la contribución solidaria para la prestación del </w:t>
      </w:r>
      <w:r>
        <w:rPr>
          <w:rFonts w:ascii="Arial" w:hAnsi="Arial" w:cs="Arial"/>
          <w:sz w:val="22"/>
          <w:szCs w:val="22"/>
          <w:lang w:val="es-ES_tradnl"/>
        </w:rPr>
        <w:t>S</w:t>
      </w:r>
      <w:r w:rsidRPr="00D5125F">
        <w:rPr>
          <w:rFonts w:ascii="Arial" w:hAnsi="Arial" w:cs="Arial"/>
          <w:sz w:val="22"/>
          <w:szCs w:val="22"/>
          <w:lang w:val="es-ES_tradnl"/>
        </w:rPr>
        <w:t xml:space="preserve">ervicio de </w:t>
      </w:r>
      <w:r>
        <w:rPr>
          <w:rFonts w:ascii="Arial" w:hAnsi="Arial" w:cs="Arial"/>
          <w:sz w:val="22"/>
          <w:szCs w:val="22"/>
          <w:lang w:val="es-ES_tradnl"/>
        </w:rPr>
        <w:t>A</w:t>
      </w:r>
      <w:r w:rsidRPr="00D5125F">
        <w:rPr>
          <w:rFonts w:ascii="Arial" w:hAnsi="Arial" w:cs="Arial"/>
          <w:sz w:val="22"/>
          <w:szCs w:val="22"/>
          <w:lang w:val="es-ES_tradnl"/>
        </w:rPr>
        <w:t>seo, en los predios de uso residencial de estratos 5 y 6</w:t>
      </w:r>
      <w:r>
        <w:rPr>
          <w:rFonts w:ascii="Arial" w:hAnsi="Arial" w:cs="Arial"/>
          <w:sz w:val="22"/>
          <w:szCs w:val="22"/>
          <w:lang w:val="es-ES_tradnl"/>
        </w:rPr>
        <w:t xml:space="preserve"> y de usos industrial y comercial </w:t>
      </w:r>
      <w:r w:rsidRPr="00D5125F">
        <w:rPr>
          <w:rFonts w:ascii="Arial" w:hAnsi="Arial" w:cs="Arial"/>
          <w:sz w:val="22"/>
          <w:szCs w:val="22"/>
          <w:lang w:val="es-ES_tradnl"/>
        </w:rPr>
        <w:t>ni en los predios de uso comercial ni industrial.</w:t>
      </w:r>
    </w:p>
    <w:p w:rsidR="00D75790" w:rsidRPr="00D5125F" w:rsidRDefault="00D75790" w:rsidP="00D75790">
      <w:pPr>
        <w:spacing w:before="100" w:beforeAutospacing="1" w:after="119"/>
        <w:contextualSpacing/>
        <w:jc w:val="both"/>
        <w:rPr>
          <w:rFonts w:ascii="Arial" w:hAnsi="Arial" w:cs="Arial"/>
          <w:color w:val="000000"/>
          <w:sz w:val="22"/>
          <w:szCs w:val="22"/>
          <w:lang w:val="es-ES_tradnl" w:eastAsia="es-CO"/>
        </w:rPr>
      </w:pPr>
    </w:p>
    <w:p w:rsidR="00D75790" w:rsidRDefault="00D75790" w:rsidP="00D75790">
      <w:pPr>
        <w:contextualSpacing/>
        <w:jc w:val="both"/>
        <w:rPr>
          <w:rFonts w:ascii="Arial" w:hAnsi="Arial" w:cs="Arial"/>
          <w:sz w:val="22"/>
          <w:szCs w:val="22"/>
          <w:lang w:val="es-ES_tradnl"/>
        </w:rPr>
      </w:pPr>
      <w:r>
        <w:rPr>
          <w:rFonts w:ascii="Arial" w:hAnsi="Arial" w:cs="Arial"/>
          <w:sz w:val="22"/>
          <w:szCs w:val="22"/>
          <w:lang w:val="es-ES_tradnl"/>
        </w:rPr>
        <w:t xml:space="preserve">Teniendo en cuenta lo anterior, </w:t>
      </w:r>
      <w:r w:rsidRPr="00DC371E">
        <w:rPr>
          <w:rFonts w:ascii="Arial" w:hAnsi="Arial" w:cs="Arial"/>
          <w:sz w:val="22"/>
          <w:szCs w:val="22"/>
          <w:lang w:val="es-ES_tradnl"/>
        </w:rPr>
        <w:t>la Entidad Territorial no acató las condiciones para la focalización del gasto social, establecidas en la Ley 1450 de 2011 relacionada con los límites de asignaciones de subsidios, ni la Ley 632 de 2000 en lo pertinente a las contribuciones solidarias para los Servicios Públicos de Acueducto, Alcantarillado y Aseo.</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sidRPr="007F1E64">
        <w:rPr>
          <w:rFonts w:ascii="Arial" w:hAnsi="Arial" w:cs="Arial"/>
          <w:sz w:val="22"/>
          <w:szCs w:val="22"/>
          <w:lang w:val="es-ES_tradnl"/>
        </w:rPr>
        <w:t>En la Constitución de 1991, los servicios públicos se caracterizan por tener una connotación eminentemente social, en tanto que pretenden el bienestar y mejoramiento de la calidad de vida de las personas y por ello su prestación debe ser eficiente. Los servicios públicos como instancia y técnica de legitimación no son fruto de la decisión discrecional del poder público sino aplicación concreta del principio fundamental de la solidaridad social (CP arts. </w:t>
      </w:r>
      <w:hyperlink r:id="rId37" w:anchor="1" w:tgtFrame="_blank" w:history="1">
        <w:r w:rsidRPr="003A1945">
          <w:rPr>
            <w:rFonts w:ascii="Arial" w:hAnsi="Arial" w:cs="Arial"/>
            <w:sz w:val="22"/>
            <w:szCs w:val="22"/>
            <w:lang w:val="es-ES_tradnl"/>
          </w:rPr>
          <w:t>1</w:t>
        </w:r>
      </w:hyperlink>
      <w:r w:rsidRPr="007F1E64">
        <w:rPr>
          <w:rFonts w:ascii="Arial" w:hAnsi="Arial" w:cs="Arial"/>
          <w:sz w:val="22"/>
          <w:szCs w:val="22"/>
          <w:lang w:val="es-ES_tradnl"/>
        </w:rPr>
        <w:t> y </w:t>
      </w:r>
      <w:hyperlink r:id="rId38" w:anchor="2" w:tgtFrame="_blank" w:history="1">
        <w:r w:rsidRPr="003A1945">
          <w:rPr>
            <w:rFonts w:ascii="Arial" w:hAnsi="Arial" w:cs="Arial"/>
            <w:sz w:val="22"/>
            <w:szCs w:val="22"/>
            <w:lang w:val="es-ES_tradnl"/>
          </w:rPr>
          <w:t>2</w:t>
        </w:r>
      </w:hyperlink>
      <w:r w:rsidRPr="007F1E64">
        <w:rPr>
          <w:rFonts w:ascii="Arial" w:hAnsi="Arial" w:cs="Arial"/>
          <w:sz w:val="22"/>
          <w:szCs w:val="22"/>
          <w:lang w:val="es-ES_tradnl"/>
        </w:rPr>
        <w:t>). A través de la noción de servicio público el Estado tiene el principal instrumento para alcanzar la justicia social y promover condiciones de igualdad real y efectiva. Su prestación comporta una transferencia de bienes económicos y sociales con base en el principio de justicia redistributiva que, mediante el pago discriminado de los servicios públicos según estratos y en función de la capacidad económica del usuario, permite un cubrimiento a sectores marginados que, en otras circunstancias, no tendrían acceso a los beneficios del desarrollo económico.</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Pr>
          <w:rFonts w:ascii="Arial" w:hAnsi="Arial" w:cs="Arial"/>
          <w:sz w:val="22"/>
          <w:szCs w:val="22"/>
          <w:lang w:val="es-ES_tradnl"/>
        </w:rPr>
        <w:t>La correcta asignación de subsidios y contribuciones obedece a los principios de solidaridad y redistribución del ingreso establecidos en el régimen de servicios públicos. Esta asignación, debe provenir de un ejercicio técnico, sectorial y financiero en el que se incluyan, entre otros aspectos, las proyecciones de la cantidad de los usuarios y de los recursos que se recaudarán por concepto de contribuciones solidarias y los recursos para financiar el déficit en subsidios, con base en una herramienta de focalización del gasto social.</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r>
        <w:rPr>
          <w:rFonts w:ascii="Arial" w:hAnsi="Arial" w:cs="Arial"/>
          <w:sz w:val="22"/>
          <w:szCs w:val="22"/>
          <w:lang w:val="es-ES_tradnl"/>
        </w:rPr>
        <w:lastRenderedPageBreak/>
        <w:t xml:space="preserve">Se pone en riesgo el uso del recurso del SGP APSB al no asignar de manera adecuada los porcentajes de subsidios a </w:t>
      </w:r>
      <w:r w:rsidRPr="00DC371E">
        <w:rPr>
          <w:rFonts w:ascii="Arial" w:hAnsi="Arial" w:cs="Arial"/>
          <w:sz w:val="22"/>
          <w:szCs w:val="22"/>
          <w:lang w:val="es-ES_tradnl"/>
        </w:rPr>
        <w:t>los usuarios residenciales que se encuentran en condición de subsidiaridad</w:t>
      </w:r>
      <w:r>
        <w:rPr>
          <w:rFonts w:ascii="Arial" w:hAnsi="Arial" w:cs="Arial"/>
          <w:sz w:val="22"/>
          <w:szCs w:val="22"/>
          <w:lang w:val="es-ES_tradnl"/>
        </w:rPr>
        <w:t xml:space="preserve"> y no estableciendo de forma correcta los porcentajes de contribuciones solidarias que deben aportar los usuarios residenciales de estratos 5 y 6 ni los de usos industriales y comerciales, efectuando un desequilibrio en el balance del esquema solidario que trae como consecuencia una a</w:t>
      </w:r>
      <w:r w:rsidRPr="00DC371E">
        <w:rPr>
          <w:rFonts w:ascii="Arial" w:hAnsi="Arial" w:cs="Arial"/>
          <w:sz w:val="22"/>
          <w:szCs w:val="22"/>
          <w:lang w:val="es-ES_tradnl"/>
        </w:rPr>
        <w:t>signa</w:t>
      </w:r>
      <w:r>
        <w:rPr>
          <w:rFonts w:ascii="Arial" w:hAnsi="Arial" w:cs="Arial"/>
          <w:sz w:val="22"/>
          <w:szCs w:val="22"/>
          <w:lang w:val="es-ES_tradnl"/>
        </w:rPr>
        <w:t>ción</w:t>
      </w:r>
      <w:r w:rsidRPr="00DC371E">
        <w:rPr>
          <w:rFonts w:ascii="Arial" w:hAnsi="Arial" w:cs="Arial"/>
          <w:sz w:val="22"/>
          <w:szCs w:val="22"/>
          <w:lang w:val="es-ES_tradnl"/>
        </w:rPr>
        <w:t xml:space="preserve"> ineficiente</w:t>
      </w:r>
      <w:r>
        <w:rPr>
          <w:rFonts w:ascii="Arial" w:hAnsi="Arial" w:cs="Arial"/>
          <w:sz w:val="22"/>
          <w:szCs w:val="22"/>
          <w:lang w:val="es-ES_tradnl"/>
        </w:rPr>
        <w:t xml:space="preserve"> del SGP APSB en la que San Andrés y Providencia  tendrá que comprometer una mayor cantidad de recursos,  para el pago de los subsidios de los servicios públicos domiciliarios de acueducto, alcantarillado y aseo.</w:t>
      </w:r>
    </w:p>
    <w:p w:rsidR="00D75790" w:rsidRDefault="00D75790" w:rsidP="00D75790">
      <w:pPr>
        <w:contextualSpacing/>
        <w:jc w:val="both"/>
        <w:rPr>
          <w:rFonts w:ascii="Arial" w:hAnsi="Arial" w:cs="Arial"/>
          <w:sz w:val="22"/>
          <w:szCs w:val="22"/>
          <w:lang w:val="es-ES_tradnl"/>
        </w:rPr>
      </w:pPr>
    </w:p>
    <w:p w:rsidR="00D75790"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sz w:val="22"/>
          <w:szCs w:val="22"/>
          <w:lang w:val="es-ES_tradnl"/>
        </w:rPr>
      </w:pPr>
    </w:p>
    <w:p w:rsidR="00D75790" w:rsidRDefault="00D75790" w:rsidP="00D75790">
      <w:pPr>
        <w:shd w:val="clear" w:color="auto" w:fill="FFFFFF"/>
        <w:ind w:left="66"/>
        <w:contextualSpacing/>
        <w:jc w:val="both"/>
        <w:rPr>
          <w:rFonts w:ascii="Arial" w:hAnsi="Arial" w:cs="Arial"/>
          <w:b/>
          <w:color w:val="000000"/>
          <w:sz w:val="22"/>
          <w:szCs w:val="22"/>
          <w:lang w:val="es-ES_tradnl" w:eastAsia="es-CO"/>
        </w:rPr>
      </w:pPr>
      <w:r w:rsidRPr="00DC371E">
        <w:rPr>
          <w:rFonts w:ascii="Arial" w:hAnsi="Arial" w:cs="Arial"/>
          <w:b/>
          <w:color w:val="000000"/>
          <w:sz w:val="22"/>
          <w:szCs w:val="22"/>
          <w:lang w:val="es-ES_tradnl" w:eastAsia="es-CO"/>
        </w:rPr>
        <w:t xml:space="preserve">EVIDENCIAS: </w:t>
      </w:r>
    </w:p>
    <w:p w:rsidR="00D75790" w:rsidRDefault="00D75790" w:rsidP="00D75790">
      <w:pPr>
        <w:shd w:val="clear" w:color="auto" w:fill="FFFFFF"/>
        <w:ind w:left="66"/>
        <w:contextualSpacing/>
        <w:jc w:val="both"/>
        <w:rPr>
          <w:rFonts w:ascii="Arial" w:hAnsi="Arial" w:cs="Arial"/>
          <w:b/>
          <w:color w:val="000000"/>
          <w:sz w:val="22"/>
          <w:szCs w:val="22"/>
          <w:lang w:val="es-ES_tradnl" w:eastAsia="es-CO"/>
        </w:rPr>
      </w:pPr>
    </w:p>
    <w:p w:rsidR="00D75790" w:rsidRDefault="00D75790" w:rsidP="00D75790">
      <w:pPr>
        <w:shd w:val="clear" w:color="auto" w:fill="FFFFFF"/>
        <w:contextualSpacing/>
        <w:jc w:val="both"/>
        <w:rPr>
          <w:rFonts w:ascii="Arial" w:hAnsi="Arial" w:cs="Arial"/>
          <w:b/>
          <w:color w:val="000000"/>
          <w:sz w:val="22"/>
          <w:szCs w:val="22"/>
          <w:lang w:val="es-ES_tradnl" w:eastAsia="es-CO"/>
        </w:rPr>
      </w:pPr>
      <w:r w:rsidRPr="00D64AD1">
        <w:rPr>
          <w:rFonts w:ascii="Arial" w:hAnsi="Arial" w:cs="Arial"/>
          <w:sz w:val="22"/>
          <w:szCs w:val="22"/>
          <w:lang w:val="es-ES_tradnl"/>
        </w:rPr>
        <w:t>Obra en el expediente digital en el Sistema de Información Electrónica Documental- SIED del Ministerio de Hacienda y Crédito Público número 20/2021/D028-PREDI, el siguiente material probatorio</w:t>
      </w:r>
      <w:r>
        <w:rPr>
          <w:rFonts w:ascii="Arial" w:hAnsi="Arial" w:cs="Arial"/>
          <w:sz w:val="22"/>
          <w:szCs w:val="22"/>
          <w:lang w:val="es-ES_tradnl"/>
        </w:rPr>
        <w:t>. 1. Ordenanza 015 de 2019. 2. Informe Diagnostico MVCT.</w:t>
      </w:r>
    </w:p>
    <w:p w:rsidR="00D75790" w:rsidRPr="00DC371E" w:rsidRDefault="00D75790" w:rsidP="00D75790">
      <w:pPr>
        <w:shd w:val="clear" w:color="auto" w:fill="FFFFFF"/>
        <w:ind w:left="66"/>
        <w:contextualSpacing/>
        <w:jc w:val="both"/>
        <w:rPr>
          <w:rFonts w:ascii="Arial" w:hAnsi="Arial" w:cs="Arial"/>
          <w:b/>
          <w:color w:val="000000"/>
          <w:sz w:val="22"/>
          <w:szCs w:val="22"/>
          <w:lang w:val="es-ES_tradnl" w:eastAsia="es-CO"/>
        </w:rPr>
      </w:pPr>
    </w:p>
    <w:p w:rsidR="00D75790" w:rsidRPr="00DC371E" w:rsidRDefault="00D75790" w:rsidP="00D75790">
      <w:pPr>
        <w:contextualSpacing/>
        <w:jc w:val="both"/>
        <w:rPr>
          <w:rFonts w:ascii="Arial" w:hAnsi="Arial" w:cs="Arial"/>
          <w:bCs/>
          <w:noProof/>
          <w:sz w:val="22"/>
          <w:szCs w:val="22"/>
          <w:lang w:val="es-ES_tradnl"/>
        </w:rPr>
      </w:pPr>
    </w:p>
    <w:p w:rsidR="00D75790" w:rsidRDefault="00D75790" w:rsidP="00D75790">
      <w:pPr>
        <w:pStyle w:val="Prrafodelista"/>
        <w:numPr>
          <w:ilvl w:val="0"/>
          <w:numId w:val="32"/>
        </w:numPr>
        <w:jc w:val="both"/>
        <w:rPr>
          <w:rFonts w:ascii="Arial" w:hAnsi="Arial" w:cs="Arial"/>
          <w:sz w:val="22"/>
          <w:szCs w:val="22"/>
          <w:lang w:val="es-ES_tradnl"/>
        </w:rPr>
      </w:pPr>
      <w:r w:rsidRPr="00F747AE">
        <w:rPr>
          <w:rFonts w:ascii="Arial" w:hAnsi="Arial" w:cs="Arial"/>
          <w:sz w:val="22"/>
          <w:szCs w:val="22"/>
          <w:lang w:val="es-ES_tradnl"/>
        </w:rPr>
        <w:t>Ordenanza 015 de 2019 SUBSIDIOS SERVICIOS PUBLICOS.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F747AE">
        <w:rPr>
          <w:rFonts w:ascii="Arial" w:hAnsi="Arial" w:cs="Arial"/>
          <w:sz w:val="22"/>
          <w:szCs w:val="22"/>
          <w:lang w:val="es-ES_tradnl"/>
        </w:rPr>
        <w:t xml:space="preserve"> 20/2021/D028-PREDI. Radicado N</w:t>
      </w:r>
      <w:r w:rsidRPr="00F747AE">
        <w:rPr>
          <w:rFonts w:ascii="Arial" w:hAnsi="Arial" w:cs="Arial"/>
          <w:sz w:val="22"/>
          <w:szCs w:val="27"/>
          <w:lang w:val="es-ES_tradnl" w:eastAsia="es-CO"/>
        </w:rPr>
        <w:t xml:space="preserve"> </w:t>
      </w:r>
      <w:r w:rsidRPr="00F747AE">
        <w:rPr>
          <w:rFonts w:ascii="Arial" w:hAnsi="Arial" w:cs="Arial"/>
          <w:sz w:val="22"/>
          <w:szCs w:val="22"/>
          <w:lang w:val="es-ES_tradnl"/>
        </w:rPr>
        <w:t>1-2020-019965 de fecha 9 de marzo de 2020.Enlace:</w:t>
      </w:r>
    </w:p>
    <w:p w:rsidR="00D75790" w:rsidRDefault="006E598A" w:rsidP="00D75790">
      <w:pPr>
        <w:pStyle w:val="Prrafodelista"/>
        <w:ind w:left="786"/>
        <w:jc w:val="both"/>
        <w:rPr>
          <w:rFonts w:ascii="Arial" w:hAnsi="Arial" w:cs="Arial"/>
          <w:sz w:val="22"/>
          <w:szCs w:val="22"/>
          <w:lang w:val="es-ES_tradnl"/>
        </w:rPr>
      </w:pPr>
      <w:hyperlink r:id="rId39" w:history="1">
        <w:r w:rsidR="00D75790" w:rsidRPr="00F747AE">
          <w:rPr>
            <w:rStyle w:val="Hipervnculo"/>
            <w:rFonts w:ascii="Arial" w:hAnsi="Arial" w:cs="Arial"/>
            <w:sz w:val="22"/>
            <w:szCs w:val="22"/>
            <w:lang w:val="es-ES_tradnl"/>
          </w:rPr>
          <w:t>http://portalgestiondoc.minhacienda.red/PortalEmpleado/viewer.jsp?config=iQKKdJStabcGWBcqZSCepgLBI0CDhZOEznswK/1aZoj26lTiqdfAjb4rFk4QGh26meKnuBlBCs7Qv1tifjjyZb3/aKGyfIBoo8//hIzCDhPaJvMbGvbC7xS5xaT2MSBARArvV8QuMrWmJqH4BHo/904j+/UeBnhBq4I1/o6nyjN0X/v+5yQ8A5x4/z16UdkZ&amp;guid=6a6645fc17b30e2c3a2-53ce&amp;idrepository=879</w:t>
        </w:r>
      </w:hyperlink>
      <w:r w:rsidR="00D75790" w:rsidRPr="00F747AE">
        <w:rPr>
          <w:rFonts w:ascii="Arial" w:hAnsi="Arial" w:cs="Arial"/>
          <w:sz w:val="22"/>
          <w:szCs w:val="22"/>
          <w:lang w:val="es-ES_tradnl"/>
        </w:rPr>
        <w:t>.</w:t>
      </w:r>
    </w:p>
    <w:p w:rsidR="00D75790" w:rsidRDefault="00D75790" w:rsidP="00D75790">
      <w:pPr>
        <w:pStyle w:val="Prrafodelista"/>
        <w:ind w:left="786"/>
        <w:jc w:val="both"/>
        <w:rPr>
          <w:rFonts w:ascii="Arial" w:hAnsi="Arial" w:cs="Arial"/>
          <w:sz w:val="22"/>
          <w:szCs w:val="22"/>
          <w:lang w:val="es-ES_tradnl"/>
        </w:rPr>
      </w:pPr>
    </w:p>
    <w:p w:rsidR="00D75790" w:rsidRDefault="00D75790" w:rsidP="00D75790">
      <w:pPr>
        <w:pStyle w:val="Prrafodelista"/>
        <w:numPr>
          <w:ilvl w:val="0"/>
          <w:numId w:val="32"/>
        </w:numPr>
        <w:jc w:val="both"/>
        <w:rPr>
          <w:rFonts w:ascii="Arial" w:hAnsi="Arial" w:cs="Arial"/>
          <w:sz w:val="22"/>
          <w:szCs w:val="22"/>
          <w:lang w:val="es-ES_tradnl"/>
        </w:rPr>
      </w:pPr>
      <w:r w:rsidRPr="00AD522D">
        <w:rPr>
          <w:rFonts w:ascii="Arial" w:hAnsi="Arial" w:cs="Arial"/>
          <w:sz w:val="22"/>
          <w:szCs w:val="22"/>
          <w:lang w:val="es-ES_tradnl"/>
        </w:rPr>
        <w:t xml:space="preserve"> </w:t>
      </w:r>
      <w:bookmarkEnd w:id="4"/>
      <w:r w:rsidRPr="00AD522D">
        <w:rPr>
          <w:rFonts w:ascii="Arial" w:hAnsi="Arial" w:cs="Arial"/>
          <w:sz w:val="22"/>
          <w:szCs w:val="22"/>
          <w:lang w:val="es-ES_tradnl"/>
        </w:rPr>
        <w:t>Oficio MVCT 2021EE0036676 con informe de monitoreo SAI. Cleaned.pdf.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AD522D">
        <w:rPr>
          <w:rFonts w:ascii="Arial" w:hAnsi="Arial" w:cs="Arial"/>
          <w:sz w:val="22"/>
          <w:szCs w:val="22"/>
          <w:lang w:val="es-ES_tradnl"/>
        </w:rPr>
        <w:t xml:space="preserve"> 20/2021/D028-PREDI. Radicado N</w:t>
      </w:r>
      <w:r w:rsidR="00E013AF">
        <w:rPr>
          <w:rFonts w:ascii="Arial" w:hAnsi="Arial" w:cs="Arial"/>
          <w:sz w:val="22"/>
          <w:szCs w:val="22"/>
          <w:lang w:val="es-ES_tradnl"/>
        </w:rPr>
        <w:t>o.</w:t>
      </w:r>
      <w:r w:rsidRPr="00AD522D">
        <w:rPr>
          <w:rFonts w:ascii="Arial" w:hAnsi="Arial" w:cs="Arial"/>
          <w:sz w:val="22"/>
          <w:szCs w:val="22"/>
          <w:lang w:val="es-ES_tradnl"/>
        </w:rPr>
        <w:t xml:space="preserve"> 1-2021-046779 del 28 de mayo de 2021. Enlace:</w:t>
      </w:r>
    </w:p>
    <w:p w:rsidR="00D75790" w:rsidRPr="00AD522D" w:rsidRDefault="006E598A" w:rsidP="00D75790">
      <w:pPr>
        <w:pStyle w:val="Prrafodelista"/>
        <w:ind w:left="786"/>
        <w:jc w:val="both"/>
        <w:rPr>
          <w:rFonts w:ascii="Arial" w:hAnsi="Arial" w:cs="Arial"/>
          <w:sz w:val="22"/>
          <w:szCs w:val="22"/>
          <w:lang w:val="es-ES_tradnl"/>
        </w:rPr>
      </w:pPr>
      <w:hyperlink r:id="rId40" w:history="1">
        <w:r w:rsidR="00D75790" w:rsidRPr="00AD522D">
          <w:rPr>
            <w:rStyle w:val="Hipervnculo"/>
            <w:rFonts w:ascii="Arial" w:hAnsi="Arial" w:cs="Arial"/>
            <w:sz w:val="22"/>
            <w:szCs w:val="22"/>
            <w:lang w:val="es-ES_tradnl"/>
          </w:rPr>
          <w: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w:t>
        </w:r>
      </w:hyperlink>
      <w:r w:rsidR="00D75790" w:rsidRPr="00AD522D">
        <w:rPr>
          <w:rFonts w:ascii="Arial" w:hAnsi="Arial" w:cs="Arial"/>
          <w:sz w:val="22"/>
          <w:szCs w:val="22"/>
          <w:lang w:val="es-ES_tradnl"/>
        </w:rPr>
        <w:t xml:space="preserve"> </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i/>
          <w:iCs/>
          <w:sz w:val="22"/>
          <w:szCs w:val="22"/>
        </w:rPr>
      </w:pPr>
      <w:bookmarkStart w:id="5" w:name="_Hlk79475612"/>
      <w:r w:rsidRPr="00DC371E">
        <w:rPr>
          <w:rFonts w:ascii="Arial" w:hAnsi="Arial" w:cs="Arial"/>
          <w:b/>
          <w:bCs/>
          <w:sz w:val="22"/>
          <w:szCs w:val="22"/>
        </w:rPr>
        <w:t>9.17. “</w:t>
      </w:r>
      <w:r w:rsidRPr="00DC371E">
        <w:rPr>
          <w:rFonts w:ascii="Arial" w:hAnsi="Arial" w:cs="Arial"/>
          <w:b/>
          <w:bCs/>
          <w:i/>
          <w:iCs/>
          <w:sz w:val="22"/>
          <w:szCs w:val="22"/>
        </w:rPr>
        <w:t>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p>
    <w:p w:rsidR="00D75790" w:rsidRPr="00DC371E" w:rsidRDefault="00D75790" w:rsidP="00D75790">
      <w:pPr>
        <w:contextualSpacing/>
        <w:jc w:val="both"/>
        <w:rPr>
          <w:rFonts w:ascii="Arial" w:hAnsi="Arial" w:cs="Arial"/>
          <w:b/>
          <w:bCs/>
          <w:sz w:val="22"/>
          <w:szCs w:val="22"/>
        </w:rPr>
      </w:pPr>
    </w:p>
    <w:p w:rsidR="00D75790" w:rsidRPr="00CA3688" w:rsidRDefault="00D75790" w:rsidP="00D75790">
      <w:pPr>
        <w:contextualSpacing/>
        <w:jc w:val="both"/>
        <w:rPr>
          <w:rFonts w:ascii="Arial" w:hAnsi="Arial" w:cs="Arial"/>
        </w:rPr>
      </w:pPr>
      <w:r w:rsidRPr="00CA3688">
        <w:rPr>
          <w:rFonts w:ascii="Arial" w:hAnsi="Arial" w:cs="Arial"/>
          <w:sz w:val="22"/>
          <w:szCs w:val="22"/>
          <w:lang w:val="es-419"/>
        </w:rPr>
        <w:t xml:space="preserve">La estructuración y ejecución del Contrato de </w:t>
      </w:r>
      <w:r>
        <w:rPr>
          <w:rFonts w:ascii="Arial" w:hAnsi="Arial" w:cs="Arial"/>
          <w:sz w:val="22"/>
          <w:szCs w:val="22"/>
          <w:lang w:val="es-419"/>
        </w:rPr>
        <w:t>O</w:t>
      </w:r>
      <w:r w:rsidRPr="00CA3688">
        <w:rPr>
          <w:rFonts w:ascii="Arial" w:hAnsi="Arial" w:cs="Arial"/>
          <w:sz w:val="22"/>
          <w:szCs w:val="22"/>
          <w:lang w:val="es-419"/>
        </w:rPr>
        <w:t xml:space="preserve">peración suscrito entre Aguas de San Andrés S.A. E.S.P. y Proactiva Aguas del Archipiélago S.A. E.S.P, hoy Veolia Aguas del Archipiélago S.A. E.S.P., </w:t>
      </w:r>
      <w:r w:rsidRPr="00CA3688">
        <w:rPr>
          <w:rFonts w:ascii="Arial" w:hAnsi="Arial" w:cs="Arial"/>
          <w:sz w:val="22"/>
          <w:szCs w:val="22"/>
        </w:rPr>
        <w:t xml:space="preserve">tiene por objeto la operación de la infraestructura destinada a la prestación de los </w:t>
      </w:r>
      <w:r>
        <w:rPr>
          <w:rFonts w:ascii="Arial" w:hAnsi="Arial" w:cs="Arial"/>
          <w:sz w:val="22"/>
          <w:szCs w:val="22"/>
        </w:rPr>
        <w:t>S</w:t>
      </w:r>
      <w:r w:rsidRPr="00CA3688">
        <w:rPr>
          <w:rFonts w:ascii="Arial" w:hAnsi="Arial" w:cs="Arial"/>
          <w:sz w:val="22"/>
          <w:szCs w:val="22"/>
        </w:rPr>
        <w:t xml:space="preserve">ervicios </w:t>
      </w:r>
      <w:r>
        <w:rPr>
          <w:rFonts w:ascii="Arial" w:hAnsi="Arial" w:cs="Arial"/>
          <w:sz w:val="22"/>
          <w:szCs w:val="22"/>
        </w:rPr>
        <w:t>P</w:t>
      </w:r>
      <w:r w:rsidRPr="00CA3688">
        <w:rPr>
          <w:rFonts w:ascii="Arial" w:hAnsi="Arial" w:cs="Arial"/>
          <w:sz w:val="22"/>
          <w:szCs w:val="22"/>
        </w:rPr>
        <w:t xml:space="preserve">úblicos de </w:t>
      </w:r>
      <w:r>
        <w:rPr>
          <w:rFonts w:ascii="Arial" w:hAnsi="Arial" w:cs="Arial"/>
          <w:sz w:val="22"/>
          <w:szCs w:val="22"/>
        </w:rPr>
        <w:t>A</w:t>
      </w:r>
      <w:r w:rsidRPr="00CA3688">
        <w:rPr>
          <w:rFonts w:ascii="Arial" w:hAnsi="Arial" w:cs="Arial"/>
          <w:sz w:val="22"/>
          <w:szCs w:val="22"/>
        </w:rPr>
        <w:t xml:space="preserve">cueducto y </w:t>
      </w:r>
      <w:r>
        <w:rPr>
          <w:rFonts w:ascii="Arial" w:hAnsi="Arial" w:cs="Arial"/>
          <w:sz w:val="22"/>
          <w:szCs w:val="22"/>
        </w:rPr>
        <w:t>A</w:t>
      </w:r>
      <w:r w:rsidRPr="00CA3688">
        <w:rPr>
          <w:rFonts w:ascii="Arial" w:hAnsi="Arial" w:cs="Arial"/>
          <w:sz w:val="22"/>
          <w:szCs w:val="22"/>
        </w:rPr>
        <w:t xml:space="preserve">lcantarillado por cuenta y riesgo del contratante, </w:t>
      </w:r>
      <w:r w:rsidRPr="00CA3688">
        <w:rPr>
          <w:rFonts w:ascii="Arial" w:hAnsi="Arial" w:cs="Arial"/>
          <w:sz w:val="22"/>
          <w:szCs w:val="22"/>
          <w:lang w:val="es-419"/>
        </w:rPr>
        <w:t>producto de la intervención realizada por la Superintendencia de Servicios Públicos Domiciliarios establecida en el inciso tercero del numeral 6.4 del artículo 6 de la Ley 142 de 1994</w:t>
      </w:r>
      <w:r w:rsidRPr="00CA3688">
        <w:rPr>
          <w:rStyle w:val="Refdenotaalpie"/>
          <w:rFonts w:ascii="Arial" w:hAnsi="Arial" w:cs="Arial"/>
          <w:sz w:val="22"/>
          <w:szCs w:val="22"/>
          <w:lang w:val="es-419"/>
        </w:rPr>
        <w:footnoteReference w:id="39"/>
      </w:r>
      <w:r w:rsidRPr="00CA3688">
        <w:rPr>
          <w:rFonts w:ascii="Arial" w:hAnsi="Arial" w:cs="Arial"/>
          <w:sz w:val="22"/>
          <w:szCs w:val="22"/>
          <w:lang w:val="es-419"/>
        </w:rPr>
        <w:t>, por un término inicial de 15 años, sobre el cual se han celebrado nueve Otrosí</w:t>
      </w:r>
      <w:r>
        <w:rPr>
          <w:rFonts w:ascii="Arial" w:hAnsi="Arial" w:cs="Arial"/>
          <w:sz w:val="22"/>
          <w:szCs w:val="22"/>
          <w:lang w:val="es-419"/>
        </w:rPr>
        <w:t>es</w:t>
      </w:r>
      <w:r w:rsidRPr="00CA3688">
        <w:rPr>
          <w:rFonts w:ascii="Arial" w:hAnsi="Arial" w:cs="Arial"/>
          <w:sz w:val="22"/>
          <w:szCs w:val="22"/>
          <w:lang w:val="es-419"/>
        </w:rPr>
        <w:t>.</w:t>
      </w:r>
    </w:p>
    <w:p w:rsidR="00D75790" w:rsidRPr="00DC371E" w:rsidRDefault="00D75790" w:rsidP="00D75790">
      <w:pPr>
        <w:contextualSpacing/>
        <w:jc w:val="both"/>
        <w:rPr>
          <w:rFonts w:ascii="Arial" w:hAnsi="Arial" w:cs="Arial"/>
          <w:sz w:val="22"/>
          <w:szCs w:val="22"/>
          <w:lang w:val="es-419"/>
        </w:rPr>
      </w:pPr>
    </w:p>
    <w:p w:rsidR="00D75790" w:rsidRPr="00DC371E" w:rsidRDefault="00D75790" w:rsidP="00D75790">
      <w:pPr>
        <w:contextualSpacing/>
        <w:jc w:val="both"/>
        <w:rPr>
          <w:rFonts w:ascii="Arial" w:hAnsi="Arial" w:cs="Arial"/>
        </w:rPr>
      </w:pPr>
      <w:r w:rsidRPr="00DC371E">
        <w:rPr>
          <w:rFonts w:ascii="Arial" w:hAnsi="Arial" w:cs="Arial"/>
          <w:sz w:val="22"/>
          <w:szCs w:val="22"/>
        </w:rPr>
        <w:t>La Ley 142 de 1994, regula el régimen aplicable a los contratos que se celebren para la prestación de los servicios públicos, en la cual por</w:t>
      </w:r>
      <w:r w:rsidRPr="00DC371E">
        <w:rPr>
          <w:rFonts w:ascii="Arial" w:hAnsi="Arial" w:cs="Arial"/>
          <w:sz w:val="22"/>
          <w:szCs w:val="22"/>
          <w:lang w:val="es-419"/>
        </w:rPr>
        <w:t xml:space="preserve"> disposición expresa del parágrafo del artículo 39 de la Ley 142 de 1994, este tipo de contratos se encuentran sometidos al derecho privado y en virtud del artículo 31 del mismo cuerpo normativo se faculta a la Comisión de Regulación de Agua Potable y Saneamiento Básico a establecer la obligatoriedad de incluir cláusulas excepcionales en los contratos que están sometidos al derecho privado, así como a través del artículo 88 de la misma Ley se establece la obligación de las empresas de servicios públicos de fijar sus tarifas de acuerdo a</w:t>
      </w:r>
      <w:r>
        <w:rPr>
          <w:rFonts w:ascii="Arial" w:hAnsi="Arial" w:cs="Arial"/>
          <w:sz w:val="22"/>
          <w:szCs w:val="22"/>
          <w:lang w:val="es-419"/>
        </w:rPr>
        <w:t xml:space="preserve"> </w:t>
      </w:r>
      <w:r w:rsidRPr="00DC371E">
        <w:rPr>
          <w:rFonts w:ascii="Arial" w:hAnsi="Arial" w:cs="Arial"/>
          <w:sz w:val="22"/>
          <w:szCs w:val="22"/>
          <w:lang w:val="es-419"/>
        </w:rPr>
        <w:t>l</w:t>
      </w:r>
      <w:r>
        <w:rPr>
          <w:rFonts w:ascii="Arial" w:hAnsi="Arial" w:cs="Arial"/>
          <w:sz w:val="22"/>
          <w:szCs w:val="22"/>
          <w:lang w:val="es-419"/>
        </w:rPr>
        <w:t>a</w:t>
      </w:r>
      <w:r w:rsidRPr="00DC371E">
        <w:rPr>
          <w:rFonts w:ascii="Arial" w:hAnsi="Arial" w:cs="Arial"/>
          <w:sz w:val="22"/>
          <w:szCs w:val="22"/>
          <w:lang w:val="es-419"/>
        </w:rPr>
        <w:t xml:space="preserve"> regulación vigente que definan las comisiones de regulación, que para el caso concreto es la Comisión de Regulación de Agua Potable y Saneamiento Básico.</w:t>
      </w:r>
    </w:p>
    <w:p w:rsidR="00D75790" w:rsidRPr="00DC371E" w:rsidRDefault="00D75790" w:rsidP="00D75790">
      <w:pPr>
        <w:contextualSpacing/>
        <w:jc w:val="both"/>
        <w:rPr>
          <w:rFonts w:ascii="Arial" w:hAnsi="Arial" w:cs="Arial"/>
          <w:sz w:val="22"/>
          <w:szCs w:val="22"/>
          <w:lang w:val="es-419"/>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 xml:space="preserve">El </w:t>
      </w:r>
      <w:r>
        <w:rPr>
          <w:rFonts w:ascii="Arial" w:hAnsi="Arial" w:cs="Arial"/>
          <w:sz w:val="22"/>
          <w:szCs w:val="22"/>
          <w:lang w:val="es-419"/>
        </w:rPr>
        <w:t>C</w:t>
      </w:r>
      <w:r w:rsidRPr="00DC371E">
        <w:rPr>
          <w:rFonts w:ascii="Arial" w:hAnsi="Arial" w:cs="Arial"/>
          <w:sz w:val="22"/>
          <w:szCs w:val="22"/>
          <w:lang w:val="es-419"/>
        </w:rPr>
        <w:t>ontrato en mención y sus modificatorios contienen estipulaciones contrarias al régimen aplicable que se expuso en el párrafo que antecede y al ordenamiento jurídico, como se procede a exponer.</w:t>
      </w:r>
    </w:p>
    <w:p w:rsidR="00D75790" w:rsidRPr="00DC371E" w:rsidRDefault="00D75790" w:rsidP="00D75790">
      <w:pPr>
        <w:contextualSpacing/>
        <w:jc w:val="both"/>
        <w:rPr>
          <w:rFonts w:ascii="Arial" w:hAnsi="Arial" w:cs="Arial"/>
          <w:sz w:val="22"/>
          <w:szCs w:val="22"/>
          <w:lang w:val="es-419"/>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En ese sent</w:t>
      </w:r>
      <w:r>
        <w:rPr>
          <w:rFonts w:ascii="Arial" w:hAnsi="Arial" w:cs="Arial"/>
          <w:sz w:val="22"/>
          <w:szCs w:val="22"/>
          <w:lang w:val="es-419"/>
        </w:rPr>
        <w:t>ido mediante el artículo 1.3.3</w:t>
      </w:r>
      <w:r w:rsidRPr="00DC371E">
        <w:rPr>
          <w:rFonts w:ascii="Arial" w:hAnsi="Arial" w:cs="Arial"/>
          <w:sz w:val="22"/>
          <w:szCs w:val="22"/>
          <w:lang w:val="es-419"/>
        </w:rPr>
        <w:t xml:space="preserve"> de la Resolución</w:t>
      </w:r>
      <w:r>
        <w:rPr>
          <w:rFonts w:ascii="Arial" w:hAnsi="Arial" w:cs="Arial"/>
          <w:sz w:val="22"/>
          <w:szCs w:val="22"/>
          <w:lang w:val="es-419"/>
        </w:rPr>
        <w:t xml:space="preserve"> CRA</w:t>
      </w:r>
      <w:r w:rsidRPr="00DC371E">
        <w:rPr>
          <w:rFonts w:ascii="Arial" w:hAnsi="Arial" w:cs="Arial"/>
          <w:sz w:val="22"/>
          <w:szCs w:val="22"/>
          <w:lang w:val="es-419"/>
        </w:rPr>
        <w:t xml:space="preserve"> 151 de 2001, se establece que en los contratos en los que se entregue la operación de los Servicios Públicos Domiciliarios de Acueducto, Alcantarillado y Aseo, se deben pactar dichas cláusulas siempre y cuando la no ejecución del contrato en los términos acordados pueda derivar en una falla en la prestación del servicio y en su artículo 1.3.3.2 establece que entre los antecedentes de los contratos deberá constar la motivación que sustenta la inclusión de dichas cláusulas. Sin embargo, en el </w:t>
      </w:r>
      <w:r>
        <w:rPr>
          <w:rFonts w:ascii="Arial" w:hAnsi="Arial" w:cs="Arial"/>
          <w:sz w:val="22"/>
          <w:szCs w:val="22"/>
          <w:lang w:val="es-419"/>
        </w:rPr>
        <w:t>C</w:t>
      </w:r>
      <w:r w:rsidRPr="00DC371E">
        <w:rPr>
          <w:rFonts w:ascii="Arial" w:hAnsi="Arial" w:cs="Arial"/>
          <w:sz w:val="22"/>
          <w:szCs w:val="22"/>
          <w:lang w:val="es-419"/>
        </w:rPr>
        <w:t>ontrato no se hace alusión a la regulación de la CRA, ni se evidencia motivación para su inclusión, así como tampoco se evidencia su motivación en la invitación para contratar elaborada por la SSPD.</w:t>
      </w:r>
    </w:p>
    <w:p w:rsidR="00D75790" w:rsidRPr="00DC371E" w:rsidRDefault="00D75790" w:rsidP="00D75790">
      <w:pPr>
        <w:contextualSpacing/>
        <w:jc w:val="both"/>
        <w:rPr>
          <w:rFonts w:ascii="Arial" w:hAnsi="Arial" w:cs="Arial"/>
        </w:rPr>
      </w:pPr>
    </w:p>
    <w:p w:rsidR="00D75790" w:rsidRDefault="00D75790" w:rsidP="00D75790">
      <w:pPr>
        <w:jc w:val="both"/>
        <w:rPr>
          <w:rFonts w:ascii="Arial" w:hAnsi="Arial" w:cs="Arial"/>
          <w:sz w:val="22"/>
          <w:szCs w:val="22"/>
          <w:lang w:val="es-ES_tradnl"/>
        </w:rPr>
      </w:pPr>
      <w:r w:rsidRPr="00DC371E">
        <w:rPr>
          <w:rFonts w:ascii="Arial" w:hAnsi="Arial" w:cs="Arial"/>
          <w:sz w:val="22"/>
          <w:szCs w:val="22"/>
          <w:lang w:val="es-419"/>
        </w:rPr>
        <w:t>Igualmente resulta menester indicar, que la obligatoriedad de las cláusulas no genera que se entiendan incorporadas, ya que su obligatoriedad no resulta por ministerio de la ley, sino por el ejercicio de una facultad legal de la CRA, como se expuso en Sentencia de febrero de 2017, de la Sección Tercera del Consejo de Estado dentro del expediente No. 04466 con ponencia del Magistrado Jaime Orlando Santofimio Gamboa, en la que además se insiste en que la inclusión de estas cláusulas</w:t>
      </w:r>
      <w:r>
        <w:rPr>
          <w:rFonts w:ascii="Arial" w:hAnsi="Arial" w:cs="Arial"/>
          <w:sz w:val="22"/>
          <w:szCs w:val="22"/>
          <w:lang w:val="es-419"/>
        </w:rPr>
        <w:t xml:space="preserve"> se justifica </w:t>
      </w:r>
      <w:r>
        <w:rPr>
          <w:rFonts w:ascii="Arial" w:hAnsi="Arial" w:cs="Arial"/>
          <w:i/>
          <w:iCs/>
          <w:sz w:val="22"/>
          <w:szCs w:val="22"/>
          <w:lang w:val="es-ES_tradnl"/>
        </w:rPr>
        <w:t xml:space="preserve">“siempre que su objeto, de no ser cumplido en la forma pactada, pueda traer como consecuencia necesaria y directa la interrupción en la prestación del servicio público domiciliario de acueducto, alcantarillado y </w:t>
      </w:r>
      <w:r>
        <w:rPr>
          <w:rFonts w:ascii="Arial" w:hAnsi="Arial" w:cs="Arial"/>
          <w:i/>
          <w:iCs/>
          <w:sz w:val="22"/>
          <w:szCs w:val="22"/>
          <w:lang w:val="es-ES_tradnl"/>
        </w:rPr>
        <w:lastRenderedPageBreak/>
        <w:t>aseo o la reducción en los niveles de calidad de agua exigidos por las autoridades competentes según la ley”</w:t>
      </w:r>
      <w:r>
        <w:rPr>
          <w:rFonts w:ascii="Arial" w:hAnsi="Arial" w:cs="Arial"/>
          <w:sz w:val="22"/>
          <w:szCs w:val="22"/>
          <w:lang w:val="es-ES_tradnl"/>
        </w:rPr>
        <w:t>.</w:t>
      </w:r>
    </w:p>
    <w:p w:rsidR="00757130" w:rsidRDefault="00757130" w:rsidP="00D75790">
      <w:pPr>
        <w:jc w:val="both"/>
        <w:rPr>
          <w:rFonts w:ascii="Arial" w:hAnsi="Arial" w:cs="Arial"/>
          <w:lang w:val="es-ES_tradn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Así mismo, la inclusión de estas cláusulas genera una desigualdad entre los contratistas</w:t>
      </w:r>
      <w:r>
        <w:rPr>
          <w:rFonts w:ascii="Arial" w:hAnsi="Arial" w:cs="Arial"/>
          <w:sz w:val="22"/>
          <w:szCs w:val="22"/>
          <w:lang w:val="es-419"/>
        </w:rPr>
        <w:t>;</w:t>
      </w:r>
      <w:r w:rsidRPr="00DC371E">
        <w:rPr>
          <w:rFonts w:ascii="Arial" w:hAnsi="Arial" w:cs="Arial"/>
          <w:sz w:val="22"/>
          <w:szCs w:val="22"/>
          <w:lang w:val="es-419"/>
        </w:rPr>
        <w:t xml:space="preserve"> por lo tanto debe establecerse un debido proceso para su aplicación, pese a que el contrato inicialmente suscrito contiene un procedimiento para ello, este depende de la Superintendencia de Servicios Públicos Domiciliarios, pero con la modificación del Otrosí No. 9, en su Cláusula Décimo Quinta se suprime toda intervención de la SSPD en el </w:t>
      </w:r>
      <w:r>
        <w:rPr>
          <w:rFonts w:ascii="Arial" w:hAnsi="Arial" w:cs="Arial"/>
          <w:sz w:val="22"/>
          <w:szCs w:val="22"/>
          <w:lang w:val="es-419"/>
        </w:rPr>
        <w:t>C</w:t>
      </w:r>
      <w:r w:rsidRPr="00DC371E">
        <w:rPr>
          <w:rFonts w:ascii="Arial" w:hAnsi="Arial" w:cs="Arial"/>
          <w:sz w:val="22"/>
          <w:szCs w:val="22"/>
          <w:lang w:val="es-419"/>
        </w:rPr>
        <w:t>ontrato, vaciando el contenido del procedimiento para la aplicación de las cláusulas exorbitantes, lo cual puede derivar en vicios en los actos administrativos que se profieran en su implementación por desconocimiento del debido proceso.</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 xml:space="preserve">En el Otrosí No. 9 se establece la posibilidad de modificar el </w:t>
      </w:r>
      <w:r>
        <w:rPr>
          <w:rFonts w:ascii="Arial" w:hAnsi="Arial" w:cs="Arial"/>
          <w:sz w:val="22"/>
          <w:szCs w:val="22"/>
          <w:lang w:val="es-419"/>
        </w:rPr>
        <w:t>C</w:t>
      </w:r>
      <w:r w:rsidRPr="00DC371E">
        <w:rPr>
          <w:rFonts w:ascii="Arial" w:hAnsi="Arial" w:cs="Arial"/>
          <w:sz w:val="22"/>
          <w:szCs w:val="22"/>
          <w:lang w:val="es-419"/>
        </w:rPr>
        <w:t xml:space="preserve">ontrato cuando no sea posible alcanzar las metas establecidas en </w:t>
      </w:r>
      <w:r>
        <w:rPr>
          <w:rFonts w:ascii="Arial" w:hAnsi="Arial" w:cs="Arial"/>
          <w:sz w:val="22"/>
          <w:szCs w:val="22"/>
          <w:lang w:val="es-419"/>
        </w:rPr>
        <w:t>este</w:t>
      </w:r>
      <w:r w:rsidRPr="00DC371E">
        <w:rPr>
          <w:rFonts w:ascii="Arial" w:hAnsi="Arial" w:cs="Arial"/>
          <w:sz w:val="22"/>
          <w:szCs w:val="22"/>
          <w:lang w:val="es-419"/>
        </w:rPr>
        <w:t xml:space="preserve">, lo cual contraría su objeto, en tanto a que el mismo consiste en la operación de la infraestructura destinada a la prestación de los Servicios de Acueducto y Alcantarillado en la Isla por cuenta y riesgo del contratista, lo cual conlleva a que el contratista asuma el 100 % de los riesgos en su ejecución, en consecuencia el esquema financiero proyectado para el Contrato depende únicamente del contratista, por lo cual llama la atención de esta Dirección la constante reestructuración del mencionado esquema, en donde en reiteradas ocasiones se reajustan tarifas en desconocimiento de las regulaciones de la CRA en la materia, además de incluir aportes del Departamento y la Nación para equilibrar al contratista, cuando al ser un </w:t>
      </w:r>
      <w:r>
        <w:rPr>
          <w:rFonts w:ascii="Arial" w:hAnsi="Arial" w:cs="Arial"/>
          <w:sz w:val="22"/>
          <w:szCs w:val="22"/>
          <w:lang w:val="es-419"/>
        </w:rPr>
        <w:t>C</w:t>
      </w:r>
      <w:r w:rsidRPr="00DC371E">
        <w:rPr>
          <w:rFonts w:ascii="Arial" w:hAnsi="Arial" w:cs="Arial"/>
          <w:sz w:val="22"/>
          <w:szCs w:val="22"/>
          <w:lang w:val="es-419"/>
        </w:rPr>
        <w:t>ontrato sometido al derecho privado, no se encuentra amparado por el artículo 4 de la Ley 80 de 1993.</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Además de lo anterior, las constantes modificaciones han ido en detrimento del uso de los recursos públicos, lo que se traduce en alteraciones de la prestación del servicio que indiscutiblemente generan un impacto negativo a los usuarios, ya que mediante los Otro</w:t>
      </w:r>
      <w:r>
        <w:rPr>
          <w:rFonts w:ascii="Arial" w:hAnsi="Arial" w:cs="Arial"/>
          <w:sz w:val="22"/>
          <w:szCs w:val="22"/>
          <w:lang w:val="es-419"/>
        </w:rPr>
        <w:t>síes</w:t>
      </w:r>
      <w:r w:rsidRPr="00DC371E">
        <w:rPr>
          <w:rFonts w:ascii="Arial" w:hAnsi="Arial" w:cs="Arial"/>
          <w:sz w:val="22"/>
          <w:szCs w:val="22"/>
          <w:lang w:val="es-419"/>
        </w:rPr>
        <w:t xml:space="preserve"> se han ampliado los plazos de evaluación de las metas inicialmente pactadas en el </w:t>
      </w:r>
      <w:r>
        <w:rPr>
          <w:rFonts w:ascii="Arial" w:hAnsi="Arial" w:cs="Arial"/>
          <w:sz w:val="22"/>
          <w:szCs w:val="22"/>
          <w:lang w:val="es-419"/>
        </w:rPr>
        <w:t>C</w:t>
      </w:r>
      <w:r w:rsidRPr="00DC371E">
        <w:rPr>
          <w:rFonts w:ascii="Arial" w:hAnsi="Arial" w:cs="Arial"/>
          <w:sz w:val="22"/>
          <w:szCs w:val="22"/>
          <w:lang w:val="es-419"/>
        </w:rPr>
        <w:t xml:space="preserve">ontrato, lo cual generó la suscripción de los primeros </w:t>
      </w:r>
      <w:r>
        <w:rPr>
          <w:rFonts w:ascii="Arial" w:hAnsi="Arial" w:cs="Arial"/>
          <w:sz w:val="22"/>
          <w:szCs w:val="22"/>
          <w:lang w:val="es-419"/>
        </w:rPr>
        <w:t>cinco (</w:t>
      </w:r>
      <w:r w:rsidRPr="00DC371E">
        <w:rPr>
          <w:rFonts w:ascii="Arial" w:hAnsi="Arial" w:cs="Arial"/>
          <w:sz w:val="22"/>
          <w:szCs w:val="22"/>
          <w:lang w:val="es-419"/>
        </w:rPr>
        <w:t>5</w:t>
      </w:r>
      <w:r>
        <w:rPr>
          <w:rFonts w:ascii="Arial" w:hAnsi="Arial" w:cs="Arial"/>
          <w:sz w:val="22"/>
          <w:szCs w:val="22"/>
          <w:lang w:val="es-419"/>
        </w:rPr>
        <w:t>)</w:t>
      </w:r>
      <w:r w:rsidRPr="00DC371E">
        <w:rPr>
          <w:rFonts w:ascii="Arial" w:hAnsi="Arial" w:cs="Arial"/>
          <w:sz w:val="22"/>
          <w:szCs w:val="22"/>
          <w:lang w:val="es-419"/>
        </w:rPr>
        <w:t xml:space="preserve"> Otro</w:t>
      </w:r>
      <w:r>
        <w:rPr>
          <w:rFonts w:ascii="Arial" w:hAnsi="Arial" w:cs="Arial"/>
          <w:sz w:val="22"/>
          <w:szCs w:val="22"/>
          <w:lang w:val="es-419"/>
        </w:rPr>
        <w:t>s</w:t>
      </w:r>
      <w:r w:rsidRPr="00DC371E">
        <w:rPr>
          <w:rFonts w:ascii="Arial" w:hAnsi="Arial" w:cs="Arial"/>
          <w:sz w:val="22"/>
          <w:szCs w:val="22"/>
          <w:lang w:val="es-419"/>
        </w:rPr>
        <w:t>í</w:t>
      </w:r>
      <w:r>
        <w:rPr>
          <w:rFonts w:ascii="Arial" w:hAnsi="Arial" w:cs="Arial"/>
          <w:sz w:val="22"/>
          <w:szCs w:val="22"/>
          <w:lang w:val="es-419"/>
        </w:rPr>
        <w:t>es</w:t>
      </w:r>
      <w:r w:rsidRPr="00DC371E">
        <w:rPr>
          <w:rFonts w:ascii="Arial" w:hAnsi="Arial" w:cs="Arial"/>
          <w:sz w:val="22"/>
          <w:szCs w:val="22"/>
          <w:lang w:val="es-419"/>
        </w:rPr>
        <w:t xml:space="preserve">, una vez verificado el cumplimiento de las metas por las partes del </w:t>
      </w:r>
      <w:r>
        <w:rPr>
          <w:rFonts w:ascii="Arial" w:hAnsi="Arial" w:cs="Arial"/>
          <w:sz w:val="22"/>
          <w:szCs w:val="22"/>
          <w:lang w:val="es-419"/>
        </w:rPr>
        <w:t>C</w:t>
      </w:r>
      <w:r w:rsidRPr="00DC371E">
        <w:rPr>
          <w:rFonts w:ascii="Arial" w:hAnsi="Arial" w:cs="Arial"/>
          <w:sz w:val="22"/>
          <w:szCs w:val="22"/>
          <w:lang w:val="es-419"/>
        </w:rPr>
        <w:t>ontrato, se celebró el Otro</w:t>
      </w:r>
      <w:r>
        <w:rPr>
          <w:rFonts w:ascii="Arial" w:hAnsi="Arial" w:cs="Arial"/>
          <w:sz w:val="22"/>
          <w:szCs w:val="22"/>
          <w:lang w:val="es-419"/>
        </w:rPr>
        <w:t>s</w:t>
      </w:r>
      <w:r w:rsidRPr="00DC371E">
        <w:rPr>
          <w:rFonts w:ascii="Arial" w:hAnsi="Arial" w:cs="Arial"/>
          <w:sz w:val="22"/>
          <w:szCs w:val="22"/>
          <w:lang w:val="es-419"/>
        </w:rPr>
        <w:t xml:space="preserve">í No. 6, que modificó las metas de cobertura y formalizó el aporte recursos de la Nación y el Departamento con miras a amparar inversiones en infraestructura encaminadas a sostener el esquema de operación planteado en el </w:t>
      </w:r>
      <w:r>
        <w:rPr>
          <w:rFonts w:ascii="Arial" w:hAnsi="Arial" w:cs="Arial"/>
          <w:sz w:val="22"/>
          <w:szCs w:val="22"/>
          <w:lang w:val="es-419"/>
        </w:rPr>
        <w:t>C</w:t>
      </w:r>
      <w:r w:rsidRPr="00DC371E">
        <w:rPr>
          <w:rFonts w:ascii="Arial" w:hAnsi="Arial" w:cs="Arial"/>
          <w:sz w:val="22"/>
          <w:szCs w:val="22"/>
          <w:lang w:val="es-419"/>
        </w:rPr>
        <w:t>ontrato inicial, de tal forma que se le permitiera al contratista cumplir con los indicadores de cobertura, calidad y continuidad fijados.</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Posteriormente se celebró el Otro</w:t>
      </w:r>
      <w:r>
        <w:rPr>
          <w:rFonts w:ascii="Arial" w:hAnsi="Arial" w:cs="Arial"/>
          <w:sz w:val="22"/>
          <w:szCs w:val="22"/>
          <w:lang w:val="es-419"/>
        </w:rPr>
        <w:t>s</w:t>
      </w:r>
      <w:r w:rsidRPr="00DC371E">
        <w:rPr>
          <w:rFonts w:ascii="Arial" w:hAnsi="Arial" w:cs="Arial"/>
          <w:sz w:val="22"/>
          <w:szCs w:val="22"/>
          <w:lang w:val="es-419"/>
        </w:rPr>
        <w:t>í No. 7 para ampliar el plazo de ejecución de las inversiones previstas en el Otro</w:t>
      </w:r>
      <w:r>
        <w:rPr>
          <w:rFonts w:ascii="Arial" w:hAnsi="Arial" w:cs="Arial"/>
          <w:sz w:val="22"/>
          <w:szCs w:val="22"/>
          <w:lang w:val="es-419"/>
        </w:rPr>
        <w:t>s</w:t>
      </w:r>
      <w:r w:rsidRPr="00DC371E">
        <w:rPr>
          <w:rFonts w:ascii="Arial" w:hAnsi="Arial" w:cs="Arial"/>
          <w:sz w:val="22"/>
          <w:szCs w:val="22"/>
          <w:lang w:val="es-419"/>
        </w:rPr>
        <w:t>í No. 6 con los recursos aportados por la Nación (CONPES 3350 del 18 de abril de 2005) y el Departamento (PDA años 2010 y 2011), puesto que las obras iniciaron su ejecución tres años después de la suscripción del Otro</w:t>
      </w:r>
      <w:r>
        <w:rPr>
          <w:rFonts w:ascii="Arial" w:hAnsi="Arial" w:cs="Arial"/>
          <w:sz w:val="22"/>
          <w:szCs w:val="22"/>
          <w:lang w:val="es-419"/>
        </w:rPr>
        <w:t>s</w:t>
      </w:r>
      <w:r w:rsidRPr="00DC371E">
        <w:rPr>
          <w:rFonts w:ascii="Arial" w:hAnsi="Arial" w:cs="Arial"/>
          <w:sz w:val="22"/>
          <w:szCs w:val="22"/>
          <w:lang w:val="es-419"/>
        </w:rPr>
        <w:t xml:space="preserve">í No. 6, alegando circunstancias imprevistas que generaron situaciones no reguladas en el </w:t>
      </w:r>
      <w:r>
        <w:rPr>
          <w:rFonts w:ascii="Arial" w:hAnsi="Arial" w:cs="Arial"/>
          <w:sz w:val="22"/>
          <w:szCs w:val="22"/>
          <w:lang w:val="es-419"/>
        </w:rPr>
        <w:t>C</w:t>
      </w:r>
      <w:r w:rsidRPr="00DC371E">
        <w:rPr>
          <w:rFonts w:ascii="Arial" w:hAnsi="Arial" w:cs="Arial"/>
          <w:sz w:val="22"/>
          <w:szCs w:val="22"/>
          <w:lang w:val="es-419"/>
        </w:rPr>
        <w:t>ontrato derivadas de la prestación de los servicios en la Isla, ampliando el plazo de ejecución hasta el 2014.</w:t>
      </w:r>
    </w:p>
    <w:p w:rsidR="00D75790" w:rsidRPr="00FB336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Ulteriormente, se celebró el Otro</w:t>
      </w:r>
      <w:r>
        <w:rPr>
          <w:rFonts w:ascii="Arial" w:hAnsi="Arial" w:cs="Arial"/>
          <w:sz w:val="22"/>
          <w:szCs w:val="22"/>
          <w:lang w:val="es-419"/>
        </w:rPr>
        <w:t>s</w:t>
      </w:r>
      <w:r w:rsidRPr="00DC371E">
        <w:rPr>
          <w:rFonts w:ascii="Arial" w:hAnsi="Arial" w:cs="Arial"/>
          <w:sz w:val="22"/>
          <w:szCs w:val="22"/>
          <w:lang w:val="es-419"/>
        </w:rPr>
        <w:t>í No. 8 para aceptar y participar de una consultoría especializada contratada por el Gobierno Nacional, con el objeto de “</w:t>
      </w:r>
      <w:r w:rsidRPr="00DC371E">
        <w:rPr>
          <w:rFonts w:ascii="Arial" w:hAnsi="Arial" w:cs="Arial"/>
          <w:i/>
          <w:iCs/>
          <w:sz w:val="22"/>
          <w:szCs w:val="22"/>
          <w:lang w:val="es-419"/>
        </w:rPr>
        <w:t xml:space="preserve">Establecer la viabilidad, las condiciones, los términos de las modificaciones, las estrategias generales que garanticen la expansión de los servicios en toda la Isla y/o los ajustes al contrato de </w:t>
      </w:r>
      <w:r w:rsidRPr="00DC371E">
        <w:rPr>
          <w:rFonts w:ascii="Arial" w:hAnsi="Arial" w:cs="Arial"/>
          <w:i/>
          <w:iCs/>
          <w:sz w:val="22"/>
          <w:szCs w:val="22"/>
          <w:lang w:val="es-419"/>
        </w:rPr>
        <w:lastRenderedPageBreak/>
        <w:t>operación suscrito entre Aguas de San Andrés S.A. E.S.P. y Proactiva Aguas del Archipiélago S.A. E.S.P. cuyo objeto es la operación de la infraestructura destinada a la prestación de servicios de acueducto y alcantarillado en la isla de San Andrés, teniendo en cuenta las condiciones vigentes de acuerdo con las transacciones plasmadas en los otrosí suscritos”</w:t>
      </w:r>
      <w:r w:rsidRPr="00DC371E">
        <w:rPr>
          <w:rFonts w:ascii="Arial" w:hAnsi="Arial" w:cs="Arial"/>
          <w:sz w:val="22"/>
          <w:szCs w:val="22"/>
          <w:lang w:val="es-419"/>
        </w:rPr>
        <w:t>, lo cual llevó a la celebración del Otro</w:t>
      </w:r>
      <w:r>
        <w:rPr>
          <w:rFonts w:ascii="Arial" w:hAnsi="Arial" w:cs="Arial"/>
          <w:sz w:val="22"/>
          <w:szCs w:val="22"/>
          <w:lang w:val="es-419"/>
        </w:rPr>
        <w:t>s</w:t>
      </w:r>
      <w:r w:rsidRPr="00DC371E">
        <w:rPr>
          <w:rFonts w:ascii="Arial" w:hAnsi="Arial" w:cs="Arial"/>
          <w:sz w:val="22"/>
          <w:szCs w:val="22"/>
          <w:lang w:val="es-419"/>
        </w:rPr>
        <w:t xml:space="preserve">í No. 9, en virtud de los resultados de la consultoría, la cual recomendó modificar las estipulaciones del </w:t>
      </w:r>
      <w:r>
        <w:rPr>
          <w:rFonts w:ascii="Arial" w:hAnsi="Arial" w:cs="Arial"/>
          <w:sz w:val="22"/>
          <w:szCs w:val="22"/>
          <w:lang w:val="es-419"/>
        </w:rPr>
        <w:t>C</w:t>
      </w:r>
      <w:r w:rsidRPr="00DC371E">
        <w:rPr>
          <w:rFonts w:ascii="Arial" w:hAnsi="Arial" w:cs="Arial"/>
          <w:sz w:val="22"/>
          <w:szCs w:val="22"/>
          <w:lang w:val="es-419"/>
        </w:rPr>
        <w:t xml:space="preserve">ontrato con la finalidad de optimizar la infraestructura existente, gestionar recursos orientados a la expansión de los </w:t>
      </w:r>
      <w:r>
        <w:rPr>
          <w:rFonts w:ascii="Arial" w:hAnsi="Arial" w:cs="Arial"/>
          <w:sz w:val="22"/>
          <w:szCs w:val="22"/>
          <w:lang w:val="es-419"/>
        </w:rPr>
        <w:t>S</w:t>
      </w:r>
      <w:r w:rsidRPr="00DC371E">
        <w:rPr>
          <w:rFonts w:ascii="Arial" w:hAnsi="Arial" w:cs="Arial"/>
          <w:sz w:val="22"/>
          <w:szCs w:val="22"/>
          <w:lang w:val="es-419"/>
        </w:rPr>
        <w:t xml:space="preserve">ervicios de </w:t>
      </w:r>
      <w:r>
        <w:rPr>
          <w:rFonts w:ascii="Arial" w:hAnsi="Arial" w:cs="Arial"/>
          <w:sz w:val="22"/>
          <w:szCs w:val="22"/>
          <w:lang w:val="es-419"/>
        </w:rPr>
        <w:t>A</w:t>
      </w:r>
      <w:r w:rsidRPr="00DC371E">
        <w:rPr>
          <w:rFonts w:ascii="Arial" w:hAnsi="Arial" w:cs="Arial"/>
          <w:sz w:val="22"/>
          <w:szCs w:val="22"/>
          <w:lang w:val="es-419"/>
        </w:rPr>
        <w:t xml:space="preserve">cueducto y </w:t>
      </w:r>
      <w:r>
        <w:rPr>
          <w:rFonts w:ascii="Arial" w:hAnsi="Arial" w:cs="Arial"/>
          <w:sz w:val="22"/>
          <w:szCs w:val="22"/>
          <w:lang w:val="es-419"/>
        </w:rPr>
        <w:t>A</w:t>
      </w:r>
      <w:r w:rsidRPr="00DC371E">
        <w:rPr>
          <w:rFonts w:ascii="Arial" w:hAnsi="Arial" w:cs="Arial"/>
          <w:sz w:val="22"/>
          <w:szCs w:val="22"/>
          <w:lang w:val="es-419"/>
        </w:rPr>
        <w:t xml:space="preserve">lcantarillado y redefinición de metas, así como prórroga del </w:t>
      </w:r>
      <w:r>
        <w:rPr>
          <w:rFonts w:ascii="Arial" w:hAnsi="Arial" w:cs="Arial"/>
          <w:sz w:val="22"/>
          <w:szCs w:val="22"/>
          <w:lang w:val="es-419"/>
        </w:rPr>
        <w:t>C</w:t>
      </w:r>
      <w:r w:rsidRPr="00DC371E">
        <w:rPr>
          <w:rFonts w:ascii="Arial" w:hAnsi="Arial" w:cs="Arial"/>
          <w:sz w:val="22"/>
          <w:szCs w:val="22"/>
          <w:lang w:val="es-419"/>
        </w:rPr>
        <w:t>ontrato por otros quince (15) años adicionales.</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 xml:space="preserve">La mencionada prórroga se realiza en virtud de la facultad de las partes de prorrogar el </w:t>
      </w:r>
      <w:r>
        <w:rPr>
          <w:rFonts w:ascii="Arial" w:hAnsi="Arial" w:cs="Arial"/>
          <w:sz w:val="22"/>
          <w:szCs w:val="22"/>
          <w:lang w:val="es-419"/>
        </w:rPr>
        <w:t>C</w:t>
      </w:r>
      <w:r w:rsidRPr="00DC371E">
        <w:rPr>
          <w:rFonts w:ascii="Arial" w:hAnsi="Arial" w:cs="Arial"/>
          <w:sz w:val="22"/>
          <w:szCs w:val="22"/>
          <w:lang w:val="es-419"/>
        </w:rPr>
        <w:t xml:space="preserve">ontrato por un término igual al inicialmente pactado, según la cláusula cuarta del </w:t>
      </w:r>
      <w:r>
        <w:rPr>
          <w:rFonts w:ascii="Arial" w:hAnsi="Arial" w:cs="Arial"/>
          <w:sz w:val="22"/>
          <w:szCs w:val="22"/>
          <w:lang w:val="es-419"/>
        </w:rPr>
        <w:t>C</w:t>
      </w:r>
      <w:r w:rsidRPr="00DC371E">
        <w:rPr>
          <w:rFonts w:ascii="Arial" w:hAnsi="Arial" w:cs="Arial"/>
          <w:sz w:val="22"/>
          <w:szCs w:val="22"/>
          <w:lang w:val="es-419"/>
        </w:rPr>
        <w:t xml:space="preserve">ontrato de </w:t>
      </w:r>
      <w:r>
        <w:rPr>
          <w:rFonts w:ascii="Arial" w:hAnsi="Arial" w:cs="Arial"/>
          <w:sz w:val="22"/>
          <w:szCs w:val="22"/>
          <w:lang w:val="es-419"/>
        </w:rPr>
        <w:t>O</w:t>
      </w:r>
      <w:r w:rsidRPr="00DC371E">
        <w:rPr>
          <w:rFonts w:ascii="Arial" w:hAnsi="Arial" w:cs="Arial"/>
          <w:sz w:val="22"/>
          <w:szCs w:val="22"/>
          <w:lang w:val="es-419"/>
        </w:rPr>
        <w:t>peración, pese a que, en la invitación para seleccionar el operador, se establece en el numeral 2.3. “</w:t>
      </w:r>
      <w:r w:rsidRPr="00DC371E">
        <w:rPr>
          <w:rFonts w:ascii="Arial" w:hAnsi="Arial" w:cs="Arial"/>
          <w:i/>
          <w:iCs/>
          <w:sz w:val="22"/>
          <w:szCs w:val="22"/>
          <w:lang w:val="es-419"/>
        </w:rPr>
        <w:t xml:space="preserve">Plazo del contrato El contrato de operación tendrá una duración de quince (15) años. El plazo de ejecución del presente Contrato </w:t>
      </w:r>
      <w:r w:rsidRPr="00DC371E">
        <w:rPr>
          <w:rFonts w:ascii="Arial" w:hAnsi="Arial" w:cs="Arial"/>
          <w:b/>
          <w:bCs/>
          <w:i/>
          <w:iCs/>
          <w:sz w:val="22"/>
          <w:szCs w:val="22"/>
          <w:u w:val="single"/>
          <w:lang w:val="es-419"/>
        </w:rPr>
        <w:t>no podrá prorrogarse por mutuo acuerdo de las partes contratantes</w:t>
      </w:r>
      <w:r w:rsidRPr="00DC371E">
        <w:rPr>
          <w:rFonts w:ascii="Arial" w:hAnsi="Arial" w:cs="Arial"/>
          <w:i/>
          <w:iCs/>
          <w:sz w:val="22"/>
          <w:szCs w:val="22"/>
          <w:lang w:val="es-419"/>
        </w:rPr>
        <w:t>”</w:t>
      </w:r>
      <w:r w:rsidRPr="00DC371E">
        <w:rPr>
          <w:rFonts w:ascii="Arial" w:hAnsi="Arial" w:cs="Arial"/>
          <w:sz w:val="22"/>
          <w:szCs w:val="22"/>
          <w:lang w:val="es-419"/>
        </w:rPr>
        <w:t xml:space="preserve"> (énfasis propio), contradicción que la Dirección General de Apoyo Fiscal no ha podido esclarecer puesto que ni el Departamento, ni Aguas de San Andrés S.A. E.S.P. han entregado el expediente contractual. En relación con la duración del </w:t>
      </w:r>
      <w:r>
        <w:rPr>
          <w:rFonts w:ascii="Arial" w:hAnsi="Arial" w:cs="Arial"/>
          <w:sz w:val="22"/>
          <w:szCs w:val="22"/>
          <w:lang w:val="es-419"/>
        </w:rPr>
        <w:t>C</w:t>
      </w:r>
      <w:r w:rsidRPr="00DC371E">
        <w:rPr>
          <w:rFonts w:ascii="Arial" w:hAnsi="Arial" w:cs="Arial"/>
          <w:sz w:val="22"/>
          <w:szCs w:val="22"/>
          <w:lang w:val="es-419"/>
        </w:rPr>
        <w:t>ontrato, en el parágrafo del artículo primero del Otro</w:t>
      </w:r>
      <w:r>
        <w:rPr>
          <w:rFonts w:ascii="Arial" w:hAnsi="Arial" w:cs="Arial"/>
          <w:sz w:val="22"/>
          <w:szCs w:val="22"/>
          <w:lang w:val="es-419"/>
        </w:rPr>
        <w:t>s</w:t>
      </w:r>
      <w:r w:rsidRPr="00DC371E">
        <w:rPr>
          <w:rFonts w:ascii="Arial" w:hAnsi="Arial" w:cs="Arial"/>
          <w:sz w:val="22"/>
          <w:szCs w:val="22"/>
          <w:lang w:val="es-419"/>
        </w:rPr>
        <w:t xml:space="preserve">í No. 9 se establece que si dentro de los cuatro (4) años siguientes a la suscripción, no se cumplen las metas establecidas en los considerandos por causas externas o no imputables a las partes se podrá reconsiderar el término de la prórroga, lo cual deriva en una incertidumbre en relación con la prestación del servicio, por cuanto las causales que originarían un cambio en la duración del contrato, son abstractas y no generan certeza frente a las condiciones de ejecución del </w:t>
      </w:r>
      <w:r>
        <w:rPr>
          <w:rFonts w:ascii="Arial" w:hAnsi="Arial" w:cs="Arial"/>
          <w:sz w:val="22"/>
          <w:szCs w:val="22"/>
          <w:lang w:val="es-419"/>
        </w:rPr>
        <w:t>C</w:t>
      </w:r>
      <w:r w:rsidRPr="00DC371E">
        <w:rPr>
          <w:rFonts w:ascii="Arial" w:hAnsi="Arial" w:cs="Arial"/>
          <w:sz w:val="22"/>
          <w:szCs w:val="22"/>
          <w:lang w:val="es-419"/>
        </w:rPr>
        <w:t xml:space="preserve">ontrato, en consecuencia, atendiendo el régimen al que debe someterse el </w:t>
      </w:r>
      <w:r>
        <w:rPr>
          <w:rFonts w:ascii="Arial" w:hAnsi="Arial" w:cs="Arial"/>
          <w:sz w:val="22"/>
          <w:szCs w:val="22"/>
          <w:lang w:val="es-419"/>
        </w:rPr>
        <w:t>C</w:t>
      </w:r>
      <w:r w:rsidRPr="00DC371E">
        <w:rPr>
          <w:rFonts w:ascii="Arial" w:hAnsi="Arial" w:cs="Arial"/>
          <w:sz w:val="22"/>
          <w:szCs w:val="22"/>
          <w:lang w:val="es-419"/>
        </w:rPr>
        <w:t>ontrato debieron pactar cláusulas de reajuste ante situaciones imprevisibles en los términos del artículo 868 del Código de Comercio, bajo condiciones objetivas, en el marco de la autonomía de la voluntad y dentro del régimen tarifario establecido por la normatividad vigente.</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 xml:space="preserve">De esta última modificación, resulta preocupante que mediante el </w:t>
      </w:r>
      <w:r>
        <w:rPr>
          <w:rFonts w:ascii="Arial" w:hAnsi="Arial" w:cs="Arial"/>
          <w:sz w:val="22"/>
          <w:szCs w:val="22"/>
          <w:lang w:val="es-419"/>
        </w:rPr>
        <w:t>C</w:t>
      </w:r>
      <w:r w:rsidRPr="00DC371E">
        <w:rPr>
          <w:rFonts w:ascii="Arial" w:hAnsi="Arial" w:cs="Arial"/>
          <w:sz w:val="22"/>
          <w:szCs w:val="22"/>
          <w:lang w:val="es-419"/>
        </w:rPr>
        <w:t xml:space="preserve">ontrato se pactan metas por fuera de la regulación vigente, como se evidencia en la tabla de metas del Índice de Agua No Contabilizada - IANC establecida en la Cláusula Cuarta del Otrosí No. 9 que modifica la Cláusula 12.4 del </w:t>
      </w:r>
      <w:r>
        <w:rPr>
          <w:rFonts w:ascii="Arial" w:hAnsi="Arial" w:cs="Arial"/>
          <w:sz w:val="22"/>
          <w:szCs w:val="22"/>
          <w:lang w:val="es-419"/>
        </w:rPr>
        <w:t>C</w:t>
      </w:r>
      <w:r w:rsidRPr="00DC371E">
        <w:rPr>
          <w:rFonts w:ascii="Arial" w:hAnsi="Arial" w:cs="Arial"/>
          <w:sz w:val="22"/>
          <w:szCs w:val="22"/>
          <w:lang w:val="es-419"/>
        </w:rPr>
        <w:t>ontrato original, en donde en el año 13 se le permite un indicador del 65</w:t>
      </w:r>
      <w:r>
        <w:rPr>
          <w:rFonts w:ascii="Arial" w:hAnsi="Arial" w:cs="Arial"/>
          <w:sz w:val="22"/>
          <w:szCs w:val="22"/>
          <w:lang w:val="es-419"/>
        </w:rPr>
        <w:t>,</w:t>
      </w:r>
      <w:r w:rsidRPr="00DC371E">
        <w:rPr>
          <w:rFonts w:ascii="Arial" w:hAnsi="Arial" w:cs="Arial"/>
          <w:sz w:val="22"/>
          <w:szCs w:val="22"/>
          <w:lang w:val="es-419"/>
        </w:rPr>
        <w:t>27 % para fijar una meta final en el año 30 del 57</w:t>
      </w:r>
      <w:r>
        <w:rPr>
          <w:rFonts w:ascii="Arial" w:hAnsi="Arial" w:cs="Arial"/>
          <w:sz w:val="22"/>
          <w:szCs w:val="22"/>
          <w:lang w:val="es-419"/>
        </w:rPr>
        <w:t>,</w:t>
      </w:r>
      <w:r w:rsidRPr="00DC371E">
        <w:rPr>
          <w:rFonts w:ascii="Arial" w:hAnsi="Arial" w:cs="Arial"/>
          <w:sz w:val="22"/>
          <w:szCs w:val="22"/>
          <w:lang w:val="es-419"/>
        </w:rPr>
        <w:t>12 %. Estos porcentajes a todas luces son muy superiores a lo establecido en la Resolución CRA 287 DE 2004 que establece el 30 % y lo señalado en la Resolución CRA 688 de 2014 que bajo el concepto de Índice de Pérdidas por Usuario Facturado habla de un máximo aceptable de 6 m</w:t>
      </w:r>
      <w:r w:rsidRPr="00DC371E">
        <w:rPr>
          <w:rFonts w:ascii="Arial" w:hAnsi="Arial" w:cs="Arial"/>
          <w:sz w:val="22"/>
          <w:szCs w:val="22"/>
          <w:vertAlign w:val="superscript"/>
          <w:lang w:val="es-419"/>
        </w:rPr>
        <w:t>3</w:t>
      </w:r>
      <w:r w:rsidRPr="00DC371E">
        <w:rPr>
          <w:rFonts w:ascii="Arial" w:hAnsi="Arial" w:cs="Arial"/>
          <w:sz w:val="22"/>
          <w:szCs w:val="22"/>
          <w:lang w:val="es-419"/>
        </w:rPr>
        <w:t xml:space="preserve"> suscriptor por mes.</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Asimismo, llama la atención que en la ampliación del Informe de Monitoreo “</w:t>
      </w:r>
      <w:r w:rsidRPr="00DC371E">
        <w:rPr>
          <w:rFonts w:ascii="Arial" w:hAnsi="Arial" w:cs="Arial"/>
          <w:i/>
          <w:iCs/>
          <w:sz w:val="22"/>
          <w:szCs w:val="22"/>
          <w:lang w:val="es-419"/>
        </w:rPr>
        <w:t>Diagnóstico al uso y ejecución de los recursos del Sistema General de Participaciones para Agua Potable y Saneamiento Básico en el Archipiélago de San Andrés, Providencia y Santa Catalina</w:t>
      </w:r>
      <w:r w:rsidRPr="00DC371E">
        <w:rPr>
          <w:rFonts w:ascii="Arial" w:hAnsi="Arial" w:cs="Arial"/>
          <w:sz w:val="22"/>
          <w:szCs w:val="22"/>
          <w:lang w:val="es-419"/>
        </w:rPr>
        <w:t xml:space="preserve">”, remitido por el Ministerio de Vivienda Ciudad y Territorio mediante el oficio No. 2020EE0074062 del 25 de septiembre de 2020 se expone que la sociedad Veolia Aguas del Archipiélago S.A. E.S.P., se encuentra inmersa en causal de Disolución en los términos del numeral 2 del artículo 457 del Código de Comercio, lo cual configura una de las </w:t>
      </w:r>
      <w:r w:rsidRPr="00DC371E">
        <w:rPr>
          <w:rFonts w:ascii="Arial" w:hAnsi="Arial" w:cs="Arial"/>
          <w:sz w:val="22"/>
          <w:szCs w:val="22"/>
          <w:lang w:val="es-419"/>
        </w:rPr>
        <w:lastRenderedPageBreak/>
        <w:t xml:space="preserve">circunstancias previstas para proceder a la declaratoria de caducidad del Contrato, </w:t>
      </w:r>
      <w:r>
        <w:rPr>
          <w:rFonts w:ascii="Arial" w:hAnsi="Arial" w:cs="Arial"/>
          <w:sz w:val="22"/>
          <w:szCs w:val="22"/>
          <w:lang w:val="es-419"/>
        </w:rPr>
        <w:t>por cuanto esto</w:t>
      </w:r>
      <w:r w:rsidRPr="00DC371E">
        <w:rPr>
          <w:rFonts w:ascii="Arial" w:hAnsi="Arial" w:cs="Arial"/>
          <w:sz w:val="22"/>
          <w:szCs w:val="22"/>
          <w:lang w:val="es-419"/>
        </w:rPr>
        <w:t xml:space="preserve"> genera un riesgo de interrupción en la prestación del servicio, si se tiene que si no se enerva la causal de disolución, dentro de los seis (6) meses siguientes al momento en que se consumaran las pérdidas en virtud del artículo 459 del mismo cuerpo normativo, para proceder a la liquidación de la misma, lo cual implica la desaparición de la persona jurídica como sujeto de derechos y obligaciones y en consecuencia el </w:t>
      </w:r>
      <w:r>
        <w:rPr>
          <w:rFonts w:ascii="Arial" w:hAnsi="Arial" w:cs="Arial"/>
          <w:sz w:val="22"/>
          <w:szCs w:val="22"/>
          <w:lang w:val="es-419"/>
        </w:rPr>
        <w:t>C</w:t>
      </w:r>
      <w:r w:rsidRPr="00DC371E">
        <w:rPr>
          <w:rFonts w:ascii="Arial" w:hAnsi="Arial" w:cs="Arial"/>
          <w:sz w:val="22"/>
          <w:szCs w:val="22"/>
          <w:lang w:val="es-419"/>
        </w:rPr>
        <w:t>ontrato deberá liquidarse, lo cual supone un riesgo en la continuidad de la prestación del servicio.</w:t>
      </w:r>
    </w:p>
    <w:p w:rsidR="00D75790" w:rsidRPr="00DC371E" w:rsidRDefault="00D75790" w:rsidP="00D75790">
      <w:pPr>
        <w:contextualSpacing/>
        <w:jc w:val="both"/>
        <w:rPr>
          <w:rFonts w:ascii="Arial" w:hAnsi="Arial" w:cs="Arial"/>
        </w:rPr>
      </w:pPr>
    </w:p>
    <w:p w:rsidR="00D75790" w:rsidRPr="00DC371E" w:rsidRDefault="00D75790" w:rsidP="00D75790">
      <w:pPr>
        <w:contextualSpacing/>
        <w:jc w:val="both"/>
        <w:rPr>
          <w:rFonts w:ascii="Arial" w:hAnsi="Arial" w:cs="Arial"/>
        </w:rPr>
      </w:pPr>
      <w:r w:rsidRPr="00DC371E">
        <w:rPr>
          <w:rFonts w:ascii="Arial" w:hAnsi="Arial" w:cs="Arial"/>
          <w:sz w:val="22"/>
          <w:szCs w:val="22"/>
          <w:lang w:val="es-419"/>
        </w:rPr>
        <w:t>Lo anterior genera, además de la evidente contradicción a la normatividad vigente, una falta de certeza en las pérdidas que corresponden a un porcentaje de agua no facturada que sí ha generado costos de producción y que contribuye al alto costo del bien final, lo cual se traduce en una falta de optimización en el uso de los recursos del Sistema General de Participaciones del Sector de Agua Potable y Saneamiento Básico, en cuanto a que en los términos pactados del contrato no se aseguran condiciones de accesibilidad que permitan alcanzar la cobertura de los Servicios de Acueducto y Alcantarillado a toda la población de la Isla, ni certeza en su ejecución.</w:t>
      </w:r>
    </w:p>
    <w:p w:rsidR="00D75790" w:rsidRPr="00DC371E" w:rsidRDefault="00D75790" w:rsidP="00D75790">
      <w:pPr>
        <w:contextualSpacing/>
        <w:jc w:val="both"/>
        <w:rPr>
          <w:rFonts w:ascii="Arial" w:hAnsi="Arial" w:cs="Arial"/>
        </w:rPr>
      </w:pPr>
    </w:p>
    <w:p w:rsidR="00D75790" w:rsidRDefault="00D75790" w:rsidP="00D75790">
      <w:pPr>
        <w:contextualSpacing/>
        <w:jc w:val="both"/>
        <w:rPr>
          <w:rFonts w:ascii="Arial" w:hAnsi="Arial" w:cs="Arial"/>
          <w:b/>
          <w:bCs/>
          <w:sz w:val="22"/>
          <w:szCs w:val="22"/>
          <w:lang w:val="es-419"/>
        </w:rPr>
      </w:pPr>
      <w:r w:rsidRPr="00DC371E">
        <w:rPr>
          <w:rFonts w:ascii="Arial" w:hAnsi="Arial" w:cs="Arial"/>
          <w:b/>
          <w:bCs/>
          <w:sz w:val="22"/>
          <w:szCs w:val="22"/>
          <w:lang w:val="es-419"/>
        </w:rPr>
        <w:t>EVIDENCIAS:</w:t>
      </w:r>
    </w:p>
    <w:p w:rsidR="00D75790" w:rsidRDefault="00D75790" w:rsidP="00D75790">
      <w:pPr>
        <w:contextualSpacing/>
        <w:jc w:val="both"/>
        <w:rPr>
          <w:rFonts w:ascii="Arial" w:hAnsi="Arial" w:cs="Arial"/>
          <w:b/>
          <w:bCs/>
          <w:sz w:val="22"/>
          <w:szCs w:val="22"/>
          <w:lang w:val="es-419"/>
        </w:rPr>
      </w:pPr>
    </w:p>
    <w:p w:rsidR="00D75790" w:rsidRDefault="00D75790" w:rsidP="00D75790">
      <w:pPr>
        <w:contextualSpacing/>
        <w:jc w:val="both"/>
        <w:rPr>
          <w:rFonts w:ascii="Arial" w:hAnsi="Arial" w:cs="Arial"/>
          <w:sz w:val="22"/>
          <w:szCs w:val="22"/>
          <w:lang w:val="es-ES_tradnl"/>
        </w:rPr>
      </w:pPr>
      <w:r w:rsidRPr="00D64AD1">
        <w:rPr>
          <w:rFonts w:ascii="Arial" w:hAnsi="Arial" w:cs="Arial"/>
          <w:sz w:val="22"/>
          <w:szCs w:val="22"/>
          <w:lang w:val="es-ES_tradnl"/>
        </w:rPr>
        <w:t>Obra en el expediente digital en el Sistema de Información Electrónica Documental- SIED del Ministerio de Hacienda y Crédito Público número 20/2021/D028-PREDI, el siguiente material probatorio</w:t>
      </w:r>
      <w:r>
        <w:rPr>
          <w:rFonts w:ascii="Arial" w:hAnsi="Arial" w:cs="Arial"/>
          <w:sz w:val="22"/>
          <w:szCs w:val="22"/>
          <w:lang w:val="es-ES_tradnl"/>
        </w:rPr>
        <w:t>. 1. Otrosíes del 1 al 9 al Contrato con Proactiva Servicios de AA. 2. Contrato Proactiva. 3. Oficios MVCT Informe de reconocimiento del 25 de septiembre.</w:t>
      </w:r>
    </w:p>
    <w:p w:rsidR="00D75790" w:rsidRPr="00634A84" w:rsidRDefault="00D75790" w:rsidP="00D75790">
      <w:pPr>
        <w:contextualSpacing/>
        <w:jc w:val="both"/>
        <w:rPr>
          <w:rFonts w:ascii="Arial" w:hAnsi="Arial" w:cs="Arial"/>
          <w:sz w:val="22"/>
          <w:szCs w:val="22"/>
          <w:lang w:val="es-ES_tradnl"/>
        </w:rPr>
      </w:pPr>
    </w:p>
    <w:p w:rsidR="00D75790" w:rsidRPr="00E46D41" w:rsidRDefault="00D75790" w:rsidP="00D75790">
      <w:pPr>
        <w:pStyle w:val="Prrafodelista"/>
        <w:numPr>
          <w:ilvl w:val="0"/>
          <w:numId w:val="33"/>
        </w:numPr>
        <w:jc w:val="both"/>
        <w:rPr>
          <w:rFonts w:ascii="Arial" w:hAnsi="Arial" w:cs="Arial"/>
          <w:b/>
          <w:bCs/>
          <w:sz w:val="22"/>
          <w:szCs w:val="22"/>
          <w:lang w:val="es-419"/>
        </w:rPr>
      </w:pPr>
      <w:r w:rsidRPr="00CF632F">
        <w:rPr>
          <w:rFonts w:ascii="Arial" w:hAnsi="Arial" w:cs="Arial"/>
          <w:sz w:val="22"/>
          <w:szCs w:val="22"/>
          <w:lang w:val="es-ES_tradnl"/>
        </w:rPr>
        <w:t>Otrosí 9.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CF632F">
        <w:rPr>
          <w:rFonts w:ascii="Arial" w:hAnsi="Arial" w:cs="Arial"/>
          <w:sz w:val="22"/>
          <w:szCs w:val="22"/>
          <w:lang w:val="es-ES_tradnl"/>
        </w:rPr>
        <w:t xml:space="preserve"> 20/2021/D028-PREDI. Enlace:</w:t>
      </w:r>
    </w:p>
    <w:p w:rsidR="00D75790" w:rsidRPr="00CF632F" w:rsidRDefault="006E598A" w:rsidP="00D75790">
      <w:pPr>
        <w:pStyle w:val="Prrafodelista"/>
        <w:jc w:val="both"/>
        <w:rPr>
          <w:rFonts w:ascii="Arial" w:hAnsi="Arial" w:cs="Arial"/>
          <w:b/>
          <w:bCs/>
          <w:sz w:val="22"/>
          <w:szCs w:val="22"/>
          <w:lang w:val="es-419"/>
        </w:rPr>
      </w:pPr>
      <w:hyperlink r:id="rId41" w:history="1">
        <w:r w:rsidR="00D75790" w:rsidRPr="001F4E67">
          <w:rPr>
            <w:rStyle w:val="Hipervnculo"/>
            <w:rFonts w:ascii="Arial" w:hAnsi="Arial" w:cs="Arial"/>
            <w:sz w:val="22"/>
            <w:szCs w:val="22"/>
            <w:lang w:val="es-ES_tradnl"/>
          </w:rPr>
          <w:t>http://portalgestiondoc.minhacienda.red/PortalEmpleado/viewer.jsp?config=rnuhvrCCOYLDNIG6thO+GhTU1xJpArKH7Tl2fEpoJLPW3WAQQmcuNIH4ga5uyH7ektw3OMAN4LQoyJQH4wL+oZIrEiVB2wIROf6kn66U8NNit8PFmaGwl5oQZd9P0IaicyxXZlJArK01JHscdZ6uUoT33X4eR7vDRhez9iFAdIG0uqjqf36UYCEBIk61Y6fL&amp;guid=6a6645fc17b30e2c3a2165&amp;idrepository=879</w:t>
        </w:r>
      </w:hyperlink>
    </w:p>
    <w:p w:rsidR="00D75790" w:rsidRPr="00CF632F" w:rsidRDefault="00D75790" w:rsidP="00D75790">
      <w:pPr>
        <w:contextualSpacing/>
        <w:jc w:val="both"/>
        <w:rPr>
          <w:rFonts w:ascii="Arial" w:hAnsi="Arial" w:cs="Arial"/>
          <w:b/>
          <w:bCs/>
          <w:sz w:val="22"/>
          <w:szCs w:val="22"/>
          <w:lang w:val="es-419"/>
        </w:rPr>
      </w:pPr>
    </w:p>
    <w:p w:rsidR="00D75790" w:rsidRPr="00CF632F" w:rsidRDefault="00D75790" w:rsidP="00D75790">
      <w:pPr>
        <w:pStyle w:val="Prrafodelista"/>
        <w:numPr>
          <w:ilvl w:val="0"/>
          <w:numId w:val="33"/>
        </w:numPr>
        <w:jc w:val="both"/>
        <w:rPr>
          <w:rFonts w:ascii="Arial" w:hAnsi="Arial" w:cs="Arial"/>
          <w:sz w:val="22"/>
          <w:szCs w:val="22"/>
          <w:lang w:val="es-ES_tradnl"/>
        </w:rPr>
      </w:pPr>
      <w:r w:rsidRPr="00CF632F">
        <w:rPr>
          <w:rFonts w:ascii="Arial" w:hAnsi="Arial" w:cs="Arial"/>
          <w:sz w:val="22"/>
          <w:szCs w:val="22"/>
          <w:lang w:val="es-ES_tradnl"/>
        </w:rPr>
        <w:t>Otrosí 8.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CF632F">
        <w:rPr>
          <w:rFonts w:ascii="Arial" w:hAnsi="Arial" w:cs="Arial"/>
          <w:sz w:val="22"/>
          <w:szCs w:val="22"/>
          <w:lang w:val="es-ES_tradnl"/>
        </w:rPr>
        <w:t xml:space="preserve"> 20/2021/D028-PREDI. Enlace</w:t>
      </w:r>
      <w:r>
        <w:rPr>
          <w:rFonts w:ascii="Arial" w:hAnsi="Arial" w:cs="Arial"/>
          <w:sz w:val="22"/>
          <w:szCs w:val="22"/>
          <w:lang w:val="es-ES_tradnl"/>
        </w:rPr>
        <w:t>:</w:t>
      </w:r>
      <w:r w:rsidRPr="00CF632F">
        <w:rPr>
          <w:rFonts w:ascii="Arial" w:hAnsi="Arial" w:cs="Arial"/>
          <w:sz w:val="22"/>
          <w:szCs w:val="22"/>
          <w:lang w:val="es-ES_tradnl"/>
        </w:rPr>
        <w:t xml:space="preserve"> </w:t>
      </w:r>
      <w:hyperlink r:id="rId42" w:history="1">
        <w:r w:rsidRPr="001F4E67">
          <w:rPr>
            <w:rStyle w:val="Hipervnculo"/>
            <w:rFonts w:ascii="Arial" w:hAnsi="Arial" w:cs="Arial"/>
            <w:sz w:val="22"/>
            <w:szCs w:val="22"/>
            <w:lang w:val="es-ES_tradnl"/>
          </w:rPr>
          <w:t>http://portalgestiondoc.minhacienda.red/PortalEmpleado/viewer.jsp?config=ss9ckLFKuCQ/o6gL62WrlodTu7cQ+0RNMmypSirmjFC5kAhSDDqwxqV2c0yu2fjGdEcgpRjrbXevC9S0ldEppDOCUMGosrO3bC0pGxN4y4PeKQ4igMMQQbHT8nML9HhOe4Q/1U0Fa/XUbijLe5VdPUXt/USJNWMbSy83gJwicHNoDxUhwiiu24ncD4oWzlER&amp;guid=6a6645fc17b30e2c3a2163&amp;idrepository=879</w:t>
        </w:r>
      </w:hyperlink>
      <w:r>
        <w:rPr>
          <w:rFonts w:ascii="Arial" w:hAnsi="Arial" w:cs="Arial"/>
          <w:sz w:val="22"/>
          <w:szCs w:val="22"/>
          <w:lang w:val="es-ES_tradnl"/>
        </w:rPr>
        <w:t xml:space="preserve"> </w:t>
      </w:r>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634A84">
        <w:rPr>
          <w:rFonts w:ascii="Arial" w:hAnsi="Arial" w:cs="Arial"/>
          <w:sz w:val="22"/>
          <w:szCs w:val="22"/>
        </w:rPr>
        <w:t xml:space="preserve">Otrosí 7. Contrato Proactiva. </w:t>
      </w:r>
      <w:r w:rsidRPr="00634A84">
        <w:rPr>
          <w:rFonts w:ascii="Arial" w:hAnsi="Arial" w:cs="Arial"/>
          <w:sz w:val="22"/>
          <w:szCs w:val="22"/>
          <w:lang w:val="es-ES_tradnl"/>
        </w:rPr>
        <w:t xml:space="preserve">Sector de Agua Potable y Saneamiento Básico. Serie Historial de Seguimiento y Control a los Recursos del Sistema General de </w:t>
      </w:r>
      <w:r w:rsidRPr="00634A84">
        <w:rPr>
          <w:rFonts w:ascii="Arial" w:hAnsi="Arial" w:cs="Arial"/>
          <w:sz w:val="22"/>
          <w:szCs w:val="22"/>
          <w:lang w:val="es-ES_tradnl"/>
        </w:rPr>
        <w:lastRenderedPageBreak/>
        <w:t>Participaciones - Informe de Diagnóstico de la DAF. Expediente digital N</w:t>
      </w:r>
      <w:r w:rsidR="00E013AF">
        <w:rPr>
          <w:rFonts w:ascii="Arial" w:hAnsi="Arial" w:cs="Arial"/>
          <w:sz w:val="22"/>
          <w:szCs w:val="22"/>
          <w:lang w:val="es-ES_tradnl"/>
        </w:rPr>
        <w:t>o.</w:t>
      </w:r>
      <w:r w:rsidRPr="00634A84">
        <w:rPr>
          <w:rFonts w:ascii="Arial" w:hAnsi="Arial" w:cs="Arial"/>
          <w:sz w:val="22"/>
          <w:szCs w:val="22"/>
          <w:lang w:val="es-ES_tradnl"/>
        </w:rPr>
        <w:t xml:space="preserve"> 20/2021/D028-PREDI. </w:t>
      </w:r>
      <w:r w:rsidRPr="00634A84">
        <w:rPr>
          <w:rFonts w:ascii="Arial" w:hAnsi="Arial" w:cs="Arial"/>
          <w:sz w:val="22"/>
          <w:szCs w:val="22"/>
        </w:rPr>
        <w:t>Enlace:</w:t>
      </w:r>
    </w:p>
    <w:p w:rsidR="00D75790" w:rsidRPr="00DA6548" w:rsidRDefault="006E598A" w:rsidP="00D75790">
      <w:pPr>
        <w:pStyle w:val="Prrafodelista"/>
        <w:jc w:val="both"/>
        <w:rPr>
          <w:rFonts w:ascii="Arial" w:hAnsi="Arial" w:cs="Arial"/>
          <w:sz w:val="22"/>
          <w:szCs w:val="22"/>
        </w:rPr>
      </w:pPr>
      <w:hyperlink r:id="rId43" w:history="1">
        <w:r w:rsidR="00D75790" w:rsidRPr="00DA6548">
          <w:rPr>
            <w:rStyle w:val="Hipervnculo"/>
            <w:rFonts w:ascii="Arial" w:hAnsi="Arial" w:cs="Arial"/>
            <w:sz w:val="22"/>
            <w:szCs w:val="22"/>
          </w:rPr>
          <w:t>http://portalgestiondoc.minhacienda.red/PortalEmpleado/viewer.jsp?config=XIE28W0X332VxCoSjAfIkTPQuaUsN8FCN88SWf1ccXH1H/AtDRi2HgfuzpmNJ/3i+3pZIjgxE3ioZ5AmoM8B/vTyivdgOf1UAEOBMlftiQG029rTkVp+/MUrLUGByjnmrv6Uuzs2x/84He+7paqNZoumRr+yfZuc31xDBHQKIWAnKhbp+piGiBENOnB5H3HG&amp;guid=6a6645fc17b30e2c3a2161&amp;idrepository=879</w:t>
        </w:r>
      </w:hyperlink>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634A84">
        <w:rPr>
          <w:rFonts w:ascii="Arial" w:hAnsi="Arial" w:cs="Arial"/>
          <w:sz w:val="22"/>
          <w:szCs w:val="22"/>
        </w:rPr>
        <w:t>Otrosí 6 Contrato Proactiva.</w:t>
      </w:r>
      <w:r w:rsidRPr="00CF632F">
        <w:rPr>
          <w:rFonts w:ascii="Arial" w:hAnsi="Arial" w:cs="Arial"/>
          <w:sz w:val="22"/>
          <w:szCs w:val="22"/>
        </w:rPr>
        <w:t xml:space="preserve">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rPr>
        <w:t>o.</w:t>
      </w:r>
      <w:r w:rsidRPr="00CF632F">
        <w:rPr>
          <w:rFonts w:ascii="Arial" w:hAnsi="Arial" w:cs="Arial"/>
          <w:sz w:val="22"/>
          <w:szCs w:val="22"/>
        </w:rPr>
        <w:t xml:space="preserve"> 20/2021/D028-PREDI. </w:t>
      </w:r>
      <w:r w:rsidRPr="00634A84">
        <w:rPr>
          <w:rFonts w:ascii="Arial" w:hAnsi="Arial" w:cs="Arial"/>
          <w:sz w:val="22"/>
          <w:szCs w:val="22"/>
        </w:rPr>
        <w:t>Enlace:</w:t>
      </w:r>
    </w:p>
    <w:p w:rsidR="00D75790" w:rsidRPr="00634A84" w:rsidRDefault="006E598A" w:rsidP="00D75790">
      <w:pPr>
        <w:pStyle w:val="Prrafodelista"/>
        <w:jc w:val="both"/>
        <w:rPr>
          <w:rFonts w:ascii="Arial" w:hAnsi="Arial" w:cs="Arial"/>
          <w:sz w:val="22"/>
          <w:szCs w:val="22"/>
        </w:rPr>
      </w:pPr>
      <w:hyperlink r:id="rId44" w:history="1">
        <w:r w:rsidR="00D75790" w:rsidRPr="001F4E67">
          <w:rPr>
            <w:rStyle w:val="Hipervnculo"/>
            <w:rFonts w:ascii="Arial" w:hAnsi="Arial" w:cs="Arial"/>
            <w:sz w:val="22"/>
            <w:szCs w:val="22"/>
          </w:rPr>
          <w:t>http://portalgestiondoc.minhacienda.red/PortalEmpleado/viewer.jsp?config=YIassEQp6kHGK1zQp2603MyHJ+hKvqcuHyV3vVHJjpXqYK/jq1kH9fLHXS0qGr9gM9VfxhCwQ3WaNuLrDzTrnoBzsKPjtlFTzf4RBw/HJQoYqx4JbJAOV58T7B3NRPeZmc+LBmXreLUAyzX+G/OXvyqysMDWqs42Raekfaa1kTqQ+b8Xhsp7LhIy2FseHeii&amp;guid=6a6645fc17b30e2c3a215d&amp;idrepository=879</w:t>
        </w:r>
      </w:hyperlink>
      <w:r w:rsidR="00D75790">
        <w:rPr>
          <w:rFonts w:ascii="Arial" w:hAnsi="Arial" w:cs="Arial"/>
          <w:sz w:val="22"/>
          <w:szCs w:val="22"/>
        </w:rPr>
        <w:t xml:space="preserve"> </w:t>
      </w:r>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634A84">
        <w:rPr>
          <w:rFonts w:ascii="Arial" w:hAnsi="Arial" w:cs="Arial"/>
          <w:sz w:val="22"/>
          <w:szCs w:val="22"/>
        </w:rPr>
        <w:t xml:space="preserve">Otrosí 5 Contrato Proactiva. </w:t>
      </w:r>
      <w:r w:rsidRPr="00634A84">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634A84">
        <w:rPr>
          <w:rFonts w:ascii="Arial" w:hAnsi="Arial" w:cs="Arial"/>
          <w:sz w:val="22"/>
          <w:szCs w:val="22"/>
          <w:lang w:val="es-ES_tradnl"/>
        </w:rPr>
        <w:t xml:space="preserve"> 20/2021/D028-PREDI. </w:t>
      </w:r>
      <w:r w:rsidRPr="00634A84">
        <w:rPr>
          <w:rFonts w:ascii="Arial" w:hAnsi="Arial" w:cs="Arial"/>
          <w:sz w:val="22"/>
          <w:szCs w:val="22"/>
        </w:rPr>
        <w:t>Enlace:</w:t>
      </w:r>
    </w:p>
    <w:p w:rsidR="00D75790" w:rsidRPr="00634A84" w:rsidRDefault="006E598A" w:rsidP="00D75790">
      <w:pPr>
        <w:pStyle w:val="Prrafodelista"/>
        <w:jc w:val="both"/>
        <w:rPr>
          <w:rFonts w:ascii="Arial" w:hAnsi="Arial" w:cs="Arial"/>
          <w:sz w:val="22"/>
          <w:szCs w:val="22"/>
        </w:rPr>
      </w:pPr>
      <w:hyperlink r:id="rId45" w:history="1">
        <w:r w:rsidR="00D75790" w:rsidRPr="00634A84">
          <w:rPr>
            <w:rStyle w:val="Hipervnculo"/>
            <w:rFonts w:ascii="Arial" w:hAnsi="Arial" w:cs="Arial"/>
            <w:sz w:val="22"/>
            <w:szCs w:val="22"/>
          </w:rPr>
          <w:t>http://portalgestiondoc.minhacienda.red/PortalEmpleado/viewer.jsp?config=Z1bIcQHeVA9UY2NsqGhEtyIcSK0ZN70WH2dA3gEDw5JI6bAmZn3SDKmVb63cnKEd2B1jyHY3iTgCGEf2S+ZuwXkSo2g2Wueba9NgiU0l7jvQpF4JGZXZZCYVlPyfHnUenicCPym3sduC+AgVWjKkJzE43X0Yc2fflqTVWW3wHJBJVEGD2fWMc64s8LtEUu3D&amp;guid=6a6645fc17b30e2c3a215b&amp;idrepository=879</w:t>
        </w:r>
      </w:hyperlink>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634A84">
        <w:rPr>
          <w:rFonts w:ascii="Arial" w:hAnsi="Arial" w:cs="Arial"/>
          <w:sz w:val="22"/>
          <w:szCs w:val="22"/>
        </w:rPr>
        <w:t xml:space="preserve">Otrosí 4 Contrato Proactiva. </w:t>
      </w:r>
      <w:r w:rsidRPr="00634A84">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634A84">
        <w:rPr>
          <w:rFonts w:ascii="Arial" w:hAnsi="Arial" w:cs="Arial"/>
          <w:sz w:val="22"/>
          <w:szCs w:val="22"/>
          <w:lang w:val="es-ES_tradnl"/>
        </w:rPr>
        <w:t xml:space="preserve"> 20/2021/D028-PREDI. </w:t>
      </w:r>
      <w:r w:rsidRPr="00634A84">
        <w:rPr>
          <w:rFonts w:ascii="Arial" w:hAnsi="Arial" w:cs="Arial"/>
          <w:sz w:val="22"/>
          <w:szCs w:val="22"/>
        </w:rPr>
        <w:t>Enlace:</w:t>
      </w:r>
    </w:p>
    <w:p w:rsidR="00D75790" w:rsidRPr="00634A84" w:rsidRDefault="006E598A" w:rsidP="00D75790">
      <w:pPr>
        <w:pStyle w:val="Prrafodelista"/>
        <w:jc w:val="both"/>
        <w:rPr>
          <w:rFonts w:ascii="Arial" w:hAnsi="Arial" w:cs="Arial"/>
          <w:sz w:val="22"/>
          <w:szCs w:val="22"/>
        </w:rPr>
      </w:pPr>
      <w:hyperlink r:id="rId46" w:history="1">
        <w:r w:rsidR="00D75790" w:rsidRPr="00634A84">
          <w:rPr>
            <w:rStyle w:val="Hipervnculo"/>
            <w:rFonts w:ascii="Arial" w:hAnsi="Arial" w:cs="Arial"/>
            <w:sz w:val="22"/>
            <w:szCs w:val="22"/>
          </w:rPr>
          <w:t>http://portalgestiondoc.minhacienda.red/PortalEmpleado/viewer.jsp?config=J19HHvlY4ww1OvHAIDpvbg1R3nv3RY9/XFye6KgVIWQ21QjDgP6S73kMsT7fynQh5URw4T71m/99QMYJLyFpOTrLMWXjPqJ1JRr8XeunZGzmyBJCnNWXAZgMfnIcs03x5K3R65JEBDU1iYR6V1bceZYiqj8yncmlZ8VQZGxsj+aiYZzjsNvIWJI1zq8v24uf&amp;guid=6a6645fc17b30e2c3a2157&amp;idrepository=879</w:t>
        </w:r>
      </w:hyperlink>
      <w:r w:rsidR="00D75790" w:rsidRPr="00634A84">
        <w:rPr>
          <w:rFonts w:ascii="Arial" w:hAnsi="Arial" w:cs="Arial"/>
          <w:sz w:val="22"/>
          <w:szCs w:val="22"/>
        </w:rPr>
        <w:t>.</w:t>
      </w:r>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34629F">
        <w:rPr>
          <w:rFonts w:ascii="Arial" w:hAnsi="Arial" w:cs="Arial"/>
          <w:sz w:val="22"/>
          <w:szCs w:val="22"/>
        </w:rPr>
        <w:t>Otr</w:t>
      </w:r>
      <w:r w:rsidRPr="00CF632F">
        <w:rPr>
          <w:rFonts w:ascii="Arial" w:hAnsi="Arial" w:cs="Arial"/>
          <w:sz w:val="22"/>
          <w:szCs w:val="22"/>
        </w:rPr>
        <w:t>o</w:t>
      </w:r>
      <w:r>
        <w:rPr>
          <w:rFonts w:ascii="Arial" w:hAnsi="Arial" w:cs="Arial"/>
          <w:sz w:val="22"/>
          <w:szCs w:val="22"/>
        </w:rPr>
        <w:t>sí</w:t>
      </w:r>
      <w:r w:rsidRPr="00CF632F">
        <w:rPr>
          <w:rFonts w:ascii="Arial" w:hAnsi="Arial" w:cs="Arial"/>
          <w:sz w:val="22"/>
          <w:szCs w:val="22"/>
        </w:rPr>
        <w:t xml:space="preserve"> 3 </w:t>
      </w:r>
      <w:r w:rsidRPr="00634A84">
        <w:rPr>
          <w:rFonts w:ascii="Arial" w:hAnsi="Arial" w:cs="Arial"/>
          <w:sz w:val="22"/>
          <w:szCs w:val="22"/>
        </w:rPr>
        <w:t>Contrato Proactiva</w:t>
      </w:r>
      <w:r w:rsidRPr="00CF632F">
        <w:rPr>
          <w:rFonts w:ascii="Arial" w:hAnsi="Arial" w:cs="Arial"/>
          <w:sz w:val="22"/>
          <w:szCs w:val="22"/>
        </w:rPr>
        <w:t>.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rPr>
        <w:t>o.</w:t>
      </w:r>
      <w:r w:rsidRPr="00CF632F">
        <w:rPr>
          <w:rFonts w:ascii="Arial" w:hAnsi="Arial" w:cs="Arial"/>
          <w:sz w:val="22"/>
          <w:szCs w:val="22"/>
        </w:rPr>
        <w:t xml:space="preserve"> 20/2021/D028-PREDI. </w:t>
      </w:r>
      <w:r w:rsidRPr="0034629F">
        <w:rPr>
          <w:rFonts w:ascii="Arial" w:hAnsi="Arial" w:cs="Arial"/>
          <w:sz w:val="22"/>
          <w:szCs w:val="22"/>
        </w:rPr>
        <w:t>Enlace:</w:t>
      </w:r>
    </w:p>
    <w:p w:rsidR="00D75790" w:rsidRPr="00CF632F" w:rsidRDefault="006E598A" w:rsidP="00D75790">
      <w:pPr>
        <w:pStyle w:val="Prrafodelista"/>
        <w:jc w:val="both"/>
        <w:rPr>
          <w:rFonts w:ascii="Arial" w:hAnsi="Arial" w:cs="Arial"/>
          <w:sz w:val="22"/>
          <w:szCs w:val="22"/>
        </w:rPr>
      </w:pPr>
      <w:hyperlink r:id="rId47" w:history="1">
        <w:r w:rsidR="00D75790" w:rsidRPr="001F4E67">
          <w:rPr>
            <w:rStyle w:val="Hipervnculo"/>
            <w:rFonts w:ascii="Arial" w:hAnsi="Arial" w:cs="Arial"/>
            <w:sz w:val="22"/>
            <w:szCs w:val="22"/>
          </w:rPr>
          <w:t>http://portalgestiondoc.minhacienda.red/PortalEmpleado/viewer.jsp?config=1GjBIT68HYUQMDz991b9kykXAg/dyHt29bQKIQlfz6y13gzo+jJig3Kdi3I/d/9uLOwSS02kZ4h94061dgD9Oo8L7+j8UNC5m5xLJTVZrK7SD2hsXWWQW31N2zWNA8VUOnOYBG9XqkKsHX2ly2nAjadY6D0asyaE0a+L55nhwaIMMIby++vRzW+gncuGT39l&amp;guid=6a6645fc17b30e2c3a2155&amp;idrepository=879</w:t>
        </w:r>
      </w:hyperlink>
      <w:r w:rsidR="00D75790">
        <w:rPr>
          <w:rFonts w:ascii="Arial" w:hAnsi="Arial" w:cs="Arial"/>
          <w:sz w:val="22"/>
          <w:szCs w:val="22"/>
        </w:rPr>
        <w:t xml:space="preserve"> </w:t>
      </w:r>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DA6548">
        <w:rPr>
          <w:rFonts w:ascii="Arial" w:hAnsi="Arial" w:cs="Arial"/>
          <w:sz w:val="22"/>
          <w:szCs w:val="22"/>
        </w:rPr>
        <w:t>Otro</w:t>
      </w:r>
      <w:r>
        <w:rPr>
          <w:rFonts w:ascii="Arial" w:hAnsi="Arial" w:cs="Arial"/>
          <w:sz w:val="22"/>
          <w:szCs w:val="22"/>
        </w:rPr>
        <w:t>sí</w:t>
      </w:r>
      <w:r w:rsidRPr="00E46D41">
        <w:rPr>
          <w:rFonts w:ascii="Arial" w:hAnsi="Arial" w:cs="Arial"/>
          <w:sz w:val="22"/>
          <w:szCs w:val="22"/>
        </w:rPr>
        <w:t xml:space="preserve"> 2 </w:t>
      </w:r>
      <w:r w:rsidRPr="00634A84">
        <w:rPr>
          <w:rFonts w:ascii="Arial" w:hAnsi="Arial" w:cs="Arial"/>
          <w:sz w:val="22"/>
          <w:szCs w:val="22"/>
        </w:rPr>
        <w:t>Contrato Proactiva</w:t>
      </w:r>
      <w:r w:rsidRPr="00E46D41">
        <w:rPr>
          <w:rFonts w:ascii="Arial" w:hAnsi="Arial" w:cs="Arial"/>
          <w:sz w:val="22"/>
          <w:szCs w:val="22"/>
        </w:rPr>
        <w:t xml:space="preserve">. </w:t>
      </w:r>
      <w:r w:rsidRPr="00E46D41">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E46D41">
        <w:rPr>
          <w:rFonts w:ascii="Arial" w:hAnsi="Arial" w:cs="Arial"/>
          <w:sz w:val="22"/>
          <w:szCs w:val="22"/>
          <w:lang w:val="es-ES_tradnl"/>
        </w:rPr>
        <w:t xml:space="preserve"> 20/2021/D028-PREDI. </w:t>
      </w:r>
      <w:r w:rsidRPr="00DA6548">
        <w:rPr>
          <w:rFonts w:ascii="Arial" w:hAnsi="Arial" w:cs="Arial"/>
          <w:sz w:val="22"/>
          <w:szCs w:val="22"/>
        </w:rPr>
        <w:t>Enlace</w:t>
      </w:r>
      <w:r w:rsidRPr="00E46D41">
        <w:rPr>
          <w:rFonts w:ascii="Arial" w:hAnsi="Arial" w:cs="Arial"/>
          <w:sz w:val="22"/>
          <w:szCs w:val="22"/>
        </w:rPr>
        <w:t>:</w:t>
      </w:r>
    </w:p>
    <w:p w:rsidR="00D75790" w:rsidRPr="00E46D41" w:rsidRDefault="006E598A" w:rsidP="00D75790">
      <w:pPr>
        <w:pStyle w:val="Prrafodelista"/>
        <w:jc w:val="both"/>
        <w:rPr>
          <w:rFonts w:ascii="Arial" w:hAnsi="Arial" w:cs="Arial"/>
          <w:sz w:val="22"/>
          <w:szCs w:val="22"/>
        </w:rPr>
      </w:pPr>
      <w:hyperlink r:id="rId48" w:history="1">
        <w:r w:rsidR="00D75790" w:rsidRPr="00DA6548">
          <w:rPr>
            <w:rStyle w:val="Hipervnculo"/>
            <w:rFonts w:ascii="Arial" w:hAnsi="Arial" w:cs="Arial"/>
            <w:sz w:val="22"/>
            <w:szCs w:val="22"/>
          </w:rPr>
          <w:t>http://portalgestiondoc.minhacienda.red/PortalEmpleado/viewer.jsp?config=hKUe9k89hvLmYAraKYDFtnJk/UhPINyF8lBLbylNKHuxalIPMZvdyDTw8UQ6kYoEKtq3g6kRxPA6gZk5cGUt1mexr0dM62Jcuvf1fakrhRyHYku8eroWQrU78WPDIbQuoMaT1vKXAlxF110YPhTEHb6xXLiruVbOSnHGQil4fZjqip/pE1tejpKbQ+9hcixD&amp;guid=6a6645fc17b30e2c3a2153&amp;idrepository=879</w:t>
        </w:r>
      </w:hyperlink>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634A84">
        <w:rPr>
          <w:rFonts w:ascii="Arial" w:hAnsi="Arial" w:cs="Arial"/>
          <w:sz w:val="22"/>
          <w:szCs w:val="22"/>
        </w:rPr>
        <w:t>Otro</w:t>
      </w:r>
      <w:r>
        <w:rPr>
          <w:rFonts w:ascii="Arial" w:hAnsi="Arial" w:cs="Arial"/>
          <w:sz w:val="22"/>
          <w:szCs w:val="22"/>
        </w:rPr>
        <w:t>sí</w:t>
      </w:r>
      <w:r w:rsidRPr="00634A84">
        <w:rPr>
          <w:rFonts w:ascii="Arial" w:hAnsi="Arial" w:cs="Arial"/>
          <w:sz w:val="22"/>
          <w:szCs w:val="22"/>
        </w:rPr>
        <w:t xml:space="preserve"> 1 Contrato Proactiva. </w:t>
      </w:r>
      <w:r w:rsidRPr="00634A84">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634A84">
        <w:rPr>
          <w:rFonts w:ascii="Arial" w:hAnsi="Arial" w:cs="Arial"/>
          <w:sz w:val="22"/>
          <w:szCs w:val="22"/>
          <w:lang w:val="es-ES_tradnl"/>
        </w:rPr>
        <w:t xml:space="preserve"> 20/2021/D028-PREDI. </w:t>
      </w:r>
      <w:r w:rsidRPr="00634A84">
        <w:rPr>
          <w:rFonts w:ascii="Arial" w:hAnsi="Arial" w:cs="Arial"/>
          <w:sz w:val="22"/>
          <w:szCs w:val="22"/>
        </w:rPr>
        <w:t>Enlace:</w:t>
      </w:r>
    </w:p>
    <w:p w:rsidR="00D75790" w:rsidRPr="00634A84" w:rsidRDefault="006E598A" w:rsidP="00D75790">
      <w:pPr>
        <w:pStyle w:val="Prrafodelista"/>
        <w:jc w:val="both"/>
        <w:rPr>
          <w:rFonts w:ascii="Arial" w:hAnsi="Arial" w:cs="Arial"/>
          <w:sz w:val="22"/>
          <w:szCs w:val="22"/>
        </w:rPr>
      </w:pPr>
      <w:hyperlink r:id="rId49" w:history="1">
        <w:r w:rsidR="00D75790" w:rsidRPr="00634A84">
          <w:rPr>
            <w:rStyle w:val="Hipervnculo"/>
            <w:rFonts w:ascii="Arial" w:hAnsi="Arial" w:cs="Arial"/>
            <w:sz w:val="22"/>
            <w:szCs w:val="22"/>
          </w:rPr>
          <w:t>http://portalgestiondoc.minhacienda.red/PortalEmpleado/viewer.jsp?config=FBV5BZSXqCHR6RGQU+flc94QHL6abVQj1lKA6JL7EQ4YEdORznkK3XZVJky31Lc9jzV0pKIsw/Y0BCvjaNBs6E9PEa+ovbymYakjXluZBvmzPXyFbRkQiul+cZgi2Wcg46h9nEoq8pzEKrdHuqcsakHJi/2gu8rZLg+WcVz2jLNrxcsKLF/pkVQDIDBz+TF2&amp;guid=6a6645fc17b30e2c3a2151&amp;idrepository=879</w:t>
        </w:r>
      </w:hyperlink>
    </w:p>
    <w:p w:rsidR="00D75790" w:rsidRPr="00634A84" w:rsidRDefault="00D75790" w:rsidP="00D75790">
      <w:pPr>
        <w:contextualSpacing/>
        <w:jc w:val="both"/>
        <w:rPr>
          <w:rFonts w:ascii="Arial" w:hAnsi="Arial" w:cs="Arial"/>
          <w:sz w:val="22"/>
          <w:szCs w:val="22"/>
        </w:rPr>
      </w:pPr>
    </w:p>
    <w:p w:rsidR="00D75790" w:rsidRDefault="00D75790" w:rsidP="00D75790">
      <w:pPr>
        <w:pStyle w:val="Prrafodelista"/>
        <w:numPr>
          <w:ilvl w:val="0"/>
          <w:numId w:val="33"/>
        </w:numPr>
        <w:jc w:val="both"/>
        <w:rPr>
          <w:rFonts w:ascii="Arial" w:hAnsi="Arial" w:cs="Arial"/>
          <w:sz w:val="22"/>
          <w:szCs w:val="22"/>
        </w:rPr>
      </w:pPr>
      <w:r w:rsidRPr="00634A84">
        <w:rPr>
          <w:rFonts w:ascii="Arial" w:hAnsi="Arial" w:cs="Arial"/>
          <w:sz w:val="22"/>
          <w:szCs w:val="22"/>
        </w:rPr>
        <w:t>Contrato Proactiva</w:t>
      </w:r>
      <w:r>
        <w:rPr>
          <w:rFonts w:ascii="Arial" w:hAnsi="Arial" w:cs="Arial"/>
          <w:sz w:val="22"/>
          <w:szCs w:val="22"/>
        </w:rPr>
        <w:t xml:space="preserve"> </w:t>
      </w:r>
      <w:r w:rsidRPr="00634A84">
        <w:rPr>
          <w:rFonts w:ascii="Arial" w:hAnsi="Arial" w:cs="Arial"/>
          <w:sz w:val="22"/>
          <w:szCs w:val="22"/>
        </w:rPr>
        <w:t xml:space="preserve">1. </w:t>
      </w:r>
      <w:r w:rsidRPr="00634A84">
        <w:rPr>
          <w:rFonts w:ascii="Arial" w:hAnsi="Arial" w:cs="Arial"/>
          <w:sz w:val="22"/>
          <w:szCs w:val="22"/>
          <w:lang w:val="es-ES_tradnl"/>
        </w:rPr>
        <w:t>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634A84">
        <w:rPr>
          <w:rFonts w:ascii="Arial" w:hAnsi="Arial" w:cs="Arial"/>
          <w:sz w:val="22"/>
          <w:szCs w:val="22"/>
          <w:lang w:val="es-ES_tradnl"/>
        </w:rPr>
        <w:t xml:space="preserve"> 20/2021/D028-PREDI. </w:t>
      </w:r>
      <w:r w:rsidRPr="00634A84">
        <w:rPr>
          <w:rFonts w:ascii="Arial" w:hAnsi="Arial" w:cs="Arial"/>
          <w:sz w:val="22"/>
          <w:szCs w:val="22"/>
        </w:rPr>
        <w:t>Enlace:</w:t>
      </w:r>
    </w:p>
    <w:p w:rsidR="00D75790" w:rsidRPr="00634A84" w:rsidRDefault="006E598A" w:rsidP="00D75790">
      <w:pPr>
        <w:pStyle w:val="Prrafodelista"/>
        <w:jc w:val="both"/>
        <w:rPr>
          <w:rFonts w:ascii="Arial" w:hAnsi="Arial" w:cs="Arial"/>
          <w:sz w:val="22"/>
          <w:szCs w:val="22"/>
        </w:rPr>
      </w:pPr>
      <w:hyperlink r:id="rId50" w:history="1">
        <w:r w:rsidR="00D75790" w:rsidRPr="00634A84">
          <w:rPr>
            <w:rStyle w:val="Hipervnculo"/>
            <w:rFonts w:ascii="Arial" w:hAnsi="Arial" w:cs="Arial"/>
            <w:sz w:val="22"/>
            <w:szCs w:val="22"/>
          </w:rPr>
          <w:t>http://portalgestiondoc.minhacienda.red/PortalEmpleado/viewer.jsp?config=o2hQwUsNqili7dl27IElxDdqDGoz9SUtc46tq3maU1ZVB9KUfRk/yZNfPzc6Fm6KPQdqzmnL3lbSTYFEEMm6R9hwzwRzPGOqoTjjVSha2NAJ3p3aBcjkCLTvXT/s9svdg9gdEtpG6EdWTfDXJdXiOPaMHwqcgcxp8e2cp88JDwM9F21a0FkDnDLXYg6yBvfG&amp;guid=6a6645fc17b30e2c3a214b&amp;idrepository=879</w:t>
        </w:r>
      </w:hyperlink>
    </w:p>
    <w:p w:rsidR="00D75790" w:rsidRPr="00634A84" w:rsidRDefault="00D75790" w:rsidP="00D75790">
      <w:pPr>
        <w:contextualSpacing/>
        <w:jc w:val="both"/>
        <w:rPr>
          <w:rFonts w:ascii="Arial" w:hAnsi="Arial" w:cs="Arial"/>
          <w:sz w:val="22"/>
          <w:szCs w:val="22"/>
        </w:rPr>
      </w:pPr>
    </w:p>
    <w:bookmarkEnd w:id="5"/>
    <w:p w:rsidR="00D75790" w:rsidRPr="00DC371E" w:rsidRDefault="00D75790" w:rsidP="00D75790">
      <w:pPr>
        <w:contextualSpacing/>
        <w:jc w:val="both"/>
        <w:rPr>
          <w:rFonts w:ascii="Arial" w:hAnsi="Arial" w:cs="Arial"/>
          <w:i/>
          <w:sz w:val="22"/>
          <w:szCs w:val="22"/>
          <w:highlight w:val="yellow"/>
        </w:rPr>
      </w:pPr>
    </w:p>
    <w:p w:rsidR="00D75790" w:rsidRPr="00DC371E" w:rsidRDefault="00D75790" w:rsidP="00D75790">
      <w:pPr>
        <w:contextualSpacing/>
        <w:jc w:val="both"/>
        <w:rPr>
          <w:rFonts w:ascii="Arial" w:hAnsi="Arial" w:cs="Arial"/>
          <w:b/>
          <w:bCs/>
          <w:iCs/>
          <w:sz w:val="22"/>
          <w:szCs w:val="22"/>
          <w:lang w:val="es-ES_tradnl"/>
        </w:rPr>
      </w:pPr>
      <w:bookmarkStart w:id="6" w:name="_Hlk79475674"/>
      <w:r w:rsidRPr="00DC371E">
        <w:rPr>
          <w:rFonts w:ascii="Arial" w:hAnsi="Arial" w:cs="Arial"/>
          <w:b/>
          <w:bCs/>
          <w:iCs/>
          <w:sz w:val="22"/>
          <w:szCs w:val="22"/>
          <w:lang w:val="es-ES_tradnl"/>
        </w:rPr>
        <w:t>9.18. “</w:t>
      </w:r>
      <w:r w:rsidRPr="00DC371E">
        <w:rPr>
          <w:rFonts w:ascii="Arial" w:hAnsi="Arial" w:cs="Arial"/>
          <w:b/>
          <w:bCs/>
          <w:i/>
          <w:sz w:val="22"/>
          <w:szCs w:val="22"/>
          <w:lang w:val="es-ES_tradnl"/>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DC371E">
        <w:rPr>
          <w:rFonts w:ascii="Arial" w:hAnsi="Arial" w:cs="Arial"/>
          <w:b/>
          <w:bCs/>
          <w:iCs/>
          <w:sz w:val="22"/>
          <w:szCs w:val="22"/>
          <w:lang w:val="es-ES_tradnl"/>
        </w:rPr>
        <w:t>”.</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b/>
          <w:bCs/>
          <w:iCs/>
          <w:sz w:val="22"/>
          <w:szCs w:val="22"/>
          <w:lang w:val="es-ES_tradnl"/>
        </w:rPr>
      </w:pPr>
    </w:p>
    <w:p w:rsidR="00D75790" w:rsidRPr="00DC371E" w:rsidRDefault="00D75790" w:rsidP="00D75790">
      <w:pPr>
        <w:contextualSpacing/>
        <w:jc w:val="both"/>
        <w:rPr>
          <w:rFonts w:ascii="Arial" w:hAnsi="Arial" w:cs="Arial"/>
          <w:b/>
          <w:sz w:val="22"/>
        </w:rPr>
      </w:pPr>
      <w:r w:rsidRPr="00DC371E">
        <w:rPr>
          <w:rFonts w:ascii="Arial" w:hAnsi="Arial" w:cs="Arial"/>
          <w:b/>
          <w:sz w:val="22"/>
        </w:rPr>
        <w:t>Riesgo para prestación adecuada del servicio</w:t>
      </w:r>
      <w:r>
        <w:rPr>
          <w:rFonts w:ascii="Arial" w:hAnsi="Arial" w:cs="Arial"/>
          <w:b/>
          <w:sz w:val="22"/>
        </w:rPr>
        <w:t>.</w:t>
      </w:r>
    </w:p>
    <w:p w:rsidR="00D75790" w:rsidRPr="00DC371E" w:rsidRDefault="00D75790" w:rsidP="00D75790">
      <w:pPr>
        <w:ind w:left="350"/>
        <w:contextualSpacing/>
        <w:jc w:val="both"/>
        <w:rPr>
          <w:rFonts w:ascii="Arial" w:hAnsi="Arial" w:cs="Arial"/>
          <w:b/>
          <w:sz w:val="22"/>
        </w:rPr>
      </w:pPr>
    </w:p>
    <w:p w:rsidR="00D75790" w:rsidRPr="00DC371E" w:rsidRDefault="00D75790" w:rsidP="00D75790">
      <w:pPr>
        <w:pStyle w:val="Prrafodelista"/>
        <w:numPr>
          <w:ilvl w:val="0"/>
          <w:numId w:val="1"/>
        </w:numPr>
        <w:jc w:val="both"/>
        <w:rPr>
          <w:rFonts w:ascii="Arial" w:hAnsi="Arial" w:cs="Arial"/>
          <w:b/>
          <w:sz w:val="22"/>
        </w:rPr>
      </w:pPr>
      <w:r w:rsidRPr="00DC371E">
        <w:rPr>
          <w:rFonts w:ascii="Arial" w:hAnsi="Arial" w:cs="Arial"/>
          <w:b/>
          <w:sz w:val="22"/>
        </w:rPr>
        <w:t>Continuidad en la prestación del servicio</w:t>
      </w:r>
      <w:r>
        <w:rPr>
          <w:rFonts w:ascii="Arial" w:hAnsi="Arial" w:cs="Arial"/>
          <w:b/>
          <w:sz w:val="22"/>
        </w:rPr>
        <w:t>.</w:t>
      </w:r>
    </w:p>
    <w:p w:rsidR="00D75790" w:rsidRPr="00DC371E" w:rsidRDefault="00D75790" w:rsidP="00D75790">
      <w:pPr>
        <w:contextualSpacing/>
        <w:jc w:val="both"/>
        <w:rPr>
          <w:rFonts w:ascii="Arial" w:hAnsi="Arial" w:cs="Arial"/>
          <w:b/>
          <w:sz w:val="22"/>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Este indicador evalúa la disponibilidad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 a los usuarios en términos de horas al día, de acuerdo con la metodología para su cálculo establecida en la Resolución 2115 de 2007 y en porcentaje, según lo establecido en la Resolución CRA 315 de 2005.</w:t>
      </w:r>
    </w:p>
    <w:p w:rsidR="00D75790" w:rsidRPr="00DC371E" w:rsidRDefault="00D75790" w:rsidP="00D75790">
      <w:pPr>
        <w:contextualSpacing/>
        <w:jc w:val="center"/>
        <w:rPr>
          <w:rFonts w:ascii="Arial" w:hAnsi="Arial" w:cs="Arial"/>
          <w:b/>
          <w:bCs/>
          <w:color w:val="222222"/>
          <w:sz w:val="22"/>
          <w:szCs w:val="22"/>
          <w:lang w:val="es-ES_tradnl"/>
        </w:rPr>
      </w:pPr>
    </w:p>
    <w:p w:rsidR="00D75790" w:rsidRPr="00E46D41" w:rsidRDefault="00D75790" w:rsidP="00D75790">
      <w:pPr>
        <w:contextualSpacing/>
        <w:jc w:val="center"/>
        <w:rPr>
          <w:rFonts w:ascii="Arial" w:hAnsi="Arial" w:cs="Arial"/>
          <w:b/>
          <w:bCs/>
          <w:color w:val="222222"/>
          <w:sz w:val="20"/>
          <w:szCs w:val="22"/>
          <w:lang w:val="es-ES_tradnl"/>
        </w:rPr>
      </w:pPr>
      <w:r w:rsidRPr="00E46D41">
        <w:rPr>
          <w:rFonts w:ascii="Arial" w:hAnsi="Arial" w:cs="Arial"/>
          <w:b/>
          <w:bCs/>
          <w:color w:val="222222"/>
          <w:sz w:val="20"/>
          <w:szCs w:val="22"/>
          <w:lang w:val="es-ES_tradnl"/>
        </w:rPr>
        <w:lastRenderedPageBreak/>
        <w:t>TABLA 33. INDICE DE CONTINUIDAD</w:t>
      </w:r>
    </w:p>
    <w:tbl>
      <w:tblPr>
        <w:tblStyle w:val="Tablaconcuadrcula"/>
        <w:tblW w:w="0" w:type="auto"/>
        <w:jc w:val="center"/>
        <w:tblLook w:val="04A0" w:firstRow="1" w:lastRow="0" w:firstColumn="1" w:lastColumn="0" w:noHBand="0" w:noVBand="1"/>
      </w:tblPr>
      <w:tblGrid>
        <w:gridCol w:w="3028"/>
        <w:gridCol w:w="2428"/>
      </w:tblGrid>
      <w:tr w:rsidR="00D75790" w:rsidRPr="00CB7070" w:rsidTr="00695E54">
        <w:trPr>
          <w:jc w:val="center"/>
        </w:trPr>
        <w:tc>
          <w:tcPr>
            <w:tcW w:w="3028" w:type="dxa"/>
            <w:shd w:val="clear" w:color="auto" w:fill="DBE5F1" w:themeFill="accent1" w:themeFillTint="33"/>
          </w:tcPr>
          <w:p w:rsidR="00D75790" w:rsidRPr="00E46D41" w:rsidRDefault="00D75790" w:rsidP="00695E54">
            <w:pPr>
              <w:contextualSpacing/>
              <w:jc w:val="center"/>
              <w:rPr>
                <w:rFonts w:ascii="Arial" w:hAnsi="Arial" w:cs="Arial"/>
                <w:b/>
                <w:bCs/>
                <w:color w:val="222222"/>
                <w:sz w:val="18"/>
                <w:szCs w:val="20"/>
                <w:lang w:val="es-ES_tradnl"/>
              </w:rPr>
            </w:pPr>
            <w:r w:rsidRPr="00E46D41">
              <w:rPr>
                <w:rFonts w:ascii="Arial" w:hAnsi="Arial" w:cs="Arial"/>
                <w:b/>
                <w:bCs/>
                <w:sz w:val="18"/>
                <w:szCs w:val="20"/>
              </w:rPr>
              <w:t>Continuidad del servicio - IC</w:t>
            </w:r>
          </w:p>
        </w:tc>
        <w:tc>
          <w:tcPr>
            <w:tcW w:w="2428" w:type="dxa"/>
            <w:shd w:val="clear" w:color="auto" w:fill="DBE5F1" w:themeFill="accent1" w:themeFillTint="33"/>
          </w:tcPr>
          <w:p w:rsidR="00D75790" w:rsidRPr="00E46D41" w:rsidRDefault="00D75790" w:rsidP="00695E54">
            <w:pPr>
              <w:contextualSpacing/>
              <w:jc w:val="center"/>
              <w:rPr>
                <w:rFonts w:ascii="Arial" w:hAnsi="Arial" w:cs="Arial"/>
                <w:b/>
                <w:bCs/>
                <w:color w:val="222222"/>
                <w:sz w:val="18"/>
                <w:szCs w:val="20"/>
                <w:lang w:val="es-ES_tradnl"/>
              </w:rPr>
            </w:pPr>
            <w:r w:rsidRPr="00E46D41">
              <w:rPr>
                <w:rFonts w:ascii="Arial" w:hAnsi="Arial" w:cs="Arial"/>
                <w:b/>
                <w:bCs/>
                <w:sz w:val="18"/>
                <w:szCs w:val="20"/>
              </w:rPr>
              <w:t>Clasificación</w:t>
            </w:r>
          </w:p>
        </w:tc>
      </w:tr>
      <w:tr w:rsidR="00D75790" w:rsidRPr="00CB7070" w:rsidTr="00695E54">
        <w:trPr>
          <w:jc w:val="center"/>
        </w:trPr>
        <w:tc>
          <w:tcPr>
            <w:tcW w:w="30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0- 10 HORAS/DIA</w:t>
            </w:r>
          </w:p>
        </w:tc>
        <w:tc>
          <w:tcPr>
            <w:tcW w:w="24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(INSUFICIENTE)</w:t>
            </w:r>
          </w:p>
        </w:tc>
      </w:tr>
      <w:tr w:rsidR="00D75790" w:rsidRPr="00CB7070" w:rsidTr="00695E54">
        <w:trPr>
          <w:jc w:val="center"/>
        </w:trPr>
        <w:tc>
          <w:tcPr>
            <w:tcW w:w="30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10.1- 18 HORAS/DIA</w:t>
            </w:r>
          </w:p>
        </w:tc>
        <w:tc>
          <w:tcPr>
            <w:tcW w:w="24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(NO SATISFACTORIO)</w:t>
            </w:r>
          </w:p>
        </w:tc>
      </w:tr>
      <w:tr w:rsidR="00D75790" w:rsidRPr="00CB7070" w:rsidTr="00695E54">
        <w:trPr>
          <w:jc w:val="center"/>
        </w:trPr>
        <w:tc>
          <w:tcPr>
            <w:tcW w:w="30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18.1- 23 HORAS/DIA</w:t>
            </w:r>
          </w:p>
        </w:tc>
        <w:tc>
          <w:tcPr>
            <w:tcW w:w="24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(SUFICIENTE)</w:t>
            </w:r>
          </w:p>
        </w:tc>
      </w:tr>
      <w:tr w:rsidR="00D75790" w:rsidRPr="00CB7070" w:rsidTr="00695E54">
        <w:trPr>
          <w:jc w:val="center"/>
        </w:trPr>
        <w:tc>
          <w:tcPr>
            <w:tcW w:w="30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23.1 - 24 HORAS/DIA</w:t>
            </w:r>
          </w:p>
        </w:tc>
        <w:tc>
          <w:tcPr>
            <w:tcW w:w="2428"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sz w:val="18"/>
                <w:szCs w:val="20"/>
              </w:rPr>
              <w:t>(CONTINUO)</w:t>
            </w:r>
          </w:p>
        </w:tc>
      </w:tr>
    </w:tbl>
    <w:p w:rsidR="00D75790" w:rsidRPr="00DC371E" w:rsidRDefault="00D75790" w:rsidP="00D75790">
      <w:pPr>
        <w:contextualSpacing/>
        <w:jc w:val="center"/>
        <w:rPr>
          <w:rFonts w:ascii="Arial" w:hAnsi="Arial" w:cs="Arial"/>
          <w:color w:val="222222"/>
          <w:sz w:val="16"/>
          <w:szCs w:val="16"/>
          <w:lang w:val="es-ES_tradnl"/>
        </w:rPr>
      </w:pPr>
      <w:r w:rsidRPr="00DC371E">
        <w:rPr>
          <w:rFonts w:ascii="Arial" w:hAnsi="Arial" w:cs="Arial"/>
          <w:color w:val="222222"/>
          <w:sz w:val="16"/>
          <w:szCs w:val="16"/>
          <w:lang w:val="es-ES_tradnl"/>
        </w:rPr>
        <w:t>Fuente: Resolución CRA 2115 de 2007</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En relación con la continuidad</w:t>
      </w:r>
      <w:r w:rsidRPr="00DC371E">
        <w:rPr>
          <w:rStyle w:val="Refdenotaalpie"/>
          <w:rFonts w:ascii="Arial" w:hAnsi="Arial" w:cs="Arial"/>
          <w:color w:val="222222"/>
          <w:sz w:val="22"/>
          <w:szCs w:val="22"/>
          <w:lang w:val="es-ES_tradnl"/>
        </w:rPr>
        <w:footnoteReference w:id="40"/>
      </w:r>
      <w:r w:rsidRPr="00DC371E">
        <w:rPr>
          <w:rFonts w:ascii="Arial" w:hAnsi="Arial" w:cs="Arial"/>
          <w:color w:val="222222"/>
          <w:sz w:val="22"/>
          <w:szCs w:val="22"/>
          <w:lang w:val="es-ES_tradnl"/>
        </w:rPr>
        <w:t xml:space="preserve"> en la prestación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 el informe del MVCT radicado en 28 de mayo de 2021 en la DAF, hizo referencia en los siguientes aspectos:</w:t>
      </w:r>
    </w:p>
    <w:p w:rsidR="00D75790" w:rsidRPr="00DC371E" w:rsidRDefault="00D75790" w:rsidP="00D75790">
      <w:pPr>
        <w:contextualSpacing/>
        <w:jc w:val="both"/>
        <w:rPr>
          <w:rFonts w:ascii="Arial" w:hAnsi="Arial" w:cs="Arial"/>
          <w:color w:val="222222"/>
          <w:sz w:val="22"/>
          <w:szCs w:val="22"/>
          <w:lang w:val="es-ES_tradnl"/>
        </w:rPr>
      </w:pPr>
    </w:p>
    <w:p w:rsidR="00D75790" w:rsidRPr="00E46D41" w:rsidRDefault="00D75790" w:rsidP="00D75790">
      <w:pPr>
        <w:ind w:left="1416"/>
        <w:contextualSpacing/>
        <w:jc w:val="both"/>
        <w:rPr>
          <w:rFonts w:ascii="Arial" w:hAnsi="Arial" w:cs="Arial"/>
          <w:i/>
          <w:iCs/>
          <w:color w:val="222222"/>
          <w:sz w:val="18"/>
          <w:szCs w:val="22"/>
          <w:lang w:val="es-ES_tradnl"/>
        </w:rPr>
      </w:pPr>
      <w:r w:rsidRPr="00E46D41">
        <w:rPr>
          <w:rFonts w:ascii="Arial" w:hAnsi="Arial" w:cs="Arial"/>
          <w:iCs/>
          <w:color w:val="222222"/>
          <w:sz w:val="18"/>
          <w:szCs w:val="22"/>
          <w:lang w:val="es-ES_tradnl"/>
        </w:rPr>
        <w:t>“</w:t>
      </w:r>
      <w:r w:rsidRPr="00E46D41">
        <w:rPr>
          <w:rFonts w:ascii="Arial" w:hAnsi="Arial" w:cs="Arial"/>
          <w:i/>
          <w:iCs/>
          <w:color w:val="222222"/>
          <w:sz w:val="18"/>
          <w:szCs w:val="22"/>
          <w:lang w:val="es-ES_tradnl"/>
        </w:rPr>
        <w:t>Para la vigencia 2019 la entidad territorial no cumplió con este último indicador estratégico, debido a que conforme a la información recopilada en visita realizada en febrero de 2020 la continuidad era menor a 18,1 horas al día.</w:t>
      </w:r>
    </w:p>
    <w:p w:rsidR="00D75790" w:rsidRPr="00E46D41" w:rsidRDefault="00D75790" w:rsidP="00D75790">
      <w:pPr>
        <w:ind w:left="1416"/>
        <w:contextualSpacing/>
        <w:jc w:val="both"/>
        <w:rPr>
          <w:rFonts w:ascii="Arial" w:hAnsi="Arial" w:cs="Arial"/>
          <w:i/>
          <w:iCs/>
          <w:color w:val="222222"/>
          <w:sz w:val="18"/>
          <w:szCs w:val="22"/>
          <w:lang w:val="es-ES_tradnl"/>
        </w:rPr>
      </w:pPr>
    </w:p>
    <w:p w:rsidR="00D75790" w:rsidRPr="00E46D41" w:rsidRDefault="00D75790" w:rsidP="00D75790">
      <w:pPr>
        <w:ind w:left="1416"/>
        <w:contextualSpacing/>
        <w:jc w:val="both"/>
        <w:rPr>
          <w:rFonts w:ascii="Arial" w:hAnsi="Arial" w:cs="Arial"/>
          <w:i/>
          <w:iCs/>
          <w:color w:val="222222"/>
          <w:sz w:val="18"/>
          <w:szCs w:val="22"/>
          <w:lang w:val="es-ES_tradnl"/>
        </w:rPr>
      </w:pPr>
      <w:r w:rsidRPr="00E46D41">
        <w:rPr>
          <w:rFonts w:ascii="Arial" w:hAnsi="Arial" w:cs="Arial"/>
          <w:i/>
          <w:iCs/>
          <w:color w:val="222222"/>
          <w:sz w:val="18"/>
          <w:szCs w:val="22"/>
          <w:lang w:val="es-ES_tradnl"/>
        </w:rPr>
        <w:t xml:space="preserve">Así mismo, la información certificada por la (SSPD) señalaba que la continuidad en 2018 fue de 9,04 horas/día y de la vigencia 2019 no se dispuso de información, por lo cual no se pudo calcular el avance. </w:t>
      </w:r>
    </w:p>
    <w:p w:rsidR="00D75790" w:rsidRPr="00E46D41" w:rsidRDefault="00D75790" w:rsidP="00D75790">
      <w:pPr>
        <w:ind w:left="1416"/>
        <w:contextualSpacing/>
        <w:jc w:val="both"/>
        <w:rPr>
          <w:rFonts w:ascii="Arial" w:hAnsi="Arial" w:cs="Arial"/>
          <w:i/>
          <w:iCs/>
          <w:color w:val="222222"/>
          <w:sz w:val="18"/>
          <w:szCs w:val="22"/>
          <w:lang w:val="es-ES_tradnl"/>
        </w:rPr>
      </w:pPr>
    </w:p>
    <w:p w:rsidR="00D75790" w:rsidRPr="00E46D41" w:rsidRDefault="00D75790" w:rsidP="00D75790">
      <w:pPr>
        <w:ind w:left="1416"/>
        <w:contextualSpacing/>
        <w:jc w:val="both"/>
        <w:rPr>
          <w:rFonts w:ascii="Arial" w:hAnsi="Arial" w:cs="Arial"/>
          <w:i/>
          <w:iCs/>
          <w:color w:val="222222"/>
          <w:sz w:val="18"/>
          <w:szCs w:val="22"/>
          <w:lang w:val="es-ES_tradnl"/>
        </w:rPr>
      </w:pPr>
      <w:r w:rsidRPr="00E46D41">
        <w:rPr>
          <w:rFonts w:ascii="Arial" w:hAnsi="Arial" w:cs="Arial"/>
          <w:i/>
          <w:iCs/>
          <w:color w:val="222222"/>
          <w:sz w:val="18"/>
          <w:szCs w:val="22"/>
          <w:lang w:val="es-ES_tradnl"/>
        </w:rPr>
        <w:t>Para la vigencia 2020 se obtuvo información de Veolia Aguas del Archipiélago, en la que se presenta la continuidad en los sectores atendidos así:</w:t>
      </w:r>
    </w:p>
    <w:p w:rsidR="00D75790" w:rsidRPr="00E46D41" w:rsidRDefault="00D75790" w:rsidP="00D75790">
      <w:pPr>
        <w:ind w:left="1416"/>
        <w:contextualSpacing/>
        <w:jc w:val="both"/>
        <w:rPr>
          <w:rFonts w:ascii="Arial" w:hAnsi="Arial" w:cs="Arial"/>
          <w:i/>
          <w:iCs/>
          <w:color w:val="222222"/>
          <w:sz w:val="18"/>
          <w:szCs w:val="22"/>
          <w:lang w:val="es-ES_tradnl"/>
        </w:rPr>
      </w:pPr>
    </w:p>
    <w:p w:rsidR="00D75790" w:rsidRPr="00E46D41" w:rsidRDefault="00D75790" w:rsidP="00D75790">
      <w:pPr>
        <w:ind w:left="1416"/>
        <w:contextualSpacing/>
        <w:jc w:val="center"/>
        <w:rPr>
          <w:rFonts w:ascii="Arial" w:hAnsi="Arial" w:cs="Arial"/>
          <w:b/>
          <w:bCs/>
          <w:color w:val="222222"/>
          <w:sz w:val="18"/>
          <w:szCs w:val="22"/>
          <w:lang w:val="es-ES_tradnl"/>
        </w:rPr>
      </w:pPr>
      <w:r w:rsidRPr="00E46D41">
        <w:rPr>
          <w:rFonts w:ascii="Arial" w:hAnsi="Arial" w:cs="Arial"/>
          <w:b/>
          <w:bCs/>
          <w:color w:val="222222"/>
          <w:sz w:val="18"/>
          <w:szCs w:val="22"/>
          <w:lang w:val="es-ES_tradnl"/>
        </w:rPr>
        <w:t>TABLA 34. CONTINUIDAD PRESTACION DE ACUEDUCTO VEOLIA</w:t>
      </w:r>
    </w:p>
    <w:tbl>
      <w:tblPr>
        <w:tblStyle w:val="Tablaconcuadrcula"/>
        <w:tblW w:w="0" w:type="auto"/>
        <w:jc w:val="center"/>
        <w:tblLook w:val="04A0" w:firstRow="1" w:lastRow="0" w:firstColumn="1" w:lastColumn="0" w:noHBand="0" w:noVBand="1"/>
      </w:tblPr>
      <w:tblGrid>
        <w:gridCol w:w="2087"/>
        <w:gridCol w:w="3115"/>
      </w:tblGrid>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center"/>
              <w:rPr>
                <w:rFonts w:ascii="Arial" w:hAnsi="Arial" w:cs="Arial"/>
                <w:b/>
                <w:bCs/>
                <w:color w:val="222222"/>
                <w:sz w:val="18"/>
                <w:szCs w:val="20"/>
                <w:lang w:val="es-ES_tradnl"/>
              </w:rPr>
            </w:pPr>
            <w:r w:rsidRPr="00E46D41">
              <w:rPr>
                <w:rFonts w:ascii="Arial" w:hAnsi="Arial" w:cs="Arial"/>
                <w:b/>
                <w:bCs/>
                <w:color w:val="222222"/>
                <w:sz w:val="18"/>
                <w:szCs w:val="20"/>
                <w:lang w:val="es-ES_tradnl"/>
              </w:rPr>
              <w:t>Circuito hidráulico</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b/>
                <w:bCs/>
                <w:color w:val="222222"/>
                <w:sz w:val="18"/>
                <w:szCs w:val="20"/>
                <w:lang w:val="es-ES_tradnl"/>
              </w:rPr>
            </w:pPr>
            <w:r w:rsidRPr="00E46D41">
              <w:rPr>
                <w:rFonts w:ascii="Arial" w:hAnsi="Arial" w:cs="Arial"/>
                <w:b/>
                <w:bCs/>
                <w:color w:val="222222"/>
                <w:sz w:val="18"/>
                <w:szCs w:val="20"/>
                <w:lang w:val="es-ES_tradnl"/>
              </w:rPr>
              <w:t>Continuidad 2020</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Hotelero</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24 horas</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Sarie Bay</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24 horas</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Residencial</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4 horas / día</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Natania</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1 veces por semana 4 horas</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Almendros</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2 veces por semana 4 horas</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Loma</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1 vez cada 15 días</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Cove</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1 vez por semana</w:t>
            </w:r>
          </w:p>
        </w:tc>
      </w:tr>
      <w:tr w:rsidR="00D75790" w:rsidRPr="00CB7070" w:rsidTr="00695E54">
        <w:trPr>
          <w:jc w:val="center"/>
        </w:trPr>
        <w:tc>
          <w:tcPr>
            <w:tcW w:w="2087" w:type="dxa"/>
            <w:shd w:val="clear" w:color="auto" w:fill="DBE5F1" w:themeFill="accent1" w:themeFillTint="33"/>
          </w:tcPr>
          <w:p w:rsidR="00D75790" w:rsidRPr="00E46D41" w:rsidRDefault="00D75790" w:rsidP="00695E54">
            <w:pPr>
              <w:contextualSpacing/>
              <w:jc w:val="both"/>
              <w:rPr>
                <w:rFonts w:ascii="Arial" w:hAnsi="Arial" w:cs="Arial"/>
                <w:color w:val="222222"/>
                <w:sz w:val="18"/>
                <w:szCs w:val="20"/>
                <w:lang w:val="es-ES_tradnl"/>
              </w:rPr>
            </w:pPr>
            <w:r w:rsidRPr="00E46D41">
              <w:rPr>
                <w:rFonts w:ascii="Arial" w:hAnsi="Arial" w:cs="Arial"/>
                <w:color w:val="222222"/>
                <w:sz w:val="18"/>
                <w:szCs w:val="20"/>
                <w:lang w:val="es-ES_tradnl"/>
              </w:rPr>
              <w:t>San Luis</w:t>
            </w:r>
          </w:p>
        </w:tc>
        <w:tc>
          <w:tcPr>
            <w:tcW w:w="3115" w:type="dxa"/>
            <w:shd w:val="clear" w:color="auto" w:fill="DBE5F1" w:themeFill="accent1" w:themeFillTint="33"/>
          </w:tcPr>
          <w:p w:rsidR="00D75790" w:rsidRPr="00E46D41" w:rsidRDefault="00D75790" w:rsidP="00695E54">
            <w:pPr>
              <w:contextualSpacing/>
              <w:jc w:val="center"/>
              <w:rPr>
                <w:rFonts w:ascii="Arial" w:hAnsi="Arial" w:cs="Arial"/>
                <w:color w:val="222222"/>
                <w:sz w:val="18"/>
                <w:szCs w:val="20"/>
                <w:lang w:val="es-ES_tradnl"/>
              </w:rPr>
            </w:pPr>
            <w:r w:rsidRPr="00E46D41">
              <w:rPr>
                <w:rFonts w:ascii="Arial" w:hAnsi="Arial" w:cs="Arial"/>
                <w:color w:val="222222"/>
                <w:sz w:val="18"/>
                <w:szCs w:val="20"/>
                <w:lang w:val="es-ES_tradnl"/>
              </w:rPr>
              <w:t>18 horas / día</w:t>
            </w:r>
          </w:p>
        </w:tc>
      </w:tr>
    </w:tbl>
    <w:p w:rsidR="00D75790" w:rsidRPr="00DC371E" w:rsidRDefault="00D75790" w:rsidP="00D75790">
      <w:pPr>
        <w:ind w:left="708"/>
        <w:contextualSpacing/>
        <w:jc w:val="center"/>
        <w:rPr>
          <w:rFonts w:ascii="Arial" w:hAnsi="Arial" w:cs="Arial"/>
          <w:color w:val="222222"/>
          <w:sz w:val="16"/>
          <w:szCs w:val="16"/>
          <w:lang w:val="es-ES_tradnl"/>
        </w:rPr>
      </w:pPr>
      <w:r w:rsidRPr="00DC371E">
        <w:rPr>
          <w:rFonts w:ascii="Arial" w:hAnsi="Arial" w:cs="Arial"/>
          <w:color w:val="222222"/>
          <w:sz w:val="16"/>
          <w:szCs w:val="16"/>
          <w:lang w:val="es-ES_tradnl"/>
        </w:rPr>
        <w:t>Fuente: Veolia Aguas del Archipiélago</w:t>
      </w:r>
    </w:p>
    <w:p w:rsidR="00D75790" w:rsidRPr="00DC371E"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 xml:space="preserve">Solamente en 2 de 8 circuitos hidráulicos, se encuentra una continuidad de 24 horas en la prestación del </w:t>
      </w:r>
      <w:r>
        <w:rPr>
          <w:rFonts w:ascii="Arial" w:hAnsi="Arial" w:cs="Arial"/>
          <w:color w:val="222222"/>
          <w:sz w:val="22"/>
          <w:szCs w:val="22"/>
          <w:lang w:val="es-ES_tradnl"/>
        </w:rPr>
        <w:t>S</w:t>
      </w:r>
      <w:r w:rsidRPr="00DC371E">
        <w:rPr>
          <w:rFonts w:ascii="Arial" w:hAnsi="Arial" w:cs="Arial"/>
          <w:color w:val="222222"/>
          <w:sz w:val="22"/>
          <w:szCs w:val="22"/>
          <w:lang w:val="es-ES_tradnl"/>
        </w:rPr>
        <w:t xml:space="preserve">ervicio de </w:t>
      </w:r>
      <w:r>
        <w:rPr>
          <w:rFonts w:ascii="Arial" w:hAnsi="Arial" w:cs="Arial"/>
          <w:color w:val="222222"/>
          <w:sz w:val="22"/>
          <w:szCs w:val="22"/>
          <w:lang w:val="es-ES_tradnl"/>
        </w:rPr>
        <w:t>A</w:t>
      </w:r>
      <w:r w:rsidRPr="00DC371E">
        <w:rPr>
          <w:rFonts w:ascii="Arial" w:hAnsi="Arial" w:cs="Arial"/>
          <w:color w:val="222222"/>
          <w:sz w:val="22"/>
          <w:szCs w:val="22"/>
          <w:lang w:val="es-ES_tradnl"/>
        </w:rPr>
        <w:t>cueducto.</w:t>
      </w: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22"/>
          <w:szCs w:val="22"/>
          <w:lang w:val="es-ES_tradnl"/>
        </w:rPr>
      </w:pPr>
      <w:r w:rsidRPr="00DC371E">
        <w:rPr>
          <w:rFonts w:ascii="Arial" w:hAnsi="Arial" w:cs="Arial"/>
          <w:color w:val="222222"/>
          <w:sz w:val="22"/>
          <w:szCs w:val="22"/>
          <w:lang w:val="es-ES_tradnl"/>
        </w:rPr>
        <w:t>Llama la atención que</w:t>
      </w:r>
      <w:r>
        <w:rPr>
          <w:rFonts w:ascii="Arial" w:hAnsi="Arial" w:cs="Arial"/>
          <w:color w:val="222222"/>
          <w:sz w:val="22"/>
          <w:szCs w:val="22"/>
          <w:lang w:val="es-ES_tradnl"/>
        </w:rPr>
        <w:t>,</w:t>
      </w:r>
      <w:r w:rsidRPr="00DC371E">
        <w:rPr>
          <w:rFonts w:ascii="Arial" w:hAnsi="Arial" w:cs="Arial"/>
          <w:color w:val="222222"/>
          <w:sz w:val="22"/>
          <w:szCs w:val="22"/>
          <w:lang w:val="es-ES_tradnl"/>
        </w:rPr>
        <w:t xml:space="preserve"> en 5 circuitos hidráulicos la continuidad en 2020 fue insuficiente y en el circuito de San Luis, la continuidad fue no satisfactoria.</w:t>
      </w:r>
    </w:p>
    <w:p w:rsidR="00D75790" w:rsidRPr="00DC371E" w:rsidRDefault="00D75790" w:rsidP="00D75790">
      <w:pPr>
        <w:contextualSpacing/>
        <w:jc w:val="both"/>
        <w:rPr>
          <w:rFonts w:ascii="Arial" w:hAnsi="Arial" w:cs="Arial"/>
          <w:color w:val="222222"/>
          <w:sz w:val="22"/>
          <w:szCs w:val="22"/>
          <w:lang w:val="es-ES_tradnl"/>
        </w:rPr>
      </w:pPr>
    </w:p>
    <w:p w:rsidR="00D75790" w:rsidRDefault="00D75790" w:rsidP="00D75790">
      <w:pPr>
        <w:contextualSpacing/>
        <w:jc w:val="both"/>
        <w:rPr>
          <w:rFonts w:ascii="Arial" w:hAnsi="Arial" w:cs="Arial"/>
          <w:i/>
          <w:iCs/>
          <w:color w:val="222222"/>
          <w:sz w:val="22"/>
          <w:szCs w:val="22"/>
          <w:lang w:val="es-ES_tradnl"/>
        </w:rPr>
      </w:pPr>
      <w:r w:rsidRPr="00DC371E">
        <w:rPr>
          <w:rFonts w:ascii="Arial" w:hAnsi="Arial" w:cs="Arial"/>
          <w:color w:val="222222"/>
          <w:sz w:val="22"/>
          <w:szCs w:val="22"/>
          <w:lang w:val="es-ES_tradnl"/>
        </w:rPr>
        <w:t>En este sentido, dentro de los fines del Estado se encuentra que la prestación de los servicios públicos se realice de forma continua e ininterrumpida, constituyéndose para los prestadores de los servicios públicos domiciliarios como obligación principal del contrato de servicios públicos la de garantizar la continuidad y calidad del servicio</w:t>
      </w:r>
      <w:r>
        <w:rPr>
          <w:rFonts w:ascii="Arial" w:hAnsi="Arial" w:cs="Arial"/>
          <w:i/>
          <w:iCs/>
          <w:color w:val="222222"/>
          <w:sz w:val="22"/>
          <w:szCs w:val="22"/>
          <w:lang w:val="es-ES_tradnl"/>
        </w:rPr>
        <w:t>.</w:t>
      </w:r>
    </w:p>
    <w:p w:rsidR="00D75790" w:rsidRPr="00DC371E" w:rsidRDefault="00D75790" w:rsidP="00D75790">
      <w:pPr>
        <w:contextualSpacing/>
        <w:jc w:val="both"/>
        <w:rPr>
          <w:rFonts w:ascii="Arial" w:hAnsi="Arial" w:cs="Arial"/>
          <w:i/>
          <w:iCs/>
          <w:color w:val="222222"/>
          <w:sz w:val="22"/>
          <w:szCs w:val="22"/>
          <w:lang w:val="es-ES_tradnl"/>
        </w:rPr>
      </w:pPr>
    </w:p>
    <w:p w:rsidR="00D75790" w:rsidRPr="00DC371E" w:rsidRDefault="00D75790" w:rsidP="00D75790">
      <w:pPr>
        <w:pStyle w:val="NormalWeb"/>
        <w:shd w:val="clear" w:color="auto" w:fill="FFFFFF"/>
        <w:spacing w:before="0" w:beforeAutospacing="0" w:after="150"/>
        <w:contextualSpacing/>
        <w:jc w:val="both"/>
        <w:rPr>
          <w:rFonts w:ascii="Arial" w:eastAsia="MS Mincho" w:hAnsi="Arial" w:cs="Arial"/>
          <w:color w:val="222222"/>
          <w:sz w:val="22"/>
          <w:szCs w:val="22"/>
          <w:lang w:val="es-ES_tradnl"/>
        </w:rPr>
      </w:pPr>
      <w:r w:rsidRPr="00DC371E">
        <w:rPr>
          <w:rFonts w:ascii="Arial" w:eastAsia="MS Mincho" w:hAnsi="Arial" w:cs="Arial"/>
          <w:color w:val="222222"/>
          <w:sz w:val="22"/>
          <w:szCs w:val="22"/>
          <w:lang w:val="es-ES_tradnl"/>
        </w:rPr>
        <w:t xml:space="preserve">De esta manera, se vuelve a poner en riesgo la prestación adecuada del servicio, por la falta de continuidad, o por la continuidad insuficiente, en los términos del Resolución CRA </w:t>
      </w:r>
      <w:r w:rsidRPr="00DC371E">
        <w:rPr>
          <w:rFonts w:ascii="Arial" w:eastAsia="MS Mincho" w:hAnsi="Arial" w:cs="Arial"/>
          <w:color w:val="222222"/>
          <w:sz w:val="22"/>
          <w:szCs w:val="22"/>
          <w:lang w:val="es-ES_tradnl"/>
        </w:rPr>
        <w:lastRenderedPageBreak/>
        <w:t>2115 de 2007, para los sectores que hacen parte de los circuitos hidráulicos de Natania, Residencial, Almendros, la Loma y El Cove, en la Isla de San Andrés.</w:t>
      </w:r>
    </w:p>
    <w:p w:rsidR="00D75790" w:rsidRPr="00DC371E" w:rsidRDefault="00D75790" w:rsidP="00D75790">
      <w:pPr>
        <w:pStyle w:val="NormalWeb"/>
        <w:shd w:val="clear" w:color="auto" w:fill="FFFFFF"/>
        <w:spacing w:before="0" w:beforeAutospacing="0" w:after="150"/>
        <w:contextualSpacing/>
        <w:jc w:val="both"/>
        <w:rPr>
          <w:rFonts w:ascii="Arial" w:eastAsia="MS Mincho" w:hAnsi="Arial" w:cs="Arial"/>
          <w:color w:val="222222"/>
          <w:sz w:val="22"/>
          <w:szCs w:val="22"/>
          <w:lang w:val="es-ES_tradnl"/>
        </w:rPr>
      </w:pPr>
    </w:p>
    <w:p w:rsidR="00D75790" w:rsidRDefault="00D75790" w:rsidP="00D75790">
      <w:pPr>
        <w:contextualSpacing/>
        <w:jc w:val="both"/>
        <w:rPr>
          <w:rFonts w:ascii="Arial" w:hAnsi="Arial" w:cs="Arial"/>
          <w:b/>
          <w:bCs/>
          <w:sz w:val="22"/>
          <w:szCs w:val="22"/>
        </w:rPr>
      </w:pPr>
      <w:r w:rsidRPr="00DC371E">
        <w:rPr>
          <w:rFonts w:ascii="Arial" w:hAnsi="Arial" w:cs="Arial"/>
          <w:b/>
          <w:bCs/>
          <w:sz w:val="22"/>
          <w:szCs w:val="22"/>
        </w:rPr>
        <w:t>EVIDENCIAS:</w:t>
      </w:r>
    </w:p>
    <w:p w:rsidR="00D75790" w:rsidRDefault="00D75790" w:rsidP="00D75790">
      <w:pPr>
        <w:contextualSpacing/>
        <w:jc w:val="both"/>
        <w:rPr>
          <w:rFonts w:ascii="Arial" w:hAnsi="Arial" w:cs="Arial"/>
          <w:b/>
          <w:bCs/>
          <w:sz w:val="22"/>
          <w:szCs w:val="22"/>
        </w:rPr>
      </w:pPr>
    </w:p>
    <w:p w:rsidR="00D75790" w:rsidRDefault="00D75790" w:rsidP="00D75790">
      <w:pPr>
        <w:contextualSpacing/>
        <w:jc w:val="both"/>
        <w:rPr>
          <w:rFonts w:ascii="Arial" w:hAnsi="Arial" w:cs="Arial"/>
          <w:sz w:val="22"/>
          <w:szCs w:val="22"/>
          <w:lang w:val="es-ES_tradnl"/>
        </w:rPr>
      </w:pPr>
      <w:r w:rsidRPr="00D64AD1">
        <w:rPr>
          <w:rFonts w:ascii="Arial" w:hAnsi="Arial" w:cs="Arial"/>
          <w:sz w:val="22"/>
          <w:szCs w:val="22"/>
          <w:lang w:val="es-ES_tradnl"/>
        </w:rPr>
        <w:t>Obra en el expediente digital en el Sistema de Información Electrónica Documental- SIED del Ministerio de Hacienda y Crédito Público número 20/2021/D028-PREDI, el siguiente material probatorio</w:t>
      </w:r>
      <w:r>
        <w:rPr>
          <w:rFonts w:ascii="Arial" w:hAnsi="Arial" w:cs="Arial"/>
          <w:sz w:val="22"/>
          <w:szCs w:val="22"/>
          <w:lang w:val="es-ES_tradnl"/>
        </w:rPr>
        <w:t>.</w:t>
      </w:r>
    </w:p>
    <w:p w:rsidR="00D75790" w:rsidRDefault="00D75790" w:rsidP="00D75790">
      <w:pPr>
        <w:contextualSpacing/>
        <w:jc w:val="both"/>
        <w:rPr>
          <w:rFonts w:ascii="Arial" w:hAnsi="Arial" w:cs="Arial"/>
          <w:sz w:val="22"/>
          <w:szCs w:val="22"/>
          <w:lang w:val="es-ES_tradnl"/>
        </w:rPr>
      </w:pPr>
    </w:p>
    <w:p w:rsidR="00D75790" w:rsidRPr="00E46D41" w:rsidRDefault="00D75790" w:rsidP="00D75790">
      <w:pPr>
        <w:pStyle w:val="Prrafodelista"/>
        <w:ind w:left="345"/>
        <w:jc w:val="both"/>
        <w:rPr>
          <w:rFonts w:ascii="Arial" w:hAnsi="Arial" w:cs="Arial"/>
          <w:b/>
          <w:bCs/>
          <w:sz w:val="22"/>
          <w:szCs w:val="22"/>
        </w:rPr>
      </w:pPr>
      <w:r>
        <w:rPr>
          <w:rFonts w:ascii="Arial" w:hAnsi="Arial" w:cs="Arial"/>
          <w:sz w:val="22"/>
          <w:szCs w:val="22"/>
          <w:lang w:val="es-ES_tradnl"/>
        </w:rPr>
        <w:t xml:space="preserve">1. </w:t>
      </w:r>
      <w:r w:rsidRPr="007A1680">
        <w:rPr>
          <w:rFonts w:ascii="Arial" w:hAnsi="Arial" w:cs="Arial"/>
          <w:sz w:val="22"/>
          <w:szCs w:val="22"/>
          <w:lang w:val="es-ES_tradnl"/>
        </w:rPr>
        <w:t>Oficio MVCT 2021EE0036676 con informe de monitoreo SAI. Cleaned.pdf.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7A1680">
        <w:rPr>
          <w:rFonts w:ascii="Arial" w:hAnsi="Arial" w:cs="Arial"/>
          <w:sz w:val="22"/>
          <w:szCs w:val="22"/>
          <w:lang w:val="es-ES_tradnl"/>
        </w:rPr>
        <w:t xml:space="preserve"> 20/2021/D028-PREDI. Radicado N</w:t>
      </w:r>
      <w:r w:rsidR="00E013AF">
        <w:rPr>
          <w:rFonts w:ascii="Arial" w:hAnsi="Arial" w:cs="Arial"/>
          <w:sz w:val="22"/>
          <w:szCs w:val="22"/>
          <w:lang w:val="es-ES_tradnl"/>
        </w:rPr>
        <w:t>o.</w:t>
      </w:r>
      <w:r w:rsidRPr="007A1680">
        <w:rPr>
          <w:rFonts w:ascii="Arial" w:hAnsi="Arial" w:cs="Arial"/>
          <w:sz w:val="22"/>
          <w:szCs w:val="22"/>
          <w:lang w:val="es-ES_tradnl"/>
        </w:rPr>
        <w:t xml:space="preserve"> 1-2021-046779 del 28 de mayo de 2021. Enlace:</w:t>
      </w:r>
    </w:p>
    <w:p w:rsidR="00D75790" w:rsidRPr="007A1680" w:rsidRDefault="006E598A" w:rsidP="00D75790">
      <w:pPr>
        <w:pStyle w:val="Prrafodelista"/>
        <w:ind w:left="345"/>
        <w:jc w:val="both"/>
        <w:rPr>
          <w:rFonts w:ascii="Arial" w:hAnsi="Arial" w:cs="Arial"/>
          <w:b/>
          <w:bCs/>
          <w:sz w:val="22"/>
          <w:szCs w:val="22"/>
        </w:rPr>
      </w:pPr>
      <w:hyperlink r:id="rId51" w:history="1">
        <w:r w:rsidR="00D75790" w:rsidRPr="001F4E67">
          <w:rPr>
            <w:rStyle w:val="Hipervnculo"/>
            <w:rFonts w:ascii="Arial" w:hAnsi="Arial" w:cs="Arial"/>
            <w:sz w:val="22"/>
            <w:szCs w:val="22"/>
            <w:lang w:val="es-ES_tradnl"/>
          </w:rPr>
          <w: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w:t>
        </w:r>
      </w:hyperlink>
      <w:r w:rsidR="00D75790">
        <w:rPr>
          <w:rFonts w:ascii="Arial" w:hAnsi="Arial" w:cs="Arial"/>
          <w:sz w:val="22"/>
          <w:szCs w:val="22"/>
          <w:lang w:val="es-ES_tradnl"/>
        </w:rPr>
        <w:t xml:space="preserve"> </w:t>
      </w:r>
    </w:p>
    <w:p w:rsidR="00D75790" w:rsidRPr="00DC371E" w:rsidRDefault="00D75790" w:rsidP="00D75790">
      <w:pPr>
        <w:contextualSpacing/>
        <w:jc w:val="both"/>
        <w:rPr>
          <w:rFonts w:ascii="Arial" w:hAnsi="Arial" w:cs="Arial"/>
          <w:b/>
          <w:sz w:val="22"/>
          <w:highlight w:val="yellow"/>
        </w:rPr>
      </w:pPr>
    </w:p>
    <w:p w:rsidR="00D75790" w:rsidRPr="00DC371E" w:rsidRDefault="00D75790" w:rsidP="00D75790">
      <w:pPr>
        <w:numPr>
          <w:ilvl w:val="0"/>
          <w:numId w:val="1"/>
        </w:numPr>
        <w:contextualSpacing/>
        <w:jc w:val="both"/>
        <w:rPr>
          <w:rFonts w:ascii="Arial" w:hAnsi="Arial" w:cs="Arial"/>
          <w:b/>
          <w:bCs/>
          <w:iCs/>
          <w:sz w:val="22"/>
          <w:szCs w:val="22"/>
          <w:lang w:val="es-ES_tradnl"/>
        </w:rPr>
      </w:pPr>
      <w:r w:rsidRPr="00DC371E">
        <w:rPr>
          <w:rFonts w:ascii="Arial" w:hAnsi="Arial" w:cs="Arial"/>
          <w:b/>
          <w:bCs/>
          <w:iCs/>
          <w:sz w:val="22"/>
          <w:szCs w:val="22"/>
          <w:lang w:val="es-ES_tradnl"/>
        </w:rPr>
        <w:t>Estratificación.</w:t>
      </w:r>
    </w:p>
    <w:p w:rsidR="00D75790" w:rsidRPr="00DC371E" w:rsidRDefault="00D75790" w:rsidP="00D75790">
      <w:pPr>
        <w:contextualSpacing/>
        <w:jc w:val="both"/>
        <w:rPr>
          <w:rFonts w:ascii="Arial" w:hAnsi="Arial" w:cs="Arial"/>
          <w:b/>
          <w:bCs/>
          <w:iCs/>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estratificación socioeconómica es la clasificación en estratos de los inmuebles residenciales que deben recibir servicios públicos. Se realiza principalmente para cobrar de manera diferencial por estratos los servicios públicos domiciliarios permitiendo asignar subsidios y cobrar contribuciones en esta área.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El artículo 101.1. de la Ley 142 de 1994, ordenó que es deber de cada municipio clasificar en estratos los inmuebles residenciales que deben recibir Servicios Públicos Domiciliarios. Y es deber indelegable del alcalde realizar la estratificación respectiva.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Por otro lado, el numeral 4 del artículo 101, decretó que en cada municipio existirá una sola estratificación de inmuebles residenciales, aplicable a cada uno de los Servicios Públicos.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En relación con la actualización de la estratificación, el artículo 11 de la Ley 505 de 1999, se manifestó en los siguientes términos: Los alcaldes deberán garantizar que las estratificaciones se realicen, se adopten, se apliquen y permanezcan actualizadas a través del Comité Permanente de Estratificación municipal o distrital.</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A través del Decreto 694 del 7 de diciembre de 1995 la Administración Departamental adoptó la estratificación para la zona urbana de la Isla, zonas amenazadas de San Luis, Los Corales, Thompson Well y el corredor lineal de La Loma. Además, adoptó la estratificación de las fincas y viviendas dispersas en la zona rural de la Isla de San Andrés.</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Por otro lado, adoptó la estratificación socioeconómica en los sectores de Altos del Bigth, Mitchell Hill, Hill Well y Morros Landing con el Decreto 270 del 17 de septiembre de 2002.</w:t>
      </w:r>
    </w:p>
    <w:p w:rsidR="00D75790" w:rsidRPr="00DC371E" w:rsidRDefault="00D75790" w:rsidP="00D75790">
      <w:pPr>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lang w:val="es-ES_tradnl"/>
        </w:rPr>
      </w:pPr>
      <w:r w:rsidRPr="00DC371E">
        <w:rPr>
          <w:rFonts w:ascii="Arial" w:hAnsi="Arial" w:cs="Arial"/>
          <w:sz w:val="22"/>
          <w:szCs w:val="22"/>
          <w:lang w:val="es-ES_tradnl"/>
        </w:rPr>
        <w:t>La estratificación oficial urbana, data de la vigencia 1995 con la expedición del Decreto 694 y en algunos sectores de con el Decreto 270 del 17 de septiembre de 2002.</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contextualSpacing/>
        <w:jc w:val="both"/>
        <w:rPr>
          <w:rFonts w:ascii="Arial" w:hAnsi="Arial" w:cs="Arial"/>
          <w:sz w:val="22"/>
          <w:szCs w:val="22"/>
        </w:rPr>
      </w:pPr>
      <w:r w:rsidRPr="00DC371E">
        <w:rPr>
          <w:rFonts w:ascii="Arial" w:hAnsi="Arial" w:cs="Arial"/>
          <w:color w:val="000000"/>
          <w:sz w:val="22"/>
          <w:szCs w:val="22"/>
          <w:lang w:val="es-ES_tradnl" w:eastAsia="es-CO"/>
        </w:rPr>
        <w:t xml:space="preserve">En el anexo 19 del documento: </w:t>
      </w:r>
      <w:r w:rsidRPr="00DC371E">
        <w:rPr>
          <w:rFonts w:ascii="Arial" w:hAnsi="Arial" w:cs="Arial"/>
          <w:sz w:val="22"/>
          <w:szCs w:val="22"/>
        </w:rPr>
        <w:t>“</w:t>
      </w:r>
      <w:r w:rsidRPr="00DC371E">
        <w:rPr>
          <w:rFonts w:ascii="Arial" w:hAnsi="Arial" w:cs="Arial"/>
          <w:i/>
          <w:iCs/>
          <w:sz w:val="22"/>
          <w:szCs w:val="22"/>
        </w:rPr>
        <w:t>Actualización del informe de monitoreo al uso y ejecución de los recursos del Sistema General de Participaciones para Agua Potable y Saneamiento Básico (SGP-APSB) al Archipiélago de San Andrés, Providencia y Santa Catalina vigencias 2019 y 2020</w:t>
      </w:r>
      <w:r w:rsidRPr="00DC371E">
        <w:rPr>
          <w:rFonts w:ascii="Arial" w:hAnsi="Arial" w:cs="Arial"/>
          <w:sz w:val="22"/>
          <w:szCs w:val="22"/>
          <w:lang w:val="es-ES_tradnl"/>
        </w:rPr>
        <w:t xml:space="preserve">”, </w:t>
      </w:r>
      <w:r>
        <w:rPr>
          <w:rFonts w:ascii="Arial" w:hAnsi="Arial" w:cs="Arial"/>
          <w:sz w:val="22"/>
          <w:szCs w:val="22"/>
          <w:lang w:val="es-ES_tradnl"/>
        </w:rPr>
        <w:t>se indica que</w:t>
      </w:r>
      <w:r w:rsidRPr="00DC371E">
        <w:rPr>
          <w:rFonts w:ascii="Arial" w:hAnsi="Arial" w:cs="Arial"/>
          <w:sz w:val="22"/>
          <w:szCs w:val="22"/>
        </w:rPr>
        <w:t xml:space="preserve"> la Gobernación hace referencia al proceso contractual para la actualización de la estratificación, en los siguientes términos: </w:t>
      </w:r>
    </w:p>
    <w:p w:rsidR="00D75790" w:rsidRPr="00DC371E" w:rsidRDefault="00D75790" w:rsidP="00D75790">
      <w:pPr>
        <w:contextualSpacing/>
        <w:jc w:val="both"/>
        <w:rPr>
          <w:rFonts w:ascii="Arial" w:hAnsi="Arial" w:cs="Arial"/>
          <w:sz w:val="22"/>
          <w:szCs w:val="22"/>
        </w:rPr>
      </w:pPr>
    </w:p>
    <w:p w:rsidR="00D75790" w:rsidRPr="00E46D41" w:rsidRDefault="00D75790" w:rsidP="00D75790">
      <w:pPr>
        <w:ind w:left="1416"/>
        <w:contextualSpacing/>
        <w:jc w:val="both"/>
        <w:rPr>
          <w:rFonts w:ascii="Arial" w:hAnsi="Arial" w:cs="Arial"/>
          <w:i/>
          <w:iCs/>
          <w:sz w:val="18"/>
          <w:szCs w:val="22"/>
        </w:rPr>
      </w:pPr>
      <w:r w:rsidRPr="00E46D41">
        <w:rPr>
          <w:rFonts w:ascii="Arial" w:hAnsi="Arial" w:cs="Arial"/>
          <w:i/>
          <w:iCs/>
          <w:sz w:val="18"/>
          <w:szCs w:val="22"/>
        </w:rPr>
        <w:t>“En desarrollo de la visita de monitoreo realizada en marzo de 2021, fue informado por el profesional encargado en la Oficina de Planeación, que en el año 2019 la entidad territorial suscribió el Contrato No. 2390 de 2019 para realizar la actualización de la estratificación, siendo que este fue suspendido por los motivos expuestos en el memorando de consecutivo 059 del 27 de enero de 2020 (anexo 19). El contrato aún se encuentra suspendido, con un avance del proyecto del 80%, siendo que a la fecha de la visita el convenio con el IGAC para adquirir los datos de la capa cartográfica de los registros 1 y 2, así como la información cartográfica, aún no se ha realizado”.</w:t>
      </w:r>
    </w:p>
    <w:p w:rsidR="00D75790" w:rsidRPr="00DC371E" w:rsidRDefault="00D75790" w:rsidP="00D75790">
      <w:pPr>
        <w:ind w:left="-5"/>
        <w:contextualSpacing/>
        <w:jc w:val="both"/>
        <w:rPr>
          <w:rFonts w:ascii="Arial" w:hAnsi="Arial" w:cs="Arial"/>
          <w:sz w:val="22"/>
          <w:szCs w:val="22"/>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La prestación adecuada de los Servicios Públicos Domiciliarios se pone en riesgo al tener una herramienta de focalización de usuarios desactualizada, ya que afecta el equilibrio de los subsidios y contribuciones, además de generar ineficiencias en el cálculo de los recursos necesarios para la financiación de los subsidios por parte de la Entidad Territorial.</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ind w:left="-5"/>
        <w:contextualSpacing/>
        <w:jc w:val="both"/>
        <w:rPr>
          <w:rFonts w:ascii="Arial" w:hAnsi="Arial" w:cs="Arial"/>
          <w:sz w:val="22"/>
          <w:szCs w:val="22"/>
          <w:lang w:val="es-ES_tradnl"/>
        </w:rPr>
      </w:pPr>
      <w:r w:rsidRPr="00DC371E">
        <w:rPr>
          <w:rFonts w:ascii="Arial" w:hAnsi="Arial" w:cs="Arial"/>
          <w:sz w:val="22"/>
          <w:szCs w:val="22"/>
          <w:lang w:val="es-ES_tradnl"/>
        </w:rPr>
        <w:t>Su desactualización, entre otros aspectos, implica:</w:t>
      </w:r>
    </w:p>
    <w:p w:rsidR="00D75790" w:rsidRPr="00DC371E" w:rsidRDefault="00D75790" w:rsidP="00D75790">
      <w:pPr>
        <w:ind w:left="-5"/>
        <w:contextualSpacing/>
        <w:jc w:val="both"/>
        <w:rPr>
          <w:rFonts w:ascii="Arial" w:hAnsi="Arial" w:cs="Arial"/>
          <w:sz w:val="22"/>
          <w:szCs w:val="22"/>
          <w:lang w:val="es-ES_tradnl"/>
        </w:rPr>
      </w:pPr>
    </w:p>
    <w:p w:rsidR="00D75790" w:rsidRPr="00DC371E" w:rsidRDefault="00D75790" w:rsidP="00D75790">
      <w:pPr>
        <w:pStyle w:val="Prrafodelista"/>
        <w:numPr>
          <w:ilvl w:val="0"/>
          <w:numId w:val="6"/>
        </w:numPr>
        <w:jc w:val="both"/>
        <w:rPr>
          <w:rFonts w:ascii="Arial" w:hAnsi="Arial" w:cs="Arial"/>
          <w:sz w:val="22"/>
          <w:szCs w:val="22"/>
          <w:lang w:val="es-ES_tradnl"/>
        </w:rPr>
      </w:pPr>
      <w:r w:rsidRPr="00DC371E">
        <w:rPr>
          <w:rFonts w:ascii="Arial" w:hAnsi="Arial" w:cs="Arial"/>
          <w:sz w:val="22"/>
          <w:szCs w:val="22"/>
          <w:lang w:val="es-ES_tradnl"/>
        </w:rPr>
        <w:t>No tener identificados los usuarios residenciales que se encuentran en condición de subsidiaridad.</w:t>
      </w:r>
    </w:p>
    <w:p w:rsidR="00D75790" w:rsidRPr="00DC371E" w:rsidRDefault="00D75790" w:rsidP="00D75790">
      <w:pPr>
        <w:pStyle w:val="Prrafodelista"/>
        <w:numPr>
          <w:ilvl w:val="0"/>
          <w:numId w:val="6"/>
        </w:numPr>
        <w:jc w:val="both"/>
        <w:rPr>
          <w:rFonts w:ascii="Arial" w:hAnsi="Arial" w:cs="Arial"/>
          <w:sz w:val="22"/>
          <w:szCs w:val="22"/>
          <w:lang w:val="es-ES_tradnl"/>
        </w:rPr>
      </w:pPr>
      <w:r w:rsidRPr="00DC371E">
        <w:rPr>
          <w:rFonts w:ascii="Arial" w:hAnsi="Arial" w:cs="Arial"/>
          <w:sz w:val="22"/>
          <w:szCs w:val="22"/>
          <w:lang w:val="es-ES_tradnl"/>
        </w:rPr>
        <w:t>No tener identificados los usuarios residenciales que se encuentran en capacidad de aportar contribuciones solidarias.</w:t>
      </w:r>
    </w:p>
    <w:p w:rsidR="00D75790" w:rsidRPr="00DC371E" w:rsidRDefault="00D75790" w:rsidP="00D75790">
      <w:pPr>
        <w:pStyle w:val="Prrafodelista"/>
        <w:numPr>
          <w:ilvl w:val="0"/>
          <w:numId w:val="6"/>
        </w:numPr>
        <w:jc w:val="both"/>
        <w:rPr>
          <w:rFonts w:ascii="Arial" w:hAnsi="Arial" w:cs="Arial"/>
          <w:sz w:val="22"/>
          <w:szCs w:val="22"/>
          <w:lang w:val="es-ES_tradnl"/>
        </w:rPr>
      </w:pPr>
      <w:r w:rsidRPr="00DC371E">
        <w:rPr>
          <w:rFonts w:ascii="Arial" w:hAnsi="Arial" w:cs="Arial"/>
          <w:sz w:val="22"/>
          <w:szCs w:val="22"/>
          <w:lang w:val="es-ES_tradnl"/>
        </w:rPr>
        <w:t>Ineficiente resultado del ejercicio del balance de subsidios y contribuciones.</w:t>
      </w:r>
    </w:p>
    <w:p w:rsidR="00D75790" w:rsidRPr="00DC371E" w:rsidRDefault="00D75790" w:rsidP="00D75790">
      <w:pPr>
        <w:pStyle w:val="Prrafodelista"/>
        <w:numPr>
          <w:ilvl w:val="0"/>
          <w:numId w:val="6"/>
        </w:numPr>
        <w:jc w:val="both"/>
        <w:rPr>
          <w:rFonts w:ascii="Arial" w:hAnsi="Arial" w:cs="Arial"/>
          <w:sz w:val="22"/>
          <w:szCs w:val="22"/>
          <w:lang w:val="es-ES_tradnl"/>
        </w:rPr>
      </w:pPr>
      <w:r w:rsidRPr="00DC371E">
        <w:rPr>
          <w:rFonts w:ascii="Arial" w:hAnsi="Arial" w:cs="Arial"/>
          <w:sz w:val="22"/>
          <w:szCs w:val="22"/>
          <w:lang w:val="es-ES_tradnl"/>
        </w:rPr>
        <w:t>No tener una adecuada facturación.</w:t>
      </w:r>
    </w:p>
    <w:p w:rsidR="00D75790" w:rsidRPr="00DC371E" w:rsidRDefault="00D75790" w:rsidP="00D75790">
      <w:pPr>
        <w:pStyle w:val="Prrafodelista"/>
        <w:numPr>
          <w:ilvl w:val="0"/>
          <w:numId w:val="6"/>
        </w:numPr>
        <w:jc w:val="both"/>
        <w:rPr>
          <w:rFonts w:ascii="Arial" w:hAnsi="Arial" w:cs="Arial"/>
          <w:sz w:val="22"/>
          <w:szCs w:val="22"/>
          <w:lang w:val="es-ES_tradnl"/>
        </w:rPr>
      </w:pPr>
      <w:r w:rsidRPr="00DC371E">
        <w:rPr>
          <w:rFonts w:ascii="Arial" w:hAnsi="Arial" w:cs="Arial"/>
          <w:sz w:val="22"/>
          <w:szCs w:val="22"/>
          <w:lang w:val="es-ES_tradnl"/>
        </w:rPr>
        <w:t>Asignar ineficientemente, por parte de la Entidad Territorial, los recursos que financian la prestación de los servicios, para los usuarios subsidiables.</w:t>
      </w:r>
    </w:p>
    <w:p w:rsidR="00D75790" w:rsidRPr="00DC371E" w:rsidRDefault="00D75790" w:rsidP="00D75790">
      <w:pPr>
        <w:contextualSpacing/>
        <w:jc w:val="both"/>
        <w:rPr>
          <w:rFonts w:ascii="Arial" w:hAnsi="Arial" w:cs="Arial"/>
          <w:sz w:val="22"/>
          <w:szCs w:val="22"/>
        </w:rPr>
      </w:pPr>
    </w:p>
    <w:p w:rsidR="00D75790" w:rsidRDefault="00D75790" w:rsidP="00D75790">
      <w:pPr>
        <w:contextualSpacing/>
        <w:jc w:val="both"/>
        <w:rPr>
          <w:rFonts w:ascii="Arial" w:hAnsi="Arial" w:cs="Arial"/>
          <w:b/>
          <w:sz w:val="22"/>
          <w:szCs w:val="22"/>
          <w:lang w:val="es-ES_tradnl"/>
        </w:rPr>
      </w:pPr>
      <w:r w:rsidRPr="00DC371E">
        <w:rPr>
          <w:rFonts w:ascii="Arial" w:hAnsi="Arial" w:cs="Arial"/>
          <w:b/>
          <w:sz w:val="22"/>
          <w:szCs w:val="22"/>
          <w:lang w:val="es-ES_tradnl"/>
        </w:rPr>
        <w:t>EVIDENCIA</w:t>
      </w:r>
    </w:p>
    <w:p w:rsidR="00D75790" w:rsidRDefault="00D75790" w:rsidP="00D75790">
      <w:pPr>
        <w:contextualSpacing/>
        <w:jc w:val="both"/>
        <w:rPr>
          <w:rFonts w:ascii="Arial" w:hAnsi="Arial" w:cs="Arial"/>
          <w:b/>
          <w:sz w:val="22"/>
          <w:szCs w:val="22"/>
          <w:lang w:val="es-ES_tradnl"/>
        </w:rPr>
      </w:pPr>
    </w:p>
    <w:p w:rsidR="00D75790" w:rsidRDefault="00D75790" w:rsidP="00D75790">
      <w:pPr>
        <w:contextualSpacing/>
        <w:jc w:val="both"/>
        <w:rPr>
          <w:rFonts w:ascii="Arial" w:hAnsi="Arial" w:cs="Arial"/>
          <w:sz w:val="22"/>
          <w:szCs w:val="22"/>
          <w:lang w:val="es-ES_tradnl"/>
        </w:rPr>
      </w:pPr>
      <w:r w:rsidRPr="00D64AD1">
        <w:rPr>
          <w:rFonts w:ascii="Arial" w:hAnsi="Arial" w:cs="Arial"/>
          <w:sz w:val="22"/>
          <w:szCs w:val="22"/>
          <w:lang w:val="es-ES_tradnl"/>
        </w:rPr>
        <w:t>Obra en el expediente digital en el Sistema de Información Electrónica Documental- SIED del Ministerio de Hacienda y Crédito Público número 20/2021/D028-PREDI, el siguiente material probatorio</w:t>
      </w:r>
      <w:r>
        <w:rPr>
          <w:rFonts w:ascii="Arial" w:hAnsi="Arial" w:cs="Arial"/>
          <w:sz w:val="22"/>
          <w:szCs w:val="22"/>
          <w:lang w:val="es-ES_tradnl"/>
        </w:rPr>
        <w:t>.</w:t>
      </w:r>
    </w:p>
    <w:p w:rsidR="00D75790" w:rsidRDefault="00D75790" w:rsidP="00D75790">
      <w:pPr>
        <w:contextualSpacing/>
        <w:jc w:val="both"/>
        <w:rPr>
          <w:rFonts w:ascii="Arial" w:hAnsi="Arial" w:cs="Arial"/>
          <w:b/>
          <w:sz w:val="22"/>
          <w:szCs w:val="22"/>
          <w:lang w:val="es-ES_tradnl"/>
        </w:rPr>
      </w:pPr>
    </w:p>
    <w:p w:rsidR="00D75790" w:rsidRPr="00E46D41" w:rsidRDefault="00D75790" w:rsidP="00D75790">
      <w:pPr>
        <w:pStyle w:val="Prrafodelista"/>
        <w:ind w:left="345"/>
        <w:jc w:val="both"/>
        <w:rPr>
          <w:rFonts w:ascii="Arial" w:hAnsi="Arial" w:cs="Arial"/>
          <w:b/>
          <w:bCs/>
          <w:sz w:val="22"/>
          <w:szCs w:val="22"/>
        </w:rPr>
      </w:pPr>
      <w:r>
        <w:rPr>
          <w:rFonts w:ascii="Arial" w:hAnsi="Arial" w:cs="Arial"/>
          <w:sz w:val="22"/>
          <w:szCs w:val="22"/>
          <w:lang w:val="es-ES_tradnl"/>
        </w:rPr>
        <w:t xml:space="preserve">1. </w:t>
      </w:r>
      <w:r w:rsidRPr="00042B7F">
        <w:rPr>
          <w:rFonts w:ascii="Arial" w:hAnsi="Arial" w:cs="Arial"/>
          <w:sz w:val="22"/>
          <w:szCs w:val="22"/>
          <w:lang w:val="es-ES_tradnl"/>
        </w:rPr>
        <w:t>Oficio MVCT 2021EE0036676 con informe de monitoreo SAI. Cleaned.pdf. Sector de Agua Potable y Saneamiento Básico. Serie Historial de Seguimiento y Control a los Recursos del Sistema General de Participaciones - Informe de Diagnóstico de la DAF. Expediente digital N</w:t>
      </w:r>
      <w:r w:rsidR="00E013AF">
        <w:rPr>
          <w:rFonts w:ascii="Arial" w:hAnsi="Arial" w:cs="Arial"/>
          <w:sz w:val="22"/>
          <w:szCs w:val="22"/>
          <w:lang w:val="es-ES_tradnl"/>
        </w:rPr>
        <w:t>o.</w:t>
      </w:r>
      <w:r w:rsidRPr="00042B7F">
        <w:rPr>
          <w:rFonts w:ascii="Arial" w:hAnsi="Arial" w:cs="Arial"/>
          <w:sz w:val="22"/>
          <w:szCs w:val="22"/>
          <w:lang w:val="es-ES_tradnl"/>
        </w:rPr>
        <w:t xml:space="preserve"> 20/2021/D028-PREDI. Radicado N</w:t>
      </w:r>
      <w:r w:rsidR="00E013AF">
        <w:rPr>
          <w:rFonts w:ascii="Arial" w:hAnsi="Arial" w:cs="Arial"/>
          <w:sz w:val="22"/>
          <w:szCs w:val="22"/>
          <w:lang w:val="es-ES_tradnl"/>
        </w:rPr>
        <w:t>o.</w:t>
      </w:r>
      <w:r w:rsidRPr="00042B7F">
        <w:rPr>
          <w:rFonts w:ascii="Arial" w:hAnsi="Arial" w:cs="Arial"/>
          <w:sz w:val="22"/>
          <w:szCs w:val="22"/>
          <w:lang w:val="es-ES_tradnl"/>
        </w:rPr>
        <w:t xml:space="preserve"> 1-2021-046779 del 28 de mayo de 2021. Enlace:</w:t>
      </w:r>
    </w:p>
    <w:p w:rsidR="00D75790" w:rsidRPr="00042B7F" w:rsidRDefault="006E598A" w:rsidP="00D75790">
      <w:pPr>
        <w:pStyle w:val="Prrafodelista"/>
        <w:ind w:left="345"/>
        <w:jc w:val="both"/>
        <w:rPr>
          <w:rFonts w:ascii="Arial" w:hAnsi="Arial" w:cs="Arial"/>
          <w:b/>
          <w:bCs/>
          <w:sz w:val="22"/>
          <w:szCs w:val="22"/>
        </w:rPr>
      </w:pPr>
      <w:hyperlink r:id="rId52" w:history="1">
        <w:r w:rsidR="00D75790" w:rsidRPr="001F4E67">
          <w:rPr>
            <w:rStyle w:val="Hipervnculo"/>
            <w:rFonts w:ascii="Arial" w:hAnsi="Arial" w:cs="Arial"/>
            <w:sz w:val="22"/>
            <w:szCs w:val="22"/>
            <w:lang w:val="es-ES_tradnl"/>
          </w:rPr>
          <w:t>http://portalgestiondoc.minhacienda.red/PortalEmpleado/viewer.jsp?config=NVju4A96dt23+PpHdzFyf0iI2J5PBHM/azx7uL4pmpWsi8mToFJSAq3+Wn5ysaxBboNC0NMCKGJ</w:t>
        </w:r>
        <w:r w:rsidR="00D75790" w:rsidRPr="001F4E67">
          <w:rPr>
            <w:rStyle w:val="Hipervnculo"/>
            <w:rFonts w:ascii="Arial" w:hAnsi="Arial" w:cs="Arial"/>
            <w:sz w:val="22"/>
            <w:szCs w:val="22"/>
            <w:lang w:val="es-ES_tradnl"/>
          </w:rPr>
          <w:lastRenderedPageBreak/>
          <w:t>gRt/1pwjJ9fquj4fWyCDoFxQHOvjrsq9WDYKg6P/2THDp0oFxX7hJxQzqBYmrCJ6vPzWm80zjuXJstDcJFlfYJUBKs7eiMAoxvazaHPIKLKKPzTFCGyz+&amp;guid=4ac1e169179b50d4a97-6bca&amp;idrepository=314</w:t>
        </w:r>
      </w:hyperlink>
      <w:r w:rsidR="00D75790">
        <w:rPr>
          <w:rFonts w:ascii="Arial" w:hAnsi="Arial" w:cs="Arial"/>
          <w:sz w:val="22"/>
          <w:szCs w:val="22"/>
          <w:lang w:val="es-ES_tradnl"/>
        </w:rPr>
        <w:t xml:space="preserve"> </w:t>
      </w:r>
    </w:p>
    <w:p w:rsidR="00D75790" w:rsidRPr="00DC371E" w:rsidRDefault="00D75790" w:rsidP="00D75790">
      <w:pPr>
        <w:contextualSpacing/>
        <w:jc w:val="both"/>
        <w:rPr>
          <w:rFonts w:ascii="Arial" w:hAnsi="Arial" w:cs="Arial"/>
          <w:b/>
          <w:sz w:val="22"/>
          <w:szCs w:val="22"/>
          <w:lang w:val="es-ES_tradnl"/>
        </w:rPr>
      </w:pPr>
    </w:p>
    <w:p w:rsidR="00D75790" w:rsidRPr="00DC371E" w:rsidRDefault="00D75790" w:rsidP="00D75790">
      <w:pPr>
        <w:contextualSpacing/>
        <w:jc w:val="both"/>
        <w:rPr>
          <w:rFonts w:ascii="Arial" w:hAnsi="Arial" w:cs="Arial"/>
          <w:sz w:val="22"/>
          <w:szCs w:val="22"/>
          <w:lang w:val="es-ES_tradnl"/>
        </w:rPr>
      </w:pPr>
    </w:p>
    <w:bookmarkEnd w:id="6"/>
    <w:p w:rsidR="00D75790" w:rsidRPr="00DC371E" w:rsidRDefault="00D75790" w:rsidP="00D75790">
      <w:pPr>
        <w:contextualSpacing/>
        <w:jc w:val="both"/>
        <w:rPr>
          <w:rFonts w:ascii="Arial" w:hAnsi="Arial" w:cs="Arial"/>
          <w:color w:val="222222"/>
          <w:sz w:val="22"/>
          <w:szCs w:val="22"/>
          <w:highlight w:val="yellow"/>
          <w:lang w:val="es-ES_tradnl"/>
        </w:rPr>
      </w:pPr>
    </w:p>
    <w:p w:rsidR="00D75790" w:rsidRPr="00DC371E" w:rsidRDefault="00D75790" w:rsidP="00D75790">
      <w:pPr>
        <w:contextualSpacing/>
        <w:jc w:val="both"/>
        <w:rPr>
          <w:rFonts w:ascii="Arial" w:hAnsi="Arial" w:cs="Arial"/>
          <w:color w:val="222222"/>
          <w:sz w:val="22"/>
          <w:szCs w:val="22"/>
          <w:lang w:val="es-ES_tradnl"/>
        </w:rPr>
      </w:pPr>
    </w:p>
    <w:p w:rsidR="00D75790" w:rsidRPr="00DC371E" w:rsidRDefault="00D75790" w:rsidP="00D75790">
      <w:pPr>
        <w:contextualSpacing/>
        <w:jc w:val="both"/>
        <w:rPr>
          <w:rFonts w:ascii="Arial" w:hAnsi="Arial" w:cs="Arial"/>
          <w:color w:val="222222"/>
          <w:sz w:val="16"/>
          <w:szCs w:val="16"/>
          <w:lang w:val="es-ES_tradnl"/>
        </w:rPr>
      </w:pPr>
      <w:r w:rsidRPr="00DC371E">
        <w:rPr>
          <w:rFonts w:ascii="Arial" w:hAnsi="Arial" w:cs="Arial"/>
          <w:color w:val="222222"/>
          <w:sz w:val="16"/>
          <w:szCs w:val="16"/>
          <w:lang w:val="es-ES_tradnl"/>
        </w:rPr>
        <w:t>Aprobó: Fernando Olivera</w:t>
      </w:r>
    </w:p>
    <w:p w:rsidR="00D75790" w:rsidRPr="00DC371E" w:rsidRDefault="00D75790" w:rsidP="00D75790">
      <w:pPr>
        <w:contextualSpacing/>
        <w:jc w:val="both"/>
        <w:rPr>
          <w:rFonts w:ascii="Arial" w:hAnsi="Arial" w:cs="Arial"/>
          <w:color w:val="222222"/>
          <w:sz w:val="16"/>
          <w:szCs w:val="16"/>
          <w:lang w:val="es-ES_tradnl"/>
        </w:rPr>
      </w:pPr>
      <w:r w:rsidRPr="00DC371E">
        <w:rPr>
          <w:rFonts w:ascii="Arial" w:hAnsi="Arial" w:cs="Arial"/>
          <w:color w:val="222222"/>
          <w:sz w:val="16"/>
          <w:szCs w:val="16"/>
          <w:lang w:val="es-ES_tradnl"/>
        </w:rPr>
        <w:t>Revisó:  Grupo Jurídico 028</w:t>
      </w:r>
    </w:p>
    <w:p w:rsidR="00D75790" w:rsidRPr="00DC371E" w:rsidRDefault="00D75790" w:rsidP="00D75790">
      <w:pPr>
        <w:ind w:left="708" w:hanging="708"/>
        <w:contextualSpacing/>
        <w:jc w:val="both"/>
        <w:rPr>
          <w:rFonts w:ascii="Arial" w:hAnsi="Arial" w:cs="Arial"/>
          <w:color w:val="222222"/>
          <w:sz w:val="16"/>
          <w:szCs w:val="16"/>
          <w:lang w:val="es-ES_tradnl"/>
        </w:rPr>
      </w:pPr>
      <w:r w:rsidRPr="00DC371E">
        <w:rPr>
          <w:rFonts w:ascii="Arial" w:hAnsi="Arial" w:cs="Arial"/>
          <w:color w:val="222222"/>
          <w:sz w:val="16"/>
          <w:szCs w:val="16"/>
          <w:lang w:val="es-ES_tradnl"/>
        </w:rPr>
        <w:t>Revisó: Mauricio Mendoza</w:t>
      </w:r>
    </w:p>
    <w:p w:rsidR="00D75790" w:rsidRPr="00DC371E" w:rsidRDefault="00D75790" w:rsidP="00D75790">
      <w:pPr>
        <w:keepNext/>
        <w:keepLines/>
        <w:spacing w:after="5"/>
        <w:ind w:left="10" w:right="8" w:hanging="10"/>
        <w:contextualSpacing/>
        <w:outlineLvl w:val="0"/>
        <w:rPr>
          <w:rFonts w:ascii="Arial" w:hAnsi="Arial" w:cs="Arial"/>
        </w:rPr>
      </w:pPr>
      <w:r w:rsidRPr="00DC371E">
        <w:rPr>
          <w:rFonts w:ascii="Arial" w:hAnsi="Arial" w:cs="Arial"/>
          <w:color w:val="222222"/>
          <w:sz w:val="16"/>
          <w:szCs w:val="16"/>
          <w:lang w:val="es-ES_tradnl"/>
        </w:rPr>
        <w:t>Elaboró: Giovanny Salas</w:t>
      </w:r>
    </w:p>
    <w:p w:rsidR="00370540" w:rsidRPr="00DC371E" w:rsidRDefault="00370540" w:rsidP="00844772">
      <w:pPr>
        <w:keepNext/>
        <w:keepLines/>
        <w:spacing w:after="5"/>
        <w:ind w:left="10" w:right="8" w:hanging="10"/>
        <w:contextualSpacing/>
        <w:outlineLvl w:val="0"/>
        <w:rPr>
          <w:rFonts w:ascii="Arial" w:hAnsi="Arial" w:cs="Arial"/>
        </w:rPr>
      </w:pPr>
    </w:p>
    <w:sectPr w:rsidR="00370540" w:rsidRPr="00DC371E" w:rsidSect="004E432F">
      <w:headerReference w:type="default" r:id="rId53"/>
      <w:footerReference w:type="default" r:id="rId54"/>
      <w:headerReference w:type="first" r:id="rId55"/>
      <w:footerReference w:type="first" r:id="rId56"/>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98A" w:rsidRDefault="006E598A" w:rsidP="00F71345">
      <w:r>
        <w:separator/>
      </w:r>
    </w:p>
  </w:endnote>
  <w:endnote w:type="continuationSeparator" w:id="0">
    <w:p w:rsidR="006E598A" w:rsidRDefault="006E598A"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Arial&quot;,sans-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PTSerif-Regular">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E54" w:rsidRPr="00F01F75" w:rsidRDefault="00695E54" w:rsidP="00F01F75">
    <w:pPr>
      <w:pStyle w:val="Piedepgina"/>
    </w:pPr>
    <w:r>
      <w:rPr>
        <w:noProof/>
        <w:lang w:eastAsia="es-CO"/>
      </w:rPr>
      <w:drawing>
        <wp:inline distT="0" distB="0" distL="0" distR="0">
          <wp:extent cx="3399155" cy="981075"/>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E54" w:rsidRPr="00F01F75" w:rsidRDefault="00695E54" w:rsidP="00F01F75">
    <w:pPr>
      <w:pStyle w:val="Piedepgina"/>
    </w:pPr>
    <w:r>
      <w:rPr>
        <w:noProof/>
        <w:lang w:eastAsia="es-CO"/>
      </w:rPr>
      <w:drawing>
        <wp:inline distT="0" distB="0" distL="0" distR="0">
          <wp:extent cx="3399155" cy="981075"/>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98A" w:rsidRDefault="006E598A" w:rsidP="00F71345">
      <w:r>
        <w:separator/>
      </w:r>
    </w:p>
  </w:footnote>
  <w:footnote w:type="continuationSeparator" w:id="0">
    <w:p w:rsidR="006E598A" w:rsidRDefault="006E598A" w:rsidP="00F71345">
      <w:r>
        <w:continuationSeparator/>
      </w:r>
    </w:p>
  </w:footnote>
  <w:footnote w:id="1">
    <w:p w:rsidR="00695E54" w:rsidRDefault="00695E54" w:rsidP="00D75790">
      <w:pPr>
        <w:pStyle w:val="Textonotapie"/>
        <w:jc w:val="both"/>
      </w:pPr>
      <w:r>
        <w:rPr>
          <w:rStyle w:val="Refdenotaalpie"/>
        </w:rPr>
        <w:footnoteRef/>
      </w:r>
      <w:r>
        <w:t xml:space="preserve"> </w:t>
      </w:r>
      <w:r w:rsidRPr="009E21F6">
        <w:rPr>
          <w:rFonts w:ascii="Arial" w:hAnsi="Arial" w:cs="Arial"/>
          <w:sz w:val="16"/>
          <w:szCs w:val="16"/>
        </w:rPr>
        <w:t xml:space="preserve">El PIB representa el resultado final de la actividad productiva de las unidades de producción residentes. </w:t>
      </w:r>
      <w:hyperlink r:id="rId1" w:history="1">
        <w:r w:rsidRPr="009E21F6">
          <w:rPr>
            <w:rStyle w:val="Hipervnculo"/>
            <w:rFonts w:ascii="Arial" w:hAnsi="Arial" w:cs="Arial"/>
            <w:sz w:val="16"/>
            <w:szCs w:val="16"/>
          </w:rPr>
          <w:t>https://www.dane.gov.co/files/faqs/faq_pib.pdf</w:t>
        </w:r>
      </w:hyperlink>
      <w:r w:rsidRPr="009E21F6">
        <w:rPr>
          <w:rFonts w:ascii="Arial" w:hAnsi="Arial" w:cs="Arial"/>
          <w:sz w:val="16"/>
          <w:szCs w:val="16"/>
        </w:rPr>
        <w:t xml:space="preserve"> - DANE 2020.</w:t>
      </w:r>
    </w:p>
  </w:footnote>
  <w:footnote w:id="2">
    <w:p w:rsidR="00695E54" w:rsidRDefault="00695E54" w:rsidP="00D75790">
      <w:pPr>
        <w:pStyle w:val="Textonotapie"/>
        <w:jc w:val="both"/>
      </w:pPr>
      <w:r w:rsidRPr="009E21F6">
        <w:rPr>
          <w:rStyle w:val="Refdenotaalpie"/>
          <w:rFonts w:ascii="Arial" w:hAnsi="Arial" w:cs="Arial"/>
          <w:sz w:val="16"/>
          <w:szCs w:val="16"/>
        </w:rPr>
        <w:footnoteRef/>
      </w:r>
      <w:r w:rsidRPr="009E21F6">
        <w:rPr>
          <w:rFonts w:ascii="Arial" w:hAnsi="Arial" w:cs="Arial"/>
          <w:sz w:val="16"/>
          <w:szCs w:val="16"/>
        </w:rPr>
        <w:t xml:space="preserve"> Artículo 9 del decreto 028 de 2008. Eventos de riesgo 9.1; 9.3; 9.4; 9.8; 9.11; 9.12; 9.16 y 9.18.</w:t>
      </w:r>
    </w:p>
  </w:footnote>
  <w:footnote w:id="3">
    <w:p w:rsidR="00695E54" w:rsidRDefault="00695E54" w:rsidP="00D75790">
      <w:pPr>
        <w:pStyle w:val="Textonotapie"/>
        <w:jc w:val="both"/>
      </w:pPr>
      <w:r w:rsidRPr="00D9497F">
        <w:rPr>
          <w:rStyle w:val="Refdenotaalpie"/>
          <w:rFonts w:ascii="Arial" w:hAnsi="Arial" w:cs="Arial"/>
          <w:sz w:val="16"/>
          <w:szCs w:val="16"/>
        </w:rPr>
        <w:footnoteRef/>
      </w:r>
      <w:r w:rsidRPr="00D9497F">
        <w:rPr>
          <w:rFonts w:ascii="Arial" w:hAnsi="Arial" w:cs="Arial"/>
          <w:sz w:val="16"/>
          <w:szCs w:val="16"/>
        </w:rPr>
        <w:t xml:space="preserve"> </w:t>
      </w:r>
      <w:r w:rsidRPr="00D9497F">
        <w:rPr>
          <w:rFonts w:ascii="Arial" w:eastAsia="MS Mincho" w:hAnsi="Arial" w:cs="Arial"/>
          <w:sz w:val="16"/>
          <w:szCs w:val="16"/>
          <w:lang w:val="es-ES_tradnl"/>
        </w:rPr>
        <w:t>Persona natural o jurídica con la cual se ha celebrado un contrato de condiciones uniformes de servicios públicos.</w:t>
      </w:r>
    </w:p>
  </w:footnote>
  <w:footnote w:id="4">
    <w:p w:rsidR="00695E54" w:rsidRDefault="00695E54" w:rsidP="00D75790">
      <w:pPr>
        <w:pStyle w:val="Textonotapie"/>
        <w:jc w:val="both"/>
      </w:pPr>
      <w:r w:rsidRPr="007609E0">
        <w:rPr>
          <w:rStyle w:val="Refdenotaalpie"/>
          <w:rFonts w:ascii="Arial" w:hAnsi="Arial" w:cs="Arial"/>
          <w:sz w:val="16"/>
          <w:szCs w:val="16"/>
        </w:rPr>
        <w:footnoteRef/>
      </w:r>
      <w:r w:rsidRPr="007609E0">
        <w:rPr>
          <w:rFonts w:ascii="Arial" w:hAnsi="Arial" w:cs="Arial"/>
          <w:sz w:val="16"/>
          <w:szCs w:val="16"/>
        </w:rPr>
        <w:t xml:space="preserve"> Conexión Intradomiciliaria de acueducto: Conjunto de tuberías, accesorios, equipos y aparatos que integran el sistema hidráulico del inmueble a partir del medidor, para el suministro de agua potable. Guía Metodológica Programa de Conexiones Intradomiciliarias Minvivienda</w:t>
      </w:r>
      <w:r>
        <w:rPr>
          <w:rFonts w:ascii="Arial" w:hAnsi="Arial" w:cs="Arial"/>
          <w:sz w:val="16"/>
          <w:szCs w:val="16"/>
        </w:rPr>
        <w:t>.</w:t>
      </w:r>
    </w:p>
  </w:footnote>
  <w:footnote w:id="5">
    <w:p w:rsidR="00695E54" w:rsidRDefault="00695E54" w:rsidP="00D75790">
      <w:pPr>
        <w:pStyle w:val="Textonotapie"/>
        <w:jc w:val="both"/>
      </w:pPr>
      <w:r w:rsidRPr="009E21F6">
        <w:rPr>
          <w:rStyle w:val="Refdenotaalpie"/>
          <w:rFonts w:ascii="Arial" w:hAnsi="Arial" w:cs="Arial"/>
          <w:sz w:val="16"/>
          <w:szCs w:val="16"/>
        </w:rPr>
        <w:footnoteRef/>
      </w:r>
      <w:r w:rsidRPr="009E21F6">
        <w:rPr>
          <w:rFonts w:ascii="Arial" w:hAnsi="Arial" w:cs="Arial"/>
          <w:sz w:val="16"/>
          <w:szCs w:val="16"/>
        </w:rPr>
        <w:t xml:space="preserve"> Documento Extracción del recurso hídrico, entregado por Coralina en visita de Reconocimiento sectorial en agosto de 2020 a la DAF</w:t>
      </w:r>
    </w:p>
  </w:footnote>
  <w:footnote w:id="6">
    <w:p w:rsidR="00695E54" w:rsidRDefault="00695E54" w:rsidP="00D75790">
      <w:pPr>
        <w:pStyle w:val="Textonotapie"/>
        <w:jc w:val="both"/>
      </w:pPr>
      <w:r w:rsidRPr="009F212F">
        <w:rPr>
          <w:rStyle w:val="Refdenotaalpie"/>
          <w:rFonts w:ascii="Arial" w:hAnsi="Arial" w:cs="Arial"/>
          <w:sz w:val="16"/>
          <w:szCs w:val="16"/>
        </w:rPr>
        <w:footnoteRef/>
      </w:r>
      <w:r w:rsidRPr="009F212F">
        <w:rPr>
          <w:rFonts w:ascii="Arial" w:hAnsi="Arial" w:cs="Arial"/>
          <w:sz w:val="16"/>
          <w:szCs w:val="16"/>
        </w:rPr>
        <w:t xml:space="preserve"> Supervisión al contrato de operación del servicio de acueducto y alcantarillado en la Isla de San Andrés- abril 2020.</w:t>
      </w:r>
    </w:p>
  </w:footnote>
  <w:footnote w:id="7">
    <w:p w:rsidR="00695E54" w:rsidRPr="009F212F" w:rsidRDefault="00695E54" w:rsidP="00D75790">
      <w:pPr>
        <w:pStyle w:val="footnotedescription"/>
        <w:spacing w:line="268" w:lineRule="auto"/>
        <w:ind w:right="2"/>
        <w:jc w:val="both"/>
        <w:rPr>
          <w:szCs w:val="16"/>
        </w:rPr>
      </w:pPr>
      <w:r w:rsidRPr="009F212F">
        <w:rPr>
          <w:rStyle w:val="footnotemark"/>
          <w:rFonts w:ascii="Arial" w:eastAsiaTheme="minorEastAsia" w:hAnsi="Arial"/>
          <w:sz w:val="16"/>
          <w:szCs w:val="16"/>
        </w:rPr>
        <w:footnoteRef/>
      </w:r>
      <w:r w:rsidRPr="009F212F">
        <w:rPr>
          <w:szCs w:val="16"/>
        </w:rPr>
        <w:t xml:space="preserve"> Cuando haya servicios públicos disponibles de acueducto y saneamiento básico será obligatorio vincularse como usuario y cumplir con los deberes respectivos, o acreditar que se dispone de alternativas que n o perjudiquen a la comunidad. La Superintendencia de Servicios Públicos será la entidad competente para determinar si la alternativa propuesta no causa perjuicios a la comunidad. </w:t>
      </w:r>
    </w:p>
    <w:p w:rsidR="00695E54" w:rsidRPr="009F212F" w:rsidRDefault="00695E54" w:rsidP="00D75790">
      <w:pPr>
        <w:pStyle w:val="footnotedescription"/>
        <w:spacing w:after="32" w:line="232" w:lineRule="auto"/>
        <w:ind w:right="3"/>
        <w:jc w:val="both"/>
        <w:rPr>
          <w:szCs w:val="16"/>
        </w:rPr>
      </w:pPr>
      <w:r w:rsidRPr="009F212F">
        <w:rPr>
          <w:szCs w:val="16"/>
        </w:rPr>
        <w:t xml:space="preserve">Las autoridades de policía, de oficio o por solicitud de cualquier persona procederán a sellar los inmuebles residenciales o abiertos al público, que estando ubicados en zonas en las que se pueden recibir los servicios de acueducto y saneamiento básico no se hayan hecho usuarios de ellos y conserven tal carácter. </w:t>
      </w:r>
    </w:p>
    <w:p w:rsidR="00695E54" w:rsidRDefault="00695E54" w:rsidP="00D75790">
      <w:pPr>
        <w:pStyle w:val="footnotedescription"/>
        <w:spacing w:line="252" w:lineRule="auto"/>
      </w:pPr>
      <w:r>
        <w:rPr>
          <w:rFonts w:ascii="Times New Roman" w:hAnsi="Times New Roman" w:cs="Times New Roman"/>
          <w:sz w:val="20"/>
        </w:rPr>
        <w:t xml:space="preserve"> </w:t>
      </w:r>
    </w:p>
  </w:footnote>
  <w:footnote w:id="8">
    <w:p w:rsidR="00695E54" w:rsidRDefault="00695E54" w:rsidP="00D75790">
      <w:pPr>
        <w:pStyle w:val="Textonotapie"/>
        <w:jc w:val="both"/>
      </w:pPr>
      <w:r w:rsidRPr="001260B4">
        <w:rPr>
          <w:rStyle w:val="Refdenotaalpie"/>
          <w:rFonts w:ascii="Arial" w:hAnsi="Arial" w:cs="Arial"/>
        </w:rPr>
        <w:footnoteRef/>
      </w:r>
      <w:r w:rsidRPr="001260B4">
        <w:rPr>
          <w:rFonts w:ascii="Arial" w:hAnsi="Arial" w:cs="Arial"/>
        </w:rPr>
        <w:t xml:space="preserve"> </w:t>
      </w:r>
      <w:r w:rsidRPr="001260B4">
        <w:rPr>
          <w:rFonts w:ascii="Arial" w:hAnsi="Arial" w:cs="Arial"/>
          <w:sz w:val="16"/>
          <w:szCs w:val="16"/>
        </w:rPr>
        <w:t>Documento Extracción del recurso hídrico, entregado por Coralina en visita de Reconocimiento sectorial en agosto de 2020 a la DAF.</w:t>
      </w:r>
      <w:r w:rsidRPr="001260B4">
        <w:rPr>
          <w:rFonts w:ascii="Arial" w:hAnsi="Arial" w:cs="Arial"/>
          <w:lang w:val="es-ES"/>
        </w:rPr>
        <w:t xml:space="preserve"> </w:t>
      </w:r>
    </w:p>
  </w:footnote>
  <w:footnote w:id="9">
    <w:p w:rsidR="00695E54" w:rsidRDefault="00695E54" w:rsidP="00D75790">
      <w:pPr>
        <w:pStyle w:val="Textonotapie"/>
        <w:jc w:val="both"/>
      </w:pPr>
      <w:r w:rsidRPr="001260B4">
        <w:rPr>
          <w:rStyle w:val="Refdenotaalpie"/>
          <w:rFonts w:ascii="Arial" w:hAnsi="Arial" w:cs="Arial"/>
          <w:sz w:val="16"/>
          <w:szCs w:val="16"/>
        </w:rPr>
        <w:footnoteRef/>
      </w:r>
      <w:r w:rsidRPr="001260B4">
        <w:rPr>
          <w:rFonts w:ascii="Arial" w:hAnsi="Arial" w:cs="Arial"/>
          <w:sz w:val="16"/>
          <w:szCs w:val="16"/>
        </w:rPr>
        <w:t xml:space="preserve"> Informe de Resultados de Actualización y Sistematización del Censo y Diagnóstico Sanitario de Viviendas en San Andrés Isla. Gobernación del Departamento Archipiélago de San Andrés, Providencia y Santa Catalina, 2004.</w:t>
      </w:r>
    </w:p>
  </w:footnote>
  <w:footnote w:id="10">
    <w:p w:rsidR="00695E54" w:rsidRDefault="00695E54" w:rsidP="00D75790">
      <w:pPr>
        <w:pStyle w:val="Textonotapie"/>
      </w:pPr>
      <w:r w:rsidRPr="0031763B">
        <w:rPr>
          <w:rStyle w:val="Refdenotaalpie"/>
          <w:rFonts w:ascii="Arial Narrow" w:hAnsi="Arial Narrow"/>
          <w:sz w:val="16"/>
          <w:szCs w:val="16"/>
        </w:rPr>
        <w:footnoteRef/>
      </w:r>
      <w:r w:rsidRPr="0031763B">
        <w:rPr>
          <w:rFonts w:ascii="Arial Narrow" w:hAnsi="Arial Narrow"/>
          <w:sz w:val="16"/>
          <w:szCs w:val="16"/>
        </w:rPr>
        <w:t xml:space="preserve"> </w:t>
      </w:r>
      <w:r w:rsidRPr="000724E4">
        <w:rPr>
          <w:rFonts w:ascii="Arial" w:hAnsi="Arial" w:cs="Arial"/>
          <w:sz w:val="16"/>
          <w:szCs w:val="16"/>
        </w:rPr>
        <w:t>Propuesta de escala de valoración de la calidad sanitaria del agua subterránea en la isla de San Andrés. Palmer, S. 2010</w:t>
      </w:r>
    </w:p>
  </w:footnote>
  <w:footnote w:id="11">
    <w:p w:rsidR="00695E54" w:rsidRDefault="00695E54" w:rsidP="00D75790">
      <w:pPr>
        <w:pStyle w:val="Textonotapie"/>
        <w:jc w:val="both"/>
      </w:pPr>
      <w:r w:rsidRPr="00871D2F">
        <w:rPr>
          <w:rStyle w:val="Refdenotaalpie"/>
          <w:rFonts w:ascii="Arial" w:hAnsi="Arial" w:cs="Arial"/>
          <w:sz w:val="16"/>
          <w:szCs w:val="16"/>
        </w:rPr>
        <w:footnoteRef/>
      </w:r>
      <w:r w:rsidRPr="001D67A2">
        <w:rPr>
          <w:rFonts w:ascii="Arial" w:hAnsi="Arial" w:cs="Arial"/>
          <w:sz w:val="16"/>
          <w:szCs w:val="16"/>
        </w:rPr>
        <w:t xml:space="preserve"> </w:t>
      </w:r>
      <w:r w:rsidRPr="00871D2F">
        <w:rPr>
          <w:rFonts w:ascii="Arial" w:hAnsi="Arial" w:cs="Arial"/>
          <w:sz w:val="16"/>
          <w:szCs w:val="16"/>
        </w:rPr>
        <w:t xml:space="preserve">Actualización del informe de monitoreo al uso y ejecución de los recursos del Sistema General de Participaciones para Agua Potable y Saneamiento Básico (SGP-APSB) al Archipiélago de San Andrés, Providencia y Santa Catalina vigencias 2019 y 2020” </w:t>
      </w:r>
      <w:r w:rsidRPr="001D67A2">
        <w:rPr>
          <w:rFonts w:ascii="Arial" w:hAnsi="Arial" w:cs="Arial"/>
          <w:sz w:val="16"/>
          <w:szCs w:val="16"/>
          <w:lang w:val="es-ES_tradnl"/>
        </w:rPr>
        <w:t xml:space="preserve">elaborado </w:t>
      </w:r>
      <w:r w:rsidRPr="00871D2F">
        <w:rPr>
          <w:rFonts w:ascii="Arial" w:hAnsi="Arial" w:cs="Arial"/>
          <w:sz w:val="16"/>
          <w:szCs w:val="16"/>
          <w:lang w:val="es-ES_tradnl"/>
        </w:rPr>
        <w:t xml:space="preserve">por el MVCT, radicado en la DAF el día 28 de mayo bajo el </w:t>
      </w:r>
      <w:r>
        <w:rPr>
          <w:rFonts w:ascii="Arial" w:hAnsi="Arial" w:cs="Arial"/>
          <w:sz w:val="16"/>
          <w:szCs w:val="16"/>
          <w:lang w:val="es-ES_tradnl"/>
        </w:rPr>
        <w:t>número</w:t>
      </w:r>
      <w:r w:rsidRPr="00871D2F">
        <w:rPr>
          <w:rFonts w:ascii="Arial" w:hAnsi="Arial" w:cs="Arial"/>
          <w:sz w:val="16"/>
          <w:szCs w:val="16"/>
        </w:rPr>
        <w:t xml:space="preserve"> 1-2021-046779</w:t>
      </w:r>
      <w:r w:rsidRPr="00871D2F">
        <w:rPr>
          <w:rFonts w:ascii="Arial" w:hAnsi="Arial" w:cs="Arial"/>
          <w:sz w:val="16"/>
          <w:szCs w:val="16"/>
          <w:lang w:val="es-ES"/>
        </w:rPr>
        <w:t>.</w:t>
      </w:r>
    </w:p>
  </w:footnote>
  <w:footnote w:id="12">
    <w:p w:rsidR="00695E54" w:rsidRDefault="00695E54" w:rsidP="00D75790">
      <w:pPr>
        <w:pStyle w:val="Textonotapie"/>
        <w:jc w:val="both"/>
      </w:pPr>
      <w:r w:rsidRPr="00871D2F">
        <w:rPr>
          <w:rStyle w:val="Refdenotaalpie"/>
          <w:rFonts w:ascii="Arial" w:hAnsi="Arial" w:cs="Arial"/>
          <w:sz w:val="16"/>
          <w:szCs w:val="16"/>
        </w:rPr>
        <w:footnoteRef/>
      </w:r>
      <w:r w:rsidRPr="00871D2F">
        <w:rPr>
          <w:rFonts w:ascii="Arial" w:hAnsi="Arial" w:cs="Arial"/>
          <w:sz w:val="16"/>
          <w:szCs w:val="16"/>
        </w:rPr>
        <w:t xml:space="preserve"> Nota de prensa: https://www.lafm.com.co/colombia/corte-pide-avances-sobre-el-sistema-de-basuras-de-san-andres</w:t>
      </w:r>
    </w:p>
  </w:footnote>
  <w:footnote w:id="13">
    <w:p w:rsidR="00695E54" w:rsidRDefault="00695E54" w:rsidP="00D75790">
      <w:pPr>
        <w:pStyle w:val="Textonotapie"/>
        <w:jc w:val="both"/>
      </w:pPr>
      <w:r w:rsidRPr="006B181C">
        <w:rPr>
          <w:rStyle w:val="Refdenotaalpie"/>
          <w:rFonts w:ascii="Arial" w:hAnsi="Arial" w:cs="Arial"/>
          <w:sz w:val="16"/>
          <w:szCs w:val="16"/>
        </w:rPr>
        <w:footnoteRef/>
      </w:r>
      <w:r w:rsidRPr="006B181C">
        <w:rPr>
          <w:rFonts w:ascii="Arial" w:hAnsi="Arial" w:cs="Arial"/>
          <w:sz w:val="16"/>
          <w:szCs w:val="16"/>
        </w:rPr>
        <w:t xml:space="preserve"> https://minvivienda.gov.co/sala-de-prensa/san-andres-operara-la-primera-planta-generadora-de-energia-partir-de-residuos-solidos-en-el-pais</w:t>
      </w:r>
    </w:p>
  </w:footnote>
  <w:footnote w:id="14">
    <w:p w:rsidR="00695E54" w:rsidRDefault="00695E54" w:rsidP="00D75790">
      <w:pPr>
        <w:pStyle w:val="Textonotapie"/>
        <w:jc w:val="both"/>
      </w:pPr>
      <w:r w:rsidRPr="009F70A5">
        <w:rPr>
          <w:rStyle w:val="Refdenotaalpie"/>
          <w:rFonts w:ascii="Arial" w:hAnsi="Arial" w:cs="Arial"/>
          <w:sz w:val="16"/>
          <w:szCs w:val="16"/>
        </w:rPr>
        <w:footnoteRef/>
      </w:r>
      <w:r w:rsidRPr="009F70A5">
        <w:rPr>
          <w:rFonts w:ascii="Arial" w:hAnsi="Arial" w:cs="Arial"/>
          <w:sz w:val="16"/>
          <w:szCs w:val="16"/>
        </w:rPr>
        <w:t xml:space="preserve"> A través de la Resolución 0803 del 18 de marzo de 2019, el Ministerio de Hacienda y Crédito Público encargó a la Dirección General de Apoyo Fiscal de las funciones asignadas a través del artículo 2.8.1.2.5 del Decreto 1068 de 2015 adicionado por el artículo 4 del Decreto 412 de 2018, así: i) expedir y actualizar el Catálogo de Clasificación Presupuestal para Entidades Territoriales y sus Descentralizadas - CCPET- ; ii) definir los términos en que debe regir la aplicación del CCPET por parte de las entidades territoriales y sus descentralizadas; y iii) prestar asistencia técnica permanente, capacitación, apoyo en la implementación, aclaración de conceptos y la aplicación del CCPET.</w:t>
      </w:r>
    </w:p>
  </w:footnote>
  <w:footnote w:id="15">
    <w:p w:rsidR="00695E54" w:rsidRDefault="00695E54" w:rsidP="00D75790">
      <w:pPr>
        <w:pStyle w:val="Textonotapie"/>
        <w:jc w:val="both"/>
      </w:pPr>
      <w:r w:rsidRPr="009F70A5">
        <w:rPr>
          <w:rFonts w:ascii="Arial" w:eastAsia="MS Mincho" w:hAnsi="Arial" w:cs="Arial"/>
          <w:sz w:val="16"/>
          <w:szCs w:val="16"/>
          <w:lang w:val="es-ES"/>
        </w:rPr>
        <w:footnoteRef/>
      </w:r>
      <w:r w:rsidRPr="009F70A5">
        <w:rPr>
          <w:rFonts w:ascii="Arial" w:eastAsia="MS Mincho" w:hAnsi="Arial" w:cs="Arial"/>
          <w:sz w:val="16"/>
          <w:szCs w:val="16"/>
          <w:lang w:val="es-ES"/>
        </w:rPr>
        <w:t>. SSPD Concepto 718 de 2016</w:t>
      </w:r>
    </w:p>
  </w:footnote>
  <w:footnote w:id="16">
    <w:p w:rsidR="00695E54" w:rsidRDefault="00695E54" w:rsidP="00D75790">
      <w:pPr>
        <w:pStyle w:val="Textonotapie"/>
        <w:jc w:val="both"/>
      </w:pPr>
      <w:r w:rsidRPr="009F70A5">
        <w:rPr>
          <w:rFonts w:ascii="Arial" w:eastAsia="MS Mincho" w:hAnsi="Arial" w:cs="Arial"/>
          <w:sz w:val="16"/>
          <w:szCs w:val="16"/>
          <w:lang w:val="es-ES"/>
        </w:rPr>
        <w:footnoteRef/>
      </w:r>
      <w:r w:rsidRPr="009F70A5">
        <w:rPr>
          <w:rFonts w:ascii="Arial" w:eastAsia="MS Mincho" w:hAnsi="Arial" w:cs="Arial"/>
          <w:sz w:val="16"/>
          <w:szCs w:val="16"/>
          <w:lang w:val="es-ES"/>
        </w:rPr>
        <w:t>. Numeral 3° del artículo 5° de la Ley 142 de 1994</w:t>
      </w:r>
    </w:p>
  </w:footnote>
  <w:footnote w:id="17">
    <w:p w:rsidR="00695E54" w:rsidRDefault="00695E54" w:rsidP="00D75790">
      <w:pPr>
        <w:pStyle w:val="Textonotapie"/>
      </w:pPr>
      <w:r w:rsidRPr="001C592E">
        <w:rPr>
          <w:rFonts w:ascii="Arial" w:eastAsia="MS Mincho" w:hAnsi="Arial" w:cs="Arial"/>
          <w:sz w:val="16"/>
          <w:szCs w:val="16"/>
          <w:lang w:val="es-ES"/>
        </w:rPr>
        <w:footnoteRef/>
      </w:r>
      <w:r>
        <w:rPr>
          <w:rFonts w:ascii="Arial" w:eastAsia="MS Mincho" w:hAnsi="Arial" w:cs="Arial"/>
          <w:sz w:val="16"/>
          <w:szCs w:val="16"/>
          <w:lang w:val="es-ES"/>
        </w:rPr>
        <w:t>.</w:t>
      </w:r>
      <w:r w:rsidRPr="001C592E">
        <w:rPr>
          <w:rFonts w:ascii="Arial" w:eastAsia="MS Mincho" w:hAnsi="Arial" w:cs="Arial"/>
          <w:sz w:val="16"/>
          <w:szCs w:val="16"/>
          <w:lang w:val="es-ES"/>
        </w:rPr>
        <w:t xml:space="preserve"> SSPD </w:t>
      </w:r>
      <w:r>
        <w:rPr>
          <w:rFonts w:ascii="Arial" w:eastAsia="MS Mincho" w:hAnsi="Arial" w:cs="Arial"/>
          <w:sz w:val="16"/>
          <w:szCs w:val="16"/>
          <w:lang w:val="es-ES"/>
        </w:rPr>
        <w:t>Concepto</w:t>
      </w:r>
      <w:r w:rsidRPr="001C592E">
        <w:rPr>
          <w:rFonts w:ascii="Arial" w:eastAsia="MS Mincho" w:hAnsi="Arial" w:cs="Arial"/>
          <w:sz w:val="16"/>
          <w:szCs w:val="16"/>
          <w:lang w:val="es-ES"/>
        </w:rPr>
        <w:t xml:space="preserve"> 718 </w:t>
      </w:r>
      <w:r>
        <w:rPr>
          <w:rFonts w:ascii="Arial" w:eastAsia="MS Mincho" w:hAnsi="Arial" w:cs="Arial"/>
          <w:sz w:val="16"/>
          <w:szCs w:val="16"/>
          <w:lang w:val="es-ES"/>
        </w:rPr>
        <w:t>de</w:t>
      </w:r>
      <w:r w:rsidRPr="001C592E">
        <w:rPr>
          <w:rFonts w:ascii="Arial" w:eastAsia="MS Mincho" w:hAnsi="Arial" w:cs="Arial"/>
          <w:sz w:val="16"/>
          <w:szCs w:val="16"/>
          <w:lang w:val="es-ES"/>
        </w:rPr>
        <w:t xml:space="preserve"> 2016</w:t>
      </w:r>
    </w:p>
  </w:footnote>
  <w:footnote w:id="18">
    <w:p w:rsidR="00695E54" w:rsidRDefault="00695E54" w:rsidP="00D75790">
      <w:pPr>
        <w:pStyle w:val="Textonotapie"/>
        <w:jc w:val="both"/>
      </w:pPr>
      <w:r w:rsidRPr="000724E4">
        <w:rPr>
          <w:rStyle w:val="Refdenotaalpie"/>
          <w:rFonts w:ascii="Arial" w:hAnsi="Arial" w:cs="Arial"/>
          <w:sz w:val="16"/>
          <w:szCs w:val="16"/>
        </w:rPr>
        <w:footnoteRef/>
      </w:r>
      <w:r w:rsidRPr="000724E4">
        <w:rPr>
          <w:rFonts w:ascii="Arial" w:hAnsi="Arial" w:cs="Arial"/>
          <w:sz w:val="16"/>
          <w:szCs w:val="16"/>
        </w:rPr>
        <w:t xml:space="preserve"> </w:t>
      </w:r>
      <w:r w:rsidRPr="000724E4">
        <w:rPr>
          <w:rFonts w:ascii="Arial" w:hAnsi="Arial" w:cs="Arial"/>
          <w:color w:val="333333"/>
          <w:sz w:val="16"/>
          <w:szCs w:val="16"/>
          <w:shd w:val="clear" w:color="auto" w:fill="FFFFFF"/>
        </w:rPr>
        <w:t>"Por el cual se dictan medidas para los servicios públicos de acueducto, alcantarillado y aseo, en el marco del Estado de Emergencia Económica, Social y Ecológica"</w:t>
      </w:r>
    </w:p>
  </w:footnote>
  <w:footnote w:id="19">
    <w:p w:rsidR="00695E54" w:rsidRDefault="00695E54" w:rsidP="00D75790">
      <w:pPr>
        <w:pStyle w:val="Textonotapie"/>
        <w:jc w:val="both"/>
      </w:pPr>
      <w:r w:rsidRPr="000724E4">
        <w:rPr>
          <w:rStyle w:val="Refdenotaalpie"/>
          <w:rFonts w:ascii="Arial" w:hAnsi="Arial" w:cs="Arial"/>
          <w:sz w:val="16"/>
          <w:szCs w:val="16"/>
        </w:rPr>
        <w:footnoteRef/>
      </w:r>
      <w:r w:rsidRPr="000724E4">
        <w:rPr>
          <w:rFonts w:ascii="Arial" w:hAnsi="Arial" w:cs="Arial"/>
          <w:sz w:val="16"/>
          <w:szCs w:val="16"/>
        </w:rPr>
        <w:t xml:space="preserve"> Articulo 8 Decreto 565 de 1996. </w:t>
      </w:r>
      <w:r w:rsidRPr="000724E4">
        <w:rPr>
          <w:rFonts w:ascii="Arial" w:hAnsi="Arial" w:cs="Arial"/>
          <w:color w:val="000000"/>
          <w:sz w:val="16"/>
          <w:szCs w:val="16"/>
        </w:rPr>
        <w:t>La diferencia entre aportes solidarios y subsidios generará déficit o superávit.</w:t>
      </w:r>
    </w:p>
  </w:footnote>
  <w:footnote w:id="20">
    <w:p w:rsidR="00695E54" w:rsidRDefault="00695E54" w:rsidP="00D75790">
      <w:pPr>
        <w:pStyle w:val="Textonotapie"/>
        <w:jc w:val="both"/>
      </w:pPr>
      <w:r w:rsidRPr="000724E4">
        <w:rPr>
          <w:rStyle w:val="Refdenotaalpie"/>
          <w:rFonts w:ascii="Arial" w:hAnsi="Arial" w:cs="Arial"/>
          <w:sz w:val="16"/>
          <w:szCs w:val="16"/>
        </w:rPr>
        <w:footnoteRef/>
      </w:r>
      <w:r w:rsidRPr="000724E4">
        <w:rPr>
          <w:rFonts w:ascii="Arial" w:hAnsi="Arial" w:cs="Arial"/>
          <w:sz w:val="16"/>
          <w:szCs w:val="16"/>
        </w:rPr>
        <w:t xml:space="preserve"> </w:t>
      </w:r>
      <w:r w:rsidRPr="000724E4">
        <w:rPr>
          <w:rFonts w:ascii="Arial" w:hAnsi="Arial" w:cs="Arial"/>
          <w:color w:val="000000"/>
          <w:sz w:val="16"/>
          <w:szCs w:val="16"/>
        </w:rPr>
        <w:t>Decreto 528, Por el cual se dictan medidas para los servicios públicos de acueducto, alcantarillado y aseo, en el marco del Estado de Emergencia Económica, Social y Ecológica</w:t>
      </w:r>
      <w:r w:rsidRPr="002B334C">
        <w:rPr>
          <w:rFonts w:ascii="Arial" w:hAnsi="Arial" w:cs="Arial"/>
          <w:color w:val="000000"/>
          <w:sz w:val="18"/>
          <w:szCs w:val="18"/>
        </w:rPr>
        <w:t>.</w:t>
      </w:r>
    </w:p>
  </w:footnote>
  <w:footnote w:id="21">
    <w:p w:rsidR="00695E54" w:rsidRDefault="00695E54" w:rsidP="00D75790">
      <w:pPr>
        <w:pStyle w:val="Textonotapie"/>
        <w:jc w:val="both"/>
      </w:pPr>
      <w:r w:rsidRPr="000724E4">
        <w:rPr>
          <w:rStyle w:val="Refdenotaalpie"/>
          <w:rFonts w:ascii="Arial" w:hAnsi="Arial" w:cs="Arial"/>
          <w:sz w:val="16"/>
          <w:szCs w:val="16"/>
        </w:rPr>
        <w:footnoteRef/>
      </w:r>
      <w:r w:rsidRPr="000724E4">
        <w:rPr>
          <w:rFonts w:ascii="Arial" w:hAnsi="Arial" w:cs="Arial"/>
          <w:sz w:val="16"/>
          <w:szCs w:val="16"/>
        </w:rPr>
        <w:t xml:space="preserve"> En relación con los principios presupuestales, el artículo 14 del Decreto 111 de 1996, manifestó. Anualidad. El año fiscal comienza el 1º de enero y termina el 31 de diciembre de cada año. Después del 31 de diciembre no podrán asumirse compromisos con cargo a las apropiaciones del año fiscal que se cierra en esa fecha y los saldos de apropiación no afectados por compromisos caducarán sin excepción (Ley 38/89, artículo 10).</w:t>
      </w:r>
    </w:p>
  </w:footnote>
  <w:footnote w:id="22">
    <w:p w:rsidR="00695E54" w:rsidRDefault="00695E54" w:rsidP="00D75790">
      <w:pPr>
        <w:pStyle w:val="Textonotapie"/>
        <w:jc w:val="both"/>
      </w:pPr>
      <w:r>
        <w:rPr>
          <w:rStyle w:val="Refdenotaalpie"/>
        </w:rPr>
        <w:footnoteRef/>
      </w:r>
      <w:r>
        <w:t xml:space="preserve"> </w:t>
      </w:r>
      <w:r w:rsidRPr="00EC26F2">
        <w:rPr>
          <w:rFonts w:ascii="Arial" w:hAnsi="Arial" w:cs="Arial"/>
          <w:sz w:val="16"/>
          <w:szCs w:val="16"/>
        </w:rPr>
        <w:t>Creado con el Decreto 272 del 26 de octubre de 2020 y conformado por la Secretaria de Servicios Públicos y Medio Ambiente, La Secretaría de Planeación Departamental y la Secretaría de Hacienda.</w:t>
      </w:r>
      <w:r>
        <w:t xml:space="preserve"> </w:t>
      </w:r>
    </w:p>
  </w:footnote>
  <w:footnote w:id="23">
    <w:p w:rsidR="00695E54" w:rsidRDefault="00695E54" w:rsidP="00D75790">
      <w:pPr>
        <w:pStyle w:val="Textonotapie"/>
        <w:jc w:val="both"/>
      </w:pPr>
      <w:r w:rsidRPr="009C1369">
        <w:rPr>
          <w:rStyle w:val="Refdenotaalpie"/>
          <w:rFonts w:ascii="Arial" w:hAnsi="Arial" w:cs="Arial"/>
          <w:sz w:val="16"/>
          <w:szCs w:val="16"/>
        </w:rPr>
        <w:footnoteRef/>
      </w:r>
      <w:r w:rsidRPr="009C1369">
        <w:rPr>
          <w:rFonts w:ascii="Arial" w:hAnsi="Arial" w:cs="Arial"/>
          <w:sz w:val="16"/>
          <w:szCs w:val="16"/>
        </w:rPr>
        <w:t xml:space="preserve"> http://www.senado.gov.co/index.php/prensa/noticias/2349-senado-analizo-efectos-causados-por-el-por-el-huracan-iota-en-el-archipielago-de-san-andres.</w:t>
      </w:r>
    </w:p>
  </w:footnote>
  <w:footnote w:id="24">
    <w:p w:rsidR="00695E54" w:rsidRPr="00012E0D" w:rsidRDefault="00695E54" w:rsidP="00012E0D">
      <w:pPr>
        <w:pStyle w:val="Textonotapie"/>
        <w:jc w:val="both"/>
        <w:rPr>
          <w:rFonts w:ascii="Arial" w:hAnsi="Arial" w:cs="Arial"/>
          <w:sz w:val="16"/>
          <w:szCs w:val="16"/>
        </w:rPr>
      </w:pPr>
      <w:r w:rsidRPr="00012E0D">
        <w:rPr>
          <w:rFonts w:ascii="Arial" w:hAnsi="Arial" w:cs="Arial"/>
          <w:sz w:val="16"/>
          <w:szCs w:val="16"/>
        </w:rPr>
        <w:footnoteRef/>
      </w:r>
      <w:r w:rsidRPr="00012E0D">
        <w:rPr>
          <w:rFonts w:ascii="Arial" w:hAnsi="Arial" w:cs="Arial"/>
          <w:sz w:val="16"/>
          <w:szCs w:val="16"/>
        </w:rPr>
        <w:t xml:space="preserve"> https://twitter.com/infopresidencia/status/1406394769677377537</w:t>
      </w:r>
    </w:p>
  </w:footnote>
  <w:footnote w:id="25">
    <w:p w:rsidR="00695E54" w:rsidRPr="00012E0D" w:rsidRDefault="00695E54" w:rsidP="00012E0D">
      <w:pPr>
        <w:pStyle w:val="Textonotapie"/>
        <w:jc w:val="both"/>
        <w:rPr>
          <w:lang w:val="es-ES"/>
        </w:rPr>
      </w:pPr>
      <w:r w:rsidRPr="00012E0D">
        <w:rPr>
          <w:rStyle w:val="Refdenotaalpie"/>
          <w:rFonts w:ascii="Arial" w:hAnsi="Arial" w:cs="Arial"/>
          <w:sz w:val="16"/>
          <w:szCs w:val="16"/>
        </w:rPr>
        <w:footnoteRef/>
      </w:r>
      <w:r w:rsidRPr="00012E0D">
        <w:rPr>
          <w:rFonts w:ascii="Arial" w:hAnsi="Arial" w:cs="Arial"/>
          <w:sz w:val="16"/>
          <w:szCs w:val="16"/>
        </w:rPr>
        <w:t xml:space="preserve"> </w:t>
      </w:r>
      <w:hyperlink r:id="rId2" w:history="1">
        <w:r w:rsidRPr="00012E0D">
          <w:rPr>
            <w:rStyle w:val="Hipervnculo"/>
            <w:rFonts w:ascii="Arial" w:hAnsi="Arial" w:cs="Arial"/>
            <w:sz w:val="16"/>
            <w:szCs w:val="16"/>
          </w:rPr>
          <w:t>https://www.minvivienda.gov.co/sala-de-prensa/san-andres-providencia-y-santa-catalina-con-el-gobierno-duque-tienen-la-inversion-mas-alta-en-su-historia-en-materia-de-agua-y-saneamiento</w:t>
        </w:r>
      </w:hyperlink>
    </w:p>
  </w:footnote>
  <w:footnote w:id="26">
    <w:p w:rsidR="00695E54" w:rsidRDefault="00695E54" w:rsidP="00D75790">
      <w:pPr>
        <w:pStyle w:val="Textonotapie"/>
        <w:jc w:val="both"/>
      </w:pPr>
      <w:r w:rsidRPr="00D9497F">
        <w:rPr>
          <w:rStyle w:val="Refdenotaalpie"/>
          <w:rFonts w:ascii="Arial" w:hAnsi="Arial" w:cs="Arial"/>
          <w:sz w:val="16"/>
          <w:szCs w:val="16"/>
        </w:rPr>
        <w:footnoteRef/>
      </w:r>
      <w:r w:rsidRPr="00D9497F">
        <w:rPr>
          <w:rFonts w:ascii="Arial" w:hAnsi="Arial" w:cs="Arial"/>
          <w:sz w:val="16"/>
          <w:szCs w:val="16"/>
        </w:rPr>
        <w:t xml:space="preserve"> </w:t>
      </w:r>
      <w:r w:rsidRPr="00D9497F">
        <w:rPr>
          <w:rFonts w:ascii="Arial" w:eastAsia="MS Mincho" w:hAnsi="Arial" w:cs="Arial"/>
          <w:sz w:val="16"/>
          <w:szCs w:val="16"/>
          <w:lang w:val="es-ES_tradnl"/>
        </w:rPr>
        <w:t>Persona natural o jurídica con la cual se ha celebrado un contrato de condiciones uniformes de servicios públicos.</w:t>
      </w:r>
    </w:p>
  </w:footnote>
  <w:footnote w:id="27">
    <w:p w:rsidR="00695E54" w:rsidRDefault="00695E54" w:rsidP="00D75790">
      <w:pPr>
        <w:pStyle w:val="Textonotapie"/>
        <w:jc w:val="both"/>
      </w:pPr>
      <w:r w:rsidRPr="00274EB0">
        <w:rPr>
          <w:rStyle w:val="Refdenotaalpie"/>
          <w:rFonts w:ascii="Arial" w:hAnsi="Arial" w:cs="Arial"/>
          <w:sz w:val="16"/>
          <w:szCs w:val="16"/>
        </w:rPr>
        <w:footnoteRef/>
      </w:r>
      <w:r w:rsidRPr="00274EB0">
        <w:rPr>
          <w:rFonts w:ascii="Arial" w:hAnsi="Arial" w:cs="Arial"/>
          <w:sz w:val="16"/>
          <w:szCs w:val="16"/>
        </w:rPr>
        <w:t xml:space="preserve"> Es la distribución municipal de agua apta para el consumo humano, incluida su conexión y medición.</w:t>
      </w:r>
    </w:p>
  </w:footnote>
  <w:footnote w:id="28">
    <w:p w:rsidR="00695E54" w:rsidRDefault="00695E54" w:rsidP="00D75790">
      <w:pPr>
        <w:jc w:val="both"/>
      </w:pPr>
      <w:r w:rsidRPr="00274EB0">
        <w:rPr>
          <w:rStyle w:val="Refdenotaalpie"/>
          <w:rFonts w:ascii="Arial" w:hAnsi="Arial" w:cs="Arial"/>
          <w:sz w:val="16"/>
          <w:szCs w:val="16"/>
        </w:rPr>
        <w:footnoteRef/>
      </w:r>
      <w:r w:rsidRPr="00274EB0">
        <w:rPr>
          <w:rFonts w:ascii="Arial" w:hAnsi="Arial" w:cs="Arial"/>
          <w:sz w:val="16"/>
          <w:szCs w:val="16"/>
        </w:rPr>
        <w:t xml:space="preserve"> Continuidad en la prestación del servicio de acueducto: </w:t>
      </w:r>
      <w:r w:rsidRPr="00274EB0">
        <w:rPr>
          <w:rFonts w:ascii="Arial" w:hAnsi="Arial" w:cs="Arial"/>
          <w:sz w:val="16"/>
          <w:szCs w:val="16"/>
          <w:lang w:val="es-ES_tradnl"/>
        </w:rPr>
        <w:t>disponibilidad del servicio de acueducto a los usuarios en términos de horas al día. Resolución 2115 de 2007.</w:t>
      </w:r>
    </w:p>
  </w:footnote>
  <w:footnote w:id="29">
    <w:p w:rsidR="00695E54" w:rsidRDefault="00695E54" w:rsidP="00D75790">
      <w:pPr>
        <w:pStyle w:val="Textonotapie"/>
        <w:jc w:val="both"/>
      </w:pPr>
      <w:r w:rsidRPr="00FF646A">
        <w:rPr>
          <w:rStyle w:val="Refdenotaalpie"/>
          <w:rFonts w:ascii="Arial" w:hAnsi="Arial" w:cs="Arial"/>
          <w:sz w:val="16"/>
          <w:szCs w:val="16"/>
        </w:rPr>
        <w:footnoteRef/>
      </w:r>
      <w:r w:rsidRPr="00FF646A">
        <w:rPr>
          <w:rFonts w:ascii="Arial" w:hAnsi="Arial" w:cs="Arial"/>
          <w:sz w:val="16"/>
          <w:szCs w:val="16"/>
        </w:rPr>
        <w:t xml:space="preserve"> De acuerdo con el parágrafo del artículo 44 de la Resolución 0330 de 2017, el porcentaje de pérdidas técnicas máximas esperadas en todos los componentes del sistema NO DEBE SUPERAR EL 25%</w:t>
      </w:r>
    </w:p>
  </w:footnote>
  <w:footnote w:id="30">
    <w:p w:rsidR="00695E54" w:rsidRDefault="00695E54" w:rsidP="00D75790">
      <w:pPr>
        <w:pStyle w:val="Textonotapie"/>
        <w:jc w:val="both"/>
      </w:pPr>
      <w:r>
        <w:rPr>
          <w:rStyle w:val="Refdenotaalpie"/>
        </w:rPr>
        <w:footnoteRef/>
      </w:r>
      <w:r w:rsidRPr="00A337B5">
        <w:rPr>
          <w:rFonts w:ascii="Arial" w:hAnsi="Arial" w:cs="Arial"/>
          <w:sz w:val="16"/>
          <w:szCs w:val="16"/>
        </w:rPr>
        <w:t>https://www.superservicios.gov.co/sites/default/archivos/Publicaciones/Publicaciones/2020/Dic/estudio_sectorial_de_los_servicios_publicos_domiciliaros_de_acueducto_y_alcantarillado_28_dic_rev_1.pdf</w:t>
      </w:r>
    </w:p>
  </w:footnote>
  <w:footnote w:id="31">
    <w:p w:rsidR="00695E54" w:rsidRDefault="00695E54" w:rsidP="00D75790">
      <w:pPr>
        <w:pStyle w:val="Textonotapie"/>
      </w:pPr>
      <w:r w:rsidRPr="005B746C">
        <w:rPr>
          <w:rStyle w:val="Refdenotaalpie"/>
          <w:rFonts w:ascii="Arial" w:hAnsi="Arial" w:cs="Arial"/>
          <w:sz w:val="16"/>
          <w:szCs w:val="16"/>
        </w:rPr>
        <w:footnoteRef/>
      </w:r>
      <w:r w:rsidRPr="005B746C">
        <w:rPr>
          <w:rFonts w:ascii="Arial" w:hAnsi="Arial" w:cs="Arial"/>
          <w:sz w:val="16"/>
          <w:szCs w:val="16"/>
        </w:rPr>
        <w:t xml:space="preserve"> Esta resolución reconocía un porcentaje máximo del Índice de Agua No Contabilizada (IANC) del 30%, fijado en el artículo 24.3.14 de la Resolución CRA 151 de 2001,</w:t>
      </w:r>
    </w:p>
  </w:footnote>
  <w:footnote w:id="32">
    <w:p w:rsidR="00695E54" w:rsidRDefault="00695E54" w:rsidP="00D75790">
      <w:pPr>
        <w:pStyle w:val="Textonotapie"/>
        <w:jc w:val="both"/>
      </w:pPr>
      <w:r w:rsidRPr="00FF646A">
        <w:rPr>
          <w:rStyle w:val="Refdenotaalpie"/>
          <w:rFonts w:ascii="Arial" w:hAnsi="Arial" w:cs="Arial"/>
          <w:sz w:val="16"/>
          <w:szCs w:val="16"/>
        </w:rPr>
        <w:footnoteRef/>
      </w:r>
      <w:r w:rsidRPr="00FF646A">
        <w:rPr>
          <w:rFonts w:ascii="Arial" w:hAnsi="Arial" w:cs="Arial"/>
          <w:sz w:val="16"/>
          <w:szCs w:val="16"/>
        </w:rPr>
        <w:t xml:space="preserve">  </w:t>
      </w:r>
      <w:r>
        <w:rPr>
          <w:rFonts w:ascii="Arial" w:hAnsi="Arial" w:cs="Arial"/>
          <w:sz w:val="16"/>
          <w:szCs w:val="16"/>
        </w:rPr>
        <w:t xml:space="preserve"> </w:t>
      </w:r>
      <w:r w:rsidRPr="00FF646A">
        <w:rPr>
          <w:rFonts w:ascii="Arial" w:hAnsi="Arial" w:cs="Arial"/>
          <w:sz w:val="16"/>
          <w:szCs w:val="16"/>
        </w:rPr>
        <w:t>https://www.superservicios.gov.co/sites/default/archivos/Publicaciones/Publicaciones/2020/Ene/informe_sectorial_aa_2018-20-12-2019.pdf</w:t>
      </w:r>
    </w:p>
  </w:footnote>
  <w:footnote w:id="33">
    <w:p w:rsidR="00695E54" w:rsidRDefault="00695E54" w:rsidP="00D75790">
      <w:pPr>
        <w:pStyle w:val="Textonotapie"/>
        <w:jc w:val="both"/>
      </w:pPr>
      <w:r>
        <w:rPr>
          <w:rStyle w:val="Refdenotaalpie"/>
          <w:sz w:val="16"/>
          <w:szCs w:val="16"/>
        </w:rPr>
        <w:footnoteRef/>
      </w:r>
      <w:r>
        <w:rPr>
          <w:rFonts w:ascii="Arial" w:hAnsi="Arial" w:cs="Arial"/>
          <w:sz w:val="16"/>
          <w:szCs w:val="16"/>
        </w:rPr>
        <w:t xml:space="preserve"> I</w:t>
      </w:r>
      <w:r w:rsidRPr="0088203A">
        <w:rPr>
          <w:rFonts w:ascii="Arial" w:hAnsi="Arial" w:cs="Arial"/>
          <w:sz w:val="18"/>
          <w:szCs w:val="18"/>
        </w:rPr>
        <w:t xml:space="preserve">nforme </w:t>
      </w:r>
      <w:r>
        <w:rPr>
          <w:rFonts w:ascii="Arial" w:hAnsi="Arial" w:cs="Arial"/>
          <w:sz w:val="18"/>
          <w:szCs w:val="18"/>
        </w:rPr>
        <w:t>“A</w:t>
      </w:r>
      <w:r w:rsidRPr="0088203A">
        <w:rPr>
          <w:rFonts w:ascii="Arial" w:hAnsi="Arial" w:cs="Arial"/>
          <w:sz w:val="18"/>
          <w:szCs w:val="18"/>
        </w:rPr>
        <w:t xml:space="preserve">ctualización del informe de monitoreo al uso y ejecución de los recursos del Sistema General </w:t>
      </w:r>
      <w:r>
        <w:rPr>
          <w:rFonts w:ascii="Arial" w:hAnsi="Arial" w:cs="Arial"/>
          <w:sz w:val="18"/>
          <w:szCs w:val="18"/>
        </w:rPr>
        <w:t>d</w:t>
      </w:r>
      <w:r w:rsidRPr="0088203A">
        <w:rPr>
          <w:rFonts w:ascii="Arial" w:hAnsi="Arial" w:cs="Arial"/>
          <w:sz w:val="18"/>
          <w:szCs w:val="18"/>
        </w:rPr>
        <w:t xml:space="preserve">e Participaciones </w:t>
      </w:r>
      <w:r>
        <w:rPr>
          <w:rFonts w:ascii="Arial" w:hAnsi="Arial" w:cs="Arial"/>
          <w:sz w:val="18"/>
          <w:szCs w:val="18"/>
        </w:rPr>
        <w:t xml:space="preserve">de </w:t>
      </w:r>
      <w:r w:rsidRPr="0088203A">
        <w:rPr>
          <w:rFonts w:ascii="Arial" w:hAnsi="Arial" w:cs="Arial"/>
          <w:sz w:val="18"/>
          <w:szCs w:val="18"/>
        </w:rPr>
        <w:t xml:space="preserve">Agua Potable </w:t>
      </w:r>
      <w:r>
        <w:rPr>
          <w:rFonts w:ascii="Arial" w:hAnsi="Arial" w:cs="Arial"/>
          <w:sz w:val="18"/>
          <w:szCs w:val="18"/>
        </w:rPr>
        <w:t xml:space="preserve">y </w:t>
      </w:r>
      <w:r w:rsidRPr="0088203A">
        <w:rPr>
          <w:rFonts w:ascii="Arial" w:hAnsi="Arial" w:cs="Arial"/>
          <w:sz w:val="18"/>
          <w:szCs w:val="18"/>
        </w:rPr>
        <w:t xml:space="preserve">Saneamiento Básico (SGP-APSB) al Archipiélago </w:t>
      </w:r>
      <w:r>
        <w:rPr>
          <w:rFonts w:ascii="Arial" w:hAnsi="Arial" w:cs="Arial"/>
          <w:sz w:val="18"/>
          <w:szCs w:val="18"/>
        </w:rPr>
        <w:t>d</w:t>
      </w:r>
      <w:r w:rsidRPr="0088203A">
        <w:rPr>
          <w:rFonts w:ascii="Arial" w:hAnsi="Arial" w:cs="Arial"/>
          <w:sz w:val="18"/>
          <w:szCs w:val="18"/>
        </w:rPr>
        <w:t xml:space="preserve">e San Andrés, Providencia </w:t>
      </w:r>
      <w:r>
        <w:rPr>
          <w:rFonts w:ascii="Arial" w:hAnsi="Arial" w:cs="Arial"/>
          <w:sz w:val="18"/>
          <w:szCs w:val="18"/>
        </w:rPr>
        <w:t>y</w:t>
      </w:r>
      <w:r w:rsidRPr="0088203A">
        <w:rPr>
          <w:rFonts w:ascii="Arial" w:hAnsi="Arial" w:cs="Arial"/>
          <w:sz w:val="18"/>
          <w:szCs w:val="18"/>
        </w:rPr>
        <w:t xml:space="preserve"> Santa Catalina vigencias 2019 y 2020</w:t>
      </w:r>
      <w:r>
        <w:rPr>
          <w:rFonts w:ascii="Arial" w:hAnsi="Arial" w:cs="Arial"/>
          <w:sz w:val="18"/>
          <w:szCs w:val="18"/>
        </w:rPr>
        <w:t xml:space="preserve">” </w:t>
      </w:r>
      <w:r w:rsidRPr="0088203A">
        <w:rPr>
          <w:rFonts w:ascii="Arial" w:hAnsi="Arial" w:cs="Arial"/>
          <w:sz w:val="18"/>
          <w:szCs w:val="18"/>
        </w:rPr>
        <w:t>– MVCT, abril 2021</w:t>
      </w:r>
      <w:r>
        <w:rPr>
          <w:rFonts w:ascii="Arial" w:hAnsi="Arial" w:cs="Arial"/>
          <w:sz w:val="18"/>
          <w:szCs w:val="18"/>
        </w:rPr>
        <w:t>.</w:t>
      </w:r>
    </w:p>
  </w:footnote>
  <w:footnote w:id="34">
    <w:p w:rsidR="00695E54" w:rsidRPr="00031C21" w:rsidRDefault="00695E54" w:rsidP="00D75790">
      <w:pPr>
        <w:shd w:val="clear" w:color="auto" w:fill="FFFFFF"/>
        <w:spacing w:after="100" w:afterAutospacing="1"/>
        <w:jc w:val="both"/>
        <w:rPr>
          <w:rFonts w:ascii="Arial" w:hAnsi="Arial" w:cs="Arial"/>
          <w:color w:val="333333"/>
          <w:sz w:val="16"/>
          <w:szCs w:val="16"/>
          <w:lang w:val="es-CO" w:eastAsia="es-CO"/>
        </w:rPr>
      </w:pPr>
      <w:r w:rsidRPr="00031C21">
        <w:rPr>
          <w:rFonts w:ascii="Arial" w:hAnsi="Arial" w:cs="Arial"/>
          <w:color w:val="333333"/>
          <w:sz w:val="16"/>
          <w:szCs w:val="16"/>
          <w:lang w:val="es-CO" w:eastAsia="es-CO"/>
        </w:rPr>
        <w:footnoteRef/>
      </w:r>
      <w:r>
        <w:rPr>
          <w:rFonts w:ascii="Arial" w:hAnsi="Arial" w:cs="Arial"/>
          <w:color w:val="333333"/>
          <w:sz w:val="16"/>
          <w:szCs w:val="16"/>
          <w:lang w:val="es-CO" w:eastAsia="es-CO"/>
        </w:rPr>
        <w:t xml:space="preserve">. </w:t>
      </w:r>
      <w:r w:rsidRPr="00031C21">
        <w:rPr>
          <w:rFonts w:ascii="Arial" w:hAnsi="Arial" w:cs="Arial"/>
          <w:color w:val="333333"/>
          <w:sz w:val="16"/>
          <w:szCs w:val="16"/>
          <w:lang w:val="es-CO" w:eastAsia="es-CO"/>
        </w:rPr>
        <w:t>b) Proyectos regionales de abastecimiento de agua para consumo humano;</w:t>
      </w:r>
      <w:r>
        <w:rPr>
          <w:rFonts w:ascii="Arial" w:hAnsi="Arial" w:cs="Arial"/>
          <w:color w:val="333333"/>
          <w:sz w:val="16"/>
          <w:szCs w:val="16"/>
          <w:lang w:val="es-CO" w:eastAsia="es-CO"/>
        </w:rPr>
        <w:t xml:space="preserve"> </w:t>
      </w:r>
      <w:r w:rsidRPr="00031C21">
        <w:rPr>
          <w:rFonts w:ascii="Arial" w:hAnsi="Arial" w:cs="Arial"/>
          <w:color w:val="333333"/>
          <w:sz w:val="16"/>
          <w:szCs w:val="16"/>
          <w:lang w:val="es-CO" w:eastAsia="es-CO"/>
        </w:rPr>
        <w:t>c) Proyectos de tratamiento y disposición final de residuos líquidos con impacto regional</w:t>
      </w:r>
    </w:p>
    <w:p w:rsidR="00695E54" w:rsidRDefault="00695E54" w:rsidP="00D75790">
      <w:pPr>
        <w:shd w:val="clear" w:color="auto" w:fill="FFFFFF"/>
        <w:spacing w:after="100" w:afterAutospacing="1"/>
        <w:jc w:val="both"/>
      </w:pPr>
    </w:p>
  </w:footnote>
  <w:footnote w:id="35">
    <w:p w:rsidR="00695E54" w:rsidRDefault="00695E54" w:rsidP="00D75790">
      <w:pPr>
        <w:pStyle w:val="Textonotapie"/>
        <w:jc w:val="both"/>
      </w:pPr>
      <w:r w:rsidRPr="00047465">
        <w:rPr>
          <w:rStyle w:val="Refdenotaalpie"/>
          <w:rFonts w:ascii="Arial" w:hAnsi="Arial" w:cs="Arial"/>
          <w:sz w:val="16"/>
          <w:szCs w:val="16"/>
        </w:rPr>
        <w:footnoteRef/>
      </w:r>
      <w:r w:rsidRPr="00047465">
        <w:rPr>
          <w:rFonts w:ascii="Arial" w:hAnsi="Arial" w:cs="Arial"/>
          <w:sz w:val="16"/>
          <w:szCs w:val="16"/>
        </w:rPr>
        <w:t xml:space="preserve"> </w:t>
      </w:r>
      <w:r>
        <w:rPr>
          <w:rFonts w:ascii="Arial" w:hAnsi="Arial" w:cs="Arial"/>
          <w:sz w:val="16"/>
          <w:szCs w:val="16"/>
        </w:rPr>
        <w:t>“</w:t>
      </w:r>
      <w:r w:rsidRPr="00047465">
        <w:rPr>
          <w:rFonts w:ascii="Arial" w:hAnsi="Arial" w:cs="Arial"/>
          <w:sz w:val="16"/>
          <w:szCs w:val="16"/>
        </w:rPr>
        <w:t>En todo caso, el municipio deberá realizar la verificación de la correcta asignación de los recursos del Sistema General de Participaciones para Agua Potable y Saneamiento Básico destinados a 'financiar los subsidios correspondientes en su jurisdicción, y se obliga a hacer el giro de los saldos a su cargo y/o a cruzar aquellos a su favor contra los giros futuros que deba realizar.</w:t>
      </w:r>
      <w:r>
        <w:rPr>
          <w:rFonts w:ascii="Arial" w:hAnsi="Arial" w:cs="Arial"/>
          <w:sz w:val="16"/>
          <w:szCs w:val="16"/>
        </w:rPr>
        <w:t>”</w:t>
      </w:r>
    </w:p>
  </w:footnote>
  <w:footnote w:id="36">
    <w:p w:rsidR="00695E54" w:rsidRDefault="00695E54" w:rsidP="00D75790">
      <w:pPr>
        <w:pStyle w:val="Textonotapie"/>
        <w:jc w:val="both"/>
      </w:pPr>
      <w:r w:rsidRPr="003452FD">
        <w:rPr>
          <w:rStyle w:val="Refdenotaalpie"/>
          <w:rFonts w:ascii="Arial" w:hAnsi="Arial" w:cs="Arial"/>
          <w:sz w:val="16"/>
          <w:szCs w:val="16"/>
        </w:rPr>
        <w:footnoteRef/>
      </w:r>
      <w:r w:rsidRPr="003452FD">
        <w:rPr>
          <w:rFonts w:ascii="Arial" w:hAnsi="Arial" w:cs="Arial"/>
          <w:sz w:val="16"/>
          <w:szCs w:val="16"/>
        </w:rPr>
        <w:t xml:space="preserve"> Articulo 8 Decreto 565 de 1996. </w:t>
      </w:r>
      <w:r w:rsidRPr="003452FD">
        <w:rPr>
          <w:rFonts w:ascii="Arial" w:hAnsi="Arial" w:cs="Arial"/>
          <w:color w:val="000000"/>
          <w:sz w:val="16"/>
          <w:szCs w:val="16"/>
        </w:rPr>
        <w:t>La diferencia entre aportes solidarios y subsidios generará déficit o superávit.</w:t>
      </w:r>
    </w:p>
  </w:footnote>
  <w:footnote w:id="37">
    <w:p w:rsidR="00695E54" w:rsidRDefault="00695E54" w:rsidP="00D75790">
      <w:pPr>
        <w:pStyle w:val="Textonotapie"/>
        <w:jc w:val="both"/>
      </w:pPr>
      <w:r w:rsidRPr="003452FD">
        <w:rPr>
          <w:rStyle w:val="Refdenotaalpie"/>
          <w:rFonts w:ascii="Arial" w:hAnsi="Arial" w:cs="Arial"/>
          <w:sz w:val="16"/>
          <w:szCs w:val="16"/>
        </w:rPr>
        <w:footnoteRef/>
      </w:r>
      <w:r w:rsidRPr="003452FD">
        <w:rPr>
          <w:rFonts w:ascii="Arial" w:hAnsi="Arial" w:cs="Arial"/>
          <w:sz w:val="16"/>
          <w:szCs w:val="16"/>
        </w:rPr>
        <w:t xml:space="preserve"> </w:t>
      </w:r>
      <w:r w:rsidRPr="003452FD">
        <w:rPr>
          <w:rFonts w:ascii="Arial" w:hAnsi="Arial" w:cs="Arial"/>
          <w:color w:val="000000"/>
          <w:sz w:val="16"/>
          <w:szCs w:val="16"/>
        </w:rPr>
        <w:t>Decreto 528, Por el cual se dictan medidas para los servicios públicos de acueducto, alcantarillado y aseo, en el marco del Estado de Emergencia Económica, Social y Ecológica.</w:t>
      </w:r>
    </w:p>
  </w:footnote>
  <w:footnote w:id="38">
    <w:p w:rsidR="00695E54" w:rsidRDefault="00695E54" w:rsidP="00D75790">
      <w:pPr>
        <w:pStyle w:val="Textonotapie"/>
        <w:jc w:val="both"/>
      </w:pPr>
      <w:r w:rsidRPr="003452FD">
        <w:rPr>
          <w:rStyle w:val="Refdenotaalpie"/>
          <w:rFonts w:ascii="Arial" w:hAnsi="Arial" w:cs="Arial"/>
          <w:sz w:val="16"/>
          <w:szCs w:val="16"/>
        </w:rPr>
        <w:footnoteRef/>
      </w:r>
      <w:r w:rsidRPr="003452FD">
        <w:rPr>
          <w:rFonts w:ascii="Arial" w:hAnsi="Arial" w:cs="Arial"/>
          <w:sz w:val="16"/>
          <w:szCs w:val="16"/>
        </w:rPr>
        <w:t xml:space="preserve"> En relación con los principios presupuestales, el artículo 14 del Decreto 111 de 1996, manifestó. Anualidad. El año fiscal comienza el 1º de enero y termina el 31 de diciembre de cada año. Después del 31 de diciembre no podrán asumirse compromisos con cargo a las apropiaciones del año fiscal que se cierra en esa fecha y los saldos de apropiación no afectados por compromisos caducarán sin excepción (Ley 38/89, artículo 10).</w:t>
      </w:r>
    </w:p>
  </w:footnote>
  <w:footnote w:id="39">
    <w:p w:rsidR="00695E54" w:rsidRDefault="00695E54" w:rsidP="00D75790">
      <w:pPr>
        <w:pStyle w:val="Textonotapie"/>
        <w:jc w:val="both"/>
      </w:pPr>
      <w:r>
        <w:rPr>
          <w:rStyle w:val="Refdenotaalpie"/>
        </w:rPr>
        <w:footnoteRef/>
      </w:r>
      <w:r>
        <w:t xml:space="preserve"> </w:t>
      </w:r>
      <w:r w:rsidRPr="785B5ED9">
        <w:rPr>
          <w:rFonts w:ascii="Arial" w:hAnsi="Arial" w:cs="Arial"/>
          <w:sz w:val="16"/>
          <w:szCs w:val="16"/>
        </w:rPr>
        <w:t>Intervención que culminó con la Resolución SSPD 20074000019735 del 26 de julio de 2007 proferida por la Superintendencia de Servicios Públicos Domiciliarios.</w:t>
      </w:r>
    </w:p>
  </w:footnote>
  <w:footnote w:id="40">
    <w:p w:rsidR="00695E54" w:rsidRDefault="00695E54" w:rsidP="00D75790">
      <w:pPr>
        <w:jc w:val="both"/>
      </w:pPr>
      <w:r>
        <w:rPr>
          <w:rStyle w:val="Refdenotaalpie"/>
        </w:rPr>
        <w:footnoteRef/>
      </w:r>
      <w:r>
        <w:t xml:space="preserve"> </w:t>
      </w:r>
      <w:r w:rsidRPr="003D7302">
        <w:rPr>
          <w:rFonts w:ascii="Arial" w:hAnsi="Arial" w:cs="Arial"/>
          <w:sz w:val="16"/>
          <w:szCs w:val="16"/>
        </w:rPr>
        <w:t xml:space="preserve">Continuidad en la prestación del servicio de acueducto: </w:t>
      </w:r>
      <w:r w:rsidRPr="003D7302">
        <w:rPr>
          <w:rFonts w:ascii="Arial" w:hAnsi="Arial" w:cs="Arial"/>
          <w:color w:val="222222"/>
          <w:sz w:val="16"/>
          <w:szCs w:val="16"/>
          <w:lang w:val="es-ES_tradnl"/>
        </w:rPr>
        <w:t>disponibilidad del servicio de acueducto a los usuarios en términos de horas al día. Resolución 2115 de 2007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E54" w:rsidRDefault="00695E54" w:rsidP="00DC371E">
    <w:pPr>
      <w:rPr>
        <w:rFonts w:ascii="Arial" w:hAnsi="Arial" w:cs="Arial"/>
        <w:sz w:val="16"/>
        <w:szCs w:val="16"/>
      </w:rPr>
    </w:pPr>
    <w:r>
      <w:rPr>
        <w:noProof/>
        <w:lang w:val="es-CO" w:eastAsia="es-CO"/>
      </w:rPr>
      <w:drawing>
        <wp:inline distT="0" distB="0" distL="0" distR="0">
          <wp:extent cx="3305175" cy="723900"/>
          <wp:effectExtent l="0" t="0" r="9525" b="0"/>
          <wp:docPr id="1" name="Picture 2844"/>
          <wp:cNvGraphicFramePr/>
          <a:graphic xmlns:a="http://schemas.openxmlformats.org/drawingml/2006/main">
            <a:graphicData uri="http://schemas.openxmlformats.org/drawingml/2006/picture">
              <pic:pic xmlns:pic="http://schemas.openxmlformats.org/drawingml/2006/picture">
                <pic:nvPicPr>
                  <pic:cNvPr id="16" name="Picture 2844"/>
                  <pic:cNvPicPr/>
                </pic:nvPicPr>
                <pic:blipFill>
                  <a:blip r:embed="rId1"/>
                  <a:stretch>
                    <a:fillRect/>
                  </a:stretch>
                </pic:blipFill>
                <pic:spPr>
                  <a:xfrm>
                    <a:off x="0" y="0"/>
                    <a:ext cx="3305175" cy="723900"/>
                  </a:xfrm>
                  <a:prstGeom prst="rect">
                    <a:avLst/>
                  </a:prstGeom>
                </pic:spPr>
              </pic:pic>
            </a:graphicData>
          </a:graphic>
        </wp:inline>
      </w:drawing>
    </w:r>
  </w:p>
  <w:p w:rsidR="00695E54" w:rsidRDefault="00695E54" w:rsidP="00A82889">
    <w:pPr>
      <w:jc w:val="right"/>
      <w:rPr>
        <w:rFonts w:ascii="Arial" w:hAnsi="Arial" w:cs="Arial"/>
        <w:sz w:val="16"/>
        <w:szCs w:val="16"/>
      </w:rPr>
    </w:pPr>
  </w:p>
  <w:p w:rsidR="00695E54" w:rsidRPr="00F01F75" w:rsidRDefault="00695E54" w:rsidP="00F01F75">
    <w:pPr>
      <w:pStyle w:val="Encabezado"/>
      <w:rPr>
        <w:rFonts w:ascii="Arial" w:hAnsi="Arial" w:cs="Arial"/>
        <w:sz w:val="16"/>
        <w:szCs w:val="16"/>
      </w:rPr>
    </w:pPr>
    <w:r>
      <w:rPr>
        <w:rFonts w:ascii="Arial" w:hAnsi="Arial" w:cs="Arial"/>
        <w:sz w:val="16"/>
        <w:szCs w:val="16"/>
      </w:rPr>
      <w:t xml:space="preserve">San Andrés y Providencia SGP APSB </w:t>
    </w:r>
    <w:r w:rsidRPr="00DC371E">
      <w:rPr>
        <w:rFonts w:ascii="Arial" w:hAnsi="Arial" w:cs="Arial"/>
        <w:sz w:val="4"/>
        <w:szCs w:val="4"/>
      </w:rPr>
      <w:t>GS</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E05836">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E05836">
      <w:rPr>
        <w:rStyle w:val="Nmerodepgina"/>
        <w:rFonts w:ascii="Arial" w:hAnsi="Arial" w:cs="Arial"/>
        <w:noProof/>
        <w:sz w:val="16"/>
        <w:szCs w:val="16"/>
      </w:rPr>
      <w:t>88</w:t>
    </w:r>
    <w:r w:rsidRPr="00F01F75">
      <w:rPr>
        <w:rStyle w:val="Nmerodepgina"/>
        <w:rFonts w:ascii="Arial" w:hAnsi="Arial" w:cs="Arial"/>
        <w:sz w:val="16"/>
        <w:szCs w:val="16"/>
      </w:rPr>
      <w:fldChar w:fldCharType="end"/>
    </w:r>
  </w:p>
  <w:p w:rsidR="00695E54" w:rsidRPr="00F01F75" w:rsidRDefault="00695E54">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E54" w:rsidRDefault="00695E54" w:rsidP="00DC371E">
    <w:pPr>
      <w:pStyle w:val="Encabezado"/>
    </w:pPr>
    <w:r>
      <w:rPr>
        <w:noProof/>
        <w:lang w:eastAsia="es-CO"/>
      </w:rPr>
      <w:drawing>
        <wp:inline distT="0" distB="0" distL="0" distR="0">
          <wp:extent cx="3305175" cy="723900"/>
          <wp:effectExtent l="0" t="0" r="9525" b="0"/>
          <wp:docPr id="16" name="Picture 2844"/>
          <wp:cNvGraphicFramePr/>
          <a:graphic xmlns:a="http://schemas.openxmlformats.org/drawingml/2006/main">
            <a:graphicData uri="http://schemas.openxmlformats.org/drawingml/2006/picture">
              <pic:pic xmlns:pic="http://schemas.openxmlformats.org/drawingml/2006/picture">
                <pic:nvPicPr>
                  <pic:cNvPr id="16" name="Picture 2844"/>
                  <pic:cNvPicPr/>
                </pic:nvPicPr>
                <pic:blipFill>
                  <a:blip r:embed="rId1"/>
                  <a:stretch>
                    <a:fillRect/>
                  </a:stretch>
                </pic:blipFill>
                <pic:spPr>
                  <a:xfrm>
                    <a:off x="0" y="0"/>
                    <a:ext cx="33051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FFFFFF89"/>
    <w:multiLevelType w:val="singleLevel"/>
    <w:tmpl w:val="8EA4B45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950CF0"/>
    <w:multiLevelType w:val="hybridMultilevel"/>
    <w:tmpl w:val="4A82F0C0"/>
    <w:lvl w:ilvl="0" w:tplc="E2D2126E">
      <w:start w:val="1"/>
      <w:numFmt w:val="decimal"/>
      <w:lvlText w:val="%1."/>
      <w:lvlJc w:val="left"/>
      <w:pPr>
        <w:ind w:left="350" w:hanging="360"/>
      </w:pPr>
      <w:rPr>
        <w:rFonts w:cs="Times New Roman" w:hint="default"/>
      </w:rPr>
    </w:lvl>
    <w:lvl w:ilvl="1" w:tplc="240A0019" w:tentative="1">
      <w:start w:val="1"/>
      <w:numFmt w:val="lowerLetter"/>
      <w:lvlText w:val="%2."/>
      <w:lvlJc w:val="left"/>
      <w:pPr>
        <w:ind w:left="1070" w:hanging="360"/>
      </w:pPr>
      <w:rPr>
        <w:rFonts w:cs="Times New Roman"/>
      </w:rPr>
    </w:lvl>
    <w:lvl w:ilvl="2" w:tplc="240A001B" w:tentative="1">
      <w:start w:val="1"/>
      <w:numFmt w:val="lowerRoman"/>
      <w:lvlText w:val="%3."/>
      <w:lvlJc w:val="right"/>
      <w:pPr>
        <w:ind w:left="1790" w:hanging="180"/>
      </w:pPr>
      <w:rPr>
        <w:rFonts w:cs="Times New Roman"/>
      </w:rPr>
    </w:lvl>
    <w:lvl w:ilvl="3" w:tplc="240A000F" w:tentative="1">
      <w:start w:val="1"/>
      <w:numFmt w:val="decimal"/>
      <w:lvlText w:val="%4."/>
      <w:lvlJc w:val="left"/>
      <w:pPr>
        <w:ind w:left="2510" w:hanging="360"/>
      </w:pPr>
      <w:rPr>
        <w:rFonts w:cs="Times New Roman"/>
      </w:rPr>
    </w:lvl>
    <w:lvl w:ilvl="4" w:tplc="240A0019" w:tentative="1">
      <w:start w:val="1"/>
      <w:numFmt w:val="lowerLetter"/>
      <w:lvlText w:val="%5."/>
      <w:lvlJc w:val="left"/>
      <w:pPr>
        <w:ind w:left="3230" w:hanging="360"/>
      </w:pPr>
      <w:rPr>
        <w:rFonts w:cs="Times New Roman"/>
      </w:rPr>
    </w:lvl>
    <w:lvl w:ilvl="5" w:tplc="240A001B" w:tentative="1">
      <w:start w:val="1"/>
      <w:numFmt w:val="lowerRoman"/>
      <w:lvlText w:val="%6."/>
      <w:lvlJc w:val="right"/>
      <w:pPr>
        <w:ind w:left="3950" w:hanging="180"/>
      </w:pPr>
      <w:rPr>
        <w:rFonts w:cs="Times New Roman"/>
      </w:rPr>
    </w:lvl>
    <w:lvl w:ilvl="6" w:tplc="240A000F" w:tentative="1">
      <w:start w:val="1"/>
      <w:numFmt w:val="decimal"/>
      <w:lvlText w:val="%7."/>
      <w:lvlJc w:val="left"/>
      <w:pPr>
        <w:ind w:left="4670" w:hanging="360"/>
      </w:pPr>
      <w:rPr>
        <w:rFonts w:cs="Times New Roman"/>
      </w:rPr>
    </w:lvl>
    <w:lvl w:ilvl="7" w:tplc="240A0019" w:tentative="1">
      <w:start w:val="1"/>
      <w:numFmt w:val="lowerLetter"/>
      <w:lvlText w:val="%8."/>
      <w:lvlJc w:val="left"/>
      <w:pPr>
        <w:ind w:left="5390" w:hanging="360"/>
      </w:pPr>
      <w:rPr>
        <w:rFonts w:cs="Times New Roman"/>
      </w:rPr>
    </w:lvl>
    <w:lvl w:ilvl="8" w:tplc="240A001B" w:tentative="1">
      <w:start w:val="1"/>
      <w:numFmt w:val="lowerRoman"/>
      <w:lvlText w:val="%9."/>
      <w:lvlJc w:val="right"/>
      <w:pPr>
        <w:ind w:left="6110" w:hanging="180"/>
      </w:pPr>
      <w:rPr>
        <w:rFonts w:cs="Times New Roman"/>
      </w:rPr>
    </w:lvl>
  </w:abstractNum>
  <w:abstractNum w:abstractNumId="2" w15:restartNumberingAfterBreak="0">
    <w:nsid w:val="028A0AE0"/>
    <w:multiLevelType w:val="hybridMultilevel"/>
    <w:tmpl w:val="B184A44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9DB4B96"/>
    <w:multiLevelType w:val="hybridMultilevel"/>
    <w:tmpl w:val="5DE820EC"/>
    <w:lvl w:ilvl="0" w:tplc="4684A152">
      <w:start w:val="3"/>
      <w:numFmt w:val="bullet"/>
      <w:lvlText w:val="-"/>
      <w:lvlJc w:val="left"/>
      <w:pPr>
        <w:ind w:left="720" w:hanging="360"/>
      </w:pPr>
      <w:rPr>
        <w:rFonts w:ascii="Arial" w:eastAsia="MS Mincho"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3A028E"/>
    <w:multiLevelType w:val="hybridMultilevel"/>
    <w:tmpl w:val="A51EED80"/>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 w15:restartNumberingAfterBreak="0">
    <w:nsid w:val="0FE91917"/>
    <w:multiLevelType w:val="hybridMultilevel"/>
    <w:tmpl w:val="92E87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903BDB"/>
    <w:multiLevelType w:val="hybridMultilevel"/>
    <w:tmpl w:val="232EE1A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 w15:restartNumberingAfterBreak="0">
    <w:nsid w:val="1C1F7B1B"/>
    <w:multiLevelType w:val="hybridMultilevel"/>
    <w:tmpl w:val="409610C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 w15:restartNumberingAfterBreak="0">
    <w:nsid w:val="1CFC1E83"/>
    <w:multiLevelType w:val="hybridMultilevel"/>
    <w:tmpl w:val="62863E06"/>
    <w:lvl w:ilvl="0" w:tplc="240A000F">
      <w:start w:val="1"/>
      <w:numFmt w:val="decimal"/>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9" w15:restartNumberingAfterBreak="0">
    <w:nsid w:val="21125E19"/>
    <w:multiLevelType w:val="hybridMultilevel"/>
    <w:tmpl w:val="FFFFFFFF"/>
    <w:lvl w:ilvl="0" w:tplc="539CF6B8">
      <w:start w:val="1"/>
      <w:numFmt w:val="bullet"/>
      <w:lvlText w:val="-"/>
      <w:lvlJc w:val="left"/>
      <w:pPr>
        <w:ind w:left="720" w:hanging="360"/>
      </w:pPr>
      <w:rPr>
        <w:rFonts w:ascii="&quot;Arial&quot;,sans-serif" w:hAnsi="&quot;Arial&quot;,sans-serif" w:hint="default"/>
      </w:rPr>
    </w:lvl>
    <w:lvl w:ilvl="1" w:tplc="8038767A">
      <w:start w:val="1"/>
      <w:numFmt w:val="bullet"/>
      <w:lvlText w:val="o"/>
      <w:lvlJc w:val="left"/>
      <w:pPr>
        <w:ind w:left="1440" w:hanging="360"/>
      </w:pPr>
      <w:rPr>
        <w:rFonts w:ascii="Courier New" w:hAnsi="Courier New" w:hint="default"/>
      </w:rPr>
    </w:lvl>
    <w:lvl w:ilvl="2" w:tplc="B05EAF4A">
      <w:start w:val="1"/>
      <w:numFmt w:val="bullet"/>
      <w:lvlText w:val=""/>
      <w:lvlJc w:val="left"/>
      <w:pPr>
        <w:ind w:left="2160" w:hanging="360"/>
      </w:pPr>
      <w:rPr>
        <w:rFonts w:ascii="Wingdings" w:hAnsi="Wingdings" w:hint="default"/>
      </w:rPr>
    </w:lvl>
    <w:lvl w:ilvl="3" w:tplc="1FAEBE18">
      <w:start w:val="1"/>
      <w:numFmt w:val="bullet"/>
      <w:lvlText w:val=""/>
      <w:lvlJc w:val="left"/>
      <w:pPr>
        <w:ind w:left="2880" w:hanging="360"/>
      </w:pPr>
      <w:rPr>
        <w:rFonts w:ascii="Symbol" w:hAnsi="Symbol" w:hint="default"/>
      </w:rPr>
    </w:lvl>
    <w:lvl w:ilvl="4" w:tplc="145A2802">
      <w:start w:val="1"/>
      <w:numFmt w:val="bullet"/>
      <w:lvlText w:val="o"/>
      <w:lvlJc w:val="left"/>
      <w:pPr>
        <w:ind w:left="3600" w:hanging="360"/>
      </w:pPr>
      <w:rPr>
        <w:rFonts w:ascii="Courier New" w:hAnsi="Courier New" w:hint="default"/>
      </w:rPr>
    </w:lvl>
    <w:lvl w:ilvl="5" w:tplc="4B08C4B2">
      <w:start w:val="1"/>
      <w:numFmt w:val="bullet"/>
      <w:lvlText w:val=""/>
      <w:lvlJc w:val="left"/>
      <w:pPr>
        <w:ind w:left="4320" w:hanging="360"/>
      </w:pPr>
      <w:rPr>
        <w:rFonts w:ascii="Wingdings" w:hAnsi="Wingdings" w:hint="default"/>
      </w:rPr>
    </w:lvl>
    <w:lvl w:ilvl="6" w:tplc="9280B95C">
      <w:start w:val="1"/>
      <w:numFmt w:val="bullet"/>
      <w:lvlText w:val=""/>
      <w:lvlJc w:val="left"/>
      <w:pPr>
        <w:ind w:left="5040" w:hanging="360"/>
      </w:pPr>
      <w:rPr>
        <w:rFonts w:ascii="Symbol" w:hAnsi="Symbol" w:hint="default"/>
      </w:rPr>
    </w:lvl>
    <w:lvl w:ilvl="7" w:tplc="93D26F22">
      <w:start w:val="1"/>
      <w:numFmt w:val="bullet"/>
      <w:lvlText w:val="o"/>
      <w:lvlJc w:val="left"/>
      <w:pPr>
        <w:ind w:left="5760" w:hanging="360"/>
      </w:pPr>
      <w:rPr>
        <w:rFonts w:ascii="Courier New" w:hAnsi="Courier New" w:hint="default"/>
      </w:rPr>
    </w:lvl>
    <w:lvl w:ilvl="8" w:tplc="0382E6EC">
      <w:start w:val="1"/>
      <w:numFmt w:val="bullet"/>
      <w:lvlText w:val=""/>
      <w:lvlJc w:val="left"/>
      <w:pPr>
        <w:ind w:left="6480" w:hanging="360"/>
      </w:pPr>
      <w:rPr>
        <w:rFonts w:ascii="Wingdings" w:hAnsi="Wingdings" w:hint="default"/>
      </w:rPr>
    </w:lvl>
  </w:abstractNum>
  <w:abstractNum w:abstractNumId="10" w15:restartNumberingAfterBreak="0">
    <w:nsid w:val="26F71DAB"/>
    <w:multiLevelType w:val="hybridMultilevel"/>
    <w:tmpl w:val="177C654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 w15:restartNumberingAfterBreak="0">
    <w:nsid w:val="277D1EE6"/>
    <w:multiLevelType w:val="hybridMultilevel"/>
    <w:tmpl w:val="0DEA16F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 w15:restartNumberingAfterBreak="0">
    <w:nsid w:val="2D100973"/>
    <w:multiLevelType w:val="multilevel"/>
    <w:tmpl w:val="3D960236"/>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26E62B5"/>
    <w:multiLevelType w:val="hybridMultilevel"/>
    <w:tmpl w:val="13002B04"/>
    <w:lvl w:ilvl="0" w:tplc="240A0001">
      <w:start w:val="1"/>
      <w:numFmt w:val="bullet"/>
      <w:lvlText w:val=""/>
      <w:lvlJc w:val="left"/>
      <w:pPr>
        <w:ind w:left="211"/>
      </w:pPr>
      <w:rPr>
        <w:rFonts w:ascii="Symbol" w:hAnsi="Symbol" w:hint="default"/>
        <w:b w:val="0"/>
        <w:i w:val="0"/>
        <w:strike w:val="0"/>
        <w:dstrike w:val="0"/>
        <w:color w:val="000000"/>
        <w:sz w:val="22"/>
        <w:u w:val="none" w:color="000000"/>
        <w:vertAlign w:val="baseline"/>
      </w:rPr>
    </w:lvl>
    <w:lvl w:ilvl="1" w:tplc="F9F00D60">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62A6F50E">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D9D8F536">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A992E5EE">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7BB8B32E">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87EA90FA">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3996ABB2">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52DE8C48">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14" w15:restartNumberingAfterBreak="0">
    <w:nsid w:val="36115658"/>
    <w:multiLevelType w:val="hybridMultilevel"/>
    <w:tmpl w:val="22F2E39A"/>
    <w:lvl w:ilvl="0" w:tplc="C7823A02">
      <w:numFmt w:val="bullet"/>
      <w:lvlText w:val="-"/>
      <w:lvlJc w:val="left"/>
      <w:pPr>
        <w:ind w:left="720" w:hanging="360"/>
      </w:pPr>
      <w:rPr>
        <w:rFonts w:ascii="Calibri" w:eastAsia="Times New Roman" w:hAnsi="Calibri"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8C21BB1"/>
    <w:multiLevelType w:val="hybridMultilevel"/>
    <w:tmpl w:val="76065D20"/>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 w15:restartNumberingAfterBreak="0">
    <w:nsid w:val="39E65DB5"/>
    <w:multiLevelType w:val="hybridMultilevel"/>
    <w:tmpl w:val="8A927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E816BE"/>
    <w:multiLevelType w:val="hybridMultilevel"/>
    <w:tmpl w:val="B9C44408"/>
    <w:lvl w:ilvl="0" w:tplc="2B723D28">
      <w:start w:val="1"/>
      <w:numFmt w:val="decimal"/>
      <w:lvlText w:val="%1."/>
      <w:lvlJc w:val="left"/>
      <w:pPr>
        <w:ind w:left="786" w:hanging="360"/>
      </w:pPr>
      <w:rPr>
        <w:rFonts w:cs="Times New Roman" w:hint="default"/>
      </w:rPr>
    </w:lvl>
    <w:lvl w:ilvl="1" w:tplc="240A0019" w:tentative="1">
      <w:start w:val="1"/>
      <w:numFmt w:val="lowerLetter"/>
      <w:lvlText w:val="%2."/>
      <w:lvlJc w:val="left"/>
      <w:pPr>
        <w:ind w:left="1506" w:hanging="360"/>
      </w:pPr>
      <w:rPr>
        <w:rFonts w:cs="Times New Roman"/>
      </w:rPr>
    </w:lvl>
    <w:lvl w:ilvl="2" w:tplc="240A001B" w:tentative="1">
      <w:start w:val="1"/>
      <w:numFmt w:val="lowerRoman"/>
      <w:lvlText w:val="%3."/>
      <w:lvlJc w:val="right"/>
      <w:pPr>
        <w:ind w:left="2226" w:hanging="180"/>
      </w:pPr>
      <w:rPr>
        <w:rFonts w:cs="Times New Roman"/>
      </w:rPr>
    </w:lvl>
    <w:lvl w:ilvl="3" w:tplc="240A000F" w:tentative="1">
      <w:start w:val="1"/>
      <w:numFmt w:val="decimal"/>
      <w:lvlText w:val="%4."/>
      <w:lvlJc w:val="left"/>
      <w:pPr>
        <w:ind w:left="2946" w:hanging="360"/>
      </w:pPr>
      <w:rPr>
        <w:rFonts w:cs="Times New Roman"/>
      </w:rPr>
    </w:lvl>
    <w:lvl w:ilvl="4" w:tplc="240A0019" w:tentative="1">
      <w:start w:val="1"/>
      <w:numFmt w:val="lowerLetter"/>
      <w:lvlText w:val="%5."/>
      <w:lvlJc w:val="left"/>
      <w:pPr>
        <w:ind w:left="3666" w:hanging="360"/>
      </w:pPr>
      <w:rPr>
        <w:rFonts w:cs="Times New Roman"/>
      </w:rPr>
    </w:lvl>
    <w:lvl w:ilvl="5" w:tplc="240A001B" w:tentative="1">
      <w:start w:val="1"/>
      <w:numFmt w:val="lowerRoman"/>
      <w:lvlText w:val="%6."/>
      <w:lvlJc w:val="right"/>
      <w:pPr>
        <w:ind w:left="4386" w:hanging="180"/>
      </w:pPr>
      <w:rPr>
        <w:rFonts w:cs="Times New Roman"/>
      </w:rPr>
    </w:lvl>
    <w:lvl w:ilvl="6" w:tplc="240A000F" w:tentative="1">
      <w:start w:val="1"/>
      <w:numFmt w:val="decimal"/>
      <w:lvlText w:val="%7."/>
      <w:lvlJc w:val="left"/>
      <w:pPr>
        <w:ind w:left="5106" w:hanging="360"/>
      </w:pPr>
      <w:rPr>
        <w:rFonts w:cs="Times New Roman"/>
      </w:rPr>
    </w:lvl>
    <w:lvl w:ilvl="7" w:tplc="240A0019" w:tentative="1">
      <w:start w:val="1"/>
      <w:numFmt w:val="lowerLetter"/>
      <w:lvlText w:val="%8."/>
      <w:lvlJc w:val="left"/>
      <w:pPr>
        <w:ind w:left="5826" w:hanging="360"/>
      </w:pPr>
      <w:rPr>
        <w:rFonts w:cs="Times New Roman"/>
      </w:rPr>
    </w:lvl>
    <w:lvl w:ilvl="8" w:tplc="240A001B" w:tentative="1">
      <w:start w:val="1"/>
      <w:numFmt w:val="lowerRoman"/>
      <w:lvlText w:val="%9."/>
      <w:lvlJc w:val="right"/>
      <w:pPr>
        <w:ind w:left="6546" w:hanging="180"/>
      </w:pPr>
      <w:rPr>
        <w:rFonts w:cs="Times New Roman"/>
      </w:rPr>
    </w:lvl>
  </w:abstractNum>
  <w:abstractNum w:abstractNumId="18" w15:restartNumberingAfterBreak="0">
    <w:nsid w:val="43FD11C7"/>
    <w:multiLevelType w:val="hybridMultilevel"/>
    <w:tmpl w:val="6D8613C2"/>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44327648"/>
    <w:multiLevelType w:val="hybridMultilevel"/>
    <w:tmpl w:val="1818A91A"/>
    <w:lvl w:ilvl="0" w:tplc="C7823A02">
      <w:numFmt w:val="bullet"/>
      <w:lvlText w:val="-"/>
      <w:lvlJc w:val="left"/>
      <w:pPr>
        <w:ind w:left="426" w:hanging="360"/>
      </w:pPr>
      <w:rPr>
        <w:rFonts w:ascii="Calibri" w:eastAsia="Times New Roman" w:hAnsi="Calibri" w:hint="default"/>
      </w:rPr>
    </w:lvl>
    <w:lvl w:ilvl="1" w:tplc="240A0003">
      <w:start w:val="1"/>
      <w:numFmt w:val="bullet"/>
      <w:lvlText w:val="o"/>
      <w:lvlJc w:val="left"/>
      <w:pPr>
        <w:ind w:left="1146" w:hanging="360"/>
      </w:pPr>
      <w:rPr>
        <w:rFonts w:ascii="Courier New" w:hAnsi="Courier New" w:hint="default"/>
      </w:rPr>
    </w:lvl>
    <w:lvl w:ilvl="2" w:tplc="240A0005" w:tentative="1">
      <w:start w:val="1"/>
      <w:numFmt w:val="bullet"/>
      <w:lvlText w:val=""/>
      <w:lvlJc w:val="left"/>
      <w:pPr>
        <w:ind w:left="1866" w:hanging="360"/>
      </w:pPr>
      <w:rPr>
        <w:rFonts w:ascii="Wingdings" w:hAnsi="Wingding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20" w15:restartNumberingAfterBreak="0">
    <w:nsid w:val="4AC405C8"/>
    <w:multiLevelType w:val="hybridMultilevel"/>
    <w:tmpl w:val="CF52FDA2"/>
    <w:lvl w:ilvl="0" w:tplc="511E6E92">
      <w:start w:val="857"/>
      <w:numFmt w:val="bullet"/>
      <w:lvlText w:val="-"/>
      <w:lvlJc w:val="left"/>
      <w:pPr>
        <w:ind w:left="720" w:hanging="360"/>
      </w:pPr>
      <w:rPr>
        <w:rFonts w:ascii="Arial" w:eastAsia="MS Mincho"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C1C1E92"/>
    <w:multiLevelType w:val="hybridMultilevel"/>
    <w:tmpl w:val="12582318"/>
    <w:lvl w:ilvl="0" w:tplc="52D638A2">
      <w:start w:val="2"/>
      <w:numFmt w:val="decimal"/>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 w15:restartNumberingAfterBreak="0">
    <w:nsid w:val="4DF906EC"/>
    <w:multiLevelType w:val="hybridMultilevel"/>
    <w:tmpl w:val="86BA280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15:restartNumberingAfterBreak="0">
    <w:nsid w:val="52C047FF"/>
    <w:multiLevelType w:val="hybridMultilevel"/>
    <w:tmpl w:val="8692EE5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15:restartNumberingAfterBreak="0">
    <w:nsid w:val="5A23314E"/>
    <w:multiLevelType w:val="hybridMultilevel"/>
    <w:tmpl w:val="1C4E5AF4"/>
    <w:lvl w:ilvl="0" w:tplc="490A79E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15:restartNumberingAfterBreak="0">
    <w:nsid w:val="5C7A6B62"/>
    <w:multiLevelType w:val="hybridMultilevel"/>
    <w:tmpl w:val="62863E06"/>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 w15:restartNumberingAfterBreak="0">
    <w:nsid w:val="5E424D38"/>
    <w:multiLevelType w:val="hybridMultilevel"/>
    <w:tmpl w:val="34424748"/>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9E3CE5"/>
    <w:multiLevelType w:val="hybridMultilevel"/>
    <w:tmpl w:val="BABAF7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51F2BE8"/>
    <w:multiLevelType w:val="multilevel"/>
    <w:tmpl w:val="41EC90BC"/>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72C125B8"/>
    <w:multiLevelType w:val="hybridMultilevel"/>
    <w:tmpl w:val="D942684E"/>
    <w:lvl w:ilvl="0" w:tplc="AAF027EC">
      <w:start w:val="3"/>
      <w:numFmt w:val="bullet"/>
      <w:lvlText w:val="-"/>
      <w:lvlJc w:val="left"/>
      <w:pPr>
        <w:ind w:left="720" w:hanging="360"/>
      </w:pPr>
      <w:rPr>
        <w:rFonts w:ascii="Arial" w:eastAsia="MS Mincho" w:hAnsi="Aria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FF3E85"/>
    <w:multiLevelType w:val="multilevel"/>
    <w:tmpl w:val="8B888846"/>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757A1899"/>
    <w:multiLevelType w:val="hybridMultilevel"/>
    <w:tmpl w:val="E8F225A8"/>
    <w:lvl w:ilvl="0" w:tplc="3F424754">
      <w:start w:val="1"/>
      <w:numFmt w:val="lowerLetter"/>
      <w:lvlText w:val="(%1)"/>
      <w:lvlJc w:val="left"/>
      <w:pPr>
        <w:ind w:left="780" w:hanging="42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2" w15:restartNumberingAfterBreak="0">
    <w:nsid w:val="76974369"/>
    <w:multiLevelType w:val="hybridMultilevel"/>
    <w:tmpl w:val="6A025CA2"/>
    <w:lvl w:ilvl="0" w:tplc="E272DF6A">
      <w:start w:val="3"/>
      <w:numFmt w:val="bullet"/>
      <w:lvlText w:val="-"/>
      <w:lvlJc w:val="left"/>
      <w:pPr>
        <w:ind w:left="345" w:hanging="360"/>
      </w:pPr>
      <w:rPr>
        <w:rFonts w:ascii="Arial Narrow" w:eastAsia="Times New Roman" w:hAnsi="Arial Narrow" w:hint="default"/>
      </w:rPr>
    </w:lvl>
    <w:lvl w:ilvl="1" w:tplc="240A0003">
      <w:start w:val="1"/>
      <w:numFmt w:val="bullet"/>
      <w:lvlText w:val="o"/>
      <w:lvlJc w:val="left"/>
      <w:pPr>
        <w:ind w:left="1065" w:hanging="360"/>
      </w:pPr>
      <w:rPr>
        <w:rFonts w:ascii="Courier New" w:hAnsi="Courier New" w:hint="default"/>
      </w:rPr>
    </w:lvl>
    <w:lvl w:ilvl="2" w:tplc="240A0005" w:tentative="1">
      <w:start w:val="1"/>
      <w:numFmt w:val="bullet"/>
      <w:lvlText w:val=""/>
      <w:lvlJc w:val="left"/>
      <w:pPr>
        <w:ind w:left="1785" w:hanging="360"/>
      </w:pPr>
      <w:rPr>
        <w:rFonts w:ascii="Wingdings" w:hAnsi="Wingdings" w:hint="default"/>
      </w:rPr>
    </w:lvl>
    <w:lvl w:ilvl="3" w:tplc="240A0001" w:tentative="1">
      <w:start w:val="1"/>
      <w:numFmt w:val="bullet"/>
      <w:lvlText w:val=""/>
      <w:lvlJc w:val="left"/>
      <w:pPr>
        <w:ind w:left="2505" w:hanging="360"/>
      </w:pPr>
      <w:rPr>
        <w:rFonts w:ascii="Symbol" w:hAnsi="Symbol" w:hint="default"/>
      </w:rPr>
    </w:lvl>
    <w:lvl w:ilvl="4" w:tplc="240A0003" w:tentative="1">
      <w:start w:val="1"/>
      <w:numFmt w:val="bullet"/>
      <w:lvlText w:val="o"/>
      <w:lvlJc w:val="left"/>
      <w:pPr>
        <w:ind w:left="3225" w:hanging="360"/>
      </w:pPr>
      <w:rPr>
        <w:rFonts w:ascii="Courier New" w:hAnsi="Courier New" w:hint="default"/>
      </w:rPr>
    </w:lvl>
    <w:lvl w:ilvl="5" w:tplc="240A0005" w:tentative="1">
      <w:start w:val="1"/>
      <w:numFmt w:val="bullet"/>
      <w:lvlText w:val=""/>
      <w:lvlJc w:val="left"/>
      <w:pPr>
        <w:ind w:left="3945" w:hanging="360"/>
      </w:pPr>
      <w:rPr>
        <w:rFonts w:ascii="Wingdings" w:hAnsi="Wingdings" w:hint="default"/>
      </w:rPr>
    </w:lvl>
    <w:lvl w:ilvl="6" w:tplc="240A0001" w:tentative="1">
      <w:start w:val="1"/>
      <w:numFmt w:val="bullet"/>
      <w:lvlText w:val=""/>
      <w:lvlJc w:val="left"/>
      <w:pPr>
        <w:ind w:left="4665" w:hanging="360"/>
      </w:pPr>
      <w:rPr>
        <w:rFonts w:ascii="Symbol" w:hAnsi="Symbol" w:hint="default"/>
      </w:rPr>
    </w:lvl>
    <w:lvl w:ilvl="7" w:tplc="240A0003" w:tentative="1">
      <w:start w:val="1"/>
      <w:numFmt w:val="bullet"/>
      <w:lvlText w:val="o"/>
      <w:lvlJc w:val="left"/>
      <w:pPr>
        <w:ind w:left="5385" w:hanging="360"/>
      </w:pPr>
      <w:rPr>
        <w:rFonts w:ascii="Courier New" w:hAnsi="Courier New" w:hint="default"/>
      </w:rPr>
    </w:lvl>
    <w:lvl w:ilvl="8" w:tplc="240A0005" w:tentative="1">
      <w:start w:val="1"/>
      <w:numFmt w:val="bullet"/>
      <w:lvlText w:val=""/>
      <w:lvlJc w:val="left"/>
      <w:pPr>
        <w:ind w:left="6105" w:hanging="360"/>
      </w:pPr>
      <w:rPr>
        <w:rFonts w:ascii="Wingdings" w:hAnsi="Wingdings" w:hint="default"/>
      </w:rPr>
    </w:lvl>
  </w:abstractNum>
  <w:abstractNum w:abstractNumId="33" w15:restartNumberingAfterBreak="0">
    <w:nsid w:val="76C412F3"/>
    <w:multiLevelType w:val="hybridMultilevel"/>
    <w:tmpl w:val="659C9CF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 w15:restartNumberingAfterBreak="0">
    <w:nsid w:val="77651E57"/>
    <w:multiLevelType w:val="hybridMultilevel"/>
    <w:tmpl w:val="95240A56"/>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 w15:restartNumberingAfterBreak="0">
    <w:nsid w:val="77ED1CD0"/>
    <w:multiLevelType w:val="hybridMultilevel"/>
    <w:tmpl w:val="3DA2F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32"/>
  </w:num>
  <w:num w:numId="7">
    <w:abstractNumId w:val="2"/>
  </w:num>
  <w:num w:numId="8">
    <w:abstractNumId w:val="18"/>
  </w:num>
  <w:num w:numId="9">
    <w:abstractNumId w:val="9"/>
  </w:num>
  <w:num w:numId="10">
    <w:abstractNumId w:val="29"/>
  </w:num>
  <w:num w:numId="11">
    <w:abstractNumId w:val="26"/>
  </w:num>
  <w:num w:numId="12">
    <w:abstractNumId w:val="20"/>
  </w:num>
  <w:num w:numId="13">
    <w:abstractNumId w:val="16"/>
  </w:num>
  <w:num w:numId="14">
    <w:abstractNumId w:val="3"/>
  </w:num>
  <w:num w:numId="15">
    <w:abstractNumId w:val="28"/>
  </w:num>
  <w:num w:numId="16">
    <w:abstractNumId w:val="14"/>
  </w:num>
  <w:num w:numId="17">
    <w:abstractNumId w:val="30"/>
  </w:num>
  <w:num w:numId="18">
    <w:abstractNumId w:val="19"/>
  </w:num>
  <w:num w:numId="19">
    <w:abstractNumId w:val="21"/>
  </w:num>
  <w:num w:numId="20">
    <w:abstractNumId w:val="34"/>
  </w:num>
  <w:num w:numId="21">
    <w:abstractNumId w:val="12"/>
  </w:num>
  <w:num w:numId="22">
    <w:abstractNumId w:val="1"/>
  </w:num>
  <w:num w:numId="23">
    <w:abstractNumId w:val="5"/>
  </w:num>
  <w:num w:numId="24">
    <w:abstractNumId w:val="31"/>
  </w:num>
  <w:num w:numId="25">
    <w:abstractNumId w:val="4"/>
  </w:num>
  <w:num w:numId="26">
    <w:abstractNumId w:val="6"/>
  </w:num>
  <w:num w:numId="27">
    <w:abstractNumId w:val="7"/>
  </w:num>
  <w:num w:numId="28">
    <w:abstractNumId w:val="23"/>
  </w:num>
  <w:num w:numId="29">
    <w:abstractNumId w:val="22"/>
  </w:num>
  <w:num w:numId="30">
    <w:abstractNumId w:val="25"/>
  </w:num>
  <w:num w:numId="31">
    <w:abstractNumId w:val="8"/>
  </w:num>
  <w:num w:numId="32">
    <w:abstractNumId w:val="17"/>
  </w:num>
  <w:num w:numId="33">
    <w:abstractNumId w:val="33"/>
  </w:num>
  <w:num w:numId="34">
    <w:abstractNumId w:val="0"/>
  </w:num>
  <w:num w:numId="35">
    <w:abstractNumId w:val="10"/>
  </w:num>
  <w:num w:numId="36">
    <w:abstractNumId w:val="11"/>
  </w:num>
  <w:num w:numId="37">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12E0D"/>
    <w:rsid w:val="00014FEA"/>
    <w:rsid w:val="00015D8E"/>
    <w:rsid w:val="00020984"/>
    <w:rsid w:val="000322E3"/>
    <w:rsid w:val="00042D32"/>
    <w:rsid w:val="00046D9F"/>
    <w:rsid w:val="00047465"/>
    <w:rsid w:val="00057AF8"/>
    <w:rsid w:val="000643E9"/>
    <w:rsid w:val="00066D3A"/>
    <w:rsid w:val="0006777E"/>
    <w:rsid w:val="00073A1F"/>
    <w:rsid w:val="00075AD5"/>
    <w:rsid w:val="00077AA2"/>
    <w:rsid w:val="00080984"/>
    <w:rsid w:val="0008210A"/>
    <w:rsid w:val="0008507C"/>
    <w:rsid w:val="000877D1"/>
    <w:rsid w:val="00093EB8"/>
    <w:rsid w:val="000A1163"/>
    <w:rsid w:val="000A2FC8"/>
    <w:rsid w:val="000A31BA"/>
    <w:rsid w:val="000A4383"/>
    <w:rsid w:val="000A585D"/>
    <w:rsid w:val="000B20AE"/>
    <w:rsid w:val="000B3CE7"/>
    <w:rsid w:val="000B558C"/>
    <w:rsid w:val="000C198C"/>
    <w:rsid w:val="000C2C96"/>
    <w:rsid w:val="000C4465"/>
    <w:rsid w:val="000D040B"/>
    <w:rsid w:val="000D09AB"/>
    <w:rsid w:val="000D466B"/>
    <w:rsid w:val="000D6114"/>
    <w:rsid w:val="000E3D72"/>
    <w:rsid w:val="000E42D0"/>
    <w:rsid w:val="000E4714"/>
    <w:rsid w:val="000E5163"/>
    <w:rsid w:val="000E6513"/>
    <w:rsid w:val="000F0EAD"/>
    <w:rsid w:val="000F1CBA"/>
    <w:rsid w:val="000F3807"/>
    <w:rsid w:val="000F5B90"/>
    <w:rsid w:val="00101484"/>
    <w:rsid w:val="00103AE9"/>
    <w:rsid w:val="0010497F"/>
    <w:rsid w:val="0010657C"/>
    <w:rsid w:val="001100A5"/>
    <w:rsid w:val="0011263A"/>
    <w:rsid w:val="0011350E"/>
    <w:rsid w:val="00114AE3"/>
    <w:rsid w:val="00117B7B"/>
    <w:rsid w:val="00120EEB"/>
    <w:rsid w:val="001258D6"/>
    <w:rsid w:val="001339E2"/>
    <w:rsid w:val="0013472A"/>
    <w:rsid w:val="00140055"/>
    <w:rsid w:val="00142BA0"/>
    <w:rsid w:val="00144777"/>
    <w:rsid w:val="001448E3"/>
    <w:rsid w:val="00147D3C"/>
    <w:rsid w:val="00147E82"/>
    <w:rsid w:val="001515F9"/>
    <w:rsid w:val="001518F2"/>
    <w:rsid w:val="00153C65"/>
    <w:rsid w:val="00156301"/>
    <w:rsid w:val="00157041"/>
    <w:rsid w:val="0017111C"/>
    <w:rsid w:val="0017545B"/>
    <w:rsid w:val="00182DEA"/>
    <w:rsid w:val="0019035D"/>
    <w:rsid w:val="00191D96"/>
    <w:rsid w:val="00191E93"/>
    <w:rsid w:val="001951B1"/>
    <w:rsid w:val="001A1ABA"/>
    <w:rsid w:val="001B0799"/>
    <w:rsid w:val="001B7DB2"/>
    <w:rsid w:val="001D1F25"/>
    <w:rsid w:val="001D36C0"/>
    <w:rsid w:val="001D7796"/>
    <w:rsid w:val="001E3E05"/>
    <w:rsid w:val="001E4813"/>
    <w:rsid w:val="001E50F4"/>
    <w:rsid w:val="001E5520"/>
    <w:rsid w:val="001E60E2"/>
    <w:rsid w:val="001F0127"/>
    <w:rsid w:val="001F0B1A"/>
    <w:rsid w:val="001F1401"/>
    <w:rsid w:val="001F4D1B"/>
    <w:rsid w:val="001F4ED2"/>
    <w:rsid w:val="001F6014"/>
    <w:rsid w:val="001F7009"/>
    <w:rsid w:val="001F72C4"/>
    <w:rsid w:val="0020773D"/>
    <w:rsid w:val="0021375B"/>
    <w:rsid w:val="00215A3F"/>
    <w:rsid w:val="002176E6"/>
    <w:rsid w:val="002211EF"/>
    <w:rsid w:val="00221EF1"/>
    <w:rsid w:val="0022264A"/>
    <w:rsid w:val="00224CD4"/>
    <w:rsid w:val="00226B16"/>
    <w:rsid w:val="00235A45"/>
    <w:rsid w:val="00237795"/>
    <w:rsid w:val="00237DFE"/>
    <w:rsid w:val="002414B0"/>
    <w:rsid w:val="0024487B"/>
    <w:rsid w:val="002567A2"/>
    <w:rsid w:val="002658A7"/>
    <w:rsid w:val="00271E28"/>
    <w:rsid w:val="0027421A"/>
    <w:rsid w:val="002766BA"/>
    <w:rsid w:val="00280A31"/>
    <w:rsid w:val="00283D9E"/>
    <w:rsid w:val="002844C0"/>
    <w:rsid w:val="002850DB"/>
    <w:rsid w:val="002854EE"/>
    <w:rsid w:val="002A13EA"/>
    <w:rsid w:val="002A2626"/>
    <w:rsid w:val="002A3E8D"/>
    <w:rsid w:val="002A4599"/>
    <w:rsid w:val="002A6351"/>
    <w:rsid w:val="002B2208"/>
    <w:rsid w:val="002B2812"/>
    <w:rsid w:val="002B2E03"/>
    <w:rsid w:val="002B3410"/>
    <w:rsid w:val="002B4E93"/>
    <w:rsid w:val="002B79D4"/>
    <w:rsid w:val="002C45F1"/>
    <w:rsid w:val="002C64C1"/>
    <w:rsid w:val="002C6BBE"/>
    <w:rsid w:val="002D2CE5"/>
    <w:rsid w:val="002D3CF8"/>
    <w:rsid w:val="002D4B67"/>
    <w:rsid w:val="002D6C5F"/>
    <w:rsid w:val="002E19AE"/>
    <w:rsid w:val="002E3E8B"/>
    <w:rsid w:val="002E6BE9"/>
    <w:rsid w:val="002E72FA"/>
    <w:rsid w:val="002E7640"/>
    <w:rsid w:val="002E7778"/>
    <w:rsid w:val="002F01D9"/>
    <w:rsid w:val="003002FA"/>
    <w:rsid w:val="00301846"/>
    <w:rsid w:val="0030295A"/>
    <w:rsid w:val="003057C9"/>
    <w:rsid w:val="00306745"/>
    <w:rsid w:val="00313184"/>
    <w:rsid w:val="00321936"/>
    <w:rsid w:val="003226AB"/>
    <w:rsid w:val="0032474D"/>
    <w:rsid w:val="003300CE"/>
    <w:rsid w:val="00330AC6"/>
    <w:rsid w:val="0033289D"/>
    <w:rsid w:val="003334C8"/>
    <w:rsid w:val="0033489C"/>
    <w:rsid w:val="00336BAB"/>
    <w:rsid w:val="00340279"/>
    <w:rsid w:val="00341877"/>
    <w:rsid w:val="0034312A"/>
    <w:rsid w:val="00350C08"/>
    <w:rsid w:val="0035116E"/>
    <w:rsid w:val="00355AFC"/>
    <w:rsid w:val="003560AE"/>
    <w:rsid w:val="0036144E"/>
    <w:rsid w:val="00370540"/>
    <w:rsid w:val="003723D7"/>
    <w:rsid w:val="00376100"/>
    <w:rsid w:val="0038265A"/>
    <w:rsid w:val="00384066"/>
    <w:rsid w:val="00387857"/>
    <w:rsid w:val="00387D41"/>
    <w:rsid w:val="00390E94"/>
    <w:rsid w:val="00391021"/>
    <w:rsid w:val="00395375"/>
    <w:rsid w:val="003A4D61"/>
    <w:rsid w:val="003A520B"/>
    <w:rsid w:val="003B1D05"/>
    <w:rsid w:val="003B7FE6"/>
    <w:rsid w:val="003C102D"/>
    <w:rsid w:val="003C4C32"/>
    <w:rsid w:val="003C4FA1"/>
    <w:rsid w:val="003C6D25"/>
    <w:rsid w:val="003D20AA"/>
    <w:rsid w:val="003D4DD3"/>
    <w:rsid w:val="003D7FD2"/>
    <w:rsid w:val="003E31A7"/>
    <w:rsid w:val="003E3C51"/>
    <w:rsid w:val="003E4BD1"/>
    <w:rsid w:val="003E59CF"/>
    <w:rsid w:val="003E632D"/>
    <w:rsid w:val="003E77FC"/>
    <w:rsid w:val="003F07EB"/>
    <w:rsid w:val="003F59D9"/>
    <w:rsid w:val="003F617A"/>
    <w:rsid w:val="003F6A30"/>
    <w:rsid w:val="003F788E"/>
    <w:rsid w:val="003F7900"/>
    <w:rsid w:val="004057C1"/>
    <w:rsid w:val="00410C94"/>
    <w:rsid w:val="00412976"/>
    <w:rsid w:val="0041494D"/>
    <w:rsid w:val="00416C85"/>
    <w:rsid w:val="004315F2"/>
    <w:rsid w:val="00434B41"/>
    <w:rsid w:val="00437A6B"/>
    <w:rsid w:val="0044344C"/>
    <w:rsid w:val="00447D2A"/>
    <w:rsid w:val="004521AE"/>
    <w:rsid w:val="00453CE2"/>
    <w:rsid w:val="00457740"/>
    <w:rsid w:val="004655CD"/>
    <w:rsid w:val="00467143"/>
    <w:rsid w:val="004700D0"/>
    <w:rsid w:val="00472DB8"/>
    <w:rsid w:val="00473B82"/>
    <w:rsid w:val="00473F70"/>
    <w:rsid w:val="00474633"/>
    <w:rsid w:val="0047658A"/>
    <w:rsid w:val="00477E08"/>
    <w:rsid w:val="00484402"/>
    <w:rsid w:val="0049010D"/>
    <w:rsid w:val="00497D32"/>
    <w:rsid w:val="004A0862"/>
    <w:rsid w:val="004A503F"/>
    <w:rsid w:val="004A7F0D"/>
    <w:rsid w:val="004B299B"/>
    <w:rsid w:val="004C23FB"/>
    <w:rsid w:val="004D66AD"/>
    <w:rsid w:val="004E0B9A"/>
    <w:rsid w:val="004E1FE7"/>
    <w:rsid w:val="004E432F"/>
    <w:rsid w:val="004E4D21"/>
    <w:rsid w:val="004E5ABF"/>
    <w:rsid w:val="004E7B18"/>
    <w:rsid w:val="004F2BB0"/>
    <w:rsid w:val="004F5036"/>
    <w:rsid w:val="005125B0"/>
    <w:rsid w:val="0051622D"/>
    <w:rsid w:val="0052323E"/>
    <w:rsid w:val="0053089E"/>
    <w:rsid w:val="005370E9"/>
    <w:rsid w:val="00537794"/>
    <w:rsid w:val="0053783B"/>
    <w:rsid w:val="00537AEC"/>
    <w:rsid w:val="00542591"/>
    <w:rsid w:val="005445CE"/>
    <w:rsid w:val="00547E4C"/>
    <w:rsid w:val="00552AE0"/>
    <w:rsid w:val="00553C66"/>
    <w:rsid w:val="0055424A"/>
    <w:rsid w:val="005615FE"/>
    <w:rsid w:val="00561999"/>
    <w:rsid w:val="00562716"/>
    <w:rsid w:val="00571ED1"/>
    <w:rsid w:val="00572180"/>
    <w:rsid w:val="00576F0C"/>
    <w:rsid w:val="00577720"/>
    <w:rsid w:val="00584C23"/>
    <w:rsid w:val="00593364"/>
    <w:rsid w:val="005A27D0"/>
    <w:rsid w:val="005A34AD"/>
    <w:rsid w:val="005A3BD8"/>
    <w:rsid w:val="005B2157"/>
    <w:rsid w:val="005C03DB"/>
    <w:rsid w:val="005C2706"/>
    <w:rsid w:val="005C5817"/>
    <w:rsid w:val="005C61AC"/>
    <w:rsid w:val="005C6301"/>
    <w:rsid w:val="005C7523"/>
    <w:rsid w:val="005D214D"/>
    <w:rsid w:val="005E04F5"/>
    <w:rsid w:val="005E1133"/>
    <w:rsid w:val="005E3EF7"/>
    <w:rsid w:val="005E553A"/>
    <w:rsid w:val="005F0B10"/>
    <w:rsid w:val="005F245D"/>
    <w:rsid w:val="005F726F"/>
    <w:rsid w:val="005F77DF"/>
    <w:rsid w:val="0060069D"/>
    <w:rsid w:val="006014C7"/>
    <w:rsid w:val="00604180"/>
    <w:rsid w:val="00605557"/>
    <w:rsid w:val="00611CFE"/>
    <w:rsid w:val="00616130"/>
    <w:rsid w:val="006170E3"/>
    <w:rsid w:val="006206EE"/>
    <w:rsid w:val="006251F0"/>
    <w:rsid w:val="006252FE"/>
    <w:rsid w:val="00625968"/>
    <w:rsid w:val="00625FC7"/>
    <w:rsid w:val="006313DE"/>
    <w:rsid w:val="0063188F"/>
    <w:rsid w:val="00634F92"/>
    <w:rsid w:val="00636431"/>
    <w:rsid w:val="00641321"/>
    <w:rsid w:val="006473B9"/>
    <w:rsid w:val="00650B9F"/>
    <w:rsid w:val="00650E5D"/>
    <w:rsid w:val="00655ED3"/>
    <w:rsid w:val="00662D20"/>
    <w:rsid w:val="00667400"/>
    <w:rsid w:val="00675B68"/>
    <w:rsid w:val="00677839"/>
    <w:rsid w:val="00681239"/>
    <w:rsid w:val="006845A4"/>
    <w:rsid w:val="00687E5C"/>
    <w:rsid w:val="0069486D"/>
    <w:rsid w:val="00695E54"/>
    <w:rsid w:val="00695F10"/>
    <w:rsid w:val="00697673"/>
    <w:rsid w:val="006A042D"/>
    <w:rsid w:val="006A05E2"/>
    <w:rsid w:val="006A18EF"/>
    <w:rsid w:val="006A29E0"/>
    <w:rsid w:val="006A6FBA"/>
    <w:rsid w:val="006A7AC0"/>
    <w:rsid w:val="006A7F83"/>
    <w:rsid w:val="006B67C9"/>
    <w:rsid w:val="006C0AB4"/>
    <w:rsid w:val="006C2B4A"/>
    <w:rsid w:val="006C3264"/>
    <w:rsid w:val="006C509B"/>
    <w:rsid w:val="006C6F24"/>
    <w:rsid w:val="006D4EFD"/>
    <w:rsid w:val="006D57DD"/>
    <w:rsid w:val="006E137B"/>
    <w:rsid w:val="006E1C98"/>
    <w:rsid w:val="006E358F"/>
    <w:rsid w:val="006E51A1"/>
    <w:rsid w:val="006E598A"/>
    <w:rsid w:val="00702037"/>
    <w:rsid w:val="00702040"/>
    <w:rsid w:val="007039BF"/>
    <w:rsid w:val="00704249"/>
    <w:rsid w:val="007048B6"/>
    <w:rsid w:val="00705EA4"/>
    <w:rsid w:val="007101B2"/>
    <w:rsid w:val="00711742"/>
    <w:rsid w:val="00717F9F"/>
    <w:rsid w:val="0072156C"/>
    <w:rsid w:val="00721671"/>
    <w:rsid w:val="0072195E"/>
    <w:rsid w:val="00724108"/>
    <w:rsid w:val="00730D97"/>
    <w:rsid w:val="007326C6"/>
    <w:rsid w:val="00736096"/>
    <w:rsid w:val="007364A7"/>
    <w:rsid w:val="00741E0C"/>
    <w:rsid w:val="0074453A"/>
    <w:rsid w:val="00751CA6"/>
    <w:rsid w:val="00756840"/>
    <w:rsid w:val="00757130"/>
    <w:rsid w:val="007760F2"/>
    <w:rsid w:val="0077677C"/>
    <w:rsid w:val="007810B5"/>
    <w:rsid w:val="007877D9"/>
    <w:rsid w:val="007902C2"/>
    <w:rsid w:val="00794152"/>
    <w:rsid w:val="007952D3"/>
    <w:rsid w:val="00797B07"/>
    <w:rsid w:val="00797DA6"/>
    <w:rsid w:val="007B1D31"/>
    <w:rsid w:val="007B22CD"/>
    <w:rsid w:val="007B4DCC"/>
    <w:rsid w:val="007C0B4C"/>
    <w:rsid w:val="007C5D30"/>
    <w:rsid w:val="007D55D3"/>
    <w:rsid w:val="007E01F7"/>
    <w:rsid w:val="007E0BF0"/>
    <w:rsid w:val="007E2C10"/>
    <w:rsid w:val="007E2C8A"/>
    <w:rsid w:val="007E55C0"/>
    <w:rsid w:val="0080212F"/>
    <w:rsid w:val="00804184"/>
    <w:rsid w:val="00807524"/>
    <w:rsid w:val="0081002E"/>
    <w:rsid w:val="00813BE9"/>
    <w:rsid w:val="008227D7"/>
    <w:rsid w:val="00823102"/>
    <w:rsid w:val="00823ABF"/>
    <w:rsid w:val="008240C6"/>
    <w:rsid w:val="008341CE"/>
    <w:rsid w:val="008363B6"/>
    <w:rsid w:val="00843519"/>
    <w:rsid w:val="00844772"/>
    <w:rsid w:val="00844E5C"/>
    <w:rsid w:val="00851356"/>
    <w:rsid w:val="008540DC"/>
    <w:rsid w:val="00855737"/>
    <w:rsid w:val="00862A45"/>
    <w:rsid w:val="008663CA"/>
    <w:rsid w:val="008674EE"/>
    <w:rsid w:val="00870E09"/>
    <w:rsid w:val="00874628"/>
    <w:rsid w:val="00876917"/>
    <w:rsid w:val="00881417"/>
    <w:rsid w:val="00887F03"/>
    <w:rsid w:val="00891CEC"/>
    <w:rsid w:val="00894E28"/>
    <w:rsid w:val="008958DB"/>
    <w:rsid w:val="00896BB4"/>
    <w:rsid w:val="008A1BA2"/>
    <w:rsid w:val="008A2D0E"/>
    <w:rsid w:val="008A2D15"/>
    <w:rsid w:val="008A4DC4"/>
    <w:rsid w:val="008A73E0"/>
    <w:rsid w:val="008B3DEC"/>
    <w:rsid w:val="008C49F3"/>
    <w:rsid w:val="008C4A34"/>
    <w:rsid w:val="008C705B"/>
    <w:rsid w:val="008D7E24"/>
    <w:rsid w:val="008E2C88"/>
    <w:rsid w:val="008E33A2"/>
    <w:rsid w:val="008F0E14"/>
    <w:rsid w:val="00902163"/>
    <w:rsid w:val="0090415D"/>
    <w:rsid w:val="0090467A"/>
    <w:rsid w:val="00906462"/>
    <w:rsid w:val="0092035F"/>
    <w:rsid w:val="0092133A"/>
    <w:rsid w:val="009300B2"/>
    <w:rsid w:val="00931D87"/>
    <w:rsid w:val="00936B36"/>
    <w:rsid w:val="00942E43"/>
    <w:rsid w:val="009436F2"/>
    <w:rsid w:val="00944394"/>
    <w:rsid w:val="00945819"/>
    <w:rsid w:val="009548C0"/>
    <w:rsid w:val="009600C8"/>
    <w:rsid w:val="0096240B"/>
    <w:rsid w:val="009645C5"/>
    <w:rsid w:val="009677C0"/>
    <w:rsid w:val="00973A25"/>
    <w:rsid w:val="00982AC4"/>
    <w:rsid w:val="00992748"/>
    <w:rsid w:val="00996E42"/>
    <w:rsid w:val="00996E4F"/>
    <w:rsid w:val="0099728C"/>
    <w:rsid w:val="009A012F"/>
    <w:rsid w:val="009A1CDC"/>
    <w:rsid w:val="009A34A5"/>
    <w:rsid w:val="009A42A3"/>
    <w:rsid w:val="009B3C7A"/>
    <w:rsid w:val="009B4F70"/>
    <w:rsid w:val="009B62ED"/>
    <w:rsid w:val="009C1E4E"/>
    <w:rsid w:val="009C6FEB"/>
    <w:rsid w:val="009D2198"/>
    <w:rsid w:val="009D3916"/>
    <w:rsid w:val="009D495A"/>
    <w:rsid w:val="009E36F1"/>
    <w:rsid w:val="009E435F"/>
    <w:rsid w:val="009E6F2A"/>
    <w:rsid w:val="009F1065"/>
    <w:rsid w:val="009F1FB0"/>
    <w:rsid w:val="009F6FB1"/>
    <w:rsid w:val="00A00B26"/>
    <w:rsid w:val="00A117D7"/>
    <w:rsid w:val="00A21993"/>
    <w:rsid w:val="00A240A7"/>
    <w:rsid w:val="00A25DEC"/>
    <w:rsid w:val="00A3405A"/>
    <w:rsid w:val="00A36875"/>
    <w:rsid w:val="00A405D3"/>
    <w:rsid w:val="00A45C91"/>
    <w:rsid w:val="00A50048"/>
    <w:rsid w:val="00A62B42"/>
    <w:rsid w:val="00A63200"/>
    <w:rsid w:val="00A646FC"/>
    <w:rsid w:val="00A65BBE"/>
    <w:rsid w:val="00A65FDF"/>
    <w:rsid w:val="00A70784"/>
    <w:rsid w:val="00A71316"/>
    <w:rsid w:val="00A77A34"/>
    <w:rsid w:val="00A82889"/>
    <w:rsid w:val="00A9281B"/>
    <w:rsid w:val="00A963CA"/>
    <w:rsid w:val="00AA3408"/>
    <w:rsid w:val="00AA56AC"/>
    <w:rsid w:val="00AA713E"/>
    <w:rsid w:val="00AB22E1"/>
    <w:rsid w:val="00AB3160"/>
    <w:rsid w:val="00AB3C98"/>
    <w:rsid w:val="00AB66F7"/>
    <w:rsid w:val="00AC150F"/>
    <w:rsid w:val="00AC47A2"/>
    <w:rsid w:val="00AD0830"/>
    <w:rsid w:val="00AD3D48"/>
    <w:rsid w:val="00AD46E2"/>
    <w:rsid w:val="00AD522D"/>
    <w:rsid w:val="00AE24F4"/>
    <w:rsid w:val="00AE60FB"/>
    <w:rsid w:val="00AF5DE1"/>
    <w:rsid w:val="00B01DA2"/>
    <w:rsid w:val="00B022F5"/>
    <w:rsid w:val="00B04F94"/>
    <w:rsid w:val="00B12D55"/>
    <w:rsid w:val="00B13B7F"/>
    <w:rsid w:val="00B15402"/>
    <w:rsid w:val="00B15D52"/>
    <w:rsid w:val="00B165CB"/>
    <w:rsid w:val="00B16A12"/>
    <w:rsid w:val="00B22F0D"/>
    <w:rsid w:val="00B23027"/>
    <w:rsid w:val="00B268C2"/>
    <w:rsid w:val="00B3089A"/>
    <w:rsid w:val="00B32956"/>
    <w:rsid w:val="00B32F87"/>
    <w:rsid w:val="00B41AE8"/>
    <w:rsid w:val="00B42B54"/>
    <w:rsid w:val="00B43201"/>
    <w:rsid w:val="00B43896"/>
    <w:rsid w:val="00B44184"/>
    <w:rsid w:val="00B44635"/>
    <w:rsid w:val="00B47B1D"/>
    <w:rsid w:val="00B50692"/>
    <w:rsid w:val="00B51957"/>
    <w:rsid w:val="00B55812"/>
    <w:rsid w:val="00B56A74"/>
    <w:rsid w:val="00B62D9B"/>
    <w:rsid w:val="00B62FD1"/>
    <w:rsid w:val="00B66236"/>
    <w:rsid w:val="00B667E4"/>
    <w:rsid w:val="00B67B27"/>
    <w:rsid w:val="00B73CE0"/>
    <w:rsid w:val="00B744A5"/>
    <w:rsid w:val="00B74688"/>
    <w:rsid w:val="00B81971"/>
    <w:rsid w:val="00B81E74"/>
    <w:rsid w:val="00B90B4B"/>
    <w:rsid w:val="00B9309E"/>
    <w:rsid w:val="00BA08A8"/>
    <w:rsid w:val="00BA1ABA"/>
    <w:rsid w:val="00BA46B9"/>
    <w:rsid w:val="00BB23F6"/>
    <w:rsid w:val="00BB24B7"/>
    <w:rsid w:val="00BB256B"/>
    <w:rsid w:val="00BB2B65"/>
    <w:rsid w:val="00BB3FEA"/>
    <w:rsid w:val="00BB40CD"/>
    <w:rsid w:val="00BB5205"/>
    <w:rsid w:val="00BB76D5"/>
    <w:rsid w:val="00BC14DC"/>
    <w:rsid w:val="00BC1762"/>
    <w:rsid w:val="00BC6847"/>
    <w:rsid w:val="00BC6ABE"/>
    <w:rsid w:val="00BD5C8C"/>
    <w:rsid w:val="00BF3628"/>
    <w:rsid w:val="00BF526E"/>
    <w:rsid w:val="00BF7E7E"/>
    <w:rsid w:val="00C0298B"/>
    <w:rsid w:val="00C054D7"/>
    <w:rsid w:val="00C057ED"/>
    <w:rsid w:val="00C06C7A"/>
    <w:rsid w:val="00C10D22"/>
    <w:rsid w:val="00C11141"/>
    <w:rsid w:val="00C17248"/>
    <w:rsid w:val="00C23280"/>
    <w:rsid w:val="00C27CC8"/>
    <w:rsid w:val="00C32D7F"/>
    <w:rsid w:val="00C33BC6"/>
    <w:rsid w:val="00C427C0"/>
    <w:rsid w:val="00C444F1"/>
    <w:rsid w:val="00C447A9"/>
    <w:rsid w:val="00C45AFC"/>
    <w:rsid w:val="00C47352"/>
    <w:rsid w:val="00C47702"/>
    <w:rsid w:val="00C50421"/>
    <w:rsid w:val="00C52A22"/>
    <w:rsid w:val="00C539EB"/>
    <w:rsid w:val="00C6415B"/>
    <w:rsid w:val="00C668DD"/>
    <w:rsid w:val="00C67A77"/>
    <w:rsid w:val="00C716A7"/>
    <w:rsid w:val="00C75DA9"/>
    <w:rsid w:val="00C77C56"/>
    <w:rsid w:val="00C90BA5"/>
    <w:rsid w:val="00C943ED"/>
    <w:rsid w:val="00C945DE"/>
    <w:rsid w:val="00C94DE4"/>
    <w:rsid w:val="00CA2137"/>
    <w:rsid w:val="00CA3688"/>
    <w:rsid w:val="00CA4476"/>
    <w:rsid w:val="00CA4EF8"/>
    <w:rsid w:val="00CA5028"/>
    <w:rsid w:val="00CB6B23"/>
    <w:rsid w:val="00CB7070"/>
    <w:rsid w:val="00CB70F7"/>
    <w:rsid w:val="00CC2754"/>
    <w:rsid w:val="00CD1C0F"/>
    <w:rsid w:val="00CD2418"/>
    <w:rsid w:val="00CE7065"/>
    <w:rsid w:val="00CF5704"/>
    <w:rsid w:val="00D0144F"/>
    <w:rsid w:val="00D06885"/>
    <w:rsid w:val="00D12651"/>
    <w:rsid w:val="00D12FFB"/>
    <w:rsid w:val="00D210E1"/>
    <w:rsid w:val="00D2162C"/>
    <w:rsid w:val="00D254FF"/>
    <w:rsid w:val="00D27A6F"/>
    <w:rsid w:val="00D30C55"/>
    <w:rsid w:val="00D45F04"/>
    <w:rsid w:val="00D55234"/>
    <w:rsid w:val="00D75790"/>
    <w:rsid w:val="00D8162B"/>
    <w:rsid w:val="00D855B8"/>
    <w:rsid w:val="00D85863"/>
    <w:rsid w:val="00DA6548"/>
    <w:rsid w:val="00DB1A70"/>
    <w:rsid w:val="00DB1B9A"/>
    <w:rsid w:val="00DB264B"/>
    <w:rsid w:val="00DC25D3"/>
    <w:rsid w:val="00DC2787"/>
    <w:rsid w:val="00DC371E"/>
    <w:rsid w:val="00DC60BE"/>
    <w:rsid w:val="00DD3C3F"/>
    <w:rsid w:val="00DD4C14"/>
    <w:rsid w:val="00DE59F9"/>
    <w:rsid w:val="00DE62F6"/>
    <w:rsid w:val="00DF13EB"/>
    <w:rsid w:val="00DF2372"/>
    <w:rsid w:val="00DF4CC1"/>
    <w:rsid w:val="00E013AF"/>
    <w:rsid w:val="00E02036"/>
    <w:rsid w:val="00E02276"/>
    <w:rsid w:val="00E05836"/>
    <w:rsid w:val="00E11760"/>
    <w:rsid w:val="00E13926"/>
    <w:rsid w:val="00E14B50"/>
    <w:rsid w:val="00E15BE8"/>
    <w:rsid w:val="00E22584"/>
    <w:rsid w:val="00E243EF"/>
    <w:rsid w:val="00E30903"/>
    <w:rsid w:val="00E33180"/>
    <w:rsid w:val="00E35077"/>
    <w:rsid w:val="00E35715"/>
    <w:rsid w:val="00E35E3F"/>
    <w:rsid w:val="00E40750"/>
    <w:rsid w:val="00E4169E"/>
    <w:rsid w:val="00E42746"/>
    <w:rsid w:val="00E4450B"/>
    <w:rsid w:val="00E45087"/>
    <w:rsid w:val="00E46D41"/>
    <w:rsid w:val="00E543C2"/>
    <w:rsid w:val="00E5464B"/>
    <w:rsid w:val="00E54DF9"/>
    <w:rsid w:val="00E5534B"/>
    <w:rsid w:val="00E603F8"/>
    <w:rsid w:val="00E61E67"/>
    <w:rsid w:val="00E674BE"/>
    <w:rsid w:val="00E678D9"/>
    <w:rsid w:val="00E71A3E"/>
    <w:rsid w:val="00E72535"/>
    <w:rsid w:val="00E84405"/>
    <w:rsid w:val="00E84A33"/>
    <w:rsid w:val="00E97BFD"/>
    <w:rsid w:val="00EA1AF5"/>
    <w:rsid w:val="00EB2676"/>
    <w:rsid w:val="00EB29A1"/>
    <w:rsid w:val="00EB2BC9"/>
    <w:rsid w:val="00EB3399"/>
    <w:rsid w:val="00EB3AAB"/>
    <w:rsid w:val="00EC0566"/>
    <w:rsid w:val="00ED2360"/>
    <w:rsid w:val="00ED3344"/>
    <w:rsid w:val="00ED42E5"/>
    <w:rsid w:val="00EE10E1"/>
    <w:rsid w:val="00EE231F"/>
    <w:rsid w:val="00EE3936"/>
    <w:rsid w:val="00EE6954"/>
    <w:rsid w:val="00EF04A8"/>
    <w:rsid w:val="00EF27B9"/>
    <w:rsid w:val="00EF3D14"/>
    <w:rsid w:val="00EF415F"/>
    <w:rsid w:val="00EF523B"/>
    <w:rsid w:val="00EF53AB"/>
    <w:rsid w:val="00EF6C25"/>
    <w:rsid w:val="00F006FA"/>
    <w:rsid w:val="00F018CF"/>
    <w:rsid w:val="00F01F75"/>
    <w:rsid w:val="00F02B45"/>
    <w:rsid w:val="00F04D0A"/>
    <w:rsid w:val="00F10C44"/>
    <w:rsid w:val="00F1102F"/>
    <w:rsid w:val="00F140E1"/>
    <w:rsid w:val="00F15A21"/>
    <w:rsid w:val="00F17232"/>
    <w:rsid w:val="00F2208E"/>
    <w:rsid w:val="00F231A6"/>
    <w:rsid w:val="00F267FC"/>
    <w:rsid w:val="00F310FC"/>
    <w:rsid w:val="00F31BF9"/>
    <w:rsid w:val="00F34DFC"/>
    <w:rsid w:val="00F418EA"/>
    <w:rsid w:val="00F42CB1"/>
    <w:rsid w:val="00F436BA"/>
    <w:rsid w:val="00F46181"/>
    <w:rsid w:val="00F565B6"/>
    <w:rsid w:val="00F62A45"/>
    <w:rsid w:val="00F65748"/>
    <w:rsid w:val="00F71345"/>
    <w:rsid w:val="00F77A5D"/>
    <w:rsid w:val="00F80CAD"/>
    <w:rsid w:val="00F82BD2"/>
    <w:rsid w:val="00F85437"/>
    <w:rsid w:val="00F86C3F"/>
    <w:rsid w:val="00F87245"/>
    <w:rsid w:val="00F93F04"/>
    <w:rsid w:val="00F970D0"/>
    <w:rsid w:val="00FA22FF"/>
    <w:rsid w:val="00FB336E"/>
    <w:rsid w:val="00FB58C7"/>
    <w:rsid w:val="00FC1BF5"/>
    <w:rsid w:val="00FC32E2"/>
    <w:rsid w:val="00FC4A32"/>
    <w:rsid w:val="00FD297C"/>
    <w:rsid w:val="00FD3CAA"/>
    <w:rsid w:val="00FD4185"/>
    <w:rsid w:val="00FD6239"/>
    <w:rsid w:val="00FD7C31"/>
    <w:rsid w:val="00FF0B3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097CA2-E49A-4AB2-8BFC-1A4719B2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DC371E"/>
    <w:pPr>
      <w:keepNext/>
      <w:keepLines/>
      <w:spacing w:line="259" w:lineRule="auto"/>
      <w:ind w:left="10" w:hanging="10"/>
      <w:outlineLvl w:val="0"/>
    </w:pPr>
    <w:rPr>
      <w:rFonts w:ascii="Arial" w:eastAsia="Times New Roman" w:hAnsi="Arial" w:cs="Arial"/>
      <w:b/>
      <w:color w:val="000000"/>
      <w:szCs w:val="22"/>
      <w:lang w:val="es-CO" w:eastAsia="es-CO"/>
    </w:rPr>
  </w:style>
  <w:style w:type="paragraph" w:styleId="Ttulo2">
    <w:name w:val="heading 2"/>
    <w:basedOn w:val="Normal"/>
    <w:next w:val="Normal"/>
    <w:link w:val="Ttulo2Car"/>
    <w:uiPriority w:val="9"/>
    <w:unhideWhenUsed/>
    <w:qFormat/>
    <w:rsid w:val="00DC371E"/>
    <w:pPr>
      <w:keepNext/>
      <w:keepLines/>
      <w:spacing w:after="5" w:line="249" w:lineRule="auto"/>
      <w:ind w:left="10" w:right="8" w:hanging="10"/>
      <w:outlineLvl w:val="1"/>
    </w:pPr>
    <w:rPr>
      <w:rFonts w:ascii="Arial" w:eastAsia="Times New Roman" w:hAnsi="Arial" w:cs="Arial"/>
      <w:b/>
      <w:color w:val="000000"/>
      <w:sz w:val="22"/>
      <w:szCs w:val="22"/>
      <w:lang w:val="es-CO" w:eastAsia="es-CO"/>
    </w:rPr>
  </w:style>
  <w:style w:type="paragraph" w:styleId="Ttulo3">
    <w:name w:val="heading 3"/>
    <w:basedOn w:val="Normal"/>
    <w:next w:val="Normal"/>
    <w:link w:val="Ttulo3Car"/>
    <w:uiPriority w:val="9"/>
    <w:unhideWhenUsed/>
    <w:qFormat/>
    <w:rsid w:val="00DC371E"/>
    <w:pPr>
      <w:keepNext/>
      <w:keepLines/>
      <w:spacing w:line="259" w:lineRule="auto"/>
      <w:ind w:left="10" w:hanging="10"/>
      <w:outlineLvl w:val="2"/>
    </w:pPr>
    <w:rPr>
      <w:rFonts w:ascii="Arial" w:eastAsia="Times New Roman" w:hAnsi="Arial" w:cs="Arial"/>
      <w:b/>
      <w:color w:val="000000"/>
      <w:szCs w:val="22"/>
      <w:lang w:val="es-CO" w:eastAsia="es-CO"/>
    </w:rPr>
  </w:style>
  <w:style w:type="paragraph" w:styleId="Ttulo4">
    <w:name w:val="heading 4"/>
    <w:basedOn w:val="Normal"/>
    <w:next w:val="Normal"/>
    <w:link w:val="Ttulo4Car"/>
    <w:uiPriority w:val="9"/>
    <w:unhideWhenUsed/>
    <w:qFormat/>
    <w:rsid w:val="00DC371E"/>
    <w:pPr>
      <w:keepNext/>
      <w:keepLines/>
      <w:spacing w:after="5" w:line="249" w:lineRule="auto"/>
      <w:ind w:left="10" w:right="8" w:hanging="10"/>
      <w:jc w:val="center"/>
      <w:outlineLvl w:val="3"/>
    </w:pPr>
    <w:rPr>
      <w:rFonts w:ascii="Arial" w:eastAsia="Times New Roman" w:hAnsi="Arial" w:cs="Arial"/>
      <w:b/>
      <w:color w:val="000000"/>
      <w:sz w:val="22"/>
      <w:szCs w:val="22"/>
      <w:lang w:val="es-CO" w:eastAsia="es-CO"/>
    </w:rPr>
  </w:style>
  <w:style w:type="paragraph" w:styleId="Ttulo5">
    <w:name w:val="heading 5"/>
    <w:basedOn w:val="Normal"/>
    <w:next w:val="Normal"/>
    <w:link w:val="Ttulo5Car"/>
    <w:uiPriority w:val="9"/>
    <w:unhideWhenUsed/>
    <w:qFormat/>
    <w:rsid w:val="00DC371E"/>
    <w:pPr>
      <w:keepNext/>
      <w:keepLines/>
      <w:spacing w:after="5" w:line="249" w:lineRule="auto"/>
      <w:ind w:left="10" w:right="8" w:hanging="10"/>
      <w:jc w:val="center"/>
      <w:outlineLvl w:val="4"/>
    </w:pPr>
    <w:rPr>
      <w:rFonts w:ascii="Arial" w:eastAsia="Times New Roman" w:hAnsi="Arial" w:cs="Arial"/>
      <w:b/>
      <w:color w:val="000000"/>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aliases w:val="titulo 3,Lista1,Bullets,Fluvial1,Ha,Cuadrícula clara - Énfasis 31,Lista vistosa - Énfasis 11,Normal. Viñetas,HOJA,Bolita,Párrafo de lista4,BOLADEF,Párrafo de lista3,Párrafo de lista21,BOLA,Nivel 1 OS,Guión,Titulo 8"/>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basedOn w:val="Fuentedeprrafopredeter"/>
    <w:link w:val="Ttulo1"/>
    <w:uiPriority w:val="9"/>
    <w:rsid w:val="00DC371E"/>
    <w:rPr>
      <w:rFonts w:ascii="Arial" w:eastAsia="Times New Roman" w:hAnsi="Arial" w:cs="Arial"/>
      <w:b/>
      <w:color w:val="000000"/>
      <w:sz w:val="24"/>
      <w:lang w:eastAsia="es-CO"/>
    </w:rPr>
  </w:style>
  <w:style w:type="character" w:customStyle="1" w:styleId="Ttulo2Car">
    <w:name w:val="Título 2 Car"/>
    <w:basedOn w:val="Fuentedeprrafopredeter"/>
    <w:link w:val="Ttulo2"/>
    <w:uiPriority w:val="9"/>
    <w:rsid w:val="00DC371E"/>
    <w:rPr>
      <w:rFonts w:ascii="Arial" w:eastAsia="Times New Roman" w:hAnsi="Arial" w:cs="Arial"/>
      <w:b/>
      <w:color w:val="000000"/>
      <w:lang w:eastAsia="es-CO"/>
    </w:rPr>
  </w:style>
  <w:style w:type="character" w:customStyle="1" w:styleId="Ttulo3Car">
    <w:name w:val="Título 3 Car"/>
    <w:basedOn w:val="Fuentedeprrafopredeter"/>
    <w:link w:val="Ttulo3"/>
    <w:uiPriority w:val="9"/>
    <w:rsid w:val="00DC371E"/>
    <w:rPr>
      <w:rFonts w:ascii="Arial" w:eastAsia="Times New Roman" w:hAnsi="Arial" w:cs="Arial"/>
      <w:b/>
      <w:color w:val="000000"/>
      <w:sz w:val="24"/>
      <w:lang w:eastAsia="es-CO"/>
    </w:rPr>
  </w:style>
  <w:style w:type="character" w:customStyle="1" w:styleId="Ttulo4Car">
    <w:name w:val="Título 4 Car"/>
    <w:basedOn w:val="Fuentedeprrafopredeter"/>
    <w:link w:val="Ttulo4"/>
    <w:uiPriority w:val="9"/>
    <w:rsid w:val="00DC371E"/>
    <w:rPr>
      <w:rFonts w:ascii="Arial" w:eastAsia="Times New Roman" w:hAnsi="Arial" w:cs="Arial"/>
      <w:b/>
      <w:color w:val="000000"/>
      <w:lang w:eastAsia="es-CO"/>
    </w:rPr>
  </w:style>
  <w:style w:type="character" w:customStyle="1" w:styleId="Ttulo5Car">
    <w:name w:val="Título 5 Car"/>
    <w:basedOn w:val="Fuentedeprrafopredeter"/>
    <w:link w:val="Ttulo5"/>
    <w:uiPriority w:val="9"/>
    <w:rsid w:val="00DC371E"/>
    <w:rPr>
      <w:rFonts w:ascii="Arial" w:eastAsia="Times New Roman" w:hAnsi="Arial" w:cs="Arial"/>
      <w:b/>
      <w:color w:val="000000"/>
      <w:lang w:eastAsia="es-CO"/>
    </w:rPr>
  </w:style>
  <w:style w:type="paragraph" w:customStyle="1" w:styleId="footnotedescription">
    <w:name w:val="footnote description"/>
    <w:next w:val="Normal"/>
    <w:link w:val="footnotedescriptionChar"/>
    <w:hidden/>
    <w:rsid w:val="00DC371E"/>
    <w:pPr>
      <w:spacing w:line="260" w:lineRule="auto"/>
    </w:pPr>
    <w:rPr>
      <w:rFonts w:ascii="Arial" w:eastAsia="Times New Roman" w:hAnsi="Arial" w:cs="Arial"/>
      <w:color w:val="000000"/>
      <w:sz w:val="16"/>
      <w:lang w:eastAsia="es-CO"/>
    </w:rPr>
  </w:style>
  <w:style w:type="character" w:customStyle="1" w:styleId="footnotedescriptionChar">
    <w:name w:val="footnote description Char"/>
    <w:link w:val="footnotedescription"/>
    <w:locked/>
    <w:rsid w:val="00DC371E"/>
    <w:rPr>
      <w:rFonts w:ascii="Arial" w:eastAsia="Times New Roman" w:hAnsi="Arial" w:cs="Arial"/>
      <w:color w:val="000000"/>
      <w:sz w:val="16"/>
      <w:lang w:eastAsia="es-CO"/>
    </w:rPr>
  </w:style>
  <w:style w:type="character" w:customStyle="1" w:styleId="footnotemark">
    <w:name w:val="footnote mark"/>
    <w:hidden/>
    <w:rsid w:val="00DC371E"/>
    <w:rPr>
      <w:rFonts w:ascii="Times New Roman" w:hAnsi="Times New Roman"/>
      <w:color w:val="000000"/>
      <w:sz w:val="20"/>
      <w:vertAlign w:val="superscript"/>
    </w:rPr>
  </w:style>
  <w:style w:type="table" w:customStyle="1" w:styleId="Tablaconcuadrcula1">
    <w:name w:val="Tabla con cuadrícula1"/>
    <w:rsid w:val="00DC371E"/>
    <w:rPr>
      <w:rFonts w:eastAsiaTheme="minorEastAsia" w:cs="Times New Roman"/>
      <w:lang w:eastAsia="es-CO"/>
    </w:rPr>
    <w:tblPr>
      <w:tblCellMar>
        <w:top w:w="0" w:type="dxa"/>
        <w:left w:w="0" w:type="dxa"/>
        <w:bottom w:w="0" w:type="dxa"/>
        <w:right w:w="0" w:type="dxa"/>
      </w:tblCellMar>
    </w:tblPr>
  </w:style>
  <w:style w:type="character" w:customStyle="1" w:styleId="PrrafodelistaCar">
    <w:name w:val="Párrafo de lista Car"/>
    <w:aliases w:val="titulo 3 Car,Lista1 Car,Bullets Car,Fluvial1 Car,Ha Car,Cuadrícula clara - Énfasis 31 Car,Lista vistosa - Énfasis 11 Car,Normal. Viñetas Car,HOJA Car,Bolita Car,Párrafo de lista4 Car,BOLADEF Car,Párrafo de lista3 Car,BOLA Car"/>
    <w:basedOn w:val="Fuentedeprrafopredeter"/>
    <w:link w:val="Prrafodelista"/>
    <w:uiPriority w:val="34"/>
    <w:locked/>
    <w:rsid w:val="00DC371E"/>
    <w:rPr>
      <w:rFonts w:ascii="Times New Roman" w:eastAsia="MS Mincho" w:hAnsi="Times New Roman" w:cs="Times New Roman"/>
      <w:sz w:val="24"/>
      <w:szCs w:val="24"/>
      <w:lang w:val="es-ES" w:eastAsia="es-ES"/>
    </w:rPr>
  </w:style>
  <w:style w:type="paragraph" w:styleId="Textoindependiente">
    <w:name w:val="Body Text"/>
    <w:basedOn w:val="Normal"/>
    <w:link w:val="TextoindependienteCar"/>
    <w:uiPriority w:val="99"/>
    <w:unhideWhenUsed/>
    <w:rsid w:val="00DC371E"/>
    <w:pPr>
      <w:spacing w:before="200" w:after="120"/>
      <w:jc w:val="both"/>
    </w:pPr>
    <w:rPr>
      <w:rFonts w:ascii="Arial" w:eastAsiaTheme="minorEastAsia" w:hAnsi="Arial" w:cs="Arial"/>
      <w:color w:val="000000"/>
      <w:sz w:val="20"/>
      <w:szCs w:val="20"/>
      <w:lang w:val="es-CO" w:eastAsia="es-CO"/>
    </w:rPr>
  </w:style>
  <w:style w:type="character" w:customStyle="1" w:styleId="TextoindependienteCar">
    <w:name w:val="Texto independiente Car"/>
    <w:basedOn w:val="Fuentedeprrafopredeter"/>
    <w:link w:val="Textoindependiente"/>
    <w:uiPriority w:val="99"/>
    <w:rsid w:val="00DC371E"/>
    <w:rPr>
      <w:rFonts w:ascii="Arial" w:eastAsiaTheme="minorEastAsia" w:hAnsi="Arial" w:cs="Arial"/>
      <w:color w:val="000000"/>
      <w:sz w:val="20"/>
      <w:szCs w:val="20"/>
      <w:lang w:eastAsia="es-CO"/>
    </w:rPr>
  </w:style>
  <w:style w:type="paragraph" w:styleId="Textonotapie">
    <w:name w:val="footnote text"/>
    <w:aliases w:val="texto de nota al pie,Texto nota pie Car Car Car Car Car Car Car Car,Texto nota pie Car Car Car,fn,Footnote Text Char Char Char Char Char Char,Texto nota pie Car Car Car Car Car,Texto nota pie Car Car Car Car Car Car Car,Footnote Text1 Cha"/>
    <w:basedOn w:val="Normal"/>
    <w:link w:val="TextonotapieCar"/>
    <w:uiPriority w:val="99"/>
    <w:unhideWhenUsed/>
    <w:qFormat/>
    <w:rsid w:val="00DC371E"/>
    <w:rPr>
      <w:rFonts w:eastAsiaTheme="minorEastAsia"/>
      <w:sz w:val="20"/>
      <w:szCs w:val="20"/>
      <w:lang w:val="es-CO"/>
    </w:rPr>
  </w:style>
  <w:style w:type="character" w:customStyle="1" w:styleId="TextonotapieCar">
    <w:name w:val="Texto nota pie Car"/>
    <w:aliases w:val="texto de nota al pie Car,Texto nota pie Car Car Car Car Car Car Car Car Car,Texto nota pie Car Car Car Car,fn Car,Footnote Text Char Char Char Char Char Char Car,Texto nota pie Car Car Car Car Car Car,Footnote Text1 Cha Car"/>
    <w:basedOn w:val="Fuentedeprrafopredeter"/>
    <w:link w:val="Textonotapie"/>
    <w:uiPriority w:val="99"/>
    <w:rsid w:val="00DC371E"/>
    <w:rPr>
      <w:rFonts w:ascii="Times New Roman" w:eastAsiaTheme="minorEastAsia" w:hAnsi="Times New Roman" w:cs="Times New Roman"/>
      <w:sz w:val="20"/>
      <w:szCs w:val="20"/>
      <w:lang w:eastAsia="es-ES"/>
    </w:rPr>
  </w:style>
  <w:style w:type="character" w:styleId="Refdenotaalpie">
    <w:name w:val="footnote reference"/>
    <w:aliases w:val="referencia nota al pie,Nota de pie,Texto de nota al pie,Footnote symbol,Footnote,FC,BVI fnr,Ref. de nota al pie2,Ref,de nota al pie,Pie de pagina,Texto nota al pie,Appel note de bas de p,Footnotes refss,Appel note de bas de page,f,Re"/>
    <w:basedOn w:val="Fuentedeprrafopredeter"/>
    <w:uiPriority w:val="99"/>
    <w:unhideWhenUsed/>
    <w:qFormat/>
    <w:rsid w:val="00DC371E"/>
    <w:rPr>
      <w:rFonts w:cs="Times New Roman"/>
      <w:vertAlign w:val="superscript"/>
    </w:rPr>
  </w:style>
  <w:style w:type="character" w:customStyle="1" w:styleId="Mencinsinresolver1">
    <w:name w:val="Mención sin resolver1"/>
    <w:basedOn w:val="Fuentedeprrafopredeter"/>
    <w:uiPriority w:val="99"/>
    <w:semiHidden/>
    <w:unhideWhenUsed/>
    <w:rsid w:val="00DC371E"/>
    <w:rPr>
      <w:rFonts w:cs="Times New Roman"/>
      <w:color w:val="605E5C"/>
      <w:shd w:val="clear" w:color="auto" w:fill="E1DFDD"/>
    </w:rPr>
  </w:style>
  <w:style w:type="table" w:customStyle="1" w:styleId="TableGrid0">
    <w:name w:val="Table Grid0"/>
    <w:basedOn w:val="Tablanormal"/>
    <w:uiPriority w:val="39"/>
    <w:rsid w:val="00DC371E"/>
    <w:rPr>
      <w:rFonts w:eastAsiaTheme="minorEastAsia" w:cs="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DC371E"/>
    <w:rPr>
      <w:rFonts w:cs="Times New Roman"/>
      <w:color w:val="605E5C"/>
      <w:shd w:val="clear" w:color="auto" w:fill="E1DFDD"/>
    </w:rPr>
  </w:style>
  <w:style w:type="character" w:customStyle="1" w:styleId="baj">
    <w:name w:val="b_aj"/>
    <w:basedOn w:val="Fuentedeprrafopredeter"/>
    <w:rsid w:val="00DC371E"/>
    <w:rPr>
      <w:rFonts w:cs="Times New Roman"/>
    </w:rPr>
  </w:style>
  <w:style w:type="character" w:styleId="Hipervnculovisitado">
    <w:name w:val="FollowedHyperlink"/>
    <w:basedOn w:val="Fuentedeprrafopredeter"/>
    <w:uiPriority w:val="99"/>
    <w:semiHidden/>
    <w:unhideWhenUsed/>
    <w:rsid w:val="00DC371E"/>
    <w:rPr>
      <w:rFonts w:cs="Times New Roman"/>
      <w:color w:val="800080" w:themeColor="followedHyperlink"/>
      <w:u w:val="single"/>
    </w:rPr>
  </w:style>
  <w:style w:type="paragraph" w:customStyle="1" w:styleId="msonormal0">
    <w:name w:val="msonormal"/>
    <w:basedOn w:val="Normal"/>
    <w:uiPriority w:val="99"/>
    <w:rsid w:val="00DC371E"/>
    <w:pPr>
      <w:spacing w:before="100" w:beforeAutospacing="1" w:after="119"/>
    </w:pPr>
    <w:rPr>
      <w:rFonts w:eastAsia="Times New Roman"/>
    </w:rPr>
  </w:style>
  <w:style w:type="character" w:customStyle="1" w:styleId="TextonotapieCar1">
    <w:name w:val="Texto nota pie Car1"/>
    <w:aliases w:val="texto de nota al pie Car1,Texto nota pie Car Car Car Car Car Car Car Car Car1,Texto nota pie Car Car Car Car1,fn Car1,Footnote Text Char Char Char Char Char Char Car1,Texto nota pie Car Car Car Car Car Car1,Footnote Text1 Cha Car1"/>
    <w:basedOn w:val="Fuentedeprrafopredeter"/>
    <w:uiPriority w:val="99"/>
    <w:semiHidden/>
    <w:rsid w:val="00DC371E"/>
    <w:rPr>
      <w:rFonts w:ascii="Times New Roman" w:eastAsia="MS Mincho" w:hAnsi="Times New Roman" w:cs="Times New Roman"/>
      <w:sz w:val="20"/>
      <w:szCs w:val="20"/>
      <w:lang w:val="es-ES" w:eastAsia="es-ES"/>
    </w:rPr>
  </w:style>
  <w:style w:type="paragraph" w:customStyle="1" w:styleId="unico">
    <w:name w:val="unico"/>
    <w:basedOn w:val="Normal"/>
    <w:uiPriority w:val="99"/>
    <w:rsid w:val="00DC371E"/>
    <w:pPr>
      <w:spacing w:before="100" w:beforeAutospacing="1" w:after="100" w:afterAutospacing="1"/>
    </w:pPr>
    <w:rPr>
      <w:rFonts w:eastAsia="Times New Roman"/>
      <w:lang w:val="es-CO" w:eastAsia="es-CO"/>
    </w:rPr>
  </w:style>
  <w:style w:type="character" w:customStyle="1" w:styleId="textrun">
    <w:name w:val="textrun"/>
    <w:basedOn w:val="Fuentedeprrafopredeter"/>
    <w:rsid w:val="00DC371E"/>
    <w:rPr>
      <w:rFonts w:cs="Times New Roman"/>
    </w:rPr>
  </w:style>
  <w:style w:type="character" w:customStyle="1" w:styleId="normaltextrun">
    <w:name w:val="normaltextrun"/>
    <w:basedOn w:val="Fuentedeprrafopredeter"/>
    <w:rsid w:val="00DC371E"/>
    <w:rPr>
      <w:rFonts w:cs="Times New Roman"/>
    </w:rPr>
  </w:style>
  <w:style w:type="character" w:customStyle="1" w:styleId="findhit">
    <w:name w:val="findhit"/>
    <w:basedOn w:val="Fuentedeprrafopredeter"/>
    <w:rsid w:val="00DC371E"/>
    <w:rPr>
      <w:rFonts w:cs="Times New Roman"/>
    </w:rPr>
  </w:style>
  <w:style w:type="character" w:customStyle="1" w:styleId="apple-style-span">
    <w:name w:val="apple-style-span"/>
    <w:basedOn w:val="Fuentedeprrafopredeter"/>
    <w:rsid w:val="00DC371E"/>
    <w:rPr>
      <w:rFonts w:cs="Times New Roman"/>
    </w:rPr>
  </w:style>
  <w:style w:type="paragraph" w:styleId="Ttulo">
    <w:name w:val="Title"/>
    <w:basedOn w:val="Normal"/>
    <w:link w:val="TtuloCar"/>
    <w:uiPriority w:val="10"/>
    <w:qFormat/>
    <w:rsid w:val="00DC371E"/>
    <w:pPr>
      <w:jc w:val="center"/>
    </w:pPr>
    <w:rPr>
      <w:rFonts w:ascii="Comic Sans MS" w:eastAsia="Times New Roman" w:hAnsi="Comic Sans MS"/>
      <w:b/>
      <w:sz w:val="28"/>
      <w:szCs w:val="20"/>
      <w:lang w:val="es-MX" w:eastAsia="en-US"/>
    </w:rPr>
  </w:style>
  <w:style w:type="character" w:customStyle="1" w:styleId="TtuloCar">
    <w:name w:val="Título Car"/>
    <w:basedOn w:val="Fuentedeprrafopredeter"/>
    <w:link w:val="Ttulo"/>
    <w:uiPriority w:val="10"/>
    <w:rsid w:val="00DC371E"/>
    <w:rPr>
      <w:rFonts w:ascii="Comic Sans MS" w:eastAsia="Times New Roman" w:hAnsi="Comic Sans MS" w:cs="Times New Roman"/>
      <w:b/>
      <w:sz w:val="28"/>
      <w:szCs w:val="20"/>
      <w:lang w:val="es-MX"/>
    </w:rPr>
  </w:style>
  <w:style w:type="character" w:customStyle="1" w:styleId="Mencinsinresolver20">
    <w:name w:val="Mención sin resolver20"/>
    <w:basedOn w:val="Fuentedeprrafopredeter"/>
    <w:uiPriority w:val="99"/>
    <w:semiHidden/>
    <w:rsid w:val="00DC371E"/>
    <w:rPr>
      <w:rFonts w:ascii="Times New Roman" w:hAnsi="Times New Roman" w:cs="Times New Roman"/>
      <w:color w:val="605E5C"/>
      <w:shd w:val="clear" w:color="auto" w:fill="E1DFDD"/>
    </w:rPr>
  </w:style>
  <w:style w:type="character" w:customStyle="1" w:styleId="Mencinsinresolver200">
    <w:name w:val="Mención sin resolver200"/>
    <w:basedOn w:val="Fuentedeprrafopredeter"/>
    <w:uiPriority w:val="99"/>
    <w:semiHidden/>
    <w:rsid w:val="00DC371E"/>
    <w:rPr>
      <w:rFonts w:ascii="Times New Roman" w:hAnsi="Times New Roman" w:cs="Times New Roman"/>
      <w:color w:val="605E5C"/>
      <w:shd w:val="clear" w:color="auto" w:fill="E1DFDD"/>
    </w:rPr>
  </w:style>
  <w:style w:type="table" w:customStyle="1" w:styleId="Tabladelista4-nfasis11">
    <w:name w:val="Tabla de lista 4 - Énfasis 11"/>
    <w:basedOn w:val="Tablanormal"/>
    <w:uiPriority w:val="49"/>
    <w:rsid w:val="00DC371E"/>
    <w:rPr>
      <w:rFonts w:eastAsia="Times New Roman"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character" w:customStyle="1" w:styleId="SinespaciadoCar">
    <w:name w:val="Sin espaciado Car"/>
    <w:basedOn w:val="Fuentedeprrafopredeter"/>
    <w:link w:val="Sinespaciado"/>
    <w:uiPriority w:val="1"/>
    <w:locked/>
    <w:rsid w:val="00DC371E"/>
  </w:style>
  <w:style w:type="character" w:customStyle="1" w:styleId="iaj">
    <w:name w:val="i_aj"/>
    <w:basedOn w:val="Fuentedeprrafopredeter"/>
    <w:rsid w:val="00DC371E"/>
    <w:rPr>
      <w:rFonts w:cs="Times New Roman"/>
    </w:rPr>
  </w:style>
  <w:style w:type="character" w:customStyle="1" w:styleId="Mencinsinresolver3">
    <w:name w:val="Mención sin resolver3"/>
    <w:basedOn w:val="Fuentedeprrafopredeter"/>
    <w:uiPriority w:val="99"/>
    <w:semiHidden/>
    <w:unhideWhenUsed/>
    <w:rsid w:val="00DC371E"/>
    <w:rPr>
      <w:rFonts w:cs="Times New Roman"/>
      <w:color w:val="605E5C"/>
      <w:shd w:val="clear" w:color="auto" w:fill="E1DFDD"/>
    </w:rPr>
  </w:style>
  <w:style w:type="character" w:customStyle="1" w:styleId="Mencinsinresolver30">
    <w:name w:val="Mención sin resolver3"/>
    <w:basedOn w:val="Fuentedeprrafopredeter"/>
    <w:uiPriority w:val="99"/>
    <w:semiHidden/>
    <w:unhideWhenUsed/>
    <w:rsid w:val="00CC2754"/>
    <w:rPr>
      <w:rFonts w:cs="Times New Roman"/>
      <w:color w:val="605E5C"/>
      <w:shd w:val="clear" w:color="auto" w:fill="E1DFDD"/>
    </w:rPr>
  </w:style>
  <w:style w:type="paragraph" w:styleId="Listaconvietas">
    <w:name w:val="List Bullet"/>
    <w:basedOn w:val="Normal"/>
    <w:uiPriority w:val="99"/>
    <w:unhideWhenUsed/>
    <w:rsid w:val="00E4450B"/>
    <w:pPr>
      <w:numPr>
        <w:numId w:val="34"/>
      </w:numPr>
      <w:contextualSpacing/>
    </w:pPr>
  </w:style>
  <w:style w:type="character" w:customStyle="1" w:styleId="Mencinsinresolver4">
    <w:name w:val="Mención sin resolver4"/>
    <w:basedOn w:val="Fuentedeprrafopredeter"/>
    <w:uiPriority w:val="99"/>
    <w:semiHidden/>
    <w:unhideWhenUsed/>
    <w:rsid w:val="002E19AE"/>
    <w:rPr>
      <w:color w:val="605E5C"/>
      <w:shd w:val="clear" w:color="auto" w:fill="E1DFDD"/>
    </w:rPr>
  </w:style>
  <w:style w:type="character" w:customStyle="1" w:styleId="Mencinsinresolver40">
    <w:name w:val="Mención sin resolver4"/>
    <w:basedOn w:val="Fuentedeprrafopredeter"/>
    <w:uiPriority w:val="99"/>
    <w:semiHidden/>
    <w:unhideWhenUsed/>
    <w:rsid w:val="00D75790"/>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01938056">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portalgestiondoc.minhacienda.red/PortalEmpleado/viewer.jsp?config=jmPa+wMw4pn7DTwBOfkshHnzTH4YA28cqBMSFe/kto+zwwNzijvYwjj12V4uVF/mlWOSG7m8y5fvvoWj0T5dNFea7h6s10MZGZrJ85Zym77OsDrV/nbjV4NFya3GLaW6Wh7BXVYXHj7QfcDBuMKXjUeJMr5F8WBdWzk+WCWSfOUzER6BK548DOAAoH0EaQxF&amp;guid=6a6645fc17b3062c5d97&amp;idrepository=879" TargetMode="External"/><Relationship Id="rId39" Type="http://schemas.openxmlformats.org/officeDocument/2006/relationships/hyperlink" Target="http://portalgestiondoc.minhacienda.red/PortalEmpleado/viewer.jsp?config=iQKKdJStabcGWBcqZSCepgLBI0CDhZOEznswK/1aZoj26lTiqdfAjb4rFk4QGh26meKnuBlBCs7Qv1tifjjyZb3/aKGyfIBoo8//hIzCDhPaJvMbGvbC7xS5xaT2MSBARArvV8QuMrWmJqH4BHo/904j+/UeBnhBq4I1/o6nyjN0X/v+5yQ8A5x4/z16UdkZ&amp;guid=6a6645fc17b30e2c3a2-53ce&amp;idrepository=879" TargetMode="External"/><Relationship Id="rId21" Type="http://schemas.openxmlformats.org/officeDocument/2006/relationships/hyperlink" Target="http://portalgestiondoc.minhacienda.red/PortalEmpleado/viewer.jsp?config=bXJ2C+1UILxiUCvV76uCisvXuTIYkckNUwIw8BT/YLodppJ2yZs6LJoFHiGoKRX5qQwgq7Stq4sKq/MlW8Puj5tu7itezmQm2OTMNTcHtDXFWGgy1N51IXVIcMFVm62tgEiuJST0ko0ZsyuZ2b/lLfLTk3OQlE7Nnmf40yzWiZfnOe7cnO17fahXW69dQFH+&amp;guid=6a6645fc17b301a8a7562ac&amp;idrepository=879" TargetMode="External"/><Relationship Id="rId34" Type="http://schemas.openxmlformats.org/officeDocument/2006/relationships/hyperlink" Target="http://portalgestiondoc.minhacienda.red/PortalEmpleado/viewer.jsp?config=r5DJ1UVk1cW5SiT3RzLbKs27zIRWOB6GdtWP0f4+yQffLDisFlsfg6JwQjvntx6CA8eMrfHX3ZQa/7Rna6resT5viNiRzLpyxB/EXGCLurJj0JdcQkMwR8vQBpPcw0/L+blCkJmDw7sXhJe7HZpKlS8VQuIkHjafjDt5WvXXJrYdFYPrXUZXAXMEspGSycKt&amp;guid=6a6645fc17b30a7dc79365e&amp;idrepository=879" TargetMode="External"/><Relationship Id="rId42" Type="http://schemas.openxmlformats.org/officeDocument/2006/relationships/hyperlink" Target="http://portalgestiondoc.minhacienda.red/PortalEmpleado/viewer.jsp?config=ss9ckLFKuCQ/o6gL62WrlodTu7cQ+0RNMmypSirmjFC5kAhSDDqwxqV2c0yu2fjGdEcgpRjrbXevC9S0ldEppDOCUMGosrO3bC0pGxN4y4PeKQ4igMMQQbHT8nML9HhOe4Q/1U0Fa/XUbijLe5VdPUXt/USJNWMbSy83gJwicHNoDxUhwiiu24ncD4oWzlER&amp;guid=6a6645fc17b30e2c3a2163&amp;idrepository=879" TargetMode="External"/><Relationship Id="rId47" Type="http://schemas.openxmlformats.org/officeDocument/2006/relationships/hyperlink" Target="http://portalgestiondoc.minhacienda.red/PortalEmpleado/viewer.jsp?config=1GjBIT68HYUQMDz991b9kykXAg/dyHt29bQKIQlfz6y13gzo+jJig3Kdi3I/d/9uLOwSS02kZ4h94061dgD9Oo8L7+j8UNC5m5xLJTVZrK7SD2hsXWWQW31N2zWNA8VUOnOYBG9XqkKsHX2ly2nAjadY6D0asyaE0a+L55nhwaIMMIby++vRzW+gncuGT39l&amp;guid=6a6645fc17b30e2c3a2155&amp;idrepository=879" TargetMode="External"/><Relationship Id="rId50" Type="http://schemas.openxmlformats.org/officeDocument/2006/relationships/hyperlink" Target="http://portalgestiondoc.minhacienda.red/PortalEmpleado/viewer.jsp?config=o2hQwUsNqili7dl27IElxDdqDGoz9SUtc46tq3maU1ZVB9KUfRk/yZNfPzc6Fm6KPQdqzmnL3lbSTYFEEMm6R9hwzwRzPGOqoTjjVSha2NAJ3p3aBcjkCLTvXT/s9svdg9gdEtpG6EdWTfDXJdXiOPaMHwqcgcxp8e2cp88JDwM9F21a0FkDnDLXYg6yBvfG&amp;guid=6a6645fc17b30e2c3a214b&amp;idrepository=879"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portalgestiondoc.minhacienda.red/PortalEmpleado/viewer.jsp?config=TejTbVT3fPVHG6xC5ib0fDMGpuy5rNK4jf+sO5JAc1+0Pl22+BipRssOYPFM+MET61u4+9klHMmCpaefsFCicdVv/+AgtSJV/y8uzD07m0HcTmixbQU0QprIYAQOe3QLA5QIoUGXuAq9hPiSD+rj7bV1bKBDGQVMPg359yEZUyY5b36G6vSA1vASKw+6GtDz&amp;guid=6a6645fc17b30a7dc793827&amp;idrepository=879" TargetMode="External"/><Relationship Id="rId11" Type="http://schemas.openxmlformats.org/officeDocument/2006/relationships/image" Target="media/image2.jpeg"/><Relationship Id="rId24" Type="http://schemas.openxmlformats.org/officeDocument/2006/relationships/hyperlink" Target="http://portalgestiondoc.minhacienda.red/PortalEmpleado/viewer.jsp?config=gAnkmgBPFp6jH01VffK5zX24duUz48ulS9XZSiXVTZ+VYQFbXpmPc054muy6ww+iofG8b5maJqfwhuIgZZ7iocUb0e3/NW5w0mp28PnOucgAyOtDtQc/on8Kdz6kxrt7B/ZBQdBjP4mWxYmV3Oh1P2/knyIG7SO7xMTyezG6093GgoX3MCakQcDUn3u1DmdGHmIhp4cbs3DIQWIEFSVAlQ==&amp;guid=664f915717aaa7e6a1b7eb9&amp;idrepository=307" TargetMode="External"/><Relationship Id="rId32" Type="http://schemas.openxmlformats.org/officeDocument/2006/relationships/hyperlink" Target="http://portalgestiondoc.minhacienda.red/PortalEmpleado/viewer.jsp?config=bl9c79mmAIo4QIyASRP55EZtPwZkLz3u8rr0LEueM2rJGgRDj74cUt2qLRVbvYzZlWzbBReFc2jMEe8EtOozmAt5UmlZBjqTkYYmkSS75VaB+BNxLiUF7LByputVo1mxmnK+WMsbBGcZBhbsl47LMFeJ72e3Fhqsoxuj08O0oCawLzdhir7b6IZ08vifiR3N&amp;guid=6a6645fc17b30a7dc793667&amp;idrepository=879" TargetMode="External"/><Relationship Id="rId37" Type="http://schemas.openxmlformats.org/officeDocument/2006/relationships/hyperlink" Target="http://basedoc.superservicios.gov.co/ark-legal/SSPD/viewdoc?channel=/Otros%20Documentos/Constitucion/1991&amp;documentName=cons_p91.html" TargetMode="External"/><Relationship Id="rId40" Type="http://schemas.openxmlformats.org/officeDocument/2006/relationships/hyperlink" Targe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 TargetMode="External"/><Relationship Id="rId45" Type="http://schemas.openxmlformats.org/officeDocument/2006/relationships/hyperlink" Target="http://portalgestiondoc.minhacienda.red/PortalEmpleado/viewer.jsp?config=Z1bIcQHeVA9UY2NsqGhEtyIcSK0ZN70WH2dA3gEDw5JI6bAmZn3SDKmVb63cnKEd2B1jyHY3iTgCGEf2S+ZuwXkSo2g2Wueba9NgiU0l7jvQpF4JGZXZZCYVlPyfHnUenicCPym3sduC+AgVWjKkJzE43X0Yc2fflqTVWW3wHJBJVEGD2fWMc64s8LtEUu3D&amp;guid=6a6645fc17b30e2c3a215b&amp;idrepository=879"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portalgestiondoc.minhacienda.red/PortalEmpleado/viewer.jsp?config=Zi9VUg3O0uxA123v9AcUOFppSBTF1C8eqPJV/tAt4QODBrbwFrdu3Dh+o5gKaUzTxiReTwqeHtHZ0FcviePP/3thUHujxT4F3pap6pq5y/aL/oWVRVESvRahrHMDZkHrfQXI3kuXcwuiOnRzc3mp9Rb6CmznsrPu7RJOEem7ufZa1pzKbQqAXzTTmQ1B4zVg&amp;guid=6a6645fc17b301a8a7522fb&amp;idrepository=8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portalgestiondoc.minhacienda.red/PortalEmpleado/viewer.jsp?config=KJHxY3V5Q5PQJsIAOAQVely+oH+PSBWhYjlqMkdvugXLqcc4KcpeqqG1+jpPIud2iWSNpgXgkyx4xVehjr6smpNuLbPHH6shlQGKxm0l7ehNihdshMQR6YIpfNA1/doPGJkfV0zIKKYejWCGYwdmKoMeRw87KisIlUHwSFLCLhA6YO7q9BPlLLg24fIFkeTK&amp;guid=6a6645fc17b301a8a755764&amp;idrepository=879" TargetMode="External"/><Relationship Id="rId27" Type="http://schemas.openxmlformats.org/officeDocument/2006/relationships/hyperlink" Target="http://portalgestiondoc.minhacienda.red/PortalEmpleado/viewer.jsp?config=pNU/2QGcyC1gAae6pZN/HN1AIhoMpfxhuUyaLL4zCNbWWJxjpzen917X2vyut/2gon42w3LM9QpkmpEUnKhuiwY1+lIGsXt51cxcVVN17X8ggNLTWlvWaI27hTqYtymF0XbYGSzf89UESCRp5a8vojniaj/oXOROiMyaJsVqld49LsD3iRCj0QxmBAMF8OoI&amp;guid=6a6645fc17b301a8a7522fd&amp;idrepository=879" TargetMode="External"/><Relationship Id="rId30" Type="http://schemas.openxmlformats.org/officeDocument/2006/relationships/hyperlink" Target="http://portalgestiondoc.minhacienda.red/PortalEmpleado/viewer.jsp?config=kccqOMAG0QHyL2vmc6PeewprzfyXkOvv4wJhDZYG+Qs7jGBg5S134LWii5/WVjqSZhOYNgyGRyjMIGUDno05pDbrHWJJ/DL0fMeAkr/JVnrZtsZERjV8jPPFWqk7w+WiK3kx5kVOjMiOthuAflv3slIoX2XuN3qwkQ9SsWywvGtLERE6EDDH9RDtFAjm/nxP&amp;guid=6a6645fc17b30a7dc79366f&amp;idrepository=879" TargetMode="External"/><Relationship Id="rId35" Type="http://schemas.openxmlformats.org/officeDocument/2006/relationships/hyperlink" Target="http://portalgestiondoc.minhacienda.red/PortalEmpleado/viewer.jsp?config=cBPfHDxWnENuc5VTOZ0IbyCimA5VeA00PBsIyIcPMjUF4Fa8EWFroDsSOEz+j/YY4FQcQ8VvZFc99LL15uITWyHOp+kq6ZYJZSzcnS3eg38Og++ihlPzy9/t6NwvDIskE+r8aP/gFgFLd5NGsXWi0wLO45tBnPVp2GVtElXaTZSDO9pI9tjppqq33NKFGMSw&amp;guid=6a6645fc17b30a7dc79365a&amp;idrepository=879" TargetMode="External"/><Relationship Id="rId43" Type="http://schemas.openxmlformats.org/officeDocument/2006/relationships/hyperlink" Target="http://portalgestiondoc.minhacienda.red/PortalEmpleado/viewer.jsp?config=XIE28W0X332VxCoSjAfIkTPQuaUsN8FCN88SWf1ccXH1H/AtDRi2HgfuzpmNJ/3i+3pZIjgxE3ioZ5AmoM8B/vTyivdgOf1UAEOBMlftiQG029rTkVp+/MUrLUGByjnmrv6Uuzs2x/84He+7paqNZoumRr+yfZuc31xDBHQKIWAnKhbp+piGiBENOnB5H3HG&amp;guid=6a6645fc17b30e2c3a2161&amp;idrepository=879" TargetMode="External"/><Relationship Id="rId48" Type="http://schemas.openxmlformats.org/officeDocument/2006/relationships/hyperlink" Target="http://portalgestiondoc.minhacienda.red/PortalEmpleado/viewer.jsp?config=hKUe9k89hvLmYAraKYDFtnJk/UhPINyF8lBLbylNKHuxalIPMZvdyDTw8UQ6kYoEKtq3g6kRxPA6gZk5cGUt1mexr0dM62Jcuvf1fakrhRyHYku8eroWQrU78WPDIbQuoMaT1vKXAlxF110YPhTEHb6xXLiruVbOSnHGQil4fZjqip/pE1tejpKbQ+9hcixD&amp;guid=6a6645fc17b30e2c3a2153&amp;idrepository=879"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 TargetMode="External"/><Relationship Id="rId12" Type="http://schemas.openxmlformats.org/officeDocument/2006/relationships/hyperlink" Target="http://poblacion.population.city/colombia/san-andres/" TargetMode="External"/><Relationship Id="rId17" Type="http://schemas.openxmlformats.org/officeDocument/2006/relationships/image" Target="media/image7.png"/><Relationship Id="rId25" Type="http://schemas.openxmlformats.org/officeDocument/2006/relationships/hyperlink" Targe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 TargetMode="External"/><Relationship Id="rId33" Type="http://schemas.openxmlformats.org/officeDocument/2006/relationships/hyperlink" Target="http://portalgestiondoc.minhacienda.red/PortalEmpleado/viewer.jsp?config=h8B7T7V2cpztcgQBuDME1S/e1Cm22/ADKE0vE7zOjMPE8lP4OUoC0xWpG4DZ+KL20VADmezdmcdC4WLvpRV+XfR4Wsps8XxJkvmwc36swePeGy9eBQZTMk4X/IzgOHX+Ve54OIirwnkMXbUzC9IFK6fiFAI5uuobJnENn8oFY7fuF/0VsO2/2Ft8RQqCDB9O&amp;guid=6a6645fc17b30a7dc793663&amp;idrepository=879" TargetMode="External"/><Relationship Id="rId38" Type="http://schemas.openxmlformats.org/officeDocument/2006/relationships/hyperlink" Target="http://basedoc.superservicios.gov.co/ark-legal/SSPD/viewdoc?channel=/Otros%20Documentos/Constitucion/1991&amp;documentName=cons_p91.html" TargetMode="External"/><Relationship Id="rId46" Type="http://schemas.openxmlformats.org/officeDocument/2006/relationships/hyperlink" Target="http://portalgestiondoc.minhacienda.red/PortalEmpleado/viewer.jsp?config=J19HHvlY4ww1OvHAIDpvbg1R3nv3RY9/XFye6KgVIWQ21QjDgP6S73kMsT7fynQh5URw4T71m/99QMYJLyFpOTrLMWXjPqJ1JRr8XeunZGzmyBJCnNWXAZgMfnIcs03x5K3R65JEBDU1iYR6V1bceZYiqj8yncmlZ8VQZGxsj+aiYZzjsNvIWJI1zq8v24uf&amp;guid=6a6645fc17b30e2c3a2157&amp;idrepository=879" TargetMode="External"/><Relationship Id="rId59" Type="http://schemas.openxmlformats.org/officeDocument/2006/relationships/customXml" Target="../customXml/item5.xml"/><Relationship Id="rId20" Type="http://schemas.openxmlformats.org/officeDocument/2006/relationships/hyperlink" Target="http://portalgestiondoc.minhacienda.red/PortalEmpleado/viewer.jsp?config=pNU/2QGcyC1gAae6pZN/HN1AIhoMpfxhuUyaLL4zCNbWWJxjpzen917X2vyut/2gon42w3LM9QpkmpEUnKhuiwY1+lIGsXt51cxcVVN17X8ggNLTWlvWaI27hTqYtymF0XbYGSzf89UESCRp5a8vojniaj/oXOROiMyaJsVqld49LsD3iRCj0QxmBAMF8OoI&amp;guid=6a6645fc17b301a8a7522fd&amp;idrepository=879" TargetMode="External"/><Relationship Id="rId41" Type="http://schemas.openxmlformats.org/officeDocument/2006/relationships/hyperlink" Target="http://portalgestiondoc.minhacienda.red/PortalEmpleado/viewer.jsp?config=rnuhvrCCOYLDNIG6thO+GhTU1xJpArKH7Tl2fEpoJLPW3WAQQmcuNIH4ga5uyH7ektw3OMAN4LQoyJQH4wL+oZIrEiVB2wIROf6kn66U8NNit8PFmaGwl5oQZd9P0IaicyxXZlJArK01JHscdZ6uUoT33X4eR7vDRhez9iFAdIG0uqjqf36UYCEBIk61Y6fL&amp;guid=6a6645fc17b30e2c3a2165&amp;idrepository=879"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portalgestiondoc.minhacienda.red/PortalEmpleado/viewer.jsp?config=Zi9VUg3O0uxA123v9AcUOFppSBTF1C8eqPJV/tAt4QODBrbwFrdu3Dh+o5gKaUzTxiReTwqeHtHZ0FcviePP/3thUHujxT4F3pap6pq5y/aL/oWVRVESvRahrHMDZkHrfQXI3kuXcwuiOnRzc3mp9Rb6CmznsrPu7RJOEem7ufZa1pzKbQqAXzTTmQ1B4zVg&amp;guid=6a6645fc17b301a8a7522fb&amp;idrepository=879" TargetMode="External"/><Relationship Id="rId28" Type="http://schemas.openxmlformats.org/officeDocument/2006/relationships/hyperlink" Target="http://portalgestiondoc.minhacienda.red/PortalEmpleado/viewer.jsp?config=C054j4UF6Zbkebzqrlw0RFIeErrs/tVT9DWCIi1Rar0w+swpbzQLP9YnIe6cDi5N6o3xt22u1StrA/u4/X1F4K0+rlwlHSF5oG4nOG1t9YRXn7q3ua6ps8RzGpd6bsfItzgOq9TPfvzSdAYvgCEsqxg6xxw+gl4XjdtYGz7F0q/KGExmnUy2omoK2cJfUJMy&amp;guid=6a6645fc17b30a7dc79382b&amp;idrepository=879" TargetMode="External"/><Relationship Id="rId36" Type="http://schemas.openxmlformats.org/officeDocument/2006/relationships/hyperlink" Targe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 TargetMode="External"/><Relationship Id="rId49" Type="http://schemas.openxmlformats.org/officeDocument/2006/relationships/hyperlink" Target="http://portalgestiondoc.minhacienda.red/PortalEmpleado/viewer.jsp?config=FBV5BZSXqCHR6RGQU+flc94QHL6abVQj1lKA6JL7EQ4YEdORznkK3XZVJky31Lc9jzV0pKIsw/Y0BCvjaNBs6E9PEa+ovbymYakjXluZBvmzPXyFbRkQiul+cZgi2Wcg46h9nEoq8pzEKrdHuqcsakHJi/2gu8rZLg+WcVz2jLNrxcsKLF/pkVQDIDBz+TF2&amp;guid=6a6645fc17b30e2c3a2151&amp;idrepository=879"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portalgestiondoc.minhacienda.red/PortalEmpleado/viewer.jsp?config=3XIDshyMH1BoSOOJcAcu3L4vjsXUqE9C0oEQ3TMHVc0IGhExwedJAYYBKDH2iI/H5GebjC8Mbyb9jMTKrHP2vAUTbnsDGctQHN6HtQrgZTDIdgMhQCyWFdcHifXnrLdIMM63wEEwjIM1H1aT24/YHE59dky1GA+nZ4FOd7NGxT3ibFKkXCAEmLaQw4E49zzP&amp;guid=6a6645fc17b30a7dc79366b&amp;idrepository=879" TargetMode="External"/><Relationship Id="rId44" Type="http://schemas.openxmlformats.org/officeDocument/2006/relationships/hyperlink" Target="http://portalgestiondoc.minhacienda.red/PortalEmpleado/viewer.jsp?config=YIassEQp6kHGK1zQp2603MyHJ+hKvqcuHyV3vVHJjpXqYK/jq1kH9fLHXS0qGr9gM9VfxhCwQ3WaNuLrDzTrnoBzsKPjtlFTzf4RBw/HJQoYqx4JbJAOV58T7B3NRPeZmc+LBmXreLUAyzX+G/OXvyqysMDWqs42Raekfaa1kTqQ+b8Xhsp7LhIy2FseHeii&amp;guid=6a6645fc17b30e2c3a215d&amp;idrepository=879" TargetMode="External"/><Relationship Id="rId52" Type="http://schemas.openxmlformats.org/officeDocument/2006/relationships/hyperlink" Target="http://portalgestiondoc.minhacienda.red/PortalEmpleado/viewer.jsp?config=NVju4A96dt23+PpHdzFyf0iI2J5PBHM/azx7uL4pmpWsi8mToFJSAq3+Wn5ysaxBboNC0NMCKGJgRt/1pwjJ9fquj4fWyCDoFxQHOvjrsq9WDYKg6P/2THDp0oFxX7hJxQzqBYmrCJ6vPzWm80zjuXJstDcJFlfYJUBKs7eiMAoxvazaHPIKLKKPzTFCGyz+&amp;guid=4ac1e169179b50d4a97-6bca&amp;idrepository=3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wmf"/></Relationships>
</file>

<file path=word/_rels/footer2.xml.rels><?xml version="1.0" encoding="UTF-8" standalone="yes"?>
<Relationships xmlns="http://schemas.openxmlformats.org/package/2006/relationships"><Relationship Id="rId1" Type="http://schemas.openxmlformats.org/officeDocument/2006/relationships/image" Target="media/image10.wmf"/></Relationships>
</file>

<file path=word/_rels/footnotes.xml.rels><?xml version="1.0" encoding="UTF-8" standalone="yes"?>
<Relationships xmlns="http://schemas.openxmlformats.org/package/2006/relationships"><Relationship Id="rId2" Type="http://schemas.openxmlformats.org/officeDocument/2006/relationships/hyperlink" Target="https://www.minvivienda.gov.co/sala-de-prensa/san-andres-providencia-y-santa-catalina-con-el-gobierno-duque-tienen-la-inversion-mas-alta-en-su-historia-en-materia-de-agua-y-saneamiento" TargetMode="External"/><Relationship Id="rId1" Type="http://schemas.openxmlformats.org/officeDocument/2006/relationships/hyperlink" Target="https://www.dane.gov.co/files/faqs/faq_pi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3B63062C-5FB9-49E4-BE8D-AB9AE9017BAE}"/>
</file>

<file path=customXml/itemProps3.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4.xml><?xml version="1.0" encoding="utf-8"?>
<ds:datastoreItem xmlns:ds="http://schemas.openxmlformats.org/officeDocument/2006/customXml" ds:itemID="{E51A51CE-053C-47F4-B517-DF332428D177}">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6B0FFF9C-9677-4442-B70E-0D8C99FF7F1B}"/>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88</Pages>
  <Words>36526</Words>
  <Characters>200897</Characters>
  <Application>Microsoft Office Word</Application>
  <DocSecurity>0</DocSecurity>
  <Lines>1674</Lines>
  <Paragraphs>473</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236950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2015-12-16T15:04:00Z</cp:lastPrinted>
  <dcterms:created xsi:type="dcterms:W3CDTF">2022-06-17T22:04:00Z</dcterms:created>
  <dcterms:modified xsi:type="dcterms:W3CDTF">2022-06-17T22:04:00Z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