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B7F08" w14:textId="77777777" w:rsidR="00EF5D6B" w:rsidRPr="00A76485" w:rsidRDefault="00EF5D6B" w:rsidP="00492D77">
      <w:pPr>
        <w:pStyle w:val="Sinespaciado"/>
        <w:jc w:val="center"/>
        <w:rPr>
          <w:rFonts w:ascii="Arial" w:hAnsi="Arial" w:cs="Arial"/>
          <w:b/>
        </w:rPr>
      </w:pPr>
      <w:r w:rsidRPr="00A76485">
        <w:rPr>
          <w:rFonts w:ascii="Arial" w:hAnsi="Arial" w:cs="Arial"/>
          <w:b/>
        </w:rPr>
        <w:t xml:space="preserve">INFORME DE </w:t>
      </w:r>
      <w:r w:rsidR="000B1E4E" w:rsidRPr="00A76485">
        <w:rPr>
          <w:rFonts w:ascii="Arial" w:hAnsi="Arial" w:cs="Arial"/>
          <w:b/>
        </w:rPr>
        <w:t xml:space="preserve">DIAGNÓSTICO </w:t>
      </w:r>
      <w:r w:rsidR="00BF2F6B" w:rsidRPr="00A76485">
        <w:rPr>
          <w:rFonts w:ascii="Arial" w:hAnsi="Arial" w:cs="Arial"/>
          <w:b/>
        </w:rPr>
        <w:t>INSTITUCIONA</w:t>
      </w:r>
      <w:r w:rsidR="00B07A14" w:rsidRPr="00A76485">
        <w:rPr>
          <w:rFonts w:ascii="Arial" w:hAnsi="Arial" w:cs="Arial"/>
          <w:b/>
        </w:rPr>
        <w:t>L</w:t>
      </w:r>
    </w:p>
    <w:p w14:paraId="43E508B5" w14:textId="77777777" w:rsidR="00EF5D6B" w:rsidRPr="00A76485" w:rsidRDefault="00B53AC8" w:rsidP="00492D77">
      <w:pPr>
        <w:jc w:val="center"/>
        <w:rPr>
          <w:rFonts w:ascii="Arial" w:eastAsiaTheme="minorHAnsi" w:hAnsi="Arial" w:cs="Arial"/>
          <w:b/>
          <w:sz w:val="22"/>
          <w:szCs w:val="22"/>
          <w:lang w:val="es-CO" w:eastAsia="en-US"/>
        </w:rPr>
      </w:pPr>
      <w:r w:rsidRPr="00A76485">
        <w:rPr>
          <w:rFonts w:ascii="Arial" w:eastAsiaTheme="minorHAnsi" w:hAnsi="Arial" w:cs="Arial"/>
          <w:b/>
          <w:sz w:val="22"/>
          <w:szCs w:val="22"/>
          <w:lang w:val="es-CO" w:eastAsia="en-US"/>
        </w:rPr>
        <w:t>Mayo de 2023</w:t>
      </w:r>
    </w:p>
    <w:p w14:paraId="448BE770" w14:textId="77777777" w:rsidR="00A76485" w:rsidRPr="00A76485" w:rsidRDefault="00A76485" w:rsidP="00492D77">
      <w:pPr>
        <w:jc w:val="center"/>
        <w:rPr>
          <w:rFonts w:ascii="Arial" w:eastAsiaTheme="minorHAnsi" w:hAnsi="Arial" w:cs="Arial"/>
          <w:b/>
          <w:sz w:val="22"/>
          <w:szCs w:val="22"/>
          <w:lang w:val="es-CO" w:eastAsia="en-US"/>
        </w:rPr>
      </w:pPr>
    </w:p>
    <w:tbl>
      <w:tblPr>
        <w:tblStyle w:val="Tablaconcuadrcula"/>
        <w:tblW w:w="5000" w:type="pct"/>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2950"/>
        <w:gridCol w:w="5878"/>
      </w:tblGrid>
      <w:tr w:rsidR="00EF5D6B" w:rsidRPr="00A76485" w14:paraId="06AFD363" w14:textId="77777777" w:rsidTr="00EF5D6B">
        <w:tc>
          <w:tcPr>
            <w:tcW w:w="1671" w:type="pct"/>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14:paraId="463A8BCE" w14:textId="77777777" w:rsidR="00EF5D6B" w:rsidRPr="00A76485" w:rsidRDefault="00EF5D6B" w:rsidP="00492D77">
            <w:pPr>
              <w:pStyle w:val="NormalWeb"/>
              <w:spacing w:before="0" w:beforeAutospacing="0" w:after="0"/>
              <w:jc w:val="both"/>
              <w:rPr>
                <w:rFonts w:ascii="Arial" w:hAnsi="Arial" w:cs="Arial"/>
                <w:bCs/>
                <w:i/>
                <w:sz w:val="22"/>
                <w:szCs w:val="22"/>
                <w:lang w:val="es-CO"/>
              </w:rPr>
            </w:pPr>
            <w:r w:rsidRPr="00A76485">
              <w:rPr>
                <w:rFonts w:ascii="Arial" w:hAnsi="Arial" w:cs="Arial"/>
                <w:bCs/>
                <w:i/>
                <w:sz w:val="22"/>
                <w:szCs w:val="22"/>
                <w:lang w:val="es-CO"/>
              </w:rPr>
              <w:t>Número de Expediente</w:t>
            </w:r>
          </w:p>
        </w:tc>
        <w:tc>
          <w:tcPr>
            <w:tcW w:w="3329" w:type="pct"/>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14:paraId="4F1228B0" w14:textId="77777777" w:rsidR="00EF5D6B" w:rsidRPr="00A76485" w:rsidRDefault="009A620E" w:rsidP="00492D77">
            <w:pPr>
              <w:pStyle w:val="NormalWeb"/>
              <w:spacing w:before="0" w:beforeAutospacing="0" w:after="0"/>
              <w:rPr>
                <w:rFonts w:ascii="Arial" w:hAnsi="Arial" w:cs="Arial"/>
                <w:b/>
                <w:bCs/>
                <w:sz w:val="22"/>
                <w:szCs w:val="22"/>
                <w:lang w:val="es-CO"/>
              </w:rPr>
            </w:pPr>
            <w:bookmarkStart w:id="0" w:name="numexpcompartido"/>
            <w:bookmarkEnd w:id="0"/>
            <w:r w:rsidRPr="00A76485">
              <w:rPr>
                <w:rFonts w:ascii="Arial" w:hAnsi="Arial" w:cs="Arial"/>
                <w:b/>
                <w:bCs/>
                <w:sz w:val="22"/>
                <w:szCs w:val="22"/>
                <w:lang w:val="es-CO"/>
              </w:rPr>
              <w:t>2/2023/D028-PREDI</w:t>
            </w:r>
          </w:p>
        </w:tc>
      </w:tr>
      <w:tr w:rsidR="00EF5D6B" w:rsidRPr="00A76485" w14:paraId="59121C23" w14:textId="77777777" w:rsidTr="00EF5D6B">
        <w:tc>
          <w:tcPr>
            <w:tcW w:w="1671" w:type="pct"/>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224D4293" w14:textId="77777777" w:rsidR="00EF5D6B" w:rsidRPr="00A76485" w:rsidRDefault="00EF5D6B" w:rsidP="00492D77">
            <w:pPr>
              <w:pStyle w:val="NormalWeb"/>
              <w:spacing w:before="0" w:beforeAutospacing="0" w:after="0"/>
              <w:jc w:val="both"/>
              <w:rPr>
                <w:rFonts w:ascii="Arial" w:hAnsi="Arial" w:cs="Arial"/>
                <w:bCs/>
                <w:i/>
                <w:sz w:val="22"/>
                <w:szCs w:val="22"/>
                <w:lang w:val="es-CO"/>
              </w:rPr>
            </w:pPr>
            <w:r w:rsidRPr="00A76485">
              <w:rPr>
                <w:rFonts w:ascii="Arial" w:hAnsi="Arial" w:cs="Arial"/>
                <w:bCs/>
                <w:i/>
                <w:sz w:val="22"/>
                <w:szCs w:val="22"/>
                <w:lang w:val="es-CO"/>
              </w:rPr>
              <w:t>Sector</w:t>
            </w:r>
          </w:p>
        </w:tc>
        <w:tc>
          <w:tcPr>
            <w:tcW w:w="3329" w:type="pct"/>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08FFD16E" w14:textId="77777777" w:rsidR="00EF5D6B" w:rsidRPr="00A76485" w:rsidRDefault="009A620E" w:rsidP="00492D77">
            <w:pPr>
              <w:pStyle w:val="NormalWeb"/>
              <w:spacing w:before="0" w:beforeAutospacing="0" w:after="0"/>
              <w:rPr>
                <w:rFonts w:ascii="Arial" w:hAnsi="Arial" w:cs="Arial"/>
                <w:b/>
                <w:bCs/>
                <w:sz w:val="22"/>
                <w:szCs w:val="22"/>
                <w:lang w:val="es-CO"/>
              </w:rPr>
            </w:pPr>
            <w:bookmarkStart w:id="1" w:name="cmbsector"/>
            <w:bookmarkEnd w:id="1"/>
            <w:r w:rsidRPr="00A76485">
              <w:rPr>
                <w:rFonts w:ascii="Arial" w:hAnsi="Arial" w:cs="Arial"/>
                <w:b/>
                <w:bCs/>
                <w:sz w:val="22"/>
                <w:szCs w:val="22"/>
                <w:lang w:val="es-CO"/>
              </w:rPr>
              <w:t>Salud</w:t>
            </w:r>
          </w:p>
        </w:tc>
      </w:tr>
      <w:tr w:rsidR="00EF5D6B" w:rsidRPr="00A76485" w14:paraId="5CDE08FA" w14:textId="77777777" w:rsidTr="00EF5D6B">
        <w:tc>
          <w:tcPr>
            <w:tcW w:w="1671" w:type="pct"/>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26CE46E1" w14:textId="77777777" w:rsidR="00EF5D6B" w:rsidRPr="00A76485" w:rsidRDefault="00EF5D6B" w:rsidP="00492D77">
            <w:pPr>
              <w:pStyle w:val="NormalWeb"/>
              <w:spacing w:before="0" w:beforeAutospacing="0" w:after="0"/>
              <w:jc w:val="both"/>
              <w:rPr>
                <w:rFonts w:ascii="Arial" w:hAnsi="Arial" w:cs="Arial"/>
                <w:bCs/>
                <w:i/>
                <w:sz w:val="22"/>
                <w:szCs w:val="22"/>
                <w:lang w:val="es-CO"/>
              </w:rPr>
            </w:pPr>
            <w:r w:rsidRPr="00A76485">
              <w:rPr>
                <w:rFonts w:ascii="Arial" w:hAnsi="Arial" w:cs="Arial"/>
                <w:bCs/>
                <w:i/>
                <w:sz w:val="22"/>
                <w:szCs w:val="22"/>
                <w:lang w:val="es-CO"/>
              </w:rPr>
              <w:t>Tipo de Entidad</w:t>
            </w:r>
          </w:p>
        </w:tc>
        <w:tc>
          <w:tcPr>
            <w:tcW w:w="3329" w:type="pct"/>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5281E93F" w14:textId="77777777" w:rsidR="00EF5D6B" w:rsidRPr="00A76485" w:rsidRDefault="00B53AC8" w:rsidP="00492D77">
            <w:pPr>
              <w:rPr>
                <w:rFonts w:ascii="Arial" w:hAnsi="Arial" w:cs="Arial"/>
                <w:b/>
                <w:sz w:val="22"/>
                <w:szCs w:val="22"/>
                <w:lang w:val="es-CO"/>
              </w:rPr>
            </w:pPr>
            <w:bookmarkStart w:id="2" w:name="cmbtipoentidad"/>
            <w:bookmarkEnd w:id="2"/>
            <w:r w:rsidRPr="00A76485">
              <w:rPr>
                <w:rFonts w:ascii="Arial" w:hAnsi="Arial" w:cs="Arial"/>
                <w:b/>
                <w:sz w:val="22"/>
                <w:szCs w:val="22"/>
                <w:lang w:val="es-CO"/>
              </w:rPr>
              <w:t>Distrito</w:t>
            </w:r>
          </w:p>
        </w:tc>
      </w:tr>
      <w:tr w:rsidR="00EF5D6B" w:rsidRPr="00A76485" w14:paraId="2F8FCE91" w14:textId="77777777" w:rsidTr="00EF5D6B">
        <w:tc>
          <w:tcPr>
            <w:tcW w:w="1671" w:type="pct"/>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14:paraId="4D0B38A9" w14:textId="77777777" w:rsidR="00EF5D6B" w:rsidRPr="00A76485" w:rsidRDefault="00EF5D6B" w:rsidP="00492D77">
            <w:pPr>
              <w:pStyle w:val="NormalWeb"/>
              <w:spacing w:before="0" w:beforeAutospacing="0" w:after="0"/>
              <w:jc w:val="both"/>
              <w:rPr>
                <w:rFonts w:ascii="Arial" w:hAnsi="Arial" w:cs="Arial"/>
                <w:bCs/>
                <w:i/>
                <w:sz w:val="22"/>
                <w:szCs w:val="22"/>
                <w:lang w:val="es-CO"/>
              </w:rPr>
            </w:pPr>
            <w:r w:rsidRPr="00A76485">
              <w:rPr>
                <w:rFonts w:ascii="Arial" w:hAnsi="Arial" w:cs="Arial"/>
                <w:bCs/>
                <w:i/>
                <w:sz w:val="22"/>
                <w:szCs w:val="22"/>
                <w:lang w:val="es-CO"/>
              </w:rPr>
              <w:t>Entidad</w:t>
            </w:r>
          </w:p>
        </w:tc>
        <w:tc>
          <w:tcPr>
            <w:tcW w:w="3329" w:type="pct"/>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14:paraId="42897D11" w14:textId="77777777" w:rsidR="00EF5D6B" w:rsidRPr="00A76485" w:rsidRDefault="00A76485" w:rsidP="00492D77">
            <w:pPr>
              <w:tabs>
                <w:tab w:val="left" w:pos="1305"/>
              </w:tabs>
              <w:rPr>
                <w:rFonts w:ascii="Arial" w:hAnsi="Arial" w:cs="Arial"/>
                <w:b/>
                <w:sz w:val="22"/>
                <w:szCs w:val="22"/>
                <w:lang w:val="es-CO"/>
              </w:rPr>
            </w:pPr>
            <w:bookmarkStart w:id="3" w:name="cmbresguardo"/>
            <w:bookmarkStart w:id="4" w:name="deptoymuni"/>
            <w:bookmarkEnd w:id="3"/>
            <w:bookmarkEnd w:id="4"/>
            <w:r w:rsidRPr="00A76485">
              <w:rPr>
                <w:rFonts w:ascii="Arial" w:hAnsi="Arial" w:cs="Arial"/>
                <w:b/>
                <w:sz w:val="22"/>
                <w:szCs w:val="22"/>
                <w:lang w:val="es-CO"/>
              </w:rPr>
              <w:t xml:space="preserve">Santa Marta </w:t>
            </w:r>
            <w:r>
              <w:rPr>
                <w:rFonts w:ascii="Arial" w:hAnsi="Arial" w:cs="Arial"/>
                <w:b/>
                <w:sz w:val="22"/>
                <w:szCs w:val="22"/>
                <w:lang w:val="es-CO"/>
              </w:rPr>
              <w:t xml:space="preserve">- </w:t>
            </w:r>
            <w:r w:rsidRPr="00A76485">
              <w:rPr>
                <w:rFonts w:ascii="Arial" w:hAnsi="Arial" w:cs="Arial"/>
                <w:b/>
                <w:sz w:val="22"/>
                <w:szCs w:val="22"/>
                <w:lang w:val="es-CO"/>
              </w:rPr>
              <w:t>Magdalena -</w:t>
            </w:r>
          </w:p>
        </w:tc>
      </w:tr>
    </w:tbl>
    <w:p w14:paraId="3AF45EE7" w14:textId="77777777" w:rsidR="00EF5D6B" w:rsidRPr="00A76485" w:rsidRDefault="00EF5D6B" w:rsidP="00492D77">
      <w:pPr>
        <w:jc w:val="both"/>
        <w:rPr>
          <w:rFonts w:ascii="Arial" w:hAnsi="Arial" w:cs="Arial"/>
          <w:sz w:val="22"/>
          <w:szCs w:val="22"/>
          <w:lang w:val="es-CO"/>
        </w:rPr>
      </w:pPr>
    </w:p>
    <w:p w14:paraId="4BE98FAC" w14:textId="77777777" w:rsidR="00B53AC8" w:rsidRPr="00A76485" w:rsidRDefault="00B53AC8" w:rsidP="00492D77">
      <w:pPr>
        <w:pStyle w:val="Ttulo1"/>
        <w:numPr>
          <w:ilvl w:val="0"/>
          <w:numId w:val="1"/>
        </w:numPr>
        <w:spacing w:before="0"/>
        <w:jc w:val="both"/>
        <w:rPr>
          <w:rFonts w:ascii="Arial" w:hAnsi="Arial" w:cs="Arial"/>
          <w:b/>
          <w:color w:val="auto"/>
          <w:sz w:val="22"/>
          <w:szCs w:val="22"/>
          <w:lang w:val="es-CO"/>
        </w:rPr>
      </w:pPr>
      <w:r w:rsidRPr="00A76485">
        <w:rPr>
          <w:rFonts w:ascii="Arial" w:hAnsi="Arial" w:cs="Arial"/>
          <w:b/>
          <w:color w:val="auto"/>
          <w:sz w:val="22"/>
          <w:szCs w:val="22"/>
          <w:lang w:val="es-CO"/>
        </w:rPr>
        <w:t xml:space="preserve">ANTECEDENTES </w:t>
      </w:r>
    </w:p>
    <w:p w14:paraId="5A398576" w14:textId="77777777" w:rsidR="00B53AC8" w:rsidRPr="00A76485" w:rsidRDefault="00B53AC8" w:rsidP="00492D77">
      <w:pPr>
        <w:jc w:val="both"/>
        <w:rPr>
          <w:rFonts w:ascii="Arial" w:hAnsi="Arial" w:cs="Arial"/>
          <w:sz w:val="22"/>
          <w:szCs w:val="22"/>
          <w:lang w:val="es-CO"/>
        </w:rPr>
      </w:pPr>
    </w:p>
    <w:p w14:paraId="6BC1E0BF" w14:textId="77777777" w:rsidR="00B53AC8" w:rsidRPr="00A76485" w:rsidRDefault="00B53AC8" w:rsidP="00492D77">
      <w:pPr>
        <w:contextualSpacing/>
        <w:jc w:val="both"/>
        <w:rPr>
          <w:rFonts w:ascii="Arial" w:eastAsia="Calibri" w:hAnsi="Arial" w:cs="Arial"/>
          <w:sz w:val="21"/>
          <w:szCs w:val="21"/>
          <w:lang w:eastAsia="en-US"/>
        </w:rPr>
      </w:pPr>
      <w:r w:rsidRPr="00A76485">
        <w:rPr>
          <w:rFonts w:ascii="Arial" w:eastAsia="Calibri" w:hAnsi="Arial" w:cs="Arial"/>
          <w:sz w:val="21"/>
          <w:szCs w:val="21"/>
          <w:lang w:eastAsia="en-US"/>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14:paraId="07D7FA46" w14:textId="77777777" w:rsidR="00B53AC8" w:rsidRPr="00A76485" w:rsidRDefault="00B53AC8" w:rsidP="00492D77">
      <w:pPr>
        <w:contextualSpacing/>
        <w:jc w:val="both"/>
        <w:rPr>
          <w:rFonts w:ascii="Arial" w:eastAsia="Calibri" w:hAnsi="Arial" w:cs="Arial"/>
          <w:sz w:val="21"/>
          <w:szCs w:val="21"/>
          <w:highlight w:val="yellow"/>
          <w:lang w:eastAsia="en-US"/>
        </w:rPr>
      </w:pPr>
    </w:p>
    <w:p w14:paraId="03A8FEB7" w14:textId="77777777" w:rsidR="00B53AC8" w:rsidRPr="00A76485" w:rsidRDefault="00B53AC8" w:rsidP="00492D77">
      <w:pPr>
        <w:contextualSpacing/>
        <w:jc w:val="both"/>
        <w:rPr>
          <w:rFonts w:ascii="Arial" w:eastAsia="Calibri" w:hAnsi="Arial" w:cs="Arial"/>
          <w:sz w:val="21"/>
          <w:szCs w:val="21"/>
          <w:lang w:eastAsia="en-US"/>
        </w:rPr>
      </w:pPr>
      <w:r w:rsidRPr="00A76485">
        <w:rPr>
          <w:rFonts w:ascii="Arial" w:eastAsia="Calibri" w:hAnsi="Arial" w:cs="Arial"/>
          <w:sz w:val="21"/>
          <w:szCs w:val="21"/>
          <w:lang w:eastAsia="en-US"/>
        </w:rPr>
        <w:t xml:space="preserve">En ese sentido, en aplicación de la Estrategia en la vigencia 2022 se recibió del Ministerio de Salud y Protección Social un informe de monitoreo de la vigencia 2021, indicando para el Distrito de Santa Marta un alto riesgo en el Sector Salud respecto al componente de Salud Pública y riesgo medio en el componente de </w:t>
      </w:r>
      <w:r w:rsidR="007517D6" w:rsidRPr="00A76485">
        <w:rPr>
          <w:rFonts w:ascii="Arial" w:eastAsia="Calibri" w:hAnsi="Arial" w:cs="Arial"/>
          <w:sz w:val="21"/>
          <w:szCs w:val="21"/>
          <w:lang w:eastAsia="en-US"/>
        </w:rPr>
        <w:t>Ejecución y Auditoria del Sector Salud</w:t>
      </w:r>
      <w:r w:rsidRPr="00A76485">
        <w:rPr>
          <w:rFonts w:ascii="Arial" w:eastAsia="Calibri" w:hAnsi="Arial" w:cs="Arial"/>
          <w:sz w:val="21"/>
          <w:szCs w:val="21"/>
          <w:lang w:eastAsia="en-US"/>
        </w:rPr>
        <w:t>. Con relación al componente de Salud Pública, el alto riesgo se fundamenta en los bajos resultados en la ejecución de recursos SGP-SP para la vigencia 2021.</w:t>
      </w:r>
    </w:p>
    <w:p w14:paraId="05405733" w14:textId="77777777" w:rsidR="00B53AC8" w:rsidRPr="00A76485" w:rsidRDefault="00B53AC8" w:rsidP="00492D77">
      <w:pPr>
        <w:contextualSpacing/>
        <w:jc w:val="both"/>
        <w:rPr>
          <w:rFonts w:ascii="Arial" w:eastAsia="Calibri" w:hAnsi="Arial" w:cs="Arial"/>
          <w:sz w:val="21"/>
          <w:szCs w:val="21"/>
          <w:lang w:eastAsia="en-US"/>
        </w:rPr>
      </w:pPr>
    </w:p>
    <w:p w14:paraId="105DF328" w14:textId="77777777" w:rsidR="003D3D8F" w:rsidRDefault="00B53AC8" w:rsidP="00492D77">
      <w:pPr>
        <w:contextualSpacing/>
        <w:jc w:val="both"/>
        <w:rPr>
          <w:rFonts w:ascii="Arial" w:eastAsia="Calibri" w:hAnsi="Arial" w:cs="Arial"/>
          <w:sz w:val="21"/>
          <w:szCs w:val="21"/>
          <w:lang w:eastAsia="en-US"/>
        </w:rPr>
      </w:pPr>
      <w:r w:rsidRPr="00A76485">
        <w:rPr>
          <w:rFonts w:ascii="Arial" w:eastAsia="Calibri" w:hAnsi="Arial" w:cs="Arial"/>
          <w:sz w:val="21"/>
          <w:szCs w:val="21"/>
          <w:lang w:eastAsia="en-US"/>
        </w:rPr>
        <w:t xml:space="preserve">En consecuencia, conforme a lo definido en el Acto Legislativo 04 de 2007 y el mencionado Decreto 028 de 2008, cuya reglamentación se encuentra compilada en el Decreto 1068 de 2015, siendo el Ministerio de Hacienda y Crédito Público el responsable de llevar a cabo la coordinación de la Estrategia de Monitoreo, Seguimiento y Control Integral al gasto ejecutado por las entidades territoriales con recursos del Sistema General de Participaciones, la Dirección General de Apoyo Fiscal solicitó información a la Entidad Territorial mediante oficio con radicado No. 2-2023-013314 del 17 de marzo de 2023, </w:t>
      </w:r>
      <w:r w:rsidR="007517D6" w:rsidRPr="00A76485">
        <w:rPr>
          <w:rFonts w:ascii="Arial" w:eastAsia="Calibri" w:hAnsi="Arial" w:cs="Arial"/>
          <w:sz w:val="21"/>
          <w:szCs w:val="21"/>
          <w:lang w:eastAsia="en-US"/>
        </w:rPr>
        <w:t>y efectuó una visita</w:t>
      </w:r>
      <w:r w:rsidR="000A738C" w:rsidRPr="00A76485">
        <w:rPr>
          <w:rFonts w:ascii="Arial" w:eastAsia="Calibri" w:hAnsi="Arial" w:cs="Arial"/>
          <w:sz w:val="21"/>
          <w:szCs w:val="21"/>
          <w:lang w:eastAsia="en-US"/>
        </w:rPr>
        <w:t xml:space="preserve"> entre los días 15 al 17 de mayo de 2023</w:t>
      </w:r>
      <w:r w:rsidR="007517D6" w:rsidRPr="00A76485">
        <w:rPr>
          <w:rFonts w:ascii="Arial" w:eastAsia="Calibri" w:hAnsi="Arial" w:cs="Arial"/>
          <w:sz w:val="21"/>
          <w:szCs w:val="21"/>
          <w:lang w:eastAsia="en-US"/>
        </w:rPr>
        <w:t xml:space="preserve"> de reconocimiento institucional </w:t>
      </w:r>
      <w:r w:rsidRPr="00A76485">
        <w:rPr>
          <w:rFonts w:ascii="Arial" w:eastAsia="Calibri" w:hAnsi="Arial" w:cs="Arial"/>
          <w:sz w:val="21"/>
          <w:szCs w:val="21"/>
          <w:lang w:eastAsia="en-US"/>
        </w:rPr>
        <w:t>con el fin de establecer si existen posibles situaciones riesgo en la prestación del servicio</w:t>
      </w:r>
      <w:r w:rsidR="0047507E">
        <w:rPr>
          <w:rFonts w:ascii="Arial" w:eastAsia="Calibri" w:hAnsi="Arial" w:cs="Arial"/>
          <w:sz w:val="21"/>
          <w:szCs w:val="21"/>
          <w:lang w:eastAsia="en-US"/>
        </w:rPr>
        <w:t>.</w:t>
      </w:r>
      <w:r w:rsidRPr="00A76485">
        <w:rPr>
          <w:rFonts w:ascii="Arial" w:eastAsia="Calibri" w:hAnsi="Arial" w:cs="Arial"/>
          <w:sz w:val="21"/>
          <w:szCs w:val="21"/>
          <w:lang w:eastAsia="en-US"/>
        </w:rPr>
        <w:t xml:space="preserve"> </w:t>
      </w:r>
    </w:p>
    <w:p w14:paraId="7F45FEC6" w14:textId="77777777" w:rsidR="00B53AC8" w:rsidRPr="00A76485" w:rsidRDefault="00B53AC8" w:rsidP="00492D77">
      <w:pPr>
        <w:contextualSpacing/>
        <w:jc w:val="both"/>
        <w:rPr>
          <w:rFonts w:ascii="Arial" w:eastAsia="Calibri" w:hAnsi="Arial" w:cs="Arial"/>
          <w:sz w:val="21"/>
          <w:szCs w:val="21"/>
          <w:highlight w:val="yellow"/>
          <w:lang w:eastAsia="en-US"/>
        </w:rPr>
      </w:pPr>
    </w:p>
    <w:p w14:paraId="3B4BE971" w14:textId="77777777" w:rsidR="00B53AC8" w:rsidRPr="00A76485" w:rsidRDefault="00B53AC8" w:rsidP="00492D77">
      <w:pPr>
        <w:contextualSpacing/>
        <w:jc w:val="both"/>
        <w:rPr>
          <w:rFonts w:ascii="Arial" w:eastAsia="Calibri" w:hAnsi="Arial" w:cs="Arial"/>
          <w:sz w:val="21"/>
          <w:szCs w:val="21"/>
          <w:lang w:eastAsia="en-US"/>
        </w:rPr>
      </w:pPr>
      <w:r w:rsidRPr="00A76485">
        <w:rPr>
          <w:rFonts w:ascii="Arial" w:eastAsia="Calibri" w:hAnsi="Arial" w:cs="Arial"/>
          <w:sz w:val="21"/>
          <w:szCs w:val="21"/>
          <w:lang w:eastAsia="en-US"/>
        </w:rPr>
        <w:t xml:space="preserve">Finalmente, es preciso indicar que para la elaboración del presente informe se dispuso de información institucional aportada por las autoridades </w:t>
      </w:r>
      <w:r w:rsidR="0047507E">
        <w:rPr>
          <w:rFonts w:ascii="Arial" w:eastAsia="Calibri" w:hAnsi="Arial" w:cs="Arial"/>
          <w:sz w:val="21"/>
          <w:szCs w:val="21"/>
          <w:lang w:eastAsia="en-US"/>
        </w:rPr>
        <w:t>distritales</w:t>
      </w:r>
      <w:r w:rsidRPr="00A76485">
        <w:rPr>
          <w:rFonts w:ascii="Arial" w:eastAsia="Calibri" w:hAnsi="Arial" w:cs="Arial"/>
          <w:sz w:val="21"/>
          <w:szCs w:val="21"/>
          <w:lang w:eastAsia="en-US"/>
        </w:rPr>
        <w:t xml:space="preserve"> y sectoriales, así como fuentes de información consistentes en documentos o publicaciones de carácter oficial, disposiciones normativas y publicaciones particulares, cada una de las cuales es citada cuando ello es requerido.</w:t>
      </w:r>
    </w:p>
    <w:p w14:paraId="6A476319" w14:textId="77777777" w:rsidR="00B53AC8" w:rsidRPr="00A76485" w:rsidRDefault="00B53AC8" w:rsidP="00492D77">
      <w:pPr>
        <w:rPr>
          <w:rFonts w:ascii="Arial" w:eastAsia="Calibri" w:hAnsi="Arial" w:cs="Arial"/>
          <w:sz w:val="21"/>
          <w:szCs w:val="21"/>
          <w:lang w:eastAsia="en-US"/>
        </w:rPr>
      </w:pPr>
      <w:r w:rsidRPr="00A76485">
        <w:rPr>
          <w:rFonts w:ascii="Arial" w:eastAsia="Calibri" w:hAnsi="Arial" w:cs="Arial"/>
          <w:sz w:val="21"/>
          <w:szCs w:val="21"/>
          <w:lang w:eastAsia="en-US"/>
        </w:rPr>
        <w:br w:type="page"/>
      </w:r>
    </w:p>
    <w:p w14:paraId="4FB1A81F" w14:textId="77777777" w:rsidR="00B53AC8" w:rsidRPr="00A76485" w:rsidRDefault="00B53AC8" w:rsidP="00492D77">
      <w:pPr>
        <w:pStyle w:val="Ttulo1"/>
        <w:numPr>
          <w:ilvl w:val="0"/>
          <w:numId w:val="1"/>
        </w:numPr>
        <w:spacing w:before="0"/>
        <w:jc w:val="both"/>
        <w:rPr>
          <w:rFonts w:ascii="Arial" w:hAnsi="Arial" w:cs="Arial"/>
          <w:b/>
          <w:color w:val="auto"/>
          <w:sz w:val="22"/>
          <w:szCs w:val="22"/>
          <w:lang w:val="es-CO"/>
        </w:rPr>
      </w:pPr>
      <w:r w:rsidRPr="00A76485">
        <w:rPr>
          <w:rFonts w:ascii="Arial" w:hAnsi="Arial" w:cs="Arial"/>
          <w:b/>
          <w:color w:val="auto"/>
          <w:sz w:val="22"/>
          <w:szCs w:val="22"/>
          <w:lang w:val="es-CO"/>
        </w:rPr>
        <w:lastRenderedPageBreak/>
        <w:t xml:space="preserve">CARACTERIZACIÓN </w:t>
      </w:r>
    </w:p>
    <w:p w14:paraId="6D8B98A2" w14:textId="77777777" w:rsidR="00B53AC8" w:rsidRPr="00A76485" w:rsidRDefault="00B53AC8" w:rsidP="00492D77">
      <w:pPr>
        <w:rPr>
          <w:rFonts w:ascii="Arial" w:hAnsi="Arial" w:cs="Arial"/>
          <w:sz w:val="22"/>
          <w:szCs w:val="22"/>
          <w:lang w:val="es-CO"/>
        </w:rPr>
      </w:pPr>
    </w:p>
    <w:p w14:paraId="1F6B63DB" w14:textId="77777777" w:rsidR="004D3FB8" w:rsidRDefault="00B53AC8" w:rsidP="00492D77">
      <w:pPr>
        <w:pStyle w:val="Prrafodelista"/>
        <w:numPr>
          <w:ilvl w:val="0"/>
          <w:numId w:val="2"/>
        </w:numPr>
        <w:rPr>
          <w:rFonts w:ascii="Arial" w:hAnsi="Arial" w:cs="Arial"/>
          <w:sz w:val="22"/>
          <w:szCs w:val="22"/>
          <w:lang w:val="es-CO"/>
        </w:rPr>
      </w:pPr>
      <w:r w:rsidRPr="00A76485">
        <w:rPr>
          <w:rFonts w:ascii="Arial" w:hAnsi="Arial" w:cs="Arial"/>
          <w:sz w:val="22"/>
          <w:szCs w:val="22"/>
          <w:lang w:val="es-CO"/>
        </w:rPr>
        <w:t>Infografía.</w:t>
      </w:r>
    </w:p>
    <w:p w14:paraId="75E29CB3" w14:textId="77777777" w:rsidR="003E07FC" w:rsidRPr="00A76485" w:rsidRDefault="002F08CD" w:rsidP="00472B0F">
      <w:pPr>
        <w:pStyle w:val="Prrafodelista"/>
        <w:ind w:left="0"/>
        <w:jc w:val="center"/>
        <w:rPr>
          <w:rFonts w:ascii="Arial" w:hAnsi="Arial" w:cs="Arial"/>
          <w:sz w:val="22"/>
          <w:szCs w:val="22"/>
          <w:lang w:val="es-CO"/>
        </w:rPr>
      </w:pPr>
      <w:r w:rsidRPr="002F08CD">
        <w:rPr>
          <w:noProof/>
          <w:lang w:val="es-CO" w:eastAsia="es-CO"/>
        </w:rPr>
        <w:drawing>
          <wp:inline distT="0" distB="0" distL="0" distR="0" wp14:anchorId="78A2E54C" wp14:editId="1C438574">
            <wp:extent cx="5166183" cy="688642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23031" cy="6962203"/>
                    </a:xfrm>
                    <a:prstGeom prst="rect">
                      <a:avLst/>
                    </a:prstGeom>
                  </pic:spPr>
                </pic:pic>
              </a:graphicData>
            </a:graphic>
          </wp:inline>
        </w:drawing>
      </w:r>
    </w:p>
    <w:p w14:paraId="11A27E8F" w14:textId="77777777" w:rsidR="003D3D8F" w:rsidRDefault="003D3D8F" w:rsidP="00492D77">
      <w:pPr>
        <w:pStyle w:val="Prrafodelista"/>
        <w:ind w:left="0"/>
        <w:rPr>
          <w:rFonts w:ascii="Arial" w:hAnsi="Arial" w:cs="Arial"/>
          <w:sz w:val="22"/>
          <w:szCs w:val="22"/>
          <w:lang w:val="es-CO"/>
        </w:rPr>
      </w:pPr>
    </w:p>
    <w:p w14:paraId="21DDED6C" w14:textId="77777777" w:rsidR="00B53AC8" w:rsidRPr="00A76485" w:rsidRDefault="00B53AC8" w:rsidP="00492D77">
      <w:pPr>
        <w:pStyle w:val="Prrafodelista"/>
        <w:ind w:left="0"/>
        <w:rPr>
          <w:rFonts w:ascii="Arial" w:hAnsi="Arial" w:cs="Arial"/>
          <w:sz w:val="22"/>
          <w:szCs w:val="22"/>
          <w:lang w:val="es-CO"/>
        </w:rPr>
      </w:pPr>
    </w:p>
    <w:p w14:paraId="59EA07EC" w14:textId="77777777" w:rsidR="00B53AC8" w:rsidRPr="00A76485" w:rsidRDefault="00B53AC8" w:rsidP="00492D77">
      <w:pPr>
        <w:pStyle w:val="Prrafodelista"/>
        <w:numPr>
          <w:ilvl w:val="0"/>
          <w:numId w:val="2"/>
        </w:numPr>
        <w:rPr>
          <w:rFonts w:ascii="Arial" w:hAnsi="Arial" w:cs="Arial"/>
          <w:sz w:val="22"/>
          <w:szCs w:val="22"/>
          <w:lang w:val="es-CO"/>
        </w:rPr>
      </w:pPr>
      <w:r w:rsidRPr="00A76485">
        <w:rPr>
          <w:rFonts w:ascii="Arial" w:hAnsi="Arial" w:cs="Arial"/>
          <w:sz w:val="22"/>
          <w:szCs w:val="22"/>
          <w:lang w:val="es-CO"/>
        </w:rPr>
        <w:lastRenderedPageBreak/>
        <w:t xml:space="preserve">Componentes sectoriales </w:t>
      </w:r>
    </w:p>
    <w:p w14:paraId="023ED1B7" w14:textId="77777777" w:rsidR="00B53AC8" w:rsidRPr="00A76485" w:rsidRDefault="00B53AC8" w:rsidP="00492D77">
      <w:pPr>
        <w:rPr>
          <w:rFonts w:ascii="Arial" w:hAnsi="Arial" w:cs="Arial"/>
          <w:sz w:val="22"/>
          <w:szCs w:val="22"/>
          <w:lang w:val="es-CO"/>
        </w:rPr>
      </w:pPr>
    </w:p>
    <w:p w14:paraId="3EFFF8F3" w14:textId="77777777" w:rsidR="00B53AC8" w:rsidRPr="00A76485" w:rsidRDefault="00B53AC8" w:rsidP="00492D77">
      <w:pPr>
        <w:pStyle w:val="Prrafodelista"/>
        <w:numPr>
          <w:ilvl w:val="0"/>
          <w:numId w:val="4"/>
        </w:numPr>
        <w:jc w:val="both"/>
        <w:rPr>
          <w:rFonts w:ascii="Arial" w:eastAsia="Calibri" w:hAnsi="Arial" w:cs="Arial"/>
          <w:b/>
          <w:sz w:val="21"/>
          <w:szCs w:val="21"/>
          <w:lang w:eastAsia="en-US"/>
        </w:rPr>
      </w:pPr>
      <w:r w:rsidRPr="00A76485">
        <w:rPr>
          <w:rFonts w:ascii="Arial" w:eastAsia="Calibri" w:hAnsi="Arial" w:cs="Arial"/>
          <w:b/>
          <w:sz w:val="21"/>
          <w:szCs w:val="21"/>
          <w:lang w:eastAsia="en-US"/>
        </w:rPr>
        <w:t>Contexto Regional.</w:t>
      </w:r>
    </w:p>
    <w:p w14:paraId="7CFE6734" w14:textId="77777777" w:rsidR="00B53AC8" w:rsidRPr="00A76485" w:rsidRDefault="00B53AC8" w:rsidP="00492D77">
      <w:pPr>
        <w:ind w:left="360"/>
        <w:jc w:val="both"/>
        <w:rPr>
          <w:rFonts w:ascii="Arial" w:eastAsia="Calibri" w:hAnsi="Arial" w:cs="Arial"/>
          <w:b/>
          <w:sz w:val="21"/>
          <w:szCs w:val="21"/>
          <w:lang w:eastAsia="en-US"/>
        </w:rPr>
      </w:pPr>
    </w:p>
    <w:p w14:paraId="46CA406F" w14:textId="77777777" w:rsidR="00B53AC8" w:rsidRDefault="00B53AC8" w:rsidP="00492D77">
      <w:pPr>
        <w:jc w:val="both"/>
        <w:rPr>
          <w:rFonts w:ascii="Arial" w:hAnsi="Arial" w:cs="Arial"/>
          <w:sz w:val="21"/>
          <w:szCs w:val="21"/>
        </w:rPr>
      </w:pPr>
      <w:r w:rsidRPr="00A76485">
        <w:rPr>
          <w:rFonts w:ascii="Arial" w:hAnsi="Arial" w:cs="Arial"/>
          <w:sz w:val="21"/>
          <w:szCs w:val="21"/>
        </w:rPr>
        <w:t>Santa Marta es la capital del</w:t>
      </w:r>
      <w:r w:rsidR="003A3DD0">
        <w:rPr>
          <w:rFonts w:ascii="Arial" w:hAnsi="Arial" w:cs="Arial"/>
          <w:sz w:val="21"/>
          <w:szCs w:val="21"/>
        </w:rPr>
        <w:t xml:space="preserve"> </w:t>
      </w:r>
      <w:hyperlink r:id="rId11" w:tooltip="Departamentos de Colombia" w:history="1">
        <w:r w:rsidR="003A3DD0">
          <w:rPr>
            <w:rFonts w:ascii="Arial" w:hAnsi="Arial" w:cs="Arial"/>
          </w:rPr>
          <w:t>D</w:t>
        </w:r>
        <w:r w:rsidRPr="00A76485">
          <w:rPr>
            <w:rFonts w:ascii="Arial" w:hAnsi="Arial" w:cs="Arial"/>
          </w:rPr>
          <w:t>epartamento</w:t>
        </w:r>
      </w:hyperlink>
      <w:r w:rsidRPr="00A76485">
        <w:rPr>
          <w:rFonts w:ascii="Arial" w:hAnsi="Arial" w:cs="Arial"/>
          <w:sz w:val="21"/>
          <w:szCs w:val="21"/>
        </w:rPr>
        <w:t xml:space="preserve"> de Magdalena, se encuentra a orillas de la bahía del mismo nombre sobre el mar Caribe, en las estribaciones de la Sierra Nevada de Santa Marta, limita al norte y occidente con el Mar Caribe, al sur con los </w:t>
      </w:r>
      <w:r w:rsidR="003A3DD0">
        <w:rPr>
          <w:rFonts w:ascii="Arial" w:hAnsi="Arial" w:cs="Arial"/>
          <w:sz w:val="21"/>
          <w:szCs w:val="21"/>
        </w:rPr>
        <w:t>M</w:t>
      </w:r>
      <w:r w:rsidRPr="00A76485">
        <w:rPr>
          <w:rFonts w:ascii="Arial" w:hAnsi="Arial" w:cs="Arial"/>
          <w:sz w:val="21"/>
          <w:szCs w:val="21"/>
        </w:rPr>
        <w:t xml:space="preserve">unicipios de Ciénaga y Aracataca y por el oriente los </w:t>
      </w:r>
      <w:r w:rsidR="003A3DD0">
        <w:rPr>
          <w:rFonts w:ascii="Arial" w:hAnsi="Arial" w:cs="Arial"/>
          <w:sz w:val="21"/>
          <w:szCs w:val="21"/>
        </w:rPr>
        <w:t>D</w:t>
      </w:r>
      <w:r w:rsidRPr="00A76485">
        <w:rPr>
          <w:rFonts w:ascii="Arial" w:hAnsi="Arial" w:cs="Arial"/>
          <w:sz w:val="21"/>
          <w:szCs w:val="21"/>
        </w:rPr>
        <w:t>epartamentos de la Guajira y el Cesar, tiene una extensión de 2.381 Km2.  posee uno de los puertos más importantes del país. El puerto marítimo y puerto Zúñiga de Santa Marta movilizan el segundo volumen de carbón a nivel nacional.</w:t>
      </w:r>
    </w:p>
    <w:p w14:paraId="5816B69E" w14:textId="77777777" w:rsidR="00620A77" w:rsidRPr="00A76485" w:rsidRDefault="00620A77" w:rsidP="00492D77">
      <w:pPr>
        <w:jc w:val="both"/>
        <w:rPr>
          <w:rFonts w:ascii="Arial" w:hAnsi="Arial" w:cs="Arial"/>
          <w:sz w:val="21"/>
          <w:szCs w:val="21"/>
        </w:rPr>
      </w:pPr>
    </w:p>
    <w:p w14:paraId="7A68B27F" w14:textId="77777777" w:rsidR="00B53AC8" w:rsidRPr="00A76485" w:rsidRDefault="00B53AC8" w:rsidP="00492D77">
      <w:pPr>
        <w:pStyle w:val="NormalWeb"/>
        <w:shd w:val="clear" w:color="auto" w:fill="FFFFFF"/>
        <w:spacing w:before="0" w:beforeAutospacing="0" w:after="0"/>
        <w:jc w:val="both"/>
        <w:rPr>
          <w:rFonts w:ascii="Arial" w:eastAsia="MS Mincho" w:hAnsi="Arial" w:cs="Arial"/>
          <w:sz w:val="21"/>
          <w:szCs w:val="21"/>
        </w:rPr>
      </w:pPr>
      <w:r w:rsidRPr="00A76485">
        <w:rPr>
          <w:rFonts w:ascii="Arial" w:eastAsia="MS Mincho" w:hAnsi="Arial" w:cs="Arial"/>
          <w:sz w:val="21"/>
          <w:szCs w:val="21"/>
        </w:rPr>
        <w:t>Tiene una división administrativa de tres localidades que abarcan casi todo el casco urbano y también algunas zonas rurales.</w:t>
      </w:r>
    </w:p>
    <w:p w14:paraId="1D94AFF2" w14:textId="77777777" w:rsidR="00620A77" w:rsidRDefault="00620A77" w:rsidP="00492D77">
      <w:pPr>
        <w:pStyle w:val="NormalWeb"/>
        <w:shd w:val="clear" w:color="auto" w:fill="FFFFFF"/>
        <w:spacing w:before="0" w:beforeAutospacing="0" w:after="0"/>
        <w:jc w:val="both"/>
        <w:rPr>
          <w:rFonts w:ascii="Arial" w:eastAsia="MS Mincho" w:hAnsi="Arial" w:cs="Arial"/>
          <w:sz w:val="21"/>
          <w:szCs w:val="21"/>
        </w:rPr>
      </w:pPr>
    </w:p>
    <w:p w14:paraId="6C2E897D" w14:textId="77777777" w:rsidR="00B53AC8" w:rsidRPr="00A76485" w:rsidRDefault="00B53AC8" w:rsidP="00492D77">
      <w:pPr>
        <w:pStyle w:val="NormalWeb"/>
        <w:shd w:val="clear" w:color="auto" w:fill="FFFFFF"/>
        <w:spacing w:before="0" w:beforeAutospacing="0" w:after="0"/>
        <w:jc w:val="both"/>
        <w:rPr>
          <w:rFonts w:ascii="Arial" w:eastAsia="MS Mincho" w:hAnsi="Arial" w:cs="Arial"/>
          <w:sz w:val="21"/>
          <w:szCs w:val="21"/>
        </w:rPr>
      </w:pPr>
      <w:r w:rsidRPr="00A76485">
        <w:rPr>
          <w:rFonts w:ascii="Arial" w:eastAsia="MS Mincho" w:hAnsi="Arial" w:cs="Arial"/>
          <w:sz w:val="21"/>
          <w:szCs w:val="21"/>
        </w:rPr>
        <w:t xml:space="preserve">Cada localidad se divide en comunas y estas a su vez en barrios y urbanizaciones. En las afueras de la ciudad existen corregimientos o pequeños poblados, que se consideran como área rural. La estructura administrativa de las localidades de Santa </w:t>
      </w:r>
      <w:proofErr w:type="gramStart"/>
      <w:r w:rsidRPr="00A76485">
        <w:rPr>
          <w:rFonts w:ascii="Arial" w:eastAsia="MS Mincho" w:hAnsi="Arial" w:cs="Arial"/>
          <w:sz w:val="21"/>
          <w:szCs w:val="21"/>
        </w:rPr>
        <w:t>Marta,</w:t>
      </w:r>
      <w:proofErr w:type="gramEnd"/>
      <w:r w:rsidRPr="00A76485">
        <w:rPr>
          <w:rFonts w:ascii="Arial" w:eastAsia="MS Mincho" w:hAnsi="Arial" w:cs="Arial"/>
          <w:sz w:val="21"/>
          <w:szCs w:val="21"/>
        </w:rPr>
        <w:t xml:space="preserve"> depende de la Alcaldía Distrital, seguido por la Secretaría de Gobierno y la Oficina de Participación Comunitaria.</w:t>
      </w:r>
    </w:p>
    <w:p w14:paraId="505D718D" w14:textId="77777777" w:rsidR="00620A77" w:rsidRDefault="00620A77" w:rsidP="00492D77">
      <w:pPr>
        <w:pStyle w:val="NormalWeb"/>
        <w:shd w:val="clear" w:color="auto" w:fill="FFFFFF"/>
        <w:spacing w:before="0" w:beforeAutospacing="0" w:after="0"/>
        <w:jc w:val="both"/>
        <w:rPr>
          <w:rFonts w:ascii="Arial" w:eastAsia="MS Mincho" w:hAnsi="Arial" w:cs="Arial"/>
          <w:sz w:val="21"/>
          <w:szCs w:val="21"/>
        </w:rPr>
      </w:pPr>
    </w:p>
    <w:p w14:paraId="2BDA12DA" w14:textId="77777777" w:rsidR="00B53AC8" w:rsidRPr="00A76485" w:rsidRDefault="00B53AC8" w:rsidP="00492D77">
      <w:pPr>
        <w:pStyle w:val="NormalWeb"/>
        <w:shd w:val="clear" w:color="auto" w:fill="FFFFFF"/>
        <w:spacing w:before="0" w:beforeAutospacing="0" w:after="0"/>
        <w:jc w:val="both"/>
        <w:rPr>
          <w:rFonts w:ascii="Arial" w:eastAsia="MS Mincho" w:hAnsi="Arial" w:cs="Arial"/>
          <w:sz w:val="21"/>
          <w:szCs w:val="21"/>
        </w:rPr>
      </w:pPr>
      <w:r w:rsidRPr="00A76485">
        <w:rPr>
          <w:rFonts w:ascii="Arial" w:eastAsia="MS Mincho" w:hAnsi="Arial" w:cs="Arial"/>
          <w:sz w:val="21"/>
          <w:szCs w:val="21"/>
        </w:rPr>
        <w:t>La temperatura media es de 27ºC, y su temperatura mínima promedio de 23 °C y máxima promedio de 32 °C. En el casco urbano predomina un </w:t>
      </w:r>
      <w:hyperlink r:id="rId12" w:tooltip="Clima semiárido cálido" w:history="1">
        <w:r w:rsidRPr="00A76485">
          <w:rPr>
            <w:rFonts w:ascii="Arial" w:eastAsia="MS Mincho" w:hAnsi="Arial" w:cs="Arial"/>
            <w:sz w:val="21"/>
            <w:szCs w:val="21"/>
          </w:rPr>
          <w:t>clima semiárido cálido</w:t>
        </w:r>
      </w:hyperlink>
      <w:r w:rsidRPr="00A76485">
        <w:rPr>
          <w:rFonts w:ascii="Arial" w:eastAsia="MS Mincho" w:hAnsi="Arial" w:cs="Arial"/>
          <w:sz w:val="21"/>
          <w:szCs w:val="21"/>
        </w:rPr>
        <w:t> tropical </w:t>
      </w:r>
      <w:proofErr w:type="spellStart"/>
      <w:r w:rsidRPr="00A76485">
        <w:rPr>
          <w:rFonts w:ascii="Arial" w:eastAsia="MS Mincho" w:hAnsi="Arial" w:cs="Arial"/>
          <w:sz w:val="21"/>
          <w:szCs w:val="21"/>
        </w:rPr>
        <w:t>BShx</w:t>
      </w:r>
      <w:proofErr w:type="spellEnd"/>
      <w:r w:rsidRPr="00A76485">
        <w:rPr>
          <w:rFonts w:ascii="Arial" w:eastAsia="MS Mincho" w:hAnsi="Arial" w:cs="Arial"/>
          <w:sz w:val="21"/>
          <w:szCs w:val="21"/>
        </w:rPr>
        <w:t> en la </w:t>
      </w:r>
      <w:hyperlink r:id="rId13" w:tooltip="Clasificación climática de Köppen" w:history="1">
        <w:r w:rsidRPr="00A76485">
          <w:rPr>
            <w:rFonts w:ascii="Arial" w:eastAsia="MS Mincho" w:hAnsi="Arial" w:cs="Arial"/>
            <w:sz w:val="21"/>
            <w:szCs w:val="21"/>
          </w:rPr>
          <w:t>clasificación climática de Köppen</w:t>
        </w:r>
      </w:hyperlink>
      <w:r w:rsidRPr="00A76485">
        <w:rPr>
          <w:rFonts w:ascii="Arial" w:eastAsia="MS Mincho" w:hAnsi="Arial" w:cs="Arial"/>
          <w:sz w:val="21"/>
          <w:szCs w:val="21"/>
        </w:rPr>
        <w:t>, y por la diferencia en la topografía de los demás territorios del municipio se dan todos los </w:t>
      </w:r>
      <w:hyperlink r:id="rId14" w:tooltip="Pisos térmicos" w:history="1">
        <w:r w:rsidRPr="00A76485">
          <w:rPr>
            <w:rFonts w:ascii="Arial" w:eastAsia="MS Mincho" w:hAnsi="Arial" w:cs="Arial"/>
            <w:sz w:val="21"/>
            <w:szCs w:val="21"/>
          </w:rPr>
          <w:t>pisos térmicos</w:t>
        </w:r>
      </w:hyperlink>
      <w:r w:rsidRPr="00A76485">
        <w:rPr>
          <w:rFonts w:ascii="Arial" w:eastAsia="MS Mincho" w:hAnsi="Arial" w:cs="Arial"/>
          <w:sz w:val="21"/>
          <w:szCs w:val="21"/>
        </w:rPr>
        <w:t>, y varios tipos de vegetación, como húmeda tropical, seca y de montaña a solo unos pocos kilómetros una de otra en la zona que comprende este macizo montañoso, dando como resultado la ciudad con mayor biodiversidad del mundo.</w:t>
      </w:r>
    </w:p>
    <w:p w14:paraId="68120CDC" w14:textId="77777777" w:rsidR="00620A77" w:rsidRDefault="00620A77" w:rsidP="00492D77">
      <w:pPr>
        <w:pStyle w:val="NormalWeb"/>
        <w:shd w:val="clear" w:color="auto" w:fill="FFFFFF"/>
        <w:spacing w:before="0" w:beforeAutospacing="0" w:after="0"/>
        <w:jc w:val="both"/>
        <w:rPr>
          <w:rFonts w:ascii="Arial" w:hAnsi="Arial" w:cs="Arial"/>
          <w:color w:val="202122"/>
          <w:sz w:val="21"/>
          <w:szCs w:val="21"/>
          <w:shd w:val="clear" w:color="auto" w:fill="FFFFFF"/>
        </w:rPr>
      </w:pPr>
    </w:p>
    <w:p w14:paraId="178441B2" w14:textId="77777777" w:rsidR="00B53AC8" w:rsidRPr="00A76485" w:rsidRDefault="00B53AC8" w:rsidP="00492D77">
      <w:pPr>
        <w:pStyle w:val="NormalWeb"/>
        <w:shd w:val="clear" w:color="auto" w:fill="FFFFFF"/>
        <w:spacing w:before="0" w:beforeAutospacing="0" w:after="0"/>
        <w:jc w:val="both"/>
        <w:rPr>
          <w:rFonts w:ascii="Arial" w:hAnsi="Arial" w:cs="Arial"/>
          <w:color w:val="202122"/>
          <w:sz w:val="21"/>
          <w:szCs w:val="21"/>
          <w:shd w:val="clear" w:color="auto" w:fill="FFFFFF"/>
        </w:rPr>
      </w:pPr>
      <w:r w:rsidRPr="00A76485">
        <w:rPr>
          <w:rFonts w:ascii="Arial" w:hAnsi="Arial" w:cs="Arial"/>
          <w:color w:val="202122"/>
          <w:sz w:val="21"/>
          <w:szCs w:val="21"/>
          <w:shd w:val="clear" w:color="auto" w:fill="FFFFFF"/>
        </w:rPr>
        <w:t>La economía de Santa Marta se basa en el turismo, el comercio, la actividad portuaria, la pesca y la agricultura, en ese mismo orden. ​ El Distrito mantiene una producción agrícola de 16</w:t>
      </w:r>
      <w:r w:rsidR="00C17977">
        <w:rPr>
          <w:rFonts w:ascii="Arial" w:hAnsi="Arial" w:cs="Arial"/>
          <w:color w:val="202122"/>
          <w:sz w:val="21"/>
          <w:szCs w:val="21"/>
          <w:shd w:val="clear" w:color="auto" w:fill="FFFFFF"/>
        </w:rPr>
        <w:t>.</w:t>
      </w:r>
      <w:r w:rsidRPr="00A76485">
        <w:rPr>
          <w:rFonts w:ascii="Arial" w:hAnsi="Arial" w:cs="Arial"/>
          <w:color w:val="202122"/>
          <w:sz w:val="21"/>
          <w:szCs w:val="21"/>
          <w:shd w:val="clear" w:color="auto" w:fill="FFFFFF"/>
        </w:rPr>
        <w:t>053 toneladas cultivadas en un área de 44 051 hectáreas. Los principales productos agrícolas son: </w:t>
      </w:r>
      <w:hyperlink r:id="rId15" w:tooltip="Musa × paradisiaca" w:history="1">
        <w:r w:rsidRPr="00A76485">
          <w:rPr>
            <w:rFonts w:ascii="Arial" w:hAnsi="Arial" w:cs="Arial"/>
            <w:color w:val="202122"/>
            <w:sz w:val="21"/>
            <w:szCs w:val="21"/>
          </w:rPr>
          <w:t>banano</w:t>
        </w:r>
      </w:hyperlink>
      <w:r w:rsidRPr="00A76485">
        <w:rPr>
          <w:rFonts w:ascii="Arial" w:hAnsi="Arial" w:cs="Arial"/>
          <w:color w:val="202122"/>
          <w:sz w:val="21"/>
          <w:szCs w:val="21"/>
          <w:shd w:val="clear" w:color="auto" w:fill="FFFFFF"/>
        </w:rPr>
        <w:t>, </w:t>
      </w:r>
      <w:hyperlink r:id="rId16" w:tooltip="Café" w:history="1">
        <w:r w:rsidRPr="00A76485">
          <w:rPr>
            <w:rFonts w:ascii="Arial" w:hAnsi="Arial" w:cs="Arial"/>
            <w:color w:val="202122"/>
            <w:sz w:val="21"/>
            <w:szCs w:val="21"/>
          </w:rPr>
          <w:t>café</w:t>
        </w:r>
      </w:hyperlink>
      <w:r w:rsidRPr="00A76485">
        <w:rPr>
          <w:rFonts w:ascii="Arial" w:hAnsi="Arial" w:cs="Arial"/>
          <w:color w:val="202122"/>
          <w:sz w:val="21"/>
          <w:szCs w:val="21"/>
          <w:shd w:val="clear" w:color="auto" w:fill="FFFFFF"/>
        </w:rPr>
        <w:t>, </w:t>
      </w:r>
      <w:hyperlink r:id="rId17" w:tooltip="Theobroma cacao" w:history="1">
        <w:r w:rsidRPr="00A76485">
          <w:rPr>
            <w:rFonts w:ascii="Arial" w:hAnsi="Arial" w:cs="Arial"/>
            <w:color w:val="202122"/>
            <w:sz w:val="21"/>
            <w:szCs w:val="21"/>
          </w:rPr>
          <w:t>cacao</w:t>
        </w:r>
      </w:hyperlink>
      <w:r w:rsidRPr="00A76485">
        <w:rPr>
          <w:rFonts w:ascii="Arial" w:hAnsi="Arial" w:cs="Arial"/>
          <w:color w:val="202122"/>
          <w:sz w:val="21"/>
          <w:szCs w:val="21"/>
          <w:shd w:val="clear" w:color="auto" w:fill="FFFFFF"/>
        </w:rPr>
        <w:t>, </w:t>
      </w:r>
      <w:hyperlink r:id="rId18" w:tooltip="Árbol frutal" w:history="1">
        <w:r w:rsidRPr="00A76485">
          <w:rPr>
            <w:rFonts w:ascii="Arial" w:hAnsi="Arial" w:cs="Arial"/>
            <w:color w:val="202122"/>
            <w:sz w:val="21"/>
            <w:szCs w:val="21"/>
          </w:rPr>
          <w:t>frutales</w:t>
        </w:r>
      </w:hyperlink>
      <w:r w:rsidRPr="00A76485">
        <w:rPr>
          <w:rFonts w:ascii="Arial" w:hAnsi="Arial" w:cs="Arial"/>
          <w:color w:val="202122"/>
          <w:sz w:val="21"/>
          <w:szCs w:val="21"/>
          <w:shd w:val="clear" w:color="auto" w:fill="FFFFFF"/>
        </w:rPr>
        <w:t> y </w:t>
      </w:r>
      <w:hyperlink r:id="rId19" w:tooltip="Manihot esculenta" w:history="1">
        <w:r w:rsidRPr="00A76485">
          <w:rPr>
            <w:rFonts w:ascii="Arial" w:hAnsi="Arial" w:cs="Arial"/>
            <w:color w:val="202122"/>
            <w:sz w:val="21"/>
            <w:szCs w:val="21"/>
          </w:rPr>
          <w:t>yuca</w:t>
        </w:r>
      </w:hyperlink>
      <w:r w:rsidR="0036039E">
        <w:rPr>
          <w:rStyle w:val="Refdenotaalpie"/>
          <w:rFonts w:ascii="Arial" w:hAnsi="Arial" w:cs="Arial"/>
          <w:color w:val="202122"/>
          <w:sz w:val="21"/>
          <w:szCs w:val="21"/>
        </w:rPr>
        <w:footnoteReference w:id="1"/>
      </w:r>
      <w:r w:rsidRPr="00A76485">
        <w:rPr>
          <w:rFonts w:ascii="Arial" w:hAnsi="Arial" w:cs="Arial"/>
          <w:color w:val="202122"/>
          <w:sz w:val="21"/>
          <w:szCs w:val="21"/>
          <w:shd w:val="clear" w:color="auto" w:fill="FFFFFF"/>
        </w:rPr>
        <w:t>.</w:t>
      </w:r>
    </w:p>
    <w:p w14:paraId="47D9011C" w14:textId="77777777" w:rsidR="00620A77" w:rsidRDefault="00620A77" w:rsidP="00492D77">
      <w:pPr>
        <w:tabs>
          <w:tab w:val="left" w:pos="5653"/>
        </w:tabs>
        <w:contextualSpacing/>
        <w:jc w:val="both"/>
        <w:rPr>
          <w:rFonts w:ascii="Arial" w:hAnsi="Arial" w:cs="Arial"/>
          <w:color w:val="202122"/>
          <w:sz w:val="21"/>
          <w:szCs w:val="21"/>
          <w:shd w:val="clear" w:color="auto" w:fill="FFFFFF"/>
        </w:rPr>
      </w:pPr>
    </w:p>
    <w:p w14:paraId="6B0C78E5" w14:textId="77777777" w:rsidR="00B53AC8" w:rsidRPr="00A76485" w:rsidRDefault="00B53AC8" w:rsidP="00492D77">
      <w:pPr>
        <w:tabs>
          <w:tab w:val="left" w:pos="5653"/>
        </w:tabs>
        <w:contextualSpacing/>
        <w:jc w:val="both"/>
        <w:rPr>
          <w:rFonts w:ascii="Arial" w:hAnsi="Arial" w:cs="Arial"/>
          <w:color w:val="202122"/>
          <w:sz w:val="21"/>
          <w:szCs w:val="21"/>
          <w:shd w:val="clear" w:color="auto" w:fill="FFFFFF"/>
        </w:rPr>
      </w:pPr>
      <w:r w:rsidRPr="00A76485">
        <w:rPr>
          <w:rFonts w:ascii="Arial" w:hAnsi="Arial" w:cs="Arial"/>
          <w:color w:val="202122"/>
          <w:sz w:val="21"/>
          <w:szCs w:val="21"/>
          <w:shd w:val="clear" w:color="auto" w:fill="FFFFFF"/>
        </w:rPr>
        <w:t xml:space="preserve">La alcaldesa es la Dra. Virna </w:t>
      </w:r>
      <w:proofErr w:type="spellStart"/>
      <w:r w:rsidRPr="00A76485">
        <w:rPr>
          <w:rFonts w:ascii="Arial" w:hAnsi="Arial" w:cs="Arial"/>
          <w:color w:val="202122"/>
          <w:sz w:val="21"/>
          <w:szCs w:val="21"/>
          <w:shd w:val="clear" w:color="auto" w:fill="FFFFFF"/>
        </w:rPr>
        <w:t>Lizi</w:t>
      </w:r>
      <w:proofErr w:type="spellEnd"/>
      <w:r w:rsidRPr="00A76485">
        <w:rPr>
          <w:rFonts w:ascii="Arial" w:hAnsi="Arial" w:cs="Arial"/>
          <w:color w:val="202122"/>
          <w:sz w:val="21"/>
          <w:szCs w:val="21"/>
          <w:shd w:val="clear" w:color="auto" w:fill="FFFFFF"/>
        </w:rPr>
        <w:t xml:space="preserve"> Johnson Salcedo</w:t>
      </w:r>
      <w:r w:rsidRPr="00A76485">
        <w:rPr>
          <w:rFonts w:ascii="Arial" w:hAnsi="Arial" w:cs="Arial"/>
          <w:sz w:val="21"/>
          <w:szCs w:val="21"/>
        </w:rPr>
        <w:t xml:space="preserve"> y su </w:t>
      </w:r>
      <w:r w:rsidR="003A3DD0">
        <w:rPr>
          <w:rFonts w:ascii="Arial" w:hAnsi="Arial" w:cs="Arial"/>
          <w:sz w:val="21"/>
          <w:szCs w:val="21"/>
        </w:rPr>
        <w:t>P</w:t>
      </w:r>
      <w:r w:rsidRPr="00A76485">
        <w:rPr>
          <w:rFonts w:ascii="Arial" w:hAnsi="Arial" w:cs="Arial"/>
          <w:sz w:val="21"/>
          <w:szCs w:val="21"/>
        </w:rPr>
        <w:t xml:space="preserve">lan de </w:t>
      </w:r>
      <w:r w:rsidR="003A3DD0">
        <w:rPr>
          <w:rFonts w:ascii="Arial" w:hAnsi="Arial" w:cs="Arial"/>
          <w:sz w:val="21"/>
          <w:szCs w:val="21"/>
        </w:rPr>
        <w:t>D</w:t>
      </w:r>
      <w:r w:rsidRPr="00A76485">
        <w:rPr>
          <w:rFonts w:ascii="Arial" w:hAnsi="Arial" w:cs="Arial"/>
          <w:sz w:val="21"/>
          <w:szCs w:val="21"/>
        </w:rPr>
        <w:t xml:space="preserve">esarrollo se denomina </w:t>
      </w:r>
      <w:r w:rsidRPr="00A76485">
        <w:rPr>
          <w:rFonts w:ascii="Arial" w:hAnsi="Arial" w:cs="Arial"/>
          <w:color w:val="202122"/>
          <w:sz w:val="21"/>
          <w:szCs w:val="21"/>
          <w:shd w:val="clear" w:color="auto" w:fill="FFFFFF"/>
        </w:rPr>
        <w:t>“</w:t>
      </w:r>
      <w:r w:rsidRPr="003A3DD0">
        <w:rPr>
          <w:rFonts w:ascii="Arial" w:hAnsi="Arial" w:cs="Arial"/>
          <w:i/>
          <w:iCs/>
          <w:color w:val="202122"/>
          <w:sz w:val="21"/>
          <w:szCs w:val="21"/>
          <w:shd w:val="clear" w:color="auto" w:fill="FFFFFF"/>
        </w:rPr>
        <w:t>Santa Marta Corazón del Cambio</w:t>
      </w:r>
      <w:r w:rsidR="003A3DD0">
        <w:rPr>
          <w:rFonts w:ascii="Arial" w:hAnsi="Arial" w:cs="Arial"/>
          <w:color w:val="202122"/>
          <w:sz w:val="21"/>
          <w:szCs w:val="21"/>
          <w:shd w:val="clear" w:color="auto" w:fill="FFFFFF"/>
        </w:rPr>
        <w:t>”.</w:t>
      </w:r>
    </w:p>
    <w:p w14:paraId="5886CE58" w14:textId="77777777" w:rsidR="00B53AC8" w:rsidRPr="00A76485" w:rsidRDefault="00B53AC8" w:rsidP="00492D77">
      <w:pPr>
        <w:tabs>
          <w:tab w:val="left" w:pos="5653"/>
        </w:tabs>
        <w:contextualSpacing/>
        <w:jc w:val="both"/>
        <w:rPr>
          <w:rFonts w:ascii="Arial" w:hAnsi="Arial" w:cs="Arial"/>
          <w:color w:val="202122"/>
          <w:sz w:val="21"/>
          <w:szCs w:val="21"/>
          <w:shd w:val="clear" w:color="auto" w:fill="FFFFFF"/>
        </w:rPr>
      </w:pPr>
    </w:p>
    <w:p w14:paraId="46A6E833" w14:textId="77777777" w:rsidR="00B53AC8" w:rsidRPr="00A76485" w:rsidRDefault="00B53AC8" w:rsidP="00492D77">
      <w:pPr>
        <w:tabs>
          <w:tab w:val="left" w:pos="5653"/>
        </w:tabs>
        <w:contextualSpacing/>
        <w:jc w:val="center"/>
        <w:rPr>
          <w:rFonts w:ascii="Arial" w:hAnsi="Arial" w:cs="Arial"/>
          <w:color w:val="202122"/>
          <w:sz w:val="16"/>
          <w:szCs w:val="16"/>
          <w:shd w:val="clear" w:color="auto" w:fill="FFFFFF"/>
        </w:rPr>
      </w:pPr>
      <w:r w:rsidRPr="00A76485">
        <w:rPr>
          <w:rFonts w:ascii="Arial" w:hAnsi="Arial" w:cs="Arial"/>
          <w:noProof/>
          <w:color w:val="202122"/>
          <w:sz w:val="21"/>
          <w:szCs w:val="21"/>
          <w:shd w:val="clear" w:color="auto" w:fill="FFFFFF"/>
          <w:lang w:val="es-CO" w:eastAsia="es-CO"/>
        </w:rPr>
        <w:drawing>
          <wp:inline distT="0" distB="0" distL="0" distR="0" wp14:anchorId="65637BE5" wp14:editId="3494E858">
            <wp:extent cx="3545205" cy="148298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66334" cy="1491824"/>
                    </a:xfrm>
                    <a:prstGeom prst="rect">
                      <a:avLst/>
                    </a:prstGeom>
                  </pic:spPr>
                </pic:pic>
              </a:graphicData>
            </a:graphic>
          </wp:inline>
        </w:drawing>
      </w:r>
    </w:p>
    <w:p w14:paraId="0C26CB64" w14:textId="77777777" w:rsidR="00B53AC8" w:rsidRPr="00A76485" w:rsidRDefault="00B53AC8" w:rsidP="00492D77">
      <w:pPr>
        <w:tabs>
          <w:tab w:val="left" w:pos="5653"/>
        </w:tabs>
        <w:contextualSpacing/>
        <w:jc w:val="center"/>
        <w:rPr>
          <w:rFonts w:ascii="Arial" w:hAnsi="Arial" w:cs="Arial"/>
          <w:color w:val="202122"/>
          <w:sz w:val="21"/>
          <w:szCs w:val="21"/>
          <w:shd w:val="clear" w:color="auto" w:fill="FFFFFF"/>
        </w:rPr>
      </w:pPr>
      <w:r w:rsidRPr="00A76485">
        <w:rPr>
          <w:rFonts w:ascii="Arial" w:hAnsi="Arial" w:cs="Arial"/>
          <w:color w:val="202122"/>
          <w:sz w:val="16"/>
          <w:szCs w:val="16"/>
          <w:shd w:val="clear" w:color="auto" w:fill="FFFFFF"/>
        </w:rPr>
        <w:t xml:space="preserve">Fuente: </w:t>
      </w:r>
      <w:proofErr w:type="spellStart"/>
      <w:r w:rsidRPr="00A76485">
        <w:rPr>
          <w:rFonts w:ascii="Arial" w:hAnsi="Arial" w:cs="Arial"/>
          <w:color w:val="202122"/>
          <w:sz w:val="16"/>
          <w:szCs w:val="16"/>
          <w:shd w:val="clear" w:color="auto" w:fill="FFFFFF"/>
        </w:rPr>
        <w:t>google</w:t>
      </w:r>
      <w:proofErr w:type="spellEnd"/>
      <w:r w:rsidRPr="00A76485">
        <w:rPr>
          <w:rFonts w:ascii="Arial" w:hAnsi="Arial" w:cs="Arial"/>
          <w:color w:val="202122"/>
          <w:sz w:val="16"/>
          <w:szCs w:val="16"/>
          <w:shd w:val="clear" w:color="auto" w:fill="FFFFFF"/>
        </w:rPr>
        <w:t xml:space="preserve"> </w:t>
      </w:r>
      <w:proofErr w:type="spellStart"/>
      <w:r w:rsidRPr="00A76485">
        <w:rPr>
          <w:rFonts w:ascii="Arial" w:hAnsi="Arial" w:cs="Arial"/>
          <w:color w:val="202122"/>
          <w:sz w:val="16"/>
          <w:szCs w:val="16"/>
          <w:shd w:val="clear" w:color="auto" w:fill="FFFFFF"/>
        </w:rPr>
        <w:t>maps</w:t>
      </w:r>
      <w:proofErr w:type="spellEnd"/>
      <w:r w:rsidRPr="00A76485">
        <w:rPr>
          <w:rFonts w:ascii="Arial" w:hAnsi="Arial" w:cs="Arial"/>
          <w:color w:val="202122"/>
          <w:sz w:val="21"/>
          <w:szCs w:val="21"/>
          <w:shd w:val="clear" w:color="auto" w:fill="FFFFFF"/>
        </w:rPr>
        <w:t>.</w:t>
      </w:r>
    </w:p>
    <w:p w14:paraId="47556D28" w14:textId="77777777" w:rsidR="004D3FB8" w:rsidRPr="00A76485" w:rsidRDefault="004D3FB8" w:rsidP="00492D77">
      <w:pPr>
        <w:tabs>
          <w:tab w:val="left" w:pos="5653"/>
        </w:tabs>
        <w:contextualSpacing/>
        <w:jc w:val="center"/>
        <w:rPr>
          <w:rFonts w:ascii="Arial" w:hAnsi="Arial" w:cs="Arial"/>
          <w:color w:val="202122"/>
          <w:sz w:val="21"/>
          <w:szCs w:val="21"/>
          <w:shd w:val="clear" w:color="auto" w:fill="FFFFFF"/>
        </w:rPr>
      </w:pPr>
    </w:p>
    <w:p w14:paraId="3349695B" w14:textId="77777777" w:rsidR="004D3FB8" w:rsidRPr="00A76485" w:rsidRDefault="004D3FB8" w:rsidP="00492D77">
      <w:pPr>
        <w:tabs>
          <w:tab w:val="left" w:pos="5653"/>
        </w:tabs>
        <w:contextualSpacing/>
        <w:jc w:val="center"/>
        <w:rPr>
          <w:rFonts w:ascii="Arial" w:hAnsi="Arial" w:cs="Arial"/>
          <w:color w:val="202122"/>
          <w:sz w:val="21"/>
          <w:szCs w:val="21"/>
          <w:shd w:val="clear" w:color="auto" w:fill="FFFFFF"/>
        </w:rPr>
      </w:pPr>
    </w:p>
    <w:p w14:paraId="225B8906" w14:textId="77777777" w:rsidR="004D3FB8" w:rsidRDefault="004D3FB8" w:rsidP="00492D77">
      <w:pPr>
        <w:tabs>
          <w:tab w:val="left" w:pos="5653"/>
        </w:tabs>
        <w:contextualSpacing/>
        <w:jc w:val="center"/>
        <w:rPr>
          <w:rFonts w:ascii="Arial" w:hAnsi="Arial" w:cs="Arial"/>
          <w:color w:val="202122"/>
          <w:sz w:val="21"/>
          <w:szCs w:val="21"/>
          <w:shd w:val="clear" w:color="auto" w:fill="FFFFFF"/>
        </w:rPr>
      </w:pPr>
    </w:p>
    <w:p w14:paraId="2CA4712A" w14:textId="77777777" w:rsidR="008D21D2" w:rsidRPr="00A76485" w:rsidRDefault="008D21D2" w:rsidP="00492D77">
      <w:pPr>
        <w:tabs>
          <w:tab w:val="left" w:pos="5653"/>
        </w:tabs>
        <w:contextualSpacing/>
        <w:jc w:val="center"/>
        <w:rPr>
          <w:rFonts w:ascii="Arial" w:hAnsi="Arial" w:cs="Arial"/>
          <w:color w:val="202122"/>
          <w:sz w:val="21"/>
          <w:szCs w:val="21"/>
          <w:shd w:val="clear" w:color="auto" w:fill="FFFFFF"/>
        </w:rPr>
      </w:pPr>
    </w:p>
    <w:p w14:paraId="3B9624C3" w14:textId="77777777" w:rsidR="00B53AC8" w:rsidRPr="00A76485" w:rsidRDefault="00B53AC8" w:rsidP="00492D77">
      <w:pPr>
        <w:pStyle w:val="NormalWeb"/>
        <w:numPr>
          <w:ilvl w:val="0"/>
          <w:numId w:val="4"/>
        </w:numPr>
        <w:shd w:val="clear" w:color="auto" w:fill="FFFFFF"/>
        <w:spacing w:before="0" w:beforeAutospacing="0" w:after="0"/>
        <w:jc w:val="both"/>
        <w:rPr>
          <w:rFonts w:ascii="Arial" w:hAnsi="Arial" w:cs="Arial"/>
          <w:color w:val="202122"/>
          <w:sz w:val="21"/>
          <w:szCs w:val="21"/>
          <w:shd w:val="clear" w:color="auto" w:fill="FFFFFF"/>
        </w:rPr>
      </w:pPr>
      <w:r w:rsidRPr="00A76485">
        <w:rPr>
          <w:rFonts w:ascii="Arial" w:hAnsi="Arial" w:cs="Arial"/>
          <w:b/>
          <w:sz w:val="21"/>
          <w:szCs w:val="21"/>
          <w:lang w:eastAsia="en-US"/>
        </w:rPr>
        <w:t>Red pública de prestadores.</w:t>
      </w:r>
    </w:p>
    <w:p w14:paraId="0A0D11C7" w14:textId="77777777" w:rsidR="00B53AC8" w:rsidRPr="00A76485" w:rsidRDefault="00B53AC8" w:rsidP="00492D77">
      <w:pPr>
        <w:rPr>
          <w:rFonts w:ascii="Arial" w:hAnsi="Arial" w:cs="Arial"/>
          <w:sz w:val="21"/>
          <w:szCs w:val="21"/>
        </w:rPr>
      </w:pPr>
    </w:p>
    <w:p w14:paraId="326FB6F7" w14:textId="77777777" w:rsidR="00B53AC8" w:rsidRPr="00A76485" w:rsidRDefault="00B53AC8" w:rsidP="00492D77">
      <w:pPr>
        <w:jc w:val="both"/>
        <w:rPr>
          <w:rFonts w:ascii="Arial" w:eastAsia="Times New Roman" w:hAnsi="Arial" w:cs="Arial"/>
          <w:sz w:val="21"/>
          <w:szCs w:val="21"/>
          <w:lang w:val="es-CO" w:eastAsia="es-CO"/>
        </w:rPr>
      </w:pPr>
      <w:r w:rsidRPr="00A76485">
        <w:rPr>
          <w:rFonts w:ascii="Arial" w:hAnsi="Arial" w:cs="Arial"/>
          <w:sz w:val="21"/>
          <w:szCs w:val="21"/>
        </w:rPr>
        <w:t xml:space="preserve">La </w:t>
      </w:r>
      <w:r w:rsidR="008D21D2">
        <w:rPr>
          <w:rFonts w:ascii="Arial" w:hAnsi="Arial" w:cs="Arial"/>
          <w:sz w:val="21"/>
          <w:szCs w:val="21"/>
        </w:rPr>
        <w:t xml:space="preserve">propuesta de reorganización de la </w:t>
      </w:r>
      <w:r w:rsidRPr="00A76485">
        <w:rPr>
          <w:rFonts w:ascii="Arial" w:hAnsi="Arial" w:cs="Arial"/>
          <w:sz w:val="21"/>
          <w:szCs w:val="21"/>
        </w:rPr>
        <w:t>Red Pública de prestadores del Servicio de Salud del Distrito de Santa Marta fue viabilizada por el Ministerio de Salud y Protección Social e informada al Ministerio de Hacienda y Crédito Público mediante oficio con radicado No 201523100367681 del 15 de marzo de 2015.</w:t>
      </w:r>
    </w:p>
    <w:p w14:paraId="02CAFA00" w14:textId="77777777" w:rsidR="00B53AC8" w:rsidRPr="00A76485" w:rsidRDefault="00B53AC8" w:rsidP="00492D77">
      <w:pPr>
        <w:jc w:val="both"/>
        <w:rPr>
          <w:rFonts w:ascii="Arial" w:eastAsia="Times New Roman" w:hAnsi="Arial" w:cs="Arial"/>
          <w:sz w:val="21"/>
          <w:szCs w:val="21"/>
          <w:lang w:val="es-CO" w:eastAsia="es-CO"/>
        </w:rPr>
      </w:pPr>
    </w:p>
    <w:p w14:paraId="3FE5846D" w14:textId="77777777" w:rsidR="00B53AC8" w:rsidRPr="00A76485" w:rsidRDefault="00B53AC8" w:rsidP="00492D77">
      <w:pPr>
        <w:autoSpaceDE w:val="0"/>
        <w:autoSpaceDN w:val="0"/>
        <w:adjustRightInd w:val="0"/>
        <w:contextualSpacing/>
        <w:jc w:val="both"/>
        <w:rPr>
          <w:rFonts w:ascii="Arial" w:hAnsi="Arial" w:cs="Arial"/>
          <w:sz w:val="21"/>
          <w:szCs w:val="21"/>
        </w:rPr>
      </w:pPr>
      <w:r w:rsidRPr="00A76485">
        <w:rPr>
          <w:rFonts w:ascii="Arial" w:hAnsi="Arial" w:cs="Arial"/>
          <w:sz w:val="21"/>
          <w:szCs w:val="21"/>
        </w:rPr>
        <w:t>Según el documento de viabilidad, la Red Pública hospitalaria la conforma</w:t>
      </w:r>
      <w:r w:rsidR="00C17977">
        <w:rPr>
          <w:rFonts w:ascii="Arial" w:hAnsi="Arial" w:cs="Arial"/>
          <w:sz w:val="21"/>
          <w:szCs w:val="21"/>
        </w:rPr>
        <w:t>n</w:t>
      </w:r>
      <w:r w:rsidRPr="00A76485">
        <w:rPr>
          <w:rFonts w:ascii="Arial" w:hAnsi="Arial" w:cs="Arial"/>
          <w:sz w:val="21"/>
          <w:szCs w:val="21"/>
        </w:rPr>
        <w:t xml:space="preserve"> 1 Empresa Social del Estado - ESE, de carácter distrital, Alejandro Prospero </w:t>
      </w:r>
      <w:proofErr w:type="spellStart"/>
      <w:r w:rsidRPr="00A76485">
        <w:rPr>
          <w:rFonts w:ascii="Arial" w:hAnsi="Arial" w:cs="Arial"/>
          <w:sz w:val="21"/>
          <w:szCs w:val="21"/>
        </w:rPr>
        <w:t>Reverend</w:t>
      </w:r>
      <w:proofErr w:type="spellEnd"/>
      <w:r w:rsidRPr="00A76485">
        <w:rPr>
          <w:rFonts w:ascii="Arial" w:hAnsi="Arial" w:cs="Arial"/>
          <w:sz w:val="21"/>
          <w:szCs w:val="21"/>
        </w:rPr>
        <w:t xml:space="preserve"> y la ESE de carácter Departamental Universitario Fernando </w:t>
      </w:r>
      <w:proofErr w:type="spellStart"/>
      <w:r w:rsidRPr="00A76485">
        <w:rPr>
          <w:rFonts w:ascii="Arial" w:hAnsi="Arial" w:cs="Arial"/>
          <w:sz w:val="21"/>
          <w:szCs w:val="21"/>
        </w:rPr>
        <w:t>Tronconis</w:t>
      </w:r>
      <w:proofErr w:type="spellEnd"/>
      <w:r w:rsidRPr="00A76485">
        <w:rPr>
          <w:rFonts w:ascii="Arial" w:hAnsi="Arial" w:cs="Arial"/>
          <w:sz w:val="21"/>
          <w:szCs w:val="21"/>
        </w:rPr>
        <w:t xml:space="preserve"> hoy Hospital Universitario Julio Mendez </w:t>
      </w:r>
      <w:proofErr w:type="spellStart"/>
      <w:r w:rsidRPr="00A76485">
        <w:rPr>
          <w:rFonts w:ascii="Arial" w:hAnsi="Arial" w:cs="Arial"/>
          <w:sz w:val="21"/>
          <w:szCs w:val="21"/>
        </w:rPr>
        <w:t>Barreneche</w:t>
      </w:r>
      <w:proofErr w:type="spellEnd"/>
      <w:r w:rsidRPr="00A76485">
        <w:rPr>
          <w:rFonts w:ascii="Arial" w:hAnsi="Arial" w:cs="Arial"/>
          <w:sz w:val="21"/>
          <w:szCs w:val="21"/>
        </w:rPr>
        <w:t>.</w:t>
      </w:r>
    </w:p>
    <w:p w14:paraId="63162CCE" w14:textId="77777777" w:rsidR="00B53AC8" w:rsidRPr="00A76485" w:rsidRDefault="00B53AC8" w:rsidP="00492D77">
      <w:pPr>
        <w:autoSpaceDE w:val="0"/>
        <w:autoSpaceDN w:val="0"/>
        <w:adjustRightInd w:val="0"/>
        <w:contextualSpacing/>
        <w:jc w:val="center"/>
        <w:rPr>
          <w:rFonts w:ascii="Arial" w:eastAsia="ヒラギノ角ゴ Pro W3" w:hAnsi="Arial" w:cs="Arial"/>
          <w:b/>
          <w:color w:val="000000"/>
          <w:sz w:val="18"/>
          <w:szCs w:val="18"/>
          <w:lang w:eastAsia="en-US"/>
        </w:rPr>
      </w:pPr>
      <w:r w:rsidRPr="00A76485">
        <w:rPr>
          <w:rFonts w:ascii="Arial" w:eastAsia="ヒラギノ角ゴ Pro W3" w:hAnsi="Arial" w:cs="Arial"/>
          <w:b/>
          <w:color w:val="000000"/>
          <w:sz w:val="18"/>
          <w:szCs w:val="18"/>
          <w:lang w:eastAsia="en-US"/>
        </w:rPr>
        <w:t>Tabla No 1</w:t>
      </w:r>
    </w:p>
    <w:p w14:paraId="64C1B832" w14:textId="77777777" w:rsidR="00B53AC8" w:rsidRPr="00A76485" w:rsidRDefault="00B53AC8" w:rsidP="00492D77">
      <w:pPr>
        <w:contextualSpacing/>
        <w:jc w:val="center"/>
        <w:rPr>
          <w:rFonts w:ascii="Arial" w:eastAsia="Calibri" w:hAnsi="Arial" w:cs="Arial"/>
          <w:b/>
          <w:sz w:val="18"/>
          <w:szCs w:val="18"/>
          <w:lang w:eastAsia="en-US"/>
        </w:rPr>
      </w:pPr>
      <w:r w:rsidRPr="00A76485">
        <w:rPr>
          <w:rFonts w:ascii="Arial" w:eastAsia="Calibri" w:hAnsi="Arial" w:cs="Arial"/>
          <w:b/>
          <w:sz w:val="18"/>
          <w:szCs w:val="18"/>
          <w:lang w:eastAsia="en-US"/>
        </w:rPr>
        <w:t>RED PÚBLICA DE PRESTADORES</w:t>
      </w:r>
    </w:p>
    <w:tbl>
      <w:tblPr>
        <w:tblW w:w="5934" w:type="dxa"/>
        <w:jc w:val="center"/>
        <w:tblCellMar>
          <w:left w:w="70" w:type="dxa"/>
          <w:right w:w="70" w:type="dxa"/>
        </w:tblCellMar>
        <w:tblLook w:val="04A0" w:firstRow="1" w:lastRow="0" w:firstColumn="1" w:lastColumn="0" w:noHBand="0" w:noVBand="1"/>
      </w:tblPr>
      <w:tblGrid>
        <w:gridCol w:w="1721"/>
        <w:gridCol w:w="1229"/>
        <w:gridCol w:w="1229"/>
        <w:gridCol w:w="1229"/>
        <w:gridCol w:w="847"/>
      </w:tblGrid>
      <w:tr w:rsidR="00B53AC8" w:rsidRPr="00A76485" w14:paraId="383A8466" w14:textId="77777777" w:rsidTr="005636EE">
        <w:trPr>
          <w:trHeight w:val="256"/>
          <w:jc w:val="center"/>
        </w:trPr>
        <w:tc>
          <w:tcPr>
            <w:tcW w:w="1400" w:type="dxa"/>
            <w:tcBorders>
              <w:top w:val="single" w:sz="12" w:space="0" w:color="595959" w:themeColor="text1" w:themeTint="A6"/>
              <w:left w:val="nil"/>
              <w:bottom w:val="double" w:sz="4" w:space="0" w:color="595959" w:themeColor="text1" w:themeTint="A6"/>
              <w:right w:val="nil"/>
            </w:tcBorders>
            <w:vAlign w:val="center"/>
            <w:hideMark/>
          </w:tcPr>
          <w:p w14:paraId="76C43C70"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CARÁCTER</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14:paraId="614F9291"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NIVEL 1</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14:paraId="44B6A482"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NIVEL 2</w:t>
            </w:r>
          </w:p>
        </w:tc>
        <w:tc>
          <w:tcPr>
            <w:tcW w:w="1229" w:type="dxa"/>
            <w:tcBorders>
              <w:top w:val="single" w:sz="12" w:space="0" w:color="595959" w:themeColor="text1" w:themeTint="A6"/>
              <w:left w:val="nil"/>
              <w:bottom w:val="double" w:sz="4" w:space="0" w:color="595959" w:themeColor="text1" w:themeTint="A6"/>
              <w:right w:val="nil"/>
            </w:tcBorders>
            <w:vAlign w:val="center"/>
            <w:hideMark/>
          </w:tcPr>
          <w:p w14:paraId="2DD1F548"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NIVEL 3</w:t>
            </w:r>
          </w:p>
        </w:tc>
        <w:tc>
          <w:tcPr>
            <w:tcW w:w="847" w:type="dxa"/>
            <w:tcBorders>
              <w:top w:val="single" w:sz="12" w:space="0" w:color="595959" w:themeColor="text1" w:themeTint="A6"/>
              <w:left w:val="nil"/>
              <w:bottom w:val="double" w:sz="4" w:space="0" w:color="595959" w:themeColor="text1" w:themeTint="A6"/>
              <w:right w:val="nil"/>
            </w:tcBorders>
            <w:vAlign w:val="center"/>
            <w:hideMark/>
          </w:tcPr>
          <w:p w14:paraId="6ABB8DC4"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TOTAL</w:t>
            </w:r>
          </w:p>
        </w:tc>
      </w:tr>
      <w:tr w:rsidR="00B53AC8" w:rsidRPr="00A76485" w14:paraId="630A6B0D" w14:textId="77777777" w:rsidTr="005636EE">
        <w:trPr>
          <w:trHeight w:val="240"/>
          <w:jc w:val="center"/>
        </w:trPr>
        <w:tc>
          <w:tcPr>
            <w:tcW w:w="1400" w:type="dxa"/>
            <w:tcBorders>
              <w:top w:val="double" w:sz="4" w:space="0" w:color="595959" w:themeColor="text1" w:themeTint="A6"/>
              <w:left w:val="nil"/>
              <w:bottom w:val="single" w:sz="4" w:space="0" w:color="A6A6A6"/>
              <w:right w:val="nil"/>
            </w:tcBorders>
            <w:noWrap/>
            <w:vAlign w:val="center"/>
            <w:hideMark/>
          </w:tcPr>
          <w:p w14:paraId="37F621FC" w14:textId="77777777" w:rsidR="00B53AC8" w:rsidRPr="00A76485" w:rsidRDefault="00B53AC8" w:rsidP="00492D77">
            <w:pPr>
              <w:contextualSpacing/>
              <w:rPr>
                <w:rFonts w:ascii="Arial" w:eastAsia="Times New Roman" w:hAnsi="Arial" w:cs="Arial"/>
                <w:sz w:val="18"/>
                <w:szCs w:val="18"/>
                <w:lang w:val="es-CO" w:eastAsia="es-CO"/>
              </w:rPr>
            </w:pPr>
            <w:r w:rsidRPr="00A76485">
              <w:rPr>
                <w:rFonts w:ascii="Arial" w:eastAsia="Times New Roman" w:hAnsi="Arial" w:cs="Arial"/>
                <w:sz w:val="18"/>
                <w:szCs w:val="18"/>
                <w:lang w:val="es-CO" w:eastAsia="es-CO"/>
              </w:rPr>
              <w:t>DEPARTAMENTAL</w:t>
            </w:r>
          </w:p>
        </w:tc>
        <w:tc>
          <w:tcPr>
            <w:tcW w:w="1229" w:type="dxa"/>
            <w:tcBorders>
              <w:top w:val="double" w:sz="4" w:space="0" w:color="595959" w:themeColor="text1" w:themeTint="A6"/>
              <w:left w:val="nil"/>
              <w:bottom w:val="single" w:sz="4" w:space="0" w:color="A6A6A6"/>
              <w:right w:val="nil"/>
            </w:tcBorders>
            <w:noWrap/>
            <w:vAlign w:val="center"/>
            <w:hideMark/>
          </w:tcPr>
          <w:p w14:paraId="78828DB8" w14:textId="77777777" w:rsidR="00B53AC8" w:rsidRPr="00A76485" w:rsidRDefault="00B53AC8" w:rsidP="00492D77">
            <w:pPr>
              <w:contextualSpacing/>
              <w:jc w:val="center"/>
              <w:rPr>
                <w:rFonts w:ascii="Arial" w:eastAsia="Times New Roman" w:hAnsi="Arial" w:cs="Arial"/>
                <w:sz w:val="18"/>
                <w:szCs w:val="18"/>
                <w:lang w:val="es-CO" w:eastAsia="es-CO"/>
              </w:rPr>
            </w:pPr>
          </w:p>
        </w:tc>
        <w:tc>
          <w:tcPr>
            <w:tcW w:w="1229" w:type="dxa"/>
            <w:tcBorders>
              <w:top w:val="double" w:sz="4" w:space="0" w:color="595959" w:themeColor="text1" w:themeTint="A6"/>
              <w:left w:val="nil"/>
              <w:bottom w:val="single" w:sz="4" w:space="0" w:color="A6A6A6"/>
              <w:right w:val="nil"/>
            </w:tcBorders>
            <w:noWrap/>
            <w:vAlign w:val="center"/>
          </w:tcPr>
          <w:p w14:paraId="4383CF7E" w14:textId="77777777" w:rsidR="00B53AC8" w:rsidRPr="00A76485" w:rsidRDefault="00B53AC8" w:rsidP="00492D77">
            <w:pPr>
              <w:contextualSpacing/>
              <w:jc w:val="center"/>
              <w:rPr>
                <w:rFonts w:ascii="Arial" w:eastAsia="Times New Roman" w:hAnsi="Arial" w:cs="Arial"/>
                <w:sz w:val="18"/>
                <w:szCs w:val="18"/>
                <w:lang w:val="es-CO" w:eastAsia="es-CO"/>
              </w:rPr>
            </w:pPr>
          </w:p>
        </w:tc>
        <w:tc>
          <w:tcPr>
            <w:tcW w:w="1229" w:type="dxa"/>
            <w:tcBorders>
              <w:top w:val="double" w:sz="4" w:space="0" w:color="595959" w:themeColor="text1" w:themeTint="A6"/>
              <w:left w:val="nil"/>
              <w:bottom w:val="single" w:sz="4" w:space="0" w:color="A6A6A6"/>
              <w:right w:val="nil"/>
            </w:tcBorders>
            <w:noWrap/>
            <w:vAlign w:val="center"/>
          </w:tcPr>
          <w:p w14:paraId="32BBF429" w14:textId="77777777" w:rsidR="00B53AC8" w:rsidRPr="00A76485" w:rsidRDefault="00B53AC8" w:rsidP="00492D77">
            <w:pPr>
              <w:contextualSpacing/>
              <w:jc w:val="center"/>
              <w:rPr>
                <w:rFonts w:ascii="Arial" w:eastAsia="Times New Roman" w:hAnsi="Arial" w:cs="Arial"/>
                <w:sz w:val="18"/>
                <w:szCs w:val="18"/>
                <w:lang w:val="es-CO" w:eastAsia="es-CO"/>
              </w:rPr>
            </w:pPr>
            <w:r w:rsidRPr="00A76485">
              <w:rPr>
                <w:rFonts w:ascii="Arial" w:eastAsia="Times New Roman" w:hAnsi="Arial" w:cs="Arial"/>
                <w:sz w:val="18"/>
                <w:szCs w:val="18"/>
                <w:lang w:val="es-CO" w:eastAsia="es-CO"/>
              </w:rPr>
              <w:t>1</w:t>
            </w:r>
          </w:p>
        </w:tc>
        <w:tc>
          <w:tcPr>
            <w:tcW w:w="847" w:type="dxa"/>
            <w:tcBorders>
              <w:top w:val="double" w:sz="4" w:space="0" w:color="595959" w:themeColor="text1" w:themeTint="A6"/>
              <w:left w:val="nil"/>
              <w:bottom w:val="single" w:sz="4" w:space="0" w:color="A6A6A6"/>
              <w:right w:val="nil"/>
            </w:tcBorders>
            <w:noWrap/>
            <w:vAlign w:val="center"/>
          </w:tcPr>
          <w:p w14:paraId="6F928522" w14:textId="77777777" w:rsidR="00B53AC8" w:rsidRPr="00A76485" w:rsidRDefault="00B53AC8" w:rsidP="00492D77">
            <w:pPr>
              <w:contextualSpacing/>
              <w:jc w:val="center"/>
              <w:rPr>
                <w:rFonts w:ascii="Arial" w:eastAsia="Times New Roman" w:hAnsi="Arial" w:cs="Arial"/>
                <w:sz w:val="18"/>
                <w:szCs w:val="18"/>
                <w:lang w:val="es-CO" w:eastAsia="es-CO"/>
              </w:rPr>
            </w:pPr>
            <w:r w:rsidRPr="00A76485">
              <w:rPr>
                <w:rFonts w:ascii="Arial" w:eastAsia="Times New Roman" w:hAnsi="Arial" w:cs="Arial"/>
                <w:sz w:val="18"/>
                <w:szCs w:val="18"/>
                <w:lang w:val="es-CO" w:eastAsia="es-CO"/>
              </w:rPr>
              <w:t>1</w:t>
            </w:r>
          </w:p>
        </w:tc>
      </w:tr>
      <w:tr w:rsidR="00B53AC8" w:rsidRPr="00A76485" w14:paraId="20AC6700" w14:textId="77777777" w:rsidTr="005636EE">
        <w:trPr>
          <w:trHeight w:val="224"/>
          <w:jc w:val="center"/>
        </w:trPr>
        <w:tc>
          <w:tcPr>
            <w:tcW w:w="1400" w:type="dxa"/>
            <w:tcBorders>
              <w:top w:val="nil"/>
              <w:left w:val="nil"/>
              <w:bottom w:val="single" w:sz="4" w:space="0" w:color="A6A6A6"/>
              <w:right w:val="nil"/>
            </w:tcBorders>
            <w:noWrap/>
            <w:vAlign w:val="center"/>
            <w:hideMark/>
          </w:tcPr>
          <w:p w14:paraId="21B9BBC0" w14:textId="77777777" w:rsidR="00B53AC8" w:rsidRPr="00A76485" w:rsidRDefault="00B53AC8" w:rsidP="00492D77">
            <w:pPr>
              <w:contextualSpacing/>
              <w:rPr>
                <w:rFonts w:ascii="Arial" w:eastAsia="Times New Roman" w:hAnsi="Arial" w:cs="Arial"/>
                <w:sz w:val="18"/>
                <w:szCs w:val="18"/>
                <w:lang w:val="es-CO" w:eastAsia="es-CO"/>
              </w:rPr>
            </w:pPr>
            <w:r w:rsidRPr="00A76485">
              <w:rPr>
                <w:rFonts w:ascii="Arial" w:eastAsia="Times New Roman" w:hAnsi="Arial" w:cs="Arial"/>
                <w:sz w:val="18"/>
                <w:szCs w:val="18"/>
                <w:lang w:val="es-CO" w:eastAsia="es-CO"/>
              </w:rPr>
              <w:t>MUNICIPAL</w:t>
            </w:r>
          </w:p>
        </w:tc>
        <w:tc>
          <w:tcPr>
            <w:tcW w:w="1229" w:type="dxa"/>
            <w:tcBorders>
              <w:top w:val="nil"/>
              <w:left w:val="nil"/>
              <w:bottom w:val="single" w:sz="4" w:space="0" w:color="A6A6A6"/>
              <w:right w:val="nil"/>
            </w:tcBorders>
            <w:noWrap/>
            <w:vAlign w:val="center"/>
            <w:hideMark/>
          </w:tcPr>
          <w:p w14:paraId="6D64690C" w14:textId="77777777" w:rsidR="00B53AC8" w:rsidRPr="00A76485" w:rsidRDefault="00B53AC8" w:rsidP="00492D77">
            <w:pPr>
              <w:contextualSpacing/>
              <w:jc w:val="center"/>
              <w:rPr>
                <w:rFonts w:ascii="Arial" w:eastAsia="Times New Roman" w:hAnsi="Arial" w:cs="Arial"/>
                <w:sz w:val="18"/>
                <w:szCs w:val="18"/>
                <w:lang w:val="es-CO" w:eastAsia="es-CO"/>
              </w:rPr>
            </w:pPr>
            <w:r w:rsidRPr="00A76485">
              <w:rPr>
                <w:rFonts w:ascii="Arial" w:eastAsia="Times New Roman" w:hAnsi="Arial" w:cs="Arial"/>
                <w:sz w:val="18"/>
                <w:szCs w:val="18"/>
                <w:lang w:val="es-CO" w:eastAsia="es-CO"/>
              </w:rPr>
              <w:t>1</w:t>
            </w:r>
          </w:p>
        </w:tc>
        <w:tc>
          <w:tcPr>
            <w:tcW w:w="1229" w:type="dxa"/>
            <w:tcBorders>
              <w:top w:val="nil"/>
              <w:left w:val="nil"/>
              <w:bottom w:val="single" w:sz="4" w:space="0" w:color="A6A6A6"/>
              <w:right w:val="nil"/>
            </w:tcBorders>
            <w:noWrap/>
            <w:vAlign w:val="center"/>
          </w:tcPr>
          <w:p w14:paraId="401EE952" w14:textId="77777777" w:rsidR="00B53AC8" w:rsidRPr="00A76485" w:rsidRDefault="00B53AC8" w:rsidP="00492D77">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noWrap/>
            <w:vAlign w:val="center"/>
          </w:tcPr>
          <w:p w14:paraId="7CE9C148" w14:textId="77777777" w:rsidR="00B53AC8" w:rsidRPr="00A76485" w:rsidRDefault="00B53AC8" w:rsidP="00492D77">
            <w:pPr>
              <w:contextualSpacing/>
              <w:jc w:val="center"/>
              <w:rPr>
                <w:rFonts w:ascii="Arial" w:eastAsia="Times New Roman" w:hAnsi="Arial" w:cs="Arial"/>
                <w:sz w:val="18"/>
                <w:szCs w:val="18"/>
                <w:lang w:val="es-CO" w:eastAsia="es-CO"/>
              </w:rPr>
            </w:pPr>
          </w:p>
        </w:tc>
        <w:tc>
          <w:tcPr>
            <w:tcW w:w="847" w:type="dxa"/>
            <w:tcBorders>
              <w:top w:val="nil"/>
              <w:left w:val="nil"/>
              <w:bottom w:val="single" w:sz="4" w:space="0" w:color="A6A6A6"/>
              <w:right w:val="nil"/>
            </w:tcBorders>
            <w:noWrap/>
            <w:vAlign w:val="center"/>
          </w:tcPr>
          <w:p w14:paraId="2EA8E6D6" w14:textId="77777777" w:rsidR="00B53AC8" w:rsidRPr="00A76485" w:rsidRDefault="00B53AC8" w:rsidP="00492D77">
            <w:pPr>
              <w:contextualSpacing/>
              <w:jc w:val="center"/>
              <w:rPr>
                <w:rFonts w:ascii="Arial" w:eastAsia="Times New Roman" w:hAnsi="Arial" w:cs="Arial"/>
                <w:sz w:val="18"/>
                <w:szCs w:val="18"/>
                <w:lang w:val="es-CO" w:eastAsia="es-CO"/>
              </w:rPr>
            </w:pPr>
            <w:r w:rsidRPr="00A76485">
              <w:rPr>
                <w:rFonts w:ascii="Arial" w:eastAsia="Times New Roman" w:hAnsi="Arial" w:cs="Arial"/>
                <w:sz w:val="18"/>
                <w:szCs w:val="18"/>
                <w:lang w:val="es-CO" w:eastAsia="es-CO"/>
              </w:rPr>
              <w:t>1</w:t>
            </w:r>
          </w:p>
        </w:tc>
      </w:tr>
      <w:tr w:rsidR="00B53AC8" w:rsidRPr="00A76485" w14:paraId="29C2D17E" w14:textId="77777777" w:rsidTr="005636EE">
        <w:trPr>
          <w:trHeight w:val="224"/>
          <w:jc w:val="center"/>
        </w:trPr>
        <w:tc>
          <w:tcPr>
            <w:tcW w:w="1400" w:type="dxa"/>
            <w:tcBorders>
              <w:top w:val="nil"/>
              <w:left w:val="nil"/>
              <w:bottom w:val="single" w:sz="4" w:space="0" w:color="A6A6A6"/>
              <w:right w:val="nil"/>
            </w:tcBorders>
            <w:noWrap/>
            <w:vAlign w:val="center"/>
            <w:hideMark/>
          </w:tcPr>
          <w:p w14:paraId="10F83AE0" w14:textId="77777777" w:rsidR="00B53AC8" w:rsidRPr="00A76485" w:rsidRDefault="00B53AC8" w:rsidP="00492D77">
            <w:pPr>
              <w:contextualSpacing/>
              <w:rPr>
                <w:rFonts w:ascii="Arial" w:eastAsia="Times New Roman" w:hAnsi="Arial" w:cs="Arial"/>
                <w:sz w:val="18"/>
                <w:szCs w:val="18"/>
                <w:lang w:val="es-CO" w:eastAsia="es-CO"/>
              </w:rPr>
            </w:pPr>
            <w:r w:rsidRPr="00A76485">
              <w:rPr>
                <w:rFonts w:ascii="Arial" w:eastAsia="Times New Roman" w:hAnsi="Arial" w:cs="Arial"/>
                <w:sz w:val="18"/>
                <w:szCs w:val="18"/>
                <w:lang w:val="es-CO" w:eastAsia="es-CO"/>
              </w:rPr>
              <w:t>NACIONAL</w:t>
            </w:r>
          </w:p>
        </w:tc>
        <w:tc>
          <w:tcPr>
            <w:tcW w:w="1229" w:type="dxa"/>
            <w:tcBorders>
              <w:top w:val="nil"/>
              <w:left w:val="nil"/>
              <w:bottom w:val="single" w:sz="4" w:space="0" w:color="A6A6A6"/>
              <w:right w:val="nil"/>
            </w:tcBorders>
            <w:noWrap/>
            <w:vAlign w:val="center"/>
          </w:tcPr>
          <w:p w14:paraId="1DF76EFB" w14:textId="77777777" w:rsidR="00B53AC8" w:rsidRPr="00A76485" w:rsidRDefault="00B53AC8" w:rsidP="00492D77">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noWrap/>
            <w:vAlign w:val="center"/>
          </w:tcPr>
          <w:p w14:paraId="3869513A" w14:textId="77777777" w:rsidR="00B53AC8" w:rsidRPr="00A76485" w:rsidRDefault="00B53AC8" w:rsidP="00492D77">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noWrap/>
            <w:vAlign w:val="center"/>
          </w:tcPr>
          <w:p w14:paraId="3B5DE0D5" w14:textId="77777777" w:rsidR="00B53AC8" w:rsidRPr="00A76485" w:rsidRDefault="00B53AC8" w:rsidP="00492D77">
            <w:pPr>
              <w:contextualSpacing/>
              <w:jc w:val="center"/>
              <w:rPr>
                <w:rFonts w:ascii="Arial" w:eastAsia="Times New Roman" w:hAnsi="Arial" w:cs="Arial"/>
                <w:sz w:val="18"/>
                <w:szCs w:val="18"/>
                <w:lang w:val="es-CO" w:eastAsia="es-CO"/>
              </w:rPr>
            </w:pPr>
          </w:p>
        </w:tc>
        <w:tc>
          <w:tcPr>
            <w:tcW w:w="847" w:type="dxa"/>
            <w:tcBorders>
              <w:top w:val="nil"/>
              <w:left w:val="nil"/>
              <w:bottom w:val="single" w:sz="4" w:space="0" w:color="A6A6A6"/>
              <w:right w:val="nil"/>
            </w:tcBorders>
            <w:noWrap/>
            <w:vAlign w:val="center"/>
          </w:tcPr>
          <w:p w14:paraId="1B871F27" w14:textId="77777777" w:rsidR="00B53AC8" w:rsidRPr="00A76485" w:rsidRDefault="00B53AC8" w:rsidP="00492D77">
            <w:pPr>
              <w:contextualSpacing/>
              <w:jc w:val="center"/>
              <w:rPr>
                <w:rFonts w:ascii="Arial" w:eastAsia="Times New Roman" w:hAnsi="Arial" w:cs="Arial"/>
                <w:sz w:val="18"/>
                <w:szCs w:val="18"/>
                <w:lang w:val="es-CO" w:eastAsia="es-CO"/>
              </w:rPr>
            </w:pPr>
          </w:p>
        </w:tc>
      </w:tr>
      <w:tr w:rsidR="00B53AC8" w:rsidRPr="00A76485" w14:paraId="248CCC3B" w14:textId="77777777" w:rsidTr="005636EE">
        <w:trPr>
          <w:trHeight w:val="240"/>
          <w:jc w:val="center"/>
        </w:trPr>
        <w:tc>
          <w:tcPr>
            <w:tcW w:w="1400" w:type="dxa"/>
            <w:tcBorders>
              <w:top w:val="single" w:sz="4" w:space="0" w:color="A6A6A6"/>
              <w:left w:val="nil"/>
              <w:bottom w:val="single" w:sz="12" w:space="0" w:color="595959" w:themeColor="text1" w:themeTint="A6"/>
              <w:right w:val="nil"/>
            </w:tcBorders>
            <w:noWrap/>
            <w:vAlign w:val="center"/>
            <w:hideMark/>
          </w:tcPr>
          <w:p w14:paraId="31EB9CB3"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TOTAL</w:t>
            </w:r>
          </w:p>
        </w:tc>
        <w:tc>
          <w:tcPr>
            <w:tcW w:w="1229" w:type="dxa"/>
            <w:tcBorders>
              <w:top w:val="single" w:sz="4" w:space="0" w:color="A6A6A6"/>
              <w:left w:val="nil"/>
              <w:bottom w:val="single" w:sz="12" w:space="0" w:color="595959" w:themeColor="text1" w:themeTint="A6"/>
              <w:right w:val="nil"/>
            </w:tcBorders>
            <w:noWrap/>
            <w:vAlign w:val="center"/>
            <w:hideMark/>
          </w:tcPr>
          <w:p w14:paraId="36E75545"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1</w:t>
            </w:r>
          </w:p>
        </w:tc>
        <w:tc>
          <w:tcPr>
            <w:tcW w:w="1229" w:type="dxa"/>
            <w:tcBorders>
              <w:top w:val="single" w:sz="4" w:space="0" w:color="A6A6A6"/>
              <w:left w:val="nil"/>
              <w:bottom w:val="single" w:sz="12" w:space="0" w:color="595959" w:themeColor="text1" w:themeTint="A6"/>
              <w:right w:val="nil"/>
            </w:tcBorders>
            <w:noWrap/>
            <w:vAlign w:val="center"/>
          </w:tcPr>
          <w:p w14:paraId="63BF1487" w14:textId="77777777" w:rsidR="00B53AC8" w:rsidRPr="00A76485" w:rsidRDefault="00B53AC8" w:rsidP="00492D77">
            <w:pPr>
              <w:contextualSpacing/>
              <w:jc w:val="center"/>
              <w:rPr>
                <w:rFonts w:ascii="Arial" w:eastAsia="Times New Roman" w:hAnsi="Arial" w:cs="Arial"/>
                <w:b/>
                <w:bCs/>
                <w:sz w:val="18"/>
                <w:szCs w:val="18"/>
                <w:lang w:val="es-CO" w:eastAsia="es-CO"/>
              </w:rPr>
            </w:pPr>
          </w:p>
        </w:tc>
        <w:tc>
          <w:tcPr>
            <w:tcW w:w="1229" w:type="dxa"/>
            <w:tcBorders>
              <w:top w:val="single" w:sz="4" w:space="0" w:color="A6A6A6"/>
              <w:left w:val="nil"/>
              <w:bottom w:val="single" w:sz="12" w:space="0" w:color="595959" w:themeColor="text1" w:themeTint="A6"/>
              <w:right w:val="nil"/>
            </w:tcBorders>
            <w:noWrap/>
            <w:vAlign w:val="center"/>
          </w:tcPr>
          <w:p w14:paraId="34835E6D"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1</w:t>
            </w:r>
          </w:p>
        </w:tc>
        <w:tc>
          <w:tcPr>
            <w:tcW w:w="847" w:type="dxa"/>
            <w:tcBorders>
              <w:top w:val="single" w:sz="4" w:space="0" w:color="A6A6A6"/>
              <w:left w:val="nil"/>
              <w:bottom w:val="single" w:sz="12" w:space="0" w:color="595959" w:themeColor="text1" w:themeTint="A6"/>
              <w:right w:val="nil"/>
            </w:tcBorders>
            <w:noWrap/>
            <w:vAlign w:val="center"/>
          </w:tcPr>
          <w:p w14:paraId="2ECA5E34" w14:textId="77777777" w:rsidR="00B53AC8" w:rsidRPr="00A76485" w:rsidRDefault="00B53AC8" w:rsidP="00492D77">
            <w:pPr>
              <w:contextualSpacing/>
              <w:jc w:val="center"/>
              <w:rPr>
                <w:rFonts w:ascii="Arial" w:eastAsia="Times New Roman" w:hAnsi="Arial" w:cs="Arial"/>
                <w:b/>
                <w:bCs/>
                <w:sz w:val="18"/>
                <w:szCs w:val="18"/>
                <w:lang w:val="es-CO" w:eastAsia="es-CO"/>
              </w:rPr>
            </w:pPr>
            <w:r w:rsidRPr="00A76485">
              <w:rPr>
                <w:rFonts w:ascii="Arial" w:eastAsia="Times New Roman" w:hAnsi="Arial" w:cs="Arial"/>
                <w:b/>
                <w:bCs/>
                <w:sz w:val="18"/>
                <w:szCs w:val="18"/>
                <w:lang w:val="es-CO" w:eastAsia="es-CO"/>
              </w:rPr>
              <w:t>2</w:t>
            </w:r>
          </w:p>
        </w:tc>
      </w:tr>
    </w:tbl>
    <w:p w14:paraId="4883B705" w14:textId="77777777" w:rsidR="00B53AC8" w:rsidRPr="00A76485" w:rsidRDefault="00B53AC8" w:rsidP="00492D77">
      <w:pPr>
        <w:ind w:left="708" w:firstLine="708"/>
        <w:contextualSpacing/>
        <w:jc w:val="both"/>
        <w:rPr>
          <w:rFonts w:ascii="Arial" w:eastAsia="Calibri" w:hAnsi="Arial" w:cs="Arial"/>
          <w:sz w:val="16"/>
          <w:szCs w:val="16"/>
          <w:lang w:eastAsia="en-US"/>
        </w:rPr>
      </w:pPr>
      <w:r w:rsidRPr="00A76485">
        <w:rPr>
          <w:rFonts w:ascii="Arial" w:eastAsia="Times New Roman" w:hAnsi="Arial" w:cs="Arial"/>
          <w:b/>
          <w:sz w:val="16"/>
          <w:szCs w:val="16"/>
          <w:lang w:eastAsia="es-CO"/>
        </w:rPr>
        <w:t>Fuente</w:t>
      </w:r>
      <w:r w:rsidRPr="00A76485">
        <w:rPr>
          <w:rFonts w:ascii="Arial" w:eastAsia="Times New Roman" w:hAnsi="Arial" w:cs="Arial"/>
          <w:sz w:val="16"/>
          <w:szCs w:val="16"/>
          <w:lang w:eastAsia="es-CO"/>
        </w:rPr>
        <w:t xml:space="preserve">: MSPS REPS </w:t>
      </w:r>
    </w:p>
    <w:p w14:paraId="00110E84" w14:textId="77777777" w:rsidR="00B53AC8" w:rsidRPr="00A76485" w:rsidRDefault="00B53AC8" w:rsidP="00492D77">
      <w:pPr>
        <w:autoSpaceDE w:val="0"/>
        <w:autoSpaceDN w:val="0"/>
        <w:adjustRightInd w:val="0"/>
        <w:contextualSpacing/>
        <w:jc w:val="both"/>
        <w:rPr>
          <w:rFonts w:ascii="Arial" w:eastAsia="Calibri" w:hAnsi="Arial" w:cs="Arial"/>
          <w:sz w:val="21"/>
          <w:szCs w:val="21"/>
          <w:lang w:eastAsia="en-US"/>
        </w:rPr>
      </w:pPr>
    </w:p>
    <w:p w14:paraId="29668D4F"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La categorización de riesgo aplicada entre los periodos 2012 – 20</w:t>
      </w:r>
      <w:r w:rsidR="004D3FB8" w:rsidRPr="00A76485">
        <w:rPr>
          <w:rFonts w:ascii="Arial" w:hAnsi="Arial" w:cs="Arial"/>
          <w:sz w:val="21"/>
          <w:szCs w:val="21"/>
        </w:rPr>
        <w:t>23</w:t>
      </w:r>
      <w:r w:rsidRPr="00A76485">
        <w:rPr>
          <w:rFonts w:ascii="Arial" w:hAnsi="Arial" w:cs="Arial"/>
          <w:sz w:val="21"/>
          <w:szCs w:val="21"/>
        </w:rPr>
        <w:t xml:space="preserve"> por el Ministerio de Salud y Protección Social a las ESE </w:t>
      </w:r>
      <w:r w:rsidR="004D3FB8" w:rsidRPr="00A76485">
        <w:rPr>
          <w:rFonts w:ascii="Arial" w:hAnsi="Arial" w:cs="Arial"/>
          <w:sz w:val="21"/>
          <w:szCs w:val="21"/>
        </w:rPr>
        <w:t xml:space="preserve">de la red </w:t>
      </w:r>
      <w:r w:rsidRPr="00A76485">
        <w:rPr>
          <w:rFonts w:ascii="Arial" w:hAnsi="Arial" w:cs="Arial"/>
          <w:sz w:val="21"/>
          <w:szCs w:val="21"/>
        </w:rPr>
        <w:t xml:space="preserve">del </w:t>
      </w:r>
      <w:r w:rsidR="004D3FB8" w:rsidRPr="00A76485">
        <w:rPr>
          <w:rFonts w:ascii="Arial" w:hAnsi="Arial" w:cs="Arial"/>
          <w:sz w:val="21"/>
          <w:szCs w:val="21"/>
        </w:rPr>
        <w:t>Distrito</w:t>
      </w:r>
      <w:r w:rsidRPr="00A76485">
        <w:rPr>
          <w:rFonts w:ascii="Arial" w:hAnsi="Arial" w:cs="Arial"/>
          <w:sz w:val="21"/>
          <w:szCs w:val="21"/>
        </w:rPr>
        <w:t xml:space="preserve"> presentó el siguiente comportamiento: </w:t>
      </w:r>
    </w:p>
    <w:p w14:paraId="5E47E1BF" w14:textId="77777777" w:rsidR="00B53AC8" w:rsidRPr="00A76485" w:rsidRDefault="00B53AC8" w:rsidP="00492D77">
      <w:pPr>
        <w:contextualSpacing/>
        <w:jc w:val="both"/>
        <w:rPr>
          <w:rFonts w:ascii="Arial" w:hAnsi="Arial" w:cs="Arial"/>
          <w:sz w:val="21"/>
          <w:szCs w:val="21"/>
        </w:rPr>
      </w:pPr>
    </w:p>
    <w:p w14:paraId="06AC3FE5"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Grafica No 1</w:t>
      </w:r>
    </w:p>
    <w:p w14:paraId="191BF010" w14:textId="77777777" w:rsidR="004D3FB8" w:rsidRPr="00A76485" w:rsidRDefault="004D3FB8" w:rsidP="00492D77">
      <w:pPr>
        <w:contextualSpacing/>
        <w:jc w:val="center"/>
        <w:rPr>
          <w:rFonts w:ascii="Arial" w:hAnsi="Arial" w:cs="Arial"/>
          <w:b/>
          <w:sz w:val="18"/>
          <w:szCs w:val="18"/>
        </w:rPr>
      </w:pPr>
      <w:r w:rsidRPr="00A76485">
        <w:rPr>
          <w:rFonts w:ascii="Arial" w:hAnsi="Arial" w:cs="Arial"/>
          <w:noProof/>
          <w:lang w:val="es-CO" w:eastAsia="es-CO"/>
        </w:rPr>
        <w:drawing>
          <wp:inline distT="0" distB="0" distL="0" distR="0" wp14:anchorId="4FA23DE0" wp14:editId="1E2CA646">
            <wp:extent cx="5612130" cy="2972435"/>
            <wp:effectExtent l="0" t="0" r="7620" b="18415"/>
            <wp:docPr id="51" name="Gráfico 5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D54E4F" w14:textId="77777777" w:rsidR="00B53AC8" w:rsidRPr="00A76485" w:rsidRDefault="00B53AC8" w:rsidP="00492D77">
      <w:pPr>
        <w:contextualSpacing/>
        <w:jc w:val="center"/>
        <w:rPr>
          <w:rFonts w:ascii="Arial" w:eastAsia="Times New Roman" w:hAnsi="Arial" w:cs="Arial"/>
          <w:sz w:val="16"/>
          <w:szCs w:val="16"/>
        </w:rPr>
      </w:pPr>
      <w:r w:rsidRPr="00A76485">
        <w:rPr>
          <w:rFonts w:ascii="Arial" w:eastAsia="Times New Roman" w:hAnsi="Arial" w:cs="Arial"/>
          <w:b/>
          <w:bCs/>
          <w:color w:val="000000"/>
          <w:sz w:val="16"/>
          <w:szCs w:val="16"/>
          <w:lang w:val="es-CO" w:eastAsia="es-CO"/>
        </w:rPr>
        <w:t xml:space="preserve">Fuente: </w:t>
      </w:r>
      <w:r w:rsidRPr="00A76485">
        <w:rPr>
          <w:rFonts w:ascii="Arial" w:eastAsia="Times New Roman" w:hAnsi="Arial" w:cs="Arial"/>
          <w:color w:val="000000"/>
          <w:sz w:val="16"/>
          <w:szCs w:val="16"/>
          <w:lang w:val="es-CO" w:eastAsia="es-CO"/>
        </w:rPr>
        <w:t xml:space="preserve">MSPS Resoluciones </w:t>
      </w:r>
      <w:r w:rsidRPr="00A76485">
        <w:rPr>
          <w:rFonts w:ascii="Arial" w:eastAsia="Times New Roman" w:hAnsi="Arial" w:cs="Arial"/>
          <w:sz w:val="16"/>
          <w:szCs w:val="16"/>
          <w:lang w:val="es-CO" w:eastAsia="es-CO"/>
        </w:rPr>
        <w:t>categorización de riesgo 2012-20</w:t>
      </w:r>
      <w:r w:rsidR="00193B9F" w:rsidRPr="00A76485">
        <w:rPr>
          <w:rFonts w:ascii="Arial" w:eastAsia="Times New Roman" w:hAnsi="Arial" w:cs="Arial"/>
          <w:sz w:val="16"/>
          <w:szCs w:val="16"/>
          <w:lang w:val="es-CO" w:eastAsia="es-CO"/>
        </w:rPr>
        <w:t>23</w:t>
      </w:r>
    </w:p>
    <w:p w14:paraId="152A04E5" w14:textId="77777777" w:rsidR="00B53AC8" w:rsidRPr="00A76485" w:rsidRDefault="00B53AC8" w:rsidP="00492D77">
      <w:pPr>
        <w:autoSpaceDE w:val="0"/>
        <w:autoSpaceDN w:val="0"/>
        <w:adjustRightInd w:val="0"/>
        <w:contextualSpacing/>
        <w:jc w:val="both"/>
        <w:rPr>
          <w:rFonts w:ascii="Arial" w:eastAsia="Calibri" w:hAnsi="Arial" w:cs="Arial"/>
          <w:sz w:val="21"/>
          <w:szCs w:val="21"/>
          <w:lang w:eastAsia="en-US"/>
        </w:rPr>
      </w:pPr>
    </w:p>
    <w:p w14:paraId="080A70A7" w14:textId="77777777" w:rsidR="00B53AC8" w:rsidRPr="00A76485" w:rsidRDefault="00B53AC8" w:rsidP="00492D77">
      <w:pPr>
        <w:autoSpaceDE w:val="0"/>
        <w:autoSpaceDN w:val="0"/>
        <w:adjustRightInd w:val="0"/>
        <w:contextualSpacing/>
        <w:jc w:val="both"/>
        <w:rPr>
          <w:rFonts w:ascii="Arial" w:hAnsi="Arial" w:cs="Arial"/>
          <w:sz w:val="21"/>
          <w:szCs w:val="21"/>
        </w:rPr>
      </w:pPr>
      <w:r w:rsidRPr="00A76485">
        <w:rPr>
          <w:rFonts w:ascii="Arial" w:eastAsia="Calibri" w:hAnsi="Arial" w:cs="Arial"/>
          <w:sz w:val="21"/>
          <w:szCs w:val="21"/>
          <w:lang w:eastAsia="en-US"/>
        </w:rPr>
        <w:t>Lo</w:t>
      </w:r>
      <w:r w:rsidRPr="00A76485">
        <w:rPr>
          <w:rFonts w:ascii="Arial" w:hAnsi="Arial" w:cs="Arial"/>
          <w:sz w:val="21"/>
          <w:szCs w:val="21"/>
        </w:rPr>
        <w:t>s resultados financieros arrojados al cierre de la vigencia 2022 por la Red Pública prestadora de Servicios de Salud presentan el siguiente escenario:</w:t>
      </w:r>
    </w:p>
    <w:p w14:paraId="139077A2" w14:textId="77777777" w:rsidR="00B53AC8" w:rsidRPr="00A76485" w:rsidRDefault="00B53AC8" w:rsidP="00492D77">
      <w:pPr>
        <w:rPr>
          <w:rFonts w:ascii="Arial" w:hAnsi="Arial" w:cs="Arial"/>
          <w:sz w:val="21"/>
          <w:szCs w:val="21"/>
        </w:rPr>
      </w:pPr>
    </w:p>
    <w:p w14:paraId="284A47D6" w14:textId="77777777" w:rsidR="00B07A14" w:rsidRPr="00A76485" w:rsidRDefault="00B07A14" w:rsidP="00492D77">
      <w:pPr>
        <w:rPr>
          <w:rFonts w:ascii="Arial" w:hAnsi="Arial" w:cs="Arial"/>
          <w:sz w:val="21"/>
          <w:szCs w:val="21"/>
        </w:rPr>
      </w:pPr>
    </w:p>
    <w:p w14:paraId="44B2A93E" w14:textId="77777777" w:rsidR="00B07A14" w:rsidRPr="00A76485" w:rsidRDefault="00B07A14" w:rsidP="00492D77">
      <w:pPr>
        <w:rPr>
          <w:rFonts w:ascii="Arial" w:hAnsi="Arial" w:cs="Arial"/>
          <w:sz w:val="21"/>
          <w:szCs w:val="21"/>
        </w:rPr>
      </w:pPr>
    </w:p>
    <w:p w14:paraId="15139AD3" w14:textId="77777777" w:rsidR="00B07A14" w:rsidRPr="00A76485" w:rsidRDefault="00B07A14" w:rsidP="00492D77">
      <w:pPr>
        <w:autoSpaceDE w:val="0"/>
        <w:autoSpaceDN w:val="0"/>
        <w:adjustRightInd w:val="0"/>
        <w:contextualSpacing/>
        <w:jc w:val="center"/>
        <w:rPr>
          <w:rFonts w:ascii="Arial" w:hAnsi="Arial" w:cs="Arial"/>
          <w:b/>
          <w:sz w:val="18"/>
          <w:szCs w:val="18"/>
        </w:rPr>
      </w:pPr>
    </w:p>
    <w:p w14:paraId="2C274853" w14:textId="77777777" w:rsidR="00B53AC8" w:rsidRPr="00A76485" w:rsidRDefault="00B53AC8" w:rsidP="00492D77">
      <w:pPr>
        <w:autoSpaceDE w:val="0"/>
        <w:autoSpaceDN w:val="0"/>
        <w:adjustRightInd w:val="0"/>
        <w:contextualSpacing/>
        <w:jc w:val="center"/>
        <w:rPr>
          <w:rFonts w:ascii="Arial" w:hAnsi="Arial" w:cs="Arial"/>
          <w:b/>
          <w:sz w:val="18"/>
          <w:szCs w:val="18"/>
        </w:rPr>
      </w:pPr>
      <w:r w:rsidRPr="00A76485">
        <w:rPr>
          <w:rFonts w:ascii="Arial" w:hAnsi="Arial" w:cs="Arial"/>
          <w:b/>
          <w:sz w:val="18"/>
          <w:szCs w:val="18"/>
        </w:rPr>
        <w:t>Tabla No 2.</w:t>
      </w:r>
    </w:p>
    <w:p w14:paraId="7A0E706A" w14:textId="77777777" w:rsidR="00B53AC8" w:rsidRPr="00A76485" w:rsidRDefault="00B53AC8" w:rsidP="00492D77">
      <w:pPr>
        <w:autoSpaceDE w:val="0"/>
        <w:autoSpaceDN w:val="0"/>
        <w:adjustRightInd w:val="0"/>
        <w:ind w:left="1416"/>
        <w:contextualSpacing/>
        <w:rPr>
          <w:rFonts w:ascii="Arial" w:hAnsi="Arial" w:cs="Arial"/>
          <w:b/>
          <w:sz w:val="18"/>
          <w:szCs w:val="18"/>
        </w:rPr>
      </w:pPr>
      <w:r w:rsidRPr="00A76485">
        <w:rPr>
          <w:rFonts w:ascii="Arial" w:eastAsia="Times New Roman" w:hAnsi="Arial" w:cs="Arial"/>
          <w:color w:val="000000"/>
          <w:sz w:val="18"/>
          <w:szCs w:val="18"/>
          <w:lang w:val="es-CO" w:eastAsia="es-CO"/>
        </w:rPr>
        <w:t xml:space="preserve">                                    Cifras en Millones de $</w:t>
      </w:r>
    </w:p>
    <w:tbl>
      <w:tblPr>
        <w:tblW w:w="6637" w:type="dxa"/>
        <w:jc w:val="center"/>
        <w:tblCellMar>
          <w:left w:w="70" w:type="dxa"/>
          <w:right w:w="70" w:type="dxa"/>
        </w:tblCellMar>
        <w:tblLook w:val="04A0" w:firstRow="1" w:lastRow="0" w:firstColumn="1" w:lastColumn="0" w:noHBand="0" w:noVBand="1"/>
      </w:tblPr>
      <w:tblGrid>
        <w:gridCol w:w="1701"/>
        <w:gridCol w:w="1234"/>
        <w:gridCol w:w="1234"/>
        <w:gridCol w:w="1234"/>
        <w:gridCol w:w="1234"/>
      </w:tblGrid>
      <w:tr w:rsidR="00B53AC8" w:rsidRPr="00A76485" w14:paraId="62BD9E2D" w14:textId="77777777" w:rsidTr="003A3DD0">
        <w:trPr>
          <w:trHeight w:val="331"/>
          <w:jc w:val="center"/>
        </w:trPr>
        <w:tc>
          <w:tcPr>
            <w:tcW w:w="1701" w:type="dxa"/>
            <w:tcBorders>
              <w:top w:val="single" w:sz="8" w:space="0" w:color="808080"/>
              <w:left w:val="nil"/>
              <w:bottom w:val="single" w:sz="8" w:space="0" w:color="808080"/>
              <w:right w:val="nil"/>
            </w:tcBorders>
            <w:shd w:val="clear" w:color="000000" w:fill="D9D9D9"/>
            <w:vAlign w:val="center"/>
            <w:hideMark/>
          </w:tcPr>
          <w:p w14:paraId="16FB91AA" w14:textId="77777777" w:rsidR="00B53AC8" w:rsidRPr="00A76485" w:rsidRDefault="00B53AC8" w:rsidP="00492D77">
            <w:pPr>
              <w:jc w:val="cente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Concepto</w:t>
            </w:r>
          </w:p>
        </w:tc>
        <w:tc>
          <w:tcPr>
            <w:tcW w:w="1234" w:type="dxa"/>
            <w:tcBorders>
              <w:top w:val="single" w:sz="8" w:space="0" w:color="808080"/>
              <w:left w:val="nil"/>
              <w:bottom w:val="single" w:sz="8" w:space="0" w:color="808080"/>
              <w:right w:val="nil"/>
            </w:tcBorders>
            <w:shd w:val="clear" w:color="000000" w:fill="D9D9D9"/>
            <w:vAlign w:val="center"/>
            <w:hideMark/>
          </w:tcPr>
          <w:p w14:paraId="4C0FE3AD" w14:textId="77777777" w:rsidR="00B53AC8" w:rsidRPr="00A76485" w:rsidRDefault="00B53AC8" w:rsidP="00492D77">
            <w:pPr>
              <w:jc w:val="cente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Nivel I</w:t>
            </w:r>
          </w:p>
        </w:tc>
        <w:tc>
          <w:tcPr>
            <w:tcW w:w="1234" w:type="dxa"/>
            <w:tcBorders>
              <w:top w:val="single" w:sz="8" w:space="0" w:color="808080"/>
              <w:left w:val="nil"/>
              <w:bottom w:val="single" w:sz="8" w:space="0" w:color="808080"/>
              <w:right w:val="nil"/>
            </w:tcBorders>
            <w:shd w:val="clear" w:color="000000" w:fill="D9D9D9"/>
            <w:vAlign w:val="center"/>
            <w:hideMark/>
          </w:tcPr>
          <w:p w14:paraId="189E312D" w14:textId="77777777" w:rsidR="00B53AC8" w:rsidRPr="00A76485" w:rsidRDefault="00B53AC8" w:rsidP="00492D77">
            <w:pPr>
              <w:jc w:val="cente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Nivel II</w:t>
            </w:r>
          </w:p>
        </w:tc>
        <w:tc>
          <w:tcPr>
            <w:tcW w:w="1234" w:type="dxa"/>
            <w:tcBorders>
              <w:top w:val="single" w:sz="8" w:space="0" w:color="808080"/>
              <w:left w:val="nil"/>
              <w:bottom w:val="single" w:sz="8" w:space="0" w:color="808080"/>
              <w:right w:val="nil"/>
            </w:tcBorders>
            <w:shd w:val="clear" w:color="000000" w:fill="D9D9D9"/>
            <w:vAlign w:val="center"/>
            <w:hideMark/>
          </w:tcPr>
          <w:p w14:paraId="07D15036" w14:textId="77777777" w:rsidR="00B53AC8" w:rsidRPr="00A76485" w:rsidRDefault="00B53AC8" w:rsidP="00492D77">
            <w:pPr>
              <w:jc w:val="cente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Nivel III</w:t>
            </w:r>
          </w:p>
        </w:tc>
        <w:tc>
          <w:tcPr>
            <w:tcW w:w="1234" w:type="dxa"/>
            <w:tcBorders>
              <w:top w:val="single" w:sz="8" w:space="0" w:color="808080"/>
              <w:left w:val="nil"/>
              <w:bottom w:val="single" w:sz="8" w:space="0" w:color="808080"/>
              <w:right w:val="nil"/>
            </w:tcBorders>
            <w:shd w:val="clear" w:color="000000" w:fill="D9D9D9"/>
            <w:vAlign w:val="center"/>
            <w:hideMark/>
          </w:tcPr>
          <w:p w14:paraId="03FED853" w14:textId="77777777" w:rsidR="00B53AC8" w:rsidRPr="00A76485" w:rsidRDefault="00B53AC8" w:rsidP="00492D77">
            <w:pPr>
              <w:jc w:val="cente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Total</w:t>
            </w:r>
          </w:p>
        </w:tc>
      </w:tr>
      <w:tr w:rsidR="00B53AC8" w:rsidRPr="00A76485" w14:paraId="5E309038" w14:textId="77777777" w:rsidTr="003A3DD0">
        <w:trPr>
          <w:trHeight w:val="331"/>
          <w:jc w:val="center"/>
        </w:trPr>
        <w:tc>
          <w:tcPr>
            <w:tcW w:w="1701" w:type="dxa"/>
            <w:tcBorders>
              <w:top w:val="nil"/>
              <w:left w:val="nil"/>
              <w:bottom w:val="single" w:sz="8" w:space="0" w:color="808080"/>
              <w:right w:val="nil"/>
            </w:tcBorders>
            <w:shd w:val="clear" w:color="auto" w:fill="auto"/>
            <w:vAlign w:val="center"/>
            <w:hideMark/>
          </w:tcPr>
          <w:p w14:paraId="1F69FCC4"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1. Ingresos</w:t>
            </w:r>
          </w:p>
        </w:tc>
        <w:tc>
          <w:tcPr>
            <w:tcW w:w="1234" w:type="dxa"/>
            <w:tcBorders>
              <w:top w:val="nil"/>
              <w:left w:val="nil"/>
              <w:bottom w:val="single" w:sz="8" w:space="0" w:color="808080"/>
              <w:right w:val="nil"/>
            </w:tcBorders>
            <w:shd w:val="clear" w:color="000000" w:fill="FFFFFF"/>
            <w:vAlign w:val="center"/>
            <w:hideMark/>
          </w:tcPr>
          <w:p w14:paraId="4012AB91"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45.842</w:t>
            </w:r>
          </w:p>
        </w:tc>
        <w:tc>
          <w:tcPr>
            <w:tcW w:w="1234" w:type="dxa"/>
            <w:tcBorders>
              <w:top w:val="nil"/>
              <w:left w:val="nil"/>
              <w:bottom w:val="single" w:sz="8" w:space="0" w:color="808080"/>
              <w:right w:val="nil"/>
            </w:tcBorders>
            <w:shd w:val="clear" w:color="auto" w:fill="auto"/>
            <w:vAlign w:val="center"/>
            <w:hideMark/>
          </w:tcPr>
          <w:p w14:paraId="274CB4A4"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w:t>
            </w:r>
          </w:p>
        </w:tc>
        <w:tc>
          <w:tcPr>
            <w:tcW w:w="1234" w:type="dxa"/>
            <w:tcBorders>
              <w:top w:val="nil"/>
              <w:left w:val="nil"/>
              <w:bottom w:val="single" w:sz="8" w:space="0" w:color="808080"/>
              <w:right w:val="nil"/>
            </w:tcBorders>
            <w:shd w:val="clear" w:color="auto" w:fill="auto"/>
            <w:vAlign w:val="center"/>
            <w:hideMark/>
          </w:tcPr>
          <w:p w14:paraId="44BABEAF"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86.898 </w:t>
            </w:r>
          </w:p>
        </w:tc>
        <w:tc>
          <w:tcPr>
            <w:tcW w:w="1234" w:type="dxa"/>
            <w:tcBorders>
              <w:top w:val="nil"/>
              <w:left w:val="nil"/>
              <w:bottom w:val="single" w:sz="8" w:space="0" w:color="808080"/>
              <w:right w:val="nil"/>
            </w:tcBorders>
            <w:shd w:val="clear" w:color="auto" w:fill="auto"/>
            <w:vAlign w:val="center"/>
            <w:hideMark/>
          </w:tcPr>
          <w:p w14:paraId="4B3227E0"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130.740</w:t>
            </w:r>
          </w:p>
        </w:tc>
      </w:tr>
      <w:tr w:rsidR="00B53AC8" w:rsidRPr="00A76485" w14:paraId="40B83722" w14:textId="77777777" w:rsidTr="003A3DD0">
        <w:trPr>
          <w:trHeight w:val="331"/>
          <w:jc w:val="center"/>
        </w:trPr>
        <w:tc>
          <w:tcPr>
            <w:tcW w:w="1701" w:type="dxa"/>
            <w:tcBorders>
              <w:top w:val="nil"/>
              <w:left w:val="nil"/>
              <w:bottom w:val="single" w:sz="8" w:space="0" w:color="808080"/>
              <w:right w:val="nil"/>
            </w:tcBorders>
            <w:shd w:val="clear" w:color="auto" w:fill="auto"/>
            <w:vAlign w:val="center"/>
            <w:hideMark/>
          </w:tcPr>
          <w:p w14:paraId="08199801"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2. Gastos</w:t>
            </w:r>
          </w:p>
        </w:tc>
        <w:tc>
          <w:tcPr>
            <w:tcW w:w="1234" w:type="dxa"/>
            <w:tcBorders>
              <w:top w:val="nil"/>
              <w:left w:val="nil"/>
              <w:bottom w:val="single" w:sz="8" w:space="0" w:color="808080"/>
              <w:right w:val="nil"/>
            </w:tcBorders>
            <w:shd w:val="clear" w:color="000000" w:fill="FFFFFF"/>
            <w:vAlign w:val="center"/>
            <w:hideMark/>
          </w:tcPr>
          <w:p w14:paraId="58E901CE"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38.026</w:t>
            </w:r>
          </w:p>
        </w:tc>
        <w:tc>
          <w:tcPr>
            <w:tcW w:w="1234" w:type="dxa"/>
            <w:tcBorders>
              <w:top w:val="nil"/>
              <w:left w:val="nil"/>
              <w:bottom w:val="single" w:sz="8" w:space="0" w:color="808080"/>
              <w:right w:val="nil"/>
            </w:tcBorders>
            <w:shd w:val="clear" w:color="auto" w:fill="auto"/>
            <w:vAlign w:val="center"/>
            <w:hideMark/>
          </w:tcPr>
          <w:p w14:paraId="7DF71273"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w:t>
            </w:r>
          </w:p>
        </w:tc>
        <w:tc>
          <w:tcPr>
            <w:tcW w:w="1234" w:type="dxa"/>
            <w:tcBorders>
              <w:top w:val="nil"/>
              <w:left w:val="nil"/>
              <w:bottom w:val="single" w:sz="8" w:space="0" w:color="808080"/>
              <w:right w:val="nil"/>
            </w:tcBorders>
            <w:shd w:val="clear" w:color="auto" w:fill="auto"/>
            <w:vAlign w:val="center"/>
            <w:hideMark/>
          </w:tcPr>
          <w:p w14:paraId="0A8BC516"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115.976 </w:t>
            </w:r>
          </w:p>
        </w:tc>
        <w:tc>
          <w:tcPr>
            <w:tcW w:w="1234" w:type="dxa"/>
            <w:tcBorders>
              <w:top w:val="nil"/>
              <w:left w:val="nil"/>
              <w:bottom w:val="single" w:sz="8" w:space="0" w:color="808080"/>
              <w:right w:val="nil"/>
            </w:tcBorders>
            <w:shd w:val="clear" w:color="auto" w:fill="auto"/>
            <w:vAlign w:val="center"/>
            <w:hideMark/>
          </w:tcPr>
          <w:p w14:paraId="2F14817C"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154.002</w:t>
            </w:r>
          </w:p>
        </w:tc>
      </w:tr>
      <w:tr w:rsidR="00B53AC8" w:rsidRPr="00A76485" w14:paraId="4D3C6085" w14:textId="77777777" w:rsidTr="003A3DD0">
        <w:trPr>
          <w:trHeight w:val="486"/>
          <w:jc w:val="center"/>
        </w:trPr>
        <w:tc>
          <w:tcPr>
            <w:tcW w:w="1701" w:type="dxa"/>
            <w:tcBorders>
              <w:top w:val="nil"/>
              <w:left w:val="nil"/>
              <w:bottom w:val="single" w:sz="8" w:space="0" w:color="808080"/>
              <w:right w:val="nil"/>
            </w:tcBorders>
            <w:shd w:val="clear" w:color="auto" w:fill="auto"/>
            <w:vAlign w:val="center"/>
            <w:hideMark/>
          </w:tcPr>
          <w:p w14:paraId="7627D8F5"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3. Resultado (1-2)</w:t>
            </w:r>
          </w:p>
        </w:tc>
        <w:tc>
          <w:tcPr>
            <w:tcW w:w="1234" w:type="dxa"/>
            <w:tcBorders>
              <w:top w:val="nil"/>
              <w:left w:val="nil"/>
              <w:bottom w:val="single" w:sz="8" w:space="0" w:color="808080"/>
              <w:right w:val="nil"/>
            </w:tcBorders>
            <w:shd w:val="clear" w:color="000000" w:fill="FFFFFF"/>
            <w:vAlign w:val="center"/>
            <w:hideMark/>
          </w:tcPr>
          <w:p w14:paraId="71BB2563"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7.816</w:t>
            </w:r>
          </w:p>
        </w:tc>
        <w:tc>
          <w:tcPr>
            <w:tcW w:w="1234" w:type="dxa"/>
            <w:tcBorders>
              <w:top w:val="nil"/>
              <w:left w:val="nil"/>
              <w:bottom w:val="single" w:sz="8" w:space="0" w:color="808080"/>
              <w:right w:val="nil"/>
            </w:tcBorders>
            <w:shd w:val="clear" w:color="000000" w:fill="FFFFFF"/>
            <w:vAlign w:val="center"/>
            <w:hideMark/>
          </w:tcPr>
          <w:p w14:paraId="339646DE"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w:t>
            </w:r>
          </w:p>
        </w:tc>
        <w:tc>
          <w:tcPr>
            <w:tcW w:w="1234" w:type="dxa"/>
            <w:tcBorders>
              <w:top w:val="nil"/>
              <w:left w:val="nil"/>
              <w:bottom w:val="single" w:sz="8" w:space="0" w:color="808080"/>
              <w:right w:val="nil"/>
            </w:tcBorders>
            <w:shd w:val="clear" w:color="000000" w:fill="FFFFFF"/>
            <w:vAlign w:val="center"/>
            <w:hideMark/>
          </w:tcPr>
          <w:p w14:paraId="27298EE3"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-29.078</w:t>
            </w:r>
          </w:p>
        </w:tc>
        <w:tc>
          <w:tcPr>
            <w:tcW w:w="1234" w:type="dxa"/>
            <w:tcBorders>
              <w:top w:val="nil"/>
              <w:left w:val="nil"/>
              <w:bottom w:val="single" w:sz="8" w:space="0" w:color="808080"/>
              <w:right w:val="nil"/>
            </w:tcBorders>
            <w:shd w:val="clear" w:color="auto" w:fill="auto"/>
            <w:vAlign w:val="center"/>
            <w:hideMark/>
          </w:tcPr>
          <w:p w14:paraId="005B64F3"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-21.262</w:t>
            </w:r>
          </w:p>
        </w:tc>
      </w:tr>
      <w:tr w:rsidR="00B53AC8" w:rsidRPr="00A76485" w14:paraId="1C6BB75D" w14:textId="77777777" w:rsidTr="003A3DD0">
        <w:trPr>
          <w:trHeight w:val="331"/>
          <w:jc w:val="center"/>
        </w:trPr>
        <w:tc>
          <w:tcPr>
            <w:tcW w:w="1701" w:type="dxa"/>
            <w:tcBorders>
              <w:top w:val="nil"/>
              <w:left w:val="nil"/>
              <w:bottom w:val="single" w:sz="8" w:space="0" w:color="808080"/>
              <w:right w:val="nil"/>
            </w:tcBorders>
            <w:shd w:val="clear" w:color="auto" w:fill="auto"/>
            <w:vAlign w:val="center"/>
            <w:hideMark/>
          </w:tcPr>
          <w:p w14:paraId="204FA889"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4. Pasivos</w:t>
            </w:r>
          </w:p>
        </w:tc>
        <w:tc>
          <w:tcPr>
            <w:tcW w:w="1234" w:type="dxa"/>
            <w:tcBorders>
              <w:top w:val="nil"/>
              <w:left w:val="nil"/>
              <w:bottom w:val="single" w:sz="8" w:space="0" w:color="808080"/>
              <w:right w:val="nil"/>
            </w:tcBorders>
            <w:shd w:val="clear" w:color="auto" w:fill="auto"/>
            <w:vAlign w:val="center"/>
            <w:hideMark/>
          </w:tcPr>
          <w:p w14:paraId="2B0145F2"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22.910</w:t>
            </w:r>
          </w:p>
        </w:tc>
        <w:tc>
          <w:tcPr>
            <w:tcW w:w="1234" w:type="dxa"/>
            <w:tcBorders>
              <w:top w:val="nil"/>
              <w:left w:val="nil"/>
              <w:bottom w:val="single" w:sz="8" w:space="0" w:color="808080"/>
              <w:right w:val="nil"/>
            </w:tcBorders>
            <w:shd w:val="clear" w:color="auto" w:fill="auto"/>
            <w:vAlign w:val="center"/>
            <w:hideMark/>
          </w:tcPr>
          <w:p w14:paraId="6AE514E7"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w:t>
            </w:r>
          </w:p>
        </w:tc>
        <w:tc>
          <w:tcPr>
            <w:tcW w:w="1234" w:type="dxa"/>
            <w:tcBorders>
              <w:top w:val="nil"/>
              <w:left w:val="nil"/>
              <w:bottom w:val="single" w:sz="8" w:space="0" w:color="808080"/>
              <w:right w:val="nil"/>
            </w:tcBorders>
            <w:shd w:val="clear" w:color="auto" w:fill="auto"/>
            <w:vAlign w:val="center"/>
            <w:hideMark/>
          </w:tcPr>
          <w:p w14:paraId="715FC066"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80.470 </w:t>
            </w:r>
          </w:p>
        </w:tc>
        <w:tc>
          <w:tcPr>
            <w:tcW w:w="1234" w:type="dxa"/>
            <w:tcBorders>
              <w:top w:val="nil"/>
              <w:left w:val="nil"/>
              <w:bottom w:val="single" w:sz="8" w:space="0" w:color="808080"/>
              <w:right w:val="nil"/>
            </w:tcBorders>
            <w:shd w:val="clear" w:color="auto" w:fill="auto"/>
            <w:vAlign w:val="center"/>
            <w:hideMark/>
          </w:tcPr>
          <w:p w14:paraId="01650B36"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103.380</w:t>
            </w:r>
          </w:p>
        </w:tc>
      </w:tr>
      <w:tr w:rsidR="00B53AC8" w:rsidRPr="00A76485" w14:paraId="3125396C" w14:textId="77777777" w:rsidTr="003A3DD0">
        <w:trPr>
          <w:trHeight w:val="331"/>
          <w:jc w:val="center"/>
        </w:trPr>
        <w:tc>
          <w:tcPr>
            <w:tcW w:w="1701" w:type="dxa"/>
            <w:tcBorders>
              <w:top w:val="nil"/>
              <w:left w:val="nil"/>
              <w:bottom w:val="single" w:sz="8" w:space="0" w:color="808080"/>
              <w:right w:val="nil"/>
            </w:tcBorders>
            <w:shd w:val="clear" w:color="auto" w:fill="auto"/>
            <w:vAlign w:val="center"/>
            <w:hideMark/>
          </w:tcPr>
          <w:p w14:paraId="6B662CB9"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5. Cartera</w:t>
            </w:r>
          </w:p>
        </w:tc>
        <w:tc>
          <w:tcPr>
            <w:tcW w:w="1234" w:type="dxa"/>
            <w:tcBorders>
              <w:top w:val="nil"/>
              <w:left w:val="nil"/>
              <w:bottom w:val="single" w:sz="8" w:space="0" w:color="808080"/>
              <w:right w:val="nil"/>
            </w:tcBorders>
            <w:shd w:val="clear" w:color="000000" w:fill="FFFFFF"/>
            <w:vAlign w:val="center"/>
            <w:hideMark/>
          </w:tcPr>
          <w:p w14:paraId="49CE948E" w14:textId="77777777" w:rsidR="00B53AC8" w:rsidRPr="00A76485" w:rsidRDefault="009A1C97" w:rsidP="00492D77">
            <w:pPr>
              <w:jc w:val="cente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19.599</w:t>
            </w:r>
          </w:p>
        </w:tc>
        <w:tc>
          <w:tcPr>
            <w:tcW w:w="1234" w:type="dxa"/>
            <w:tcBorders>
              <w:top w:val="nil"/>
              <w:left w:val="nil"/>
              <w:bottom w:val="single" w:sz="8" w:space="0" w:color="808080"/>
              <w:right w:val="nil"/>
            </w:tcBorders>
            <w:shd w:val="clear" w:color="auto" w:fill="auto"/>
            <w:vAlign w:val="center"/>
            <w:hideMark/>
          </w:tcPr>
          <w:p w14:paraId="1525D7A4"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w:t>
            </w:r>
          </w:p>
        </w:tc>
        <w:tc>
          <w:tcPr>
            <w:tcW w:w="1234" w:type="dxa"/>
            <w:tcBorders>
              <w:top w:val="nil"/>
              <w:left w:val="nil"/>
              <w:bottom w:val="single" w:sz="8" w:space="0" w:color="808080"/>
              <w:right w:val="nil"/>
            </w:tcBorders>
            <w:shd w:val="clear" w:color="auto" w:fill="auto"/>
            <w:vAlign w:val="center"/>
            <w:hideMark/>
          </w:tcPr>
          <w:p w14:paraId="67CE7010" w14:textId="77777777" w:rsidR="00B53AC8" w:rsidRPr="00A76485" w:rsidRDefault="00B53AC8" w:rsidP="00492D77">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113.772 </w:t>
            </w:r>
          </w:p>
        </w:tc>
        <w:tc>
          <w:tcPr>
            <w:tcW w:w="1234" w:type="dxa"/>
            <w:tcBorders>
              <w:top w:val="nil"/>
              <w:left w:val="nil"/>
              <w:bottom w:val="single" w:sz="8" w:space="0" w:color="808080"/>
              <w:right w:val="nil"/>
            </w:tcBorders>
            <w:shd w:val="clear" w:color="auto" w:fill="auto"/>
            <w:vAlign w:val="center"/>
            <w:hideMark/>
          </w:tcPr>
          <w:p w14:paraId="75AE0C92" w14:textId="77777777" w:rsidR="00B53AC8" w:rsidRPr="00A76485" w:rsidRDefault="00B53AC8" w:rsidP="009A1C9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w:t>
            </w:r>
            <w:r w:rsidR="009A1C97">
              <w:rPr>
                <w:rFonts w:ascii="Arial" w:eastAsia="Times New Roman" w:hAnsi="Arial" w:cs="Arial"/>
                <w:color w:val="000000"/>
                <w:sz w:val="18"/>
                <w:szCs w:val="18"/>
                <w:lang w:val="es-CO" w:eastAsia="es-CO"/>
              </w:rPr>
              <w:t>133.371</w:t>
            </w:r>
          </w:p>
        </w:tc>
      </w:tr>
    </w:tbl>
    <w:p w14:paraId="7C18ABCA" w14:textId="77777777" w:rsidR="00B53AC8" w:rsidRPr="00A76485" w:rsidRDefault="00B53AC8" w:rsidP="003A3DD0">
      <w:pPr>
        <w:ind w:firstLine="709"/>
        <w:contextualSpacing/>
        <w:jc w:val="center"/>
        <w:rPr>
          <w:rFonts w:ascii="Arial" w:eastAsia="Times New Roman" w:hAnsi="Arial" w:cs="Arial"/>
          <w:sz w:val="16"/>
          <w:szCs w:val="16"/>
        </w:rPr>
      </w:pPr>
      <w:r w:rsidRPr="00A76485">
        <w:rPr>
          <w:rFonts w:ascii="Arial" w:eastAsia="Times New Roman" w:hAnsi="Arial" w:cs="Arial"/>
          <w:b/>
          <w:bCs/>
          <w:color w:val="000000"/>
          <w:sz w:val="16"/>
          <w:szCs w:val="16"/>
          <w:lang w:val="es-CO" w:eastAsia="es-CO"/>
        </w:rPr>
        <w:t>Fuente:</w:t>
      </w:r>
      <w:r w:rsidR="004D3FB8" w:rsidRPr="00A76485">
        <w:rPr>
          <w:rFonts w:ascii="Arial" w:eastAsia="Times New Roman" w:hAnsi="Arial" w:cs="Arial"/>
          <w:b/>
          <w:bCs/>
          <w:color w:val="000000"/>
          <w:sz w:val="16"/>
          <w:szCs w:val="16"/>
          <w:lang w:val="es-CO" w:eastAsia="es-CO"/>
        </w:rPr>
        <w:t xml:space="preserve"> </w:t>
      </w:r>
      <w:r w:rsidR="004D3FB8" w:rsidRPr="00A76485">
        <w:rPr>
          <w:rFonts w:ascii="Arial" w:eastAsia="Times New Roman" w:hAnsi="Arial" w:cs="Arial"/>
          <w:sz w:val="16"/>
          <w:szCs w:val="16"/>
          <w:lang w:val="es-CO" w:eastAsia="es-CO"/>
        </w:rPr>
        <w:t>SIHO Cierre de 2022</w:t>
      </w:r>
    </w:p>
    <w:p w14:paraId="59835021" w14:textId="77777777" w:rsidR="004D3FB8" w:rsidRPr="00A76485" w:rsidRDefault="004D3FB8" w:rsidP="00492D77">
      <w:pPr>
        <w:jc w:val="both"/>
        <w:rPr>
          <w:rFonts w:ascii="Arial" w:hAnsi="Arial" w:cs="Arial"/>
          <w:sz w:val="21"/>
          <w:szCs w:val="21"/>
        </w:rPr>
      </w:pPr>
    </w:p>
    <w:p w14:paraId="1DA5E39F" w14:textId="77777777" w:rsidR="00B53AC8" w:rsidRPr="00A76485" w:rsidRDefault="00B53AC8" w:rsidP="00472B0F">
      <w:pPr>
        <w:jc w:val="both"/>
        <w:rPr>
          <w:rFonts w:ascii="Arial" w:eastAsia="Calibri" w:hAnsi="Arial" w:cs="Arial"/>
          <w:b/>
          <w:sz w:val="21"/>
          <w:szCs w:val="21"/>
          <w:lang w:eastAsia="en-US"/>
        </w:rPr>
      </w:pPr>
      <w:r w:rsidRPr="00A76485">
        <w:rPr>
          <w:rFonts w:ascii="Arial" w:hAnsi="Arial" w:cs="Arial"/>
          <w:sz w:val="21"/>
          <w:szCs w:val="21"/>
        </w:rPr>
        <w:t>Al cierre de 2022</w:t>
      </w:r>
      <w:r w:rsidR="003A3DD0">
        <w:rPr>
          <w:rFonts w:ascii="Arial" w:hAnsi="Arial" w:cs="Arial"/>
          <w:sz w:val="21"/>
          <w:szCs w:val="21"/>
        </w:rPr>
        <w:t>,</w:t>
      </w:r>
      <w:r w:rsidRPr="00A76485">
        <w:rPr>
          <w:rFonts w:ascii="Arial" w:hAnsi="Arial" w:cs="Arial"/>
          <w:sz w:val="21"/>
          <w:szCs w:val="21"/>
        </w:rPr>
        <w:t xml:space="preserve"> la red pública hospitalaria presentó un resultado presupuestal deficitario de $21.262 </w:t>
      </w:r>
      <w:proofErr w:type="gramStart"/>
      <w:r w:rsidRPr="00A76485">
        <w:rPr>
          <w:rFonts w:ascii="Arial" w:hAnsi="Arial" w:cs="Arial"/>
          <w:sz w:val="21"/>
          <w:szCs w:val="21"/>
        </w:rPr>
        <w:t>millones,  pasivos</w:t>
      </w:r>
      <w:proofErr w:type="gramEnd"/>
      <w:r w:rsidRPr="00A76485">
        <w:rPr>
          <w:rFonts w:ascii="Arial" w:hAnsi="Arial" w:cs="Arial"/>
          <w:sz w:val="21"/>
          <w:szCs w:val="21"/>
        </w:rPr>
        <w:t xml:space="preserve"> por $103.380 millones, </w:t>
      </w:r>
      <w:r w:rsidR="009A1C97">
        <w:rPr>
          <w:rFonts w:ascii="Arial" w:hAnsi="Arial" w:cs="Arial"/>
          <w:sz w:val="21"/>
          <w:szCs w:val="21"/>
        </w:rPr>
        <w:t xml:space="preserve">y una cartera de $133.371 millones, de la cual el 56% ($75.480 millones) corresponde a cartera de difícil recaudo, condición que evidencia </w:t>
      </w:r>
      <w:r w:rsidR="001F0DF7">
        <w:rPr>
          <w:rFonts w:ascii="Arial" w:hAnsi="Arial" w:cs="Arial"/>
          <w:sz w:val="21"/>
          <w:szCs w:val="21"/>
        </w:rPr>
        <w:t>su desequilibrio financiero</w:t>
      </w:r>
      <w:r w:rsidR="009A1C97">
        <w:rPr>
          <w:rFonts w:ascii="Arial" w:hAnsi="Arial" w:cs="Arial"/>
          <w:sz w:val="21"/>
          <w:szCs w:val="21"/>
        </w:rPr>
        <w:t xml:space="preserve">. </w:t>
      </w:r>
      <w:r w:rsidRPr="00A76485">
        <w:rPr>
          <w:rFonts w:ascii="Arial" w:eastAsia="Calibri" w:hAnsi="Arial" w:cs="Arial"/>
          <w:b/>
          <w:sz w:val="21"/>
          <w:szCs w:val="21"/>
          <w:lang w:eastAsia="en-US"/>
        </w:rPr>
        <w:t>Planeación en Salud.</w:t>
      </w:r>
    </w:p>
    <w:p w14:paraId="001A183E" w14:textId="77777777" w:rsidR="00B53AC8" w:rsidRPr="00A76485" w:rsidRDefault="00B53AC8" w:rsidP="00492D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Calibri" w:hAnsi="Arial" w:cs="Arial"/>
          <w:sz w:val="21"/>
          <w:szCs w:val="21"/>
          <w:highlight w:val="yellow"/>
          <w:lang w:eastAsia="en-US"/>
        </w:rPr>
      </w:pPr>
    </w:p>
    <w:p w14:paraId="0420AEF6" w14:textId="77777777" w:rsidR="004D3FB8" w:rsidRPr="00A76485" w:rsidRDefault="00B53AC8" w:rsidP="00492D77">
      <w:pPr>
        <w:autoSpaceDE w:val="0"/>
        <w:autoSpaceDN w:val="0"/>
        <w:adjustRightInd w:val="0"/>
        <w:contextualSpacing/>
        <w:jc w:val="both"/>
        <w:rPr>
          <w:rFonts w:ascii="Arial" w:hAnsi="Arial" w:cs="Arial"/>
          <w:bCs/>
          <w:sz w:val="21"/>
          <w:szCs w:val="21"/>
        </w:rPr>
      </w:pPr>
      <w:r w:rsidRPr="00A76485">
        <w:rPr>
          <w:rFonts w:ascii="Arial" w:hAnsi="Arial" w:cs="Arial"/>
          <w:bCs/>
          <w:sz w:val="21"/>
          <w:szCs w:val="21"/>
        </w:rPr>
        <w:t xml:space="preserve">El Plan de Desarrollo para el periodo 2020 – 2023, propuesto por la </w:t>
      </w:r>
      <w:proofErr w:type="gramStart"/>
      <w:r w:rsidRPr="00A76485">
        <w:rPr>
          <w:rFonts w:ascii="Arial" w:hAnsi="Arial" w:cs="Arial"/>
          <w:bCs/>
          <w:sz w:val="21"/>
          <w:szCs w:val="21"/>
        </w:rPr>
        <w:t>Alcaldesa</w:t>
      </w:r>
      <w:proofErr w:type="gramEnd"/>
      <w:r w:rsidRPr="00A76485">
        <w:rPr>
          <w:rFonts w:ascii="Arial" w:hAnsi="Arial" w:cs="Arial"/>
          <w:bCs/>
          <w:sz w:val="21"/>
          <w:szCs w:val="21"/>
        </w:rPr>
        <w:t xml:space="preserve"> Distrital, bajo el nombre de </w:t>
      </w:r>
      <w:r w:rsidRPr="003A3DD0">
        <w:rPr>
          <w:rFonts w:ascii="Arial" w:hAnsi="Arial" w:cs="Arial"/>
          <w:bCs/>
          <w:i/>
          <w:iCs/>
          <w:sz w:val="21"/>
          <w:szCs w:val="21"/>
        </w:rPr>
        <w:t>“SANTA MARTA CORAZON DEL CAMBIO 2020-2023</w:t>
      </w:r>
      <w:r w:rsidRPr="00A76485">
        <w:rPr>
          <w:rFonts w:ascii="Arial" w:hAnsi="Arial" w:cs="Arial"/>
          <w:bCs/>
          <w:sz w:val="21"/>
          <w:szCs w:val="21"/>
        </w:rPr>
        <w:t>”, proyecta recursos para inversión que ascienden a $4.6 billones. En el Eje Estratégico denominado “</w:t>
      </w:r>
      <w:r w:rsidRPr="008321D0">
        <w:rPr>
          <w:rFonts w:ascii="Arial" w:hAnsi="Arial" w:cs="Arial"/>
          <w:bCs/>
          <w:i/>
          <w:iCs/>
          <w:sz w:val="21"/>
          <w:szCs w:val="21"/>
        </w:rPr>
        <w:t>Cambio con oportunidades para la población</w:t>
      </w:r>
      <w:r w:rsidRPr="00A76485">
        <w:rPr>
          <w:rFonts w:ascii="Arial" w:hAnsi="Arial" w:cs="Arial"/>
          <w:bCs/>
          <w:sz w:val="21"/>
          <w:szCs w:val="21"/>
        </w:rPr>
        <w:t xml:space="preserve">” se proyectan $2,7 billones dentro de los cuales se incluyen los que serán destinados para el Sector Salud. Verificada la página </w:t>
      </w:r>
      <w:r w:rsidRPr="00A76485">
        <w:rPr>
          <w:rFonts w:ascii="Arial" w:hAnsi="Arial" w:cs="Arial"/>
          <w:bCs/>
          <w:i/>
          <w:iCs/>
          <w:sz w:val="21"/>
          <w:szCs w:val="21"/>
        </w:rPr>
        <w:t>Web</w:t>
      </w:r>
      <w:r w:rsidRPr="00A76485">
        <w:rPr>
          <w:rFonts w:ascii="Arial" w:hAnsi="Arial" w:cs="Arial"/>
          <w:bCs/>
          <w:sz w:val="21"/>
          <w:szCs w:val="21"/>
        </w:rPr>
        <w:t xml:space="preserve"> del Distrito de Santa Marta, </w:t>
      </w:r>
      <w:r w:rsidR="004D3FB8" w:rsidRPr="00A76485">
        <w:rPr>
          <w:rFonts w:ascii="Arial" w:hAnsi="Arial" w:cs="Arial"/>
          <w:bCs/>
          <w:sz w:val="21"/>
          <w:szCs w:val="21"/>
        </w:rPr>
        <w:t xml:space="preserve">no </w:t>
      </w:r>
      <w:r w:rsidRPr="00A76485">
        <w:rPr>
          <w:rFonts w:ascii="Arial" w:hAnsi="Arial" w:cs="Arial"/>
          <w:bCs/>
          <w:sz w:val="21"/>
          <w:szCs w:val="21"/>
        </w:rPr>
        <w:t>se identifica el Plan Territorial de Salud</w:t>
      </w:r>
      <w:r w:rsidR="004D3FB8" w:rsidRPr="00A76485">
        <w:rPr>
          <w:rFonts w:ascii="Arial" w:hAnsi="Arial" w:cs="Arial"/>
          <w:bCs/>
          <w:sz w:val="21"/>
          <w:szCs w:val="21"/>
        </w:rPr>
        <w:t xml:space="preserve">, sin embargo, fue suministrado por la </w:t>
      </w:r>
      <w:r w:rsidR="008321D0">
        <w:rPr>
          <w:rFonts w:ascii="Arial" w:hAnsi="Arial" w:cs="Arial"/>
          <w:bCs/>
          <w:sz w:val="21"/>
          <w:szCs w:val="21"/>
        </w:rPr>
        <w:t>E</w:t>
      </w:r>
      <w:r w:rsidR="004D3FB8" w:rsidRPr="00A76485">
        <w:rPr>
          <w:rFonts w:ascii="Arial" w:hAnsi="Arial" w:cs="Arial"/>
          <w:bCs/>
          <w:sz w:val="21"/>
          <w:szCs w:val="21"/>
        </w:rPr>
        <w:t xml:space="preserve">ntidad </w:t>
      </w:r>
      <w:r w:rsidR="008321D0">
        <w:rPr>
          <w:rFonts w:ascii="Arial" w:hAnsi="Arial" w:cs="Arial"/>
          <w:bCs/>
          <w:sz w:val="21"/>
          <w:szCs w:val="21"/>
        </w:rPr>
        <w:t>T</w:t>
      </w:r>
      <w:r w:rsidR="004D3FB8" w:rsidRPr="00A76485">
        <w:rPr>
          <w:rFonts w:ascii="Arial" w:hAnsi="Arial" w:cs="Arial"/>
          <w:bCs/>
          <w:sz w:val="21"/>
          <w:szCs w:val="21"/>
        </w:rPr>
        <w:t>erritorial.</w:t>
      </w:r>
    </w:p>
    <w:p w14:paraId="74E4BBD4" w14:textId="77777777" w:rsidR="00B53AC8" w:rsidRPr="00A76485" w:rsidRDefault="00B53AC8" w:rsidP="00492D77">
      <w:pPr>
        <w:autoSpaceDE w:val="0"/>
        <w:autoSpaceDN w:val="0"/>
        <w:adjustRightInd w:val="0"/>
        <w:contextualSpacing/>
        <w:jc w:val="both"/>
        <w:rPr>
          <w:rFonts w:ascii="Arial" w:hAnsi="Arial" w:cs="Arial"/>
          <w:bCs/>
          <w:sz w:val="21"/>
          <w:szCs w:val="21"/>
        </w:rPr>
      </w:pPr>
    </w:p>
    <w:p w14:paraId="06069F87" w14:textId="77777777" w:rsidR="00B53AC8" w:rsidRPr="008321D0" w:rsidRDefault="00B53AC8" w:rsidP="008321D0">
      <w:pPr>
        <w:autoSpaceDE w:val="0"/>
        <w:autoSpaceDN w:val="0"/>
        <w:adjustRightInd w:val="0"/>
        <w:contextualSpacing/>
        <w:jc w:val="both"/>
        <w:rPr>
          <w:rFonts w:ascii="Arial" w:hAnsi="Arial" w:cs="Arial"/>
          <w:bCs/>
          <w:sz w:val="21"/>
          <w:szCs w:val="21"/>
        </w:rPr>
      </w:pPr>
      <w:r w:rsidRPr="00A76485">
        <w:rPr>
          <w:rFonts w:ascii="Arial" w:hAnsi="Arial" w:cs="Arial"/>
          <w:bCs/>
          <w:sz w:val="21"/>
          <w:szCs w:val="21"/>
        </w:rPr>
        <w:t>El objetivo del Plan Territorial de Salud presenta los siguientes objetivos en el periodo 2020 -2023:</w:t>
      </w:r>
    </w:p>
    <w:p w14:paraId="4722B3C4" w14:textId="77777777" w:rsidR="00B53AC8" w:rsidRPr="008321D0" w:rsidRDefault="00B53AC8" w:rsidP="00492D77">
      <w:pPr>
        <w:autoSpaceDE w:val="0"/>
        <w:autoSpaceDN w:val="0"/>
        <w:adjustRightInd w:val="0"/>
        <w:contextualSpacing/>
        <w:rPr>
          <w:rFonts w:ascii="Arial" w:hAnsi="Arial" w:cs="Arial"/>
          <w:bCs/>
          <w:sz w:val="21"/>
          <w:szCs w:val="21"/>
        </w:rPr>
      </w:pPr>
    </w:p>
    <w:p w14:paraId="1957491C" w14:textId="77777777" w:rsidR="00B53AC8" w:rsidRPr="008321D0" w:rsidRDefault="00B53AC8" w:rsidP="00492D77">
      <w:pPr>
        <w:pStyle w:val="Prrafodelista"/>
        <w:jc w:val="both"/>
        <w:rPr>
          <w:rFonts w:ascii="Arial" w:hAnsi="Arial" w:cs="Arial"/>
          <w:i/>
          <w:sz w:val="21"/>
          <w:szCs w:val="21"/>
        </w:rPr>
      </w:pPr>
      <w:r w:rsidRPr="008321D0">
        <w:rPr>
          <w:rFonts w:ascii="Arial" w:hAnsi="Arial" w:cs="Arial"/>
          <w:i/>
          <w:sz w:val="21"/>
          <w:szCs w:val="21"/>
        </w:rPr>
        <w:t xml:space="preserve">“[…] Retos del PDD 2020-2023 </w:t>
      </w:r>
    </w:p>
    <w:p w14:paraId="449C8805" w14:textId="77777777" w:rsidR="00B53AC8" w:rsidRPr="008321D0" w:rsidRDefault="00B53AC8" w:rsidP="00492D77">
      <w:pPr>
        <w:pStyle w:val="Prrafodelista"/>
        <w:jc w:val="both"/>
        <w:rPr>
          <w:rFonts w:ascii="Arial" w:eastAsia="Calibri" w:hAnsi="Arial" w:cs="Arial"/>
          <w:b/>
          <w:i/>
          <w:sz w:val="21"/>
          <w:szCs w:val="21"/>
          <w:lang w:eastAsia="en-US"/>
        </w:rPr>
      </w:pPr>
    </w:p>
    <w:p w14:paraId="441B0148" w14:textId="77777777" w:rsidR="00B53AC8" w:rsidRPr="008321D0" w:rsidRDefault="00B53AC8" w:rsidP="00492D77">
      <w:pPr>
        <w:pStyle w:val="Prrafodelista"/>
        <w:jc w:val="both"/>
        <w:rPr>
          <w:rFonts w:ascii="Arial" w:hAnsi="Arial" w:cs="Arial"/>
          <w:i/>
          <w:sz w:val="21"/>
          <w:szCs w:val="21"/>
        </w:rPr>
      </w:pPr>
      <w:r w:rsidRPr="008321D0">
        <w:rPr>
          <w:rFonts w:ascii="Arial" w:hAnsi="Arial" w:cs="Arial"/>
          <w:i/>
          <w:sz w:val="21"/>
          <w:szCs w:val="21"/>
        </w:rPr>
        <w:t xml:space="preserve">1. Aumentar y mejorar la capacidad instalada de las instituciones públicas prestadoras del servicio de salud en el distrito para ofrecer un servicio de calidad y oportunidad a toda la población. </w:t>
      </w:r>
    </w:p>
    <w:p w14:paraId="5B0CFC59" w14:textId="77777777" w:rsidR="00B53AC8" w:rsidRPr="008321D0" w:rsidRDefault="00B53AC8" w:rsidP="00492D77">
      <w:pPr>
        <w:pStyle w:val="Prrafodelista"/>
        <w:jc w:val="both"/>
        <w:rPr>
          <w:rFonts w:ascii="Arial" w:hAnsi="Arial" w:cs="Arial"/>
          <w:i/>
          <w:sz w:val="21"/>
          <w:szCs w:val="21"/>
        </w:rPr>
      </w:pPr>
      <w:r w:rsidRPr="008321D0">
        <w:rPr>
          <w:rFonts w:ascii="Arial" w:hAnsi="Arial" w:cs="Arial"/>
          <w:i/>
          <w:sz w:val="21"/>
          <w:szCs w:val="21"/>
        </w:rPr>
        <w:t xml:space="preserve">2. Avanzar en alcanzar la seguridad alimentaria a partir de la producción de alimentos en la zona rural del Distrito </w:t>
      </w:r>
    </w:p>
    <w:p w14:paraId="1C39D054" w14:textId="77777777" w:rsidR="00B53AC8" w:rsidRPr="008321D0" w:rsidRDefault="00B53AC8" w:rsidP="00492D77">
      <w:pPr>
        <w:pStyle w:val="Prrafodelista"/>
        <w:jc w:val="both"/>
        <w:rPr>
          <w:rFonts w:ascii="Arial" w:hAnsi="Arial" w:cs="Arial"/>
          <w:i/>
          <w:sz w:val="21"/>
          <w:szCs w:val="21"/>
        </w:rPr>
      </w:pPr>
      <w:r w:rsidRPr="008321D0">
        <w:rPr>
          <w:rFonts w:ascii="Arial" w:hAnsi="Arial" w:cs="Arial"/>
          <w:i/>
          <w:sz w:val="21"/>
          <w:szCs w:val="21"/>
        </w:rPr>
        <w:t>3. Disminuir la tasa de mortalidad infantil</w:t>
      </w:r>
    </w:p>
    <w:p w14:paraId="70F9F2DD" w14:textId="77777777" w:rsidR="00B53AC8" w:rsidRPr="008321D0" w:rsidRDefault="00B53AC8" w:rsidP="00492D77">
      <w:pPr>
        <w:pStyle w:val="Prrafodelista"/>
        <w:jc w:val="both"/>
        <w:rPr>
          <w:rFonts w:ascii="Arial" w:hAnsi="Arial" w:cs="Arial"/>
          <w:i/>
          <w:sz w:val="21"/>
          <w:szCs w:val="21"/>
        </w:rPr>
      </w:pPr>
      <w:r w:rsidRPr="008321D0">
        <w:rPr>
          <w:rFonts w:ascii="Arial" w:hAnsi="Arial" w:cs="Arial"/>
          <w:i/>
          <w:sz w:val="21"/>
          <w:szCs w:val="21"/>
        </w:rPr>
        <w:t xml:space="preserve">4. Garantizar el derecho a la salud a toda la población del Distrito de Santa Marta </w:t>
      </w:r>
    </w:p>
    <w:p w14:paraId="3FE70C02" w14:textId="77777777" w:rsidR="00B53AC8" w:rsidRPr="008321D0" w:rsidRDefault="00B53AC8" w:rsidP="00492D77">
      <w:pPr>
        <w:pStyle w:val="Prrafodelista"/>
        <w:jc w:val="both"/>
        <w:rPr>
          <w:rFonts w:ascii="Arial" w:hAnsi="Arial" w:cs="Arial"/>
          <w:i/>
          <w:sz w:val="21"/>
          <w:szCs w:val="21"/>
        </w:rPr>
      </w:pPr>
      <w:r w:rsidRPr="008321D0">
        <w:rPr>
          <w:rFonts w:ascii="Arial" w:hAnsi="Arial" w:cs="Arial"/>
          <w:i/>
          <w:sz w:val="21"/>
          <w:szCs w:val="21"/>
        </w:rPr>
        <w:t xml:space="preserve">5. Mejorar los servicios de la vigilancia integral en salud articulando acciones de gestión de la información y </w:t>
      </w:r>
      <w:proofErr w:type="gramStart"/>
      <w:r w:rsidRPr="008321D0">
        <w:rPr>
          <w:rFonts w:ascii="Arial" w:hAnsi="Arial" w:cs="Arial"/>
          <w:i/>
          <w:sz w:val="21"/>
          <w:szCs w:val="21"/>
        </w:rPr>
        <w:t>participación activa</w:t>
      </w:r>
      <w:proofErr w:type="gramEnd"/>
      <w:r w:rsidRPr="008321D0">
        <w:rPr>
          <w:rFonts w:ascii="Arial" w:hAnsi="Arial" w:cs="Arial"/>
          <w:i/>
          <w:sz w:val="21"/>
          <w:szCs w:val="21"/>
        </w:rPr>
        <w:t xml:space="preserve"> de todos los actores del sector salud. 6. Garantizar una atención oportuna con un enfoque diferencial y fortalecimiento de la Atención Primaria en Salud desde las 10 dimensiones de salud pública. </w:t>
      </w:r>
    </w:p>
    <w:p w14:paraId="1DC48F28" w14:textId="77777777" w:rsidR="00B53AC8" w:rsidRPr="008321D0" w:rsidRDefault="00B53AC8" w:rsidP="00492D77">
      <w:pPr>
        <w:pStyle w:val="Prrafodelista"/>
        <w:jc w:val="both"/>
        <w:rPr>
          <w:rFonts w:ascii="Arial" w:hAnsi="Arial" w:cs="Arial"/>
          <w:i/>
          <w:sz w:val="21"/>
          <w:szCs w:val="21"/>
        </w:rPr>
      </w:pPr>
      <w:r w:rsidRPr="008321D0">
        <w:rPr>
          <w:rFonts w:ascii="Arial" w:hAnsi="Arial" w:cs="Arial"/>
          <w:i/>
          <w:sz w:val="21"/>
          <w:szCs w:val="21"/>
        </w:rPr>
        <w:t xml:space="preserve">7. Avanzar en la renovación de la infraestructura en salud y su modernización tecnológica </w:t>
      </w:r>
    </w:p>
    <w:p w14:paraId="18B4B0A0" w14:textId="77777777" w:rsidR="00B53AC8" w:rsidRPr="008321D0" w:rsidRDefault="00B53AC8" w:rsidP="00492D77">
      <w:pPr>
        <w:pStyle w:val="Prrafodelista"/>
        <w:jc w:val="both"/>
        <w:rPr>
          <w:rFonts w:ascii="Arial" w:eastAsia="Calibri" w:hAnsi="Arial" w:cs="Arial"/>
          <w:b/>
          <w:i/>
          <w:sz w:val="21"/>
          <w:szCs w:val="21"/>
          <w:lang w:eastAsia="en-US"/>
        </w:rPr>
      </w:pPr>
      <w:r w:rsidRPr="008321D0">
        <w:rPr>
          <w:rFonts w:ascii="Arial" w:hAnsi="Arial" w:cs="Arial"/>
          <w:i/>
          <w:sz w:val="21"/>
          <w:szCs w:val="21"/>
        </w:rPr>
        <w:t>8. Luchar contra la desnutrición infantil y Aumentar la cobertura del PAE en el Distrito de Santa Marta.”</w:t>
      </w:r>
    </w:p>
    <w:p w14:paraId="66E89B5A" w14:textId="77777777" w:rsidR="00B53AC8" w:rsidRPr="008321D0" w:rsidRDefault="00B53AC8" w:rsidP="00492D77">
      <w:pPr>
        <w:contextualSpacing/>
        <w:jc w:val="both"/>
        <w:rPr>
          <w:rFonts w:ascii="Arial" w:hAnsi="Arial" w:cs="Arial"/>
          <w:sz w:val="21"/>
          <w:szCs w:val="21"/>
        </w:rPr>
      </w:pPr>
    </w:p>
    <w:p w14:paraId="049CB280" w14:textId="77777777" w:rsidR="00B53AC8" w:rsidRPr="00A76485" w:rsidRDefault="00B53AC8" w:rsidP="00492D77">
      <w:pPr>
        <w:contextualSpacing/>
        <w:jc w:val="both"/>
        <w:rPr>
          <w:rFonts w:ascii="Arial" w:hAnsi="Arial" w:cs="Arial"/>
          <w:bCs/>
          <w:sz w:val="21"/>
          <w:szCs w:val="21"/>
        </w:rPr>
      </w:pPr>
      <w:r w:rsidRPr="00A76485">
        <w:rPr>
          <w:rFonts w:ascii="Arial" w:hAnsi="Arial" w:cs="Arial"/>
          <w:bCs/>
          <w:sz w:val="21"/>
          <w:szCs w:val="21"/>
        </w:rPr>
        <w:lastRenderedPageBreak/>
        <w:t>Para adelantar los objetivos</w:t>
      </w:r>
      <w:r w:rsidR="00B96BD8">
        <w:rPr>
          <w:rFonts w:ascii="Arial" w:hAnsi="Arial" w:cs="Arial"/>
          <w:bCs/>
          <w:sz w:val="21"/>
          <w:szCs w:val="21"/>
        </w:rPr>
        <w:t>,</w:t>
      </w:r>
      <w:r w:rsidRPr="00A76485">
        <w:rPr>
          <w:rFonts w:ascii="Arial" w:hAnsi="Arial" w:cs="Arial"/>
          <w:bCs/>
          <w:sz w:val="21"/>
          <w:szCs w:val="21"/>
        </w:rPr>
        <w:t xml:space="preserve"> </w:t>
      </w:r>
      <w:r w:rsidR="00E91212">
        <w:rPr>
          <w:rFonts w:ascii="Arial" w:hAnsi="Arial" w:cs="Arial"/>
          <w:bCs/>
          <w:sz w:val="21"/>
          <w:szCs w:val="21"/>
        </w:rPr>
        <w:t xml:space="preserve">el Plan Territorial de Salud </w:t>
      </w:r>
      <w:r w:rsidRPr="00A76485">
        <w:rPr>
          <w:rFonts w:ascii="Arial" w:hAnsi="Arial" w:cs="Arial"/>
          <w:bCs/>
          <w:sz w:val="21"/>
          <w:szCs w:val="21"/>
        </w:rPr>
        <w:t xml:space="preserve">programó recursos por $1.1 billones como </w:t>
      </w:r>
      <w:r w:rsidR="00B96BD8">
        <w:rPr>
          <w:rFonts w:ascii="Arial" w:hAnsi="Arial" w:cs="Arial"/>
          <w:bCs/>
          <w:sz w:val="21"/>
          <w:szCs w:val="21"/>
        </w:rPr>
        <w:t>c</w:t>
      </w:r>
      <w:r w:rsidRPr="00A76485">
        <w:rPr>
          <w:rFonts w:ascii="Arial" w:hAnsi="Arial" w:cs="Arial"/>
          <w:bCs/>
          <w:sz w:val="21"/>
          <w:szCs w:val="21"/>
        </w:rPr>
        <w:t>ostos según Plan de Inversiones para Salud Incluido en el Plan de Acción 2020 proyectado a 2023</w:t>
      </w:r>
      <w:r w:rsidR="00B96BD8">
        <w:rPr>
          <w:rFonts w:ascii="Arial" w:hAnsi="Arial" w:cs="Arial"/>
          <w:bCs/>
          <w:sz w:val="21"/>
          <w:szCs w:val="21"/>
        </w:rPr>
        <w:t>.</w:t>
      </w:r>
    </w:p>
    <w:p w14:paraId="0A789412" w14:textId="77777777" w:rsidR="00B53AC8" w:rsidRPr="00A76485" w:rsidRDefault="00B53AC8" w:rsidP="00492D77">
      <w:pPr>
        <w:contextualSpacing/>
        <w:jc w:val="both"/>
        <w:rPr>
          <w:rFonts w:ascii="Arial" w:hAnsi="Arial" w:cs="Arial"/>
          <w:sz w:val="21"/>
          <w:szCs w:val="21"/>
        </w:rPr>
      </w:pPr>
    </w:p>
    <w:p w14:paraId="4ED53986" w14:textId="77777777" w:rsidR="00B53AC8" w:rsidRPr="00A76485" w:rsidRDefault="00B53AC8" w:rsidP="00492D77">
      <w:pPr>
        <w:pStyle w:val="Prrafodelista"/>
        <w:numPr>
          <w:ilvl w:val="0"/>
          <w:numId w:val="7"/>
        </w:numPr>
        <w:jc w:val="both"/>
        <w:rPr>
          <w:rFonts w:ascii="Arial" w:eastAsia="Calibri" w:hAnsi="Arial" w:cs="Arial"/>
          <w:b/>
          <w:sz w:val="21"/>
          <w:szCs w:val="21"/>
          <w:lang w:eastAsia="en-US"/>
        </w:rPr>
      </w:pPr>
      <w:r w:rsidRPr="00A76485">
        <w:rPr>
          <w:rFonts w:ascii="Arial" w:eastAsia="Calibri" w:hAnsi="Arial" w:cs="Arial"/>
          <w:b/>
          <w:sz w:val="21"/>
          <w:szCs w:val="21"/>
          <w:lang w:eastAsia="en-US"/>
        </w:rPr>
        <w:t>Situación Fiscal y Financiera D</w:t>
      </w:r>
      <w:r w:rsidR="00957AAF" w:rsidRPr="00A76485">
        <w:rPr>
          <w:rFonts w:ascii="Arial" w:eastAsia="Calibri" w:hAnsi="Arial" w:cs="Arial"/>
          <w:b/>
          <w:sz w:val="21"/>
          <w:szCs w:val="21"/>
          <w:lang w:eastAsia="en-US"/>
        </w:rPr>
        <w:t>istrital</w:t>
      </w:r>
      <w:r w:rsidRPr="00A76485">
        <w:rPr>
          <w:rStyle w:val="Refdenotaalpie"/>
          <w:rFonts w:ascii="Arial" w:eastAsia="Calibri" w:hAnsi="Arial" w:cs="Arial"/>
          <w:b/>
          <w:sz w:val="21"/>
          <w:szCs w:val="21"/>
          <w:lang w:eastAsia="en-US"/>
        </w:rPr>
        <w:footnoteReference w:id="2"/>
      </w:r>
      <w:r w:rsidRPr="00A76485">
        <w:rPr>
          <w:rFonts w:ascii="Arial" w:eastAsia="Calibri" w:hAnsi="Arial" w:cs="Arial"/>
          <w:b/>
          <w:sz w:val="21"/>
          <w:szCs w:val="21"/>
          <w:lang w:eastAsia="en-US"/>
        </w:rPr>
        <w:t>.</w:t>
      </w:r>
    </w:p>
    <w:p w14:paraId="650CB25A" w14:textId="77777777" w:rsidR="00B53AC8" w:rsidRPr="00A76485" w:rsidRDefault="00B53AC8" w:rsidP="00492D77">
      <w:pPr>
        <w:contextualSpacing/>
        <w:jc w:val="both"/>
        <w:rPr>
          <w:rFonts w:ascii="Arial" w:hAnsi="Arial" w:cs="Arial"/>
          <w:sz w:val="21"/>
          <w:szCs w:val="21"/>
        </w:rPr>
      </w:pPr>
    </w:p>
    <w:p w14:paraId="33231D62" w14:textId="77777777" w:rsidR="00B53AC8" w:rsidRPr="00A76485" w:rsidRDefault="00B53AC8" w:rsidP="00492D77">
      <w:pPr>
        <w:contextualSpacing/>
        <w:jc w:val="both"/>
        <w:rPr>
          <w:rFonts w:ascii="Arial" w:hAnsi="Arial" w:cs="Arial"/>
          <w:bCs/>
          <w:i/>
          <w:sz w:val="21"/>
          <w:szCs w:val="21"/>
        </w:rPr>
      </w:pPr>
      <w:r w:rsidRPr="00A76485">
        <w:rPr>
          <w:rFonts w:ascii="Arial" w:hAnsi="Arial" w:cs="Arial"/>
          <w:bCs/>
          <w:sz w:val="21"/>
          <w:szCs w:val="21"/>
        </w:rPr>
        <w:t>El Distrito de Santa Marta a</w:t>
      </w:r>
      <w:r w:rsidR="00957AAF" w:rsidRPr="00A76485">
        <w:rPr>
          <w:rFonts w:ascii="Arial" w:hAnsi="Arial" w:cs="Arial"/>
          <w:bCs/>
          <w:sz w:val="21"/>
          <w:szCs w:val="21"/>
        </w:rPr>
        <w:t xml:space="preserve"> junio de </w:t>
      </w:r>
      <w:r w:rsidRPr="00A76485">
        <w:rPr>
          <w:rFonts w:ascii="Arial" w:hAnsi="Arial" w:cs="Arial"/>
          <w:bCs/>
          <w:sz w:val="21"/>
          <w:szCs w:val="21"/>
        </w:rPr>
        <w:t>la vigencia 202</w:t>
      </w:r>
      <w:r w:rsidR="00957AAF" w:rsidRPr="00A76485">
        <w:rPr>
          <w:rFonts w:ascii="Arial" w:hAnsi="Arial" w:cs="Arial"/>
          <w:bCs/>
          <w:sz w:val="21"/>
          <w:szCs w:val="21"/>
        </w:rPr>
        <w:t>2</w:t>
      </w:r>
      <w:r w:rsidRPr="00A76485">
        <w:rPr>
          <w:rFonts w:ascii="Arial" w:hAnsi="Arial" w:cs="Arial"/>
          <w:bCs/>
          <w:sz w:val="21"/>
          <w:szCs w:val="21"/>
        </w:rPr>
        <w:t>, según el informe de viabilidad fiscal elaborado por la Dirección General de Apoyo Fiscal, mostró lo siguiente</w:t>
      </w:r>
      <w:r w:rsidRPr="00A76485">
        <w:rPr>
          <w:rFonts w:ascii="Arial" w:hAnsi="Arial" w:cs="Arial"/>
          <w:bCs/>
          <w:i/>
          <w:sz w:val="21"/>
          <w:szCs w:val="21"/>
        </w:rPr>
        <w:t>:</w:t>
      </w:r>
    </w:p>
    <w:p w14:paraId="652B07A6" w14:textId="77777777" w:rsidR="00B53AC8" w:rsidRPr="00B96BD8" w:rsidRDefault="00B53AC8" w:rsidP="00492D77">
      <w:pPr>
        <w:contextualSpacing/>
        <w:jc w:val="both"/>
        <w:rPr>
          <w:rFonts w:ascii="Arial" w:hAnsi="Arial" w:cs="Arial"/>
          <w:bCs/>
          <w:i/>
          <w:sz w:val="21"/>
          <w:szCs w:val="21"/>
        </w:rPr>
      </w:pPr>
    </w:p>
    <w:p w14:paraId="3ED15D59" w14:textId="77777777" w:rsidR="00957AAF" w:rsidRPr="00B96BD8" w:rsidRDefault="00B53AC8" w:rsidP="00492D77">
      <w:pPr>
        <w:ind w:left="360"/>
        <w:jc w:val="both"/>
        <w:rPr>
          <w:rFonts w:ascii="Arial" w:eastAsiaTheme="minorHAnsi" w:hAnsi="Arial" w:cs="Arial"/>
          <w:bCs/>
          <w:i/>
          <w:sz w:val="21"/>
          <w:szCs w:val="21"/>
          <w:lang w:val="es-CO" w:eastAsia="en-US"/>
        </w:rPr>
      </w:pPr>
      <w:r w:rsidRPr="00B96BD8">
        <w:rPr>
          <w:rFonts w:ascii="Arial" w:eastAsiaTheme="minorHAnsi" w:hAnsi="Arial" w:cs="Arial"/>
          <w:bCs/>
          <w:i/>
          <w:sz w:val="21"/>
          <w:szCs w:val="21"/>
          <w:lang w:val="es-CO" w:eastAsia="en-US"/>
        </w:rPr>
        <w:t>“[…]</w:t>
      </w:r>
      <w:r w:rsidR="00B96BD8" w:rsidRPr="00B96BD8">
        <w:rPr>
          <w:rFonts w:ascii="Arial" w:eastAsiaTheme="minorHAnsi" w:hAnsi="Arial" w:cs="Arial"/>
          <w:bCs/>
          <w:i/>
          <w:sz w:val="21"/>
          <w:szCs w:val="21"/>
          <w:lang w:val="es-CO" w:eastAsia="en-US"/>
        </w:rPr>
        <w:t xml:space="preserve"> </w:t>
      </w:r>
      <w:r w:rsidR="00957AAF" w:rsidRPr="00B96BD8">
        <w:rPr>
          <w:rFonts w:ascii="Arial" w:eastAsiaTheme="minorHAnsi" w:hAnsi="Arial" w:cs="Arial"/>
          <w:bCs/>
          <w:i/>
          <w:sz w:val="21"/>
          <w:szCs w:val="21"/>
          <w:lang w:val="es-CO" w:eastAsia="en-US"/>
        </w:rPr>
        <w:t>En el primer semestre el Distrito de Santa Marta registró ingresos diferentes al SGR por $630.581 millones, lo que significó un incremento del 2% real frente a lo observado en el mismo periodo de 2021. Con respecto al presupuesto, el recaudo alcanzó el 54.5%.</w:t>
      </w:r>
    </w:p>
    <w:p w14:paraId="00F6E458" w14:textId="77777777" w:rsidR="00957AAF" w:rsidRPr="00B96BD8" w:rsidRDefault="00957AAF" w:rsidP="00492D77">
      <w:pPr>
        <w:pStyle w:val="Prrafodelista"/>
        <w:jc w:val="both"/>
        <w:rPr>
          <w:rFonts w:ascii="Arial" w:eastAsiaTheme="minorHAnsi" w:hAnsi="Arial" w:cs="Arial"/>
          <w:bCs/>
          <w:i/>
          <w:sz w:val="21"/>
          <w:szCs w:val="21"/>
          <w:lang w:val="es-CO" w:eastAsia="en-US"/>
        </w:rPr>
      </w:pPr>
    </w:p>
    <w:p w14:paraId="1AA2C29D" w14:textId="77777777" w:rsidR="00957AAF" w:rsidRPr="00B96BD8" w:rsidRDefault="00957AAF" w:rsidP="00492D77">
      <w:pPr>
        <w:ind w:left="360"/>
        <w:jc w:val="both"/>
        <w:rPr>
          <w:rFonts w:ascii="Arial" w:eastAsiaTheme="minorHAnsi" w:hAnsi="Arial" w:cs="Arial"/>
          <w:bCs/>
          <w:i/>
          <w:sz w:val="21"/>
          <w:szCs w:val="21"/>
          <w:lang w:val="es-CO" w:eastAsia="en-US"/>
        </w:rPr>
      </w:pPr>
      <w:r w:rsidRPr="00B96BD8">
        <w:rPr>
          <w:rFonts w:ascii="Arial" w:eastAsiaTheme="minorHAnsi" w:hAnsi="Arial" w:cs="Arial"/>
          <w:bCs/>
          <w:i/>
          <w:sz w:val="21"/>
          <w:szCs w:val="21"/>
          <w:lang w:val="es-CO" w:eastAsia="en-US"/>
        </w:rPr>
        <w:t>El aumento de los ingresos de recaudo propio (18%) se explica el buen comportamiento del Impuesto de Industria y Comercio (51%), la sobretasa a la Gasolina (22%), las estampillas (10%) y el impuesto predial (6%), aumentos que se a su vez se asocian al entorno económico que crece regionalmente un 11%</w:t>
      </w:r>
      <w:r w:rsidRPr="00B96BD8">
        <w:rPr>
          <w:rFonts w:ascii="Arial" w:hAnsi="Arial" w:cs="Arial"/>
          <w:sz w:val="21"/>
          <w:szCs w:val="21"/>
          <w:lang w:eastAsia="en-US"/>
        </w:rPr>
        <w:footnoteReference w:id="3"/>
      </w:r>
    </w:p>
    <w:p w14:paraId="7110AED1" w14:textId="77777777" w:rsidR="00957AAF" w:rsidRPr="00B96BD8" w:rsidRDefault="00957AAF" w:rsidP="00492D77">
      <w:pPr>
        <w:pStyle w:val="Sinespaciado"/>
        <w:ind w:left="720"/>
        <w:jc w:val="both"/>
        <w:rPr>
          <w:rFonts w:ascii="Arial" w:hAnsi="Arial" w:cs="Arial"/>
          <w:bCs/>
          <w:i/>
          <w:sz w:val="21"/>
          <w:szCs w:val="21"/>
        </w:rPr>
      </w:pPr>
    </w:p>
    <w:p w14:paraId="280F6C98" w14:textId="77777777" w:rsidR="00957AAF" w:rsidRPr="00B96BD8" w:rsidRDefault="00957AAF" w:rsidP="00492D77">
      <w:pPr>
        <w:pStyle w:val="Sinespaciado"/>
        <w:ind w:left="360"/>
        <w:jc w:val="both"/>
        <w:rPr>
          <w:rFonts w:ascii="Arial" w:hAnsi="Arial" w:cs="Arial"/>
          <w:bCs/>
          <w:i/>
          <w:sz w:val="21"/>
          <w:szCs w:val="21"/>
        </w:rPr>
      </w:pPr>
      <w:r w:rsidRPr="00B96BD8">
        <w:rPr>
          <w:rFonts w:ascii="Arial" w:hAnsi="Arial" w:cs="Arial"/>
          <w:bCs/>
          <w:i/>
          <w:sz w:val="21"/>
          <w:szCs w:val="21"/>
        </w:rPr>
        <w:t>Los compromisos de gasto presentaron un comportamiento ascendente producto de las mayores erogaciones con destino a inversión.</w:t>
      </w:r>
    </w:p>
    <w:p w14:paraId="72C5CB39" w14:textId="77777777" w:rsidR="00957AAF" w:rsidRPr="00B96BD8" w:rsidRDefault="00957AAF" w:rsidP="00492D77">
      <w:pPr>
        <w:pStyle w:val="Sinespaciado"/>
        <w:ind w:left="360"/>
        <w:jc w:val="both"/>
        <w:rPr>
          <w:rFonts w:ascii="Arial" w:hAnsi="Arial" w:cs="Arial"/>
          <w:bCs/>
          <w:i/>
          <w:sz w:val="21"/>
          <w:szCs w:val="21"/>
        </w:rPr>
      </w:pPr>
    </w:p>
    <w:p w14:paraId="291238E7" w14:textId="77777777" w:rsidR="00B53AC8" w:rsidRPr="00B96BD8" w:rsidRDefault="00957AAF" w:rsidP="00492D77">
      <w:pPr>
        <w:pStyle w:val="Sinespaciado"/>
        <w:ind w:left="360"/>
        <w:jc w:val="both"/>
        <w:rPr>
          <w:rFonts w:ascii="Arial" w:hAnsi="Arial" w:cs="Arial"/>
          <w:bCs/>
          <w:i/>
          <w:sz w:val="21"/>
          <w:szCs w:val="21"/>
        </w:rPr>
      </w:pPr>
      <w:r w:rsidRPr="00B96BD8">
        <w:rPr>
          <w:rFonts w:ascii="Arial" w:hAnsi="Arial" w:cs="Arial"/>
          <w:bCs/>
          <w:i/>
          <w:sz w:val="21"/>
          <w:szCs w:val="21"/>
        </w:rPr>
        <w:t xml:space="preserve">El distrito contabilizó un superávit fiscal parcial por $175.109 millones. Al tener en cuenta los recursos del balance y la disminución del endeudamiento neto, presentó un balance presupuestal superavitario parcial por $274.391 millones. </w:t>
      </w:r>
      <w:r w:rsidR="00B53AC8" w:rsidRPr="00B96BD8">
        <w:rPr>
          <w:rFonts w:ascii="Arial" w:hAnsi="Arial" w:cs="Arial"/>
          <w:bCs/>
          <w:i/>
          <w:sz w:val="21"/>
          <w:szCs w:val="21"/>
        </w:rPr>
        <w:t>[…].”</w:t>
      </w:r>
    </w:p>
    <w:p w14:paraId="3B1DBEAD" w14:textId="77777777" w:rsidR="00B53AC8" w:rsidRPr="00B96BD8" w:rsidRDefault="00B53AC8" w:rsidP="00492D77">
      <w:pPr>
        <w:contextualSpacing/>
        <w:jc w:val="both"/>
        <w:rPr>
          <w:rFonts w:ascii="Arial" w:hAnsi="Arial" w:cs="Arial"/>
          <w:bCs/>
          <w:sz w:val="21"/>
          <w:szCs w:val="21"/>
        </w:rPr>
      </w:pPr>
    </w:p>
    <w:p w14:paraId="7F28B4A2" w14:textId="77777777" w:rsidR="00B53AC8" w:rsidRPr="00A76485" w:rsidRDefault="00B53AC8" w:rsidP="00492D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1"/>
          <w:szCs w:val="21"/>
        </w:rPr>
      </w:pPr>
      <w:r w:rsidRPr="00A76485">
        <w:rPr>
          <w:rFonts w:ascii="Arial" w:hAnsi="Arial" w:cs="Arial"/>
          <w:sz w:val="21"/>
          <w:szCs w:val="21"/>
        </w:rPr>
        <w:t>De acuerdo con el Ranking de Desempeño Fiscal por categorías presupuestales que desarrolla la Dirección de Descentralización y Desarrollo Regional del Departamento Nacional de Planeación - DNP para la vigencia 2021 el Distrito de Santa Marta ocupa el puesto 176 de 217, en la categoría G1 Nivel Alto, como resultado de un Indicador de Desempeño Fiscal de 51.76.</w:t>
      </w:r>
    </w:p>
    <w:p w14:paraId="57A6971F" w14:textId="77777777" w:rsidR="00B53AC8" w:rsidRPr="00A76485" w:rsidRDefault="00B53AC8" w:rsidP="00492D7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1"/>
          <w:szCs w:val="21"/>
        </w:rPr>
      </w:pPr>
    </w:p>
    <w:p w14:paraId="2D006C3C" w14:textId="77777777" w:rsidR="00B53AC8" w:rsidRPr="00A76485" w:rsidRDefault="00B53AC8" w:rsidP="00492D77">
      <w:pPr>
        <w:pStyle w:val="Prrafodelista"/>
        <w:numPr>
          <w:ilvl w:val="0"/>
          <w:numId w:val="6"/>
        </w:numPr>
        <w:jc w:val="both"/>
        <w:rPr>
          <w:rFonts w:ascii="Arial" w:eastAsia="Calibri" w:hAnsi="Arial" w:cs="Arial"/>
          <w:b/>
          <w:sz w:val="21"/>
          <w:szCs w:val="21"/>
          <w:lang w:eastAsia="en-US"/>
        </w:rPr>
      </w:pPr>
      <w:r w:rsidRPr="00A76485">
        <w:rPr>
          <w:rFonts w:ascii="Arial" w:eastAsia="Calibri" w:hAnsi="Arial" w:cs="Arial"/>
          <w:b/>
          <w:sz w:val="22"/>
          <w:szCs w:val="22"/>
          <w:lang w:eastAsia="en-US"/>
        </w:rPr>
        <w:t>Saneamiento Financiero del Sector Salud en las entidades territoriales. Punto Final - artículo 238 de la Ley 1955 de 2019.</w:t>
      </w:r>
    </w:p>
    <w:p w14:paraId="044509D3" w14:textId="77777777" w:rsidR="00B53AC8" w:rsidRPr="00A76485" w:rsidRDefault="00B53AC8" w:rsidP="00492D77">
      <w:pPr>
        <w:contextualSpacing/>
        <w:jc w:val="both"/>
        <w:rPr>
          <w:rFonts w:ascii="Arial" w:hAnsi="Arial" w:cs="Arial"/>
          <w:sz w:val="21"/>
          <w:szCs w:val="21"/>
        </w:rPr>
      </w:pPr>
    </w:p>
    <w:p w14:paraId="679696D4"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El artículo 238 de la Ley 1955 de 2019 modificado por el artículo 21 de Decreto 538 de 2020, estableció las reglas y procedimientos que de</w:t>
      </w:r>
      <w:r w:rsidR="0047507E">
        <w:rPr>
          <w:rFonts w:ascii="Arial" w:hAnsi="Arial" w:cs="Arial"/>
          <w:sz w:val="21"/>
          <w:szCs w:val="21"/>
        </w:rPr>
        <w:t>bieron</w:t>
      </w:r>
      <w:r w:rsidRPr="00A76485">
        <w:rPr>
          <w:rFonts w:ascii="Arial" w:hAnsi="Arial" w:cs="Arial"/>
          <w:sz w:val="21"/>
          <w:szCs w:val="21"/>
        </w:rPr>
        <w:t xml:space="preserve"> atender las entidades territoriales para llevar a cabo el saneamiento financiero del Sector Salud por concepto de servicios y tecnologías en salud no financiad</w:t>
      </w:r>
      <w:r w:rsidR="000652C3">
        <w:rPr>
          <w:rFonts w:ascii="Arial" w:hAnsi="Arial" w:cs="Arial"/>
          <w:sz w:val="21"/>
          <w:szCs w:val="21"/>
        </w:rPr>
        <w:t>o</w:t>
      </w:r>
      <w:r w:rsidRPr="00A76485">
        <w:rPr>
          <w:rFonts w:ascii="Arial" w:hAnsi="Arial" w:cs="Arial"/>
          <w:sz w:val="21"/>
          <w:szCs w:val="21"/>
        </w:rPr>
        <w:t>s con cargo a la Unidad de Pago por Capitación - UPC del Régimen Subsidiado, prestados hasta el 31 de diciembre de 2019 y dispuso las fuentes territoriales habilitadas para el pago de dicho concepto, definiendo la posibilidad de la cofinanciación por parte de la Nación, previo cumplimiento de las condiciones establecidas en los literales a), b) y c) del citado artículo.</w:t>
      </w:r>
    </w:p>
    <w:p w14:paraId="17251F2E" w14:textId="77777777" w:rsidR="00B53AC8" w:rsidRPr="00A76485" w:rsidRDefault="00B53AC8" w:rsidP="00492D77">
      <w:pPr>
        <w:contextualSpacing/>
        <w:jc w:val="both"/>
        <w:rPr>
          <w:rFonts w:ascii="Arial" w:hAnsi="Arial" w:cs="Arial"/>
          <w:sz w:val="21"/>
          <w:szCs w:val="21"/>
        </w:rPr>
      </w:pPr>
    </w:p>
    <w:p w14:paraId="0629EB3A" w14:textId="77777777" w:rsidR="00B53AC8" w:rsidRDefault="00B53AC8" w:rsidP="00492D77">
      <w:pPr>
        <w:contextualSpacing/>
        <w:jc w:val="both"/>
        <w:rPr>
          <w:rFonts w:ascii="Arial" w:hAnsi="Arial" w:cs="Arial"/>
          <w:sz w:val="21"/>
          <w:szCs w:val="21"/>
        </w:rPr>
      </w:pPr>
      <w:r w:rsidRPr="00A76485">
        <w:rPr>
          <w:rFonts w:ascii="Arial" w:hAnsi="Arial" w:cs="Arial"/>
          <w:sz w:val="21"/>
          <w:szCs w:val="21"/>
        </w:rPr>
        <w:t>Para efectos de la cofinanciación por parte de la Nación, el literal a) del artículo 238 de la Ley 1955 de 2019, determinó que el Ministerio de Hacienda y Crédito Público con el apoyo del Ministerio de Salud y Protección Social y del Departamento Nacional de Planeación, evaluaría el esfuerzo fiscal de las entidades territoriales para el pago de estos pasivos y definiría el monto a financiar premiando a aquellas que hayan realizado mayores esfuerzos.</w:t>
      </w:r>
    </w:p>
    <w:p w14:paraId="1131B670" w14:textId="77777777" w:rsidR="00B96BD8" w:rsidRPr="00A76485" w:rsidRDefault="00B96BD8" w:rsidP="00492D77">
      <w:pPr>
        <w:contextualSpacing/>
        <w:jc w:val="both"/>
        <w:rPr>
          <w:rFonts w:ascii="Arial" w:hAnsi="Arial" w:cs="Arial"/>
          <w:sz w:val="21"/>
          <w:szCs w:val="21"/>
        </w:rPr>
      </w:pPr>
    </w:p>
    <w:p w14:paraId="3B309A2A"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En el marco de lo anterior, el Gobierno Nacional a través del Decreto 2154 de 28 de noviembre de 2019 modificado por el Decreto 209 de 2022, estableció los términos y condiciones para la evaluación del esfuerzo fiscal de las entidades territoriales, a fin de determinar el monto de la cofinanciación de la Nación y reglas para el giro, cuyo artículo 3º prescribe que le correspondía a las entidades territoriales remitir a los Ministerios de Hacienda y Crédito Público y Salud y Protección Social las certificaciones en los formatos definidos por este último, las cuales debían estar suscritas por el representante legal de la entidad territorial.</w:t>
      </w:r>
    </w:p>
    <w:p w14:paraId="52970EEE" w14:textId="77777777" w:rsidR="00B53AC8" w:rsidRPr="00A76485" w:rsidRDefault="00B53AC8" w:rsidP="00492D77">
      <w:pPr>
        <w:contextualSpacing/>
        <w:jc w:val="both"/>
        <w:rPr>
          <w:rFonts w:ascii="Arial" w:hAnsi="Arial" w:cs="Arial"/>
          <w:sz w:val="21"/>
          <w:szCs w:val="21"/>
        </w:rPr>
      </w:pPr>
    </w:p>
    <w:p w14:paraId="082499DB"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 xml:space="preserve">El artículo 9º </w:t>
      </w:r>
      <w:r w:rsidRPr="00A76485">
        <w:rPr>
          <w:rFonts w:ascii="Arial" w:hAnsi="Arial" w:cs="Arial"/>
          <w:i/>
          <w:iCs/>
          <w:sz w:val="21"/>
          <w:szCs w:val="21"/>
        </w:rPr>
        <w:t>ibidem</w:t>
      </w:r>
      <w:r w:rsidRPr="00A76485">
        <w:rPr>
          <w:rFonts w:ascii="Arial" w:hAnsi="Arial" w:cs="Arial"/>
          <w:sz w:val="21"/>
          <w:szCs w:val="21"/>
        </w:rPr>
        <w:t xml:space="preserve"> establece que la Dirección General de Apoyo Fiscal de acuerdo con el resultado de la aplicación de la fórmula del esfuerzo fiscal, determinaría el valor a cofinanciar por parte de la Nación para el pago de las deudas por concepto de servicios y tecnologías en salud no financiadas con cargo a la UPC del Régimen Subsidiado, prestados hasta el 31 de diciembre de 2019.</w:t>
      </w:r>
    </w:p>
    <w:p w14:paraId="7F2F0E6B" w14:textId="77777777" w:rsidR="00B53AC8" w:rsidRPr="00A76485" w:rsidRDefault="00B53AC8" w:rsidP="00492D77">
      <w:pPr>
        <w:contextualSpacing/>
        <w:jc w:val="both"/>
        <w:rPr>
          <w:rFonts w:ascii="Arial" w:hAnsi="Arial" w:cs="Arial"/>
          <w:sz w:val="21"/>
          <w:szCs w:val="21"/>
        </w:rPr>
      </w:pPr>
    </w:p>
    <w:p w14:paraId="4B4910FD"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En virtud de lo anterior, el Distrito envió para la</w:t>
      </w:r>
      <w:r w:rsidR="000652C3">
        <w:rPr>
          <w:rFonts w:ascii="Arial" w:hAnsi="Arial" w:cs="Arial"/>
          <w:sz w:val="21"/>
          <w:szCs w:val="21"/>
        </w:rPr>
        <w:t>s</w:t>
      </w:r>
      <w:r w:rsidRPr="00A76485">
        <w:rPr>
          <w:rFonts w:ascii="Arial" w:hAnsi="Arial" w:cs="Arial"/>
          <w:sz w:val="21"/>
          <w:szCs w:val="21"/>
        </w:rPr>
        <w:t xml:space="preserve"> Fase</w:t>
      </w:r>
      <w:r w:rsidR="000652C3">
        <w:rPr>
          <w:rFonts w:ascii="Arial" w:hAnsi="Arial" w:cs="Arial"/>
          <w:sz w:val="21"/>
          <w:szCs w:val="21"/>
        </w:rPr>
        <w:t>s</w:t>
      </w:r>
      <w:r w:rsidRPr="00A76485">
        <w:rPr>
          <w:rFonts w:ascii="Arial" w:hAnsi="Arial" w:cs="Arial"/>
          <w:sz w:val="21"/>
          <w:szCs w:val="21"/>
        </w:rPr>
        <w:t xml:space="preserve"> I y II, las certificaciones a que hace referencia el artículo 3º del Decreto 2154 de 28 de noviembre de 2019 modificado por el Decreto 209 de 2022, cuyo resultado en relación con la evaluación del esfuerzo fiscal y la determinación del monto a cofinanciar por parte de la Nación, se indica a continuación:</w:t>
      </w:r>
    </w:p>
    <w:p w14:paraId="4D1D85F6" w14:textId="77777777" w:rsidR="00B53AC8" w:rsidRPr="00A76485" w:rsidRDefault="00B53AC8" w:rsidP="00492D77">
      <w:pPr>
        <w:contextualSpacing/>
        <w:jc w:val="both"/>
        <w:rPr>
          <w:rFonts w:ascii="Arial" w:hAnsi="Arial" w:cs="Arial"/>
          <w:sz w:val="21"/>
          <w:szCs w:val="21"/>
        </w:rPr>
      </w:pPr>
    </w:p>
    <w:p w14:paraId="00A91639" w14:textId="77777777" w:rsidR="00B53AC8" w:rsidRPr="00A76485" w:rsidRDefault="00B53AC8" w:rsidP="00492D77">
      <w:pPr>
        <w:contextualSpacing/>
        <w:jc w:val="center"/>
        <w:rPr>
          <w:rFonts w:ascii="Arial" w:hAnsi="Arial" w:cs="Arial"/>
          <w:b/>
          <w:bCs/>
          <w:sz w:val="18"/>
          <w:szCs w:val="18"/>
        </w:rPr>
      </w:pPr>
    </w:p>
    <w:p w14:paraId="71C632BD" w14:textId="77777777" w:rsidR="00B53AC8" w:rsidRPr="00A76485" w:rsidRDefault="00B53AC8" w:rsidP="00492D77">
      <w:pPr>
        <w:contextualSpacing/>
        <w:jc w:val="center"/>
        <w:rPr>
          <w:rFonts w:ascii="Arial" w:hAnsi="Arial" w:cs="Arial"/>
          <w:b/>
          <w:bCs/>
          <w:sz w:val="18"/>
          <w:szCs w:val="18"/>
        </w:rPr>
      </w:pPr>
      <w:r w:rsidRPr="00A76485">
        <w:rPr>
          <w:rFonts w:ascii="Arial" w:hAnsi="Arial" w:cs="Arial"/>
          <w:b/>
          <w:bCs/>
          <w:sz w:val="18"/>
          <w:szCs w:val="18"/>
        </w:rPr>
        <w:t>Tabla No. 3</w:t>
      </w:r>
    </w:p>
    <w:tbl>
      <w:tblPr>
        <w:tblW w:w="5084" w:type="pct"/>
        <w:tblCellMar>
          <w:left w:w="70" w:type="dxa"/>
          <w:right w:w="70" w:type="dxa"/>
        </w:tblCellMar>
        <w:tblLook w:val="04A0" w:firstRow="1" w:lastRow="0" w:firstColumn="1" w:lastColumn="0" w:noHBand="0" w:noVBand="1"/>
      </w:tblPr>
      <w:tblGrid>
        <w:gridCol w:w="3403"/>
        <w:gridCol w:w="2179"/>
        <w:gridCol w:w="2301"/>
        <w:gridCol w:w="1093"/>
      </w:tblGrid>
      <w:tr w:rsidR="00B53AC8" w:rsidRPr="00A76485" w14:paraId="10516E18" w14:textId="77777777" w:rsidTr="00B07A14">
        <w:trPr>
          <w:trHeight w:val="276"/>
        </w:trPr>
        <w:tc>
          <w:tcPr>
            <w:tcW w:w="5000" w:type="pct"/>
            <w:gridSpan w:val="4"/>
            <w:vMerge w:val="restart"/>
            <w:tcBorders>
              <w:top w:val="single" w:sz="8" w:space="0" w:color="auto"/>
              <w:left w:val="single" w:sz="8" w:space="0" w:color="auto"/>
              <w:bottom w:val="nil"/>
              <w:right w:val="nil"/>
            </w:tcBorders>
            <w:shd w:val="clear" w:color="000000" w:fill="1F4E78"/>
            <w:noWrap/>
            <w:vAlign w:val="center"/>
            <w:hideMark/>
          </w:tcPr>
          <w:p w14:paraId="5B95790A"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CALCULO DEL INDICADOR DE ESFUERZO FISCAL Y COFINANCIACION DE LA NACION</w:t>
            </w:r>
          </w:p>
        </w:tc>
      </w:tr>
      <w:tr w:rsidR="00B53AC8" w:rsidRPr="00A76485" w14:paraId="5DF40CBC" w14:textId="77777777" w:rsidTr="00B07A14">
        <w:trPr>
          <w:trHeight w:val="276"/>
        </w:trPr>
        <w:tc>
          <w:tcPr>
            <w:tcW w:w="5000" w:type="pct"/>
            <w:gridSpan w:val="4"/>
            <w:vMerge/>
            <w:tcBorders>
              <w:top w:val="single" w:sz="8" w:space="0" w:color="auto"/>
              <w:left w:val="single" w:sz="8" w:space="0" w:color="auto"/>
              <w:bottom w:val="nil"/>
              <w:right w:val="nil"/>
            </w:tcBorders>
            <w:vAlign w:val="center"/>
            <w:hideMark/>
          </w:tcPr>
          <w:p w14:paraId="1EF9530E" w14:textId="77777777" w:rsidR="00B53AC8" w:rsidRPr="00A76485" w:rsidRDefault="00B53AC8" w:rsidP="00492D77">
            <w:pPr>
              <w:rPr>
                <w:rFonts w:ascii="Arial" w:eastAsia="Times New Roman" w:hAnsi="Arial" w:cs="Arial"/>
                <w:color w:val="FFFFFF"/>
                <w:sz w:val="21"/>
                <w:szCs w:val="21"/>
                <w:lang w:val="es-CO" w:eastAsia="es-CO"/>
              </w:rPr>
            </w:pPr>
          </w:p>
        </w:tc>
      </w:tr>
      <w:tr w:rsidR="00B53AC8" w:rsidRPr="00A76485" w14:paraId="1612C19F" w14:textId="77777777" w:rsidTr="00B07A14">
        <w:trPr>
          <w:trHeight w:val="134"/>
        </w:trPr>
        <w:tc>
          <w:tcPr>
            <w:tcW w:w="1895" w:type="pct"/>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6998187"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ENTIDAD TERRITORIAL</w:t>
            </w:r>
          </w:p>
        </w:tc>
        <w:tc>
          <w:tcPr>
            <w:tcW w:w="3104" w:type="pct"/>
            <w:gridSpan w:val="3"/>
            <w:tcBorders>
              <w:top w:val="single" w:sz="4" w:space="0" w:color="auto"/>
              <w:left w:val="nil"/>
              <w:bottom w:val="single" w:sz="4" w:space="0" w:color="auto"/>
              <w:right w:val="single" w:sz="4" w:space="0" w:color="000000"/>
            </w:tcBorders>
            <w:shd w:val="clear" w:color="000000" w:fill="1F4E78"/>
            <w:noWrap/>
            <w:vAlign w:val="bottom"/>
            <w:hideMark/>
          </w:tcPr>
          <w:p w14:paraId="7A0B1432"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Distrito de Santa Marta</w:t>
            </w:r>
          </w:p>
        </w:tc>
      </w:tr>
      <w:tr w:rsidR="00B53AC8" w:rsidRPr="00A76485" w14:paraId="3FFD2855" w14:textId="77777777" w:rsidTr="00B07A14">
        <w:trPr>
          <w:trHeight w:val="134"/>
        </w:trPr>
        <w:tc>
          <w:tcPr>
            <w:tcW w:w="1895" w:type="pct"/>
            <w:tcBorders>
              <w:top w:val="nil"/>
              <w:left w:val="single" w:sz="8" w:space="0" w:color="auto"/>
              <w:bottom w:val="single" w:sz="4" w:space="0" w:color="auto"/>
              <w:right w:val="nil"/>
            </w:tcBorders>
            <w:shd w:val="clear" w:color="000000" w:fill="1F4E78"/>
            <w:noWrap/>
            <w:vAlign w:val="bottom"/>
            <w:hideMark/>
          </w:tcPr>
          <w:p w14:paraId="689AA330"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FECHA DE CORTE</w:t>
            </w:r>
          </w:p>
        </w:tc>
        <w:tc>
          <w:tcPr>
            <w:tcW w:w="1214" w:type="pct"/>
            <w:tcBorders>
              <w:top w:val="nil"/>
              <w:left w:val="single" w:sz="8" w:space="0" w:color="auto"/>
              <w:bottom w:val="single" w:sz="4" w:space="0" w:color="auto"/>
              <w:right w:val="nil"/>
            </w:tcBorders>
            <w:shd w:val="clear" w:color="000000" w:fill="1F4E78"/>
            <w:noWrap/>
            <w:vAlign w:val="bottom"/>
            <w:hideMark/>
          </w:tcPr>
          <w:p w14:paraId="0F734BA5"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31/07/2021</w:t>
            </w:r>
          </w:p>
        </w:tc>
        <w:tc>
          <w:tcPr>
            <w:tcW w:w="1282" w:type="pct"/>
            <w:tcBorders>
              <w:top w:val="nil"/>
              <w:left w:val="single" w:sz="8" w:space="0" w:color="auto"/>
              <w:bottom w:val="single" w:sz="4" w:space="0" w:color="auto"/>
              <w:right w:val="nil"/>
            </w:tcBorders>
            <w:shd w:val="clear" w:color="000000" w:fill="1F4E78"/>
            <w:noWrap/>
            <w:vAlign w:val="bottom"/>
            <w:hideMark/>
          </w:tcPr>
          <w:p w14:paraId="5529BF4C"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28/02/2022</w:t>
            </w:r>
          </w:p>
        </w:tc>
        <w:tc>
          <w:tcPr>
            <w:tcW w:w="609" w:type="pct"/>
            <w:tcBorders>
              <w:top w:val="nil"/>
              <w:left w:val="single" w:sz="8" w:space="0" w:color="auto"/>
              <w:bottom w:val="single" w:sz="4" w:space="0" w:color="auto"/>
              <w:right w:val="nil"/>
            </w:tcBorders>
            <w:shd w:val="clear" w:color="000000" w:fill="1F4E78"/>
            <w:noWrap/>
            <w:vAlign w:val="bottom"/>
            <w:hideMark/>
          </w:tcPr>
          <w:p w14:paraId="3D9CB5F4"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0/01/1900</w:t>
            </w:r>
          </w:p>
        </w:tc>
      </w:tr>
      <w:tr w:rsidR="00B53AC8" w:rsidRPr="00A76485" w14:paraId="5CC4F9D8" w14:textId="77777777" w:rsidTr="00B07A14">
        <w:trPr>
          <w:trHeight w:val="134"/>
        </w:trPr>
        <w:tc>
          <w:tcPr>
            <w:tcW w:w="1895" w:type="pct"/>
            <w:tcBorders>
              <w:top w:val="nil"/>
              <w:left w:val="single" w:sz="8" w:space="0" w:color="auto"/>
              <w:bottom w:val="single" w:sz="4" w:space="0" w:color="auto"/>
              <w:right w:val="nil"/>
            </w:tcBorders>
            <w:shd w:val="clear" w:color="000000" w:fill="1F4E78"/>
            <w:noWrap/>
            <w:vAlign w:val="bottom"/>
            <w:hideMark/>
          </w:tcPr>
          <w:p w14:paraId="6E0124C9"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Fase</w:t>
            </w:r>
          </w:p>
        </w:tc>
        <w:tc>
          <w:tcPr>
            <w:tcW w:w="1214" w:type="pct"/>
            <w:tcBorders>
              <w:top w:val="nil"/>
              <w:left w:val="single" w:sz="4" w:space="0" w:color="auto"/>
              <w:bottom w:val="single" w:sz="4" w:space="0" w:color="auto"/>
              <w:right w:val="single" w:sz="4" w:space="0" w:color="auto"/>
            </w:tcBorders>
            <w:shd w:val="clear" w:color="000000" w:fill="1F4E78"/>
            <w:noWrap/>
            <w:vAlign w:val="bottom"/>
            <w:hideMark/>
          </w:tcPr>
          <w:p w14:paraId="3CED200A"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1</w:t>
            </w:r>
          </w:p>
        </w:tc>
        <w:tc>
          <w:tcPr>
            <w:tcW w:w="1282" w:type="pct"/>
            <w:tcBorders>
              <w:top w:val="nil"/>
              <w:left w:val="nil"/>
              <w:bottom w:val="single" w:sz="4" w:space="0" w:color="auto"/>
              <w:right w:val="single" w:sz="4" w:space="0" w:color="auto"/>
            </w:tcBorders>
            <w:shd w:val="clear" w:color="000000" w:fill="1F4E78"/>
            <w:noWrap/>
            <w:vAlign w:val="bottom"/>
            <w:hideMark/>
          </w:tcPr>
          <w:p w14:paraId="6FF3048F"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2</w:t>
            </w:r>
          </w:p>
        </w:tc>
        <w:tc>
          <w:tcPr>
            <w:tcW w:w="609" w:type="pct"/>
            <w:tcBorders>
              <w:top w:val="nil"/>
              <w:left w:val="nil"/>
              <w:bottom w:val="single" w:sz="4" w:space="0" w:color="auto"/>
              <w:right w:val="single" w:sz="4" w:space="0" w:color="auto"/>
            </w:tcBorders>
            <w:shd w:val="clear" w:color="000000" w:fill="1F4E78"/>
            <w:noWrap/>
            <w:vAlign w:val="bottom"/>
            <w:hideMark/>
          </w:tcPr>
          <w:p w14:paraId="5902D57D" w14:textId="77777777" w:rsidR="00B53AC8" w:rsidRPr="00A76485" w:rsidRDefault="00B53AC8" w:rsidP="00492D77">
            <w:pPr>
              <w:jc w:val="center"/>
              <w:rPr>
                <w:rFonts w:ascii="Arial" w:eastAsia="Times New Roman" w:hAnsi="Arial" w:cs="Arial"/>
                <w:color w:val="FFFFFF"/>
                <w:sz w:val="21"/>
                <w:szCs w:val="21"/>
                <w:lang w:val="es-CO" w:eastAsia="es-CO"/>
              </w:rPr>
            </w:pPr>
            <w:r w:rsidRPr="00A76485">
              <w:rPr>
                <w:rFonts w:ascii="Arial" w:eastAsia="Times New Roman" w:hAnsi="Arial" w:cs="Arial"/>
                <w:color w:val="FFFFFF"/>
                <w:sz w:val="21"/>
                <w:szCs w:val="21"/>
                <w:lang w:val="es-CO" w:eastAsia="es-CO"/>
              </w:rPr>
              <w:t>3</w:t>
            </w:r>
          </w:p>
        </w:tc>
      </w:tr>
      <w:tr w:rsidR="00B53AC8" w:rsidRPr="00A76485" w14:paraId="173779C4" w14:textId="77777777" w:rsidTr="00B07A14">
        <w:trPr>
          <w:trHeight w:val="272"/>
        </w:trPr>
        <w:tc>
          <w:tcPr>
            <w:tcW w:w="1895" w:type="pct"/>
            <w:tcBorders>
              <w:top w:val="nil"/>
              <w:left w:val="single" w:sz="4" w:space="0" w:color="auto"/>
              <w:bottom w:val="single" w:sz="4" w:space="0" w:color="auto"/>
              <w:right w:val="single" w:sz="4" w:space="0" w:color="auto"/>
            </w:tcBorders>
            <w:shd w:val="clear" w:color="000000" w:fill="FFFFFF"/>
            <w:noWrap/>
            <w:vAlign w:val="bottom"/>
            <w:hideMark/>
          </w:tcPr>
          <w:p w14:paraId="0BB1C0B8" w14:textId="77777777" w:rsidR="00B53AC8" w:rsidRPr="00A76485" w:rsidRDefault="00B53AC8" w:rsidP="00492D77">
            <w:pP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Pagos No UPC</w:t>
            </w:r>
          </w:p>
        </w:tc>
        <w:tc>
          <w:tcPr>
            <w:tcW w:w="1214" w:type="pct"/>
            <w:tcBorders>
              <w:top w:val="nil"/>
              <w:left w:val="nil"/>
              <w:bottom w:val="single" w:sz="8" w:space="0" w:color="auto"/>
              <w:right w:val="single" w:sz="8" w:space="0" w:color="auto"/>
            </w:tcBorders>
            <w:shd w:val="clear" w:color="000000" w:fill="FFFFFF"/>
            <w:noWrap/>
            <w:vAlign w:val="center"/>
            <w:hideMark/>
          </w:tcPr>
          <w:p w14:paraId="3D3AFFE0"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$20.725.055.154</w:t>
            </w:r>
          </w:p>
        </w:tc>
        <w:tc>
          <w:tcPr>
            <w:tcW w:w="1282" w:type="pct"/>
            <w:tcBorders>
              <w:top w:val="nil"/>
              <w:left w:val="single" w:sz="4" w:space="0" w:color="auto"/>
              <w:bottom w:val="single" w:sz="8" w:space="0" w:color="auto"/>
              <w:right w:val="single" w:sz="8" w:space="0" w:color="auto"/>
            </w:tcBorders>
            <w:shd w:val="clear" w:color="000000" w:fill="FFFFFF"/>
            <w:noWrap/>
            <w:vAlign w:val="center"/>
            <w:hideMark/>
          </w:tcPr>
          <w:p w14:paraId="1B771496"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$24.750.511.566</w:t>
            </w:r>
          </w:p>
        </w:tc>
        <w:tc>
          <w:tcPr>
            <w:tcW w:w="609" w:type="pct"/>
            <w:tcBorders>
              <w:top w:val="nil"/>
              <w:left w:val="single" w:sz="4" w:space="0" w:color="auto"/>
              <w:bottom w:val="single" w:sz="8" w:space="0" w:color="auto"/>
              <w:right w:val="single" w:sz="8" w:space="0" w:color="auto"/>
            </w:tcBorders>
            <w:shd w:val="clear" w:color="000000" w:fill="FFFFFF"/>
            <w:noWrap/>
            <w:vAlign w:val="center"/>
            <w:hideMark/>
          </w:tcPr>
          <w:p w14:paraId="425D7AA9"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$0</w:t>
            </w:r>
          </w:p>
        </w:tc>
      </w:tr>
      <w:tr w:rsidR="00B53AC8" w:rsidRPr="00A76485" w14:paraId="2ECBBB62" w14:textId="77777777" w:rsidTr="00B07A14">
        <w:trPr>
          <w:trHeight w:val="272"/>
        </w:trPr>
        <w:tc>
          <w:tcPr>
            <w:tcW w:w="1895" w:type="pct"/>
            <w:tcBorders>
              <w:top w:val="nil"/>
              <w:left w:val="single" w:sz="8" w:space="0" w:color="auto"/>
              <w:bottom w:val="nil"/>
              <w:right w:val="single" w:sz="4" w:space="0" w:color="auto"/>
            </w:tcBorders>
            <w:shd w:val="clear" w:color="000000" w:fill="FFFFFF"/>
            <w:noWrap/>
            <w:vAlign w:val="center"/>
            <w:hideMark/>
          </w:tcPr>
          <w:p w14:paraId="46471BE9" w14:textId="77777777" w:rsidR="00B53AC8" w:rsidRPr="00A76485" w:rsidRDefault="00B53AC8" w:rsidP="00492D77">
            <w:pP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Fuentes obligatorias</w:t>
            </w:r>
          </w:p>
        </w:tc>
        <w:tc>
          <w:tcPr>
            <w:tcW w:w="1214" w:type="pct"/>
            <w:tcBorders>
              <w:top w:val="single" w:sz="4" w:space="0" w:color="auto"/>
              <w:left w:val="nil"/>
              <w:bottom w:val="single" w:sz="8" w:space="0" w:color="auto"/>
              <w:right w:val="single" w:sz="8" w:space="0" w:color="auto"/>
            </w:tcBorders>
            <w:shd w:val="clear" w:color="000000" w:fill="FFFFFF"/>
            <w:noWrap/>
            <w:vAlign w:val="center"/>
            <w:hideMark/>
          </w:tcPr>
          <w:p w14:paraId="31068CF7"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$19.937.041.820</w:t>
            </w:r>
          </w:p>
        </w:tc>
        <w:tc>
          <w:tcPr>
            <w:tcW w:w="1282" w:type="pct"/>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635AB8F8"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$19.937.041.820</w:t>
            </w:r>
          </w:p>
        </w:tc>
        <w:tc>
          <w:tcPr>
            <w:tcW w:w="609" w:type="pct"/>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2A76E8BF"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$0</w:t>
            </w:r>
          </w:p>
        </w:tc>
      </w:tr>
      <w:tr w:rsidR="00B53AC8" w:rsidRPr="00A76485" w14:paraId="52280CFF" w14:textId="77777777" w:rsidTr="00B07A14">
        <w:trPr>
          <w:trHeight w:val="272"/>
        </w:trPr>
        <w:tc>
          <w:tcPr>
            <w:tcW w:w="1895" w:type="pct"/>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58E069D4" w14:textId="77777777" w:rsidR="00B53AC8" w:rsidRPr="00A76485" w:rsidRDefault="00B53AC8" w:rsidP="00492D77">
            <w:pPr>
              <w:rPr>
                <w:rFonts w:ascii="Arial" w:eastAsia="Times New Roman" w:hAnsi="Arial" w:cs="Arial"/>
                <w:b/>
                <w:bCs/>
                <w:color w:val="000000"/>
                <w:sz w:val="21"/>
                <w:szCs w:val="21"/>
                <w:lang w:val="es-CO" w:eastAsia="es-CO"/>
              </w:rPr>
            </w:pPr>
            <w:r w:rsidRPr="00A76485">
              <w:rPr>
                <w:rFonts w:ascii="Arial" w:eastAsia="Times New Roman" w:hAnsi="Arial" w:cs="Arial"/>
                <w:b/>
                <w:bCs/>
                <w:color w:val="000000"/>
                <w:sz w:val="21"/>
                <w:szCs w:val="21"/>
                <w:lang w:val="es-CO" w:eastAsia="es-CO"/>
              </w:rPr>
              <w:t>Esfuerzo Fiscal</w:t>
            </w:r>
          </w:p>
        </w:tc>
        <w:tc>
          <w:tcPr>
            <w:tcW w:w="1214" w:type="pct"/>
            <w:tcBorders>
              <w:top w:val="single" w:sz="4" w:space="0" w:color="auto"/>
              <w:left w:val="nil"/>
              <w:bottom w:val="single" w:sz="4" w:space="0" w:color="auto"/>
              <w:right w:val="single" w:sz="8" w:space="0" w:color="auto"/>
            </w:tcBorders>
            <w:shd w:val="clear" w:color="000000" w:fill="BFBFBF"/>
            <w:noWrap/>
            <w:vAlign w:val="center"/>
            <w:hideMark/>
          </w:tcPr>
          <w:p w14:paraId="3448D1F1" w14:textId="77777777" w:rsidR="00B53AC8" w:rsidRPr="00A76485" w:rsidRDefault="00B53AC8" w:rsidP="00492D77">
            <w:pPr>
              <w:jc w:val="center"/>
              <w:rPr>
                <w:rFonts w:ascii="Arial" w:eastAsia="Times New Roman" w:hAnsi="Arial" w:cs="Arial"/>
                <w:b/>
                <w:bCs/>
                <w:color w:val="000000"/>
                <w:sz w:val="21"/>
                <w:szCs w:val="21"/>
                <w:lang w:val="es-CO" w:eastAsia="es-CO"/>
              </w:rPr>
            </w:pPr>
            <w:r w:rsidRPr="00A76485">
              <w:rPr>
                <w:rFonts w:ascii="Arial" w:eastAsia="Times New Roman" w:hAnsi="Arial" w:cs="Arial"/>
                <w:b/>
                <w:bCs/>
                <w:color w:val="000000"/>
                <w:sz w:val="21"/>
                <w:szCs w:val="21"/>
                <w:lang w:val="es-CO" w:eastAsia="es-CO"/>
              </w:rPr>
              <w:t>1,04</w:t>
            </w:r>
          </w:p>
        </w:tc>
        <w:tc>
          <w:tcPr>
            <w:tcW w:w="1282"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68AAE1EA" w14:textId="77777777" w:rsidR="00B53AC8" w:rsidRPr="00A76485" w:rsidRDefault="00B53AC8" w:rsidP="00492D77">
            <w:pPr>
              <w:jc w:val="center"/>
              <w:rPr>
                <w:rFonts w:ascii="Arial" w:eastAsia="Times New Roman" w:hAnsi="Arial" w:cs="Arial"/>
                <w:b/>
                <w:bCs/>
                <w:color w:val="000000"/>
                <w:sz w:val="21"/>
                <w:szCs w:val="21"/>
                <w:lang w:val="es-CO" w:eastAsia="es-CO"/>
              </w:rPr>
            </w:pPr>
            <w:r w:rsidRPr="00A76485">
              <w:rPr>
                <w:rFonts w:ascii="Arial" w:eastAsia="Times New Roman" w:hAnsi="Arial" w:cs="Arial"/>
                <w:b/>
                <w:bCs/>
                <w:color w:val="000000"/>
                <w:sz w:val="21"/>
                <w:szCs w:val="21"/>
                <w:lang w:val="es-CO" w:eastAsia="es-CO"/>
              </w:rPr>
              <w:t>1,24</w:t>
            </w:r>
          </w:p>
        </w:tc>
        <w:tc>
          <w:tcPr>
            <w:tcW w:w="609" w:type="pct"/>
            <w:tcBorders>
              <w:top w:val="single" w:sz="4" w:space="0" w:color="auto"/>
              <w:left w:val="single" w:sz="4" w:space="0" w:color="auto"/>
              <w:bottom w:val="single" w:sz="4" w:space="0" w:color="auto"/>
              <w:right w:val="single" w:sz="8" w:space="0" w:color="auto"/>
            </w:tcBorders>
            <w:shd w:val="clear" w:color="000000" w:fill="BFBFBF"/>
            <w:noWrap/>
            <w:vAlign w:val="center"/>
            <w:hideMark/>
          </w:tcPr>
          <w:p w14:paraId="7EA9C644" w14:textId="77777777" w:rsidR="00B53AC8" w:rsidRPr="00A76485" w:rsidRDefault="00B53AC8" w:rsidP="00492D77">
            <w:pPr>
              <w:jc w:val="center"/>
              <w:rPr>
                <w:rFonts w:ascii="Arial" w:eastAsia="Times New Roman" w:hAnsi="Arial" w:cs="Arial"/>
                <w:b/>
                <w:bCs/>
                <w:color w:val="000000"/>
                <w:sz w:val="21"/>
                <w:szCs w:val="21"/>
                <w:lang w:val="es-CO" w:eastAsia="es-CO"/>
              </w:rPr>
            </w:pPr>
            <w:proofErr w:type="gramStart"/>
            <w:r w:rsidRPr="00A76485">
              <w:rPr>
                <w:rFonts w:ascii="Arial" w:eastAsia="Times New Roman" w:hAnsi="Arial" w:cs="Arial"/>
                <w:b/>
                <w:bCs/>
                <w:color w:val="000000"/>
                <w:sz w:val="21"/>
                <w:szCs w:val="21"/>
                <w:lang w:val="es-CO" w:eastAsia="es-CO"/>
              </w:rPr>
              <w:t>#¡</w:t>
            </w:r>
            <w:proofErr w:type="gramEnd"/>
            <w:r w:rsidRPr="00A76485">
              <w:rPr>
                <w:rFonts w:ascii="Arial" w:eastAsia="Times New Roman" w:hAnsi="Arial" w:cs="Arial"/>
                <w:b/>
                <w:bCs/>
                <w:color w:val="000000"/>
                <w:sz w:val="21"/>
                <w:szCs w:val="21"/>
                <w:lang w:val="es-CO" w:eastAsia="es-CO"/>
              </w:rPr>
              <w:t>DIV/0!</w:t>
            </w:r>
          </w:p>
        </w:tc>
      </w:tr>
      <w:tr w:rsidR="00B53AC8" w:rsidRPr="00A76485" w14:paraId="356A7B26" w14:textId="77777777" w:rsidTr="00B07A14">
        <w:trPr>
          <w:trHeight w:val="272"/>
        </w:trPr>
        <w:tc>
          <w:tcPr>
            <w:tcW w:w="1895" w:type="pct"/>
            <w:tcBorders>
              <w:top w:val="nil"/>
              <w:left w:val="single" w:sz="8" w:space="0" w:color="auto"/>
              <w:bottom w:val="nil"/>
              <w:right w:val="single" w:sz="4" w:space="0" w:color="auto"/>
            </w:tcBorders>
            <w:shd w:val="clear" w:color="000000" w:fill="FFFFFF"/>
            <w:noWrap/>
            <w:vAlign w:val="center"/>
            <w:hideMark/>
          </w:tcPr>
          <w:p w14:paraId="65877ADC" w14:textId="77777777" w:rsidR="00B53AC8" w:rsidRPr="00A76485" w:rsidRDefault="00B53AC8" w:rsidP="00492D77">
            <w:pP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Deuda Reportada</w:t>
            </w:r>
          </w:p>
        </w:tc>
        <w:tc>
          <w:tcPr>
            <w:tcW w:w="1214" w:type="pct"/>
            <w:tcBorders>
              <w:top w:val="nil"/>
              <w:left w:val="nil"/>
              <w:bottom w:val="single" w:sz="8" w:space="0" w:color="auto"/>
              <w:right w:val="single" w:sz="8" w:space="0" w:color="auto"/>
            </w:tcBorders>
            <w:shd w:val="clear" w:color="000000" w:fill="FFFFFF"/>
            <w:noWrap/>
            <w:vAlign w:val="center"/>
            <w:hideMark/>
          </w:tcPr>
          <w:p w14:paraId="19813D2A"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$15.377.601.762</w:t>
            </w:r>
          </w:p>
        </w:tc>
        <w:tc>
          <w:tcPr>
            <w:tcW w:w="1282" w:type="pct"/>
            <w:tcBorders>
              <w:top w:val="nil"/>
              <w:left w:val="single" w:sz="4" w:space="0" w:color="auto"/>
              <w:bottom w:val="single" w:sz="8" w:space="0" w:color="auto"/>
              <w:right w:val="single" w:sz="8" w:space="0" w:color="auto"/>
            </w:tcBorders>
            <w:shd w:val="clear" w:color="000000" w:fill="FFFFFF"/>
            <w:noWrap/>
            <w:vAlign w:val="center"/>
            <w:hideMark/>
          </w:tcPr>
          <w:p w14:paraId="0E1435AC"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$129.129.059</w:t>
            </w:r>
          </w:p>
        </w:tc>
        <w:tc>
          <w:tcPr>
            <w:tcW w:w="609" w:type="pct"/>
            <w:tcBorders>
              <w:top w:val="nil"/>
              <w:left w:val="single" w:sz="4" w:space="0" w:color="auto"/>
              <w:bottom w:val="single" w:sz="8" w:space="0" w:color="auto"/>
              <w:right w:val="single" w:sz="8" w:space="0" w:color="auto"/>
            </w:tcBorders>
            <w:shd w:val="clear" w:color="000000" w:fill="FFFFFF"/>
            <w:noWrap/>
            <w:vAlign w:val="center"/>
            <w:hideMark/>
          </w:tcPr>
          <w:p w14:paraId="385BD0EA"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$0</w:t>
            </w:r>
          </w:p>
        </w:tc>
      </w:tr>
      <w:tr w:rsidR="00B53AC8" w:rsidRPr="00A76485" w14:paraId="3D3E2307" w14:textId="77777777" w:rsidTr="00B07A14">
        <w:trPr>
          <w:trHeight w:val="272"/>
        </w:trPr>
        <w:tc>
          <w:tcPr>
            <w:tcW w:w="1895" w:type="pct"/>
            <w:tcBorders>
              <w:top w:val="single" w:sz="4" w:space="0" w:color="auto"/>
              <w:left w:val="single" w:sz="8" w:space="0" w:color="auto"/>
              <w:bottom w:val="nil"/>
              <w:right w:val="single" w:sz="4" w:space="0" w:color="auto"/>
            </w:tcBorders>
            <w:shd w:val="clear" w:color="000000" w:fill="FFFFFF"/>
            <w:noWrap/>
            <w:vAlign w:val="center"/>
            <w:hideMark/>
          </w:tcPr>
          <w:p w14:paraId="510327FC" w14:textId="77777777" w:rsidR="00B53AC8" w:rsidRPr="00A76485" w:rsidRDefault="00B53AC8" w:rsidP="00492D77">
            <w:pP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Fuentes Disponibles E.T.</w:t>
            </w:r>
          </w:p>
        </w:tc>
        <w:tc>
          <w:tcPr>
            <w:tcW w:w="1214" w:type="pct"/>
            <w:tcBorders>
              <w:top w:val="single" w:sz="4" w:space="0" w:color="auto"/>
              <w:left w:val="nil"/>
              <w:bottom w:val="single" w:sz="8" w:space="0" w:color="auto"/>
              <w:right w:val="single" w:sz="8" w:space="0" w:color="auto"/>
            </w:tcBorders>
            <w:shd w:val="clear" w:color="000000" w:fill="FFFFFF"/>
            <w:noWrap/>
            <w:vAlign w:val="center"/>
            <w:hideMark/>
          </w:tcPr>
          <w:p w14:paraId="0121DDD2"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$4.025.456.412</w:t>
            </w:r>
          </w:p>
        </w:tc>
        <w:tc>
          <w:tcPr>
            <w:tcW w:w="1282" w:type="pct"/>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0B476AA7"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$0</w:t>
            </w:r>
          </w:p>
        </w:tc>
        <w:tc>
          <w:tcPr>
            <w:tcW w:w="609" w:type="pct"/>
            <w:tcBorders>
              <w:top w:val="single" w:sz="4" w:space="0" w:color="auto"/>
              <w:left w:val="single" w:sz="4" w:space="0" w:color="auto"/>
              <w:bottom w:val="single" w:sz="8" w:space="0" w:color="auto"/>
              <w:right w:val="single" w:sz="8" w:space="0" w:color="auto"/>
            </w:tcBorders>
            <w:shd w:val="clear" w:color="000000" w:fill="FFFFFF"/>
            <w:noWrap/>
            <w:vAlign w:val="center"/>
            <w:hideMark/>
          </w:tcPr>
          <w:p w14:paraId="4DD34656" w14:textId="77777777" w:rsidR="00B53AC8" w:rsidRPr="00A76485" w:rsidRDefault="00B53AC8" w:rsidP="00492D77">
            <w:pPr>
              <w:jc w:val="center"/>
              <w:rPr>
                <w:rFonts w:ascii="Arial" w:eastAsia="Times New Roman" w:hAnsi="Arial" w:cs="Arial"/>
                <w:color w:val="000000"/>
                <w:sz w:val="21"/>
                <w:szCs w:val="21"/>
                <w:lang w:val="es-CO" w:eastAsia="es-CO"/>
              </w:rPr>
            </w:pPr>
            <w:r w:rsidRPr="00A76485">
              <w:rPr>
                <w:rFonts w:ascii="Arial" w:eastAsia="Times New Roman" w:hAnsi="Arial" w:cs="Arial"/>
                <w:color w:val="000000"/>
                <w:sz w:val="21"/>
                <w:szCs w:val="21"/>
                <w:lang w:val="es-CO" w:eastAsia="es-CO"/>
              </w:rPr>
              <w:t>$0</w:t>
            </w:r>
          </w:p>
        </w:tc>
      </w:tr>
      <w:tr w:rsidR="00B53AC8" w:rsidRPr="00A76485" w14:paraId="6A91BF51" w14:textId="77777777" w:rsidTr="00B07A14">
        <w:trPr>
          <w:trHeight w:val="250"/>
        </w:trPr>
        <w:tc>
          <w:tcPr>
            <w:tcW w:w="1895" w:type="pct"/>
            <w:tcBorders>
              <w:top w:val="single" w:sz="4" w:space="0" w:color="auto"/>
              <w:left w:val="single" w:sz="8" w:space="0" w:color="auto"/>
              <w:bottom w:val="single" w:sz="8" w:space="0" w:color="auto"/>
              <w:right w:val="single" w:sz="4" w:space="0" w:color="auto"/>
            </w:tcBorders>
            <w:shd w:val="clear" w:color="000000" w:fill="BFBFBF"/>
            <w:noWrap/>
            <w:vAlign w:val="center"/>
            <w:hideMark/>
          </w:tcPr>
          <w:p w14:paraId="13D2942B" w14:textId="77777777" w:rsidR="00B53AC8" w:rsidRPr="00A76485" w:rsidRDefault="00B53AC8" w:rsidP="00492D77">
            <w:pPr>
              <w:rPr>
                <w:rFonts w:ascii="Arial" w:eastAsia="Times New Roman" w:hAnsi="Arial" w:cs="Arial"/>
                <w:b/>
                <w:bCs/>
                <w:color w:val="000000"/>
                <w:sz w:val="21"/>
                <w:szCs w:val="21"/>
                <w:lang w:val="es-CO" w:eastAsia="es-CO"/>
              </w:rPr>
            </w:pPr>
            <w:r w:rsidRPr="00A76485">
              <w:rPr>
                <w:rFonts w:ascii="Arial" w:eastAsia="Times New Roman" w:hAnsi="Arial" w:cs="Arial"/>
                <w:b/>
                <w:bCs/>
                <w:color w:val="000000"/>
                <w:sz w:val="21"/>
                <w:szCs w:val="21"/>
                <w:lang w:val="es-CO" w:eastAsia="es-CO"/>
              </w:rPr>
              <w:t xml:space="preserve">Cofinanciación </w:t>
            </w:r>
          </w:p>
        </w:tc>
        <w:tc>
          <w:tcPr>
            <w:tcW w:w="1214" w:type="pct"/>
            <w:tcBorders>
              <w:top w:val="single" w:sz="4" w:space="0" w:color="auto"/>
              <w:left w:val="nil"/>
              <w:bottom w:val="single" w:sz="8" w:space="0" w:color="auto"/>
              <w:right w:val="single" w:sz="8" w:space="0" w:color="auto"/>
            </w:tcBorders>
            <w:shd w:val="clear" w:color="000000" w:fill="BFBFBF"/>
            <w:noWrap/>
            <w:vAlign w:val="center"/>
            <w:hideMark/>
          </w:tcPr>
          <w:p w14:paraId="108AFA2F" w14:textId="77777777" w:rsidR="00B53AC8" w:rsidRPr="00A76485" w:rsidRDefault="00B53AC8" w:rsidP="00492D77">
            <w:pPr>
              <w:jc w:val="center"/>
              <w:rPr>
                <w:rFonts w:ascii="Arial" w:eastAsia="Times New Roman" w:hAnsi="Arial" w:cs="Arial"/>
                <w:b/>
                <w:bCs/>
                <w:color w:val="000000"/>
                <w:sz w:val="21"/>
                <w:szCs w:val="21"/>
                <w:lang w:val="es-CO" w:eastAsia="es-CO"/>
              </w:rPr>
            </w:pPr>
            <w:r w:rsidRPr="00A76485">
              <w:rPr>
                <w:rFonts w:ascii="Arial" w:eastAsia="Times New Roman" w:hAnsi="Arial" w:cs="Arial"/>
                <w:b/>
                <w:bCs/>
                <w:color w:val="000000"/>
                <w:sz w:val="21"/>
                <w:szCs w:val="21"/>
                <w:lang w:val="es-CO" w:eastAsia="es-CO"/>
              </w:rPr>
              <w:t>$11.352.145.350</w:t>
            </w:r>
          </w:p>
        </w:tc>
        <w:tc>
          <w:tcPr>
            <w:tcW w:w="1282" w:type="pct"/>
            <w:tcBorders>
              <w:top w:val="single" w:sz="4" w:space="0" w:color="auto"/>
              <w:left w:val="single" w:sz="4" w:space="0" w:color="auto"/>
              <w:bottom w:val="single" w:sz="8" w:space="0" w:color="auto"/>
              <w:right w:val="single" w:sz="8" w:space="0" w:color="auto"/>
            </w:tcBorders>
            <w:shd w:val="clear" w:color="000000" w:fill="BFBFBF"/>
            <w:noWrap/>
            <w:vAlign w:val="center"/>
            <w:hideMark/>
          </w:tcPr>
          <w:p w14:paraId="3EAC9845" w14:textId="77777777" w:rsidR="00B53AC8" w:rsidRPr="00A76485" w:rsidRDefault="00B53AC8" w:rsidP="00492D77">
            <w:pPr>
              <w:jc w:val="center"/>
              <w:rPr>
                <w:rFonts w:ascii="Arial" w:eastAsia="Times New Roman" w:hAnsi="Arial" w:cs="Arial"/>
                <w:b/>
                <w:bCs/>
                <w:color w:val="000000"/>
                <w:sz w:val="21"/>
                <w:szCs w:val="21"/>
                <w:lang w:val="es-CO" w:eastAsia="es-CO"/>
              </w:rPr>
            </w:pPr>
            <w:r w:rsidRPr="00A76485">
              <w:rPr>
                <w:rFonts w:ascii="Arial" w:eastAsia="Times New Roman" w:hAnsi="Arial" w:cs="Arial"/>
                <w:b/>
                <w:bCs/>
                <w:color w:val="000000"/>
                <w:sz w:val="21"/>
                <w:szCs w:val="21"/>
                <w:lang w:val="es-CO" w:eastAsia="es-CO"/>
              </w:rPr>
              <w:t>$129.129.059</w:t>
            </w:r>
          </w:p>
        </w:tc>
        <w:tc>
          <w:tcPr>
            <w:tcW w:w="609" w:type="pct"/>
            <w:tcBorders>
              <w:top w:val="single" w:sz="4" w:space="0" w:color="auto"/>
              <w:left w:val="single" w:sz="4" w:space="0" w:color="auto"/>
              <w:bottom w:val="single" w:sz="8" w:space="0" w:color="auto"/>
              <w:right w:val="single" w:sz="8" w:space="0" w:color="auto"/>
            </w:tcBorders>
            <w:shd w:val="clear" w:color="000000" w:fill="BFBFBF"/>
            <w:noWrap/>
            <w:vAlign w:val="center"/>
            <w:hideMark/>
          </w:tcPr>
          <w:p w14:paraId="7E5A5592" w14:textId="77777777" w:rsidR="00B53AC8" w:rsidRPr="00A76485" w:rsidRDefault="00B53AC8" w:rsidP="00492D77">
            <w:pPr>
              <w:jc w:val="center"/>
              <w:rPr>
                <w:rFonts w:ascii="Arial" w:eastAsia="Times New Roman" w:hAnsi="Arial" w:cs="Arial"/>
                <w:b/>
                <w:bCs/>
                <w:color w:val="000000"/>
                <w:sz w:val="21"/>
                <w:szCs w:val="21"/>
                <w:lang w:val="es-CO" w:eastAsia="es-CO"/>
              </w:rPr>
            </w:pPr>
            <w:r w:rsidRPr="00A76485">
              <w:rPr>
                <w:rFonts w:ascii="Arial" w:eastAsia="Times New Roman" w:hAnsi="Arial" w:cs="Arial"/>
                <w:b/>
                <w:bCs/>
                <w:color w:val="000000"/>
                <w:sz w:val="21"/>
                <w:szCs w:val="21"/>
                <w:lang w:val="es-CO" w:eastAsia="es-CO"/>
              </w:rPr>
              <w:t>$0</w:t>
            </w:r>
          </w:p>
        </w:tc>
      </w:tr>
    </w:tbl>
    <w:p w14:paraId="74657B3C" w14:textId="77777777" w:rsidR="00B53AC8" w:rsidRPr="00A76485" w:rsidRDefault="00B53AC8" w:rsidP="00492D77">
      <w:pPr>
        <w:contextualSpacing/>
        <w:rPr>
          <w:rFonts w:ascii="Arial" w:hAnsi="Arial" w:cs="Arial"/>
          <w:sz w:val="16"/>
          <w:szCs w:val="16"/>
        </w:rPr>
      </w:pPr>
      <w:r w:rsidRPr="00A76485">
        <w:rPr>
          <w:rFonts w:ascii="Arial" w:hAnsi="Arial" w:cs="Arial"/>
          <w:sz w:val="16"/>
          <w:szCs w:val="16"/>
        </w:rPr>
        <w:t>Fuente: DAF- informe de ley de punto final.</w:t>
      </w:r>
    </w:p>
    <w:p w14:paraId="7435B3D1" w14:textId="77777777" w:rsidR="00B53AC8" w:rsidRPr="00A76485" w:rsidRDefault="00B53AC8" w:rsidP="00492D77">
      <w:pPr>
        <w:contextualSpacing/>
        <w:jc w:val="both"/>
        <w:rPr>
          <w:rFonts w:ascii="Arial" w:hAnsi="Arial" w:cs="Arial"/>
          <w:sz w:val="21"/>
          <w:szCs w:val="21"/>
        </w:rPr>
      </w:pPr>
    </w:p>
    <w:p w14:paraId="4B403F0D"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De acuerdo con lo anterior, para la</w:t>
      </w:r>
      <w:r w:rsidR="000652C3">
        <w:rPr>
          <w:rFonts w:ascii="Arial" w:hAnsi="Arial" w:cs="Arial"/>
          <w:sz w:val="21"/>
          <w:szCs w:val="21"/>
        </w:rPr>
        <w:t>s</w:t>
      </w:r>
      <w:r w:rsidRPr="00A76485">
        <w:rPr>
          <w:rFonts w:ascii="Arial" w:hAnsi="Arial" w:cs="Arial"/>
          <w:sz w:val="21"/>
          <w:szCs w:val="21"/>
        </w:rPr>
        <w:t xml:space="preserve"> Fase</w:t>
      </w:r>
      <w:r w:rsidR="000652C3">
        <w:rPr>
          <w:rFonts w:ascii="Arial" w:hAnsi="Arial" w:cs="Arial"/>
          <w:sz w:val="21"/>
          <w:szCs w:val="21"/>
        </w:rPr>
        <w:t>s</w:t>
      </w:r>
      <w:r w:rsidRPr="00A76485">
        <w:rPr>
          <w:rFonts w:ascii="Arial" w:hAnsi="Arial" w:cs="Arial"/>
          <w:sz w:val="21"/>
          <w:szCs w:val="21"/>
        </w:rPr>
        <w:t xml:space="preserve"> I y II la Entidad Territorial recibió recurso</w:t>
      </w:r>
      <w:r w:rsidR="001B651E" w:rsidRPr="00A76485">
        <w:rPr>
          <w:rFonts w:ascii="Arial" w:hAnsi="Arial" w:cs="Arial"/>
          <w:sz w:val="21"/>
          <w:szCs w:val="21"/>
        </w:rPr>
        <w:t>s</w:t>
      </w:r>
      <w:r w:rsidRPr="00A76485">
        <w:rPr>
          <w:rFonts w:ascii="Arial" w:hAnsi="Arial" w:cs="Arial"/>
          <w:sz w:val="21"/>
          <w:szCs w:val="21"/>
        </w:rPr>
        <w:t xml:space="preserve"> de la </w:t>
      </w:r>
      <w:r w:rsidR="00B96BD8">
        <w:rPr>
          <w:rFonts w:ascii="Arial" w:hAnsi="Arial" w:cs="Arial"/>
          <w:sz w:val="21"/>
          <w:szCs w:val="21"/>
        </w:rPr>
        <w:t>N</w:t>
      </w:r>
      <w:r w:rsidRPr="00A76485">
        <w:rPr>
          <w:rFonts w:ascii="Arial" w:hAnsi="Arial" w:cs="Arial"/>
          <w:sz w:val="21"/>
          <w:szCs w:val="21"/>
        </w:rPr>
        <w:t>ación por $11.482 millones de cofinanciación para el saneamiento de la deuda reportada, con fuentes propias aportó $4.025 millones con lo que sane</w:t>
      </w:r>
      <w:r w:rsidR="000652C3">
        <w:rPr>
          <w:rFonts w:ascii="Arial" w:hAnsi="Arial" w:cs="Arial"/>
          <w:sz w:val="21"/>
          <w:szCs w:val="21"/>
        </w:rPr>
        <w:t>ó</w:t>
      </w:r>
      <w:r w:rsidRPr="00A76485">
        <w:rPr>
          <w:rFonts w:ascii="Arial" w:hAnsi="Arial" w:cs="Arial"/>
          <w:sz w:val="21"/>
          <w:szCs w:val="21"/>
        </w:rPr>
        <w:t xml:space="preserve"> un total de $15.506 millones.</w:t>
      </w:r>
    </w:p>
    <w:p w14:paraId="7ABFC5BD" w14:textId="77777777" w:rsidR="00B53AC8" w:rsidRPr="00A76485" w:rsidRDefault="00B53AC8" w:rsidP="00492D77">
      <w:pPr>
        <w:rPr>
          <w:rFonts w:ascii="Arial" w:hAnsi="Arial" w:cs="Arial"/>
          <w:sz w:val="22"/>
          <w:szCs w:val="22"/>
          <w:lang w:val="es-CO"/>
        </w:rPr>
      </w:pPr>
    </w:p>
    <w:p w14:paraId="2A11D2B5" w14:textId="77777777" w:rsidR="00B53AC8" w:rsidRPr="00A76485" w:rsidRDefault="00B53AC8" w:rsidP="00492D77">
      <w:pPr>
        <w:pStyle w:val="Ttulo1"/>
        <w:numPr>
          <w:ilvl w:val="0"/>
          <w:numId w:val="1"/>
        </w:numPr>
        <w:spacing w:before="0"/>
        <w:jc w:val="both"/>
        <w:rPr>
          <w:rFonts w:ascii="Arial" w:hAnsi="Arial" w:cs="Arial"/>
          <w:b/>
          <w:color w:val="auto"/>
          <w:sz w:val="22"/>
          <w:szCs w:val="22"/>
          <w:lang w:val="es-CO"/>
        </w:rPr>
      </w:pPr>
      <w:r w:rsidRPr="00A76485">
        <w:rPr>
          <w:rFonts w:ascii="Arial" w:hAnsi="Arial" w:cs="Arial"/>
          <w:b/>
          <w:color w:val="auto"/>
          <w:sz w:val="22"/>
          <w:szCs w:val="22"/>
          <w:lang w:val="es-CO"/>
        </w:rPr>
        <w:t>ANÁLISIS FINANCIERO Y SECTORIAL</w:t>
      </w:r>
    </w:p>
    <w:p w14:paraId="08CD24BA" w14:textId="77777777" w:rsidR="00B53AC8" w:rsidRPr="00A76485" w:rsidRDefault="00B53AC8" w:rsidP="00492D77">
      <w:pPr>
        <w:rPr>
          <w:rFonts w:ascii="Arial" w:hAnsi="Arial" w:cs="Arial"/>
          <w:sz w:val="22"/>
          <w:szCs w:val="22"/>
          <w:lang w:val="es-CO"/>
        </w:rPr>
      </w:pPr>
    </w:p>
    <w:p w14:paraId="4106A52C" w14:textId="77777777" w:rsidR="00B53AC8" w:rsidRPr="00A76485" w:rsidRDefault="00B53AC8" w:rsidP="00492D77">
      <w:pPr>
        <w:pStyle w:val="Prrafodelista"/>
        <w:numPr>
          <w:ilvl w:val="0"/>
          <w:numId w:val="3"/>
        </w:numPr>
        <w:rPr>
          <w:rFonts w:ascii="Arial" w:hAnsi="Arial" w:cs="Arial"/>
          <w:b/>
          <w:sz w:val="22"/>
          <w:szCs w:val="22"/>
          <w:lang w:val="es-CO"/>
        </w:rPr>
      </w:pPr>
      <w:r w:rsidRPr="00A76485">
        <w:rPr>
          <w:rFonts w:ascii="Arial" w:hAnsi="Arial" w:cs="Arial"/>
          <w:b/>
          <w:sz w:val="22"/>
          <w:szCs w:val="22"/>
          <w:lang w:val="es-CO"/>
        </w:rPr>
        <w:t>Análisis financiero.</w:t>
      </w:r>
    </w:p>
    <w:p w14:paraId="36FB6C44" w14:textId="77777777" w:rsidR="00B53AC8" w:rsidRPr="00A76485" w:rsidRDefault="00B53AC8" w:rsidP="00492D77">
      <w:pPr>
        <w:rPr>
          <w:rFonts w:ascii="Arial" w:hAnsi="Arial" w:cs="Arial"/>
          <w:sz w:val="22"/>
          <w:szCs w:val="22"/>
          <w:lang w:val="es-CO"/>
        </w:rPr>
      </w:pPr>
    </w:p>
    <w:p w14:paraId="66753A07" w14:textId="77777777" w:rsidR="00B53AC8" w:rsidRPr="00A76485" w:rsidRDefault="00B53AC8" w:rsidP="00492D77">
      <w:pPr>
        <w:contextualSpacing/>
        <w:jc w:val="both"/>
        <w:rPr>
          <w:rFonts w:ascii="Arial" w:hAnsi="Arial" w:cs="Arial"/>
          <w:b/>
          <w:sz w:val="21"/>
          <w:szCs w:val="21"/>
        </w:rPr>
      </w:pPr>
      <w:r w:rsidRPr="00A76485">
        <w:rPr>
          <w:rFonts w:ascii="Arial" w:hAnsi="Arial" w:cs="Arial"/>
          <w:b/>
          <w:sz w:val="21"/>
          <w:szCs w:val="21"/>
        </w:rPr>
        <w:t>Fondo Local de Salud – FLS.</w:t>
      </w:r>
    </w:p>
    <w:p w14:paraId="3A4009C4" w14:textId="77777777" w:rsidR="00B53AC8" w:rsidRPr="00A76485" w:rsidRDefault="00B53AC8" w:rsidP="00492D77">
      <w:pPr>
        <w:contextualSpacing/>
        <w:jc w:val="both"/>
        <w:rPr>
          <w:rFonts w:ascii="Arial" w:hAnsi="Arial" w:cs="Arial"/>
          <w:b/>
          <w:sz w:val="21"/>
          <w:szCs w:val="21"/>
        </w:rPr>
      </w:pPr>
    </w:p>
    <w:p w14:paraId="45C37B45" w14:textId="77777777" w:rsidR="00B53AC8" w:rsidRPr="00A76485" w:rsidRDefault="00B53AC8" w:rsidP="00492D77">
      <w:pPr>
        <w:rPr>
          <w:rFonts w:ascii="Arial" w:hAnsi="Arial" w:cs="Arial"/>
          <w:b/>
          <w:sz w:val="21"/>
          <w:szCs w:val="21"/>
        </w:rPr>
      </w:pPr>
      <w:r w:rsidRPr="00A76485">
        <w:rPr>
          <w:rFonts w:ascii="Arial" w:hAnsi="Arial" w:cs="Arial"/>
          <w:b/>
          <w:sz w:val="21"/>
          <w:szCs w:val="21"/>
        </w:rPr>
        <w:t>Evaluación Presupuestal 2021 – 2022 y Primer Trimestre 2023.</w:t>
      </w:r>
    </w:p>
    <w:p w14:paraId="775CE273" w14:textId="77777777" w:rsidR="00B07A14" w:rsidRPr="00A76485" w:rsidRDefault="00B07A14" w:rsidP="00492D77">
      <w:pPr>
        <w:rPr>
          <w:rFonts w:ascii="Arial" w:hAnsi="Arial" w:cs="Arial"/>
          <w:b/>
          <w:sz w:val="21"/>
          <w:szCs w:val="21"/>
        </w:rPr>
      </w:pPr>
    </w:p>
    <w:p w14:paraId="4168548E" w14:textId="77777777" w:rsidR="00B53AC8" w:rsidRPr="00A76485" w:rsidRDefault="00B53AC8" w:rsidP="00492D77">
      <w:pPr>
        <w:jc w:val="both"/>
        <w:rPr>
          <w:rFonts w:ascii="Arial" w:hAnsi="Arial" w:cs="Arial"/>
          <w:sz w:val="21"/>
          <w:szCs w:val="21"/>
        </w:rPr>
      </w:pPr>
      <w:r w:rsidRPr="00A76485">
        <w:rPr>
          <w:rFonts w:ascii="Arial" w:hAnsi="Arial" w:cs="Arial"/>
          <w:sz w:val="21"/>
          <w:szCs w:val="21"/>
        </w:rPr>
        <w:lastRenderedPageBreak/>
        <w:t xml:space="preserve">La Entidad Territorial aportó el </w:t>
      </w:r>
      <w:r w:rsidR="00B96BD8">
        <w:rPr>
          <w:rFonts w:ascii="Arial" w:hAnsi="Arial" w:cs="Arial"/>
          <w:sz w:val="21"/>
          <w:szCs w:val="21"/>
        </w:rPr>
        <w:t>D</w:t>
      </w:r>
      <w:r w:rsidRPr="00A76485">
        <w:rPr>
          <w:rFonts w:ascii="Arial" w:hAnsi="Arial" w:cs="Arial"/>
          <w:sz w:val="21"/>
          <w:szCs w:val="21"/>
        </w:rPr>
        <w:t xml:space="preserve">ecreto 886 del 19 de octubre de 1992 </w:t>
      </w:r>
      <w:r w:rsidRPr="00C545B3">
        <w:rPr>
          <w:rFonts w:ascii="Arial" w:hAnsi="Arial" w:cs="Arial"/>
          <w:i/>
          <w:iCs/>
          <w:sz w:val="21"/>
          <w:szCs w:val="21"/>
        </w:rPr>
        <w:t>“Por el cual se reorganiza la dirección local de salud del Distrito Cultural e Histórico de Santa Marta, mediante la creación del departamento admi</w:t>
      </w:r>
      <w:r w:rsidR="00BC1C5C" w:rsidRPr="00C545B3">
        <w:rPr>
          <w:rFonts w:ascii="Arial" w:hAnsi="Arial" w:cs="Arial"/>
          <w:i/>
          <w:iCs/>
          <w:sz w:val="21"/>
          <w:szCs w:val="21"/>
        </w:rPr>
        <w:t>nistra</w:t>
      </w:r>
      <w:r w:rsidRPr="00C545B3">
        <w:rPr>
          <w:rFonts w:ascii="Arial" w:hAnsi="Arial" w:cs="Arial"/>
          <w:i/>
          <w:iCs/>
          <w:sz w:val="21"/>
          <w:szCs w:val="21"/>
        </w:rPr>
        <w:t>tivo de salud y la restructuración del Fondo Local de Salud</w:t>
      </w:r>
      <w:r w:rsidR="00C545B3" w:rsidRPr="00C545B3">
        <w:rPr>
          <w:rFonts w:ascii="Arial" w:hAnsi="Arial" w:cs="Arial"/>
          <w:i/>
          <w:iCs/>
          <w:sz w:val="21"/>
          <w:szCs w:val="21"/>
        </w:rPr>
        <w:t>”</w:t>
      </w:r>
      <w:r w:rsidRPr="00A76485">
        <w:rPr>
          <w:rFonts w:ascii="Arial" w:hAnsi="Arial" w:cs="Arial"/>
          <w:sz w:val="21"/>
          <w:szCs w:val="21"/>
        </w:rPr>
        <w:t>. De igual forma aporta el convenio con el banco Bancolombia, para el manejo de los recursos de Salud así: Salud Pública Colectiva No 51641212141; Régimen Subsidiado No 51641210509; Prestación de Servicios en lo no cubierto con subsidios a la demanda No 51641211374. Al respecto, se destaca que el convenio cumple con los requisitos exigidos para el manejo de los recursos de las Cuentas Maestras.</w:t>
      </w:r>
    </w:p>
    <w:p w14:paraId="5A80B250" w14:textId="77777777" w:rsidR="00B53AC8" w:rsidRPr="00A76485" w:rsidRDefault="00B53AC8" w:rsidP="00492D77">
      <w:pPr>
        <w:jc w:val="both"/>
        <w:rPr>
          <w:rFonts w:ascii="Arial" w:hAnsi="Arial" w:cs="Arial"/>
          <w:sz w:val="21"/>
          <w:szCs w:val="21"/>
        </w:rPr>
      </w:pPr>
    </w:p>
    <w:p w14:paraId="16458207"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 xml:space="preserve">Se identificó mediante los Decretos No. 318 del 28 de diciembre de 2021 y No. 365 del 27 de diciembre de 2022 </w:t>
      </w:r>
      <w:r w:rsidR="00C545B3">
        <w:rPr>
          <w:rFonts w:ascii="Arial" w:hAnsi="Arial" w:cs="Arial"/>
          <w:sz w:val="21"/>
          <w:szCs w:val="21"/>
        </w:rPr>
        <w:t xml:space="preserve">expedidos por el Distrito, </w:t>
      </w:r>
      <w:r w:rsidRPr="00A76485">
        <w:rPr>
          <w:rFonts w:ascii="Arial" w:hAnsi="Arial" w:cs="Arial"/>
          <w:sz w:val="21"/>
          <w:szCs w:val="21"/>
        </w:rPr>
        <w:t>que el presupuesto de la Entidad Territorial para la vigencia 2022 fue de $322.879 millones y el de la vigencia 2023 de $358.417. En los citados Decretos es posible identificar los recursos destinados al Fondo Local de Salud - FLS, en la sección presupuestal Fondo Distrital de Salud.</w:t>
      </w:r>
    </w:p>
    <w:p w14:paraId="039A0DA7" w14:textId="77777777" w:rsidR="00B53AC8" w:rsidRPr="00A76485" w:rsidRDefault="00B53AC8" w:rsidP="00492D77">
      <w:pPr>
        <w:contextualSpacing/>
        <w:jc w:val="both"/>
        <w:rPr>
          <w:rFonts w:ascii="Arial" w:hAnsi="Arial" w:cs="Arial"/>
          <w:sz w:val="21"/>
          <w:szCs w:val="21"/>
          <w:highlight w:val="yellow"/>
        </w:rPr>
      </w:pPr>
    </w:p>
    <w:p w14:paraId="480A819B"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 xml:space="preserve">Así mismo se evidencia que mediante </w:t>
      </w:r>
      <w:r w:rsidR="00B96BD8">
        <w:rPr>
          <w:rFonts w:ascii="Arial" w:hAnsi="Arial" w:cs="Arial"/>
          <w:sz w:val="21"/>
          <w:szCs w:val="21"/>
        </w:rPr>
        <w:t>e</w:t>
      </w:r>
      <w:r w:rsidRPr="00A76485">
        <w:rPr>
          <w:rFonts w:ascii="Arial" w:hAnsi="Arial" w:cs="Arial"/>
          <w:sz w:val="21"/>
          <w:szCs w:val="21"/>
        </w:rPr>
        <w:t>l Decreto No. 114 del 2022, la Entidad Territorial incorporó los recursos del balance de la vigencia 2021 al presupuesto de la vigencia 2022; en este último se incorporaron $106.462 millones, de los cuales $8.828 millones correspondieron al Sector Salud.</w:t>
      </w:r>
    </w:p>
    <w:p w14:paraId="561AEB27" w14:textId="77777777" w:rsidR="00B53AC8" w:rsidRPr="00A76485" w:rsidRDefault="00B53AC8" w:rsidP="00492D77">
      <w:pPr>
        <w:contextualSpacing/>
        <w:jc w:val="both"/>
        <w:rPr>
          <w:rFonts w:ascii="Arial" w:hAnsi="Arial" w:cs="Arial"/>
          <w:sz w:val="21"/>
          <w:szCs w:val="21"/>
        </w:rPr>
      </w:pPr>
    </w:p>
    <w:p w14:paraId="61BC1AD2" w14:textId="77777777" w:rsidR="00B53AC8" w:rsidRPr="00A76485" w:rsidRDefault="00B53AC8" w:rsidP="00492D77">
      <w:pPr>
        <w:pStyle w:val="Prrafodelista"/>
        <w:ind w:left="357"/>
        <w:jc w:val="both"/>
        <w:rPr>
          <w:rFonts w:ascii="Arial" w:hAnsi="Arial" w:cs="Arial"/>
          <w:b/>
          <w:sz w:val="21"/>
          <w:szCs w:val="21"/>
        </w:rPr>
      </w:pPr>
      <w:r w:rsidRPr="00A76485">
        <w:rPr>
          <w:rFonts w:ascii="Arial" w:eastAsia="Times New Roman" w:hAnsi="Arial" w:cs="Arial"/>
          <w:b/>
          <w:sz w:val="21"/>
          <w:szCs w:val="21"/>
        </w:rPr>
        <w:t>1. Ingresos.</w:t>
      </w:r>
    </w:p>
    <w:p w14:paraId="085DDA76" w14:textId="77777777" w:rsidR="00B53AC8" w:rsidRPr="00A76485" w:rsidRDefault="00B53AC8" w:rsidP="00492D77">
      <w:pPr>
        <w:contextualSpacing/>
        <w:jc w:val="both"/>
        <w:rPr>
          <w:rFonts w:ascii="Arial" w:eastAsia="Times New Roman" w:hAnsi="Arial" w:cs="Arial"/>
          <w:sz w:val="21"/>
          <w:szCs w:val="21"/>
          <w:highlight w:val="yellow"/>
        </w:rPr>
      </w:pPr>
    </w:p>
    <w:p w14:paraId="13929120" w14:textId="77777777" w:rsidR="00B53AC8" w:rsidRPr="00A76485" w:rsidRDefault="00B53AC8" w:rsidP="00492D77">
      <w:pPr>
        <w:jc w:val="both"/>
        <w:rPr>
          <w:rFonts w:ascii="Arial" w:hAnsi="Arial" w:cs="Arial"/>
          <w:sz w:val="21"/>
          <w:szCs w:val="21"/>
        </w:rPr>
      </w:pPr>
      <w:r w:rsidRPr="00A76485">
        <w:rPr>
          <w:rFonts w:ascii="Arial" w:hAnsi="Arial" w:cs="Arial"/>
          <w:sz w:val="21"/>
          <w:szCs w:val="21"/>
        </w:rPr>
        <w:t xml:space="preserve">      1.1. Vigencia 2021 y 2022</w:t>
      </w:r>
    </w:p>
    <w:p w14:paraId="78D62B33" w14:textId="77777777" w:rsidR="00B53AC8" w:rsidRPr="00A76485" w:rsidRDefault="00B53AC8" w:rsidP="00492D77">
      <w:pPr>
        <w:pStyle w:val="Prrafodelista"/>
        <w:jc w:val="both"/>
        <w:rPr>
          <w:rFonts w:ascii="Arial" w:hAnsi="Arial" w:cs="Arial"/>
          <w:sz w:val="21"/>
          <w:szCs w:val="21"/>
        </w:rPr>
      </w:pPr>
    </w:p>
    <w:p w14:paraId="4B4434AB"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De acuerdo con la ejecución presupuestal de ingresos del FLS presentada por la Entidad al cierre 2021 y 2022, los resultados son los siguientes:</w:t>
      </w:r>
    </w:p>
    <w:p w14:paraId="12A568C1" w14:textId="77777777" w:rsidR="00B53AC8" w:rsidRPr="00A76485" w:rsidRDefault="00B53AC8" w:rsidP="00492D77">
      <w:pPr>
        <w:contextualSpacing/>
        <w:jc w:val="both"/>
        <w:rPr>
          <w:rFonts w:ascii="Arial" w:hAnsi="Arial" w:cs="Arial"/>
          <w:sz w:val="21"/>
          <w:szCs w:val="21"/>
        </w:rPr>
      </w:pPr>
    </w:p>
    <w:p w14:paraId="6EB0656A"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4</w:t>
      </w:r>
    </w:p>
    <w:p w14:paraId="002F8148" w14:textId="77777777" w:rsidR="00B53AC8" w:rsidRPr="00A76485" w:rsidRDefault="00B53AC8" w:rsidP="00492D77">
      <w:pPr>
        <w:contextualSpacing/>
        <w:jc w:val="center"/>
        <w:rPr>
          <w:rFonts w:ascii="Arial" w:hAnsi="Arial" w:cs="Arial"/>
          <w:noProof/>
          <w:lang w:val="es-CO" w:eastAsia="es-CO"/>
        </w:rPr>
      </w:pPr>
      <w:r w:rsidRPr="00A76485">
        <w:rPr>
          <w:rFonts w:ascii="Arial" w:hAnsi="Arial" w:cs="Arial"/>
          <w:b/>
          <w:sz w:val="18"/>
          <w:szCs w:val="18"/>
        </w:rPr>
        <w:t>Valores en Millones</w:t>
      </w:r>
    </w:p>
    <w:p w14:paraId="397F5EAE" w14:textId="77777777" w:rsidR="00082354" w:rsidRPr="00A76485" w:rsidRDefault="00082354" w:rsidP="00492D77">
      <w:pPr>
        <w:contextualSpacing/>
        <w:jc w:val="center"/>
        <w:rPr>
          <w:rFonts w:ascii="Arial" w:hAnsi="Arial" w:cs="Arial"/>
          <w:sz w:val="18"/>
          <w:szCs w:val="18"/>
        </w:rPr>
      </w:pPr>
      <w:r w:rsidRPr="00A76485">
        <w:rPr>
          <w:rFonts w:ascii="Arial" w:hAnsi="Arial" w:cs="Arial"/>
          <w:noProof/>
          <w:lang w:val="es-CO" w:eastAsia="es-CO"/>
        </w:rPr>
        <w:drawing>
          <wp:inline distT="0" distB="0" distL="0" distR="0" wp14:anchorId="31F3947C" wp14:editId="689436B5">
            <wp:extent cx="5612130" cy="2205355"/>
            <wp:effectExtent l="0" t="0" r="762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205355"/>
                    </a:xfrm>
                    <a:prstGeom prst="rect">
                      <a:avLst/>
                    </a:prstGeom>
                  </pic:spPr>
                </pic:pic>
              </a:graphicData>
            </a:graphic>
          </wp:inline>
        </w:drawing>
      </w:r>
    </w:p>
    <w:p w14:paraId="6660038A" w14:textId="77777777" w:rsidR="00B53AC8" w:rsidRPr="00A76485" w:rsidRDefault="00B53AC8" w:rsidP="00492D77">
      <w:pPr>
        <w:rPr>
          <w:rFonts w:ascii="Arial" w:hAnsi="Arial" w:cs="Arial"/>
          <w:sz w:val="22"/>
          <w:szCs w:val="22"/>
          <w:lang w:val="es-CO"/>
        </w:rPr>
      </w:pPr>
      <w:r w:rsidRPr="00A76485">
        <w:rPr>
          <w:rFonts w:ascii="Arial" w:eastAsia="Times New Roman" w:hAnsi="Arial" w:cs="Arial"/>
          <w:color w:val="000000"/>
          <w:sz w:val="16"/>
          <w:szCs w:val="16"/>
          <w:lang w:val="es-CO" w:eastAsia="es-CO"/>
        </w:rPr>
        <w:t>Fuente: Entidad territorial – Ejecuciones presupuestales.</w:t>
      </w:r>
    </w:p>
    <w:p w14:paraId="0C74B48E" w14:textId="77777777" w:rsidR="00B53AC8" w:rsidRPr="00A76485" w:rsidRDefault="00B53AC8" w:rsidP="00492D77">
      <w:pPr>
        <w:rPr>
          <w:rFonts w:ascii="Arial" w:hAnsi="Arial" w:cs="Arial"/>
          <w:sz w:val="22"/>
          <w:szCs w:val="22"/>
          <w:lang w:val="es-CO"/>
        </w:rPr>
      </w:pPr>
    </w:p>
    <w:p w14:paraId="743F62E1"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Del total de ingresos recaudados en la vigencia 2022, se tienen recursos por $399.542 millones en las distintas fuentes, lo que representa un crecimiento de 20%</w:t>
      </w:r>
      <w:r w:rsidRPr="00A76485">
        <w:rPr>
          <w:rStyle w:val="Refdenotaalpie"/>
          <w:rFonts w:ascii="Arial" w:hAnsi="Arial" w:cs="Arial"/>
          <w:sz w:val="22"/>
          <w:szCs w:val="22"/>
          <w:lang w:val="es-CO"/>
        </w:rPr>
        <w:footnoteReference w:id="4"/>
      </w:r>
      <w:r w:rsidRPr="00A76485">
        <w:rPr>
          <w:rFonts w:ascii="Arial" w:hAnsi="Arial" w:cs="Arial"/>
          <w:sz w:val="22"/>
          <w:szCs w:val="22"/>
          <w:lang w:val="es-CO"/>
        </w:rPr>
        <w:t xml:space="preserve"> frente al cierre de 2021 ($331</w:t>
      </w:r>
      <w:r w:rsidR="00E43141" w:rsidRPr="00A76485">
        <w:rPr>
          <w:rFonts w:ascii="Arial" w:hAnsi="Arial" w:cs="Arial"/>
          <w:sz w:val="22"/>
          <w:szCs w:val="22"/>
          <w:lang w:val="es-CO"/>
        </w:rPr>
        <w:t>.</w:t>
      </w:r>
      <w:r w:rsidRPr="00A76485">
        <w:rPr>
          <w:rFonts w:ascii="Arial" w:hAnsi="Arial" w:cs="Arial"/>
          <w:sz w:val="22"/>
          <w:szCs w:val="22"/>
          <w:lang w:val="es-CO"/>
        </w:rPr>
        <w:t xml:space="preserve">588 millones), situación que se explica por el crecimiento en el recaudo de </w:t>
      </w:r>
      <w:r w:rsidRPr="00A76485">
        <w:rPr>
          <w:rFonts w:ascii="Arial" w:hAnsi="Arial" w:cs="Arial"/>
          <w:sz w:val="22"/>
          <w:szCs w:val="22"/>
          <w:lang w:val="es-CO"/>
        </w:rPr>
        <w:lastRenderedPageBreak/>
        <w:t xml:space="preserve">los ingresos no tributarios, producto de la recuperación de la economía </w:t>
      </w:r>
      <w:proofErr w:type="spellStart"/>
      <w:r w:rsidRPr="00A76485">
        <w:rPr>
          <w:rFonts w:ascii="Arial" w:hAnsi="Arial" w:cs="Arial"/>
          <w:sz w:val="22"/>
          <w:szCs w:val="22"/>
          <w:lang w:val="es-CO"/>
        </w:rPr>
        <w:t>pos</w:t>
      </w:r>
      <w:proofErr w:type="spellEnd"/>
      <w:r w:rsidRPr="00A76485">
        <w:rPr>
          <w:rFonts w:ascii="Arial" w:hAnsi="Arial" w:cs="Arial"/>
          <w:sz w:val="22"/>
          <w:szCs w:val="22"/>
          <w:lang w:val="es-CO"/>
        </w:rPr>
        <w:t xml:space="preserve"> pandemia, y  a las mayores transferencias de la </w:t>
      </w:r>
      <w:r w:rsidR="00B96BD8">
        <w:rPr>
          <w:rFonts w:ascii="Arial" w:hAnsi="Arial" w:cs="Arial"/>
          <w:sz w:val="22"/>
          <w:szCs w:val="22"/>
          <w:lang w:val="es-CO"/>
        </w:rPr>
        <w:t>N</w:t>
      </w:r>
      <w:r w:rsidRPr="00A76485">
        <w:rPr>
          <w:rFonts w:ascii="Arial" w:hAnsi="Arial" w:cs="Arial"/>
          <w:sz w:val="22"/>
          <w:szCs w:val="22"/>
          <w:lang w:val="es-CO"/>
        </w:rPr>
        <w:t>ación en el marco de</w:t>
      </w:r>
      <w:r w:rsidR="00B96BD8">
        <w:rPr>
          <w:rFonts w:ascii="Arial" w:hAnsi="Arial" w:cs="Arial"/>
          <w:sz w:val="22"/>
          <w:szCs w:val="22"/>
          <w:lang w:val="es-CO"/>
        </w:rPr>
        <w:t xml:space="preserve">l saneamiento </w:t>
      </w:r>
      <w:r w:rsidR="00B96BD8" w:rsidRPr="00B96BD8">
        <w:rPr>
          <w:rFonts w:ascii="Arial" w:hAnsi="Arial" w:cs="Arial"/>
          <w:sz w:val="22"/>
          <w:szCs w:val="22"/>
          <w:lang w:val="es-CO"/>
        </w:rPr>
        <w:t xml:space="preserve">definitivo de las cuentas de servicios y tecnologías en salud no financiadas por la UPC del régimen subsidiado </w:t>
      </w:r>
      <w:r w:rsidR="00B96BD8">
        <w:rPr>
          <w:rFonts w:ascii="Arial" w:hAnsi="Arial" w:cs="Arial"/>
          <w:sz w:val="22"/>
          <w:szCs w:val="22"/>
          <w:lang w:val="es-CO"/>
        </w:rPr>
        <w:t>(artículo 238 de la Ley 1955 de 2019</w:t>
      </w:r>
      <w:r w:rsidR="003F0FB1">
        <w:rPr>
          <w:rFonts w:ascii="Arial" w:hAnsi="Arial" w:cs="Arial"/>
          <w:sz w:val="22"/>
          <w:szCs w:val="22"/>
          <w:lang w:val="es-CO"/>
        </w:rPr>
        <w:t xml:space="preserve"> </w:t>
      </w:r>
      <w:r w:rsidR="00B96BD8">
        <w:rPr>
          <w:rFonts w:ascii="Arial" w:hAnsi="Arial" w:cs="Arial"/>
          <w:sz w:val="22"/>
          <w:szCs w:val="22"/>
          <w:lang w:val="es-CO"/>
        </w:rPr>
        <w:t>-</w:t>
      </w:r>
      <w:r w:rsidRPr="00A76485">
        <w:rPr>
          <w:rFonts w:ascii="Arial" w:hAnsi="Arial" w:cs="Arial"/>
          <w:sz w:val="22"/>
          <w:szCs w:val="22"/>
          <w:lang w:val="es-CO"/>
        </w:rPr>
        <w:t xml:space="preserve"> punto final</w:t>
      </w:r>
      <w:r w:rsidR="00B96BD8">
        <w:rPr>
          <w:rFonts w:ascii="Arial" w:hAnsi="Arial" w:cs="Arial"/>
          <w:sz w:val="22"/>
          <w:szCs w:val="22"/>
          <w:lang w:val="es-CO"/>
        </w:rPr>
        <w:t>)</w:t>
      </w:r>
      <w:r w:rsidRPr="00A76485">
        <w:rPr>
          <w:rFonts w:ascii="Arial" w:hAnsi="Arial" w:cs="Arial"/>
          <w:sz w:val="22"/>
          <w:szCs w:val="22"/>
          <w:lang w:val="es-CO"/>
        </w:rPr>
        <w:t xml:space="preserve"> y en los proyectos de inversión en infraestructura para salud.</w:t>
      </w:r>
    </w:p>
    <w:p w14:paraId="3EC153E4" w14:textId="77777777" w:rsidR="00B53AC8" w:rsidRPr="00A76485" w:rsidRDefault="00B53AC8" w:rsidP="00492D77">
      <w:pPr>
        <w:jc w:val="both"/>
        <w:rPr>
          <w:rFonts w:ascii="Arial" w:hAnsi="Arial" w:cs="Arial"/>
          <w:sz w:val="22"/>
          <w:szCs w:val="22"/>
          <w:lang w:val="es-CO"/>
        </w:rPr>
      </w:pPr>
    </w:p>
    <w:p w14:paraId="19BC18F0"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El crecimiento de los ingresos corrientes (19%) está explicado por el aumento en el recaudo de las rentas cedidas que financiaron el régimen subsidiado, como consecuencia de la reactivación económica en 2022.</w:t>
      </w:r>
    </w:p>
    <w:p w14:paraId="6015711F" w14:textId="77777777" w:rsidR="00B53AC8" w:rsidRPr="00A76485" w:rsidRDefault="00B53AC8" w:rsidP="00492D77">
      <w:pPr>
        <w:jc w:val="both"/>
        <w:rPr>
          <w:rFonts w:ascii="Arial" w:hAnsi="Arial" w:cs="Arial"/>
          <w:sz w:val="22"/>
          <w:szCs w:val="22"/>
          <w:lang w:val="es-CO"/>
        </w:rPr>
      </w:pPr>
    </w:p>
    <w:p w14:paraId="31A1AC79"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En cuanto a los ingresos de capital, en la vigencia 2022 se observó un recaudo de $24.030 millones, valor que representó un crecimiento de 48</w:t>
      </w:r>
      <w:r w:rsidR="006B61A9" w:rsidRPr="00A76485">
        <w:rPr>
          <w:rFonts w:ascii="Arial" w:hAnsi="Arial" w:cs="Arial"/>
          <w:sz w:val="22"/>
          <w:szCs w:val="22"/>
          <w:lang w:val="es-CO"/>
        </w:rPr>
        <w:t xml:space="preserve"> </w:t>
      </w:r>
      <w:r w:rsidRPr="00A76485">
        <w:rPr>
          <w:rFonts w:ascii="Arial" w:hAnsi="Arial" w:cs="Arial"/>
          <w:sz w:val="22"/>
          <w:szCs w:val="22"/>
          <w:lang w:val="es-CO"/>
        </w:rPr>
        <w:t>p</w:t>
      </w:r>
      <w:r w:rsidR="006B61A9" w:rsidRPr="00A76485">
        <w:rPr>
          <w:rFonts w:ascii="Arial" w:hAnsi="Arial" w:cs="Arial"/>
          <w:sz w:val="22"/>
          <w:szCs w:val="22"/>
          <w:lang w:val="es-CO"/>
        </w:rPr>
        <w:t xml:space="preserve">untos </w:t>
      </w:r>
      <w:r w:rsidRPr="00A76485">
        <w:rPr>
          <w:rFonts w:ascii="Arial" w:hAnsi="Arial" w:cs="Arial"/>
          <w:sz w:val="22"/>
          <w:szCs w:val="22"/>
          <w:lang w:val="es-CO"/>
        </w:rPr>
        <w:t>p</w:t>
      </w:r>
      <w:r w:rsidR="006B61A9" w:rsidRPr="00A76485">
        <w:rPr>
          <w:rFonts w:ascii="Arial" w:hAnsi="Arial" w:cs="Arial"/>
          <w:sz w:val="22"/>
          <w:szCs w:val="22"/>
          <w:lang w:val="es-CO"/>
        </w:rPr>
        <w:t>orcentuales</w:t>
      </w:r>
      <w:r w:rsidRPr="00A76485">
        <w:rPr>
          <w:rFonts w:ascii="Arial" w:hAnsi="Arial" w:cs="Arial"/>
          <w:sz w:val="22"/>
          <w:szCs w:val="22"/>
          <w:lang w:val="es-CO"/>
        </w:rPr>
        <w:t xml:space="preserve"> frente a 2021, explicados en mayor proporción por la incorporación de los recursos del balance de la vigencia 2021.</w:t>
      </w:r>
    </w:p>
    <w:p w14:paraId="22625B40" w14:textId="77777777" w:rsidR="00B53AC8" w:rsidRPr="00A76485" w:rsidRDefault="00B53AC8" w:rsidP="00492D77">
      <w:pPr>
        <w:jc w:val="both"/>
        <w:rPr>
          <w:rFonts w:ascii="Arial" w:hAnsi="Arial" w:cs="Arial"/>
          <w:sz w:val="22"/>
          <w:szCs w:val="22"/>
          <w:lang w:val="es-CO"/>
        </w:rPr>
      </w:pPr>
    </w:p>
    <w:p w14:paraId="3253700E"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En cuanto al subsidio a la oferta, la </w:t>
      </w:r>
      <w:r w:rsidR="00B96BD8">
        <w:rPr>
          <w:rFonts w:ascii="Arial" w:hAnsi="Arial" w:cs="Arial"/>
          <w:sz w:val="22"/>
          <w:szCs w:val="22"/>
          <w:lang w:val="es-CO"/>
        </w:rPr>
        <w:t>E</w:t>
      </w:r>
      <w:r w:rsidRPr="00A76485">
        <w:rPr>
          <w:rFonts w:ascii="Arial" w:hAnsi="Arial" w:cs="Arial"/>
          <w:sz w:val="22"/>
          <w:szCs w:val="22"/>
          <w:lang w:val="es-CO"/>
        </w:rPr>
        <w:t xml:space="preserve">ntidad no fue objeto de distribución de recursos para la financiación de la operación de la prestación de servicios y tecnologías efectuadas por </w:t>
      </w:r>
      <w:proofErr w:type="gramStart"/>
      <w:r w:rsidRPr="00A76485">
        <w:rPr>
          <w:rFonts w:ascii="Arial" w:hAnsi="Arial" w:cs="Arial"/>
          <w:sz w:val="22"/>
          <w:szCs w:val="22"/>
          <w:lang w:val="es-CO"/>
        </w:rPr>
        <w:t>instituciones públicas o infraestructura</w:t>
      </w:r>
      <w:r w:rsidR="00FA2A58">
        <w:rPr>
          <w:rFonts w:ascii="Arial" w:hAnsi="Arial" w:cs="Arial"/>
          <w:sz w:val="22"/>
          <w:szCs w:val="22"/>
          <w:lang w:val="es-CO"/>
        </w:rPr>
        <w:t>s</w:t>
      </w:r>
      <w:r w:rsidRPr="00A76485">
        <w:rPr>
          <w:rFonts w:ascii="Arial" w:hAnsi="Arial" w:cs="Arial"/>
          <w:sz w:val="22"/>
          <w:szCs w:val="22"/>
          <w:lang w:val="es-CO"/>
        </w:rPr>
        <w:t xml:space="preserve"> pública</w:t>
      </w:r>
      <w:r w:rsidR="00FA2A58">
        <w:rPr>
          <w:rFonts w:ascii="Arial" w:hAnsi="Arial" w:cs="Arial"/>
          <w:sz w:val="22"/>
          <w:szCs w:val="22"/>
          <w:lang w:val="es-CO"/>
        </w:rPr>
        <w:t>s</w:t>
      </w:r>
      <w:proofErr w:type="gramEnd"/>
      <w:r w:rsidRPr="00A76485">
        <w:rPr>
          <w:rFonts w:ascii="Arial" w:hAnsi="Arial" w:cs="Arial"/>
          <w:sz w:val="22"/>
          <w:szCs w:val="22"/>
          <w:lang w:val="es-CO"/>
        </w:rPr>
        <w:t xml:space="preserve"> administrada</w:t>
      </w:r>
      <w:r w:rsidR="00375763">
        <w:rPr>
          <w:rFonts w:ascii="Arial" w:hAnsi="Arial" w:cs="Arial"/>
          <w:sz w:val="22"/>
          <w:szCs w:val="22"/>
          <w:lang w:val="es-CO"/>
        </w:rPr>
        <w:t>s</w:t>
      </w:r>
      <w:r w:rsidRPr="00A76485">
        <w:rPr>
          <w:rFonts w:ascii="Arial" w:hAnsi="Arial" w:cs="Arial"/>
          <w:sz w:val="22"/>
          <w:szCs w:val="22"/>
          <w:lang w:val="es-CO"/>
        </w:rPr>
        <w:t xml:space="preserve"> por terceros, ubicadas en zonas alejadas o de difícil acceso que sean monopolio en servicios trazadores y no sostenibles por venta de servicios.</w:t>
      </w:r>
    </w:p>
    <w:p w14:paraId="45FE9FB4" w14:textId="77777777" w:rsidR="006B61A9" w:rsidRPr="00A76485" w:rsidRDefault="006B61A9" w:rsidP="00492D77">
      <w:pPr>
        <w:jc w:val="both"/>
        <w:rPr>
          <w:rFonts w:ascii="Arial" w:hAnsi="Arial" w:cs="Arial"/>
          <w:sz w:val="22"/>
          <w:szCs w:val="22"/>
          <w:lang w:val="es-CO"/>
        </w:rPr>
      </w:pPr>
    </w:p>
    <w:p w14:paraId="54419554"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1.2 Corte a </w:t>
      </w:r>
      <w:r w:rsidR="00B96BD8">
        <w:rPr>
          <w:rFonts w:ascii="Arial" w:hAnsi="Arial" w:cs="Arial"/>
          <w:sz w:val="22"/>
          <w:szCs w:val="22"/>
          <w:lang w:val="es-CO"/>
        </w:rPr>
        <w:t>m</w:t>
      </w:r>
      <w:r w:rsidRPr="00A76485">
        <w:rPr>
          <w:rFonts w:ascii="Arial" w:hAnsi="Arial" w:cs="Arial"/>
          <w:sz w:val="22"/>
          <w:szCs w:val="22"/>
          <w:lang w:val="es-CO"/>
        </w:rPr>
        <w:t>arzo 2022 y 2023</w:t>
      </w:r>
    </w:p>
    <w:p w14:paraId="730AA8A8" w14:textId="77777777" w:rsidR="00B53AC8" w:rsidRPr="00A76485" w:rsidRDefault="00B53AC8" w:rsidP="00492D77">
      <w:pPr>
        <w:rPr>
          <w:rFonts w:ascii="Arial" w:hAnsi="Arial" w:cs="Arial"/>
          <w:sz w:val="22"/>
          <w:szCs w:val="22"/>
          <w:lang w:val="es-CO"/>
        </w:rPr>
      </w:pPr>
    </w:p>
    <w:p w14:paraId="7AF51982" w14:textId="77777777" w:rsidR="00B53AC8" w:rsidRPr="00A76485" w:rsidRDefault="00B53AC8" w:rsidP="00492D77">
      <w:pPr>
        <w:rPr>
          <w:rFonts w:ascii="Arial" w:hAnsi="Arial" w:cs="Arial"/>
          <w:sz w:val="22"/>
          <w:szCs w:val="22"/>
          <w:lang w:val="es-CO"/>
        </w:rPr>
      </w:pPr>
      <w:r w:rsidRPr="00A76485">
        <w:rPr>
          <w:rFonts w:ascii="Arial" w:hAnsi="Arial" w:cs="Arial"/>
          <w:sz w:val="22"/>
          <w:szCs w:val="22"/>
          <w:lang w:val="es-CO"/>
        </w:rPr>
        <w:t>El avance de la ejecución a marzo presentó el siguiente comportamiento:</w:t>
      </w:r>
    </w:p>
    <w:p w14:paraId="27E08065" w14:textId="77777777" w:rsidR="00B53AC8" w:rsidRPr="00A76485" w:rsidRDefault="00B53AC8" w:rsidP="00492D77">
      <w:pPr>
        <w:contextualSpacing/>
        <w:jc w:val="center"/>
        <w:rPr>
          <w:rFonts w:ascii="Arial" w:hAnsi="Arial" w:cs="Arial"/>
          <w:sz w:val="18"/>
          <w:szCs w:val="18"/>
        </w:rPr>
      </w:pPr>
    </w:p>
    <w:p w14:paraId="6AAA7962"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5</w:t>
      </w:r>
    </w:p>
    <w:p w14:paraId="28FF8483"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Valores en Millones</w:t>
      </w:r>
    </w:p>
    <w:p w14:paraId="6D8B5C3F" w14:textId="77777777" w:rsidR="00B53AC8" w:rsidRPr="00A76485" w:rsidRDefault="00706B8D" w:rsidP="00492D77">
      <w:pPr>
        <w:rPr>
          <w:rFonts w:ascii="Arial" w:hAnsi="Arial" w:cs="Arial"/>
          <w:sz w:val="22"/>
          <w:szCs w:val="22"/>
          <w:lang w:val="es-CO"/>
        </w:rPr>
      </w:pPr>
      <w:r w:rsidRPr="00A76485">
        <w:rPr>
          <w:rFonts w:ascii="Arial" w:hAnsi="Arial" w:cs="Arial"/>
          <w:noProof/>
          <w:lang w:val="es-CO" w:eastAsia="es-CO"/>
        </w:rPr>
        <w:drawing>
          <wp:inline distT="0" distB="0" distL="0" distR="0" wp14:anchorId="1903998B" wp14:editId="3A263087">
            <wp:extent cx="5612130" cy="2413000"/>
            <wp:effectExtent l="0" t="0" r="762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413000"/>
                    </a:xfrm>
                    <a:prstGeom prst="rect">
                      <a:avLst/>
                    </a:prstGeom>
                  </pic:spPr>
                </pic:pic>
              </a:graphicData>
            </a:graphic>
          </wp:inline>
        </w:drawing>
      </w:r>
    </w:p>
    <w:p w14:paraId="165EC1BE" w14:textId="77777777" w:rsidR="00B53AC8" w:rsidRPr="00A76485" w:rsidRDefault="00B53AC8" w:rsidP="00492D77">
      <w:pPr>
        <w:rPr>
          <w:rFonts w:ascii="Arial" w:hAnsi="Arial" w:cs="Arial"/>
          <w:sz w:val="22"/>
          <w:szCs w:val="22"/>
          <w:lang w:val="es-CO"/>
        </w:rPr>
      </w:pPr>
      <w:r w:rsidRPr="00A76485">
        <w:rPr>
          <w:rFonts w:ascii="Arial" w:eastAsia="Times New Roman" w:hAnsi="Arial" w:cs="Arial"/>
          <w:color w:val="000000"/>
          <w:sz w:val="16"/>
          <w:szCs w:val="16"/>
          <w:lang w:val="es-CO" w:eastAsia="es-CO"/>
        </w:rPr>
        <w:t>Fuente: Entidad territorial – Ejecuciones presupuestales.</w:t>
      </w:r>
    </w:p>
    <w:p w14:paraId="4C3B5C61" w14:textId="77777777" w:rsidR="00B53AC8" w:rsidRPr="00A76485" w:rsidRDefault="00B53AC8" w:rsidP="00492D77">
      <w:pPr>
        <w:rPr>
          <w:rFonts w:ascii="Arial" w:hAnsi="Arial" w:cs="Arial"/>
          <w:sz w:val="22"/>
          <w:szCs w:val="22"/>
          <w:lang w:val="es-CO"/>
        </w:rPr>
      </w:pPr>
    </w:p>
    <w:p w14:paraId="1C53E496"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El total de ingreso recaudado a marzo de 2023 fue de $113.650 millones, lo que representó un aumento de 7</w:t>
      </w:r>
      <w:r w:rsidR="00BC1C5C" w:rsidRPr="00A76485">
        <w:rPr>
          <w:rFonts w:ascii="Arial" w:hAnsi="Arial" w:cs="Arial"/>
          <w:sz w:val="22"/>
          <w:szCs w:val="22"/>
          <w:lang w:val="es-CO"/>
        </w:rPr>
        <w:t xml:space="preserve"> </w:t>
      </w:r>
      <w:r w:rsidRPr="00A76485">
        <w:rPr>
          <w:rFonts w:ascii="Arial" w:hAnsi="Arial" w:cs="Arial"/>
          <w:sz w:val="22"/>
          <w:szCs w:val="22"/>
          <w:lang w:val="es-CO"/>
        </w:rPr>
        <w:t>p</w:t>
      </w:r>
      <w:r w:rsidR="005636EE" w:rsidRPr="00A76485">
        <w:rPr>
          <w:rFonts w:ascii="Arial" w:hAnsi="Arial" w:cs="Arial"/>
          <w:sz w:val="22"/>
          <w:szCs w:val="22"/>
          <w:lang w:val="es-CO"/>
        </w:rPr>
        <w:t xml:space="preserve">untos </w:t>
      </w:r>
      <w:r w:rsidRPr="00A76485">
        <w:rPr>
          <w:rFonts w:ascii="Arial" w:hAnsi="Arial" w:cs="Arial"/>
          <w:sz w:val="22"/>
          <w:szCs w:val="22"/>
          <w:lang w:val="es-CO"/>
        </w:rPr>
        <w:t>p</w:t>
      </w:r>
      <w:r w:rsidR="005636EE" w:rsidRPr="00A76485">
        <w:rPr>
          <w:rFonts w:ascii="Arial" w:hAnsi="Arial" w:cs="Arial"/>
          <w:sz w:val="22"/>
          <w:szCs w:val="22"/>
          <w:lang w:val="es-CO"/>
        </w:rPr>
        <w:t>orcentuales</w:t>
      </w:r>
      <w:r w:rsidRPr="00A76485">
        <w:rPr>
          <w:rFonts w:ascii="Arial" w:hAnsi="Arial" w:cs="Arial"/>
          <w:sz w:val="22"/>
          <w:szCs w:val="22"/>
          <w:lang w:val="es-CO"/>
        </w:rPr>
        <w:t xml:space="preserve"> frente a la vigencia 2021 ($86.818 millones) en el mismo corte.</w:t>
      </w:r>
    </w:p>
    <w:p w14:paraId="5974FED2" w14:textId="77777777" w:rsidR="00B53AC8" w:rsidRPr="00A76485" w:rsidRDefault="00B53AC8" w:rsidP="00492D77">
      <w:pPr>
        <w:jc w:val="both"/>
        <w:rPr>
          <w:rFonts w:ascii="Arial" w:hAnsi="Arial" w:cs="Arial"/>
          <w:sz w:val="22"/>
          <w:szCs w:val="22"/>
          <w:lang w:val="es-CO"/>
        </w:rPr>
      </w:pPr>
    </w:p>
    <w:p w14:paraId="78609E32"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lastRenderedPageBreak/>
        <w:t>Por su parte, se destaca la disminución en el recaudo de los ingresos tributarios que a marzo de 2023 fue de $243 millones, mostrando una disminución de 65% frente a 2022, como consecuencia del menor recaudo en el impuesto predial. De tal for</w:t>
      </w:r>
      <w:r w:rsidR="00706B8D" w:rsidRPr="00A76485">
        <w:rPr>
          <w:rFonts w:ascii="Arial" w:hAnsi="Arial" w:cs="Arial"/>
          <w:sz w:val="22"/>
          <w:szCs w:val="22"/>
          <w:lang w:val="es-CO"/>
        </w:rPr>
        <w:t>ma que se dio una ejecución de 5</w:t>
      </w:r>
      <w:r w:rsidRPr="00A76485">
        <w:rPr>
          <w:rFonts w:ascii="Arial" w:hAnsi="Arial" w:cs="Arial"/>
          <w:sz w:val="22"/>
          <w:szCs w:val="22"/>
          <w:lang w:val="es-CO"/>
        </w:rPr>
        <w:t>% frente al total programado</w:t>
      </w:r>
      <w:r w:rsidR="00706B8D" w:rsidRPr="00A76485">
        <w:rPr>
          <w:rFonts w:ascii="Arial" w:hAnsi="Arial" w:cs="Arial"/>
          <w:sz w:val="22"/>
          <w:szCs w:val="22"/>
          <w:lang w:val="es-CO"/>
        </w:rPr>
        <w:t xml:space="preserve"> en 2023.</w:t>
      </w:r>
      <w:r w:rsidRPr="00A76485">
        <w:rPr>
          <w:rFonts w:ascii="Arial" w:hAnsi="Arial" w:cs="Arial"/>
          <w:sz w:val="22"/>
          <w:szCs w:val="22"/>
          <w:lang w:val="es-CO"/>
        </w:rPr>
        <w:t xml:space="preserve"> </w:t>
      </w:r>
      <w:r w:rsidR="00706B8D" w:rsidRPr="00A76485">
        <w:rPr>
          <w:rFonts w:ascii="Arial" w:hAnsi="Arial" w:cs="Arial"/>
          <w:sz w:val="22"/>
          <w:szCs w:val="22"/>
          <w:lang w:val="es-CO"/>
        </w:rPr>
        <w:t>A</w:t>
      </w:r>
      <w:r w:rsidRPr="00A76485">
        <w:rPr>
          <w:rFonts w:ascii="Arial" w:hAnsi="Arial" w:cs="Arial"/>
          <w:sz w:val="22"/>
          <w:szCs w:val="22"/>
          <w:lang w:val="es-CO"/>
        </w:rPr>
        <w:t>hora</w:t>
      </w:r>
      <w:r w:rsidR="00706B8D" w:rsidRPr="00A76485">
        <w:rPr>
          <w:rFonts w:ascii="Arial" w:hAnsi="Arial" w:cs="Arial"/>
          <w:sz w:val="22"/>
          <w:szCs w:val="22"/>
          <w:lang w:val="es-CO"/>
        </w:rPr>
        <w:t>,</w:t>
      </w:r>
      <w:r w:rsidRPr="00A76485">
        <w:rPr>
          <w:rFonts w:ascii="Arial" w:hAnsi="Arial" w:cs="Arial"/>
          <w:sz w:val="22"/>
          <w:szCs w:val="22"/>
          <w:lang w:val="es-CO"/>
        </w:rPr>
        <w:t xml:space="preserve"> en este mismo corte de 2022 la </w:t>
      </w:r>
      <w:r w:rsidR="00723A06">
        <w:rPr>
          <w:rFonts w:ascii="Arial" w:hAnsi="Arial" w:cs="Arial"/>
          <w:sz w:val="22"/>
          <w:szCs w:val="22"/>
          <w:lang w:val="es-CO"/>
        </w:rPr>
        <w:t>E</w:t>
      </w:r>
      <w:r w:rsidRPr="00A76485">
        <w:rPr>
          <w:rFonts w:ascii="Arial" w:hAnsi="Arial" w:cs="Arial"/>
          <w:sz w:val="22"/>
          <w:szCs w:val="22"/>
          <w:lang w:val="es-CO"/>
        </w:rPr>
        <w:t>ntidad había recaudado recursos por $692 millones</w:t>
      </w:r>
      <w:r w:rsidR="00706B8D" w:rsidRPr="00A76485">
        <w:rPr>
          <w:rFonts w:ascii="Arial" w:hAnsi="Arial" w:cs="Arial"/>
          <w:sz w:val="22"/>
          <w:szCs w:val="22"/>
          <w:lang w:val="es-CO"/>
        </w:rPr>
        <w:t xml:space="preserve"> equivalentes al 37%.</w:t>
      </w:r>
    </w:p>
    <w:p w14:paraId="2DA1D130" w14:textId="77777777" w:rsidR="00706B8D" w:rsidRPr="00A76485" w:rsidRDefault="00706B8D" w:rsidP="00492D77">
      <w:pPr>
        <w:jc w:val="both"/>
        <w:rPr>
          <w:rFonts w:ascii="Arial" w:hAnsi="Arial" w:cs="Arial"/>
          <w:sz w:val="22"/>
          <w:szCs w:val="22"/>
          <w:lang w:val="es-CO"/>
        </w:rPr>
      </w:pPr>
    </w:p>
    <w:p w14:paraId="33E2DD01"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En cuanto a los ingresos de capital se programaron recursos por $3.232 millones y a marzo de</w:t>
      </w:r>
      <w:r w:rsidR="006B61A9" w:rsidRPr="00A76485">
        <w:rPr>
          <w:rFonts w:ascii="Arial" w:hAnsi="Arial" w:cs="Arial"/>
          <w:sz w:val="22"/>
          <w:szCs w:val="22"/>
          <w:lang w:val="es-CO"/>
        </w:rPr>
        <w:t xml:space="preserve"> 2023 se encuentran ejecutados e</w:t>
      </w:r>
      <w:r w:rsidRPr="00A76485">
        <w:rPr>
          <w:rFonts w:ascii="Arial" w:hAnsi="Arial" w:cs="Arial"/>
          <w:sz w:val="22"/>
          <w:szCs w:val="22"/>
          <w:lang w:val="es-CO"/>
        </w:rPr>
        <w:t>l 100%, al comparar con la vigencia 2022</w:t>
      </w:r>
      <w:r w:rsidR="00BC1C5C" w:rsidRPr="00A76485">
        <w:rPr>
          <w:rFonts w:ascii="Arial" w:hAnsi="Arial" w:cs="Arial"/>
          <w:sz w:val="22"/>
          <w:szCs w:val="22"/>
          <w:lang w:val="es-CO"/>
        </w:rPr>
        <w:t>;</w:t>
      </w:r>
      <w:r w:rsidRPr="00A76485">
        <w:rPr>
          <w:rFonts w:ascii="Arial" w:hAnsi="Arial" w:cs="Arial"/>
          <w:sz w:val="22"/>
          <w:szCs w:val="22"/>
          <w:lang w:val="es-CO"/>
        </w:rPr>
        <w:t xml:space="preserve"> el crecimiento </w:t>
      </w:r>
      <w:r w:rsidR="00BC1C5C" w:rsidRPr="00A76485">
        <w:rPr>
          <w:rFonts w:ascii="Arial" w:hAnsi="Arial" w:cs="Arial"/>
          <w:sz w:val="22"/>
          <w:szCs w:val="22"/>
          <w:lang w:val="es-CO"/>
        </w:rPr>
        <w:t xml:space="preserve">de </w:t>
      </w:r>
      <w:r w:rsidR="00FA2A58" w:rsidRPr="00A76485">
        <w:rPr>
          <w:rFonts w:ascii="Arial" w:hAnsi="Arial" w:cs="Arial"/>
          <w:sz w:val="22"/>
          <w:szCs w:val="22"/>
          <w:lang w:val="es-CO"/>
        </w:rPr>
        <w:t>estos</w:t>
      </w:r>
      <w:r w:rsidR="00BC1C5C" w:rsidRPr="00A76485">
        <w:rPr>
          <w:rFonts w:ascii="Arial" w:hAnsi="Arial" w:cs="Arial"/>
          <w:sz w:val="22"/>
          <w:szCs w:val="22"/>
          <w:lang w:val="es-CO"/>
        </w:rPr>
        <w:t xml:space="preserve"> </w:t>
      </w:r>
      <w:r w:rsidRPr="00A76485">
        <w:rPr>
          <w:rFonts w:ascii="Arial" w:hAnsi="Arial" w:cs="Arial"/>
          <w:sz w:val="22"/>
          <w:szCs w:val="22"/>
          <w:lang w:val="es-CO"/>
        </w:rPr>
        <w:t>es exponencial, debido a que, a marzo de 2023, se incorporaron los recursos que amparan las vigencias futuras programad</w:t>
      </w:r>
      <w:r w:rsidR="00375763">
        <w:rPr>
          <w:rFonts w:ascii="Arial" w:hAnsi="Arial" w:cs="Arial"/>
          <w:sz w:val="22"/>
          <w:szCs w:val="22"/>
          <w:lang w:val="es-CO"/>
        </w:rPr>
        <w:t>a</w:t>
      </w:r>
      <w:r w:rsidRPr="00A76485">
        <w:rPr>
          <w:rFonts w:ascii="Arial" w:hAnsi="Arial" w:cs="Arial"/>
          <w:sz w:val="22"/>
          <w:szCs w:val="22"/>
          <w:lang w:val="es-CO"/>
        </w:rPr>
        <w:t>s para la adecuación del centro de salud de Guachaca.</w:t>
      </w:r>
    </w:p>
    <w:p w14:paraId="21453C8B" w14:textId="77777777" w:rsidR="00B53AC8" w:rsidRPr="00A76485" w:rsidRDefault="00B53AC8" w:rsidP="00492D77">
      <w:pPr>
        <w:jc w:val="both"/>
        <w:rPr>
          <w:rFonts w:ascii="Arial" w:hAnsi="Arial" w:cs="Arial"/>
          <w:sz w:val="22"/>
          <w:szCs w:val="22"/>
          <w:lang w:val="es-CO"/>
        </w:rPr>
      </w:pPr>
    </w:p>
    <w:p w14:paraId="7830576A"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El análisis comparativo entre la información presupuestal presentada por la Entidad Territorial y el reporte de la información en el CUIPO relacionada con los ingresos del Fondo Local de Salud se ve limitada, toda vez que la Entidad no incluyó la variable detalle sectorial “Fondo Local de Salud” y tampoco identificó la información en el sector correspondiente, es decir, en el sector Salud y Protección Social, variables necesarias para identificar las rentas del sector salud en el ingreso</w:t>
      </w:r>
      <w:r w:rsidR="00706B8D" w:rsidRPr="00A76485">
        <w:rPr>
          <w:rFonts w:ascii="Arial" w:hAnsi="Arial" w:cs="Arial"/>
          <w:sz w:val="22"/>
          <w:szCs w:val="22"/>
          <w:lang w:val="es-CO"/>
        </w:rPr>
        <w:t>.</w:t>
      </w:r>
    </w:p>
    <w:p w14:paraId="7196832D" w14:textId="77777777" w:rsidR="00B53AC8" w:rsidRPr="00A76485" w:rsidRDefault="00B53AC8" w:rsidP="00492D77">
      <w:pPr>
        <w:jc w:val="both"/>
        <w:rPr>
          <w:rFonts w:ascii="Arial" w:hAnsi="Arial" w:cs="Arial"/>
          <w:sz w:val="22"/>
          <w:szCs w:val="22"/>
          <w:lang w:val="es-CO"/>
        </w:rPr>
      </w:pPr>
    </w:p>
    <w:p w14:paraId="36335759" w14:textId="77777777" w:rsidR="00B53AC8" w:rsidRPr="00A76485" w:rsidRDefault="00B53AC8" w:rsidP="00492D77">
      <w:pPr>
        <w:pStyle w:val="Prrafodelista"/>
        <w:numPr>
          <w:ilvl w:val="0"/>
          <w:numId w:val="7"/>
        </w:numPr>
        <w:jc w:val="both"/>
        <w:rPr>
          <w:rFonts w:ascii="Arial" w:hAnsi="Arial" w:cs="Arial"/>
          <w:b/>
          <w:sz w:val="22"/>
          <w:szCs w:val="22"/>
          <w:lang w:val="es-CO"/>
        </w:rPr>
      </w:pPr>
      <w:r w:rsidRPr="00A76485">
        <w:rPr>
          <w:rFonts w:ascii="Arial" w:hAnsi="Arial" w:cs="Arial"/>
          <w:b/>
          <w:sz w:val="22"/>
          <w:szCs w:val="22"/>
          <w:lang w:val="es-CO"/>
        </w:rPr>
        <w:t>Gastos</w:t>
      </w:r>
    </w:p>
    <w:p w14:paraId="6AAAD0DD" w14:textId="77777777" w:rsidR="00B53AC8" w:rsidRPr="00A76485" w:rsidRDefault="00B53AC8" w:rsidP="00492D77">
      <w:pPr>
        <w:ind w:left="360"/>
        <w:jc w:val="both"/>
        <w:rPr>
          <w:rFonts w:ascii="Arial" w:hAnsi="Arial" w:cs="Arial"/>
          <w:b/>
          <w:sz w:val="21"/>
          <w:szCs w:val="21"/>
        </w:rPr>
      </w:pPr>
    </w:p>
    <w:p w14:paraId="361B9ED4" w14:textId="77777777" w:rsidR="00B53AC8" w:rsidRPr="00A76485" w:rsidRDefault="00B53AC8" w:rsidP="00492D77">
      <w:pPr>
        <w:ind w:left="360"/>
        <w:jc w:val="both"/>
        <w:rPr>
          <w:rFonts w:ascii="Arial" w:hAnsi="Arial" w:cs="Arial"/>
          <w:b/>
          <w:sz w:val="22"/>
          <w:szCs w:val="22"/>
          <w:lang w:val="es-CO"/>
        </w:rPr>
      </w:pPr>
      <w:r w:rsidRPr="00A76485">
        <w:rPr>
          <w:rFonts w:ascii="Arial" w:hAnsi="Arial" w:cs="Arial"/>
          <w:b/>
          <w:sz w:val="21"/>
          <w:szCs w:val="21"/>
        </w:rPr>
        <w:t>2.1. Vigencia 2021 y 2022</w:t>
      </w:r>
    </w:p>
    <w:p w14:paraId="5CA8FE1C" w14:textId="77777777" w:rsidR="00B53AC8" w:rsidRPr="00A76485" w:rsidRDefault="00B53AC8" w:rsidP="00492D77">
      <w:pPr>
        <w:jc w:val="both"/>
        <w:rPr>
          <w:rFonts w:ascii="Arial" w:hAnsi="Arial" w:cs="Arial"/>
          <w:sz w:val="22"/>
          <w:szCs w:val="22"/>
          <w:lang w:val="es-CO"/>
        </w:rPr>
      </w:pPr>
    </w:p>
    <w:p w14:paraId="5A2962DE"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Al cierre de 2021 y 2022 la ejecución presento el siguiente comportamiento:</w:t>
      </w:r>
    </w:p>
    <w:p w14:paraId="00C2D1AB" w14:textId="77777777" w:rsidR="00B53AC8" w:rsidRPr="00A76485" w:rsidRDefault="00B53AC8" w:rsidP="00492D77">
      <w:pPr>
        <w:contextualSpacing/>
        <w:jc w:val="center"/>
        <w:rPr>
          <w:rFonts w:ascii="Arial" w:hAnsi="Arial" w:cs="Arial"/>
          <w:sz w:val="18"/>
          <w:szCs w:val="18"/>
        </w:rPr>
      </w:pPr>
    </w:p>
    <w:p w14:paraId="4CF239A1"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6</w:t>
      </w:r>
    </w:p>
    <w:p w14:paraId="0399AB49" w14:textId="77777777" w:rsidR="00B53AC8" w:rsidRPr="00A76485" w:rsidRDefault="00B53AC8" w:rsidP="00492D77">
      <w:pPr>
        <w:ind w:left="2836" w:firstLine="709"/>
        <w:jc w:val="both"/>
        <w:rPr>
          <w:rFonts w:ascii="Arial" w:hAnsi="Arial" w:cs="Arial"/>
          <w:b/>
          <w:sz w:val="18"/>
          <w:szCs w:val="18"/>
        </w:rPr>
      </w:pPr>
      <w:r w:rsidRPr="00A76485">
        <w:rPr>
          <w:rFonts w:ascii="Arial" w:hAnsi="Arial" w:cs="Arial"/>
          <w:b/>
          <w:sz w:val="18"/>
          <w:szCs w:val="18"/>
        </w:rPr>
        <w:t>Valores en Millones</w:t>
      </w:r>
    </w:p>
    <w:p w14:paraId="394CCDA3" w14:textId="77777777" w:rsidR="00B53AC8" w:rsidRPr="00A76485" w:rsidRDefault="00DA4521" w:rsidP="00492D77">
      <w:pPr>
        <w:rPr>
          <w:rFonts w:ascii="Arial" w:hAnsi="Arial" w:cs="Arial"/>
          <w:sz w:val="22"/>
          <w:szCs w:val="22"/>
          <w:lang w:val="es-CO"/>
        </w:rPr>
      </w:pPr>
      <w:r w:rsidRPr="00A76485">
        <w:rPr>
          <w:rFonts w:ascii="Arial" w:hAnsi="Arial" w:cs="Arial"/>
          <w:noProof/>
          <w:lang w:val="es-CO" w:eastAsia="es-CO"/>
        </w:rPr>
        <w:drawing>
          <wp:inline distT="0" distB="0" distL="0" distR="0" wp14:anchorId="66208C5F" wp14:editId="09B616D8">
            <wp:extent cx="5526941" cy="1325301"/>
            <wp:effectExtent l="0" t="0" r="0" b="825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3985" cy="1336582"/>
                    </a:xfrm>
                    <a:prstGeom prst="rect">
                      <a:avLst/>
                    </a:prstGeom>
                  </pic:spPr>
                </pic:pic>
              </a:graphicData>
            </a:graphic>
          </wp:inline>
        </w:drawing>
      </w:r>
      <w:r w:rsidR="00B53AC8" w:rsidRPr="00A76485">
        <w:rPr>
          <w:rFonts w:ascii="Arial" w:eastAsia="Times New Roman" w:hAnsi="Arial" w:cs="Arial"/>
          <w:color w:val="000000"/>
          <w:sz w:val="16"/>
          <w:szCs w:val="16"/>
          <w:lang w:val="es-CO" w:eastAsia="es-CO"/>
        </w:rPr>
        <w:t>Fuente: Entidad territorial – Ejecuciones presupuestales.</w:t>
      </w:r>
    </w:p>
    <w:p w14:paraId="5279AFF2" w14:textId="77777777" w:rsidR="00B53AC8" w:rsidRPr="00A76485" w:rsidRDefault="00B53AC8" w:rsidP="00492D77">
      <w:pPr>
        <w:jc w:val="both"/>
        <w:rPr>
          <w:rFonts w:ascii="Arial" w:hAnsi="Arial" w:cs="Arial"/>
          <w:sz w:val="22"/>
          <w:szCs w:val="22"/>
          <w:lang w:val="es-CO"/>
        </w:rPr>
      </w:pPr>
    </w:p>
    <w:p w14:paraId="215FA691"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En el 2022 el Distrito de Santa Marta reportó compromisos por $391.755 millones correspondientes a una ejecución de 98%, 2 puntos porcentuales superior a lo ejecutado en 2021.</w:t>
      </w:r>
    </w:p>
    <w:p w14:paraId="6D85BF5F" w14:textId="77777777" w:rsidR="00B53AC8" w:rsidRPr="00A76485" w:rsidRDefault="00B53AC8" w:rsidP="00492D77">
      <w:pPr>
        <w:jc w:val="both"/>
        <w:rPr>
          <w:rFonts w:ascii="Arial" w:hAnsi="Arial" w:cs="Arial"/>
          <w:sz w:val="22"/>
          <w:szCs w:val="22"/>
          <w:lang w:val="es-CO"/>
        </w:rPr>
      </w:pPr>
    </w:p>
    <w:p w14:paraId="3F0B9047"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En cuanto al comportamiento presentado por cada una de las subcuentas, de manera positiva se destacan las cuentas de régimen subsidiado y prestación de servicios cuyas ejecuciones estuvieron en el 100%</w:t>
      </w:r>
      <w:r w:rsidR="00723A06">
        <w:rPr>
          <w:rFonts w:ascii="Arial" w:hAnsi="Arial" w:cs="Arial"/>
          <w:sz w:val="22"/>
          <w:szCs w:val="22"/>
          <w:lang w:val="es-CO"/>
        </w:rPr>
        <w:t xml:space="preserve"> </w:t>
      </w:r>
      <w:r w:rsidRPr="00A76485">
        <w:rPr>
          <w:rFonts w:ascii="Arial" w:hAnsi="Arial" w:cs="Arial"/>
          <w:sz w:val="22"/>
          <w:szCs w:val="22"/>
          <w:lang w:val="es-CO"/>
        </w:rPr>
        <w:t>($352.502 millones) y 99% ($28.697</w:t>
      </w:r>
      <w:r w:rsidR="00723A06">
        <w:rPr>
          <w:rFonts w:ascii="Arial" w:hAnsi="Arial" w:cs="Arial"/>
          <w:sz w:val="22"/>
          <w:szCs w:val="22"/>
          <w:lang w:val="es-CO"/>
        </w:rPr>
        <w:t xml:space="preserve"> </w:t>
      </w:r>
      <w:r w:rsidRPr="00A76485">
        <w:rPr>
          <w:rFonts w:ascii="Arial" w:hAnsi="Arial" w:cs="Arial"/>
          <w:sz w:val="22"/>
          <w:szCs w:val="22"/>
          <w:lang w:val="es-CO"/>
        </w:rPr>
        <w:t>millones), respectivamente. Por el contrario, la cuenta de Salud Pública y Otros Gastos en Salud presentaron ejecuciones de 73% ($4.483 millones) y 48%</w:t>
      </w:r>
      <w:r w:rsidR="00723A06">
        <w:rPr>
          <w:rFonts w:ascii="Arial" w:hAnsi="Arial" w:cs="Arial"/>
          <w:sz w:val="22"/>
          <w:szCs w:val="22"/>
          <w:lang w:val="es-CO"/>
        </w:rPr>
        <w:t xml:space="preserve"> </w:t>
      </w:r>
      <w:r w:rsidRPr="00A76485">
        <w:rPr>
          <w:rFonts w:ascii="Arial" w:hAnsi="Arial" w:cs="Arial"/>
          <w:sz w:val="22"/>
          <w:szCs w:val="22"/>
          <w:lang w:val="es-CO"/>
        </w:rPr>
        <w:t xml:space="preserve">($3.543 millones) respectivamente, mostrando una baja ejecución de los recursos. Ahora frente al 2021 la </w:t>
      </w:r>
      <w:r w:rsidRPr="00A76485">
        <w:rPr>
          <w:rFonts w:ascii="Arial" w:hAnsi="Arial" w:cs="Arial"/>
          <w:sz w:val="22"/>
          <w:szCs w:val="22"/>
          <w:lang w:val="es-CO"/>
        </w:rPr>
        <w:lastRenderedPageBreak/>
        <w:t>cuenta de salud pública mejoró su ejecución en 6 puntos porcentuales y la de otros gastos disminuyó 44 puntos porcentuales.</w:t>
      </w:r>
    </w:p>
    <w:p w14:paraId="39AADBDE" w14:textId="77777777" w:rsidR="00B53AC8" w:rsidRPr="00A76485" w:rsidRDefault="00B53AC8" w:rsidP="00492D77">
      <w:pPr>
        <w:jc w:val="both"/>
        <w:rPr>
          <w:rFonts w:ascii="Arial" w:hAnsi="Arial" w:cs="Arial"/>
          <w:sz w:val="22"/>
          <w:szCs w:val="22"/>
          <w:lang w:val="es-CO"/>
        </w:rPr>
      </w:pPr>
    </w:p>
    <w:p w14:paraId="6AC1B8F3"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En cuanto a la ejecución en la subcuenta de prestación de servicios en la vigencia 2022, esta corresponde a los recursos ejecutados en el marco </w:t>
      </w:r>
      <w:r w:rsidR="00723A06" w:rsidRPr="00A76485">
        <w:rPr>
          <w:rFonts w:ascii="Arial" w:hAnsi="Arial" w:cs="Arial"/>
          <w:sz w:val="22"/>
          <w:szCs w:val="22"/>
          <w:lang w:val="es-CO"/>
        </w:rPr>
        <w:t>de</w:t>
      </w:r>
      <w:r w:rsidR="00723A06">
        <w:rPr>
          <w:rFonts w:ascii="Arial" w:hAnsi="Arial" w:cs="Arial"/>
          <w:sz w:val="22"/>
          <w:szCs w:val="22"/>
          <w:lang w:val="es-CO"/>
        </w:rPr>
        <w:t xml:space="preserve">l saneamiento </w:t>
      </w:r>
      <w:r w:rsidR="00723A06" w:rsidRPr="00B96BD8">
        <w:rPr>
          <w:rFonts w:ascii="Arial" w:hAnsi="Arial" w:cs="Arial"/>
          <w:sz w:val="22"/>
          <w:szCs w:val="22"/>
          <w:lang w:val="es-CO"/>
        </w:rPr>
        <w:t xml:space="preserve">definitivo de las cuentas de servicios y tecnologías en salud no financiadas por la UPC del régimen subsidiado </w:t>
      </w:r>
      <w:r w:rsidR="00723A06">
        <w:rPr>
          <w:rFonts w:ascii="Arial" w:hAnsi="Arial" w:cs="Arial"/>
          <w:sz w:val="22"/>
          <w:szCs w:val="22"/>
          <w:lang w:val="es-CO"/>
        </w:rPr>
        <w:t xml:space="preserve">(artículo 238 de la Ley 1955 de 2019 - </w:t>
      </w:r>
      <w:r w:rsidR="00723A06" w:rsidRPr="00A76485">
        <w:rPr>
          <w:rFonts w:ascii="Arial" w:hAnsi="Arial" w:cs="Arial"/>
          <w:sz w:val="22"/>
          <w:szCs w:val="22"/>
          <w:lang w:val="es-CO"/>
        </w:rPr>
        <w:t>punto final</w:t>
      </w:r>
      <w:r w:rsidR="00723A06">
        <w:rPr>
          <w:rFonts w:ascii="Arial" w:hAnsi="Arial" w:cs="Arial"/>
          <w:sz w:val="22"/>
          <w:szCs w:val="22"/>
          <w:lang w:val="es-CO"/>
        </w:rPr>
        <w:t>)</w:t>
      </w:r>
      <w:r w:rsidRPr="00A76485">
        <w:rPr>
          <w:rFonts w:ascii="Arial" w:hAnsi="Arial" w:cs="Arial"/>
          <w:sz w:val="22"/>
          <w:szCs w:val="22"/>
          <w:lang w:val="es-CO"/>
        </w:rPr>
        <w:t xml:space="preserve">, así como </w:t>
      </w:r>
      <w:r w:rsidR="00E43141" w:rsidRPr="00A76485">
        <w:rPr>
          <w:rFonts w:ascii="Arial" w:hAnsi="Arial" w:cs="Arial"/>
          <w:sz w:val="22"/>
          <w:szCs w:val="22"/>
          <w:lang w:val="es-CO"/>
        </w:rPr>
        <w:t xml:space="preserve">a la ejecución de recursos asignados </w:t>
      </w:r>
      <w:r w:rsidRPr="00A76485">
        <w:rPr>
          <w:rFonts w:ascii="Arial" w:hAnsi="Arial" w:cs="Arial"/>
          <w:sz w:val="22"/>
          <w:szCs w:val="22"/>
          <w:lang w:val="es-CO"/>
        </w:rPr>
        <w:t xml:space="preserve">para la atención de </w:t>
      </w:r>
      <w:r w:rsidR="00E43141" w:rsidRPr="00A76485">
        <w:rPr>
          <w:rFonts w:ascii="Arial" w:hAnsi="Arial" w:cs="Arial"/>
          <w:sz w:val="22"/>
          <w:szCs w:val="22"/>
          <w:lang w:val="es-CO"/>
        </w:rPr>
        <w:t xml:space="preserve">población </w:t>
      </w:r>
      <w:r w:rsidRPr="00A76485">
        <w:rPr>
          <w:rFonts w:ascii="Arial" w:hAnsi="Arial" w:cs="Arial"/>
          <w:sz w:val="22"/>
          <w:szCs w:val="22"/>
          <w:lang w:val="es-CO"/>
        </w:rPr>
        <w:t>migrante.</w:t>
      </w:r>
    </w:p>
    <w:p w14:paraId="24E1324C" w14:textId="77777777" w:rsidR="00B53AC8" w:rsidRPr="00A76485" w:rsidRDefault="00B53AC8" w:rsidP="00492D77">
      <w:pPr>
        <w:jc w:val="both"/>
        <w:rPr>
          <w:rFonts w:ascii="Arial" w:hAnsi="Arial" w:cs="Arial"/>
          <w:sz w:val="22"/>
          <w:szCs w:val="22"/>
          <w:lang w:val="es-CO"/>
        </w:rPr>
      </w:pPr>
    </w:p>
    <w:p w14:paraId="6E53564A"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Frente a la baja ejecución en la subcuenta de Salud Pública, en las dos vigencias, esta corresponde a la incorporación de manera recurrente de recursos del balance los cuales no son ejecutados por la </w:t>
      </w:r>
      <w:r w:rsidR="00723A06">
        <w:rPr>
          <w:rFonts w:ascii="Arial" w:hAnsi="Arial" w:cs="Arial"/>
          <w:sz w:val="22"/>
          <w:szCs w:val="22"/>
          <w:lang w:val="es-CO"/>
        </w:rPr>
        <w:t>E</w:t>
      </w:r>
      <w:r w:rsidRPr="00A76485">
        <w:rPr>
          <w:rFonts w:ascii="Arial" w:hAnsi="Arial" w:cs="Arial"/>
          <w:sz w:val="22"/>
          <w:szCs w:val="22"/>
          <w:lang w:val="es-CO"/>
        </w:rPr>
        <w:t xml:space="preserve">ntidad, </w:t>
      </w:r>
      <w:r w:rsidR="00E43141" w:rsidRPr="00A76485">
        <w:rPr>
          <w:rFonts w:ascii="Arial" w:hAnsi="Arial" w:cs="Arial"/>
          <w:sz w:val="22"/>
          <w:szCs w:val="22"/>
          <w:lang w:val="es-CO"/>
        </w:rPr>
        <w:t>correspond</w:t>
      </w:r>
      <w:r w:rsidR="00DB5EAE" w:rsidRPr="00A76485">
        <w:rPr>
          <w:rFonts w:ascii="Arial" w:hAnsi="Arial" w:cs="Arial"/>
          <w:sz w:val="22"/>
          <w:szCs w:val="22"/>
          <w:lang w:val="es-CO"/>
        </w:rPr>
        <w:t>i</w:t>
      </w:r>
      <w:r w:rsidR="00E43141" w:rsidRPr="00A76485">
        <w:rPr>
          <w:rFonts w:ascii="Arial" w:hAnsi="Arial" w:cs="Arial"/>
          <w:sz w:val="22"/>
          <w:szCs w:val="22"/>
          <w:lang w:val="es-CO"/>
        </w:rPr>
        <w:t>en</w:t>
      </w:r>
      <w:r w:rsidR="00DB5EAE" w:rsidRPr="00A76485">
        <w:rPr>
          <w:rFonts w:ascii="Arial" w:hAnsi="Arial" w:cs="Arial"/>
          <w:sz w:val="22"/>
          <w:szCs w:val="22"/>
          <w:lang w:val="es-CO"/>
        </w:rPr>
        <w:t>tes</w:t>
      </w:r>
      <w:r w:rsidR="00E43141" w:rsidRPr="00A76485">
        <w:rPr>
          <w:rFonts w:ascii="Arial" w:hAnsi="Arial" w:cs="Arial"/>
          <w:sz w:val="22"/>
          <w:szCs w:val="22"/>
          <w:lang w:val="es-CO"/>
        </w:rPr>
        <w:t xml:space="preserve"> </w:t>
      </w:r>
      <w:r w:rsidRPr="00A76485">
        <w:rPr>
          <w:rFonts w:ascii="Arial" w:hAnsi="Arial" w:cs="Arial"/>
          <w:sz w:val="22"/>
          <w:szCs w:val="22"/>
          <w:lang w:val="es-CO"/>
        </w:rPr>
        <w:t xml:space="preserve">a contratos pendientes de liquidar de vigencias anteriores, </w:t>
      </w:r>
      <w:r w:rsidR="00E43141" w:rsidRPr="00A76485">
        <w:rPr>
          <w:rFonts w:ascii="Arial" w:hAnsi="Arial" w:cs="Arial"/>
          <w:sz w:val="22"/>
          <w:szCs w:val="22"/>
          <w:lang w:val="es-CO"/>
        </w:rPr>
        <w:t>que</w:t>
      </w:r>
      <w:r w:rsidRPr="00A76485">
        <w:rPr>
          <w:rFonts w:ascii="Arial" w:hAnsi="Arial" w:cs="Arial"/>
          <w:sz w:val="22"/>
          <w:szCs w:val="22"/>
          <w:lang w:val="es-CO"/>
        </w:rPr>
        <w:t xml:space="preserve"> continúan asignados en el presupuesto como vigencias expiradas sin ejecutar y a recursos recibidos de la Nación</w:t>
      </w:r>
      <w:r w:rsidR="00BF2F6B" w:rsidRPr="00A76485">
        <w:rPr>
          <w:rFonts w:ascii="Arial" w:hAnsi="Arial" w:cs="Arial"/>
          <w:sz w:val="22"/>
          <w:szCs w:val="22"/>
          <w:lang w:val="es-CO"/>
        </w:rPr>
        <w:t xml:space="preserve"> en vigencias anteriores,</w:t>
      </w:r>
      <w:r w:rsidRPr="00A76485">
        <w:rPr>
          <w:rFonts w:ascii="Arial" w:hAnsi="Arial" w:cs="Arial"/>
          <w:sz w:val="22"/>
          <w:szCs w:val="22"/>
          <w:lang w:val="es-CO"/>
        </w:rPr>
        <w:t xml:space="preserve"> para la atención de</w:t>
      </w:r>
      <w:r w:rsidR="00BF2F6B" w:rsidRPr="00A76485">
        <w:rPr>
          <w:rFonts w:ascii="Arial" w:hAnsi="Arial" w:cs="Arial"/>
          <w:sz w:val="22"/>
          <w:szCs w:val="22"/>
          <w:lang w:val="es-CO"/>
        </w:rPr>
        <w:t xml:space="preserve"> enfermedades transmisibles, recursos que deben ejecutarse únicamente para la atención de estas enfermedades de conformidad con el lineamiento del Ministerio de Salud</w:t>
      </w:r>
      <w:r w:rsidR="00723A06">
        <w:rPr>
          <w:rFonts w:ascii="Arial" w:hAnsi="Arial" w:cs="Arial"/>
          <w:sz w:val="22"/>
          <w:szCs w:val="22"/>
          <w:lang w:val="es-CO"/>
        </w:rPr>
        <w:t xml:space="preserve"> y Protección Social</w:t>
      </w:r>
      <w:r w:rsidR="00BF2F6B" w:rsidRPr="00A76485">
        <w:rPr>
          <w:rFonts w:ascii="Arial" w:hAnsi="Arial" w:cs="Arial"/>
          <w:sz w:val="22"/>
          <w:szCs w:val="22"/>
          <w:lang w:val="es-CO"/>
        </w:rPr>
        <w:t xml:space="preserve">, razón por la cual su ejecución no es tan </w:t>
      </w:r>
      <w:r w:rsidR="004E28CD">
        <w:rPr>
          <w:rFonts w:ascii="Arial" w:hAnsi="Arial" w:cs="Arial"/>
          <w:sz w:val="22"/>
          <w:szCs w:val="22"/>
          <w:lang w:val="es-CO"/>
        </w:rPr>
        <w:t>ó</w:t>
      </w:r>
      <w:r w:rsidR="00BF2F6B" w:rsidRPr="00A76485">
        <w:rPr>
          <w:rFonts w:ascii="Arial" w:hAnsi="Arial" w:cs="Arial"/>
          <w:sz w:val="22"/>
          <w:szCs w:val="22"/>
          <w:lang w:val="es-CO"/>
        </w:rPr>
        <w:t>ptima, por cuanto las acciones del Plan</w:t>
      </w:r>
      <w:r w:rsidR="00C545B3">
        <w:rPr>
          <w:rFonts w:ascii="Arial" w:hAnsi="Arial" w:cs="Arial"/>
          <w:sz w:val="22"/>
          <w:szCs w:val="22"/>
          <w:lang w:val="es-CO"/>
        </w:rPr>
        <w:t xml:space="preserve"> de Acción en Salud</w:t>
      </w:r>
      <w:r w:rsidR="00BF2F6B" w:rsidRPr="00A76485">
        <w:rPr>
          <w:rFonts w:ascii="Arial" w:hAnsi="Arial" w:cs="Arial"/>
          <w:sz w:val="22"/>
          <w:szCs w:val="22"/>
          <w:lang w:val="es-CO"/>
        </w:rPr>
        <w:t xml:space="preserve"> estaban cubiertas en su mayoría con recursos de la vigencia corriente</w:t>
      </w:r>
      <w:r w:rsidRPr="00A76485">
        <w:rPr>
          <w:rFonts w:ascii="Arial" w:hAnsi="Arial" w:cs="Arial"/>
          <w:sz w:val="22"/>
          <w:szCs w:val="22"/>
          <w:lang w:val="es-CO"/>
        </w:rPr>
        <w:t>.</w:t>
      </w:r>
    </w:p>
    <w:p w14:paraId="0E223611" w14:textId="77777777" w:rsidR="00B53AC8" w:rsidRPr="00A76485" w:rsidRDefault="00B53AC8" w:rsidP="00492D77">
      <w:pPr>
        <w:jc w:val="both"/>
        <w:rPr>
          <w:rFonts w:ascii="Arial" w:hAnsi="Arial" w:cs="Arial"/>
          <w:sz w:val="22"/>
          <w:szCs w:val="22"/>
          <w:lang w:val="es-CO"/>
        </w:rPr>
      </w:pPr>
    </w:p>
    <w:p w14:paraId="5180F447" w14:textId="77777777" w:rsidR="00B53AC8" w:rsidRPr="00A76485" w:rsidRDefault="00B53AC8" w:rsidP="00492D77">
      <w:pPr>
        <w:contextualSpacing/>
        <w:jc w:val="both"/>
        <w:rPr>
          <w:rFonts w:ascii="Arial" w:hAnsi="Arial" w:cs="Arial"/>
          <w:b/>
          <w:sz w:val="20"/>
          <w:szCs w:val="20"/>
          <w:highlight w:val="yellow"/>
        </w:rPr>
      </w:pPr>
      <w:r w:rsidRPr="00A76485">
        <w:rPr>
          <w:rFonts w:ascii="Arial" w:hAnsi="Arial" w:cs="Arial"/>
          <w:sz w:val="21"/>
          <w:szCs w:val="21"/>
        </w:rPr>
        <w:t>Por último, al comparar la información presupuestal entregada por la Entidad con la reportada en CCPET y su validación en el CUIPO, fue posible determinar de manera agregada l</w:t>
      </w:r>
      <w:r w:rsidR="00EF3156" w:rsidRPr="00A76485">
        <w:rPr>
          <w:rFonts w:ascii="Arial" w:hAnsi="Arial" w:cs="Arial"/>
          <w:sz w:val="21"/>
          <w:szCs w:val="21"/>
        </w:rPr>
        <w:t>o</w:t>
      </w:r>
      <w:r w:rsidRPr="00A76485">
        <w:rPr>
          <w:rFonts w:ascii="Arial" w:hAnsi="Arial" w:cs="Arial"/>
          <w:sz w:val="21"/>
          <w:szCs w:val="21"/>
        </w:rPr>
        <w:t xml:space="preserve"> siguiente</w:t>
      </w:r>
      <w:r w:rsidR="00EF3156" w:rsidRPr="00A76485">
        <w:rPr>
          <w:rFonts w:ascii="Arial" w:hAnsi="Arial" w:cs="Arial"/>
          <w:sz w:val="21"/>
          <w:szCs w:val="21"/>
        </w:rPr>
        <w:t>:</w:t>
      </w:r>
    </w:p>
    <w:p w14:paraId="5B283A48"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7</w:t>
      </w:r>
    </w:p>
    <w:p w14:paraId="3150CAFA" w14:textId="77777777" w:rsidR="00B53AC8" w:rsidRPr="00A76485" w:rsidRDefault="00B53AC8" w:rsidP="00492D77">
      <w:pPr>
        <w:ind w:left="2836" w:firstLine="709"/>
        <w:jc w:val="both"/>
        <w:rPr>
          <w:rFonts w:ascii="Arial" w:hAnsi="Arial" w:cs="Arial"/>
          <w:b/>
          <w:sz w:val="22"/>
          <w:szCs w:val="22"/>
          <w:lang w:val="es-CO"/>
        </w:rPr>
      </w:pPr>
      <w:r w:rsidRPr="00A76485">
        <w:rPr>
          <w:rFonts w:ascii="Arial" w:hAnsi="Arial" w:cs="Arial"/>
          <w:b/>
          <w:sz w:val="18"/>
          <w:szCs w:val="18"/>
        </w:rPr>
        <w:t>Valores en Millones</w:t>
      </w:r>
    </w:p>
    <w:tbl>
      <w:tblPr>
        <w:tblW w:w="4885" w:type="pct"/>
        <w:tblLayout w:type="fixed"/>
        <w:tblCellMar>
          <w:left w:w="70" w:type="dxa"/>
          <w:right w:w="70" w:type="dxa"/>
        </w:tblCellMar>
        <w:tblLook w:val="04A0" w:firstRow="1" w:lastRow="0" w:firstColumn="1" w:lastColumn="0" w:noHBand="0" w:noVBand="1"/>
      </w:tblPr>
      <w:tblGrid>
        <w:gridCol w:w="984"/>
        <w:gridCol w:w="898"/>
        <w:gridCol w:w="1032"/>
        <w:gridCol w:w="963"/>
        <w:gridCol w:w="927"/>
        <w:gridCol w:w="927"/>
        <w:gridCol w:w="963"/>
        <w:gridCol w:w="894"/>
        <w:gridCol w:w="1027"/>
      </w:tblGrid>
      <w:tr w:rsidR="00B53AC8" w:rsidRPr="00A76485" w14:paraId="70C40944" w14:textId="77777777" w:rsidTr="005636EE">
        <w:trPr>
          <w:trHeight w:val="276"/>
        </w:trPr>
        <w:tc>
          <w:tcPr>
            <w:tcW w:w="571" w:type="pct"/>
            <w:vMerge w:val="restart"/>
            <w:tcBorders>
              <w:top w:val="single" w:sz="8" w:space="0" w:color="auto"/>
              <w:left w:val="single" w:sz="8" w:space="0" w:color="auto"/>
              <w:bottom w:val="single" w:sz="4" w:space="0" w:color="000000"/>
              <w:right w:val="single" w:sz="8" w:space="0" w:color="auto"/>
            </w:tcBorders>
            <w:shd w:val="clear" w:color="auto" w:fill="4F81BD" w:themeFill="accent1"/>
            <w:noWrap/>
            <w:vAlign w:val="center"/>
            <w:hideMark/>
          </w:tcPr>
          <w:p w14:paraId="0387A51A"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CONCEPTO</w:t>
            </w:r>
          </w:p>
        </w:tc>
        <w:tc>
          <w:tcPr>
            <w:tcW w:w="1120" w:type="pct"/>
            <w:gridSpan w:val="2"/>
            <w:vMerge w:val="restart"/>
            <w:tcBorders>
              <w:top w:val="single" w:sz="8" w:space="0" w:color="auto"/>
              <w:left w:val="single" w:sz="8" w:space="0" w:color="000000"/>
              <w:bottom w:val="single" w:sz="8" w:space="0" w:color="000000"/>
              <w:right w:val="single" w:sz="8" w:space="0" w:color="000000"/>
            </w:tcBorders>
            <w:shd w:val="clear" w:color="auto" w:fill="4F81BD" w:themeFill="accent1"/>
            <w:vAlign w:val="center"/>
            <w:hideMark/>
          </w:tcPr>
          <w:p w14:paraId="05D5867A"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Presupuesto Definitivo</w:t>
            </w:r>
          </w:p>
        </w:tc>
        <w:tc>
          <w:tcPr>
            <w:tcW w:w="1097" w:type="pct"/>
            <w:gridSpan w:val="2"/>
            <w:vMerge w:val="restart"/>
            <w:tcBorders>
              <w:top w:val="single" w:sz="8" w:space="0" w:color="auto"/>
              <w:left w:val="single" w:sz="8" w:space="0" w:color="auto"/>
              <w:bottom w:val="nil"/>
              <w:right w:val="single" w:sz="8" w:space="0" w:color="000000"/>
            </w:tcBorders>
            <w:shd w:val="clear" w:color="auto" w:fill="4F81BD" w:themeFill="accent1"/>
            <w:vAlign w:val="center"/>
            <w:hideMark/>
          </w:tcPr>
          <w:p w14:paraId="6B94BA5A"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Compromisos</w:t>
            </w:r>
          </w:p>
        </w:tc>
        <w:tc>
          <w:tcPr>
            <w:tcW w:w="1097" w:type="pct"/>
            <w:gridSpan w:val="2"/>
            <w:vMerge w:val="restart"/>
            <w:tcBorders>
              <w:top w:val="single" w:sz="8" w:space="0" w:color="auto"/>
              <w:left w:val="single" w:sz="8" w:space="0" w:color="auto"/>
              <w:bottom w:val="single" w:sz="8" w:space="0" w:color="000000"/>
              <w:right w:val="single" w:sz="8" w:space="0" w:color="000000"/>
            </w:tcBorders>
            <w:shd w:val="clear" w:color="auto" w:fill="4F81BD" w:themeFill="accent1"/>
            <w:vAlign w:val="center"/>
            <w:hideMark/>
          </w:tcPr>
          <w:p w14:paraId="43BE0C33"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obligaciones</w:t>
            </w:r>
          </w:p>
        </w:tc>
        <w:tc>
          <w:tcPr>
            <w:tcW w:w="1116" w:type="pct"/>
            <w:gridSpan w:val="2"/>
            <w:vMerge w:val="restart"/>
            <w:tcBorders>
              <w:top w:val="single" w:sz="8" w:space="0" w:color="auto"/>
              <w:left w:val="single" w:sz="8" w:space="0" w:color="auto"/>
              <w:bottom w:val="single" w:sz="8" w:space="0" w:color="000000"/>
              <w:right w:val="single" w:sz="8" w:space="0" w:color="000000"/>
            </w:tcBorders>
            <w:shd w:val="clear" w:color="auto" w:fill="4F81BD" w:themeFill="accent1"/>
            <w:vAlign w:val="center"/>
            <w:hideMark/>
          </w:tcPr>
          <w:p w14:paraId="6CE6E3F4" w14:textId="77777777" w:rsidR="00B53AC8" w:rsidRPr="00A76485" w:rsidRDefault="00723A06"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P</w:t>
            </w:r>
            <w:r w:rsidR="00B53AC8" w:rsidRPr="00A76485">
              <w:rPr>
                <w:rFonts w:ascii="Arial" w:eastAsia="Times New Roman" w:hAnsi="Arial" w:cs="Arial"/>
                <w:b/>
                <w:bCs/>
                <w:color w:val="FFFFFF" w:themeColor="background1"/>
                <w:sz w:val="18"/>
                <w:szCs w:val="18"/>
                <w:lang w:val="es-CO" w:eastAsia="es-CO"/>
              </w:rPr>
              <w:t>agos</w:t>
            </w:r>
          </w:p>
        </w:tc>
      </w:tr>
      <w:tr w:rsidR="00B53AC8" w:rsidRPr="00A76485" w14:paraId="6286EC74" w14:textId="77777777" w:rsidTr="005636EE">
        <w:trPr>
          <w:trHeight w:val="276"/>
        </w:trPr>
        <w:tc>
          <w:tcPr>
            <w:tcW w:w="571" w:type="pct"/>
            <w:vMerge/>
            <w:tcBorders>
              <w:top w:val="single" w:sz="8" w:space="0" w:color="auto"/>
              <w:left w:val="single" w:sz="8" w:space="0" w:color="auto"/>
              <w:bottom w:val="single" w:sz="4" w:space="0" w:color="000000"/>
              <w:right w:val="single" w:sz="8" w:space="0" w:color="auto"/>
            </w:tcBorders>
            <w:shd w:val="clear" w:color="auto" w:fill="4F81BD" w:themeFill="accent1"/>
            <w:vAlign w:val="center"/>
            <w:hideMark/>
          </w:tcPr>
          <w:p w14:paraId="2BA458D6" w14:textId="77777777" w:rsidR="00B53AC8" w:rsidRPr="00A76485" w:rsidRDefault="00B53AC8" w:rsidP="00492D77">
            <w:pPr>
              <w:rPr>
                <w:rFonts w:ascii="Arial" w:eastAsia="Times New Roman" w:hAnsi="Arial" w:cs="Arial"/>
                <w:b/>
                <w:bCs/>
                <w:color w:val="FFFFFF" w:themeColor="background1"/>
                <w:sz w:val="18"/>
                <w:szCs w:val="18"/>
                <w:lang w:val="es-CO" w:eastAsia="es-CO"/>
              </w:rPr>
            </w:pPr>
          </w:p>
        </w:tc>
        <w:tc>
          <w:tcPr>
            <w:tcW w:w="1120" w:type="pct"/>
            <w:gridSpan w:val="2"/>
            <w:vMerge/>
            <w:tcBorders>
              <w:top w:val="single" w:sz="8" w:space="0" w:color="auto"/>
              <w:left w:val="single" w:sz="8" w:space="0" w:color="000000"/>
              <w:bottom w:val="single" w:sz="8" w:space="0" w:color="000000"/>
              <w:right w:val="single" w:sz="8" w:space="0" w:color="000000"/>
            </w:tcBorders>
            <w:shd w:val="clear" w:color="auto" w:fill="4F81BD" w:themeFill="accent1"/>
            <w:vAlign w:val="center"/>
            <w:hideMark/>
          </w:tcPr>
          <w:p w14:paraId="5AF0C935" w14:textId="77777777" w:rsidR="00B53AC8" w:rsidRPr="00A76485" w:rsidRDefault="00B53AC8" w:rsidP="00492D77">
            <w:pPr>
              <w:rPr>
                <w:rFonts w:ascii="Arial" w:eastAsia="Times New Roman" w:hAnsi="Arial" w:cs="Arial"/>
                <w:b/>
                <w:bCs/>
                <w:color w:val="FFFFFF" w:themeColor="background1"/>
                <w:sz w:val="18"/>
                <w:szCs w:val="18"/>
                <w:lang w:val="es-CO" w:eastAsia="es-CO"/>
              </w:rPr>
            </w:pPr>
          </w:p>
        </w:tc>
        <w:tc>
          <w:tcPr>
            <w:tcW w:w="1097" w:type="pct"/>
            <w:gridSpan w:val="2"/>
            <w:vMerge/>
            <w:tcBorders>
              <w:top w:val="single" w:sz="8" w:space="0" w:color="auto"/>
              <w:left w:val="single" w:sz="8" w:space="0" w:color="auto"/>
              <w:bottom w:val="nil"/>
              <w:right w:val="single" w:sz="8" w:space="0" w:color="000000"/>
            </w:tcBorders>
            <w:shd w:val="clear" w:color="auto" w:fill="4F81BD" w:themeFill="accent1"/>
            <w:vAlign w:val="center"/>
            <w:hideMark/>
          </w:tcPr>
          <w:p w14:paraId="6263CA52" w14:textId="77777777" w:rsidR="00B53AC8" w:rsidRPr="00A76485" w:rsidRDefault="00B53AC8" w:rsidP="00492D77">
            <w:pPr>
              <w:rPr>
                <w:rFonts w:ascii="Arial" w:eastAsia="Times New Roman" w:hAnsi="Arial" w:cs="Arial"/>
                <w:b/>
                <w:bCs/>
                <w:color w:val="FFFFFF" w:themeColor="background1"/>
                <w:sz w:val="18"/>
                <w:szCs w:val="18"/>
                <w:lang w:val="es-CO" w:eastAsia="es-CO"/>
              </w:rPr>
            </w:pPr>
          </w:p>
        </w:tc>
        <w:tc>
          <w:tcPr>
            <w:tcW w:w="1097" w:type="pct"/>
            <w:gridSpan w:val="2"/>
            <w:vMerge/>
            <w:tcBorders>
              <w:top w:val="single" w:sz="8" w:space="0" w:color="auto"/>
              <w:left w:val="single" w:sz="8" w:space="0" w:color="auto"/>
              <w:bottom w:val="single" w:sz="8" w:space="0" w:color="000000"/>
              <w:right w:val="single" w:sz="8" w:space="0" w:color="000000"/>
            </w:tcBorders>
            <w:shd w:val="clear" w:color="auto" w:fill="4F81BD" w:themeFill="accent1"/>
            <w:vAlign w:val="center"/>
            <w:hideMark/>
          </w:tcPr>
          <w:p w14:paraId="2955A45A" w14:textId="77777777" w:rsidR="00B53AC8" w:rsidRPr="00A76485" w:rsidRDefault="00B53AC8" w:rsidP="00492D77">
            <w:pPr>
              <w:rPr>
                <w:rFonts w:ascii="Arial" w:eastAsia="Times New Roman" w:hAnsi="Arial" w:cs="Arial"/>
                <w:b/>
                <w:bCs/>
                <w:color w:val="FFFFFF" w:themeColor="background1"/>
                <w:sz w:val="18"/>
                <w:szCs w:val="18"/>
                <w:lang w:val="es-CO" w:eastAsia="es-CO"/>
              </w:rPr>
            </w:pPr>
          </w:p>
        </w:tc>
        <w:tc>
          <w:tcPr>
            <w:tcW w:w="1116" w:type="pct"/>
            <w:gridSpan w:val="2"/>
            <w:vMerge/>
            <w:tcBorders>
              <w:top w:val="single" w:sz="8" w:space="0" w:color="auto"/>
              <w:left w:val="single" w:sz="8" w:space="0" w:color="auto"/>
              <w:bottom w:val="single" w:sz="8" w:space="0" w:color="000000"/>
              <w:right w:val="single" w:sz="8" w:space="0" w:color="000000"/>
            </w:tcBorders>
            <w:shd w:val="clear" w:color="auto" w:fill="4F81BD" w:themeFill="accent1"/>
            <w:vAlign w:val="center"/>
            <w:hideMark/>
          </w:tcPr>
          <w:p w14:paraId="558ECE23" w14:textId="77777777" w:rsidR="00B53AC8" w:rsidRPr="00A76485" w:rsidRDefault="00B53AC8" w:rsidP="00492D77">
            <w:pPr>
              <w:rPr>
                <w:rFonts w:ascii="Arial" w:eastAsia="Times New Roman" w:hAnsi="Arial" w:cs="Arial"/>
                <w:b/>
                <w:bCs/>
                <w:color w:val="FFFFFF" w:themeColor="background1"/>
                <w:sz w:val="18"/>
                <w:szCs w:val="18"/>
                <w:lang w:val="es-CO" w:eastAsia="es-CO"/>
              </w:rPr>
            </w:pPr>
          </w:p>
        </w:tc>
      </w:tr>
      <w:tr w:rsidR="00B53AC8" w:rsidRPr="00A76485" w14:paraId="54D01A42" w14:textId="77777777" w:rsidTr="005636EE">
        <w:trPr>
          <w:trHeight w:val="276"/>
        </w:trPr>
        <w:tc>
          <w:tcPr>
            <w:tcW w:w="571" w:type="pct"/>
            <w:vMerge/>
            <w:tcBorders>
              <w:top w:val="single" w:sz="8" w:space="0" w:color="auto"/>
              <w:left w:val="single" w:sz="8" w:space="0" w:color="auto"/>
              <w:bottom w:val="single" w:sz="4" w:space="0" w:color="000000"/>
              <w:right w:val="single" w:sz="8" w:space="0" w:color="auto"/>
            </w:tcBorders>
            <w:shd w:val="clear" w:color="auto" w:fill="4F81BD" w:themeFill="accent1"/>
            <w:vAlign w:val="center"/>
            <w:hideMark/>
          </w:tcPr>
          <w:p w14:paraId="6D2A12E0" w14:textId="77777777" w:rsidR="00B53AC8" w:rsidRPr="00A76485" w:rsidRDefault="00B53AC8" w:rsidP="00492D77">
            <w:pPr>
              <w:rPr>
                <w:rFonts w:ascii="Arial" w:eastAsia="Times New Roman" w:hAnsi="Arial" w:cs="Arial"/>
                <w:b/>
                <w:bCs/>
                <w:color w:val="FFFFFF" w:themeColor="background1"/>
                <w:sz w:val="18"/>
                <w:szCs w:val="18"/>
                <w:lang w:val="es-CO" w:eastAsia="es-CO"/>
              </w:rPr>
            </w:pPr>
          </w:p>
        </w:tc>
        <w:tc>
          <w:tcPr>
            <w:tcW w:w="521" w:type="pct"/>
            <w:vMerge w:val="restart"/>
            <w:tcBorders>
              <w:top w:val="nil"/>
              <w:left w:val="single" w:sz="8" w:space="0" w:color="auto"/>
              <w:bottom w:val="nil"/>
              <w:right w:val="single" w:sz="8" w:space="0" w:color="auto"/>
            </w:tcBorders>
            <w:shd w:val="clear" w:color="auto" w:fill="4F81BD" w:themeFill="accent1"/>
            <w:vAlign w:val="center"/>
            <w:hideMark/>
          </w:tcPr>
          <w:p w14:paraId="02231B6E"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proofErr w:type="gramStart"/>
            <w:r w:rsidRPr="00A76485">
              <w:rPr>
                <w:rFonts w:ascii="Arial" w:eastAsia="Times New Roman" w:hAnsi="Arial" w:cs="Arial"/>
                <w:b/>
                <w:bCs/>
                <w:color w:val="FFFFFF" w:themeColor="background1"/>
                <w:sz w:val="18"/>
                <w:szCs w:val="18"/>
                <w:lang w:val="es-CO" w:eastAsia="es-CO"/>
              </w:rPr>
              <w:t>E:T</w:t>
            </w:r>
            <w:proofErr w:type="gramEnd"/>
          </w:p>
        </w:tc>
        <w:tc>
          <w:tcPr>
            <w:tcW w:w="599" w:type="pct"/>
            <w:vMerge w:val="restart"/>
            <w:tcBorders>
              <w:top w:val="nil"/>
              <w:left w:val="single" w:sz="8" w:space="0" w:color="auto"/>
              <w:bottom w:val="nil"/>
              <w:right w:val="single" w:sz="8" w:space="0" w:color="auto"/>
            </w:tcBorders>
            <w:shd w:val="clear" w:color="auto" w:fill="4F81BD" w:themeFill="accent1"/>
            <w:vAlign w:val="center"/>
            <w:hideMark/>
          </w:tcPr>
          <w:p w14:paraId="17E00EC6"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CUIPO</w:t>
            </w:r>
          </w:p>
        </w:tc>
        <w:tc>
          <w:tcPr>
            <w:tcW w:w="559" w:type="pct"/>
            <w:vMerge w:val="restart"/>
            <w:tcBorders>
              <w:top w:val="single" w:sz="8" w:space="0" w:color="000000"/>
              <w:left w:val="single" w:sz="8" w:space="0" w:color="auto"/>
              <w:bottom w:val="nil"/>
              <w:right w:val="single" w:sz="8" w:space="0" w:color="auto"/>
            </w:tcBorders>
            <w:shd w:val="clear" w:color="auto" w:fill="4F81BD" w:themeFill="accent1"/>
            <w:vAlign w:val="center"/>
            <w:hideMark/>
          </w:tcPr>
          <w:p w14:paraId="09A3842C"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proofErr w:type="gramStart"/>
            <w:r w:rsidRPr="00A76485">
              <w:rPr>
                <w:rFonts w:ascii="Arial" w:eastAsia="Times New Roman" w:hAnsi="Arial" w:cs="Arial"/>
                <w:b/>
                <w:bCs/>
                <w:color w:val="FFFFFF" w:themeColor="background1"/>
                <w:sz w:val="18"/>
                <w:szCs w:val="18"/>
                <w:lang w:val="es-CO" w:eastAsia="es-CO"/>
              </w:rPr>
              <w:t>E:T</w:t>
            </w:r>
            <w:proofErr w:type="gramEnd"/>
          </w:p>
        </w:tc>
        <w:tc>
          <w:tcPr>
            <w:tcW w:w="538" w:type="pct"/>
            <w:vMerge w:val="restart"/>
            <w:tcBorders>
              <w:top w:val="single" w:sz="8" w:space="0" w:color="auto"/>
              <w:left w:val="single" w:sz="8" w:space="0" w:color="auto"/>
              <w:bottom w:val="nil"/>
              <w:right w:val="single" w:sz="8" w:space="0" w:color="auto"/>
            </w:tcBorders>
            <w:shd w:val="clear" w:color="auto" w:fill="4F81BD" w:themeFill="accent1"/>
            <w:vAlign w:val="center"/>
            <w:hideMark/>
          </w:tcPr>
          <w:p w14:paraId="611245FA"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CUIPO</w:t>
            </w:r>
          </w:p>
        </w:tc>
        <w:tc>
          <w:tcPr>
            <w:tcW w:w="538" w:type="pct"/>
            <w:vMerge w:val="restart"/>
            <w:tcBorders>
              <w:top w:val="nil"/>
              <w:left w:val="single" w:sz="8" w:space="0" w:color="auto"/>
              <w:bottom w:val="nil"/>
              <w:right w:val="single" w:sz="8" w:space="0" w:color="auto"/>
            </w:tcBorders>
            <w:shd w:val="clear" w:color="auto" w:fill="4F81BD" w:themeFill="accent1"/>
            <w:vAlign w:val="center"/>
            <w:hideMark/>
          </w:tcPr>
          <w:p w14:paraId="1513784A"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proofErr w:type="gramStart"/>
            <w:r w:rsidRPr="00A76485">
              <w:rPr>
                <w:rFonts w:ascii="Arial" w:eastAsia="Times New Roman" w:hAnsi="Arial" w:cs="Arial"/>
                <w:b/>
                <w:bCs/>
                <w:color w:val="FFFFFF" w:themeColor="background1"/>
                <w:sz w:val="18"/>
                <w:szCs w:val="18"/>
                <w:lang w:val="es-CO" w:eastAsia="es-CO"/>
              </w:rPr>
              <w:t>E:T</w:t>
            </w:r>
            <w:proofErr w:type="gramEnd"/>
          </w:p>
        </w:tc>
        <w:tc>
          <w:tcPr>
            <w:tcW w:w="559" w:type="pct"/>
            <w:vMerge w:val="restart"/>
            <w:tcBorders>
              <w:top w:val="nil"/>
              <w:left w:val="single" w:sz="8" w:space="0" w:color="auto"/>
              <w:bottom w:val="nil"/>
              <w:right w:val="single" w:sz="8" w:space="0" w:color="auto"/>
            </w:tcBorders>
            <w:shd w:val="clear" w:color="auto" w:fill="4F81BD" w:themeFill="accent1"/>
            <w:vAlign w:val="center"/>
            <w:hideMark/>
          </w:tcPr>
          <w:p w14:paraId="26FA7B03"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CUIPO</w:t>
            </w:r>
          </w:p>
        </w:tc>
        <w:tc>
          <w:tcPr>
            <w:tcW w:w="519" w:type="pct"/>
            <w:vMerge w:val="restart"/>
            <w:tcBorders>
              <w:top w:val="nil"/>
              <w:left w:val="single" w:sz="8" w:space="0" w:color="auto"/>
              <w:bottom w:val="nil"/>
              <w:right w:val="single" w:sz="8" w:space="0" w:color="auto"/>
            </w:tcBorders>
            <w:shd w:val="clear" w:color="auto" w:fill="4F81BD" w:themeFill="accent1"/>
            <w:vAlign w:val="center"/>
            <w:hideMark/>
          </w:tcPr>
          <w:p w14:paraId="724DEA8B"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proofErr w:type="gramStart"/>
            <w:r w:rsidRPr="00A76485">
              <w:rPr>
                <w:rFonts w:ascii="Arial" w:eastAsia="Times New Roman" w:hAnsi="Arial" w:cs="Arial"/>
                <w:b/>
                <w:bCs/>
                <w:color w:val="FFFFFF" w:themeColor="background1"/>
                <w:sz w:val="18"/>
                <w:szCs w:val="18"/>
                <w:lang w:val="es-CO" w:eastAsia="es-CO"/>
              </w:rPr>
              <w:t>E:T</w:t>
            </w:r>
            <w:proofErr w:type="gramEnd"/>
          </w:p>
        </w:tc>
        <w:tc>
          <w:tcPr>
            <w:tcW w:w="597" w:type="pct"/>
            <w:vMerge w:val="restart"/>
            <w:tcBorders>
              <w:top w:val="nil"/>
              <w:left w:val="single" w:sz="8" w:space="0" w:color="auto"/>
              <w:bottom w:val="nil"/>
              <w:right w:val="single" w:sz="8" w:space="0" w:color="auto"/>
            </w:tcBorders>
            <w:shd w:val="clear" w:color="auto" w:fill="4F81BD" w:themeFill="accent1"/>
            <w:vAlign w:val="center"/>
            <w:hideMark/>
          </w:tcPr>
          <w:p w14:paraId="322BC923" w14:textId="77777777" w:rsidR="00B53AC8" w:rsidRPr="00A76485" w:rsidRDefault="00B53AC8" w:rsidP="00492D77">
            <w:pPr>
              <w:jc w:val="center"/>
              <w:rPr>
                <w:rFonts w:ascii="Arial" w:eastAsia="Times New Roman" w:hAnsi="Arial" w:cs="Arial"/>
                <w:b/>
                <w:bCs/>
                <w:color w:val="FFFFFF" w:themeColor="background1"/>
                <w:sz w:val="18"/>
                <w:szCs w:val="18"/>
                <w:lang w:val="es-CO" w:eastAsia="es-CO"/>
              </w:rPr>
            </w:pPr>
            <w:r w:rsidRPr="00A76485">
              <w:rPr>
                <w:rFonts w:ascii="Arial" w:eastAsia="Times New Roman" w:hAnsi="Arial" w:cs="Arial"/>
                <w:b/>
                <w:bCs/>
                <w:color w:val="FFFFFF" w:themeColor="background1"/>
                <w:sz w:val="18"/>
                <w:szCs w:val="18"/>
                <w:lang w:val="es-CO" w:eastAsia="es-CO"/>
              </w:rPr>
              <w:t>CUIPO</w:t>
            </w:r>
          </w:p>
        </w:tc>
      </w:tr>
      <w:tr w:rsidR="00B53AC8" w:rsidRPr="00A76485" w14:paraId="0389E7D0" w14:textId="77777777" w:rsidTr="005636EE">
        <w:trPr>
          <w:trHeight w:val="276"/>
        </w:trPr>
        <w:tc>
          <w:tcPr>
            <w:tcW w:w="571" w:type="pct"/>
            <w:vMerge/>
            <w:tcBorders>
              <w:top w:val="single" w:sz="8" w:space="0" w:color="auto"/>
              <w:left w:val="single" w:sz="8" w:space="0" w:color="auto"/>
              <w:bottom w:val="single" w:sz="4" w:space="0" w:color="000000"/>
              <w:right w:val="single" w:sz="8" w:space="0" w:color="auto"/>
            </w:tcBorders>
            <w:shd w:val="clear" w:color="auto" w:fill="4F81BD" w:themeFill="accent1"/>
            <w:vAlign w:val="center"/>
            <w:hideMark/>
          </w:tcPr>
          <w:p w14:paraId="4E8C27F3" w14:textId="77777777" w:rsidR="00B53AC8" w:rsidRPr="00A76485" w:rsidRDefault="00B53AC8" w:rsidP="00492D77">
            <w:pPr>
              <w:rPr>
                <w:rFonts w:ascii="Arial" w:eastAsia="Times New Roman" w:hAnsi="Arial" w:cs="Arial"/>
                <w:b/>
                <w:bCs/>
                <w:color w:val="000000"/>
                <w:sz w:val="18"/>
                <w:szCs w:val="18"/>
                <w:lang w:val="es-CO" w:eastAsia="es-CO"/>
              </w:rPr>
            </w:pPr>
          </w:p>
        </w:tc>
        <w:tc>
          <w:tcPr>
            <w:tcW w:w="521" w:type="pct"/>
            <w:vMerge/>
            <w:tcBorders>
              <w:top w:val="nil"/>
              <w:left w:val="single" w:sz="8" w:space="0" w:color="auto"/>
              <w:bottom w:val="nil"/>
              <w:right w:val="single" w:sz="8" w:space="0" w:color="auto"/>
            </w:tcBorders>
            <w:shd w:val="clear" w:color="auto" w:fill="4F81BD" w:themeFill="accent1"/>
            <w:vAlign w:val="center"/>
            <w:hideMark/>
          </w:tcPr>
          <w:p w14:paraId="71E5642D" w14:textId="77777777" w:rsidR="00B53AC8" w:rsidRPr="00A76485" w:rsidRDefault="00B53AC8" w:rsidP="00492D77">
            <w:pPr>
              <w:rPr>
                <w:rFonts w:ascii="Arial" w:eastAsia="Times New Roman" w:hAnsi="Arial" w:cs="Arial"/>
                <w:b/>
                <w:bCs/>
                <w:color w:val="000000"/>
                <w:sz w:val="18"/>
                <w:szCs w:val="18"/>
                <w:lang w:val="es-CO" w:eastAsia="es-CO"/>
              </w:rPr>
            </w:pPr>
          </w:p>
        </w:tc>
        <w:tc>
          <w:tcPr>
            <w:tcW w:w="599" w:type="pct"/>
            <w:vMerge/>
            <w:tcBorders>
              <w:top w:val="nil"/>
              <w:left w:val="single" w:sz="8" w:space="0" w:color="auto"/>
              <w:bottom w:val="nil"/>
              <w:right w:val="single" w:sz="8" w:space="0" w:color="auto"/>
            </w:tcBorders>
            <w:shd w:val="clear" w:color="auto" w:fill="4F81BD" w:themeFill="accent1"/>
            <w:vAlign w:val="center"/>
            <w:hideMark/>
          </w:tcPr>
          <w:p w14:paraId="0840F675" w14:textId="77777777" w:rsidR="00B53AC8" w:rsidRPr="00A76485" w:rsidRDefault="00B53AC8" w:rsidP="00492D77">
            <w:pPr>
              <w:rPr>
                <w:rFonts w:ascii="Arial" w:eastAsia="Times New Roman" w:hAnsi="Arial" w:cs="Arial"/>
                <w:b/>
                <w:bCs/>
                <w:color w:val="000000"/>
                <w:sz w:val="18"/>
                <w:szCs w:val="18"/>
                <w:lang w:val="es-CO" w:eastAsia="es-CO"/>
              </w:rPr>
            </w:pPr>
          </w:p>
        </w:tc>
        <w:tc>
          <w:tcPr>
            <w:tcW w:w="559" w:type="pct"/>
            <w:vMerge/>
            <w:tcBorders>
              <w:top w:val="single" w:sz="8" w:space="0" w:color="000000"/>
              <w:left w:val="single" w:sz="8" w:space="0" w:color="auto"/>
              <w:bottom w:val="nil"/>
              <w:right w:val="single" w:sz="8" w:space="0" w:color="auto"/>
            </w:tcBorders>
            <w:shd w:val="clear" w:color="auto" w:fill="4F81BD" w:themeFill="accent1"/>
            <w:vAlign w:val="center"/>
            <w:hideMark/>
          </w:tcPr>
          <w:p w14:paraId="3F3B8D64" w14:textId="77777777" w:rsidR="00B53AC8" w:rsidRPr="00A76485" w:rsidRDefault="00B53AC8" w:rsidP="00492D77">
            <w:pPr>
              <w:rPr>
                <w:rFonts w:ascii="Arial" w:eastAsia="Times New Roman" w:hAnsi="Arial" w:cs="Arial"/>
                <w:b/>
                <w:bCs/>
                <w:color w:val="000000"/>
                <w:sz w:val="18"/>
                <w:szCs w:val="18"/>
                <w:lang w:val="es-CO" w:eastAsia="es-CO"/>
              </w:rPr>
            </w:pPr>
          </w:p>
        </w:tc>
        <w:tc>
          <w:tcPr>
            <w:tcW w:w="538" w:type="pct"/>
            <w:vMerge/>
            <w:tcBorders>
              <w:top w:val="single" w:sz="8" w:space="0" w:color="auto"/>
              <w:left w:val="single" w:sz="8" w:space="0" w:color="auto"/>
              <w:bottom w:val="nil"/>
              <w:right w:val="single" w:sz="8" w:space="0" w:color="auto"/>
            </w:tcBorders>
            <w:shd w:val="clear" w:color="auto" w:fill="4F81BD" w:themeFill="accent1"/>
            <w:vAlign w:val="center"/>
            <w:hideMark/>
          </w:tcPr>
          <w:p w14:paraId="6AAC1994" w14:textId="77777777" w:rsidR="00B53AC8" w:rsidRPr="00A76485" w:rsidRDefault="00B53AC8" w:rsidP="00492D77">
            <w:pPr>
              <w:rPr>
                <w:rFonts w:ascii="Arial" w:eastAsia="Times New Roman" w:hAnsi="Arial" w:cs="Arial"/>
                <w:b/>
                <w:bCs/>
                <w:color w:val="000000"/>
                <w:sz w:val="18"/>
                <w:szCs w:val="18"/>
                <w:lang w:val="es-CO" w:eastAsia="es-CO"/>
              </w:rPr>
            </w:pPr>
          </w:p>
        </w:tc>
        <w:tc>
          <w:tcPr>
            <w:tcW w:w="538" w:type="pct"/>
            <w:vMerge/>
            <w:tcBorders>
              <w:top w:val="nil"/>
              <w:left w:val="single" w:sz="8" w:space="0" w:color="auto"/>
              <w:bottom w:val="nil"/>
              <w:right w:val="single" w:sz="8" w:space="0" w:color="auto"/>
            </w:tcBorders>
            <w:shd w:val="clear" w:color="auto" w:fill="4F81BD" w:themeFill="accent1"/>
            <w:vAlign w:val="center"/>
            <w:hideMark/>
          </w:tcPr>
          <w:p w14:paraId="675E4451" w14:textId="77777777" w:rsidR="00B53AC8" w:rsidRPr="00A76485" w:rsidRDefault="00B53AC8" w:rsidP="00492D77">
            <w:pPr>
              <w:rPr>
                <w:rFonts w:ascii="Arial" w:eastAsia="Times New Roman" w:hAnsi="Arial" w:cs="Arial"/>
                <w:b/>
                <w:bCs/>
                <w:color w:val="000000"/>
                <w:sz w:val="18"/>
                <w:szCs w:val="18"/>
                <w:lang w:val="es-CO" w:eastAsia="es-CO"/>
              </w:rPr>
            </w:pPr>
          </w:p>
        </w:tc>
        <w:tc>
          <w:tcPr>
            <w:tcW w:w="559" w:type="pct"/>
            <w:vMerge/>
            <w:tcBorders>
              <w:top w:val="nil"/>
              <w:left w:val="single" w:sz="8" w:space="0" w:color="auto"/>
              <w:bottom w:val="nil"/>
              <w:right w:val="single" w:sz="8" w:space="0" w:color="auto"/>
            </w:tcBorders>
            <w:shd w:val="clear" w:color="auto" w:fill="4F81BD" w:themeFill="accent1"/>
            <w:vAlign w:val="center"/>
            <w:hideMark/>
          </w:tcPr>
          <w:p w14:paraId="266FB371" w14:textId="77777777" w:rsidR="00B53AC8" w:rsidRPr="00A76485" w:rsidRDefault="00B53AC8" w:rsidP="00492D77">
            <w:pPr>
              <w:rPr>
                <w:rFonts w:ascii="Arial" w:eastAsia="Times New Roman" w:hAnsi="Arial" w:cs="Arial"/>
                <w:b/>
                <w:bCs/>
                <w:color w:val="000000"/>
                <w:sz w:val="18"/>
                <w:szCs w:val="18"/>
                <w:lang w:val="es-CO" w:eastAsia="es-CO"/>
              </w:rPr>
            </w:pPr>
          </w:p>
        </w:tc>
        <w:tc>
          <w:tcPr>
            <w:tcW w:w="519" w:type="pct"/>
            <w:vMerge/>
            <w:tcBorders>
              <w:top w:val="nil"/>
              <w:left w:val="single" w:sz="8" w:space="0" w:color="auto"/>
              <w:bottom w:val="nil"/>
              <w:right w:val="single" w:sz="8" w:space="0" w:color="auto"/>
            </w:tcBorders>
            <w:shd w:val="clear" w:color="auto" w:fill="4F81BD" w:themeFill="accent1"/>
            <w:vAlign w:val="center"/>
            <w:hideMark/>
          </w:tcPr>
          <w:p w14:paraId="2643ABA0" w14:textId="77777777" w:rsidR="00B53AC8" w:rsidRPr="00A76485" w:rsidRDefault="00B53AC8" w:rsidP="00492D77">
            <w:pPr>
              <w:rPr>
                <w:rFonts w:ascii="Arial" w:eastAsia="Times New Roman" w:hAnsi="Arial" w:cs="Arial"/>
                <w:b/>
                <w:bCs/>
                <w:color w:val="000000"/>
                <w:sz w:val="18"/>
                <w:szCs w:val="18"/>
                <w:lang w:val="es-CO" w:eastAsia="es-CO"/>
              </w:rPr>
            </w:pPr>
          </w:p>
        </w:tc>
        <w:tc>
          <w:tcPr>
            <w:tcW w:w="597" w:type="pct"/>
            <w:vMerge/>
            <w:tcBorders>
              <w:top w:val="nil"/>
              <w:left w:val="single" w:sz="8" w:space="0" w:color="auto"/>
              <w:bottom w:val="nil"/>
              <w:right w:val="single" w:sz="8" w:space="0" w:color="auto"/>
            </w:tcBorders>
            <w:shd w:val="clear" w:color="auto" w:fill="4F81BD" w:themeFill="accent1"/>
            <w:vAlign w:val="center"/>
            <w:hideMark/>
          </w:tcPr>
          <w:p w14:paraId="0D1BEE19" w14:textId="77777777" w:rsidR="00B53AC8" w:rsidRPr="00A76485" w:rsidRDefault="00B53AC8" w:rsidP="00492D77">
            <w:pPr>
              <w:rPr>
                <w:rFonts w:ascii="Arial" w:eastAsia="Times New Roman" w:hAnsi="Arial" w:cs="Arial"/>
                <w:b/>
                <w:bCs/>
                <w:color w:val="000000"/>
                <w:sz w:val="18"/>
                <w:szCs w:val="18"/>
                <w:lang w:val="es-CO" w:eastAsia="es-CO"/>
              </w:rPr>
            </w:pPr>
          </w:p>
        </w:tc>
      </w:tr>
      <w:tr w:rsidR="00B53AC8" w:rsidRPr="00A76485" w14:paraId="04972F6C" w14:textId="77777777" w:rsidTr="005636EE">
        <w:trPr>
          <w:trHeight w:val="226"/>
        </w:trPr>
        <w:tc>
          <w:tcPr>
            <w:tcW w:w="571" w:type="pct"/>
            <w:tcBorders>
              <w:top w:val="nil"/>
              <w:left w:val="single" w:sz="4" w:space="0" w:color="auto"/>
              <w:bottom w:val="single" w:sz="4" w:space="0" w:color="auto"/>
              <w:right w:val="single" w:sz="4" w:space="0" w:color="auto"/>
            </w:tcBorders>
            <w:shd w:val="clear" w:color="auto" w:fill="auto"/>
            <w:noWrap/>
            <w:vAlign w:val="bottom"/>
            <w:hideMark/>
          </w:tcPr>
          <w:p w14:paraId="5C8EC8EA"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Gastos</w:t>
            </w:r>
          </w:p>
        </w:tc>
        <w:tc>
          <w:tcPr>
            <w:tcW w:w="521" w:type="pct"/>
            <w:tcBorders>
              <w:top w:val="single" w:sz="4" w:space="0" w:color="auto"/>
              <w:left w:val="nil"/>
              <w:bottom w:val="single" w:sz="4" w:space="0" w:color="auto"/>
              <w:right w:val="single" w:sz="4" w:space="0" w:color="auto"/>
            </w:tcBorders>
            <w:shd w:val="clear" w:color="auto" w:fill="auto"/>
            <w:noWrap/>
            <w:vAlign w:val="bottom"/>
            <w:hideMark/>
          </w:tcPr>
          <w:p w14:paraId="6CBE953E"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$399.062 </w:t>
            </w:r>
          </w:p>
        </w:tc>
        <w:tc>
          <w:tcPr>
            <w:tcW w:w="599" w:type="pct"/>
            <w:tcBorders>
              <w:top w:val="single" w:sz="4" w:space="0" w:color="auto"/>
              <w:left w:val="nil"/>
              <w:bottom w:val="single" w:sz="4" w:space="0" w:color="auto"/>
              <w:right w:val="single" w:sz="4" w:space="0" w:color="auto"/>
            </w:tcBorders>
            <w:shd w:val="clear" w:color="auto" w:fill="auto"/>
            <w:noWrap/>
            <w:vAlign w:val="bottom"/>
            <w:hideMark/>
          </w:tcPr>
          <w:p w14:paraId="66705C5D"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$399.062 </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7F944AE6"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$391.755 </w:t>
            </w:r>
          </w:p>
        </w:tc>
        <w:tc>
          <w:tcPr>
            <w:tcW w:w="538" w:type="pct"/>
            <w:tcBorders>
              <w:top w:val="single" w:sz="4" w:space="0" w:color="auto"/>
              <w:left w:val="nil"/>
              <w:bottom w:val="single" w:sz="4" w:space="0" w:color="auto"/>
              <w:right w:val="single" w:sz="4" w:space="0" w:color="auto"/>
            </w:tcBorders>
            <w:shd w:val="clear" w:color="auto" w:fill="auto"/>
            <w:noWrap/>
            <w:vAlign w:val="bottom"/>
            <w:hideMark/>
          </w:tcPr>
          <w:p w14:paraId="770A6811"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$391.755 </w:t>
            </w:r>
          </w:p>
        </w:tc>
        <w:tc>
          <w:tcPr>
            <w:tcW w:w="538" w:type="pct"/>
            <w:tcBorders>
              <w:top w:val="single" w:sz="4" w:space="0" w:color="auto"/>
              <w:left w:val="nil"/>
              <w:bottom w:val="single" w:sz="4" w:space="0" w:color="auto"/>
              <w:right w:val="single" w:sz="4" w:space="0" w:color="auto"/>
            </w:tcBorders>
            <w:shd w:val="clear" w:color="auto" w:fill="auto"/>
            <w:noWrap/>
            <w:vAlign w:val="bottom"/>
            <w:hideMark/>
          </w:tcPr>
          <w:p w14:paraId="65474098"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$389.526 </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79860120"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$389.526 </w:t>
            </w:r>
          </w:p>
        </w:tc>
        <w:tc>
          <w:tcPr>
            <w:tcW w:w="519" w:type="pct"/>
            <w:tcBorders>
              <w:top w:val="single" w:sz="4" w:space="0" w:color="auto"/>
              <w:left w:val="nil"/>
              <w:bottom w:val="single" w:sz="4" w:space="0" w:color="auto"/>
              <w:right w:val="single" w:sz="4" w:space="0" w:color="auto"/>
            </w:tcBorders>
            <w:shd w:val="clear" w:color="auto" w:fill="auto"/>
            <w:noWrap/>
            <w:vAlign w:val="bottom"/>
            <w:hideMark/>
          </w:tcPr>
          <w:p w14:paraId="24E616C6"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$388.469 </w:t>
            </w:r>
          </w:p>
        </w:tc>
        <w:tc>
          <w:tcPr>
            <w:tcW w:w="597" w:type="pct"/>
            <w:tcBorders>
              <w:top w:val="single" w:sz="4" w:space="0" w:color="auto"/>
              <w:left w:val="nil"/>
              <w:bottom w:val="single" w:sz="4" w:space="0" w:color="auto"/>
              <w:right w:val="single" w:sz="4" w:space="0" w:color="auto"/>
            </w:tcBorders>
            <w:shd w:val="clear" w:color="auto" w:fill="auto"/>
            <w:noWrap/>
            <w:vAlign w:val="bottom"/>
            <w:hideMark/>
          </w:tcPr>
          <w:p w14:paraId="2A045E02"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 xml:space="preserve">$388.469 </w:t>
            </w:r>
          </w:p>
        </w:tc>
      </w:tr>
      <w:tr w:rsidR="00B53AC8" w:rsidRPr="00A76485" w14:paraId="599C5652" w14:textId="77777777" w:rsidTr="005636EE">
        <w:trPr>
          <w:trHeight w:val="226"/>
        </w:trPr>
        <w:tc>
          <w:tcPr>
            <w:tcW w:w="571" w:type="pct"/>
            <w:tcBorders>
              <w:top w:val="nil"/>
              <w:left w:val="single" w:sz="4" w:space="0" w:color="auto"/>
              <w:bottom w:val="single" w:sz="4" w:space="0" w:color="auto"/>
              <w:right w:val="single" w:sz="4" w:space="0" w:color="auto"/>
            </w:tcBorders>
            <w:shd w:val="clear" w:color="auto" w:fill="auto"/>
            <w:noWrap/>
            <w:vAlign w:val="bottom"/>
            <w:hideMark/>
          </w:tcPr>
          <w:p w14:paraId="3702FAA8" w14:textId="77777777" w:rsidR="00B53AC8" w:rsidRPr="00A76485" w:rsidRDefault="00B53AC8" w:rsidP="00492D77">
            <w:pPr>
              <w:rPr>
                <w:rFonts w:ascii="Arial" w:eastAsia="Times New Roman" w:hAnsi="Arial" w:cs="Arial"/>
                <w:b/>
                <w:bCs/>
                <w:color w:val="000000"/>
                <w:sz w:val="18"/>
                <w:szCs w:val="18"/>
                <w:lang w:val="es-CO" w:eastAsia="es-CO"/>
              </w:rPr>
            </w:pPr>
            <w:r w:rsidRPr="00A76485">
              <w:rPr>
                <w:rFonts w:ascii="Arial" w:eastAsia="Times New Roman" w:hAnsi="Arial" w:cs="Arial"/>
                <w:b/>
                <w:bCs/>
                <w:color w:val="000000"/>
                <w:sz w:val="18"/>
                <w:szCs w:val="18"/>
                <w:lang w:val="es-CO" w:eastAsia="es-CO"/>
              </w:rPr>
              <w:t>Diferencia</w:t>
            </w:r>
          </w:p>
        </w:tc>
        <w:tc>
          <w:tcPr>
            <w:tcW w:w="1120" w:type="pct"/>
            <w:gridSpan w:val="2"/>
            <w:tcBorders>
              <w:top w:val="single" w:sz="4" w:space="0" w:color="auto"/>
              <w:left w:val="nil"/>
              <w:bottom w:val="single" w:sz="4" w:space="0" w:color="auto"/>
              <w:right w:val="single" w:sz="4" w:space="0" w:color="000000"/>
            </w:tcBorders>
            <w:shd w:val="clear" w:color="auto" w:fill="auto"/>
            <w:vAlign w:val="center"/>
            <w:hideMark/>
          </w:tcPr>
          <w:p w14:paraId="0856D042" w14:textId="77777777" w:rsidR="00B53AC8" w:rsidRPr="00A76485" w:rsidRDefault="00B53AC8" w:rsidP="00492D77">
            <w:pPr>
              <w:jc w:val="center"/>
              <w:rPr>
                <w:rFonts w:ascii="Arial" w:eastAsia="Times New Roman" w:hAnsi="Arial" w:cs="Arial"/>
                <w:b/>
                <w:bCs/>
                <w:color w:val="FF0000"/>
                <w:sz w:val="18"/>
                <w:szCs w:val="18"/>
                <w:lang w:val="es-CO" w:eastAsia="es-CO"/>
              </w:rPr>
            </w:pPr>
            <w:r w:rsidRPr="00A76485">
              <w:rPr>
                <w:rFonts w:ascii="Arial" w:eastAsia="Times New Roman" w:hAnsi="Arial" w:cs="Arial"/>
                <w:b/>
                <w:bCs/>
                <w:color w:val="FF0000"/>
                <w:sz w:val="18"/>
                <w:szCs w:val="18"/>
                <w:lang w:val="es-CO" w:eastAsia="es-CO"/>
              </w:rPr>
              <w:t xml:space="preserve">0 </w:t>
            </w:r>
          </w:p>
        </w:tc>
        <w:tc>
          <w:tcPr>
            <w:tcW w:w="1097" w:type="pct"/>
            <w:gridSpan w:val="2"/>
            <w:tcBorders>
              <w:top w:val="single" w:sz="4" w:space="0" w:color="auto"/>
              <w:left w:val="nil"/>
              <w:bottom w:val="single" w:sz="4" w:space="0" w:color="auto"/>
              <w:right w:val="single" w:sz="4" w:space="0" w:color="000000"/>
            </w:tcBorders>
            <w:shd w:val="clear" w:color="auto" w:fill="auto"/>
            <w:vAlign w:val="center"/>
            <w:hideMark/>
          </w:tcPr>
          <w:p w14:paraId="0580238F" w14:textId="77777777" w:rsidR="00B53AC8" w:rsidRPr="00A76485" w:rsidRDefault="00B53AC8" w:rsidP="00492D77">
            <w:pPr>
              <w:jc w:val="center"/>
              <w:rPr>
                <w:rFonts w:ascii="Arial" w:eastAsia="Times New Roman" w:hAnsi="Arial" w:cs="Arial"/>
                <w:b/>
                <w:bCs/>
                <w:color w:val="FF0000"/>
                <w:sz w:val="18"/>
                <w:szCs w:val="18"/>
                <w:lang w:val="es-CO" w:eastAsia="es-CO"/>
              </w:rPr>
            </w:pPr>
            <w:r w:rsidRPr="00A76485">
              <w:rPr>
                <w:rFonts w:ascii="Arial" w:eastAsia="Times New Roman" w:hAnsi="Arial" w:cs="Arial"/>
                <w:b/>
                <w:bCs/>
                <w:color w:val="FF0000"/>
                <w:sz w:val="18"/>
                <w:szCs w:val="18"/>
                <w:lang w:val="es-CO" w:eastAsia="es-CO"/>
              </w:rPr>
              <w:t xml:space="preserve">0 </w:t>
            </w:r>
          </w:p>
        </w:tc>
        <w:tc>
          <w:tcPr>
            <w:tcW w:w="1097" w:type="pct"/>
            <w:gridSpan w:val="2"/>
            <w:tcBorders>
              <w:top w:val="single" w:sz="4" w:space="0" w:color="auto"/>
              <w:left w:val="nil"/>
              <w:bottom w:val="single" w:sz="4" w:space="0" w:color="auto"/>
              <w:right w:val="single" w:sz="4" w:space="0" w:color="000000"/>
            </w:tcBorders>
            <w:shd w:val="clear" w:color="auto" w:fill="auto"/>
            <w:vAlign w:val="center"/>
            <w:hideMark/>
          </w:tcPr>
          <w:p w14:paraId="1FE0E58A" w14:textId="77777777" w:rsidR="00B53AC8" w:rsidRPr="00A76485" w:rsidRDefault="00B53AC8" w:rsidP="00492D77">
            <w:pPr>
              <w:jc w:val="center"/>
              <w:rPr>
                <w:rFonts w:ascii="Arial" w:eastAsia="Times New Roman" w:hAnsi="Arial" w:cs="Arial"/>
                <w:b/>
                <w:bCs/>
                <w:color w:val="FF0000"/>
                <w:sz w:val="18"/>
                <w:szCs w:val="18"/>
                <w:lang w:val="es-CO" w:eastAsia="es-CO"/>
              </w:rPr>
            </w:pPr>
            <w:r w:rsidRPr="00A76485">
              <w:rPr>
                <w:rFonts w:ascii="Arial" w:eastAsia="Times New Roman" w:hAnsi="Arial" w:cs="Arial"/>
                <w:b/>
                <w:bCs/>
                <w:color w:val="FF0000"/>
                <w:sz w:val="18"/>
                <w:szCs w:val="18"/>
                <w:lang w:val="es-CO" w:eastAsia="es-CO"/>
              </w:rPr>
              <w:t xml:space="preserve">0 </w:t>
            </w:r>
          </w:p>
        </w:tc>
        <w:tc>
          <w:tcPr>
            <w:tcW w:w="1116" w:type="pct"/>
            <w:gridSpan w:val="2"/>
            <w:tcBorders>
              <w:top w:val="single" w:sz="4" w:space="0" w:color="auto"/>
              <w:left w:val="nil"/>
              <w:bottom w:val="single" w:sz="4" w:space="0" w:color="auto"/>
              <w:right w:val="single" w:sz="4" w:space="0" w:color="000000"/>
            </w:tcBorders>
            <w:shd w:val="clear" w:color="auto" w:fill="auto"/>
            <w:vAlign w:val="center"/>
            <w:hideMark/>
          </w:tcPr>
          <w:p w14:paraId="11D2A8A4" w14:textId="77777777" w:rsidR="00B53AC8" w:rsidRPr="00A76485" w:rsidRDefault="00B53AC8" w:rsidP="00492D77">
            <w:pPr>
              <w:jc w:val="center"/>
              <w:rPr>
                <w:rFonts w:ascii="Arial" w:eastAsia="Times New Roman" w:hAnsi="Arial" w:cs="Arial"/>
                <w:b/>
                <w:bCs/>
                <w:color w:val="FF0000"/>
                <w:sz w:val="18"/>
                <w:szCs w:val="18"/>
                <w:lang w:val="es-CO" w:eastAsia="es-CO"/>
              </w:rPr>
            </w:pPr>
            <w:r w:rsidRPr="00A76485">
              <w:rPr>
                <w:rFonts w:ascii="Arial" w:eastAsia="Times New Roman" w:hAnsi="Arial" w:cs="Arial"/>
                <w:b/>
                <w:bCs/>
                <w:color w:val="FF0000"/>
                <w:sz w:val="18"/>
                <w:szCs w:val="18"/>
                <w:lang w:val="es-CO" w:eastAsia="es-CO"/>
              </w:rPr>
              <w:t xml:space="preserve">0 </w:t>
            </w:r>
          </w:p>
        </w:tc>
      </w:tr>
    </w:tbl>
    <w:p w14:paraId="5DA87136" w14:textId="77777777" w:rsidR="00B53AC8" w:rsidRPr="00A76485" w:rsidRDefault="00B53AC8" w:rsidP="00492D77">
      <w:pPr>
        <w:jc w:val="both"/>
        <w:rPr>
          <w:rFonts w:ascii="Arial" w:hAnsi="Arial" w:cs="Arial"/>
          <w:sz w:val="16"/>
          <w:szCs w:val="16"/>
          <w:lang w:val="es-CO"/>
        </w:rPr>
      </w:pPr>
      <w:r w:rsidRPr="00A76485">
        <w:rPr>
          <w:rFonts w:ascii="Arial" w:hAnsi="Arial" w:cs="Arial"/>
          <w:sz w:val="16"/>
          <w:szCs w:val="16"/>
          <w:lang w:val="es-CO"/>
        </w:rPr>
        <w:t>Fuente: Elaboración propia con información entidad territorial y CUIPO</w:t>
      </w:r>
    </w:p>
    <w:p w14:paraId="220C1443" w14:textId="77777777" w:rsidR="00B53AC8" w:rsidRPr="00A76485" w:rsidRDefault="00B53AC8" w:rsidP="00492D77">
      <w:pPr>
        <w:jc w:val="both"/>
        <w:rPr>
          <w:rFonts w:ascii="Arial" w:hAnsi="Arial" w:cs="Arial"/>
          <w:sz w:val="22"/>
          <w:szCs w:val="22"/>
          <w:lang w:val="es-CO"/>
        </w:rPr>
      </w:pPr>
    </w:p>
    <w:p w14:paraId="44721A8B"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De tal forma que de manera agregada existe consistencia entre la ejecución presupuestal entregada y los valores reportados por la entidad en CUIPO.</w:t>
      </w:r>
    </w:p>
    <w:p w14:paraId="687115EB" w14:textId="77777777" w:rsidR="00B53AC8" w:rsidRPr="00A76485" w:rsidRDefault="00B53AC8" w:rsidP="00492D77">
      <w:pPr>
        <w:jc w:val="both"/>
        <w:rPr>
          <w:rFonts w:ascii="Arial" w:hAnsi="Arial" w:cs="Arial"/>
          <w:sz w:val="22"/>
          <w:szCs w:val="22"/>
          <w:lang w:val="es-CO"/>
        </w:rPr>
      </w:pPr>
    </w:p>
    <w:p w14:paraId="5562C6E4" w14:textId="77777777" w:rsidR="00B53AC8" w:rsidRPr="00A76485" w:rsidRDefault="00B53AC8" w:rsidP="00492D77">
      <w:pPr>
        <w:ind w:left="360"/>
        <w:jc w:val="both"/>
        <w:rPr>
          <w:rFonts w:ascii="Arial" w:hAnsi="Arial" w:cs="Arial"/>
          <w:b/>
          <w:sz w:val="22"/>
          <w:szCs w:val="22"/>
          <w:lang w:val="es-CO"/>
        </w:rPr>
      </w:pPr>
      <w:r w:rsidRPr="00A76485">
        <w:rPr>
          <w:rFonts w:ascii="Arial" w:hAnsi="Arial" w:cs="Arial"/>
          <w:b/>
          <w:sz w:val="21"/>
          <w:szCs w:val="21"/>
        </w:rPr>
        <w:t xml:space="preserve">2.2. </w:t>
      </w:r>
      <w:r w:rsidRPr="00A76485">
        <w:rPr>
          <w:rFonts w:ascii="Arial" w:hAnsi="Arial" w:cs="Arial"/>
          <w:b/>
          <w:sz w:val="22"/>
          <w:szCs w:val="22"/>
          <w:lang w:val="es-CO"/>
        </w:rPr>
        <w:t xml:space="preserve">Corte </w:t>
      </w:r>
      <w:r w:rsidR="00723A06">
        <w:rPr>
          <w:rFonts w:ascii="Arial" w:hAnsi="Arial" w:cs="Arial"/>
          <w:b/>
          <w:sz w:val="22"/>
          <w:szCs w:val="22"/>
          <w:lang w:val="es-CO"/>
        </w:rPr>
        <w:t>m</w:t>
      </w:r>
      <w:r w:rsidRPr="00A76485">
        <w:rPr>
          <w:rFonts w:ascii="Arial" w:hAnsi="Arial" w:cs="Arial"/>
          <w:b/>
          <w:sz w:val="22"/>
          <w:szCs w:val="22"/>
          <w:lang w:val="es-CO"/>
        </w:rPr>
        <w:t>arzo 2022 y 2023.</w:t>
      </w:r>
    </w:p>
    <w:p w14:paraId="4974EF98" w14:textId="77777777" w:rsidR="00B53AC8" w:rsidRPr="00A76485" w:rsidRDefault="00B53AC8" w:rsidP="00492D77">
      <w:pPr>
        <w:jc w:val="both"/>
        <w:rPr>
          <w:rFonts w:ascii="Arial" w:hAnsi="Arial" w:cs="Arial"/>
          <w:sz w:val="21"/>
          <w:szCs w:val="21"/>
        </w:rPr>
      </w:pPr>
    </w:p>
    <w:p w14:paraId="26188119"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El avance de la ejecución del gasto al primer trimestre se detalla a continuación:</w:t>
      </w:r>
    </w:p>
    <w:p w14:paraId="151D5E9F" w14:textId="77777777" w:rsidR="00B53AC8" w:rsidRPr="00A76485" w:rsidRDefault="00B53AC8" w:rsidP="00492D77">
      <w:pPr>
        <w:contextualSpacing/>
        <w:jc w:val="center"/>
        <w:rPr>
          <w:rFonts w:ascii="Arial" w:hAnsi="Arial" w:cs="Arial"/>
          <w:sz w:val="18"/>
          <w:szCs w:val="18"/>
        </w:rPr>
      </w:pPr>
    </w:p>
    <w:p w14:paraId="22C3B8A1"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8</w:t>
      </w:r>
    </w:p>
    <w:p w14:paraId="498EBB2D" w14:textId="77777777" w:rsidR="00B53AC8" w:rsidRPr="00A76485" w:rsidRDefault="00B53AC8" w:rsidP="00492D77">
      <w:pPr>
        <w:ind w:left="2836" w:firstLine="709"/>
        <w:jc w:val="both"/>
        <w:rPr>
          <w:rFonts w:ascii="Arial" w:hAnsi="Arial" w:cs="Arial"/>
          <w:sz w:val="22"/>
          <w:szCs w:val="22"/>
          <w:lang w:val="es-CO"/>
        </w:rPr>
      </w:pPr>
      <w:r w:rsidRPr="00A76485">
        <w:rPr>
          <w:rFonts w:ascii="Arial" w:hAnsi="Arial" w:cs="Arial"/>
          <w:b/>
          <w:sz w:val="18"/>
          <w:szCs w:val="18"/>
        </w:rPr>
        <w:t>Valores en Millones</w:t>
      </w:r>
    </w:p>
    <w:p w14:paraId="03AF7A27" w14:textId="77777777" w:rsidR="00B53AC8" w:rsidRPr="00A76485" w:rsidRDefault="00B53AC8" w:rsidP="00492D77">
      <w:pPr>
        <w:jc w:val="both"/>
        <w:rPr>
          <w:rFonts w:ascii="Arial" w:hAnsi="Arial" w:cs="Arial"/>
          <w:sz w:val="22"/>
          <w:szCs w:val="22"/>
          <w:lang w:val="es-CO"/>
        </w:rPr>
      </w:pPr>
      <w:r w:rsidRPr="00A76485">
        <w:rPr>
          <w:rFonts w:ascii="Arial" w:hAnsi="Arial" w:cs="Arial"/>
          <w:noProof/>
          <w:lang w:val="es-CO" w:eastAsia="es-CO"/>
        </w:rPr>
        <w:lastRenderedPageBreak/>
        <w:drawing>
          <wp:inline distT="0" distB="0" distL="0" distR="0" wp14:anchorId="29971963" wp14:editId="24B5B84B">
            <wp:extent cx="5610860" cy="1799863"/>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5485" cy="1807762"/>
                    </a:xfrm>
                    <a:prstGeom prst="rect">
                      <a:avLst/>
                    </a:prstGeom>
                    <a:noFill/>
                    <a:ln>
                      <a:noFill/>
                    </a:ln>
                  </pic:spPr>
                </pic:pic>
              </a:graphicData>
            </a:graphic>
          </wp:inline>
        </w:drawing>
      </w:r>
    </w:p>
    <w:p w14:paraId="7DEDE49C" w14:textId="77777777" w:rsidR="00B53AC8" w:rsidRPr="00A76485" w:rsidRDefault="00B53AC8" w:rsidP="00492D77">
      <w:pPr>
        <w:jc w:val="both"/>
        <w:rPr>
          <w:rFonts w:ascii="Arial" w:hAnsi="Arial" w:cs="Arial"/>
          <w:sz w:val="22"/>
          <w:szCs w:val="22"/>
          <w:lang w:val="es-CO"/>
        </w:rPr>
      </w:pPr>
      <w:r w:rsidRPr="00A76485">
        <w:rPr>
          <w:rFonts w:ascii="Arial" w:eastAsia="Times New Roman" w:hAnsi="Arial" w:cs="Arial"/>
          <w:color w:val="000000"/>
          <w:sz w:val="16"/>
          <w:szCs w:val="16"/>
          <w:lang w:val="es-CO" w:eastAsia="es-CO"/>
        </w:rPr>
        <w:t>Fuente: Entidad territorial – Ejecuciones presupuestales</w:t>
      </w:r>
    </w:p>
    <w:p w14:paraId="2A682896" w14:textId="77777777" w:rsidR="00723A06" w:rsidRDefault="00723A06" w:rsidP="00492D77">
      <w:pPr>
        <w:jc w:val="both"/>
        <w:rPr>
          <w:rFonts w:ascii="Arial" w:hAnsi="Arial" w:cs="Arial"/>
          <w:sz w:val="22"/>
          <w:szCs w:val="22"/>
          <w:lang w:val="es-CO"/>
        </w:rPr>
      </w:pPr>
    </w:p>
    <w:p w14:paraId="78E9DC54"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A marzo de 2023 el Distrito de Santa Marta reportó un avance en la ejecución del gasto de 2%, un punto porcentual superior al presentado al mismo trimestre de 2022. Cabe destacar que al corte de marzo tanto de 2022 como de 2023 las subcuentas de régimen subsidiado y prestación de servicios no presentan ejecución, lo anterior debido a que la </w:t>
      </w:r>
      <w:r w:rsidR="007C5936">
        <w:rPr>
          <w:rFonts w:ascii="Arial" w:hAnsi="Arial" w:cs="Arial"/>
          <w:sz w:val="22"/>
          <w:szCs w:val="22"/>
          <w:lang w:val="es-CO"/>
        </w:rPr>
        <w:t>E</w:t>
      </w:r>
      <w:r w:rsidRPr="00A76485">
        <w:rPr>
          <w:rFonts w:ascii="Arial" w:hAnsi="Arial" w:cs="Arial"/>
          <w:sz w:val="22"/>
          <w:szCs w:val="22"/>
          <w:lang w:val="es-CO"/>
        </w:rPr>
        <w:t xml:space="preserve">ntidad hasta el mes de junio expide la resolución de programación de gasto para la cofinanciación del régimen subsidiado </w:t>
      </w:r>
      <w:r w:rsidR="00EF3156" w:rsidRPr="00A76485">
        <w:rPr>
          <w:rFonts w:ascii="Arial" w:hAnsi="Arial" w:cs="Arial"/>
          <w:sz w:val="22"/>
          <w:szCs w:val="22"/>
          <w:lang w:val="es-CO"/>
        </w:rPr>
        <w:t>y no ha ejecutado recursos por concepto de atención a migrantes.</w:t>
      </w:r>
    </w:p>
    <w:p w14:paraId="3EB67A8D" w14:textId="77777777" w:rsidR="00B53AC8" w:rsidRPr="00A76485" w:rsidRDefault="00B53AC8" w:rsidP="00492D77">
      <w:pPr>
        <w:jc w:val="both"/>
        <w:rPr>
          <w:rFonts w:ascii="Arial" w:hAnsi="Arial" w:cs="Arial"/>
          <w:sz w:val="22"/>
          <w:szCs w:val="22"/>
          <w:lang w:val="es-CO"/>
        </w:rPr>
      </w:pPr>
    </w:p>
    <w:p w14:paraId="79884CC2"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La </w:t>
      </w:r>
      <w:r w:rsidR="007C5936">
        <w:rPr>
          <w:rFonts w:ascii="Arial" w:hAnsi="Arial" w:cs="Arial"/>
          <w:sz w:val="22"/>
          <w:szCs w:val="22"/>
          <w:lang w:val="es-CO"/>
        </w:rPr>
        <w:t>E</w:t>
      </w:r>
      <w:r w:rsidRPr="00A76485">
        <w:rPr>
          <w:rFonts w:ascii="Arial" w:hAnsi="Arial" w:cs="Arial"/>
          <w:sz w:val="22"/>
          <w:szCs w:val="22"/>
          <w:lang w:val="es-CO"/>
        </w:rPr>
        <w:t>ntidad entregó archivo en Excel donde informa vigencias expiradas por $850 millones, las cuales no presentaron ejecución en el 2022.</w:t>
      </w:r>
    </w:p>
    <w:p w14:paraId="7CF5B100" w14:textId="77777777" w:rsidR="00B53AC8" w:rsidRPr="00A76485" w:rsidRDefault="00B53AC8" w:rsidP="00492D77">
      <w:pPr>
        <w:jc w:val="both"/>
        <w:rPr>
          <w:rFonts w:ascii="Arial" w:hAnsi="Arial" w:cs="Arial"/>
          <w:sz w:val="22"/>
          <w:szCs w:val="22"/>
          <w:lang w:val="es-CO"/>
        </w:rPr>
      </w:pPr>
    </w:p>
    <w:p w14:paraId="78943705"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Frente a Salud Pública se observó una ejecución del 17%, 25 puntos porcentuales menos que lo ejecutado en la vigencia 2022, esto debido a que la contratación se encuentra en fase de elaboración en este </w:t>
      </w:r>
      <w:r w:rsidR="00EF3156" w:rsidRPr="00A76485">
        <w:rPr>
          <w:rFonts w:ascii="Arial" w:hAnsi="Arial" w:cs="Arial"/>
          <w:sz w:val="22"/>
          <w:szCs w:val="22"/>
          <w:lang w:val="es-CO"/>
        </w:rPr>
        <w:t xml:space="preserve">segundo </w:t>
      </w:r>
      <w:r w:rsidRPr="00A76485">
        <w:rPr>
          <w:rFonts w:ascii="Arial" w:hAnsi="Arial" w:cs="Arial"/>
          <w:sz w:val="22"/>
          <w:szCs w:val="22"/>
          <w:lang w:val="es-CO"/>
        </w:rPr>
        <w:t>trimestre</w:t>
      </w:r>
      <w:r w:rsidR="001F0DF7">
        <w:rPr>
          <w:rFonts w:ascii="Arial" w:hAnsi="Arial" w:cs="Arial"/>
          <w:sz w:val="22"/>
          <w:szCs w:val="22"/>
          <w:lang w:val="es-CO"/>
        </w:rPr>
        <w:t xml:space="preserve">. Dicha situación respecto al plan de intervenciones </w:t>
      </w:r>
      <w:proofErr w:type="gramStart"/>
      <w:r w:rsidR="001F0DF7">
        <w:rPr>
          <w:rFonts w:ascii="Arial" w:hAnsi="Arial" w:cs="Arial"/>
          <w:sz w:val="22"/>
          <w:szCs w:val="22"/>
          <w:lang w:val="es-CO"/>
        </w:rPr>
        <w:t>colectivas</w:t>
      </w:r>
      <w:r w:rsidR="0036039E">
        <w:rPr>
          <w:rFonts w:ascii="Arial" w:hAnsi="Arial" w:cs="Arial"/>
          <w:sz w:val="22"/>
          <w:szCs w:val="22"/>
          <w:lang w:val="es-CO"/>
        </w:rPr>
        <w:t>,</w:t>
      </w:r>
      <w:proofErr w:type="gramEnd"/>
      <w:r w:rsidR="0036039E">
        <w:rPr>
          <w:rFonts w:ascii="Arial" w:hAnsi="Arial" w:cs="Arial"/>
          <w:sz w:val="22"/>
          <w:szCs w:val="22"/>
          <w:lang w:val="es-CO"/>
        </w:rPr>
        <w:t xml:space="preserve"> pondría en riesgo el cumplimiento de la metas </w:t>
      </w:r>
      <w:r w:rsidR="001F0DF7">
        <w:rPr>
          <w:rFonts w:ascii="Arial" w:hAnsi="Arial" w:cs="Arial"/>
          <w:sz w:val="22"/>
          <w:szCs w:val="22"/>
          <w:lang w:val="es-CO"/>
        </w:rPr>
        <w:t xml:space="preserve">e indicadores previstos en el anexo técnico acordado con </w:t>
      </w:r>
      <w:r w:rsidR="0036039E">
        <w:rPr>
          <w:rFonts w:ascii="Arial" w:hAnsi="Arial" w:cs="Arial"/>
          <w:sz w:val="22"/>
          <w:szCs w:val="22"/>
          <w:lang w:val="es-CO"/>
        </w:rPr>
        <w:t>los prestadores de servicios de salud</w:t>
      </w:r>
      <w:r w:rsidR="001F0DF7">
        <w:rPr>
          <w:rFonts w:ascii="Arial" w:hAnsi="Arial" w:cs="Arial"/>
          <w:sz w:val="22"/>
          <w:szCs w:val="22"/>
          <w:lang w:val="es-CO"/>
        </w:rPr>
        <w:t>, que para el caso del Distrito serían</w:t>
      </w:r>
      <w:r w:rsidR="0036039E">
        <w:rPr>
          <w:rFonts w:ascii="Arial" w:hAnsi="Arial" w:cs="Arial"/>
          <w:sz w:val="22"/>
          <w:szCs w:val="22"/>
          <w:lang w:val="es-CO"/>
        </w:rPr>
        <w:t xml:space="preserve"> IPS indígena, E</w:t>
      </w:r>
      <w:r w:rsidR="001F0DF7">
        <w:rPr>
          <w:rFonts w:ascii="Arial" w:hAnsi="Arial" w:cs="Arial"/>
          <w:sz w:val="22"/>
          <w:szCs w:val="22"/>
          <w:lang w:val="es-CO"/>
        </w:rPr>
        <w:t>SE</w:t>
      </w:r>
      <w:r w:rsidR="0036039E">
        <w:rPr>
          <w:rFonts w:ascii="Arial" w:hAnsi="Arial" w:cs="Arial"/>
          <w:sz w:val="22"/>
          <w:szCs w:val="22"/>
          <w:lang w:val="es-CO"/>
        </w:rPr>
        <w:t xml:space="preserve"> y fundaciones</w:t>
      </w:r>
      <w:r w:rsidR="008D21D2">
        <w:rPr>
          <w:rFonts w:ascii="Arial" w:hAnsi="Arial" w:cs="Arial"/>
          <w:sz w:val="22"/>
          <w:szCs w:val="22"/>
          <w:lang w:val="es-CO"/>
        </w:rPr>
        <w:t xml:space="preserve">; y respecto al componente de gestión altera el ejercicio como autoridad sanitaria y por ende, los resultados en salud del territorio. </w:t>
      </w:r>
    </w:p>
    <w:p w14:paraId="690FBBEA" w14:textId="77777777" w:rsidR="00B53AC8" w:rsidRPr="00A76485" w:rsidRDefault="00B53AC8" w:rsidP="00492D77">
      <w:pPr>
        <w:jc w:val="both"/>
        <w:rPr>
          <w:rFonts w:ascii="Arial" w:hAnsi="Arial" w:cs="Arial"/>
          <w:sz w:val="22"/>
          <w:szCs w:val="22"/>
          <w:lang w:val="es-CO"/>
        </w:rPr>
      </w:pPr>
    </w:p>
    <w:p w14:paraId="1BA8FF04"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En cuanto a los Otros gastos en salud, se observa una variación nominal de 428</w:t>
      </w:r>
      <w:r w:rsidR="00E43141" w:rsidRPr="00A76485">
        <w:rPr>
          <w:rFonts w:ascii="Arial" w:hAnsi="Arial" w:cs="Arial"/>
          <w:sz w:val="22"/>
          <w:szCs w:val="22"/>
          <w:lang w:val="es-CO"/>
        </w:rPr>
        <w:t xml:space="preserve"> puntos porcentuales</w:t>
      </w:r>
      <w:r w:rsidRPr="00A76485">
        <w:rPr>
          <w:rFonts w:ascii="Arial" w:hAnsi="Arial" w:cs="Arial"/>
          <w:sz w:val="22"/>
          <w:szCs w:val="22"/>
          <w:lang w:val="es-CO"/>
        </w:rPr>
        <w:t xml:space="preserve">, justificados por los compromisos generados para la adecuación de los centros de salud del </w:t>
      </w:r>
      <w:r w:rsidR="007C5936">
        <w:rPr>
          <w:rFonts w:ascii="Arial" w:hAnsi="Arial" w:cs="Arial"/>
          <w:sz w:val="22"/>
          <w:szCs w:val="22"/>
          <w:lang w:val="es-CO"/>
        </w:rPr>
        <w:t>D</w:t>
      </w:r>
      <w:r w:rsidRPr="00A76485">
        <w:rPr>
          <w:rFonts w:ascii="Arial" w:hAnsi="Arial" w:cs="Arial"/>
          <w:sz w:val="22"/>
          <w:szCs w:val="22"/>
          <w:lang w:val="es-CO"/>
        </w:rPr>
        <w:t>istrito.</w:t>
      </w:r>
    </w:p>
    <w:p w14:paraId="3D4BEB5C" w14:textId="77777777" w:rsidR="00B53AC8" w:rsidRPr="00A76485" w:rsidRDefault="00B53AC8" w:rsidP="00492D77">
      <w:pPr>
        <w:jc w:val="both"/>
        <w:rPr>
          <w:rFonts w:ascii="Arial" w:hAnsi="Arial" w:cs="Arial"/>
          <w:sz w:val="22"/>
          <w:szCs w:val="22"/>
          <w:lang w:val="es-CO"/>
        </w:rPr>
      </w:pPr>
    </w:p>
    <w:p w14:paraId="2490F706"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En conclusión, </w:t>
      </w:r>
      <w:r w:rsidR="00E43141" w:rsidRPr="00A76485">
        <w:rPr>
          <w:rFonts w:ascii="Arial" w:hAnsi="Arial" w:cs="Arial"/>
          <w:sz w:val="22"/>
          <w:szCs w:val="22"/>
          <w:lang w:val="es-CO"/>
        </w:rPr>
        <w:t xml:space="preserve">respecto al componente presupuestal del FLS </w:t>
      </w:r>
      <w:r w:rsidRPr="00A76485">
        <w:rPr>
          <w:rFonts w:ascii="Arial" w:hAnsi="Arial" w:cs="Arial"/>
          <w:sz w:val="22"/>
          <w:szCs w:val="22"/>
          <w:lang w:val="es-CO"/>
        </w:rPr>
        <w:t xml:space="preserve">se destaca que a pesar de que la </w:t>
      </w:r>
      <w:r w:rsidR="009417D7">
        <w:rPr>
          <w:rFonts w:ascii="Arial" w:hAnsi="Arial" w:cs="Arial"/>
          <w:sz w:val="22"/>
          <w:szCs w:val="22"/>
          <w:lang w:val="es-CO"/>
        </w:rPr>
        <w:t>E</w:t>
      </w:r>
      <w:r w:rsidRPr="00A76485">
        <w:rPr>
          <w:rFonts w:ascii="Arial" w:hAnsi="Arial" w:cs="Arial"/>
          <w:sz w:val="22"/>
          <w:szCs w:val="22"/>
          <w:lang w:val="es-CO"/>
        </w:rPr>
        <w:t xml:space="preserve">ntidad de manera agregada registró una ejecución del 96% y 98% en las vigencias 2021 y 2022, en los recursos de salud, al revisar de manera detallada por subcuenta se pudo identificar que la </w:t>
      </w:r>
      <w:r w:rsidR="009417D7">
        <w:rPr>
          <w:rFonts w:ascii="Arial" w:hAnsi="Arial" w:cs="Arial"/>
          <w:sz w:val="22"/>
          <w:szCs w:val="22"/>
          <w:lang w:val="es-CO"/>
        </w:rPr>
        <w:t>E</w:t>
      </w:r>
      <w:r w:rsidRPr="00A76485">
        <w:rPr>
          <w:rFonts w:ascii="Arial" w:hAnsi="Arial" w:cs="Arial"/>
          <w:sz w:val="22"/>
          <w:szCs w:val="22"/>
          <w:lang w:val="es-CO"/>
        </w:rPr>
        <w:t>ntidad en el componente de Salud Pública registró compromisos cercanos al 73% y en la de Otros Gastos en Salud del 48%, demostrando una baja ejecución en cada uno de estos componentes.</w:t>
      </w:r>
    </w:p>
    <w:p w14:paraId="68616969" w14:textId="77777777" w:rsidR="00B53AC8" w:rsidRPr="00A76485" w:rsidRDefault="00B53AC8" w:rsidP="00492D77">
      <w:pPr>
        <w:jc w:val="both"/>
        <w:rPr>
          <w:rFonts w:ascii="Arial" w:hAnsi="Arial" w:cs="Arial"/>
          <w:sz w:val="22"/>
          <w:szCs w:val="22"/>
          <w:lang w:val="es-CO"/>
        </w:rPr>
      </w:pPr>
    </w:p>
    <w:p w14:paraId="7C15BEE0"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De igual forma se destaca la generación de manera recurrente de recursos del balance, producto de la baja ejecución descrita en el párrafo anterior.</w:t>
      </w:r>
    </w:p>
    <w:p w14:paraId="6948A07E" w14:textId="77777777" w:rsidR="00B53AC8" w:rsidRPr="00A76485" w:rsidRDefault="00B53AC8" w:rsidP="00492D77">
      <w:pPr>
        <w:jc w:val="both"/>
        <w:rPr>
          <w:rFonts w:ascii="Arial" w:hAnsi="Arial" w:cs="Arial"/>
          <w:sz w:val="22"/>
          <w:szCs w:val="22"/>
          <w:lang w:val="es-CO"/>
        </w:rPr>
      </w:pPr>
    </w:p>
    <w:p w14:paraId="2241EB33"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Por otro lado, la </w:t>
      </w:r>
      <w:r w:rsidR="009417D7">
        <w:rPr>
          <w:rFonts w:ascii="Arial" w:hAnsi="Arial" w:cs="Arial"/>
          <w:sz w:val="22"/>
          <w:szCs w:val="22"/>
          <w:lang w:val="es-CO"/>
        </w:rPr>
        <w:t>E</w:t>
      </w:r>
      <w:r w:rsidRPr="00A76485">
        <w:rPr>
          <w:rFonts w:ascii="Arial" w:hAnsi="Arial" w:cs="Arial"/>
          <w:sz w:val="22"/>
          <w:szCs w:val="22"/>
          <w:lang w:val="es-CO"/>
        </w:rPr>
        <w:t>ntidad no tiene actualizado el acto administrativo de conformación del fondo local de salud con la normatividad vigente.</w:t>
      </w:r>
    </w:p>
    <w:p w14:paraId="55E8CCCE" w14:textId="77777777" w:rsidR="00B53AC8" w:rsidRPr="00A76485" w:rsidRDefault="00B53AC8" w:rsidP="00492D77">
      <w:pPr>
        <w:jc w:val="both"/>
        <w:rPr>
          <w:rFonts w:ascii="Arial" w:hAnsi="Arial" w:cs="Arial"/>
          <w:sz w:val="22"/>
          <w:szCs w:val="22"/>
          <w:lang w:val="es-CO"/>
        </w:rPr>
      </w:pPr>
    </w:p>
    <w:p w14:paraId="5F05ED66" w14:textId="77777777" w:rsidR="00B53AC8" w:rsidRPr="00A76485" w:rsidRDefault="00B53AC8" w:rsidP="00492D77">
      <w:pPr>
        <w:pStyle w:val="Prrafodelista"/>
        <w:numPr>
          <w:ilvl w:val="0"/>
          <w:numId w:val="7"/>
        </w:numPr>
        <w:jc w:val="both"/>
        <w:rPr>
          <w:rFonts w:ascii="Arial" w:hAnsi="Arial" w:cs="Arial"/>
          <w:sz w:val="22"/>
          <w:szCs w:val="22"/>
          <w:lang w:val="es-CO"/>
        </w:rPr>
      </w:pPr>
      <w:r w:rsidRPr="00A76485">
        <w:rPr>
          <w:rFonts w:ascii="Arial" w:eastAsia="Times New Roman" w:hAnsi="Arial" w:cs="Arial"/>
          <w:b/>
          <w:sz w:val="21"/>
          <w:szCs w:val="21"/>
        </w:rPr>
        <w:t>Cierre fiscal y de tesorería</w:t>
      </w:r>
    </w:p>
    <w:p w14:paraId="017157D9" w14:textId="77777777" w:rsidR="00B53AC8" w:rsidRPr="00A76485" w:rsidRDefault="00B53AC8" w:rsidP="00492D77">
      <w:pPr>
        <w:jc w:val="both"/>
        <w:rPr>
          <w:rFonts w:ascii="Arial" w:hAnsi="Arial" w:cs="Arial"/>
          <w:sz w:val="22"/>
          <w:szCs w:val="22"/>
          <w:lang w:val="es-CO"/>
        </w:rPr>
      </w:pPr>
    </w:p>
    <w:p w14:paraId="7443C19F" w14:textId="77777777" w:rsidR="00B53AC8" w:rsidRPr="00A76485" w:rsidRDefault="00B53AC8" w:rsidP="00492D77">
      <w:pPr>
        <w:jc w:val="both"/>
        <w:rPr>
          <w:rFonts w:ascii="Arial" w:hAnsi="Arial" w:cs="Arial"/>
          <w:sz w:val="22"/>
          <w:szCs w:val="22"/>
          <w:lang w:val="es-CO"/>
        </w:rPr>
      </w:pPr>
      <w:r w:rsidRPr="00A76485">
        <w:rPr>
          <w:rFonts w:ascii="Arial" w:hAnsi="Arial" w:cs="Arial"/>
          <w:sz w:val="21"/>
          <w:szCs w:val="21"/>
        </w:rPr>
        <w:t>De acuerdo con lo expuesto, el cierre presupuestal y de tesorería del Fondo Local de Salud para la vigencia 2022 mostró lo siguiente</w:t>
      </w:r>
    </w:p>
    <w:p w14:paraId="6667EDE4" w14:textId="77777777" w:rsidR="00B53AC8" w:rsidRPr="00A76485" w:rsidRDefault="00B53AC8" w:rsidP="00492D77">
      <w:pPr>
        <w:contextualSpacing/>
        <w:jc w:val="center"/>
        <w:rPr>
          <w:rFonts w:ascii="Arial" w:hAnsi="Arial" w:cs="Arial"/>
          <w:b/>
          <w:sz w:val="20"/>
          <w:szCs w:val="20"/>
        </w:rPr>
      </w:pPr>
      <w:r w:rsidRPr="00A76485">
        <w:rPr>
          <w:rFonts w:ascii="Arial" w:hAnsi="Arial" w:cs="Arial"/>
          <w:b/>
          <w:sz w:val="20"/>
          <w:szCs w:val="20"/>
        </w:rPr>
        <w:t>Tabla No 9</w:t>
      </w:r>
    </w:p>
    <w:p w14:paraId="3C1E363F" w14:textId="77777777" w:rsidR="00B53AC8" w:rsidRPr="00A76485" w:rsidRDefault="00B53AC8" w:rsidP="00492D77">
      <w:pPr>
        <w:contextualSpacing/>
        <w:jc w:val="center"/>
        <w:rPr>
          <w:rFonts w:ascii="Arial" w:hAnsi="Arial" w:cs="Arial"/>
          <w:b/>
          <w:sz w:val="18"/>
          <w:szCs w:val="18"/>
        </w:rPr>
      </w:pPr>
      <w:r w:rsidRPr="00A76485">
        <w:rPr>
          <w:rFonts w:ascii="Arial" w:eastAsia="Times New Roman" w:hAnsi="Arial" w:cs="Arial"/>
          <w:b/>
          <w:color w:val="000000"/>
          <w:sz w:val="18"/>
          <w:szCs w:val="18"/>
          <w:lang w:val="es-CO" w:eastAsia="es-CO"/>
        </w:rPr>
        <w:t>Cifras en Millones</w:t>
      </w:r>
    </w:p>
    <w:p w14:paraId="6E13D05F" w14:textId="77777777" w:rsidR="00B53AC8" w:rsidRPr="00A76485" w:rsidRDefault="00B53AC8" w:rsidP="00492D77">
      <w:pPr>
        <w:jc w:val="center"/>
        <w:rPr>
          <w:rFonts w:ascii="Arial" w:hAnsi="Arial" w:cs="Arial"/>
          <w:sz w:val="18"/>
          <w:szCs w:val="18"/>
          <w:lang w:val="es-CO"/>
        </w:rPr>
      </w:pPr>
      <w:r w:rsidRPr="00A76485">
        <w:rPr>
          <w:rFonts w:ascii="Arial" w:hAnsi="Arial" w:cs="Arial"/>
          <w:noProof/>
          <w:lang w:val="es-CO" w:eastAsia="es-CO"/>
        </w:rPr>
        <w:drawing>
          <wp:inline distT="0" distB="0" distL="0" distR="0" wp14:anchorId="6A6BDA1A" wp14:editId="469B14E0">
            <wp:extent cx="4255038" cy="1649392"/>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5923" cy="1661364"/>
                    </a:xfrm>
                    <a:prstGeom prst="rect">
                      <a:avLst/>
                    </a:prstGeom>
                    <a:noFill/>
                    <a:ln>
                      <a:noFill/>
                    </a:ln>
                  </pic:spPr>
                </pic:pic>
              </a:graphicData>
            </a:graphic>
          </wp:inline>
        </w:drawing>
      </w:r>
    </w:p>
    <w:p w14:paraId="092DC347" w14:textId="77777777" w:rsidR="00B53AC8" w:rsidRPr="00A76485" w:rsidRDefault="00B53AC8" w:rsidP="00492D77">
      <w:pPr>
        <w:ind w:left="709"/>
        <w:jc w:val="both"/>
        <w:rPr>
          <w:rFonts w:ascii="Arial" w:hAnsi="Arial" w:cs="Arial"/>
          <w:sz w:val="16"/>
          <w:szCs w:val="16"/>
          <w:lang w:val="es-CO"/>
        </w:rPr>
      </w:pPr>
      <w:r w:rsidRPr="00A76485">
        <w:rPr>
          <w:rFonts w:ascii="Arial" w:hAnsi="Arial" w:cs="Arial"/>
          <w:sz w:val="18"/>
          <w:szCs w:val="18"/>
          <w:lang w:val="es-CO"/>
        </w:rPr>
        <w:t xml:space="preserve">       </w:t>
      </w:r>
      <w:r w:rsidRPr="00A76485">
        <w:rPr>
          <w:rFonts w:ascii="Arial" w:hAnsi="Arial" w:cs="Arial"/>
          <w:sz w:val="16"/>
          <w:szCs w:val="16"/>
          <w:lang w:val="es-CO"/>
        </w:rPr>
        <w:t>Fuente: Ejecuciones entidad territorial</w:t>
      </w:r>
    </w:p>
    <w:p w14:paraId="3BA92A86" w14:textId="77777777" w:rsidR="009417D7" w:rsidRDefault="009417D7" w:rsidP="00492D77">
      <w:pPr>
        <w:contextualSpacing/>
        <w:jc w:val="both"/>
        <w:rPr>
          <w:rFonts w:ascii="Arial" w:hAnsi="Arial" w:cs="Arial"/>
          <w:sz w:val="22"/>
          <w:szCs w:val="22"/>
          <w:lang w:val="es-CO"/>
        </w:rPr>
      </w:pPr>
    </w:p>
    <w:p w14:paraId="63D12534" w14:textId="77777777" w:rsidR="00B53AC8" w:rsidRPr="00A76485" w:rsidRDefault="00B53AC8" w:rsidP="00492D77">
      <w:pPr>
        <w:contextualSpacing/>
        <w:jc w:val="both"/>
        <w:rPr>
          <w:rFonts w:ascii="Arial" w:hAnsi="Arial" w:cs="Arial"/>
          <w:sz w:val="22"/>
          <w:szCs w:val="22"/>
          <w:lang w:val="es-CO"/>
        </w:rPr>
      </w:pPr>
      <w:r w:rsidRPr="00A76485">
        <w:rPr>
          <w:rFonts w:ascii="Arial" w:hAnsi="Arial" w:cs="Arial"/>
          <w:sz w:val="22"/>
          <w:szCs w:val="22"/>
          <w:lang w:val="es-CO"/>
        </w:rPr>
        <w:t xml:space="preserve">Frente al cierre fiscal y de tesorería </w:t>
      </w:r>
      <w:r w:rsidR="00EF3156" w:rsidRPr="00A76485">
        <w:rPr>
          <w:rFonts w:ascii="Arial" w:hAnsi="Arial" w:cs="Arial"/>
          <w:sz w:val="22"/>
          <w:szCs w:val="22"/>
          <w:lang w:val="es-CO"/>
        </w:rPr>
        <w:t xml:space="preserve">de la vigencia 2022, </w:t>
      </w:r>
      <w:r w:rsidRPr="00A76485">
        <w:rPr>
          <w:rFonts w:ascii="Arial" w:hAnsi="Arial" w:cs="Arial"/>
          <w:sz w:val="22"/>
          <w:szCs w:val="22"/>
          <w:lang w:val="es-CO"/>
        </w:rPr>
        <w:t xml:space="preserve">se presentó un resultado Superavitario para la </w:t>
      </w:r>
      <w:r w:rsidR="009417D7">
        <w:rPr>
          <w:rFonts w:ascii="Arial" w:hAnsi="Arial" w:cs="Arial"/>
          <w:sz w:val="22"/>
          <w:szCs w:val="22"/>
          <w:lang w:val="es-CO"/>
        </w:rPr>
        <w:t>E</w:t>
      </w:r>
      <w:r w:rsidRPr="00A76485">
        <w:rPr>
          <w:rFonts w:ascii="Arial" w:hAnsi="Arial" w:cs="Arial"/>
          <w:sz w:val="22"/>
          <w:szCs w:val="22"/>
          <w:lang w:val="es-CO"/>
        </w:rPr>
        <w:t xml:space="preserve">ntidad de $7.970 millones, debiendo constituir reservas por $2.046 millones y cuentas por pagar por $ 1.058 millones y un saldo </w:t>
      </w:r>
      <w:r w:rsidR="00375763">
        <w:rPr>
          <w:rFonts w:ascii="Arial" w:hAnsi="Arial" w:cs="Arial"/>
          <w:sz w:val="22"/>
          <w:szCs w:val="22"/>
          <w:lang w:val="es-CO"/>
        </w:rPr>
        <w:t xml:space="preserve">mínimo </w:t>
      </w:r>
      <w:r w:rsidRPr="00A76485">
        <w:rPr>
          <w:rFonts w:ascii="Arial" w:hAnsi="Arial" w:cs="Arial"/>
          <w:sz w:val="22"/>
          <w:szCs w:val="22"/>
          <w:lang w:val="es-CO"/>
        </w:rPr>
        <w:t xml:space="preserve">en </w:t>
      </w:r>
      <w:proofErr w:type="gramStart"/>
      <w:r w:rsidRPr="00A76485">
        <w:rPr>
          <w:rFonts w:ascii="Arial" w:hAnsi="Arial" w:cs="Arial"/>
          <w:sz w:val="22"/>
          <w:szCs w:val="22"/>
          <w:lang w:val="es-CO"/>
        </w:rPr>
        <w:t>caja</w:t>
      </w:r>
      <w:proofErr w:type="gramEnd"/>
      <w:r w:rsidRPr="00A76485">
        <w:rPr>
          <w:rFonts w:ascii="Arial" w:hAnsi="Arial" w:cs="Arial"/>
          <w:sz w:val="22"/>
          <w:szCs w:val="22"/>
          <w:lang w:val="es-CO"/>
        </w:rPr>
        <w:t xml:space="preserve"> de $11.074 millones.</w:t>
      </w:r>
      <w:r w:rsidR="00606514" w:rsidRPr="00A76485">
        <w:rPr>
          <w:rFonts w:ascii="Arial" w:hAnsi="Arial" w:cs="Arial"/>
          <w:sz w:val="22"/>
          <w:szCs w:val="22"/>
          <w:lang w:val="es-CO"/>
        </w:rPr>
        <w:t xml:space="preserve"> </w:t>
      </w:r>
      <w:r w:rsidR="00EF3156" w:rsidRPr="00A76485">
        <w:rPr>
          <w:rFonts w:ascii="Arial" w:hAnsi="Arial" w:cs="Arial"/>
          <w:sz w:val="22"/>
          <w:szCs w:val="22"/>
          <w:lang w:val="es-CO"/>
        </w:rPr>
        <w:t>Respecto a lo anterior</w:t>
      </w:r>
      <w:r w:rsidR="00606514" w:rsidRPr="00A76485">
        <w:rPr>
          <w:rFonts w:ascii="Arial" w:hAnsi="Arial" w:cs="Arial"/>
          <w:sz w:val="22"/>
          <w:szCs w:val="22"/>
          <w:lang w:val="es-CO"/>
        </w:rPr>
        <w:t xml:space="preserve">, la </w:t>
      </w:r>
      <w:r w:rsidR="009417D7">
        <w:rPr>
          <w:rFonts w:ascii="Arial" w:hAnsi="Arial" w:cs="Arial"/>
          <w:sz w:val="22"/>
          <w:szCs w:val="22"/>
          <w:lang w:val="es-CO"/>
        </w:rPr>
        <w:t>E</w:t>
      </w:r>
      <w:r w:rsidR="00606514" w:rsidRPr="00A76485">
        <w:rPr>
          <w:rFonts w:ascii="Arial" w:hAnsi="Arial" w:cs="Arial"/>
          <w:sz w:val="22"/>
          <w:szCs w:val="22"/>
          <w:lang w:val="es-CO"/>
        </w:rPr>
        <w:t xml:space="preserve">ntidad </w:t>
      </w:r>
      <w:r w:rsidR="009417D7">
        <w:rPr>
          <w:rFonts w:ascii="Arial" w:hAnsi="Arial" w:cs="Arial"/>
          <w:sz w:val="22"/>
          <w:szCs w:val="22"/>
          <w:lang w:val="es-CO"/>
        </w:rPr>
        <w:t>T</w:t>
      </w:r>
      <w:r w:rsidR="00EF3156" w:rsidRPr="00A76485">
        <w:rPr>
          <w:rFonts w:ascii="Arial" w:hAnsi="Arial" w:cs="Arial"/>
          <w:sz w:val="22"/>
          <w:szCs w:val="22"/>
          <w:lang w:val="es-CO"/>
        </w:rPr>
        <w:t>erritorial presentó</w:t>
      </w:r>
      <w:r w:rsidRPr="00A76485">
        <w:rPr>
          <w:rFonts w:ascii="Arial" w:hAnsi="Arial" w:cs="Arial"/>
          <w:sz w:val="22"/>
          <w:szCs w:val="22"/>
          <w:lang w:val="es-CO"/>
        </w:rPr>
        <w:t xml:space="preserve"> el </w:t>
      </w:r>
      <w:r w:rsidR="009417D7">
        <w:rPr>
          <w:rFonts w:ascii="Arial" w:hAnsi="Arial" w:cs="Arial"/>
          <w:sz w:val="22"/>
          <w:szCs w:val="22"/>
          <w:lang w:val="es-CO"/>
        </w:rPr>
        <w:t>D</w:t>
      </w:r>
      <w:r w:rsidRPr="00A76485">
        <w:rPr>
          <w:rFonts w:ascii="Arial" w:hAnsi="Arial" w:cs="Arial"/>
          <w:sz w:val="22"/>
          <w:szCs w:val="22"/>
          <w:lang w:val="es-CO"/>
        </w:rPr>
        <w:t xml:space="preserve">ecreto 031 del 10 de enero de 2023, </w:t>
      </w:r>
      <w:r w:rsidR="00EF3156" w:rsidRPr="00A76485">
        <w:rPr>
          <w:rFonts w:ascii="Arial" w:hAnsi="Arial" w:cs="Arial"/>
          <w:sz w:val="22"/>
          <w:szCs w:val="22"/>
          <w:lang w:val="es-CO"/>
        </w:rPr>
        <w:t>el cual contiene tanto</w:t>
      </w:r>
      <w:r w:rsidRPr="00A76485">
        <w:rPr>
          <w:rFonts w:ascii="Arial" w:hAnsi="Arial" w:cs="Arial"/>
          <w:sz w:val="22"/>
          <w:szCs w:val="22"/>
          <w:lang w:val="es-CO"/>
        </w:rPr>
        <w:t xml:space="preserve"> las reservas como las cuentas por pagar de manera agregada a la administración central,</w:t>
      </w:r>
      <w:r w:rsidR="00606514" w:rsidRPr="00A76485">
        <w:rPr>
          <w:rFonts w:ascii="Arial" w:hAnsi="Arial" w:cs="Arial"/>
          <w:sz w:val="22"/>
          <w:szCs w:val="22"/>
          <w:lang w:val="es-CO"/>
        </w:rPr>
        <w:t xml:space="preserve"> situación que impide la identificación de las correspondientes al sector salud.</w:t>
      </w:r>
      <w:r w:rsidRPr="00A76485">
        <w:rPr>
          <w:rFonts w:ascii="Arial" w:hAnsi="Arial" w:cs="Arial"/>
          <w:sz w:val="22"/>
          <w:szCs w:val="22"/>
          <w:lang w:val="es-CO"/>
        </w:rPr>
        <w:t xml:space="preserve"> Sin embargo, la </w:t>
      </w:r>
      <w:r w:rsidR="009417D7">
        <w:rPr>
          <w:rFonts w:ascii="Arial" w:hAnsi="Arial" w:cs="Arial"/>
          <w:sz w:val="22"/>
          <w:szCs w:val="22"/>
          <w:lang w:val="es-CO"/>
        </w:rPr>
        <w:t>E</w:t>
      </w:r>
      <w:r w:rsidRPr="00A76485">
        <w:rPr>
          <w:rFonts w:ascii="Arial" w:hAnsi="Arial" w:cs="Arial"/>
          <w:sz w:val="22"/>
          <w:szCs w:val="22"/>
          <w:lang w:val="es-CO"/>
        </w:rPr>
        <w:t xml:space="preserve">ntidad envío documento en Excel </w:t>
      </w:r>
      <w:r w:rsidR="00606514" w:rsidRPr="00A76485">
        <w:rPr>
          <w:rFonts w:ascii="Arial" w:hAnsi="Arial" w:cs="Arial"/>
          <w:sz w:val="22"/>
          <w:szCs w:val="22"/>
          <w:lang w:val="es-CO"/>
        </w:rPr>
        <w:t>en el cual relaciona un valor de $2.228 millones</w:t>
      </w:r>
      <w:r w:rsidR="00782AB5" w:rsidRPr="00A76485">
        <w:rPr>
          <w:rFonts w:ascii="Arial" w:hAnsi="Arial" w:cs="Arial"/>
          <w:sz w:val="22"/>
          <w:szCs w:val="22"/>
          <w:lang w:val="es-CO"/>
        </w:rPr>
        <w:t xml:space="preserve"> </w:t>
      </w:r>
      <w:r w:rsidR="00606514" w:rsidRPr="00A76485">
        <w:rPr>
          <w:rFonts w:ascii="Arial" w:hAnsi="Arial" w:cs="Arial"/>
          <w:sz w:val="22"/>
          <w:szCs w:val="22"/>
          <w:lang w:val="es-CO"/>
        </w:rPr>
        <w:t>de</w:t>
      </w:r>
      <w:r w:rsidR="00782AB5" w:rsidRPr="00A76485">
        <w:rPr>
          <w:rFonts w:ascii="Arial" w:hAnsi="Arial" w:cs="Arial"/>
          <w:sz w:val="22"/>
          <w:szCs w:val="22"/>
          <w:lang w:val="es-CO"/>
        </w:rPr>
        <w:t xml:space="preserve"> </w:t>
      </w:r>
      <w:r w:rsidRPr="00A76485">
        <w:rPr>
          <w:rFonts w:ascii="Arial" w:hAnsi="Arial" w:cs="Arial"/>
          <w:sz w:val="22"/>
          <w:szCs w:val="22"/>
          <w:lang w:val="es-CO"/>
        </w:rPr>
        <w:t>reservas de 2022, constituidas en 2023</w:t>
      </w:r>
      <w:r w:rsidR="00606514" w:rsidRPr="00A76485">
        <w:rPr>
          <w:rFonts w:ascii="Arial" w:hAnsi="Arial" w:cs="Arial"/>
          <w:sz w:val="22"/>
          <w:szCs w:val="22"/>
          <w:lang w:val="es-CO"/>
        </w:rPr>
        <w:t xml:space="preserve">, mostrando una diferencia de </w:t>
      </w:r>
      <w:r w:rsidRPr="00A76485">
        <w:rPr>
          <w:rFonts w:ascii="Arial" w:hAnsi="Arial" w:cs="Arial"/>
          <w:sz w:val="22"/>
          <w:szCs w:val="22"/>
          <w:lang w:val="es-CO"/>
        </w:rPr>
        <w:t>$182 millones</w:t>
      </w:r>
      <w:r w:rsidR="00606514" w:rsidRPr="00A76485">
        <w:rPr>
          <w:rFonts w:ascii="Arial" w:hAnsi="Arial" w:cs="Arial"/>
          <w:sz w:val="22"/>
          <w:szCs w:val="22"/>
          <w:lang w:val="es-CO"/>
        </w:rPr>
        <w:t xml:space="preserve"> respecto a lo evidenciado en la tabla anterior.</w:t>
      </w:r>
      <w:r w:rsidRPr="00A76485">
        <w:rPr>
          <w:rFonts w:ascii="Arial" w:hAnsi="Arial" w:cs="Arial"/>
          <w:sz w:val="22"/>
          <w:szCs w:val="22"/>
          <w:lang w:val="es-CO"/>
        </w:rPr>
        <w:t xml:space="preserve"> Ahora, en el caso de las cuentas por pagar </w:t>
      </w:r>
      <w:r w:rsidR="00782AB5" w:rsidRPr="00A76485">
        <w:rPr>
          <w:rFonts w:ascii="Arial" w:hAnsi="Arial" w:cs="Arial"/>
          <w:sz w:val="22"/>
          <w:szCs w:val="22"/>
          <w:lang w:val="es-CO"/>
        </w:rPr>
        <w:t xml:space="preserve">la información suministrada por </w:t>
      </w:r>
      <w:r w:rsidR="009417D7">
        <w:rPr>
          <w:rFonts w:ascii="Arial" w:hAnsi="Arial" w:cs="Arial"/>
          <w:sz w:val="22"/>
          <w:szCs w:val="22"/>
          <w:lang w:val="es-CO"/>
        </w:rPr>
        <w:t>el Distrito</w:t>
      </w:r>
      <w:r w:rsidRPr="00A76485">
        <w:rPr>
          <w:rFonts w:ascii="Arial" w:hAnsi="Arial" w:cs="Arial"/>
          <w:sz w:val="22"/>
          <w:szCs w:val="22"/>
          <w:lang w:val="es-CO"/>
        </w:rPr>
        <w:t>, es consiste con el resultado generado en la tabla No 5.</w:t>
      </w:r>
      <w:r w:rsidRPr="00A76485">
        <w:rPr>
          <w:rFonts w:ascii="Arial" w:hAnsi="Arial" w:cs="Arial"/>
          <w:sz w:val="21"/>
          <w:szCs w:val="21"/>
        </w:rPr>
        <w:t xml:space="preserve"> </w:t>
      </w:r>
    </w:p>
    <w:p w14:paraId="698D2384" w14:textId="77777777" w:rsidR="00B53AC8" w:rsidRPr="00A76485" w:rsidRDefault="00B53AC8" w:rsidP="00492D77">
      <w:pPr>
        <w:contextualSpacing/>
        <w:jc w:val="both"/>
        <w:rPr>
          <w:rFonts w:ascii="Arial" w:hAnsi="Arial" w:cs="Arial"/>
          <w:sz w:val="21"/>
          <w:szCs w:val="21"/>
        </w:rPr>
      </w:pPr>
    </w:p>
    <w:p w14:paraId="669860CF" w14:textId="77777777" w:rsidR="00B53AC8" w:rsidRPr="00A76485" w:rsidRDefault="009417D7" w:rsidP="00492D77">
      <w:pPr>
        <w:contextualSpacing/>
        <w:jc w:val="both"/>
        <w:rPr>
          <w:rFonts w:ascii="Arial" w:hAnsi="Arial" w:cs="Arial"/>
          <w:sz w:val="21"/>
          <w:szCs w:val="21"/>
        </w:rPr>
      </w:pPr>
      <w:r>
        <w:rPr>
          <w:rFonts w:ascii="Arial" w:hAnsi="Arial" w:cs="Arial"/>
          <w:sz w:val="21"/>
          <w:szCs w:val="21"/>
        </w:rPr>
        <w:t>En relación con</w:t>
      </w:r>
      <w:r w:rsidR="00B53AC8" w:rsidRPr="00A76485">
        <w:rPr>
          <w:rFonts w:ascii="Arial" w:hAnsi="Arial" w:cs="Arial"/>
          <w:sz w:val="21"/>
          <w:szCs w:val="21"/>
        </w:rPr>
        <w:t xml:space="preserve"> la constitución de reservas presupuestales, cabe precisar que las mismas deben constituirse sobre aquellos compromisos contenidos en el presupuesto que se programaron y contrataron para ser ejecutados en su totalidad; es decir, para recibir los bienes a satisfacción durante la vigencia en que fueron contratados y que por alguna circunstancia excepcional no se cumplió con ese plazo.</w:t>
      </w:r>
    </w:p>
    <w:p w14:paraId="7EC6C794" w14:textId="77777777" w:rsidR="00B53AC8" w:rsidRPr="00A76485" w:rsidRDefault="00B53AC8" w:rsidP="00492D77">
      <w:pPr>
        <w:contextualSpacing/>
        <w:jc w:val="both"/>
        <w:rPr>
          <w:rFonts w:ascii="Arial" w:hAnsi="Arial" w:cs="Arial"/>
          <w:sz w:val="21"/>
          <w:szCs w:val="21"/>
        </w:rPr>
      </w:pPr>
    </w:p>
    <w:p w14:paraId="2AE36590"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En cuanto </w:t>
      </w:r>
      <w:r w:rsidR="00782AB5" w:rsidRPr="00A76485">
        <w:rPr>
          <w:rFonts w:ascii="Arial" w:hAnsi="Arial" w:cs="Arial"/>
          <w:sz w:val="22"/>
          <w:szCs w:val="22"/>
          <w:lang w:val="es-CO"/>
        </w:rPr>
        <w:t xml:space="preserve">al </w:t>
      </w:r>
      <w:r w:rsidRPr="00A76485">
        <w:rPr>
          <w:rFonts w:ascii="Arial" w:hAnsi="Arial" w:cs="Arial"/>
          <w:sz w:val="22"/>
          <w:szCs w:val="22"/>
          <w:lang w:val="es-CO"/>
        </w:rPr>
        <w:t>saldo mínimo en caja ($11.074 millones)</w:t>
      </w:r>
      <w:r w:rsidR="00782AB5" w:rsidRPr="00A76485">
        <w:rPr>
          <w:rFonts w:ascii="Arial" w:hAnsi="Arial" w:cs="Arial"/>
          <w:sz w:val="22"/>
          <w:szCs w:val="22"/>
          <w:lang w:val="es-CO"/>
        </w:rPr>
        <w:t xml:space="preserve"> se evidencia una diferencia de </w:t>
      </w:r>
      <w:r w:rsidRPr="00A76485">
        <w:rPr>
          <w:rFonts w:ascii="Arial" w:hAnsi="Arial" w:cs="Arial"/>
          <w:sz w:val="22"/>
          <w:szCs w:val="22"/>
          <w:lang w:val="es-CO"/>
        </w:rPr>
        <w:t>$2.819 millones,</w:t>
      </w:r>
      <w:r w:rsidR="00782AB5" w:rsidRPr="00A76485">
        <w:rPr>
          <w:rFonts w:ascii="Arial" w:hAnsi="Arial" w:cs="Arial"/>
          <w:sz w:val="22"/>
          <w:szCs w:val="22"/>
          <w:lang w:val="es-CO"/>
        </w:rPr>
        <w:t xml:space="preserve"> respecto al saldo de las cuentas maestras y otras cuentas ($6.387 millones y $1.868 millones) reportado en el cierre de tesorería de la </w:t>
      </w:r>
      <w:r w:rsidR="009417D7">
        <w:rPr>
          <w:rFonts w:ascii="Arial" w:hAnsi="Arial" w:cs="Arial"/>
          <w:sz w:val="22"/>
          <w:szCs w:val="22"/>
          <w:lang w:val="es-CO"/>
        </w:rPr>
        <w:t>E</w:t>
      </w:r>
      <w:r w:rsidR="00782AB5" w:rsidRPr="00A76485">
        <w:rPr>
          <w:rFonts w:ascii="Arial" w:hAnsi="Arial" w:cs="Arial"/>
          <w:sz w:val="22"/>
          <w:szCs w:val="22"/>
          <w:lang w:val="es-CO"/>
        </w:rPr>
        <w:t xml:space="preserve">ntidad </w:t>
      </w:r>
      <w:r w:rsidR="009417D7">
        <w:rPr>
          <w:rFonts w:ascii="Arial" w:hAnsi="Arial" w:cs="Arial"/>
          <w:sz w:val="22"/>
          <w:szCs w:val="22"/>
          <w:lang w:val="es-CO"/>
        </w:rPr>
        <w:t>T</w:t>
      </w:r>
      <w:r w:rsidR="00782AB5" w:rsidRPr="00A76485">
        <w:rPr>
          <w:rFonts w:ascii="Arial" w:hAnsi="Arial" w:cs="Arial"/>
          <w:sz w:val="22"/>
          <w:szCs w:val="22"/>
          <w:lang w:val="es-CO"/>
        </w:rPr>
        <w:t xml:space="preserve">erritorial, </w:t>
      </w:r>
      <w:r w:rsidRPr="00A76485">
        <w:rPr>
          <w:rFonts w:ascii="Arial" w:hAnsi="Arial" w:cs="Arial"/>
          <w:sz w:val="22"/>
          <w:szCs w:val="22"/>
          <w:lang w:val="es-CO"/>
        </w:rPr>
        <w:t xml:space="preserve"> la cual fue justificada por los recursos existentes en la cuenta maestra de Propósito General Libre inversión en la que se tuvo un saldo al cierre de 2022 de $2.004 millones, más los recursos sin situación de fondos por el valor restante</w:t>
      </w:r>
      <w:r w:rsidR="00782AB5" w:rsidRPr="00A76485">
        <w:rPr>
          <w:rFonts w:ascii="Arial" w:hAnsi="Arial" w:cs="Arial"/>
          <w:sz w:val="22"/>
          <w:szCs w:val="22"/>
          <w:lang w:val="es-CO"/>
        </w:rPr>
        <w:t xml:space="preserve"> ($815 millones)</w:t>
      </w:r>
      <w:r w:rsidRPr="00A76485">
        <w:rPr>
          <w:rFonts w:ascii="Arial" w:hAnsi="Arial" w:cs="Arial"/>
          <w:sz w:val="22"/>
          <w:szCs w:val="22"/>
          <w:lang w:val="es-CO"/>
        </w:rPr>
        <w:t>.</w:t>
      </w:r>
    </w:p>
    <w:p w14:paraId="70BC1542" w14:textId="77777777" w:rsidR="00B53AC8" w:rsidRPr="00A76485" w:rsidRDefault="00B53AC8" w:rsidP="00492D77">
      <w:pPr>
        <w:jc w:val="both"/>
        <w:rPr>
          <w:rFonts w:ascii="Arial" w:hAnsi="Arial" w:cs="Arial"/>
          <w:sz w:val="22"/>
          <w:szCs w:val="22"/>
          <w:lang w:val="es-CO"/>
        </w:rPr>
      </w:pPr>
    </w:p>
    <w:p w14:paraId="7A887DE8"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Al revisar los extractos del cierre de vigencia 2022 con el formato de tesorería requerido se encontró consistencia en los valores reportados.</w:t>
      </w:r>
    </w:p>
    <w:p w14:paraId="61533413" w14:textId="77777777" w:rsidR="00B53AC8" w:rsidRPr="00A76485" w:rsidRDefault="00B53AC8" w:rsidP="00492D77">
      <w:pPr>
        <w:jc w:val="both"/>
        <w:rPr>
          <w:rFonts w:ascii="Arial" w:hAnsi="Arial" w:cs="Arial"/>
          <w:sz w:val="22"/>
          <w:szCs w:val="22"/>
          <w:lang w:val="es-CO"/>
        </w:rPr>
      </w:pPr>
    </w:p>
    <w:p w14:paraId="5001B46A"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lastRenderedPageBreak/>
        <w:t xml:space="preserve">De otro lado, </w:t>
      </w:r>
      <w:r w:rsidR="009417D7">
        <w:rPr>
          <w:rFonts w:ascii="Arial" w:hAnsi="Arial" w:cs="Arial"/>
          <w:sz w:val="21"/>
          <w:szCs w:val="21"/>
        </w:rPr>
        <w:t>s</w:t>
      </w:r>
      <w:r w:rsidRPr="00A76485">
        <w:rPr>
          <w:rFonts w:ascii="Arial" w:hAnsi="Arial" w:cs="Arial"/>
          <w:sz w:val="21"/>
          <w:szCs w:val="21"/>
        </w:rPr>
        <w:t>egún el reporte de la Categoría Tesorería Fondo Salud del FUT al cierre de la vigencia 2022, la Entidad Territorial contaba con saldos en las Cuentas Maestras de Salud y otras cuentas de $6.315 millones, como se evidencia en la siguiente tabla:</w:t>
      </w:r>
    </w:p>
    <w:p w14:paraId="6C73157B" w14:textId="77777777" w:rsidR="009417D7" w:rsidRPr="00A76485" w:rsidRDefault="009417D7" w:rsidP="00492D77">
      <w:pPr>
        <w:contextualSpacing/>
        <w:jc w:val="both"/>
        <w:rPr>
          <w:rFonts w:ascii="Arial" w:hAnsi="Arial" w:cs="Arial"/>
          <w:sz w:val="21"/>
          <w:szCs w:val="21"/>
        </w:rPr>
      </w:pPr>
    </w:p>
    <w:p w14:paraId="160BFAC2"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10</w:t>
      </w:r>
    </w:p>
    <w:tbl>
      <w:tblPr>
        <w:tblStyle w:val="Tablanormal2"/>
        <w:tblW w:w="0" w:type="auto"/>
        <w:jc w:val="center"/>
        <w:tblLook w:val="04A0" w:firstRow="1" w:lastRow="0" w:firstColumn="1" w:lastColumn="0" w:noHBand="0" w:noVBand="1"/>
      </w:tblPr>
      <w:tblGrid>
        <w:gridCol w:w="2694"/>
        <w:gridCol w:w="2126"/>
        <w:gridCol w:w="2029"/>
      </w:tblGrid>
      <w:tr w:rsidR="00B53AC8" w:rsidRPr="00A76485" w14:paraId="3921F3BF" w14:textId="77777777" w:rsidTr="009417D7">
        <w:trPr>
          <w:gridAfter w:val="1"/>
          <w:cnfStyle w:val="100000000000" w:firstRow="1" w:lastRow="0" w:firstColumn="0" w:lastColumn="0" w:oddVBand="0" w:evenVBand="0" w:oddHBand="0" w:evenHBand="0" w:firstRowFirstColumn="0" w:firstRowLastColumn="0" w:lastRowFirstColumn="0" w:lastRowLastColumn="0"/>
          <w:wAfter w:w="2029" w:type="dxa"/>
          <w:trHeight w:val="252"/>
          <w:jc w:val="center"/>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7F7F7F" w:themeColor="text1" w:themeTint="80"/>
              <w:left w:val="nil"/>
              <w:right w:val="nil"/>
            </w:tcBorders>
            <w:hideMark/>
          </w:tcPr>
          <w:p w14:paraId="649FADAE" w14:textId="77777777" w:rsidR="00B53AC8" w:rsidRPr="00A76485" w:rsidRDefault="00B53AC8" w:rsidP="00492D77">
            <w:pPr>
              <w:contextualSpacing/>
              <w:jc w:val="center"/>
              <w:rPr>
                <w:rFonts w:ascii="Arial" w:eastAsia="Calibri" w:hAnsi="Arial" w:cs="Arial"/>
                <w:sz w:val="16"/>
                <w:szCs w:val="16"/>
                <w:lang w:val="es-CO" w:eastAsia="en-US"/>
              </w:rPr>
            </w:pPr>
            <w:r w:rsidRPr="00A76485">
              <w:rPr>
                <w:rFonts w:ascii="Arial" w:eastAsia="Calibri" w:hAnsi="Arial" w:cs="Arial"/>
                <w:sz w:val="16"/>
                <w:szCs w:val="16"/>
                <w:lang w:val="es-CO" w:eastAsia="en-US"/>
              </w:rPr>
              <w:t>Componente</w:t>
            </w:r>
          </w:p>
        </w:tc>
        <w:tc>
          <w:tcPr>
            <w:tcW w:w="2126" w:type="dxa"/>
            <w:tcBorders>
              <w:top w:val="single" w:sz="4" w:space="0" w:color="7F7F7F" w:themeColor="text1" w:themeTint="80"/>
              <w:left w:val="nil"/>
              <w:right w:val="nil"/>
            </w:tcBorders>
            <w:hideMark/>
          </w:tcPr>
          <w:p w14:paraId="5CD6D7CE" w14:textId="77777777" w:rsidR="00B53AC8" w:rsidRPr="00A76485" w:rsidRDefault="00B53AC8" w:rsidP="00492D77">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6"/>
                <w:szCs w:val="16"/>
                <w:lang w:val="es-CO" w:eastAsia="en-US"/>
              </w:rPr>
            </w:pPr>
            <w:r w:rsidRPr="00A76485">
              <w:rPr>
                <w:rFonts w:ascii="Arial" w:eastAsia="Calibri" w:hAnsi="Arial" w:cs="Arial"/>
                <w:sz w:val="16"/>
                <w:szCs w:val="16"/>
                <w:lang w:val="es-CO" w:eastAsia="en-US"/>
              </w:rPr>
              <w:t>Saldo en millones de ($)</w:t>
            </w:r>
          </w:p>
        </w:tc>
      </w:tr>
      <w:tr w:rsidR="00B53AC8" w:rsidRPr="00A76485" w14:paraId="78629CC3" w14:textId="77777777" w:rsidTr="009417D7">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694" w:type="dxa"/>
            <w:tcBorders>
              <w:left w:val="nil"/>
              <w:right w:val="nil"/>
            </w:tcBorders>
            <w:hideMark/>
          </w:tcPr>
          <w:p w14:paraId="6690AE2A" w14:textId="77777777" w:rsidR="00B53AC8" w:rsidRPr="00A76485" w:rsidRDefault="00B53AC8" w:rsidP="00492D77">
            <w:pPr>
              <w:contextualSpacing/>
              <w:jc w:val="both"/>
              <w:rPr>
                <w:rFonts w:ascii="Arial" w:eastAsia="Calibri" w:hAnsi="Arial" w:cs="Arial"/>
                <w:sz w:val="16"/>
                <w:szCs w:val="16"/>
                <w:lang w:val="es-CO" w:eastAsia="en-US"/>
              </w:rPr>
            </w:pPr>
            <w:r w:rsidRPr="00A76485">
              <w:rPr>
                <w:rFonts w:ascii="Arial" w:eastAsia="Calibri" w:hAnsi="Arial" w:cs="Arial"/>
                <w:b w:val="0"/>
                <w:sz w:val="16"/>
                <w:szCs w:val="16"/>
                <w:lang w:val="es-CO" w:eastAsia="en-US"/>
              </w:rPr>
              <w:t>Régimen Subsidiado</w:t>
            </w:r>
          </w:p>
        </w:tc>
        <w:tc>
          <w:tcPr>
            <w:tcW w:w="4155" w:type="dxa"/>
            <w:gridSpan w:val="2"/>
            <w:tcBorders>
              <w:left w:val="nil"/>
              <w:right w:val="nil"/>
            </w:tcBorders>
          </w:tcPr>
          <w:p w14:paraId="577681E9" w14:textId="77777777" w:rsidR="00B53AC8" w:rsidRPr="00A76485" w:rsidRDefault="00B53AC8" w:rsidP="00492D77">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CO" w:eastAsia="en-US"/>
              </w:rPr>
            </w:pPr>
            <w:r w:rsidRPr="00A76485">
              <w:rPr>
                <w:rFonts w:ascii="Arial" w:eastAsia="Calibri" w:hAnsi="Arial" w:cs="Arial"/>
                <w:sz w:val="16"/>
                <w:szCs w:val="16"/>
                <w:lang w:val="es-CO" w:eastAsia="en-US"/>
              </w:rPr>
              <w:t xml:space="preserve">  431</w:t>
            </w:r>
          </w:p>
        </w:tc>
      </w:tr>
      <w:tr w:rsidR="00B53AC8" w:rsidRPr="00A76485" w14:paraId="57B26631" w14:textId="77777777" w:rsidTr="009417D7">
        <w:trPr>
          <w:trHeight w:val="241"/>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hideMark/>
          </w:tcPr>
          <w:p w14:paraId="7A24CBDD" w14:textId="77777777" w:rsidR="00B53AC8" w:rsidRPr="00A76485" w:rsidRDefault="00B53AC8" w:rsidP="00492D77">
            <w:pPr>
              <w:contextualSpacing/>
              <w:jc w:val="both"/>
              <w:rPr>
                <w:rFonts w:ascii="Arial" w:eastAsia="Calibri" w:hAnsi="Arial" w:cs="Arial"/>
                <w:sz w:val="16"/>
                <w:szCs w:val="16"/>
                <w:lang w:val="es-CO" w:eastAsia="en-US"/>
              </w:rPr>
            </w:pPr>
            <w:r w:rsidRPr="00A76485">
              <w:rPr>
                <w:rFonts w:ascii="Arial" w:eastAsia="Calibri" w:hAnsi="Arial" w:cs="Arial"/>
                <w:b w:val="0"/>
                <w:sz w:val="16"/>
                <w:szCs w:val="16"/>
                <w:lang w:val="es-CO" w:eastAsia="en-US"/>
              </w:rPr>
              <w:t>Prestación de Servicios</w:t>
            </w:r>
          </w:p>
        </w:tc>
        <w:tc>
          <w:tcPr>
            <w:tcW w:w="4155" w:type="dxa"/>
            <w:gridSpan w:val="2"/>
            <w:tcBorders>
              <w:top w:val="nil"/>
              <w:left w:val="nil"/>
              <w:bottom w:val="nil"/>
              <w:right w:val="nil"/>
            </w:tcBorders>
          </w:tcPr>
          <w:p w14:paraId="70ADD432" w14:textId="77777777" w:rsidR="00B53AC8" w:rsidRPr="00A76485" w:rsidRDefault="00B53AC8" w:rsidP="00492D77">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CO" w:eastAsia="en-US"/>
              </w:rPr>
            </w:pPr>
            <w:r w:rsidRPr="00A76485">
              <w:rPr>
                <w:rFonts w:ascii="Arial" w:eastAsia="Calibri" w:hAnsi="Arial" w:cs="Arial"/>
                <w:sz w:val="16"/>
                <w:szCs w:val="16"/>
                <w:lang w:val="es-CO" w:eastAsia="en-US"/>
              </w:rPr>
              <w:t xml:space="preserve">  307</w:t>
            </w:r>
          </w:p>
        </w:tc>
      </w:tr>
      <w:tr w:rsidR="00B53AC8" w:rsidRPr="00A76485" w14:paraId="742DD53C" w14:textId="77777777" w:rsidTr="009417D7">
        <w:trPr>
          <w:cnfStyle w:val="000000100000" w:firstRow="0" w:lastRow="0" w:firstColumn="0" w:lastColumn="0" w:oddVBand="0" w:evenVBand="0" w:oddHBand="1" w:evenHBand="0" w:firstRowFirstColumn="0" w:firstRowLastColumn="0" w:lastRowFirstColumn="0" w:lastRowLastColumn="0"/>
          <w:trHeight w:val="257"/>
          <w:jc w:val="center"/>
        </w:trPr>
        <w:tc>
          <w:tcPr>
            <w:cnfStyle w:val="001000000000" w:firstRow="0" w:lastRow="0" w:firstColumn="1" w:lastColumn="0" w:oddVBand="0" w:evenVBand="0" w:oddHBand="0" w:evenHBand="0" w:firstRowFirstColumn="0" w:firstRowLastColumn="0" w:lastRowFirstColumn="0" w:lastRowLastColumn="0"/>
            <w:tcW w:w="2694" w:type="dxa"/>
            <w:tcBorders>
              <w:left w:val="nil"/>
              <w:right w:val="nil"/>
            </w:tcBorders>
            <w:hideMark/>
          </w:tcPr>
          <w:p w14:paraId="72075285" w14:textId="77777777" w:rsidR="00B53AC8" w:rsidRPr="00A76485" w:rsidRDefault="00B53AC8" w:rsidP="00492D77">
            <w:pPr>
              <w:contextualSpacing/>
              <w:jc w:val="both"/>
              <w:rPr>
                <w:rFonts w:ascii="Arial" w:eastAsia="Calibri" w:hAnsi="Arial" w:cs="Arial"/>
                <w:sz w:val="16"/>
                <w:szCs w:val="16"/>
                <w:lang w:val="es-CO" w:eastAsia="en-US"/>
              </w:rPr>
            </w:pPr>
            <w:r w:rsidRPr="00A76485">
              <w:rPr>
                <w:rFonts w:ascii="Arial" w:eastAsia="Calibri" w:hAnsi="Arial" w:cs="Arial"/>
                <w:b w:val="0"/>
                <w:sz w:val="16"/>
                <w:szCs w:val="16"/>
                <w:lang w:val="es-CO" w:eastAsia="en-US"/>
              </w:rPr>
              <w:t>Salud Pública</w:t>
            </w:r>
          </w:p>
        </w:tc>
        <w:tc>
          <w:tcPr>
            <w:tcW w:w="4155" w:type="dxa"/>
            <w:gridSpan w:val="2"/>
            <w:tcBorders>
              <w:left w:val="nil"/>
              <w:right w:val="nil"/>
            </w:tcBorders>
          </w:tcPr>
          <w:p w14:paraId="1DF5A7AA" w14:textId="77777777" w:rsidR="00B53AC8" w:rsidRPr="00A76485" w:rsidRDefault="00B53AC8" w:rsidP="00492D77">
            <w:pPr>
              <w:ind w:left="-135"/>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CO" w:eastAsia="en-US"/>
              </w:rPr>
            </w:pPr>
            <w:r w:rsidRPr="00A76485">
              <w:rPr>
                <w:rFonts w:ascii="Arial" w:eastAsia="Calibri" w:hAnsi="Arial" w:cs="Arial"/>
                <w:sz w:val="16"/>
                <w:szCs w:val="16"/>
                <w:lang w:val="es-CO" w:eastAsia="en-US"/>
              </w:rPr>
              <w:t xml:space="preserve">   4.605</w:t>
            </w:r>
          </w:p>
        </w:tc>
      </w:tr>
      <w:tr w:rsidR="00B53AC8" w:rsidRPr="00A76485" w14:paraId="718E8C66" w14:textId="77777777" w:rsidTr="009417D7">
        <w:trPr>
          <w:trHeight w:val="241"/>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nil"/>
              <w:right w:val="nil"/>
            </w:tcBorders>
            <w:hideMark/>
          </w:tcPr>
          <w:p w14:paraId="1D5A4CA5" w14:textId="77777777" w:rsidR="00B53AC8" w:rsidRPr="00A76485" w:rsidRDefault="00B53AC8" w:rsidP="00492D77">
            <w:pPr>
              <w:contextualSpacing/>
              <w:jc w:val="both"/>
              <w:rPr>
                <w:rFonts w:ascii="Arial" w:eastAsia="Calibri" w:hAnsi="Arial" w:cs="Arial"/>
                <w:sz w:val="16"/>
                <w:szCs w:val="16"/>
                <w:lang w:val="es-CO" w:eastAsia="en-US"/>
              </w:rPr>
            </w:pPr>
            <w:r w:rsidRPr="00A76485">
              <w:rPr>
                <w:rFonts w:ascii="Arial" w:eastAsia="Calibri" w:hAnsi="Arial" w:cs="Arial"/>
                <w:b w:val="0"/>
                <w:sz w:val="16"/>
                <w:szCs w:val="16"/>
                <w:lang w:val="es-CO" w:eastAsia="en-US"/>
              </w:rPr>
              <w:t xml:space="preserve">Otros Gastos en Salud - </w:t>
            </w:r>
            <w:proofErr w:type="spellStart"/>
            <w:r w:rsidRPr="00A76485">
              <w:rPr>
                <w:rFonts w:ascii="Arial" w:eastAsia="Calibri" w:hAnsi="Arial" w:cs="Arial"/>
                <w:b w:val="0"/>
                <w:sz w:val="16"/>
                <w:szCs w:val="16"/>
                <w:lang w:val="es-CO" w:eastAsia="en-US"/>
              </w:rPr>
              <w:t>Inv</w:t>
            </w:r>
            <w:proofErr w:type="spellEnd"/>
          </w:p>
        </w:tc>
        <w:tc>
          <w:tcPr>
            <w:tcW w:w="4155" w:type="dxa"/>
            <w:gridSpan w:val="2"/>
            <w:tcBorders>
              <w:top w:val="nil"/>
              <w:left w:val="nil"/>
              <w:bottom w:val="nil"/>
              <w:right w:val="nil"/>
            </w:tcBorders>
          </w:tcPr>
          <w:p w14:paraId="2C3B1482" w14:textId="77777777" w:rsidR="00B53AC8" w:rsidRPr="00A76485" w:rsidRDefault="00B53AC8" w:rsidP="00492D77">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CO" w:eastAsia="en-US"/>
              </w:rPr>
            </w:pPr>
            <w:r w:rsidRPr="00A76485">
              <w:rPr>
                <w:rFonts w:ascii="Arial" w:eastAsia="Calibri" w:hAnsi="Arial" w:cs="Arial"/>
                <w:sz w:val="16"/>
                <w:szCs w:val="16"/>
                <w:lang w:val="es-CO" w:eastAsia="en-US"/>
              </w:rPr>
              <w:t xml:space="preserve"> 537</w:t>
            </w:r>
          </w:p>
        </w:tc>
      </w:tr>
      <w:tr w:rsidR="00B53AC8" w:rsidRPr="00A76485" w14:paraId="3D306E89" w14:textId="77777777" w:rsidTr="009417D7">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694" w:type="dxa"/>
            <w:tcBorders>
              <w:left w:val="nil"/>
              <w:right w:val="nil"/>
            </w:tcBorders>
            <w:hideMark/>
          </w:tcPr>
          <w:p w14:paraId="04AD28B5" w14:textId="77777777" w:rsidR="00B53AC8" w:rsidRPr="00A76485" w:rsidRDefault="00B53AC8" w:rsidP="00492D77">
            <w:pPr>
              <w:contextualSpacing/>
              <w:jc w:val="both"/>
              <w:rPr>
                <w:rFonts w:ascii="Arial" w:eastAsia="Calibri" w:hAnsi="Arial" w:cs="Arial"/>
                <w:sz w:val="16"/>
                <w:szCs w:val="16"/>
                <w:lang w:val="es-CO" w:eastAsia="en-US"/>
              </w:rPr>
            </w:pPr>
            <w:r w:rsidRPr="00A76485">
              <w:rPr>
                <w:rFonts w:ascii="Arial" w:eastAsia="Calibri" w:hAnsi="Arial" w:cs="Arial"/>
                <w:b w:val="0"/>
                <w:sz w:val="16"/>
                <w:szCs w:val="16"/>
                <w:lang w:val="es-CO" w:eastAsia="en-US"/>
              </w:rPr>
              <w:t xml:space="preserve">Otros Gastos en Salud - </w:t>
            </w:r>
            <w:proofErr w:type="spellStart"/>
            <w:r w:rsidRPr="00A76485">
              <w:rPr>
                <w:rFonts w:ascii="Arial" w:eastAsia="Calibri" w:hAnsi="Arial" w:cs="Arial"/>
                <w:b w:val="0"/>
                <w:sz w:val="16"/>
                <w:szCs w:val="16"/>
                <w:lang w:val="es-CO" w:eastAsia="en-US"/>
              </w:rPr>
              <w:t>Fun</w:t>
            </w:r>
            <w:proofErr w:type="spellEnd"/>
          </w:p>
        </w:tc>
        <w:tc>
          <w:tcPr>
            <w:tcW w:w="4155" w:type="dxa"/>
            <w:gridSpan w:val="2"/>
            <w:tcBorders>
              <w:left w:val="nil"/>
              <w:right w:val="nil"/>
            </w:tcBorders>
          </w:tcPr>
          <w:p w14:paraId="01FF60C7" w14:textId="77777777" w:rsidR="00B53AC8" w:rsidRPr="00A76485" w:rsidRDefault="00B53AC8" w:rsidP="00492D77">
            <w:p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16"/>
                <w:szCs w:val="16"/>
                <w:lang w:val="es-CO" w:eastAsia="en-US"/>
              </w:rPr>
            </w:pPr>
            <w:r w:rsidRPr="00A76485">
              <w:rPr>
                <w:rFonts w:ascii="Arial" w:eastAsia="Calibri" w:hAnsi="Arial" w:cs="Arial"/>
                <w:sz w:val="16"/>
                <w:szCs w:val="16"/>
                <w:lang w:val="es-CO" w:eastAsia="en-US"/>
              </w:rPr>
              <w:t xml:space="preserve"> 434</w:t>
            </w:r>
          </w:p>
        </w:tc>
      </w:tr>
      <w:tr w:rsidR="00B53AC8" w:rsidRPr="00A76485" w14:paraId="7A534077" w14:textId="77777777" w:rsidTr="009417D7">
        <w:trPr>
          <w:trHeight w:val="241"/>
          <w:jc w:val="center"/>
        </w:trPr>
        <w:tc>
          <w:tcPr>
            <w:cnfStyle w:val="001000000000" w:firstRow="0" w:lastRow="0" w:firstColumn="1" w:lastColumn="0" w:oddVBand="0" w:evenVBand="0" w:oddHBand="0" w:evenHBand="0" w:firstRowFirstColumn="0" w:firstRowLastColumn="0" w:lastRowFirstColumn="0" w:lastRowLastColumn="0"/>
            <w:tcW w:w="2694" w:type="dxa"/>
            <w:tcBorders>
              <w:top w:val="nil"/>
              <w:left w:val="nil"/>
              <w:bottom w:val="single" w:sz="4" w:space="0" w:color="7F7F7F" w:themeColor="text1" w:themeTint="80"/>
              <w:right w:val="nil"/>
            </w:tcBorders>
            <w:hideMark/>
          </w:tcPr>
          <w:p w14:paraId="060D591D" w14:textId="77777777" w:rsidR="00B53AC8" w:rsidRPr="00A76485" w:rsidRDefault="00B53AC8" w:rsidP="00492D77">
            <w:pPr>
              <w:contextualSpacing/>
              <w:jc w:val="both"/>
              <w:rPr>
                <w:rFonts w:ascii="Arial" w:eastAsia="Calibri" w:hAnsi="Arial" w:cs="Arial"/>
                <w:sz w:val="16"/>
                <w:szCs w:val="16"/>
                <w:lang w:val="es-CO" w:eastAsia="en-US"/>
              </w:rPr>
            </w:pPr>
            <w:r w:rsidRPr="00A76485">
              <w:rPr>
                <w:rFonts w:ascii="Arial" w:eastAsia="Calibri" w:hAnsi="Arial" w:cs="Arial"/>
                <w:b w:val="0"/>
                <w:sz w:val="16"/>
                <w:szCs w:val="16"/>
                <w:lang w:val="es-CO" w:eastAsia="en-US"/>
              </w:rPr>
              <w:t>Otras cuentas</w:t>
            </w:r>
          </w:p>
        </w:tc>
        <w:tc>
          <w:tcPr>
            <w:tcW w:w="4155" w:type="dxa"/>
            <w:gridSpan w:val="2"/>
            <w:tcBorders>
              <w:top w:val="nil"/>
              <w:left w:val="nil"/>
              <w:bottom w:val="single" w:sz="4" w:space="0" w:color="7F7F7F" w:themeColor="text1" w:themeTint="80"/>
              <w:right w:val="nil"/>
            </w:tcBorders>
          </w:tcPr>
          <w:p w14:paraId="492061C3" w14:textId="77777777" w:rsidR="00B53AC8" w:rsidRPr="00A76485" w:rsidRDefault="00B53AC8" w:rsidP="00492D77">
            <w:p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16"/>
                <w:szCs w:val="16"/>
                <w:lang w:val="es-CO" w:eastAsia="en-US"/>
              </w:rPr>
            </w:pPr>
          </w:p>
        </w:tc>
      </w:tr>
    </w:tbl>
    <w:p w14:paraId="66DD1222" w14:textId="77777777" w:rsidR="00B53AC8" w:rsidRPr="00A76485" w:rsidRDefault="00B53AC8" w:rsidP="00492D77">
      <w:pPr>
        <w:contextualSpacing/>
        <w:jc w:val="center"/>
        <w:rPr>
          <w:rFonts w:ascii="Arial" w:hAnsi="Arial" w:cs="Arial"/>
          <w:sz w:val="16"/>
          <w:szCs w:val="16"/>
        </w:rPr>
      </w:pPr>
      <w:r w:rsidRPr="00A76485">
        <w:rPr>
          <w:rFonts w:ascii="Arial" w:hAnsi="Arial" w:cs="Arial"/>
          <w:sz w:val="16"/>
          <w:szCs w:val="16"/>
        </w:rPr>
        <w:t>Fuente: FUT</w:t>
      </w:r>
    </w:p>
    <w:p w14:paraId="4A0D9AC3" w14:textId="77777777" w:rsidR="00B53AC8" w:rsidRPr="00A76485" w:rsidRDefault="00B53AC8" w:rsidP="00492D77">
      <w:pPr>
        <w:jc w:val="both"/>
        <w:rPr>
          <w:rFonts w:ascii="Arial" w:hAnsi="Arial" w:cs="Arial"/>
          <w:sz w:val="22"/>
          <w:szCs w:val="22"/>
          <w:lang w:val="es-CO"/>
        </w:rPr>
      </w:pPr>
    </w:p>
    <w:p w14:paraId="06F700B6" w14:textId="77777777" w:rsidR="00B53AC8"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 xml:space="preserve">Al comparar los saldos de </w:t>
      </w:r>
      <w:r w:rsidR="008C7605" w:rsidRPr="00A76485">
        <w:rPr>
          <w:rFonts w:ascii="Arial" w:hAnsi="Arial" w:cs="Arial"/>
          <w:sz w:val="22"/>
          <w:szCs w:val="22"/>
          <w:lang w:val="es-CO"/>
        </w:rPr>
        <w:t xml:space="preserve">las cuentas maestras del reporte del cierre de </w:t>
      </w:r>
      <w:r w:rsidRPr="00A76485">
        <w:rPr>
          <w:rFonts w:ascii="Arial" w:hAnsi="Arial" w:cs="Arial"/>
          <w:sz w:val="22"/>
          <w:szCs w:val="22"/>
          <w:lang w:val="es-CO"/>
        </w:rPr>
        <w:t xml:space="preserve">tesorería </w:t>
      </w:r>
      <w:r w:rsidR="008C7605" w:rsidRPr="00A76485">
        <w:rPr>
          <w:rFonts w:ascii="Arial" w:hAnsi="Arial" w:cs="Arial"/>
          <w:sz w:val="22"/>
          <w:szCs w:val="22"/>
          <w:lang w:val="es-CO"/>
        </w:rPr>
        <w:t xml:space="preserve">de la entidad territorial </w:t>
      </w:r>
      <w:r w:rsidRPr="00A76485">
        <w:rPr>
          <w:rFonts w:ascii="Arial" w:hAnsi="Arial" w:cs="Arial"/>
          <w:sz w:val="22"/>
          <w:szCs w:val="22"/>
          <w:lang w:val="es-CO"/>
        </w:rPr>
        <w:t xml:space="preserve">con el FUT, se encontró una diferencia de $72 millones, </w:t>
      </w:r>
      <w:r w:rsidR="008C7605" w:rsidRPr="00A76485">
        <w:rPr>
          <w:rFonts w:ascii="Arial" w:hAnsi="Arial" w:cs="Arial"/>
          <w:sz w:val="22"/>
          <w:szCs w:val="22"/>
          <w:lang w:val="es-CO"/>
        </w:rPr>
        <w:t xml:space="preserve">representada </w:t>
      </w:r>
      <w:r w:rsidRPr="00A76485">
        <w:rPr>
          <w:rFonts w:ascii="Arial" w:hAnsi="Arial" w:cs="Arial"/>
          <w:sz w:val="22"/>
          <w:szCs w:val="22"/>
          <w:lang w:val="es-CO"/>
        </w:rPr>
        <w:t>en la cuenta de Salud Pública, de los cuales $2 millones se reflejaron en una cuenta pagadora</w:t>
      </w:r>
      <w:r w:rsidR="003D7662" w:rsidRPr="00A76485">
        <w:rPr>
          <w:rFonts w:ascii="Arial" w:hAnsi="Arial" w:cs="Arial"/>
          <w:sz w:val="22"/>
          <w:szCs w:val="22"/>
          <w:lang w:val="es-CO"/>
        </w:rPr>
        <w:t xml:space="preserve"> </w:t>
      </w:r>
      <w:r w:rsidRPr="00A76485">
        <w:rPr>
          <w:rFonts w:ascii="Arial" w:hAnsi="Arial" w:cs="Arial"/>
          <w:sz w:val="22"/>
          <w:szCs w:val="22"/>
          <w:lang w:val="es-CO"/>
        </w:rPr>
        <w:t>y los otros $70</w:t>
      </w:r>
      <w:r w:rsidR="008C7605" w:rsidRPr="00A76485">
        <w:rPr>
          <w:rFonts w:ascii="Arial" w:hAnsi="Arial" w:cs="Arial"/>
          <w:sz w:val="22"/>
          <w:szCs w:val="22"/>
          <w:lang w:val="es-CO"/>
        </w:rPr>
        <w:t xml:space="preserve"> millones </w:t>
      </w:r>
      <w:r w:rsidRPr="00A76485">
        <w:rPr>
          <w:rFonts w:ascii="Arial" w:hAnsi="Arial" w:cs="Arial"/>
          <w:sz w:val="22"/>
          <w:szCs w:val="22"/>
          <w:lang w:val="es-CO"/>
        </w:rPr>
        <w:t>corresponden a saldos en conciliación con la entidad bancaria, situación que a la fecha (mayo de la vigencia en curso) ya debería haberse ajustado.</w:t>
      </w:r>
    </w:p>
    <w:p w14:paraId="4CE2FFBD" w14:textId="77777777" w:rsidR="00B53AC8" w:rsidRPr="00A76485" w:rsidRDefault="00B53AC8" w:rsidP="00492D77">
      <w:pPr>
        <w:jc w:val="both"/>
        <w:rPr>
          <w:rFonts w:ascii="Arial" w:hAnsi="Arial" w:cs="Arial"/>
          <w:sz w:val="22"/>
          <w:szCs w:val="22"/>
          <w:lang w:val="es-CO"/>
        </w:rPr>
      </w:pPr>
    </w:p>
    <w:p w14:paraId="3B79C349" w14:textId="77777777" w:rsidR="00B53AC8" w:rsidRPr="00A76485" w:rsidRDefault="00B53AC8" w:rsidP="00492D77">
      <w:pPr>
        <w:pStyle w:val="Prrafodelista"/>
        <w:numPr>
          <w:ilvl w:val="0"/>
          <w:numId w:val="7"/>
        </w:numPr>
        <w:rPr>
          <w:rFonts w:ascii="Arial" w:hAnsi="Arial" w:cs="Arial"/>
          <w:b/>
          <w:sz w:val="22"/>
          <w:szCs w:val="22"/>
          <w:lang w:val="es-CO"/>
        </w:rPr>
      </w:pPr>
      <w:r w:rsidRPr="00A76485">
        <w:rPr>
          <w:rFonts w:ascii="Arial" w:hAnsi="Arial" w:cs="Arial"/>
          <w:b/>
          <w:sz w:val="21"/>
          <w:szCs w:val="21"/>
        </w:rPr>
        <w:t>Análisis contable.</w:t>
      </w:r>
    </w:p>
    <w:p w14:paraId="4945A840" w14:textId="77777777" w:rsidR="00B53AC8" w:rsidRPr="00A76485" w:rsidRDefault="00B53AC8" w:rsidP="00492D77">
      <w:pPr>
        <w:rPr>
          <w:rFonts w:ascii="Arial" w:hAnsi="Arial" w:cs="Arial"/>
          <w:b/>
          <w:sz w:val="22"/>
          <w:szCs w:val="22"/>
          <w:lang w:val="es-CO"/>
        </w:rPr>
      </w:pPr>
    </w:p>
    <w:p w14:paraId="10548C33" w14:textId="77777777" w:rsidR="00B53AC8" w:rsidRPr="00A76485" w:rsidRDefault="00B53AC8" w:rsidP="00492D77">
      <w:pPr>
        <w:contextualSpacing/>
        <w:jc w:val="both"/>
        <w:rPr>
          <w:rFonts w:ascii="Arial" w:eastAsia="Calibri" w:hAnsi="Arial" w:cs="Arial"/>
          <w:sz w:val="21"/>
          <w:szCs w:val="21"/>
        </w:rPr>
      </w:pPr>
      <w:r w:rsidRPr="00A76485">
        <w:rPr>
          <w:rFonts w:ascii="Arial" w:eastAsia="Calibri" w:hAnsi="Arial" w:cs="Arial"/>
          <w:sz w:val="21"/>
          <w:szCs w:val="21"/>
        </w:rPr>
        <w:t>A nivel contable, la Entidad Territorial no presenta la contabilidad en una cuenta especial e independiente para el Fondo Local de Salud dentro del sistema contable general</w:t>
      </w:r>
      <w:r w:rsidR="00282357" w:rsidRPr="00A76485">
        <w:rPr>
          <w:rFonts w:ascii="Arial" w:eastAsia="Calibri" w:hAnsi="Arial" w:cs="Arial"/>
          <w:sz w:val="21"/>
          <w:szCs w:val="21"/>
        </w:rPr>
        <w:t xml:space="preserve"> de acuerdo </w:t>
      </w:r>
      <w:r w:rsidR="003D3D8F">
        <w:rPr>
          <w:rFonts w:ascii="Arial" w:eastAsia="Calibri" w:hAnsi="Arial" w:cs="Arial"/>
          <w:sz w:val="21"/>
          <w:szCs w:val="21"/>
        </w:rPr>
        <w:t>con</w:t>
      </w:r>
      <w:r w:rsidR="00282357" w:rsidRPr="00A76485">
        <w:rPr>
          <w:rFonts w:ascii="Arial" w:eastAsia="Calibri" w:hAnsi="Arial" w:cs="Arial"/>
          <w:sz w:val="21"/>
          <w:szCs w:val="21"/>
        </w:rPr>
        <w:t xml:space="preserve"> lo establecido por la normatividad vigente</w:t>
      </w:r>
      <w:r w:rsidRPr="00A76485">
        <w:rPr>
          <w:rFonts w:ascii="Arial" w:eastAsia="Calibri" w:hAnsi="Arial" w:cs="Arial"/>
          <w:sz w:val="21"/>
          <w:szCs w:val="21"/>
        </w:rPr>
        <w:t>.</w:t>
      </w:r>
      <w:r w:rsidR="00653614" w:rsidRPr="00A76485">
        <w:rPr>
          <w:rFonts w:ascii="Arial" w:eastAsia="Calibri" w:hAnsi="Arial" w:cs="Arial"/>
          <w:sz w:val="21"/>
          <w:szCs w:val="21"/>
        </w:rPr>
        <w:t xml:space="preserve"> No obstante, p</w:t>
      </w:r>
      <w:r w:rsidRPr="00A76485">
        <w:rPr>
          <w:rFonts w:ascii="Arial" w:eastAsia="Calibri" w:hAnsi="Arial" w:cs="Arial"/>
          <w:sz w:val="21"/>
          <w:szCs w:val="21"/>
        </w:rPr>
        <w:t>resenta como estados financieros, el documento “</w:t>
      </w:r>
      <w:r w:rsidRPr="00A76485">
        <w:rPr>
          <w:rFonts w:ascii="Arial" w:eastAsia="Calibri" w:hAnsi="Arial" w:cs="Arial"/>
          <w:i/>
          <w:iCs/>
          <w:sz w:val="21"/>
          <w:szCs w:val="21"/>
        </w:rPr>
        <w:t>Estado de la Situación Financiera Individual</w:t>
      </w:r>
      <w:r w:rsidRPr="00A76485">
        <w:rPr>
          <w:rFonts w:ascii="Arial" w:eastAsia="Calibri" w:hAnsi="Arial" w:cs="Arial"/>
          <w:sz w:val="21"/>
          <w:szCs w:val="21"/>
        </w:rPr>
        <w:t>” del Fondo Local de Salud</w:t>
      </w:r>
      <w:r w:rsidR="00653614" w:rsidRPr="00A76485">
        <w:rPr>
          <w:rFonts w:ascii="Arial" w:eastAsia="Calibri" w:hAnsi="Arial" w:cs="Arial"/>
          <w:sz w:val="21"/>
          <w:szCs w:val="21"/>
        </w:rPr>
        <w:t>, con</w:t>
      </w:r>
      <w:r w:rsidRPr="00A76485">
        <w:rPr>
          <w:rFonts w:ascii="Arial" w:eastAsia="Calibri" w:hAnsi="Arial" w:cs="Arial"/>
          <w:sz w:val="21"/>
          <w:szCs w:val="21"/>
        </w:rPr>
        <w:t xml:space="preserve"> los códigos contables de las cuentas y subcuentas, así como las operaciones contables ajustad</w:t>
      </w:r>
      <w:r w:rsidR="00653614" w:rsidRPr="00A76485">
        <w:rPr>
          <w:rFonts w:ascii="Arial" w:eastAsia="Calibri" w:hAnsi="Arial" w:cs="Arial"/>
          <w:sz w:val="21"/>
          <w:szCs w:val="21"/>
        </w:rPr>
        <w:t>a</w:t>
      </w:r>
      <w:r w:rsidRPr="00A76485">
        <w:rPr>
          <w:rFonts w:ascii="Arial" w:eastAsia="Calibri" w:hAnsi="Arial" w:cs="Arial"/>
          <w:sz w:val="21"/>
          <w:szCs w:val="21"/>
        </w:rPr>
        <w:t xml:space="preserve">s de acuerdo con lo dispuesto en el Manual de Procedimientos Contables de la Contaduría General de la Nación. </w:t>
      </w:r>
    </w:p>
    <w:p w14:paraId="1693380D" w14:textId="77777777" w:rsidR="00B53AC8" w:rsidRPr="00A76485" w:rsidRDefault="00B53AC8" w:rsidP="00492D77">
      <w:pPr>
        <w:contextualSpacing/>
        <w:jc w:val="both"/>
        <w:rPr>
          <w:rFonts w:ascii="Arial" w:eastAsia="Calibri" w:hAnsi="Arial" w:cs="Arial"/>
          <w:sz w:val="21"/>
          <w:szCs w:val="21"/>
        </w:rPr>
      </w:pPr>
    </w:p>
    <w:p w14:paraId="28DA150E" w14:textId="77777777" w:rsidR="00B53AC8" w:rsidRPr="00A76485" w:rsidRDefault="00B53AC8" w:rsidP="00492D77">
      <w:pPr>
        <w:contextualSpacing/>
        <w:jc w:val="both"/>
        <w:rPr>
          <w:rFonts w:ascii="Arial" w:eastAsia="Calibri" w:hAnsi="Arial" w:cs="Arial"/>
          <w:sz w:val="21"/>
          <w:szCs w:val="21"/>
        </w:rPr>
      </w:pPr>
      <w:r w:rsidRPr="00A76485">
        <w:rPr>
          <w:rFonts w:ascii="Arial" w:eastAsia="Calibri" w:hAnsi="Arial" w:cs="Arial"/>
          <w:sz w:val="21"/>
          <w:szCs w:val="21"/>
        </w:rPr>
        <w:t>De acuerdo con el balance general a 31 de diciembre de 2022</w:t>
      </w:r>
      <w:r w:rsidR="00653614" w:rsidRPr="00A76485">
        <w:rPr>
          <w:rFonts w:ascii="Arial" w:eastAsia="Calibri" w:hAnsi="Arial" w:cs="Arial"/>
          <w:sz w:val="21"/>
          <w:szCs w:val="21"/>
        </w:rPr>
        <w:t xml:space="preserve"> del fondo local de salud</w:t>
      </w:r>
      <w:r w:rsidRPr="00A76485">
        <w:rPr>
          <w:rFonts w:ascii="Arial" w:eastAsia="Calibri" w:hAnsi="Arial" w:cs="Arial"/>
          <w:sz w:val="21"/>
          <w:szCs w:val="21"/>
        </w:rPr>
        <w:t>, el activo ascendió a $27.699 millones, el pasivo a $19.911 millones y el patrimonio a $7.787 millones.</w:t>
      </w:r>
    </w:p>
    <w:p w14:paraId="516674C1" w14:textId="77777777" w:rsidR="00B53AC8" w:rsidRPr="00A76485" w:rsidRDefault="00B53AC8" w:rsidP="00492D77">
      <w:pPr>
        <w:contextualSpacing/>
        <w:jc w:val="both"/>
        <w:rPr>
          <w:rFonts w:ascii="Arial" w:eastAsia="Calibri" w:hAnsi="Arial" w:cs="Arial"/>
          <w:sz w:val="21"/>
          <w:szCs w:val="21"/>
        </w:rPr>
      </w:pPr>
    </w:p>
    <w:p w14:paraId="6299F291" w14:textId="77777777" w:rsidR="00B53AC8" w:rsidRPr="00A76485" w:rsidRDefault="00B53AC8" w:rsidP="00492D77">
      <w:pPr>
        <w:contextualSpacing/>
        <w:jc w:val="both"/>
        <w:rPr>
          <w:rFonts w:ascii="Arial" w:eastAsia="Calibri" w:hAnsi="Arial" w:cs="Arial"/>
          <w:sz w:val="21"/>
          <w:szCs w:val="21"/>
        </w:rPr>
      </w:pPr>
      <w:r w:rsidRPr="00A76485">
        <w:rPr>
          <w:rFonts w:ascii="Arial" w:eastAsia="Calibri" w:hAnsi="Arial" w:cs="Arial"/>
          <w:sz w:val="21"/>
          <w:szCs w:val="21"/>
        </w:rPr>
        <w:t xml:space="preserve">En cuanto al reporte del proceso contable, la Entidad Territorial tiene en el Formulario Único Territorial - FUT de la Categoría Información Contable Pública reportada la información de manera consolidada, por lo que no es posible identificar con precisión el origen y destinación de los recursos de cada una de las fuentes del Fondo Local de Salud; sin embargo, en el reporte entregado por </w:t>
      </w:r>
      <w:r w:rsidR="001D787E">
        <w:rPr>
          <w:rFonts w:ascii="Arial" w:eastAsia="Calibri" w:hAnsi="Arial" w:cs="Arial"/>
          <w:sz w:val="21"/>
          <w:szCs w:val="21"/>
        </w:rPr>
        <w:t>el Distrito</w:t>
      </w:r>
      <w:r w:rsidRPr="00A76485">
        <w:rPr>
          <w:rFonts w:ascii="Arial" w:eastAsia="Calibri" w:hAnsi="Arial" w:cs="Arial"/>
          <w:sz w:val="21"/>
          <w:szCs w:val="21"/>
        </w:rPr>
        <w:t xml:space="preserve"> es posible identificar la contabilidad del FLS por separado.</w:t>
      </w:r>
    </w:p>
    <w:p w14:paraId="46FB9871" w14:textId="77777777" w:rsidR="00B53AC8" w:rsidRPr="00A76485" w:rsidRDefault="00B53AC8" w:rsidP="00492D77">
      <w:pPr>
        <w:contextualSpacing/>
        <w:jc w:val="both"/>
        <w:rPr>
          <w:rFonts w:ascii="Arial" w:eastAsia="Calibri" w:hAnsi="Arial" w:cs="Arial"/>
          <w:sz w:val="21"/>
          <w:szCs w:val="21"/>
        </w:rPr>
      </w:pPr>
    </w:p>
    <w:p w14:paraId="3D13F2E1" w14:textId="77777777" w:rsidR="00B53AC8" w:rsidRPr="00A76485" w:rsidRDefault="00B53AC8" w:rsidP="00492D77">
      <w:pPr>
        <w:pStyle w:val="Prrafodelista"/>
        <w:numPr>
          <w:ilvl w:val="0"/>
          <w:numId w:val="3"/>
        </w:numPr>
        <w:rPr>
          <w:rFonts w:ascii="Arial" w:hAnsi="Arial" w:cs="Arial"/>
          <w:sz w:val="22"/>
          <w:szCs w:val="22"/>
          <w:lang w:val="es-CO"/>
        </w:rPr>
      </w:pPr>
      <w:r w:rsidRPr="00A76485">
        <w:rPr>
          <w:rFonts w:ascii="Arial" w:hAnsi="Arial" w:cs="Arial"/>
          <w:b/>
          <w:sz w:val="21"/>
          <w:szCs w:val="21"/>
        </w:rPr>
        <w:t>Régimen Subsidiado.</w:t>
      </w:r>
    </w:p>
    <w:p w14:paraId="415974AF" w14:textId="77777777" w:rsidR="00B53AC8" w:rsidRPr="00A76485" w:rsidRDefault="00B53AC8" w:rsidP="00492D77">
      <w:pPr>
        <w:contextualSpacing/>
        <w:jc w:val="both"/>
        <w:rPr>
          <w:rFonts w:ascii="Arial" w:hAnsi="Arial" w:cs="Arial"/>
          <w:b/>
          <w:sz w:val="21"/>
          <w:szCs w:val="21"/>
        </w:rPr>
      </w:pPr>
    </w:p>
    <w:p w14:paraId="1FDE3A56" w14:textId="77777777" w:rsidR="00B53AC8" w:rsidRPr="00A76485" w:rsidRDefault="00B53AC8" w:rsidP="00492D77">
      <w:pPr>
        <w:contextualSpacing/>
        <w:jc w:val="both"/>
        <w:rPr>
          <w:rFonts w:ascii="Arial" w:eastAsia="Calibri" w:hAnsi="Arial" w:cs="Arial"/>
          <w:sz w:val="21"/>
          <w:szCs w:val="21"/>
        </w:rPr>
      </w:pPr>
      <w:r w:rsidRPr="00A76485">
        <w:rPr>
          <w:rFonts w:ascii="Arial" w:eastAsia="Calibri" w:hAnsi="Arial" w:cs="Arial"/>
          <w:sz w:val="21"/>
          <w:szCs w:val="21"/>
        </w:rPr>
        <w:t>El Distrito de Santa Marta es responsable de dirigir, coordinar y vigilar el Sector Salud y el Sistema General de Seguridad Social en Salud en el territorio de su jurisdicción. Frente al aseguramiento, le corresponde vigilar y controlar el aseguramiento en el Sistema General de Seguridad Social en Salud y en los regímenes de excepción definidos en la Ley 100 de 1993.</w:t>
      </w:r>
    </w:p>
    <w:p w14:paraId="2B70CA23" w14:textId="77777777" w:rsidR="00B53AC8" w:rsidRPr="00A76485" w:rsidRDefault="00B53AC8" w:rsidP="00492D77">
      <w:pPr>
        <w:contextualSpacing/>
        <w:jc w:val="both"/>
        <w:rPr>
          <w:rFonts w:ascii="Arial" w:eastAsia="Calibri" w:hAnsi="Arial" w:cs="Arial"/>
          <w:sz w:val="21"/>
          <w:szCs w:val="21"/>
        </w:rPr>
      </w:pPr>
    </w:p>
    <w:p w14:paraId="210772D7" w14:textId="77777777" w:rsidR="00B53AC8" w:rsidRPr="00A76485" w:rsidRDefault="00B53AC8" w:rsidP="00492D77">
      <w:pPr>
        <w:contextualSpacing/>
        <w:jc w:val="both"/>
        <w:rPr>
          <w:rFonts w:ascii="Arial" w:eastAsia="Calibri" w:hAnsi="Arial" w:cs="Arial"/>
          <w:sz w:val="21"/>
          <w:szCs w:val="21"/>
        </w:rPr>
      </w:pPr>
      <w:r w:rsidRPr="00A76485">
        <w:rPr>
          <w:rFonts w:ascii="Arial" w:eastAsia="Calibri" w:hAnsi="Arial" w:cs="Arial"/>
          <w:sz w:val="21"/>
          <w:szCs w:val="21"/>
        </w:rPr>
        <w:t xml:space="preserve">En cumplimiento a los artículos 2.3.2.2.2 y 2.3.2.2.3 del Decreto 780 de 2016, la Entidad Territorial expidió las Resoluciones No 031 del 29 de febrero de 2021 y 0322 del 3 de junio de 2022, por medio de las cuales se estableció que el esfuerzo propio territorial para la vigencia </w:t>
      </w:r>
      <w:r w:rsidRPr="00A76485">
        <w:rPr>
          <w:rFonts w:ascii="Arial" w:eastAsia="Calibri" w:hAnsi="Arial" w:cs="Arial"/>
          <w:sz w:val="21"/>
          <w:szCs w:val="21"/>
        </w:rPr>
        <w:lastRenderedPageBreak/>
        <w:t>2021 fue de</w:t>
      </w:r>
      <w:r w:rsidR="00EA6524" w:rsidRPr="00A76485">
        <w:rPr>
          <w:rFonts w:ascii="Arial" w:eastAsia="Calibri" w:hAnsi="Arial" w:cs="Arial"/>
          <w:sz w:val="21"/>
          <w:szCs w:val="21"/>
        </w:rPr>
        <w:t xml:space="preserve"> </w:t>
      </w:r>
      <w:r w:rsidRPr="00A76485">
        <w:rPr>
          <w:rFonts w:ascii="Arial" w:eastAsia="Calibri" w:hAnsi="Arial" w:cs="Arial"/>
          <w:sz w:val="21"/>
          <w:szCs w:val="21"/>
        </w:rPr>
        <w:t>$4.721 millones y para la vigencia 2022 de $5.203 millones,</w:t>
      </w:r>
      <w:r w:rsidRPr="00A76485">
        <w:rPr>
          <w:rFonts w:ascii="Arial" w:hAnsi="Arial" w:cs="Arial"/>
          <w:sz w:val="21"/>
          <w:szCs w:val="21"/>
        </w:rPr>
        <w:t xml:space="preserve"> </w:t>
      </w:r>
      <w:r w:rsidRPr="00A76485">
        <w:rPr>
          <w:rFonts w:ascii="Arial" w:eastAsia="Calibri" w:hAnsi="Arial" w:cs="Arial"/>
          <w:sz w:val="21"/>
          <w:szCs w:val="21"/>
        </w:rPr>
        <w:t xml:space="preserve">los cuales no se ajustan a los proyectados por el </w:t>
      </w:r>
      <w:r w:rsidR="001D787E">
        <w:rPr>
          <w:rFonts w:ascii="Arial" w:eastAsia="Calibri" w:hAnsi="Arial" w:cs="Arial"/>
          <w:sz w:val="21"/>
          <w:szCs w:val="21"/>
        </w:rPr>
        <w:t>Ministerio de Salud y Protección Social</w:t>
      </w:r>
      <w:r w:rsidRPr="00A76485">
        <w:rPr>
          <w:rFonts w:ascii="Arial" w:eastAsia="Calibri" w:hAnsi="Arial" w:cs="Arial"/>
          <w:sz w:val="21"/>
          <w:szCs w:val="21"/>
        </w:rPr>
        <w:t xml:space="preserve"> en su matriz de cofinanciación</w:t>
      </w:r>
      <w:r w:rsidR="007E637A" w:rsidRPr="00A76485">
        <w:rPr>
          <w:rFonts w:ascii="Arial" w:eastAsia="Calibri" w:hAnsi="Arial" w:cs="Arial"/>
          <w:sz w:val="21"/>
          <w:szCs w:val="21"/>
        </w:rPr>
        <w:t xml:space="preserve"> teniendo en cuenta la modificación realizada en el mes de octubre por el mismo</w:t>
      </w:r>
      <w:r w:rsidRPr="00A76485">
        <w:rPr>
          <w:rFonts w:ascii="Arial" w:eastAsia="Calibri" w:hAnsi="Arial" w:cs="Arial"/>
          <w:sz w:val="21"/>
          <w:szCs w:val="21"/>
        </w:rPr>
        <w:t xml:space="preserve">, publicada en la página </w:t>
      </w:r>
      <w:r w:rsidRPr="00A76485">
        <w:rPr>
          <w:rFonts w:ascii="Arial" w:eastAsia="Calibri" w:hAnsi="Arial" w:cs="Arial"/>
          <w:i/>
          <w:iCs/>
          <w:sz w:val="21"/>
          <w:szCs w:val="21"/>
        </w:rPr>
        <w:t>Web</w:t>
      </w:r>
      <w:r w:rsidR="006F19BE" w:rsidRPr="00A76485">
        <w:rPr>
          <w:rFonts w:ascii="Arial" w:eastAsia="Calibri" w:hAnsi="Arial" w:cs="Arial"/>
          <w:sz w:val="21"/>
          <w:szCs w:val="21"/>
        </w:rPr>
        <w:t>, mostrando una diferencia de $</w:t>
      </w:r>
      <w:r w:rsidR="007E637A" w:rsidRPr="00A76485">
        <w:rPr>
          <w:rFonts w:ascii="Arial" w:eastAsia="Calibri" w:hAnsi="Arial" w:cs="Arial"/>
          <w:sz w:val="21"/>
          <w:szCs w:val="21"/>
        </w:rPr>
        <w:t xml:space="preserve"> 1.338 millones</w:t>
      </w:r>
      <w:r w:rsidR="00F46010">
        <w:rPr>
          <w:rFonts w:ascii="Arial" w:eastAsia="Calibri" w:hAnsi="Arial" w:cs="Arial"/>
          <w:sz w:val="21"/>
          <w:szCs w:val="21"/>
        </w:rPr>
        <w:t xml:space="preserve"> menos</w:t>
      </w:r>
      <w:r w:rsidR="007E637A" w:rsidRPr="00A76485">
        <w:rPr>
          <w:rFonts w:ascii="Arial" w:eastAsia="Calibri" w:hAnsi="Arial" w:cs="Arial"/>
          <w:sz w:val="21"/>
          <w:szCs w:val="21"/>
        </w:rPr>
        <w:t>.</w:t>
      </w:r>
    </w:p>
    <w:p w14:paraId="35CD5894" w14:textId="77777777" w:rsidR="00B53AC8" w:rsidRPr="00A76485" w:rsidRDefault="00B53AC8" w:rsidP="00492D77">
      <w:pPr>
        <w:contextualSpacing/>
        <w:jc w:val="both"/>
        <w:rPr>
          <w:rFonts w:ascii="Arial" w:eastAsia="Calibri" w:hAnsi="Arial" w:cs="Arial"/>
          <w:sz w:val="21"/>
          <w:szCs w:val="21"/>
        </w:rPr>
      </w:pPr>
    </w:p>
    <w:p w14:paraId="21CC01A1" w14:textId="77777777" w:rsidR="00B53AC8" w:rsidRPr="00A76485" w:rsidRDefault="00B53AC8" w:rsidP="00492D77">
      <w:pPr>
        <w:contextualSpacing/>
        <w:jc w:val="both"/>
        <w:rPr>
          <w:rFonts w:ascii="Arial" w:eastAsia="Calibri" w:hAnsi="Arial" w:cs="Arial"/>
          <w:sz w:val="21"/>
          <w:szCs w:val="21"/>
        </w:rPr>
      </w:pPr>
      <w:r w:rsidRPr="00A76485">
        <w:rPr>
          <w:rFonts w:ascii="Arial" w:eastAsia="Calibri" w:hAnsi="Arial" w:cs="Arial"/>
          <w:sz w:val="21"/>
          <w:szCs w:val="21"/>
        </w:rPr>
        <w:t xml:space="preserve">Ahora bien, de acuerdo con la Matriz de Continuidad del </w:t>
      </w:r>
      <w:r w:rsidR="001D787E">
        <w:rPr>
          <w:rFonts w:ascii="Arial" w:eastAsia="Calibri" w:hAnsi="Arial" w:cs="Arial"/>
          <w:sz w:val="21"/>
          <w:szCs w:val="21"/>
        </w:rPr>
        <w:t>Ministerio de Salud y Protección Social</w:t>
      </w:r>
      <w:r w:rsidRPr="00A76485">
        <w:rPr>
          <w:rFonts w:ascii="Arial" w:eastAsia="Calibri" w:hAnsi="Arial" w:cs="Arial"/>
          <w:sz w:val="21"/>
          <w:szCs w:val="21"/>
        </w:rPr>
        <w:t xml:space="preserve"> (ejecución) de la vigencia 2022, el monto ejecutado de cofinanciación con recursos de esfuerzo propio se estimó en $6.541 millones ($4.486 millones SSF y $2.055 millones CSF) y, con base en la ejecución presupuestal de gastos a cierre de 2022, se comprometieron $6.225 millones y se realizaron giros por $5.192 millones por dicho concepto, mostrando que al cierre de la vigencia 2022, la Entidad no realizó la totalidad del pago señalado por el </w:t>
      </w:r>
      <w:r w:rsidR="001D787E">
        <w:rPr>
          <w:rFonts w:ascii="Arial" w:eastAsia="Calibri" w:hAnsi="Arial" w:cs="Arial"/>
          <w:sz w:val="21"/>
          <w:szCs w:val="21"/>
        </w:rPr>
        <w:t>Ministerio de Salud y Protección Social</w:t>
      </w:r>
      <w:r w:rsidRPr="00A76485">
        <w:rPr>
          <w:rFonts w:ascii="Arial" w:eastAsia="Calibri" w:hAnsi="Arial" w:cs="Arial"/>
          <w:sz w:val="21"/>
          <w:szCs w:val="21"/>
        </w:rPr>
        <w:t xml:space="preserve"> en la Matriz de Continuidad respectiva</w:t>
      </w:r>
      <w:r w:rsidR="00EA6524" w:rsidRPr="00A76485">
        <w:rPr>
          <w:rFonts w:ascii="Arial" w:eastAsia="Calibri" w:hAnsi="Arial" w:cs="Arial"/>
          <w:sz w:val="21"/>
          <w:szCs w:val="21"/>
        </w:rPr>
        <w:t>.</w:t>
      </w:r>
    </w:p>
    <w:p w14:paraId="2A674B7E" w14:textId="77777777" w:rsidR="00B53AC8" w:rsidRPr="00A76485" w:rsidRDefault="00B53AC8" w:rsidP="00492D77">
      <w:pPr>
        <w:contextualSpacing/>
        <w:jc w:val="both"/>
        <w:rPr>
          <w:rFonts w:ascii="Arial" w:eastAsia="Calibri" w:hAnsi="Arial" w:cs="Arial"/>
          <w:sz w:val="21"/>
          <w:szCs w:val="21"/>
        </w:rPr>
      </w:pPr>
    </w:p>
    <w:p w14:paraId="57C7D79F"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En cuanto al seguimiento y control del Régimen Subsidiado el Distrito informa que la Secretar</w:t>
      </w:r>
      <w:r w:rsidR="00FB4369">
        <w:rPr>
          <w:rFonts w:ascii="Arial" w:hAnsi="Arial" w:cs="Arial"/>
          <w:sz w:val="21"/>
          <w:szCs w:val="21"/>
        </w:rPr>
        <w:t>í</w:t>
      </w:r>
      <w:r w:rsidRPr="00A76485">
        <w:rPr>
          <w:rFonts w:ascii="Arial" w:hAnsi="Arial" w:cs="Arial"/>
          <w:sz w:val="21"/>
          <w:szCs w:val="21"/>
        </w:rPr>
        <w:t xml:space="preserve">a de Salud Distrital, dentro de las competencias de inspección y vigilancia a las EPS, realiza inspección y vigilancia al Régimen Subsidiado a través </w:t>
      </w:r>
      <w:r w:rsidRPr="00A76485">
        <w:rPr>
          <w:rFonts w:ascii="Arial" w:hAnsi="Arial" w:cs="Arial"/>
          <w:iCs/>
          <w:sz w:val="21"/>
          <w:szCs w:val="21"/>
        </w:rPr>
        <w:t>del</w:t>
      </w:r>
      <w:r w:rsidRPr="00A76485">
        <w:rPr>
          <w:rFonts w:ascii="Arial" w:hAnsi="Arial" w:cs="Arial"/>
          <w:sz w:val="21"/>
          <w:szCs w:val="21"/>
        </w:rPr>
        <w:t xml:space="preserve"> monitoreo a las auditorías que desarrollan en los EAPB de su jurisdicción, en concordancia con las directrices dadas por la Superintendencia Nacional de Salud.</w:t>
      </w:r>
    </w:p>
    <w:p w14:paraId="28A7C71B" w14:textId="77777777" w:rsidR="00B53AC8" w:rsidRPr="00A76485" w:rsidRDefault="00B53AC8" w:rsidP="00492D77">
      <w:pPr>
        <w:contextualSpacing/>
        <w:jc w:val="both"/>
        <w:rPr>
          <w:rFonts w:ascii="Arial" w:hAnsi="Arial" w:cs="Arial"/>
          <w:sz w:val="21"/>
          <w:szCs w:val="21"/>
        </w:rPr>
      </w:pPr>
    </w:p>
    <w:p w14:paraId="478E1034"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En virtud de ello, para la vigencia 2020 la Superintendencia Nacional de Salud expidió la Circular 001 del 9 de enero de 2020, por medio de la cual se imparten instrucciones sobre el ejercicio de las funciones de inspección, vigilancia y control a nivel territorial, haciendo obligatoria la adopción e implementación de la guía de auditoría y del informe de auditoría dentro de los plazos establecidos en dicha circular.</w:t>
      </w:r>
    </w:p>
    <w:p w14:paraId="301079FA" w14:textId="77777777" w:rsidR="00B53AC8" w:rsidRPr="00A76485" w:rsidRDefault="00B53AC8" w:rsidP="00492D77">
      <w:pPr>
        <w:contextualSpacing/>
        <w:jc w:val="both"/>
        <w:rPr>
          <w:rFonts w:ascii="Arial" w:hAnsi="Arial" w:cs="Arial"/>
          <w:sz w:val="21"/>
          <w:szCs w:val="21"/>
        </w:rPr>
      </w:pPr>
    </w:p>
    <w:p w14:paraId="0324328F" w14:textId="77777777" w:rsidR="00B53AC8" w:rsidRDefault="00B53AC8" w:rsidP="00492D77">
      <w:pPr>
        <w:contextualSpacing/>
        <w:jc w:val="both"/>
        <w:rPr>
          <w:rFonts w:ascii="Arial" w:hAnsi="Arial" w:cs="Arial"/>
          <w:sz w:val="21"/>
          <w:szCs w:val="21"/>
        </w:rPr>
      </w:pPr>
      <w:r w:rsidRPr="00A76485">
        <w:rPr>
          <w:rFonts w:ascii="Arial" w:hAnsi="Arial" w:cs="Arial"/>
          <w:sz w:val="21"/>
          <w:szCs w:val="21"/>
        </w:rPr>
        <w:t>En cuanto al seguimiento correspondiente a las vigencias 2021 y 2022 la Entidad Territorial menciona en su informe:</w:t>
      </w:r>
    </w:p>
    <w:p w14:paraId="1EB4370C" w14:textId="77777777" w:rsidR="001D787E" w:rsidRPr="001D787E" w:rsidRDefault="001D787E" w:rsidP="00492D77">
      <w:pPr>
        <w:contextualSpacing/>
        <w:jc w:val="both"/>
        <w:rPr>
          <w:rFonts w:ascii="Arial" w:hAnsi="Arial" w:cs="Arial"/>
          <w:sz w:val="21"/>
          <w:szCs w:val="21"/>
        </w:rPr>
      </w:pPr>
    </w:p>
    <w:p w14:paraId="02B08974" w14:textId="77777777" w:rsidR="00B53AC8" w:rsidRPr="001D787E" w:rsidRDefault="00B53AC8" w:rsidP="001D787E">
      <w:pPr>
        <w:pStyle w:val="Textoindependiente"/>
        <w:spacing w:after="0"/>
        <w:ind w:right="49"/>
        <w:jc w:val="both"/>
        <w:rPr>
          <w:rFonts w:ascii="Arial" w:hAnsi="Arial" w:cs="Arial"/>
          <w:i/>
          <w:iCs/>
          <w:sz w:val="21"/>
          <w:szCs w:val="21"/>
        </w:rPr>
      </w:pPr>
      <w:r w:rsidRPr="001D787E">
        <w:rPr>
          <w:rFonts w:ascii="Arial" w:hAnsi="Arial" w:cs="Arial"/>
          <w:i/>
          <w:iCs/>
          <w:sz w:val="21"/>
          <w:szCs w:val="21"/>
        </w:rPr>
        <w:t xml:space="preserve">“[…] Con base en los criterios de seguimiento definidos, objeto de verificación en las EPS que operan en el distrito, se realiza el siguiente informe de auditoría en donde se detalla </w:t>
      </w:r>
      <w:r w:rsidRPr="001D787E">
        <w:rPr>
          <w:rFonts w:ascii="Arial" w:hAnsi="Arial" w:cs="Arial"/>
          <w:i/>
          <w:iCs/>
          <w:spacing w:val="3"/>
          <w:sz w:val="21"/>
          <w:szCs w:val="21"/>
        </w:rPr>
        <w:t xml:space="preserve">la situación evidenciada, observaciones y normas infringidas </w:t>
      </w:r>
      <w:r w:rsidRPr="001D787E">
        <w:rPr>
          <w:rFonts w:ascii="Arial" w:hAnsi="Arial" w:cs="Arial"/>
          <w:i/>
          <w:iCs/>
          <w:sz w:val="21"/>
          <w:szCs w:val="21"/>
        </w:rPr>
        <w:t xml:space="preserve">como resultado del análisis de los documentos, soportes y/o evidencias reportadas por las EPS a la </w:t>
      </w:r>
      <w:proofErr w:type="gramStart"/>
      <w:r w:rsidRPr="001D787E">
        <w:rPr>
          <w:rFonts w:ascii="Arial" w:hAnsi="Arial" w:cs="Arial"/>
          <w:i/>
          <w:iCs/>
          <w:sz w:val="21"/>
          <w:szCs w:val="21"/>
        </w:rPr>
        <w:t>Secretaria</w:t>
      </w:r>
      <w:proofErr w:type="gramEnd"/>
      <w:r w:rsidRPr="001D787E">
        <w:rPr>
          <w:rFonts w:ascii="Arial" w:hAnsi="Arial" w:cs="Arial"/>
          <w:i/>
          <w:iCs/>
          <w:sz w:val="21"/>
          <w:szCs w:val="21"/>
        </w:rPr>
        <w:t xml:space="preserve"> de Salud Distrital en el proceso de auditoria correspondiente a la vigencia 2021.</w:t>
      </w:r>
    </w:p>
    <w:p w14:paraId="4995D333" w14:textId="77777777" w:rsidR="001D787E" w:rsidRDefault="001D787E" w:rsidP="00492D77">
      <w:pPr>
        <w:pStyle w:val="Textoindependiente"/>
        <w:spacing w:after="0"/>
        <w:ind w:right="367"/>
        <w:jc w:val="both"/>
        <w:rPr>
          <w:rFonts w:ascii="Arial" w:hAnsi="Arial" w:cs="Arial"/>
          <w:i/>
          <w:sz w:val="21"/>
          <w:szCs w:val="21"/>
        </w:rPr>
      </w:pPr>
    </w:p>
    <w:p w14:paraId="13D41DE1" w14:textId="77777777" w:rsidR="003D7CCD" w:rsidRDefault="003D7CCD" w:rsidP="003D7CCD">
      <w:pPr>
        <w:jc w:val="center"/>
        <w:rPr>
          <w:rFonts w:ascii="Arial" w:hAnsi="Arial" w:cs="Arial"/>
          <w:b/>
          <w:sz w:val="18"/>
          <w:szCs w:val="18"/>
        </w:rPr>
      </w:pPr>
      <w:r>
        <w:rPr>
          <w:rFonts w:ascii="Arial" w:hAnsi="Arial" w:cs="Arial"/>
          <w:b/>
          <w:sz w:val="18"/>
          <w:szCs w:val="18"/>
        </w:rPr>
        <w:t>Tabla No 11</w:t>
      </w:r>
    </w:p>
    <w:tbl>
      <w:tblPr>
        <w:tblStyle w:val="Tablaconcuadrcula4-nfasis5"/>
        <w:tblW w:w="5000" w:type="pct"/>
        <w:tblLook w:val="01E0" w:firstRow="1" w:lastRow="1" w:firstColumn="1" w:lastColumn="1" w:noHBand="0" w:noVBand="0"/>
      </w:tblPr>
      <w:tblGrid>
        <w:gridCol w:w="2824"/>
        <w:gridCol w:w="2701"/>
        <w:gridCol w:w="3303"/>
      </w:tblGrid>
      <w:tr w:rsidR="003D7CCD" w14:paraId="2E0F64E9" w14:textId="77777777" w:rsidTr="003D7CCD">
        <w:trPr>
          <w:cnfStyle w:val="100000000000" w:firstRow="1" w:lastRow="0" w:firstColumn="0" w:lastColumn="0" w:oddVBand="0" w:evenVBand="0" w:oddHBand="0" w:evenHBand="0" w:firstRowFirstColumn="0" w:firstRowLastColumn="0" w:lastRowFirstColumn="0" w:lastRowLastColumn="0"/>
          <w:trHeight w:val="81"/>
          <w:tblHeader/>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4B8AFCC1" w14:textId="77777777" w:rsidR="003D7CCD" w:rsidRDefault="003D7CCD">
            <w:pPr>
              <w:pStyle w:val="TableParagraph"/>
              <w:ind w:left="1918" w:right="1673"/>
              <w:jc w:val="center"/>
              <w:rPr>
                <w:rFonts w:ascii="Arial" w:hAnsi="Arial" w:cs="Arial"/>
                <w:b w:val="0"/>
                <w:i/>
                <w:sz w:val="16"/>
                <w:szCs w:val="16"/>
                <w:lang w:val="es-ES"/>
              </w:rPr>
            </w:pPr>
            <w:r>
              <w:rPr>
                <w:rFonts w:ascii="Arial" w:hAnsi="Arial" w:cs="Arial"/>
                <w:i/>
                <w:w w:val="120"/>
                <w:sz w:val="16"/>
                <w:szCs w:val="16"/>
                <w:lang w:val="es-ES"/>
              </w:rPr>
              <w:t>DEPARTAMENTO</w:t>
            </w:r>
            <w:r>
              <w:rPr>
                <w:rFonts w:ascii="Arial" w:hAnsi="Arial" w:cs="Arial"/>
                <w:i/>
                <w:spacing w:val="6"/>
                <w:w w:val="120"/>
                <w:sz w:val="16"/>
                <w:szCs w:val="16"/>
                <w:lang w:val="es-ES"/>
              </w:rPr>
              <w:t xml:space="preserve"> </w:t>
            </w:r>
            <w:r>
              <w:rPr>
                <w:rFonts w:ascii="Arial" w:hAnsi="Arial" w:cs="Arial"/>
                <w:i/>
                <w:w w:val="120"/>
                <w:sz w:val="16"/>
                <w:szCs w:val="16"/>
                <w:lang w:val="es-ES"/>
              </w:rPr>
              <w:t xml:space="preserve">MAGDALENA – SANTA MARTA </w:t>
            </w:r>
          </w:p>
        </w:tc>
      </w:tr>
      <w:tr w:rsidR="003D7CCD" w14:paraId="33FFAFCA" w14:textId="77777777" w:rsidTr="003D7CCD">
        <w:trPr>
          <w:cnfStyle w:val="100000000000" w:firstRow="1" w:lastRow="0" w:firstColumn="0" w:lastColumn="0" w:oddVBand="0" w:evenVBand="0" w:oddHBand="0" w:evenHBand="0" w:firstRowFirstColumn="0" w:firstRowLastColumn="0" w:lastRowFirstColumn="0" w:lastRowLastColumn="0"/>
          <w:trHeight w:val="89"/>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F9F0E98" w14:textId="77777777" w:rsidR="003D7CCD" w:rsidRDefault="003D7CCD">
            <w:pPr>
              <w:pStyle w:val="TableParagraph"/>
              <w:ind w:left="1783" w:right="1673"/>
              <w:jc w:val="center"/>
              <w:rPr>
                <w:rFonts w:ascii="Arial" w:hAnsi="Arial" w:cs="Arial"/>
                <w:b w:val="0"/>
                <w:i/>
                <w:sz w:val="16"/>
                <w:szCs w:val="16"/>
                <w:lang w:val="es-ES"/>
              </w:rPr>
            </w:pPr>
            <w:r>
              <w:rPr>
                <w:rFonts w:ascii="Arial" w:hAnsi="Arial" w:cs="Arial"/>
                <w:i/>
                <w:w w:val="120"/>
                <w:sz w:val="16"/>
                <w:szCs w:val="16"/>
                <w:lang w:val="es-ES"/>
              </w:rPr>
              <w:t>EPS:</w:t>
            </w:r>
            <w:r>
              <w:rPr>
                <w:rFonts w:ascii="Arial" w:hAnsi="Arial" w:cs="Arial"/>
                <w:i/>
                <w:spacing w:val="3"/>
                <w:w w:val="120"/>
                <w:sz w:val="16"/>
                <w:szCs w:val="16"/>
                <w:lang w:val="es-ES"/>
              </w:rPr>
              <w:t xml:space="preserve"> </w:t>
            </w:r>
            <w:r>
              <w:rPr>
                <w:rFonts w:ascii="Arial" w:hAnsi="Arial" w:cs="Arial"/>
                <w:i/>
                <w:w w:val="120"/>
                <w:sz w:val="16"/>
                <w:szCs w:val="16"/>
                <w:lang w:val="es-ES"/>
              </w:rPr>
              <w:t xml:space="preserve">COOSALUD </w:t>
            </w:r>
            <w:r>
              <w:rPr>
                <w:rFonts w:ascii="Arial" w:hAnsi="Arial" w:cs="Arial"/>
                <w:b w:val="0"/>
                <w:i/>
                <w:w w:val="120"/>
                <w:sz w:val="16"/>
                <w:szCs w:val="16"/>
                <w:lang w:val="es-ES"/>
              </w:rPr>
              <w:t>- CONTRIBUTIVO</w:t>
            </w:r>
          </w:p>
        </w:tc>
      </w:tr>
      <w:tr w:rsidR="003D7CCD" w14:paraId="452E3027" w14:textId="77777777" w:rsidTr="003D7CCD">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1599"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307B8AA" w14:textId="77777777" w:rsidR="003D7CCD" w:rsidRDefault="003D7CCD">
            <w:pPr>
              <w:pStyle w:val="TableParagraph"/>
              <w:ind w:left="447" w:hanging="306"/>
              <w:rPr>
                <w:rFonts w:ascii="Arial" w:hAnsi="Arial" w:cs="Arial"/>
                <w:i/>
                <w:sz w:val="16"/>
                <w:szCs w:val="16"/>
              </w:rPr>
            </w:pPr>
            <w:r>
              <w:rPr>
                <w:rFonts w:ascii="Arial" w:eastAsia="Times New Roman" w:hAnsi="Arial" w:cs="Arial"/>
                <w:i/>
                <w:sz w:val="16"/>
                <w:szCs w:val="16"/>
                <w:lang w:eastAsia="es-CO"/>
              </w:rPr>
              <w:t>CRITERIO PARA EVALUAR</w:t>
            </w:r>
          </w:p>
        </w:tc>
        <w:tc>
          <w:tcPr>
            <w:cnfStyle w:val="000010000000" w:firstRow="0" w:lastRow="0" w:firstColumn="0" w:lastColumn="0" w:oddVBand="1" w:evenVBand="0" w:oddHBand="0" w:evenHBand="0" w:firstRowFirstColumn="0" w:firstRowLastColumn="0" w:lastRowFirstColumn="0" w:lastRowLastColumn="0"/>
            <w:tcW w:w="153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A443B43" w14:textId="77777777" w:rsidR="003D7CCD" w:rsidRDefault="003D7CCD">
            <w:pPr>
              <w:pStyle w:val="TableParagraph"/>
              <w:rPr>
                <w:rFonts w:ascii="Arial" w:hAnsi="Arial" w:cs="Arial"/>
                <w:i/>
                <w:sz w:val="16"/>
                <w:szCs w:val="16"/>
              </w:rPr>
            </w:pPr>
            <w:r>
              <w:rPr>
                <w:rFonts w:ascii="Arial" w:eastAsia="Times New Roman" w:hAnsi="Arial" w:cs="Arial"/>
                <w:b w:val="0"/>
                <w:bCs w:val="0"/>
                <w:i/>
                <w:sz w:val="16"/>
                <w:szCs w:val="16"/>
                <w:lang w:eastAsia="es-CO"/>
              </w:rPr>
              <w:t>SITUACIÓN EVIDENCIADA</w:t>
            </w:r>
          </w:p>
        </w:tc>
        <w:tc>
          <w:tcPr>
            <w:cnfStyle w:val="000100000000" w:firstRow="0" w:lastRow="0" w:firstColumn="0" w:lastColumn="1" w:oddVBand="0" w:evenVBand="0" w:oddHBand="0" w:evenHBand="0" w:firstRowFirstColumn="0" w:firstRowLastColumn="0" w:lastRowFirstColumn="0" w:lastRowLastColumn="0"/>
            <w:tcW w:w="1871"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6A22339" w14:textId="77777777" w:rsidR="003D7CCD" w:rsidRDefault="003D7CCD">
            <w:pPr>
              <w:pStyle w:val="TableParagraph"/>
              <w:rPr>
                <w:rFonts w:ascii="Arial" w:hAnsi="Arial" w:cs="Arial"/>
                <w:i/>
                <w:sz w:val="16"/>
                <w:szCs w:val="16"/>
              </w:rPr>
            </w:pPr>
            <w:r>
              <w:rPr>
                <w:rFonts w:ascii="Arial" w:eastAsia="Times New Roman" w:hAnsi="Arial" w:cs="Arial"/>
                <w:i/>
                <w:sz w:val="16"/>
                <w:szCs w:val="16"/>
                <w:lang w:eastAsia="es-CO"/>
              </w:rPr>
              <w:t>NORMAS PRESUNTAMENTE INFRINGIDAS</w:t>
            </w:r>
          </w:p>
        </w:tc>
      </w:tr>
      <w:tr w:rsidR="003D7CCD" w14:paraId="79CED318" w14:textId="77777777" w:rsidTr="003D7CC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99"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7FA181F" w14:textId="77777777" w:rsidR="003D7CCD" w:rsidRDefault="003D7CCD">
            <w:pPr>
              <w:pStyle w:val="TableParagraph"/>
              <w:ind w:left="22"/>
              <w:jc w:val="both"/>
              <w:rPr>
                <w:rFonts w:ascii="Arial" w:eastAsia="Times New Roman" w:hAnsi="Arial" w:cs="Arial"/>
                <w:b w:val="0"/>
                <w:bCs w:val="0"/>
                <w:i/>
                <w:sz w:val="16"/>
                <w:szCs w:val="16"/>
                <w:lang w:val="es-ES" w:eastAsia="es-CO"/>
              </w:rPr>
            </w:pPr>
            <w:r>
              <w:rPr>
                <w:rFonts w:ascii="Arial" w:eastAsia="Times New Roman" w:hAnsi="Arial" w:cs="Arial"/>
                <w:i/>
                <w:sz w:val="16"/>
                <w:szCs w:val="16"/>
                <w:lang w:val="es-ES" w:eastAsia="es-CO"/>
              </w:rPr>
              <w:t>4. La EPS realizó análisis de los indicadores de monitoreo de la calidad en salud (Res. 256/16) e implementó estrategias de mejoramiento.</w:t>
            </w:r>
          </w:p>
        </w:tc>
        <w:tc>
          <w:tcPr>
            <w:cnfStyle w:val="000010000000" w:firstRow="0" w:lastRow="0" w:firstColumn="0" w:lastColumn="0" w:oddVBand="1" w:evenVBand="0" w:oddHBand="0" w:evenHBand="0" w:firstRowFirstColumn="0" w:firstRowLastColumn="0" w:lastRowFirstColumn="0" w:lastRowLastColumn="0"/>
            <w:tcW w:w="153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707C0977" w14:textId="77777777" w:rsidR="003D7CCD" w:rsidRDefault="003D7CCD">
            <w:pPr>
              <w:pStyle w:val="TableParagraph"/>
              <w:tabs>
                <w:tab w:val="left" w:pos="1099"/>
              </w:tabs>
              <w:ind w:right="64"/>
              <w:jc w:val="both"/>
              <w:rPr>
                <w:rFonts w:ascii="Arial" w:hAnsi="Arial" w:cs="Arial"/>
                <w:i/>
                <w:sz w:val="16"/>
                <w:szCs w:val="16"/>
                <w:lang w:val="es-ES"/>
              </w:rPr>
            </w:pPr>
            <w:r>
              <w:rPr>
                <w:rFonts w:ascii="Arial" w:hAnsi="Arial" w:cs="Arial"/>
                <w:i/>
                <w:sz w:val="16"/>
                <w:szCs w:val="16"/>
                <w:lang w:val="es-ES"/>
              </w:rPr>
              <w:t>La EPS NO analizó los indicadores de monitoreo de la calidad ni implementó estrategias de mejoramiento.</w:t>
            </w:r>
          </w:p>
          <w:p w14:paraId="618420E0" w14:textId="77777777" w:rsidR="003D7CCD" w:rsidRDefault="003D7CCD">
            <w:pPr>
              <w:pStyle w:val="TableParagraph"/>
              <w:tabs>
                <w:tab w:val="left" w:pos="1099"/>
              </w:tabs>
              <w:ind w:left="72" w:right="64"/>
              <w:jc w:val="both"/>
              <w:rPr>
                <w:rFonts w:ascii="Arial" w:hAnsi="Arial" w:cs="Arial"/>
                <w:i/>
                <w:sz w:val="16"/>
                <w:szCs w:val="16"/>
                <w:lang w:val="es-ES"/>
              </w:rPr>
            </w:pPr>
          </w:p>
          <w:p w14:paraId="24EE1AF3" w14:textId="77777777" w:rsidR="003D7CCD" w:rsidRDefault="003D7CCD">
            <w:pPr>
              <w:pStyle w:val="TableParagraph"/>
              <w:jc w:val="both"/>
              <w:rPr>
                <w:rFonts w:ascii="Arial" w:eastAsia="Times New Roman" w:hAnsi="Arial" w:cs="Arial"/>
                <w:bCs/>
                <w:i/>
                <w:sz w:val="16"/>
                <w:szCs w:val="16"/>
                <w:lang w:val="es-ES" w:eastAsia="es-CO"/>
              </w:rPr>
            </w:pPr>
          </w:p>
        </w:tc>
        <w:tc>
          <w:tcPr>
            <w:cnfStyle w:val="000100000000" w:firstRow="0" w:lastRow="0" w:firstColumn="0" w:lastColumn="1" w:oddVBand="0" w:evenVBand="0" w:oddHBand="0" w:evenHBand="0" w:firstRowFirstColumn="0" w:firstRowLastColumn="0" w:lastRowFirstColumn="0" w:lastRowLastColumn="0"/>
            <w:tcW w:w="1871"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5D8CB37E" w14:textId="77777777" w:rsidR="003D7CCD" w:rsidRDefault="003D7CCD">
            <w:pPr>
              <w:pStyle w:val="TableParagraph"/>
              <w:jc w:val="both"/>
              <w:rPr>
                <w:rFonts w:ascii="Arial" w:eastAsia="Times New Roman" w:hAnsi="Arial" w:cs="Arial"/>
                <w:b w:val="0"/>
                <w:bCs w:val="0"/>
                <w:i/>
                <w:sz w:val="16"/>
                <w:szCs w:val="16"/>
                <w:lang w:val="es-ES" w:eastAsia="es-CO"/>
              </w:rPr>
            </w:pPr>
            <w:r>
              <w:rPr>
                <w:rFonts w:ascii="Arial" w:hAnsi="Arial" w:cs="Arial"/>
                <w:b w:val="0"/>
                <w:i/>
                <w:sz w:val="16"/>
                <w:szCs w:val="16"/>
                <w:lang w:val="es-ES"/>
              </w:rPr>
              <w:t xml:space="preserve"> Artículo 14 de la Resolución 256 de 2016, artículo 14 de la Ley 1122 de 2007, numeral 6 del artículo 178 y literal c) del numeral 4 del artículo 180 de la Ley 100 de 1993.</w:t>
            </w:r>
          </w:p>
        </w:tc>
      </w:tr>
      <w:tr w:rsidR="003D7CCD" w14:paraId="5AE18C2C" w14:textId="77777777" w:rsidTr="003D7CCD">
        <w:trPr>
          <w:trHeight w:val="245"/>
        </w:trPr>
        <w:tc>
          <w:tcPr>
            <w:cnfStyle w:val="001000000000" w:firstRow="0" w:lastRow="0" w:firstColumn="1" w:lastColumn="0" w:oddVBand="0" w:evenVBand="0" w:oddHBand="0" w:evenHBand="0" w:firstRowFirstColumn="0" w:firstRowLastColumn="0" w:lastRowFirstColumn="0" w:lastRowLastColumn="0"/>
            <w:tcW w:w="1599"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0E853642" w14:textId="77777777" w:rsidR="003D7CCD" w:rsidRDefault="003D7CCD">
            <w:pPr>
              <w:pStyle w:val="TableParagraph"/>
              <w:ind w:left="22"/>
              <w:jc w:val="both"/>
              <w:rPr>
                <w:rFonts w:ascii="Arial" w:eastAsia="Times New Roman" w:hAnsi="Arial" w:cs="Arial"/>
                <w:bCs w:val="0"/>
                <w:i/>
                <w:sz w:val="16"/>
                <w:szCs w:val="16"/>
                <w:lang w:val="es-ES" w:eastAsia="es-CO"/>
              </w:rPr>
            </w:pPr>
            <w:r>
              <w:rPr>
                <w:rFonts w:ascii="Arial" w:eastAsia="Times New Roman" w:hAnsi="Arial" w:cs="Arial"/>
                <w:i/>
                <w:sz w:val="16"/>
                <w:szCs w:val="16"/>
                <w:lang w:val="es-ES" w:eastAsia="es-CO"/>
              </w:rPr>
              <w:t>6. La EPS garantiza a los usuarios en movilidad o portabilidad la continuidad del aseguramiento y la prestación de los servicios que venían recibiendo.</w:t>
            </w:r>
          </w:p>
        </w:tc>
        <w:tc>
          <w:tcPr>
            <w:cnfStyle w:val="000010000000" w:firstRow="0" w:lastRow="0" w:firstColumn="0" w:lastColumn="0" w:oddVBand="1" w:evenVBand="0" w:oddHBand="0" w:evenHBand="0" w:firstRowFirstColumn="0" w:firstRowLastColumn="0" w:lastRowFirstColumn="0" w:lastRowLastColumn="0"/>
            <w:tcW w:w="153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77F433E" w14:textId="77777777" w:rsidR="003D7CCD" w:rsidRDefault="003D7CCD">
            <w:pPr>
              <w:pStyle w:val="TableParagraph"/>
              <w:ind w:right="46"/>
              <w:jc w:val="both"/>
              <w:rPr>
                <w:rFonts w:ascii="Arial" w:hAnsi="Arial" w:cs="Arial"/>
                <w:i/>
                <w:sz w:val="16"/>
                <w:szCs w:val="16"/>
                <w:lang w:val="es-ES"/>
              </w:rPr>
            </w:pPr>
            <w:r>
              <w:rPr>
                <w:rFonts w:ascii="Arial" w:hAnsi="Arial" w:cs="Arial"/>
                <w:i/>
                <w:sz w:val="16"/>
                <w:szCs w:val="16"/>
                <w:lang w:val="es-ES"/>
              </w:rPr>
              <w:t>La EPS NO garantiza el aseguramiento y la prestación a los usuarios en movilidad o portabilidad.</w:t>
            </w:r>
          </w:p>
          <w:p w14:paraId="58435D04" w14:textId="77777777" w:rsidR="003D7CCD" w:rsidRDefault="003D7CCD">
            <w:pPr>
              <w:pStyle w:val="TableParagraph"/>
              <w:tabs>
                <w:tab w:val="left" w:pos="1099"/>
              </w:tabs>
              <w:ind w:right="64"/>
              <w:jc w:val="both"/>
              <w:rPr>
                <w:rFonts w:ascii="Arial" w:hAnsi="Arial" w:cs="Arial"/>
                <w:i/>
                <w:sz w:val="16"/>
                <w:szCs w:val="16"/>
                <w:lang w:val="es-ES"/>
              </w:rPr>
            </w:pPr>
            <w:r>
              <w:rPr>
                <w:rFonts w:ascii="Arial" w:hAnsi="Arial" w:cs="Arial"/>
                <w:i/>
                <w:sz w:val="16"/>
                <w:szCs w:val="16"/>
                <w:lang w:val="es-ES"/>
              </w:rPr>
              <w:t xml:space="preserve">La </w:t>
            </w:r>
            <w:proofErr w:type="gramStart"/>
            <w:r>
              <w:rPr>
                <w:rFonts w:ascii="Arial" w:hAnsi="Arial" w:cs="Arial"/>
                <w:i/>
                <w:sz w:val="16"/>
                <w:szCs w:val="16"/>
                <w:lang w:val="es-ES"/>
              </w:rPr>
              <w:t>EPS  excedió</w:t>
            </w:r>
            <w:proofErr w:type="gramEnd"/>
            <w:r>
              <w:rPr>
                <w:rFonts w:ascii="Arial" w:hAnsi="Arial" w:cs="Arial"/>
                <w:i/>
                <w:sz w:val="16"/>
                <w:szCs w:val="16"/>
                <w:lang w:val="es-ES"/>
              </w:rPr>
              <w:t xml:space="preserve"> las horas de prestación de servicio   con el usuario CC 1017138526</w:t>
            </w:r>
          </w:p>
        </w:tc>
        <w:tc>
          <w:tcPr>
            <w:cnfStyle w:val="000100000000" w:firstRow="0" w:lastRow="0" w:firstColumn="0" w:lastColumn="1" w:oddVBand="0" w:evenVBand="0" w:oddHBand="0" w:evenHBand="0" w:firstRowFirstColumn="0" w:firstRowLastColumn="0" w:lastRowFirstColumn="0" w:lastRowLastColumn="0"/>
            <w:tcW w:w="1871"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2B5444D6" w14:textId="77777777" w:rsidR="003D7CCD" w:rsidRDefault="003D7CCD">
            <w:pPr>
              <w:ind w:right="49"/>
              <w:jc w:val="both"/>
              <w:rPr>
                <w:rFonts w:ascii="Arial" w:hAnsi="Arial" w:cs="Arial"/>
                <w:b w:val="0"/>
                <w:i/>
                <w:sz w:val="16"/>
                <w:szCs w:val="16"/>
              </w:rPr>
            </w:pPr>
            <w:r>
              <w:rPr>
                <w:rFonts w:ascii="Arial" w:hAnsi="Arial" w:cs="Arial"/>
                <w:b w:val="0"/>
                <w:i/>
                <w:sz w:val="16"/>
                <w:szCs w:val="16"/>
              </w:rPr>
              <w:t>Artículo 3 y numeral 4.1.1 del artículo 4 de la Resolución 5600 de 2015, y artículos 2.1.3.4, 2.1.12.5 y 2.1.12.6 del Decreto 780 de 2016.</w:t>
            </w:r>
          </w:p>
        </w:tc>
      </w:tr>
      <w:tr w:rsidR="003D7CCD" w14:paraId="3E3E6D2E" w14:textId="77777777" w:rsidTr="003D7CCD">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99"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9CB6A4C" w14:textId="77777777" w:rsidR="003D7CCD" w:rsidRDefault="003D7CCD">
            <w:pPr>
              <w:pStyle w:val="TableParagraph"/>
              <w:jc w:val="both"/>
              <w:rPr>
                <w:rFonts w:ascii="Arial" w:eastAsia="Times New Roman" w:hAnsi="Arial" w:cs="Arial"/>
                <w:bCs w:val="0"/>
                <w:i/>
                <w:sz w:val="16"/>
                <w:szCs w:val="16"/>
                <w:lang w:val="es-ES" w:eastAsia="es-CO"/>
              </w:rPr>
            </w:pPr>
            <w:r>
              <w:rPr>
                <w:rFonts w:ascii="Arial" w:hAnsi="Arial" w:cs="Arial"/>
                <w:i/>
                <w:sz w:val="16"/>
                <w:szCs w:val="16"/>
                <w:lang w:val="es-ES"/>
              </w:rPr>
              <w:lastRenderedPageBreak/>
              <w:t>11. La EPS en la operación del sistema de referencia y contrarreferencia cuenta con una red de prestadores disponible y suficiente en todos los niveles de complejidad, así como la disponibilidad de la red de transporte y comunicaciones. </w:t>
            </w:r>
          </w:p>
        </w:tc>
        <w:tc>
          <w:tcPr>
            <w:cnfStyle w:val="000010000000" w:firstRow="0" w:lastRow="0" w:firstColumn="0" w:lastColumn="0" w:oddVBand="1" w:evenVBand="0" w:oddHBand="0" w:evenHBand="0" w:firstRowFirstColumn="0" w:firstRowLastColumn="0" w:lastRowFirstColumn="0" w:lastRowLastColumn="0"/>
            <w:tcW w:w="1530"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BB9B82F" w14:textId="77777777" w:rsidR="003D7CCD" w:rsidRDefault="003D7CCD">
            <w:pPr>
              <w:ind w:right="49"/>
              <w:jc w:val="both"/>
              <w:rPr>
                <w:rFonts w:ascii="Arial" w:hAnsi="Arial" w:cs="Arial"/>
                <w:i/>
                <w:sz w:val="16"/>
                <w:szCs w:val="16"/>
              </w:rPr>
            </w:pPr>
          </w:p>
          <w:p w14:paraId="0EDB9CFF" w14:textId="77777777" w:rsidR="003D7CCD" w:rsidRDefault="003D7CCD">
            <w:pPr>
              <w:pStyle w:val="TableParagraph"/>
              <w:tabs>
                <w:tab w:val="left" w:pos="1099"/>
              </w:tabs>
              <w:ind w:right="64"/>
              <w:jc w:val="both"/>
              <w:rPr>
                <w:rFonts w:ascii="Arial" w:hAnsi="Arial" w:cs="Arial"/>
                <w:i/>
                <w:sz w:val="16"/>
                <w:szCs w:val="16"/>
                <w:lang w:val="es-ES"/>
              </w:rPr>
            </w:pPr>
            <w:r>
              <w:rPr>
                <w:rFonts w:ascii="Arial" w:hAnsi="Arial" w:cs="Arial"/>
                <w:i/>
                <w:sz w:val="16"/>
                <w:szCs w:val="16"/>
                <w:lang w:val="es-ES"/>
              </w:rPr>
              <w:t>La EPS NO dio respuesta dentro de las 12 horas de la solicitud del servicio adicional, posterior de la atención inicial de urgencias. </w:t>
            </w:r>
          </w:p>
        </w:tc>
        <w:tc>
          <w:tcPr>
            <w:cnfStyle w:val="000100000000" w:firstRow="0" w:lastRow="0" w:firstColumn="0" w:lastColumn="1" w:oddVBand="0" w:evenVBand="0" w:oddHBand="0" w:evenHBand="0" w:firstRowFirstColumn="0" w:firstRowLastColumn="0" w:lastRowFirstColumn="0" w:lastRowLastColumn="0"/>
            <w:tcW w:w="1871" w:type="pct"/>
            <w:tc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1A22A5C6" w14:textId="77777777" w:rsidR="003D7CCD" w:rsidRDefault="003D7CCD">
            <w:pPr>
              <w:ind w:right="49"/>
              <w:jc w:val="both"/>
              <w:rPr>
                <w:rFonts w:ascii="Arial" w:hAnsi="Arial" w:cs="Arial"/>
                <w:b w:val="0"/>
                <w:i/>
                <w:sz w:val="16"/>
                <w:szCs w:val="16"/>
              </w:rPr>
            </w:pPr>
            <w:r>
              <w:rPr>
                <w:rFonts w:ascii="Arial" w:hAnsi="Arial" w:cs="Arial"/>
                <w:b w:val="0"/>
                <w:i/>
                <w:sz w:val="16"/>
                <w:szCs w:val="16"/>
              </w:rPr>
              <w:t>Artículos 2.5.3.2.7, 2.5.3.2.16 y 2.5.2.3.8 (numeral 4) del Decreto 780 de 2016, y artículo 4 de la Resolución 3047 de 2008. </w:t>
            </w:r>
          </w:p>
        </w:tc>
      </w:tr>
      <w:tr w:rsidR="003D7CCD" w14:paraId="56738B40" w14:textId="77777777" w:rsidTr="003D7CCD">
        <w:trPr>
          <w:cnfStyle w:val="010000000000" w:firstRow="0" w:lastRow="1"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599" w:type="pct"/>
            <w:tcBorders>
              <w:top w:val="doub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BEF45CA" w14:textId="77777777" w:rsidR="003D7CCD" w:rsidRDefault="003D7CCD">
            <w:pPr>
              <w:pStyle w:val="TableParagraph"/>
              <w:jc w:val="both"/>
              <w:rPr>
                <w:rFonts w:ascii="Arial" w:eastAsia="Times New Roman" w:hAnsi="Arial" w:cs="Arial"/>
                <w:bCs w:val="0"/>
                <w:i/>
                <w:sz w:val="16"/>
                <w:szCs w:val="16"/>
                <w:lang w:val="es-ES" w:eastAsia="es-CO"/>
              </w:rPr>
            </w:pPr>
            <w:r>
              <w:rPr>
                <w:rFonts w:ascii="Arial" w:eastAsia="Times New Roman" w:hAnsi="Arial" w:cs="Arial"/>
                <w:i/>
                <w:sz w:val="16"/>
                <w:szCs w:val="16"/>
                <w:lang w:val="es-ES" w:eastAsia="es-CO"/>
              </w:rPr>
              <w:t>17. La EPS garantiza las intervenciones individuales de la RIAS de Promoción y Mantenimiento de la Salud.</w:t>
            </w:r>
          </w:p>
        </w:tc>
        <w:tc>
          <w:tcPr>
            <w:cnfStyle w:val="000010000000" w:firstRow="0" w:lastRow="0" w:firstColumn="0" w:lastColumn="0" w:oddVBand="1" w:evenVBand="0" w:oddHBand="0" w:evenHBand="0" w:firstRowFirstColumn="0" w:firstRowLastColumn="0" w:lastRowFirstColumn="0" w:lastRowLastColumn="0"/>
            <w:tcW w:w="1530" w:type="pct"/>
            <w:tcBorders>
              <w:top w:val="doub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tcPr>
          <w:p w14:paraId="25554C8C" w14:textId="77777777" w:rsidR="003D7CCD" w:rsidRDefault="003D7CCD">
            <w:pPr>
              <w:ind w:right="49"/>
              <w:jc w:val="both"/>
              <w:rPr>
                <w:rFonts w:ascii="Arial" w:eastAsia="Times New Roman" w:hAnsi="Arial" w:cs="Arial"/>
                <w:b w:val="0"/>
                <w:i/>
                <w:sz w:val="16"/>
                <w:szCs w:val="16"/>
                <w:lang w:eastAsia="es-CO"/>
              </w:rPr>
            </w:pPr>
            <w:r>
              <w:rPr>
                <w:rFonts w:ascii="Arial" w:hAnsi="Arial" w:cs="Arial"/>
                <w:b w:val="0"/>
                <w:i/>
                <w:sz w:val="16"/>
                <w:szCs w:val="16"/>
              </w:rPr>
              <w:t>La EPS NO garantizó las actividades, procedimientos e intervenciones de la RIAS de Promoción y Mantenimiento de la Salud en su población afiliada.</w:t>
            </w:r>
          </w:p>
          <w:p w14:paraId="54665B91" w14:textId="77777777" w:rsidR="003D7CCD" w:rsidRDefault="003D7CCD">
            <w:pPr>
              <w:pStyle w:val="TableParagraph"/>
              <w:tabs>
                <w:tab w:val="left" w:pos="1099"/>
              </w:tabs>
              <w:ind w:right="64"/>
              <w:jc w:val="both"/>
              <w:rPr>
                <w:rFonts w:ascii="Arial" w:hAnsi="Arial" w:cs="Arial"/>
                <w:b w:val="0"/>
                <w:i/>
                <w:sz w:val="16"/>
                <w:szCs w:val="16"/>
                <w:lang w:val="es-ES"/>
              </w:rPr>
            </w:pPr>
          </w:p>
        </w:tc>
        <w:tc>
          <w:tcPr>
            <w:cnfStyle w:val="000100000000" w:firstRow="0" w:lastRow="0" w:firstColumn="0" w:lastColumn="1" w:oddVBand="0" w:evenVBand="0" w:oddHBand="0" w:evenHBand="0" w:firstRowFirstColumn="0" w:firstRowLastColumn="0" w:lastRowFirstColumn="0" w:lastRowLastColumn="0"/>
            <w:tcW w:w="1871" w:type="pct"/>
            <w:tcBorders>
              <w:top w:val="doub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tcBorders>
            <w:hideMark/>
          </w:tcPr>
          <w:p w14:paraId="75D3B92B" w14:textId="77777777" w:rsidR="003D7CCD" w:rsidRDefault="003D7CCD">
            <w:pPr>
              <w:ind w:right="49"/>
              <w:jc w:val="both"/>
              <w:rPr>
                <w:rFonts w:ascii="Arial" w:hAnsi="Arial" w:cs="Arial"/>
                <w:b w:val="0"/>
                <w:i/>
                <w:sz w:val="16"/>
                <w:szCs w:val="16"/>
              </w:rPr>
            </w:pPr>
            <w:r>
              <w:rPr>
                <w:rFonts w:ascii="Arial" w:hAnsi="Arial" w:cs="Arial"/>
                <w:b w:val="0"/>
                <w:i/>
                <w:sz w:val="16"/>
                <w:szCs w:val="16"/>
              </w:rPr>
              <w:t>Numerales 14.2 y 14.3 del artículo 14 de la Resolución 1536 de 2015; artículos 1, 3, 5, 6 y 9 del Acuerdo 117 de 1998; numerales 3, 4, 5 y 6 del numeral 2.2.3 y; numeral 3.3 (3.3.1, 3.3.2, 3.3.5 y 3.3.6) del numeral I Lineamiento Técnico y Operativo Ruta Integral de Atención para la Promoción y Mantenimiento de la Salud de la Resolución 3280 de 2018, en concordancia con el artículo 4 modificado por el artículo 1 de la Resolución 276 de 2019; numeral 9.4 del artículo 9 de la Resolución 3202 de 2016 y la Resolución 2481 de 2020 ò la norma que la modifique o sustituya.</w:t>
            </w:r>
          </w:p>
        </w:tc>
      </w:tr>
    </w:tbl>
    <w:p w14:paraId="29B1EDFE" w14:textId="77777777" w:rsidR="003D7CCD" w:rsidRDefault="003D7CCD" w:rsidP="003D7CCD">
      <w:pPr>
        <w:jc w:val="both"/>
        <w:rPr>
          <w:rFonts w:ascii="Arial" w:hAnsi="Arial" w:cs="Arial"/>
          <w:i/>
          <w:sz w:val="16"/>
          <w:szCs w:val="16"/>
          <w:lang w:val="es-CO"/>
        </w:rPr>
      </w:pPr>
      <w:r>
        <w:rPr>
          <w:rFonts w:ascii="Arial" w:hAnsi="Arial" w:cs="Arial"/>
          <w:i/>
          <w:sz w:val="16"/>
          <w:szCs w:val="16"/>
          <w:lang w:val="es-CO"/>
        </w:rPr>
        <w:t>Fuente: Entidad territorial</w:t>
      </w:r>
    </w:p>
    <w:p w14:paraId="2A03F7A6" w14:textId="77777777" w:rsidR="003D7CCD" w:rsidRDefault="003D7CCD" w:rsidP="003D7CCD">
      <w:pPr>
        <w:jc w:val="both"/>
        <w:rPr>
          <w:rFonts w:ascii="Arial" w:hAnsi="Arial" w:cs="Arial"/>
          <w:i/>
          <w:sz w:val="21"/>
          <w:szCs w:val="21"/>
        </w:rPr>
      </w:pPr>
    </w:p>
    <w:p w14:paraId="754074FE" w14:textId="77777777" w:rsidR="00B53AC8" w:rsidRPr="00A76485" w:rsidRDefault="00B53AC8" w:rsidP="00492D77">
      <w:pPr>
        <w:pStyle w:val="Textoindependiente"/>
        <w:widowControl w:val="0"/>
        <w:numPr>
          <w:ilvl w:val="0"/>
          <w:numId w:val="11"/>
        </w:numPr>
        <w:tabs>
          <w:tab w:val="left" w:pos="9356"/>
        </w:tabs>
        <w:autoSpaceDE w:val="0"/>
        <w:autoSpaceDN w:val="0"/>
        <w:spacing w:after="0"/>
        <w:jc w:val="both"/>
        <w:rPr>
          <w:rFonts w:ascii="Arial" w:hAnsi="Arial" w:cs="Arial"/>
          <w:i/>
          <w:sz w:val="22"/>
          <w:szCs w:val="22"/>
        </w:rPr>
      </w:pPr>
      <w:r w:rsidRPr="00A76485">
        <w:rPr>
          <w:rFonts w:ascii="Arial" w:hAnsi="Arial" w:cs="Arial"/>
          <w:i/>
          <w:sz w:val="22"/>
          <w:szCs w:val="22"/>
        </w:rPr>
        <w:t>CONCLUSIONES</w:t>
      </w:r>
    </w:p>
    <w:p w14:paraId="44D51E5F" w14:textId="77777777" w:rsidR="00B53AC8" w:rsidRPr="00A76485" w:rsidRDefault="00B53AC8" w:rsidP="00492D77">
      <w:pPr>
        <w:pStyle w:val="Prrafodelista"/>
        <w:numPr>
          <w:ilvl w:val="0"/>
          <w:numId w:val="10"/>
        </w:numPr>
        <w:pBdr>
          <w:top w:val="nil"/>
          <w:left w:val="nil"/>
          <w:bottom w:val="nil"/>
          <w:right w:val="nil"/>
          <w:between w:val="nil"/>
          <w:bar w:val="nil"/>
        </w:pBdr>
        <w:jc w:val="both"/>
        <w:rPr>
          <w:rFonts w:ascii="Arial" w:hAnsi="Arial" w:cs="Arial"/>
          <w:i/>
          <w:sz w:val="22"/>
          <w:szCs w:val="22"/>
        </w:rPr>
      </w:pPr>
      <w:r w:rsidRPr="00A76485">
        <w:rPr>
          <w:rFonts w:ascii="Arial" w:hAnsi="Arial" w:cs="Arial"/>
          <w:i/>
          <w:sz w:val="22"/>
          <w:szCs w:val="22"/>
        </w:rPr>
        <w:t xml:space="preserve">Mantener un proceso de mejoramiento continuo de los procesos operativos del régimen subsidiado, específicamente en las EPS que anteriormente se encontraron hallazgos negativos o de bajo rendimiento. </w:t>
      </w:r>
    </w:p>
    <w:p w14:paraId="3EFB0425" w14:textId="77777777" w:rsidR="00B53AC8" w:rsidRPr="00A76485" w:rsidRDefault="00B53AC8" w:rsidP="00492D77">
      <w:pPr>
        <w:pStyle w:val="Prrafodelista"/>
        <w:numPr>
          <w:ilvl w:val="0"/>
          <w:numId w:val="10"/>
        </w:numPr>
        <w:pBdr>
          <w:top w:val="nil"/>
          <w:left w:val="nil"/>
          <w:bottom w:val="nil"/>
          <w:right w:val="nil"/>
          <w:between w:val="nil"/>
          <w:bar w:val="nil"/>
        </w:pBdr>
        <w:jc w:val="both"/>
        <w:rPr>
          <w:rFonts w:ascii="Arial" w:hAnsi="Arial" w:cs="Arial"/>
          <w:i/>
          <w:sz w:val="22"/>
          <w:szCs w:val="22"/>
        </w:rPr>
      </w:pPr>
      <w:r w:rsidRPr="00A76485">
        <w:rPr>
          <w:rFonts w:ascii="Arial" w:hAnsi="Arial" w:cs="Arial"/>
          <w:i/>
          <w:sz w:val="22"/>
          <w:szCs w:val="22"/>
        </w:rPr>
        <w:t xml:space="preserve">Se requiere el analizar cada uno de los hallazgos y subsanar las inconsistencias presentadas mediante la suscripción del plan de mejoramiento o en su defecto aportar los documentos no soportados. </w:t>
      </w:r>
    </w:p>
    <w:p w14:paraId="3EDACCEB" w14:textId="77777777" w:rsidR="00B53AC8" w:rsidRPr="00A76485" w:rsidRDefault="00B53AC8" w:rsidP="00492D77">
      <w:pPr>
        <w:pStyle w:val="Prrafodelista"/>
        <w:numPr>
          <w:ilvl w:val="0"/>
          <w:numId w:val="10"/>
        </w:numPr>
        <w:pBdr>
          <w:top w:val="nil"/>
          <w:left w:val="nil"/>
          <w:bottom w:val="nil"/>
          <w:right w:val="nil"/>
          <w:between w:val="nil"/>
          <w:bar w:val="nil"/>
        </w:pBdr>
        <w:jc w:val="both"/>
        <w:rPr>
          <w:rFonts w:ascii="Arial" w:hAnsi="Arial" w:cs="Arial"/>
          <w:i/>
          <w:sz w:val="22"/>
          <w:szCs w:val="22"/>
        </w:rPr>
      </w:pPr>
      <w:r w:rsidRPr="00A76485">
        <w:rPr>
          <w:rFonts w:ascii="Arial" w:hAnsi="Arial" w:cs="Arial"/>
          <w:i/>
          <w:sz w:val="22"/>
          <w:szCs w:val="22"/>
        </w:rPr>
        <w:t>Realizar asistencias técnicas para potencializar los conocimientos con el personal de las EPS con hallazgos negativos.</w:t>
      </w:r>
    </w:p>
    <w:p w14:paraId="6AF4262A" w14:textId="77777777" w:rsidR="00B53AC8" w:rsidRPr="00A76485" w:rsidRDefault="00B53AC8" w:rsidP="00492D77">
      <w:pPr>
        <w:jc w:val="both"/>
        <w:rPr>
          <w:rFonts w:ascii="Arial" w:hAnsi="Arial" w:cs="Arial"/>
          <w:i/>
          <w:sz w:val="22"/>
          <w:szCs w:val="22"/>
        </w:rPr>
      </w:pPr>
    </w:p>
    <w:p w14:paraId="33690E72" w14:textId="77777777" w:rsidR="00B53AC8" w:rsidRPr="00A76485" w:rsidRDefault="00B53AC8" w:rsidP="00492D77">
      <w:pPr>
        <w:pStyle w:val="Prrafodelista"/>
        <w:numPr>
          <w:ilvl w:val="0"/>
          <w:numId w:val="11"/>
        </w:numPr>
        <w:jc w:val="both"/>
        <w:rPr>
          <w:rFonts w:ascii="Arial" w:hAnsi="Arial" w:cs="Arial"/>
          <w:i/>
          <w:sz w:val="22"/>
          <w:szCs w:val="22"/>
        </w:rPr>
      </w:pPr>
      <w:r w:rsidRPr="00A76485">
        <w:rPr>
          <w:rFonts w:ascii="Arial" w:hAnsi="Arial" w:cs="Arial"/>
          <w:i/>
          <w:sz w:val="22"/>
          <w:szCs w:val="22"/>
        </w:rPr>
        <w:t>Soportes de seguimiento a hallazgos identificados en las EAPB del Distrito de Santa Marta, auditoria de régimen subsidiado.”</w:t>
      </w:r>
    </w:p>
    <w:p w14:paraId="605C088C" w14:textId="77777777" w:rsidR="00B53AC8" w:rsidRPr="00A76485" w:rsidRDefault="00B53AC8" w:rsidP="00492D77">
      <w:pPr>
        <w:ind w:left="360"/>
        <w:jc w:val="both"/>
        <w:rPr>
          <w:rFonts w:ascii="Arial" w:hAnsi="Arial" w:cs="Arial"/>
          <w:i/>
          <w:sz w:val="22"/>
          <w:szCs w:val="22"/>
        </w:rPr>
      </w:pPr>
    </w:p>
    <w:p w14:paraId="45C0DA98" w14:textId="77777777" w:rsidR="00B53AC8" w:rsidRDefault="00B53AC8" w:rsidP="00492D77">
      <w:pPr>
        <w:jc w:val="both"/>
        <w:rPr>
          <w:rFonts w:ascii="Arial" w:hAnsi="Arial" w:cs="Arial"/>
          <w:sz w:val="21"/>
          <w:szCs w:val="21"/>
        </w:rPr>
      </w:pPr>
      <w:r w:rsidRPr="00A76485">
        <w:rPr>
          <w:rFonts w:ascii="Arial" w:hAnsi="Arial" w:cs="Arial"/>
          <w:sz w:val="21"/>
          <w:szCs w:val="21"/>
        </w:rPr>
        <w:t xml:space="preserve">Frente al informe presentado por la </w:t>
      </w:r>
      <w:r w:rsidR="001D787E">
        <w:rPr>
          <w:rFonts w:ascii="Arial" w:hAnsi="Arial" w:cs="Arial"/>
          <w:sz w:val="21"/>
          <w:szCs w:val="21"/>
        </w:rPr>
        <w:t>E</w:t>
      </w:r>
      <w:r w:rsidRPr="00A76485">
        <w:rPr>
          <w:rFonts w:ascii="Arial" w:hAnsi="Arial" w:cs="Arial"/>
          <w:sz w:val="21"/>
          <w:szCs w:val="21"/>
        </w:rPr>
        <w:t xml:space="preserve">ntidad, fue posible identificar las auditorías realizadas por la </w:t>
      </w:r>
      <w:r w:rsidR="001D787E">
        <w:rPr>
          <w:rFonts w:ascii="Arial" w:hAnsi="Arial" w:cs="Arial"/>
          <w:sz w:val="21"/>
          <w:szCs w:val="21"/>
        </w:rPr>
        <w:t>misma</w:t>
      </w:r>
      <w:r w:rsidRPr="00A76485">
        <w:rPr>
          <w:rFonts w:ascii="Arial" w:hAnsi="Arial" w:cs="Arial"/>
          <w:sz w:val="21"/>
          <w:szCs w:val="21"/>
        </w:rPr>
        <w:t xml:space="preserve"> a las EPS o EAPB al primer semestre de 2021 con el siguiente resultado:</w:t>
      </w:r>
    </w:p>
    <w:p w14:paraId="128EDD1A" w14:textId="77777777" w:rsidR="001D787E" w:rsidRPr="00A76485" w:rsidRDefault="001D787E" w:rsidP="00492D77">
      <w:pPr>
        <w:jc w:val="both"/>
        <w:rPr>
          <w:rFonts w:ascii="Arial" w:hAnsi="Arial" w:cs="Arial"/>
          <w:sz w:val="21"/>
          <w:szCs w:val="21"/>
        </w:rPr>
      </w:pPr>
    </w:p>
    <w:p w14:paraId="0DC4E6CB"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12</w:t>
      </w:r>
    </w:p>
    <w:p w14:paraId="55D6C400" w14:textId="77777777" w:rsidR="00B53AC8" w:rsidRPr="00A76485" w:rsidRDefault="00B53AC8" w:rsidP="00492D77">
      <w:pPr>
        <w:jc w:val="center"/>
        <w:rPr>
          <w:rFonts w:ascii="Arial" w:hAnsi="Arial" w:cs="Arial"/>
          <w:sz w:val="21"/>
          <w:szCs w:val="21"/>
        </w:rPr>
      </w:pPr>
      <w:r w:rsidRPr="00A76485">
        <w:rPr>
          <w:rFonts w:ascii="Arial" w:hAnsi="Arial" w:cs="Arial"/>
          <w:noProof/>
          <w:lang w:val="es-CO" w:eastAsia="es-CO"/>
        </w:rPr>
        <w:lastRenderedPageBreak/>
        <w:drawing>
          <wp:inline distT="0" distB="0" distL="0" distR="0" wp14:anchorId="467CB1C3" wp14:editId="38BC5E42">
            <wp:extent cx="4051495" cy="203962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90379" cy="2059195"/>
                    </a:xfrm>
                    <a:prstGeom prst="rect">
                      <a:avLst/>
                    </a:prstGeom>
                  </pic:spPr>
                </pic:pic>
              </a:graphicData>
            </a:graphic>
          </wp:inline>
        </w:drawing>
      </w:r>
    </w:p>
    <w:p w14:paraId="2B2A0E11" w14:textId="77777777" w:rsidR="00B53AC8" w:rsidRPr="00A76485" w:rsidRDefault="00B53AC8" w:rsidP="00492D77">
      <w:pPr>
        <w:jc w:val="both"/>
        <w:rPr>
          <w:rFonts w:ascii="Arial" w:hAnsi="Arial" w:cs="Arial"/>
          <w:sz w:val="22"/>
          <w:szCs w:val="22"/>
        </w:rPr>
      </w:pPr>
      <w:r w:rsidRPr="00A76485">
        <w:rPr>
          <w:rFonts w:ascii="Arial" w:hAnsi="Arial" w:cs="Arial"/>
          <w:sz w:val="22"/>
          <w:szCs w:val="22"/>
        </w:rPr>
        <w:t xml:space="preserve">                      Fuente: Entidad territorial – </w:t>
      </w:r>
      <w:proofErr w:type="gramStart"/>
      <w:r w:rsidRPr="00A76485">
        <w:rPr>
          <w:rFonts w:ascii="Arial" w:hAnsi="Arial" w:cs="Arial"/>
          <w:sz w:val="22"/>
          <w:szCs w:val="22"/>
        </w:rPr>
        <w:t>Secretaria</w:t>
      </w:r>
      <w:proofErr w:type="gramEnd"/>
      <w:r w:rsidRPr="00A76485">
        <w:rPr>
          <w:rFonts w:ascii="Arial" w:hAnsi="Arial" w:cs="Arial"/>
          <w:sz w:val="22"/>
          <w:szCs w:val="22"/>
        </w:rPr>
        <w:t xml:space="preserve"> de Salud.</w:t>
      </w:r>
    </w:p>
    <w:p w14:paraId="076A6265" w14:textId="77777777" w:rsidR="003D7662" w:rsidRPr="00A76485" w:rsidRDefault="003D7662" w:rsidP="00492D77">
      <w:pPr>
        <w:jc w:val="both"/>
        <w:rPr>
          <w:rFonts w:ascii="Arial" w:hAnsi="Arial" w:cs="Arial"/>
          <w:sz w:val="21"/>
          <w:szCs w:val="21"/>
        </w:rPr>
      </w:pPr>
    </w:p>
    <w:p w14:paraId="174D635B" w14:textId="77777777" w:rsidR="00B53AC8" w:rsidRPr="00A76485" w:rsidRDefault="00B53AC8" w:rsidP="00492D77">
      <w:pPr>
        <w:jc w:val="both"/>
        <w:rPr>
          <w:rFonts w:ascii="Arial" w:hAnsi="Arial" w:cs="Arial"/>
          <w:sz w:val="21"/>
          <w:szCs w:val="21"/>
        </w:rPr>
      </w:pPr>
      <w:r w:rsidRPr="00A76485">
        <w:rPr>
          <w:rFonts w:ascii="Arial" w:hAnsi="Arial" w:cs="Arial"/>
          <w:sz w:val="21"/>
          <w:szCs w:val="21"/>
        </w:rPr>
        <w:t xml:space="preserve">Con la información entregada por la </w:t>
      </w:r>
      <w:r w:rsidR="003F0FB1">
        <w:rPr>
          <w:rFonts w:ascii="Arial" w:hAnsi="Arial" w:cs="Arial"/>
          <w:sz w:val="21"/>
          <w:szCs w:val="21"/>
        </w:rPr>
        <w:t>E</w:t>
      </w:r>
      <w:r w:rsidRPr="00A76485">
        <w:rPr>
          <w:rFonts w:ascii="Arial" w:hAnsi="Arial" w:cs="Arial"/>
          <w:sz w:val="21"/>
          <w:szCs w:val="21"/>
        </w:rPr>
        <w:t>ntidad, se evidenció que se realiza la auditor</w:t>
      </w:r>
      <w:r w:rsidR="00150E3E">
        <w:rPr>
          <w:rFonts w:ascii="Arial" w:hAnsi="Arial" w:cs="Arial"/>
          <w:sz w:val="21"/>
          <w:szCs w:val="21"/>
        </w:rPr>
        <w:t>í</w:t>
      </w:r>
      <w:r w:rsidRPr="00A76485">
        <w:rPr>
          <w:rFonts w:ascii="Arial" w:hAnsi="Arial" w:cs="Arial"/>
          <w:sz w:val="21"/>
          <w:szCs w:val="21"/>
        </w:rPr>
        <w:t xml:space="preserve">a según los lineamientos emitidos por la </w:t>
      </w:r>
      <w:r w:rsidR="00EA6524" w:rsidRPr="00A76485">
        <w:rPr>
          <w:rFonts w:ascii="Arial" w:hAnsi="Arial" w:cs="Arial"/>
          <w:sz w:val="21"/>
          <w:szCs w:val="21"/>
        </w:rPr>
        <w:t>S</w:t>
      </w:r>
      <w:r w:rsidRPr="00A76485">
        <w:rPr>
          <w:rFonts w:ascii="Arial" w:hAnsi="Arial" w:cs="Arial"/>
          <w:sz w:val="21"/>
          <w:szCs w:val="21"/>
        </w:rPr>
        <w:t>uperintendencia</w:t>
      </w:r>
      <w:r w:rsidR="00EA6524" w:rsidRPr="00A76485">
        <w:rPr>
          <w:rFonts w:ascii="Arial" w:hAnsi="Arial" w:cs="Arial"/>
          <w:sz w:val="21"/>
          <w:szCs w:val="21"/>
        </w:rPr>
        <w:t xml:space="preserve"> Nacional </w:t>
      </w:r>
      <w:r w:rsidRPr="00A76485">
        <w:rPr>
          <w:rFonts w:ascii="Arial" w:hAnsi="Arial" w:cs="Arial"/>
          <w:sz w:val="21"/>
          <w:szCs w:val="21"/>
        </w:rPr>
        <w:t>de salud, ahora</w:t>
      </w:r>
      <w:r w:rsidR="003F0FB1">
        <w:rPr>
          <w:rFonts w:ascii="Arial" w:hAnsi="Arial" w:cs="Arial"/>
          <w:sz w:val="21"/>
          <w:szCs w:val="21"/>
        </w:rPr>
        <w:t xml:space="preserve"> bien</w:t>
      </w:r>
      <w:r w:rsidRPr="00A76485">
        <w:rPr>
          <w:rFonts w:ascii="Arial" w:hAnsi="Arial" w:cs="Arial"/>
          <w:sz w:val="21"/>
          <w:szCs w:val="21"/>
        </w:rPr>
        <w:t>, frente a los incumplimientos encontrado</w:t>
      </w:r>
      <w:r w:rsidR="00EA6524" w:rsidRPr="00A76485">
        <w:rPr>
          <w:rFonts w:ascii="Arial" w:hAnsi="Arial" w:cs="Arial"/>
          <w:sz w:val="21"/>
          <w:szCs w:val="21"/>
        </w:rPr>
        <w:t>s</w:t>
      </w:r>
      <w:r w:rsidRPr="00A76485">
        <w:rPr>
          <w:rFonts w:ascii="Arial" w:hAnsi="Arial" w:cs="Arial"/>
          <w:sz w:val="21"/>
          <w:szCs w:val="21"/>
        </w:rPr>
        <w:t xml:space="preserve"> en las diferentes auditor</w:t>
      </w:r>
      <w:r w:rsidR="00150E3E">
        <w:rPr>
          <w:rFonts w:ascii="Arial" w:hAnsi="Arial" w:cs="Arial"/>
          <w:sz w:val="21"/>
          <w:szCs w:val="21"/>
        </w:rPr>
        <w:t>í</w:t>
      </w:r>
      <w:r w:rsidRPr="00A76485">
        <w:rPr>
          <w:rFonts w:ascii="Arial" w:hAnsi="Arial" w:cs="Arial"/>
          <w:sz w:val="21"/>
          <w:szCs w:val="21"/>
        </w:rPr>
        <w:t xml:space="preserve">as, no se pudo constatar la iniciación de algún plan de mejora </w:t>
      </w:r>
      <w:r w:rsidR="00EA6524" w:rsidRPr="00A76485">
        <w:rPr>
          <w:rFonts w:ascii="Arial" w:hAnsi="Arial" w:cs="Arial"/>
          <w:sz w:val="21"/>
          <w:szCs w:val="21"/>
        </w:rPr>
        <w:t xml:space="preserve">que permitiera constatar el cumplimiento por parte de la </w:t>
      </w:r>
      <w:r w:rsidR="003F0FB1">
        <w:rPr>
          <w:rFonts w:ascii="Arial" w:hAnsi="Arial" w:cs="Arial"/>
          <w:sz w:val="21"/>
          <w:szCs w:val="21"/>
        </w:rPr>
        <w:t>E</w:t>
      </w:r>
      <w:r w:rsidR="00EA6524" w:rsidRPr="00A76485">
        <w:rPr>
          <w:rFonts w:ascii="Arial" w:hAnsi="Arial" w:cs="Arial"/>
          <w:sz w:val="21"/>
          <w:szCs w:val="21"/>
        </w:rPr>
        <w:t xml:space="preserve">ntidad </w:t>
      </w:r>
      <w:r w:rsidR="003F0FB1">
        <w:rPr>
          <w:rFonts w:ascii="Arial" w:hAnsi="Arial" w:cs="Arial"/>
          <w:sz w:val="21"/>
          <w:szCs w:val="21"/>
        </w:rPr>
        <w:t>T</w:t>
      </w:r>
      <w:r w:rsidR="00EA6524" w:rsidRPr="00A76485">
        <w:rPr>
          <w:rFonts w:ascii="Arial" w:hAnsi="Arial" w:cs="Arial"/>
          <w:sz w:val="21"/>
          <w:szCs w:val="21"/>
        </w:rPr>
        <w:t xml:space="preserve">erritorial en </w:t>
      </w:r>
      <w:r w:rsidR="007E637A" w:rsidRPr="00A76485">
        <w:rPr>
          <w:rFonts w:ascii="Arial" w:hAnsi="Arial" w:cs="Arial"/>
          <w:sz w:val="21"/>
          <w:szCs w:val="21"/>
        </w:rPr>
        <w:t xml:space="preserve">relación </w:t>
      </w:r>
      <w:r w:rsidR="003F0FB1">
        <w:rPr>
          <w:rFonts w:ascii="Arial" w:hAnsi="Arial" w:cs="Arial"/>
          <w:sz w:val="21"/>
          <w:szCs w:val="21"/>
        </w:rPr>
        <w:t>con e</w:t>
      </w:r>
      <w:r w:rsidR="007E637A" w:rsidRPr="00A76485">
        <w:rPr>
          <w:rFonts w:ascii="Arial" w:hAnsi="Arial" w:cs="Arial"/>
          <w:sz w:val="21"/>
          <w:szCs w:val="21"/>
        </w:rPr>
        <w:t>l</w:t>
      </w:r>
      <w:r w:rsidRPr="00A76485">
        <w:rPr>
          <w:rFonts w:ascii="Arial" w:hAnsi="Arial" w:cs="Arial"/>
          <w:sz w:val="21"/>
          <w:szCs w:val="21"/>
        </w:rPr>
        <w:t xml:space="preserve"> seguimiento para el mejoramiento de la calidad en la prestación de los servicios de las </w:t>
      </w:r>
      <w:proofErr w:type="spellStart"/>
      <w:r w:rsidRPr="00A76485">
        <w:rPr>
          <w:rFonts w:ascii="Arial" w:hAnsi="Arial" w:cs="Arial"/>
          <w:sz w:val="21"/>
          <w:szCs w:val="21"/>
        </w:rPr>
        <w:t>EAPB’s</w:t>
      </w:r>
      <w:proofErr w:type="spellEnd"/>
      <w:r w:rsidRPr="00A76485">
        <w:rPr>
          <w:rFonts w:ascii="Arial" w:hAnsi="Arial" w:cs="Arial"/>
          <w:sz w:val="21"/>
          <w:szCs w:val="21"/>
        </w:rPr>
        <w:t xml:space="preserve">. </w:t>
      </w:r>
    </w:p>
    <w:p w14:paraId="0EE96969" w14:textId="77777777" w:rsidR="00B53AC8" w:rsidRPr="00A76485" w:rsidRDefault="00B53AC8" w:rsidP="00492D77">
      <w:pPr>
        <w:jc w:val="both"/>
        <w:rPr>
          <w:rFonts w:ascii="Arial" w:hAnsi="Arial" w:cs="Arial"/>
          <w:sz w:val="21"/>
          <w:szCs w:val="21"/>
        </w:rPr>
      </w:pPr>
    </w:p>
    <w:p w14:paraId="2B7DA255" w14:textId="77777777" w:rsidR="00B53AC8" w:rsidRPr="00A76485" w:rsidRDefault="00B53AC8" w:rsidP="00492D77">
      <w:pPr>
        <w:jc w:val="both"/>
        <w:rPr>
          <w:rFonts w:ascii="Arial" w:hAnsi="Arial" w:cs="Arial"/>
          <w:sz w:val="21"/>
          <w:szCs w:val="21"/>
        </w:rPr>
      </w:pPr>
      <w:r w:rsidRPr="00A76485">
        <w:rPr>
          <w:rFonts w:ascii="Arial" w:hAnsi="Arial" w:cs="Arial"/>
          <w:sz w:val="21"/>
          <w:szCs w:val="21"/>
        </w:rPr>
        <w:t xml:space="preserve">Frente a este punto la </w:t>
      </w:r>
      <w:r w:rsidR="003F0FB1">
        <w:rPr>
          <w:rFonts w:ascii="Arial" w:hAnsi="Arial" w:cs="Arial"/>
          <w:sz w:val="21"/>
          <w:szCs w:val="21"/>
        </w:rPr>
        <w:t>E</w:t>
      </w:r>
      <w:r w:rsidRPr="00A76485">
        <w:rPr>
          <w:rFonts w:ascii="Arial" w:hAnsi="Arial" w:cs="Arial"/>
          <w:sz w:val="21"/>
          <w:szCs w:val="21"/>
        </w:rPr>
        <w:t>ntidad en su informe menciona:</w:t>
      </w:r>
    </w:p>
    <w:p w14:paraId="0DC971C5" w14:textId="77777777" w:rsidR="00B53AC8" w:rsidRPr="00A76485" w:rsidRDefault="00B53AC8" w:rsidP="00492D77">
      <w:pPr>
        <w:jc w:val="both"/>
        <w:rPr>
          <w:rFonts w:ascii="Arial" w:hAnsi="Arial" w:cs="Arial"/>
          <w:sz w:val="21"/>
          <w:szCs w:val="21"/>
        </w:rPr>
      </w:pPr>
    </w:p>
    <w:p w14:paraId="041E52B6" w14:textId="77777777" w:rsidR="00B53AC8" w:rsidRPr="00A76485" w:rsidRDefault="00B53AC8" w:rsidP="00492D77">
      <w:pPr>
        <w:jc w:val="both"/>
        <w:rPr>
          <w:rFonts w:ascii="Arial" w:hAnsi="Arial" w:cs="Arial"/>
          <w:i/>
          <w:sz w:val="22"/>
          <w:szCs w:val="22"/>
        </w:rPr>
      </w:pPr>
      <w:r w:rsidRPr="00A76485">
        <w:rPr>
          <w:rFonts w:ascii="Arial" w:hAnsi="Arial" w:cs="Arial"/>
          <w:i/>
          <w:sz w:val="21"/>
          <w:szCs w:val="21"/>
        </w:rPr>
        <w:t xml:space="preserve"> “[…] </w:t>
      </w:r>
      <w:r w:rsidRPr="00A76485">
        <w:rPr>
          <w:rFonts w:ascii="Arial" w:hAnsi="Arial" w:cs="Arial"/>
          <w:i/>
          <w:sz w:val="22"/>
          <w:szCs w:val="22"/>
        </w:rPr>
        <w:t xml:space="preserve">La entidad territorial realiza seguimiento a la vigencia evaluada de los planes de mejora realizada por las EAPB, siendo la vigencia 2022 evaluada de acuerdo a las fechas establecidas por la Súper Intendencia Nacional de Salud, dicha vigencia fue evaluada hasta 30 de abril de 2022, por lo tanto no se ha evidenciado informes relacionados a estos lo que no ha permitido realizar seguimiento de los hallazgos identificados en esta vigencia, una vez se cuente con esto se realizara las acciones pertinentes.” </w:t>
      </w:r>
    </w:p>
    <w:p w14:paraId="1A57AFD1" w14:textId="77777777" w:rsidR="00B53AC8" w:rsidRPr="00A76485" w:rsidRDefault="00B53AC8" w:rsidP="00492D77">
      <w:pPr>
        <w:jc w:val="both"/>
        <w:rPr>
          <w:rFonts w:ascii="Arial" w:hAnsi="Arial" w:cs="Arial"/>
          <w:i/>
          <w:sz w:val="22"/>
          <w:szCs w:val="22"/>
        </w:rPr>
      </w:pPr>
    </w:p>
    <w:p w14:paraId="31009209" w14:textId="77777777" w:rsidR="00B53AC8" w:rsidRPr="00A76485" w:rsidRDefault="00B53AC8" w:rsidP="00492D77">
      <w:pPr>
        <w:jc w:val="both"/>
        <w:rPr>
          <w:rFonts w:ascii="Arial" w:hAnsi="Arial" w:cs="Arial"/>
          <w:sz w:val="21"/>
          <w:szCs w:val="21"/>
        </w:rPr>
      </w:pPr>
      <w:r w:rsidRPr="00A76485">
        <w:rPr>
          <w:rFonts w:ascii="Arial" w:hAnsi="Arial" w:cs="Arial"/>
          <w:sz w:val="21"/>
          <w:szCs w:val="21"/>
        </w:rPr>
        <w:t xml:space="preserve">Finalmente, la </w:t>
      </w:r>
      <w:r w:rsidR="003F0FB1">
        <w:rPr>
          <w:rFonts w:ascii="Arial" w:hAnsi="Arial" w:cs="Arial"/>
          <w:sz w:val="21"/>
          <w:szCs w:val="21"/>
        </w:rPr>
        <w:t>E</w:t>
      </w:r>
      <w:r w:rsidRPr="00A76485">
        <w:rPr>
          <w:rFonts w:ascii="Arial" w:hAnsi="Arial" w:cs="Arial"/>
          <w:sz w:val="21"/>
          <w:szCs w:val="21"/>
        </w:rPr>
        <w:t>ntidad no presentó el informe requerido en el numeral 34 “</w:t>
      </w:r>
      <w:r w:rsidRPr="003F0FB1">
        <w:rPr>
          <w:rFonts w:ascii="Arial" w:hAnsi="Arial" w:cs="Arial"/>
          <w:i/>
          <w:iCs/>
          <w:sz w:val="21"/>
          <w:szCs w:val="21"/>
        </w:rPr>
        <w:t xml:space="preserve">[…] </w:t>
      </w:r>
      <w:r w:rsidRPr="00A76485">
        <w:rPr>
          <w:rFonts w:ascii="Arial" w:hAnsi="Arial" w:cs="Arial"/>
          <w:i/>
          <w:sz w:val="22"/>
          <w:szCs w:val="22"/>
        </w:rPr>
        <w:t>Informe técnico de Seguimiento y Control al del Régimen Subsidiado  (procesos de afiliación, el reporte de novedades, la garantía del acceso a los servicios, la red contratada para la prestación de los servicios de salud, el suministro de medicamentos, el pago a la red prestadora de servicios, la satisfacción de los usuarios, la oportunidad en la prestación de los servicios, la prestación de servicios de promoción y prevención, así como otros que permitan mejorar la calidad en la atención al afiliado,</w:t>
      </w:r>
      <w:r w:rsidR="001B6DE2" w:rsidRPr="00A76485">
        <w:rPr>
          <w:rFonts w:ascii="Arial" w:hAnsi="Arial" w:cs="Arial"/>
          <w:i/>
          <w:sz w:val="22"/>
          <w:szCs w:val="22"/>
        </w:rPr>
        <w:t xml:space="preserve"> </w:t>
      </w:r>
      <w:r w:rsidRPr="00A76485">
        <w:rPr>
          <w:rFonts w:ascii="Arial" w:hAnsi="Arial" w:cs="Arial"/>
          <w:i/>
          <w:sz w:val="22"/>
          <w:szCs w:val="22"/>
        </w:rPr>
        <w:t xml:space="preserve">sin perjuicio de las demás obligaciones establecidas en las normas vigentes.) en el marco de lo dispuesto al artículo 2,6,1,2,11 del Decreto 780 de 2016. “, </w:t>
      </w:r>
      <w:r w:rsidRPr="00A76485">
        <w:rPr>
          <w:rFonts w:ascii="Arial" w:hAnsi="Arial" w:cs="Arial"/>
          <w:sz w:val="21"/>
          <w:szCs w:val="21"/>
        </w:rPr>
        <w:t>en las condiciones y con los parámetros señalados, por lo que no fue posible identificar otras situaciones de riesgo asociadas a este componente.</w:t>
      </w:r>
    </w:p>
    <w:p w14:paraId="7DEF2414" w14:textId="77777777" w:rsidR="00B53AC8" w:rsidRPr="00A76485" w:rsidRDefault="00B53AC8" w:rsidP="00492D77">
      <w:pPr>
        <w:contextualSpacing/>
        <w:jc w:val="both"/>
        <w:rPr>
          <w:rFonts w:ascii="Arial" w:hAnsi="Arial" w:cs="Arial"/>
          <w:i/>
          <w:sz w:val="22"/>
          <w:szCs w:val="22"/>
        </w:rPr>
      </w:pPr>
    </w:p>
    <w:p w14:paraId="5A48180A" w14:textId="77777777" w:rsidR="00B53AC8" w:rsidRPr="00A76485" w:rsidRDefault="00B53AC8" w:rsidP="00492D77">
      <w:pPr>
        <w:pStyle w:val="Prrafodelista"/>
        <w:numPr>
          <w:ilvl w:val="0"/>
          <w:numId w:val="3"/>
        </w:numPr>
        <w:jc w:val="both"/>
        <w:rPr>
          <w:rFonts w:ascii="Arial" w:eastAsiaTheme="minorHAnsi" w:hAnsi="Arial" w:cs="Arial"/>
          <w:sz w:val="21"/>
          <w:szCs w:val="21"/>
          <w:lang w:val="es-CO" w:eastAsia="en-US"/>
        </w:rPr>
      </w:pPr>
      <w:r w:rsidRPr="00A76485">
        <w:rPr>
          <w:rFonts w:ascii="Arial" w:eastAsiaTheme="minorHAnsi" w:hAnsi="Arial" w:cs="Arial"/>
          <w:b/>
          <w:sz w:val="21"/>
          <w:szCs w:val="21"/>
          <w:lang w:val="es-CO" w:eastAsia="en-US"/>
        </w:rPr>
        <w:t>Subsidio a la oferta y reorganización de la Red.</w:t>
      </w:r>
    </w:p>
    <w:p w14:paraId="1ACF0C61" w14:textId="77777777" w:rsidR="00B53AC8" w:rsidRPr="00A76485" w:rsidRDefault="00B53AC8" w:rsidP="00492D77">
      <w:pPr>
        <w:jc w:val="both"/>
        <w:rPr>
          <w:rFonts w:ascii="Arial" w:eastAsiaTheme="minorHAnsi" w:hAnsi="Arial" w:cs="Arial"/>
          <w:sz w:val="21"/>
          <w:szCs w:val="21"/>
          <w:lang w:val="es-CO" w:eastAsia="en-US"/>
        </w:rPr>
      </w:pPr>
    </w:p>
    <w:p w14:paraId="141AA96D" w14:textId="77777777" w:rsidR="00B53AC8" w:rsidRPr="00A76485" w:rsidRDefault="00B53AC8" w:rsidP="00492D77">
      <w:pPr>
        <w:pStyle w:val="Prrafodelista"/>
        <w:numPr>
          <w:ilvl w:val="3"/>
          <w:numId w:val="1"/>
        </w:numPr>
        <w:ind w:left="851"/>
        <w:jc w:val="both"/>
        <w:rPr>
          <w:rFonts w:ascii="Arial" w:eastAsiaTheme="minorHAnsi" w:hAnsi="Arial" w:cs="Arial"/>
          <w:sz w:val="21"/>
          <w:szCs w:val="21"/>
          <w:lang w:val="es-CO" w:eastAsia="en-US"/>
        </w:rPr>
      </w:pPr>
      <w:r w:rsidRPr="00A76485">
        <w:rPr>
          <w:rFonts w:ascii="Arial" w:eastAsiaTheme="minorHAnsi" w:hAnsi="Arial" w:cs="Arial"/>
          <w:b/>
          <w:sz w:val="21"/>
          <w:szCs w:val="21"/>
          <w:lang w:val="es-CO" w:eastAsia="en-US"/>
        </w:rPr>
        <w:t>Subsidio a la oferta</w:t>
      </w:r>
    </w:p>
    <w:p w14:paraId="5DE27950" w14:textId="77777777" w:rsidR="00B53AC8" w:rsidRPr="00A76485" w:rsidRDefault="00B53AC8" w:rsidP="00492D77">
      <w:pPr>
        <w:jc w:val="both"/>
        <w:rPr>
          <w:rFonts w:ascii="Arial" w:eastAsiaTheme="minorHAnsi" w:hAnsi="Arial" w:cs="Arial"/>
          <w:sz w:val="21"/>
          <w:szCs w:val="21"/>
          <w:lang w:val="es-CO" w:eastAsia="en-US"/>
        </w:rPr>
      </w:pPr>
    </w:p>
    <w:p w14:paraId="5454CD2D" w14:textId="77777777" w:rsidR="00B53AC8" w:rsidRPr="00A76485" w:rsidRDefault="00B53AC8" w:rsidP="00492D77">
      <w:pPr>
        <w:jc w:val="both"/>
        <w:rPr>
          <w:rFonts w:ascii="Arial" w:eastAsiaTheme="minorHAnsi" w:hAnsi="Arial" w:cs="Arial"/>
          <w:sz w:val="21"/>
          <w:szCs w:val="21"/>
          <w:lang w:val="es-CO" w:eastAsia="en-US"/>
        </w:rPr>
      </w:pPr>
      <w:r w:rsidRPr="00A76485">
        <w:rPr>
          <w:rFonts w:ascii="Arial" w:eastAsiaTheme="minorHAnsi" w:hAnsi="Arial" w:cs="Arial"/>
          <w:sz w:val="21"/>
          <w:szCs w:val="21"/>
          <w:lang w:val="es-CO" w:eastAsia="en-US"/>
        </w:rPr>
        <w:t xml:space="preserve">En las vigencias 2021, 2022 y 2023, la </w:t>
      </w:r>
      <w:r w:rsidR="003F0FB1">
        <w:rPr>
          <w:rFonts w:ascii="Arial" w:eastAsiaTheme="minorHAnsi" w:hAnsi="Arial" w:cs="Arial"/>
          <w:sz w:val="21"/>
          <w:szCs w:val="21"/>
          <w:lang w:val="es-CO" w:eastAsia="en-US"/>
        </w:rPr>
        <w:t>E</w:t>
      </w:r>
      <w:r w:rsidRPr="00A76485">
        <w:rPr>
          <w:rFonts w:ascii="Arial" w:eastAsiaTheme="minorHAnsi" w:hAnsi="Arial" w:cs="Arial"/>
          <w:sz w:val="21"/>
          <w:szCs w:val="21"/>
          <w:lang w:val="es-CO" w:eastAsia="en-US"/>
        </w:rPr>
        <w:t>ntidad no recibió recurso</w:t>
      </w:r>
      <w:r w:rsidR="00D24FB4" w:rsidRPr="00A76485">
        <w:rPr>
          <w:rFonts w:ascii="Arial" w:eastAsiaTheme="minorHAnsi" w:hAnsi="Arial" w:cs="Arial"/>
          <w:sz w:val="21"/>
          <w:szCs w:val="21"/>
          <w:lang w:val="es-CO" w:eastAsia="en-US"/>
        </w:rPr>
        <w:t>s</w:t>
      </w:r>
      <w:r w:rsidRPr="00A76485">
        <w:rPr>
          <w:rFonts w:ascii="Arial" w:eastAsiaTheme="minorHAnsi" w:hAnsi="Arial" w:cs="Arial"/>
          <w:sz w:val="21"/>
          <w:szCs w:val="21"/>
          <w:lang w:val="es-CO" w:eastAsia="en-US"/>
        </w:rPr>
        <w:t xml:space="preserve"> de</w:t>
      </w:r>
      <w:r w:rsidR="00D24FB4" w:rsidRPr="00A76485">
        <w:rPr>
          <w:rFonts w:ascii="Arial" w:eastAsiaTheme="minorHAnsi" w:hAnsi="Arial" w:cs="Arial"/>
          <w:sz w:val="21"/>
          <w:szCs w:val="21"/>
          <w:lang w:val="es-CO" w:eastAsia="en-US"/>
        </w:rPr>
        <w:t>l SGP</w:t>
      </w:r>
      <w:r w:rsidRPr="00A76485">
        <w:rPr>
          <w:rFonts w:ascii="Arial" w:eastAsiaTheme="minorHAnsi" w:hAnsi="Arial" w:cs="Arial"/>
          <w:sz w:val="21"/>
          <w:szCs w:val="21"/>
          <w:lang w:val="es-CO" w:eastAsia="en-US"/>
        </w:rPr>
        <w:t xml:space="preserve"> subsidio a la oferta</w:t>
      </w:r>
      <w:r w:rsidR="006C5F54">
        <w:rPr>
          <w:rFonts w:ascii="Arial" w:eastAsiaTheme="minorHAnsi" w:hAnsi="Arial" w:cs="Arial"/>
          <w:sz w:val="21"/>
          <w:szCs w:val="21"/>
          <w:lang w:val="es-CO" w:eastAsia="en-US"/>
        </w:rPr>
        <w:t>. E</w:t>
      </w:r>
      <w:r w:rsidRPr="00A76485">
        <w:rPr>
          <w:rFonts w:ascii="Arial" w:eastAsiaTheme="minorHAnsi" w:hAnsi="Arial" w:cs="Arial"/>
          <w:sz w:val="21"/>
          <w:szCs w:val="21"/>
          <w:lang w:val="es-CO" w:eastAsia="en-US"/>
        </w:rPr>
        <w:t>l valor reflejado en la ejecución presupuestal corresponde a los pagos por migrantes y facturación correspondiente a</w:t>
      </w:r>
      <w:r w:rsidR="003F0FB1">
        <w:rPr>
          <w:rFonts w:ascii="Arial" w:eastAsiaTheme="minorHAnsi" w:hAnsi="Arial" w:cs="Arial"/>
          <w:sz w:val="21"/>
          <w:szCs w:val="21"/>
          <w:lang w:val="es-CO" w:eastAsia="en-US"/>
        </w:rPr>
        <w:t xml:space="preserve">l </w:t>
      </w:r>
      <w:r w:rsidR="00D8043B">
        <w:rPr>
          <w:rFonts w:ascii="Arial" w:hAnsi="Arial" w:cs="Arial"/>
          <w:sz w:val="22"/>
          <w:szCs w:val="22"/>
          <w:lang w:val="es-CO"/>
        </w:rPr>
        <w:t xml:space="preserve">saneamiento </w:t>
      </w:r>
      <w:r w:rsidR="00D8043B" w:rsidRPr="00B96BD8">
        <w:rPr>
          <w:rFonts w:ascii="Arial" w:hAnsi="Arial" w:cs="Arial"/>
          <w:sz w:val="22"/>
          <w:szCs w:val="22"/>
          <w:lang w:val="es-CO"/>
        </w:rPr>
        <w:t xml:space="preserve">definitivo de las cuentas de servicios y </w:t>
      </w:r>
      <w:r w:rsidR="00D8043B" w:rsidRPr="00B96BD8">
        <w:rPr>
          <w:rFonts w:ascii="Arial" w:hAnsi="Arial" w:cs="Arial"/>
          <w:sz w:val="22"/>
          <w:szCs w:val="22"/>
          <w:lang w:val="es-CO"/>
        </w:rPr>
        <w:lastRenderedPageBreak/>
        <w:t xml:space="preserve">tecnologías en salud no financiadas por la UPC del régimen subsidiado </w:t>
      </w:r>
      <w:r w:rsidR="00D8043B">
        <w:rPr>
          <w:rFonts w:ascii="Arial" w:hAnsi="Arial" w:cs="Arial"/>
          <w:sz w:val="22"/>
          <w:szCs w:val="22"/>
          <w:lang w:val="es-CO"/>
        </w:rPr>
        <w:t>(artículo 238 de la Ley 1955 de 2019 -</w:t>
      </w:r>
      <w:r w:rsidR="00D8043B" w:rsidRPr="00A76485">
        <w:rPr>
          <w:rFonts w:ascii="Arial" w:hAnsi="Arial" w:cs="Arial"/>
          <w:sz w:val="22"/>
          <w:szCs w:val="22"/>
          <w:lang w:val="es-CO"/>
        </w:rPr>
        <w:t xml:space="preserve"> punto final</w:t>
      </w:r>
      <w:r w:rsidR="00D8043B">
        <w:rPr>
          <w:rFonts w:ascii="Arial" w:hAnsi="Arial" w:cs="Arial"/>
          <w:sz w:val="22"/>
          <w:szCs w:val="22"/>
          <w:lang w:val="es-CO"/>
        </w:rPr>
        <w:t>)</w:t>
      </w:r>
      <w:r w:rsidRPr="00A76485">
        <w:rPr>
          <w:rFonts w:ascii="Arial" w:eastAsiaTheme="minorHAnsi" w:hAnsi="Arial" w:cs="Arial"/>
          <w:sz w:val="21"/>
          <w:szCs w:val="21"/>
          <w:lang w:val="es-CO" w:eastAsia="en-US"/>
        </w:rPr>
        <w:t>.</w:t>
      </w:r>
    </w:p>
    <w:p w14:paraId="54500C64" w14:textId="77777777" w:rsidR="00B53AC8" w:rsidRPr="00A76485" w:rsidRDefault="00B53AC8" w:rsidP="00492D77">
      <w:pPr>
        <w:jc w:val="both"/>
        <w:rPr>
          <w:rFonts w:ascii="Arial" w:eastAsiaTheme="minorHAnsi" w:hAnsi="Arial" w:cs="Arial"/>
          <w:sz w:val="21"/>
          <w:szCs w:val="21"/>
          <w:lang w:val="es-CO" w:eastAsia="en-US"/>
        </w:rPr>
      </w:pPr>
    </w:p>
    <w:p w14:paraId="1DF83863" w14:textId="77777777" w:rsidR="00B53AC8" w:rsidRPr="00A76485" w:rsidRDefault="00B53AC8" w:rsidP="00492D77">
      <w:pPr>
        <w:pStyle w:val="Prrafodelista"/>
        <w:numPr>
          <w:ilvl w:val="3"/>
          <w:numId w:val="1"/>
        </w:numPr>
        <w:ind w:left="851"/>
        <w:jc w:val="both"/>
        <w:rPr>
          <w:rFonts w:ascii="Arial" w:hAnsi="Arial" w:cs="Arial"/>
          <w:sz w:val="21"/>
          <w:szCs w:val="21"/>
        </w:rPr>
      </w:pPr>
      <w:r w:rsidRPr="00A76485">
        <w:rPr>
          <w:rFonts w:ascii="Arial" w:hAnsi="Arial" w:cs="Arial"/>
          <w:b/>
          <w:sz w:val="21"/>
          <w:szCs w:val="21"/>
        </w:rPr>
        <w:t>Evaluación de la reorganización de la Red Pública de Prestadores viabilizada por el MSPS</w:t>
      </w:r>
    </w:p>
    <w:p w14:paraId="5698028F" w14:textId="77777777" w:rsidR="00B53AC8" w:rsidRPr="00A76485" w:rsidRDefault="00B53AC8" w:rsidP="00492D77">
      <w:pPr>
        <w:ind w:left="491"/>
        <w:jc w:val="both"/>
        <w:rPr>
          <w:rFonts w:ascii="Arial" w:hAnsi="Arial" w:cs="Arial"/>
          <w:sz w:val="21"/>
          <w:szCs w:val="21"/>
        </w:rPr>
      </w:pPr>
    </w:p>
    <w:p w14:paraId="20A70490" w14:textId="77777777" w:rsidR="00B53AC8" w:rsidRPr="00A76485" w:rsidRDefault="00B53AC8" w:rsidP="00492D77">
      <w:pPr>
        <w:autoSpaceDE w:val="0"/>
        <w:autoSpaceDN w:val="0"/>
        <w:adjustRightInd w:val="0"/>
        <w:contextualSpacing/>
        <w:jc w:val="both"/>
        <w:rPr>
          <w:rFonts w:ascii="Arial" w:hAnsi="Arial" w:cs="Arial"/>
          <w:sz w:val="21"/>
          <w:szCs w:val="21"/>
        </w:rPr>
      </w:pPr>
      <w:r w:rsidRPr="00A76485">
        <w:rPr>
          <w:rFonts w:ascii="Arial" w:hAnsi="Arial" w:cs="Arial"/>
          <w:sz w:val="21"/>
          <w:szCs w:val="21"/>
        </w:rPr>
        <w:t xml:space="preserve">La red del distrito de Santa Marta fue viabilizada por el Ministerio de Salud y Protección Social el 11 de marzo de 2015 con el oficio No 201523100367681 y la Red Pública hospitalaria la conforma 1 Empresa Social del Estado - ESE, de carácter distrital, Alejandro Prospero </w:t>
      </w:r>
      <w:proofErr w:type="spellStart"/>
      <w:r w:rsidRPr="00A76485">
        <w:rPr>
          <w:rFonts w:ascii="Arial" w:hAnsi="Arial" w:cs="Arial"/>
          <w:sz w:val="21"/>
          <w:szCs w:val="21"/>
        </w:rPr>
        <w:t>Reverend</w:t>
      </w:r>
      <w:proofErr w:type="spellEnd"/>
      <w:r w:rsidRPr="00A76485">
        <w:rPr>
          <w:rFonts w:ascii="Arial" w:hAnsi="Arial" w:cs="Arial"/>
          <w:sz w:val="21"/>
          <w:szCs w:val="21"/>
        </w:rPr>
        <w:t xml:space="preserve"> y la ESE de carácter Departamental Universitario Fernando </w:t>
      </w:r>
      <w:proofErr w:type="spellStart"/>
      <w:r w:rsidRPr="00A76485">
        <w:rPr>
          <w:rFonts w:ascii="Arial" w:hAnsi="Arial" w:cs="Arial"/>
          <w:sz w:val="21"/>
          <w:szCs w:val="21"/>
        </w:rPr>
        <w:t>Tronconis</w:t>
      </w:r>
      <w:proofErr w:type="spellEnd"/>
      <w:r w:rsidRPr="00A76485">
        <w:rPr>
          <w:rFonts w:ascii="Arial" w:hAnsi="Arial" w:cs="Arial"/>
          <w:sz w:val="21"/>
          <w:szCs w:val="21"/>
        </w:rPr>
        <w:t xml:space="preserve"> hoy Hospital Universitario Julio Mendez </w:t>
      </w:r>
      <w:proofErr w:type="spellStart"/>
      <w:r w:rsidRPr="00A76485">
        <w:rPr>
          <w:rFonts w:ascii="Arial" w:hAnsi="Arial" w:cs="Arial"/>
          <w:sz w:val="21"/>
          <w:szCs w:val="21"/>
        </w:rPr>
        <w:t>Barreneche</w:t>
      </w:r>
      <w:proofErr w:type="spellEnd"/>
      <w:r w:rsidRPr="00A76485">
        <w:rPr>
          <w:rFonts w:ascii="Arial" w:hAnsi="Arial" w:cs="Arial"/>
          <w:sz w:val="21"/>
          <w:szCs w:val="21"/>
        </w:rPr>
        <w:t xml:space="preserve">. En cuanto </w:t>
      </w:r>
      <w:r w:rsidR="00D24FB4" w:rsidRPr="00A76485">
        <w:rPr>
          <w:rFonts w:ascii="Arial" w:hAnsi="Arial" w:cs="Arial"/>
          <w:sz w:val="21"/>
          <w:szCs w:val="21"/>
        </w:rPr>
        <w:t xml:space="preserve">a las </w:t>
      </w:r>
      <w:r w:rsidRPr="00A76485">
        <w:rPr>
          <w:rFonts w:ascii="Arial" w:hAnsi="Arial" w:cs="Arial"/>
          <w:sz w:val="21"/>
          <w:szCs w:val="21"/>
        </w:rPr>
        <w:t xml:space="preserve">actividades de mediana complejidad, </w:t>
      </w:r>
      <w:r w:rsidR="00D24FB4" w:rsidRPr="00A76485">
        <w:rPr>
          <w:rFonts w:ascii="Arial" w:hAnsi="Arial" w:cs="Arial"/>
          <w:sz w:val="21"/>
          <w:szCs w:val="21"/>
        </w:rPr>
        <w:t>las mismas son</w:t>
      </w:r>
      <w:r w:rsidRPr="00A76485">
        <w:rPr>
          <w:rFonts w:ascii="Arial" w:hAnsi="Arial" w:cs="Arial"/>
          <w:sz w:val="21"/>
          <w:szCs w:val="21"/>
        </w:rPr>
        <w:t xml:space="preserve"> desarrollada</w:t>
      </w:r>
      <w:r w:rsidR="00D24FB4" w:rsidRPr="00A76485">
        <w:rPr>
          <w:rFonts w:ascii="Arial" w:hAnsi="Arial" w:cs="Arial"/>
          <w:sz w:val="21"/>
          <w:szCs w:val="21"/>
        </w:rPr>
        <w:t>s</w:t>
      </w:r>
      <w:r w:rsidRPr="00A76485">
        <w:rPr>
          <w:rFonts w:ascii="Arial" w:hAnsi="Arial" w:cs="Arial"/>
          <w:sz w:val="21"/>
          <w:szCs w:val="21"/>
        </w:rPr>
        <w:t xml:space="preserve"> por el sector privado con las diferentes IPS, </w:t>
      </w:r>
      <w:r w:rsidR="00D24FB4" w:rsidRPr="00A76485">
        <w:rPr>
          <w:rFonts w:ascii="Arial" w:hAnsi="Arial" w:cs="Arial"/>
          <w:sz w:val="21"/>
          <w:szCs w:val="21"/>
        </w:rPr>
        <w:t>y las correspondientes</w:t>
      </w:r>
      <w:r w:rsidRPr="00A76485">
        <w:rPr>
          <w:rFonts w:ascii="Arial" w:hAnsi="Arial" w:cs="Arial"/>
          <w:sz w:val="21"/>
          <w:szCs w:val="21"/>
        </w:rPr>
        <w:t xml:space="preserve"> a la baja complejidad </w:t>
      </w:r>
      <w:r w:rsidR="00D24FB4" w:rsidRPr="00A76485">
        <w:rPr>
          <w:rFonts w:ascii="Arial" w:hAnsi="Arial" w:cs="Arial"/>
          <w:sz w:val="21"/>
          <w:szCs w:val="21"/>
        </w:rPr>
        <w:t xml:space="preserve">son prestadas en </w:t>
      </w:r>
      <w:r w:rsidRPr="00A76485">
        <w:rPr>
          <w:rFonts w:ascii="Arial" w:hAnsi="Arial" w:cs="Arial"/>
          <w:sz w:val="21"/>
          <w:szCs w:val="21"/>
        </w:rPr>
        <w:t xml:space="preserve">su totalidad por la ESE Alejandro Prospero </w:t>
      </w:r>
      <w:proofErr w:type="spellStart"/>
      <w:r w:rsidRPr="00A76485">
        <w:rPr>
          <w:rFonts w:ascii="Arial" w:hAnsi="Arial" w:cs="Arial"/>
          <w:sz w:val="21"/>
          <w:szCs w:val="21"/>
        </w:rPr>
        <w:t>Reverend</w:t>
      </w:r>
      <w:proofErr w:type="spellEnd"/>
      <w:r w:rsidRPr="00A76485">
        <w:rPr>
          <w:rFonts w:ascii="Arial" w:hAnsi="Arial" w:cs="Arial"/>
          <w:sz w:val="21"/>
          <w:szCs w:val="21"/>
        </w:rPr>
        <w:t xml:space="preserve"> que cuenta con unidades de salud extendidas en todas las comunas de la zona urbana y en los corregimientos de la zona rural, a través de 27 UPSS distribuidas en las 9 comunas y en los 4 corregimientos. </w:t>
      </w:r>
    </w:p>
    <w:p w14:paraId="4266CF45" w14:textId="77777777" w:rsidR="00D24FB4" w:rsidRPr="00A76485" w:rsidRDefault="00D24FB4" w:rsidP="00492D77">
      <w:pPr>
        <w:autoSpaceDE w:val="0"/>
        <w:autoSpaceDN w:val="0"/>
        <w:adjustRightInd w:val="0"/>
        <w:contextualSpacing/>
        <w:jc w:val="both"/>
        <w:rPr>
          <w:rFonts w:ascii="Arial" w:hAnsi="Arial" w:cs="Arial"/>
          <w:sz w:val="21"/>
          <w:szCs w:val="21"/>
        </w:rPr>
      </w:pPr>
    </w:p>
    <w:p w14:paraId="7D2A646D" w14:textId="77777777" w:rsidR="003D7CCD" w:rsidRDefault="003D7CCD" w:rsidP="003D7CCD">
      <w:pPr>
        <w:pStyle w:val="Textosinformato"/>
        <w:jc w:val="both"/>
        <w:rPr>
          <w:rFonts w:ascii="Arial" w:eastAsia="MS Mincho" w:hAnsi="Arial" w:cs="Arial"/>
          <w:sz w:val="21"/>
          <w:lang w:val="es-ES" w:eastAsia="es-ES"/>
        </w:rPr>
      </w:pPr>
      <w:r>
        <w:rPr>
          <w:rFonts w:ascii="Arial" w:eastAsia="MS Mincho" w:hAnsi="Arial" w:cs="Arial"/>
          <w:sz w:val="21"/>
          <w:lang w:val="es-ES" w:eastAsia="es-ES"/>
        </w:rPr>
        <w:t>Por otro lado, la Entidad inició el proceso de actualización de la RED en la vigencia 2022, con el acompañamiento del Ministerio de Salud y Protección Social. En la actualidad se encuentran en la articulación con el nuevo modelo contemplado, sin embargo, la parte diagnóstica de este documento ya se encuentra lista y revisada (capacidad instalada, análisis financiero de la ESE, parte socio demográfica).</w:t>
      </w:r>
    </w:p>
    <w:p w14:paraId="5E5BAC0C" w14:textId="77777777" w:rsidR="00153ADC" w:rsidRPr="00A76485" w:rsidRDefault="00153ADC" w:rsidP="00492D77">
      <w:pPr>
        <w:pStyle w:val="Textosinformato"/>
        <w:jc w:val="both"/>
        <w:rPr>
          <w:rFonts w:ascii="Arial" w:eastAsia="MS Mincho" w:hAnsi="Arial" w:cs="Arial"/>
          <w:sz w:val="21"/>
          <w:lang w:val="es-ES" w:eastAsia="es-ES"/>
        </w:rPr>
      </w:pPr>
    </w:p>
    <w:p w14:paraId="7DE42B56" w14:textId="77777777" w:rsidR="00153ADC" w:rsidRPr="00A76485" w:rsidRDefault="00153ADC" w:rsidP="00492D77">
      <w:pPr>
        <w:pStyle w:val="Textosinformato"/>
        <w:jc w:val="both"/>
        <w:rPr>
          <w:rFonts w:ascii="Arial" w:eastAsia="MS Mincho" w:hAnsi="Arial" w:cs="Arial"/>
          <w:sz w:val="21"/>
          <w:lang w:val="es-ES" w:eastAsia="es-ES"/>
        </w:rPr>
      </w:pPr>
      <w:r w:rsidRPr="00A76485">
        <w:rPr>
          <w:rFonts w:ascii="Arial" w:eastAsia="MS Mincho" w:hAnsi="Arial" w:cs="Arial"/>
          <w:sz w:val="21"/>
          <w:lang w:val="es-ES" w:eastAsia="es-ES"/>
        </w:rPr>
        <w:t>Las ESE que hacen parte de la RED Distrital, se encontraban en un proceso de intervención por parte de la Superintendencia de Salud, el cual c</w:t>
      </w:r>
      <w:r w:rsidR="00A639C2" w:rsidRPr="00A76485">
        <w:rPr>
          <w:rFonts w:ascii="Arial" w:eastAsia="MS Mincho" w:hAnsi="Arial" w:cs="Arial"/>
          <w:sz w:val="21"/>
          <w:lang w:val="es-ES" w:eastAsia="es-ES"/>
        </w:rPr>
        <w:t>on</w:t>
      </w:r>
      <w:r w:rsidRPr="00A76485">
        <w:rPr>
          <w:rFonts w:ascii="Arial" w:eastAsia="MS Mincho" w:hAnsi="Arial" w:cs="Arial"/>
          <w:sz w:val="21"/>
          <w:lang w:val="es-ES" w:eastAsia="es-ES"/>
        </w:rPr>
        <w:t>c</w:t>
      </w:r>
      <w:r w:rsidR="00A639C2" w:rsidRPr="00A76485">
        <w:rPr>
          <w:rFonts w:ascii="Arial" w:eastAsia="MS Mincho" w:hAnsi="Arial" w:cs="Arial"/>
          <w:sz w:val="21"/>
          <w:lang w:val="es-ES" w:eastAsia="es-ES"/>
        </w:rPr>
        <w:t>l</w:t>
      </w:r>
      <w:r w:rsidRPr="00A76485">
        <w:rPr>
          <w:rFonts w:ascii="Arial" w:eastAsia="MS Mincho" w:hAnsi="Arial" w:cs="Arial"/>
          <w:sz w:val="21"/>
          <w:lang w:val="es-ES" w:eastAsia="es-ES"/>
        </w:rPr>
        <w:t xml:space="preserve">uyó en la vigencia 2022. </w:t>
      </w:r>
    </w:p>
    <w:p w14:paraId="355F806C" w14:textId="77777777" w:rsidR="00153ADC" w:rsidRPr="00A76485" w:rsidRDefault="00153ADC" w:rsidP="00492D77">
      <w:pPr>
        <w:autoSpaceDE w:val="0"/>
        <w:autoSpaceDN w:val="0"/>
        <w:adjustRightInd w:val="0"/>
        <w:contextualSpacing/>
        <w:jc w:val="both"/>
        <w:rPr>
          <w:rFonts w:ascii="Arial" w:hAnsi="Arial" w:cs="Arial"/>
          <w:sz w:val="21"/>
          <w:szCs w:val="21"/>
        </w:rPr>
      </w:pPr>
    </w:p>
    <w:p w14:paraId="2BCE8494" w14:textId="77777777" w:rsidR="00B53AC8" w:rsidRPr="00A76485" w:rsidRDefault="001B6DE2" w:rsidP="00492D77">
      <w:pPr>
        <w:autoSpaceDE w:val="0"/>
        <w:autoSpaceDN w:val="0"/>
        <w:adjustRightInd w:val="0"/>
        <w:contextualSpacing/>
        <w:jc w:val="both"/>
        <w:rPr>
          <w:rFonts w:ascii="Arial" w:hAnsi="Arial" w:cs="Arial"/>
          <w:sz w:val="21"/>
          <w:szCs w:val="21"/>
        </w:rPr>
      </w:pPr>
      <w:r w:rsidRPr="00A76485">
        <w:rPr>
          <w:rFonts w:ascii="Arial" w:hAnsi="Arial" w:cs="Arial"/>
          <w:sz w:val="21"/>
          <w:szCs w:val="21"/>
        </w:rPr>
        <w:t>A</w:t>
      </w:r>
      <w:r w:rsidR="00B53AC8" w:rsidRPr="00A76485">
        <w:rPr>
          <w:rFonts w:ascii="Arial" w:hAnsi="Arial" w:cs="Arial"/>
          <w:sz w:val="21"/>
          <w:szCs w:val="21"/>
        </w:rPr>
        <w:t xml:space="preserve"> </w:t>
      </w:r>
      <w:r w:rsidR="006C5F54">
        <w:rPr>
          <w:rFonts w:ascii="Arial" w:hAnsi="Arial" w:cs="Arial"/>
          <w:sz w:val="21"/>
          <w:szCs w:val="21"/>
        </w:rPr>
        <w:t>j</w:t>
      </w:r>
      <w:r w:rsidR="00153ADC" w:rsidRPr="00A76485">
        <w:rPr>
          <w:rFonts w:ascii="Arial" w:hAnsi="Arial" w:cs="Arial"/>
          <w:sz w:val="21"/>
          <w:szCs w:val="21"/>
        </w:rPr>
        <w:t>unio</w:t>
      </w:r>
      <w:r w:rsidR="00B53AC8" w:rsidRPr="00A76485">
        <w:rPr>
          <w:rFonts w:ascii="Arial" w:hAnsi="Arial" w:cs="Arial"/>
          <w:sz w:val="21"/>
          <w:szCs w:val="21"/>
        </w:rPr>
        <w:t xml:space="preserve"> de 2023</w:t>
      </w:r>
      <w:r w:rsidR="00D24FB4" w:rsidRPr="00A76485">
        <w:rPr>
          <w:rFonts w:ascii="Arial" w:hAnsi="Arial" w:cs="Arial"/>
          <w:sz w:val="21"/>
          <w:szCs w:val="21"/>
        </w:rPr>
        <w:t xml:space="preserve">, la ESE del Distrito </w:t>
      </w:r>
      <w:r w:rsidR="00B53AC8" w:rsidRPr="00A76485">
        <w:rPr>
          <w:rFonts w:ascii="Arial" w:hAnsi="Arial" w:cs="Arial"/>
          <w:sz w:val="21"/>
          <w:szCs w:val="21"/>
        </w:rPr>
        <w:t xml:space="preserve">no se encuentra desarrollando </w:t>
      </w:r>
      <w:r w:rsidR="0063021D" w:rsidRPr="00A76485">
        <w:rPr>
          <w:rFonts w:ascii="Arial" w:hAnsi="Arial" w:cs="Arial"/>
          <w:sz w:val="21"/>
          <w:szCs w:val="21"/>
        </w:rPr>
        <w:t xml:space="preserve">un Programa de Saneamiento Fiscal y Financiero, </w:t>
      </w:r>
      <w:r w:rsidR="00B53AC8" w:rsidRPr="00A76485">
        <w:rPr>
          <w:rFonts w:ascii="Arial" w:hAnsi="Arial" w:cs="Arial"/>
          <w:sz w:val="21"/>
          <w:szCs w:val="21"/>
        </w:rPr>
        <w:t>con el Ministerio de Hacienda y Crédito Público</w:t>
      </w:r>
      <w:r w:rsidRPr="00A76485">
        <w:rPr>
          <w:rFonts w:ascii="Arial" w:hAnsi="Arial" w:cs="Arial"/>
          <w:sz w:val="21"/>
          <w:szCs w:val="21"/>
        </w:rPr>
        <w:t xml:space="preserve">, ni fue categorizada en riesgo medio o alto por el Ministerio de Salud y Protección Social, según </w:t>
      </w:r>
      <w:r w:rsidR="006C5F54">
        <w:rPr>
          <w:rFonts w:ascii="Arial" w:hAnsi="Arial" w:cs="Arial"/>
          <w:sz w:val="21"/>
          <w:szCs w:val="21"/>
        </w:rPr>
        <w:t>la R</w:t>
      </w:r>
      <w:r w:rsidRPr="00A76485">
        <w:rPr>
          <w:rFonts w:ascii="Arial" w:hAnsi="Arial" w:cs="Arial"/>
          <w:sz w:val="21"/>
          <w:szCs w:val="21"/>
        </w:rPr>
        <w:t>esolución No 851 del 30 de mayo de 2023</w:t>
      </w:r>
      <w:r w:rsidR="00B53AC8" w:rsidRPr="00A76485">
        <w:rPr>
          <w:rFonts w:ascii="Arial" w:hAnsi="Arial" w:cs="Arial"/>
          <w:sz w:val="21"/>
          <w:szCs w:val="21"/>
        </w:rPr>
        <w:t xml:space="preserve">.  </w:t>
      </w:r>
    </w:p>
    <w:p w14:paraId="2CC0F756" w14:textId="77777777" w:rsidR="003D7662" w:rsidRPr="00A76485" w:rsidRDefault="003D7662" w:rsidP="00492D77">
      <w:pPr>
        <w:pStyle w:val="Prrafodelista"/>
        <w:jc w:val="both"/>
        <w:rPr>
          <w:rFonts w:ascii="Arial" w:eastAsia="Times New Roman" w:hAnsi="Arial" w:cs="Arial"/>
          <w:b/>
          <w:sz w:val="21"/>
          <w:szCs w:val="21"/>
        </w:rPr>
      </w:pPr>
    </w:p>
    <w:p w14:paraId="01DD625B" w14:textId="77777777" w:rsidR="00B53AC8" w:rsidRPr="00A76485" w:rsidRDefault="00B53AC8" w:rsidP="00492D77">
      <w:pPr>
        <w:pStyle w:val="Prrafodelista"/>
        <w:numPr>
          <w:ilvl w:val="0"/>
          <w:numId w:val="3"/>
        </w:numPr>
        <w:jc w:val="both"/>
        <w:rPr>
          <w:rFonts w:ascii="Arial" w:eastAsia="Times New Roman" w:hAnsi="Arial" w:cs="Arial"/>
          <w:b/>
          <w:sz w:val="21"/>
          <w:szCs w:val="21"/>
        </w:rPr>
      </w:pPr>
      <w:r w:rsidRPr="00A76485">
        <w:rPr>
          <w:rFonts w:ascii="Arial" w:eastAsia="Times New Roman" w:hAnsi="Arial" w:cs="Arial"/>
          <w:b/>
          <w:sz w:val="21"/>
          <w:szCs w:val="21"/>
        </w:rPr>
        <w:t>Salud Pública.</w:t>
      </w:r>
    </w:p>
    <w:p w14:paraId="2512F4CF" w14:textId="77777777" w:rsidR="00B53AC8" w:rsidRPr="00A76485" w:rsidRDefault="00B53AC8" w:rsidP="00492D77">
      <w:pPr>
        <w:pStyle w:val="Prrafodelista"/>
        <w:numPr>
          <w:ilvl w:val="6"/>
          <w:numId w:val="1"/>
        </w:numPr>
        <w:ind w:left="567"/>
        <w:jc w:val="both"/>
        <w:rPr>
          <w:rFonts w:ascii="Arial" w:hAnsi="Arial" w:cs="Arial"/>
          <w:b/>
          <w:bCs/>
          <w:sz w:val="21"/>
          <w:szCs w:val="21"/>
        </w:rPr>
      </w:pPr>
      <w:r w:rsidRPr="00A76485">
        <w:rPr>
          <w:rFonts w:ascii="Arial" w:hAnsi="Arial" w:cs="Arial"/>
          <w:b/>
          <w:bCs/>
          <w:sz w:val="21"/>
          <w:szCs w:val="21"/>
        </w:rPr>
        <w:t xml:space="preserve"> Planeación integral de los recursos.</w:t>
      </w:r>
    </w:p>
    <w:p w14:paraId="63466212" w14:textId="77777777" w:rsidR="00B53AC8" w:rsidRPr="00A76485" w:rsidRDefault="00B53AC8" w:rsidP="00492D77">
      <w:pPr>
        <w:contextualSpacing/>
        <w:jc w:val="both"/>
        <w:rPr>
          <w:rFonts w:ascii="Arial" w:hAnsi="Arial" w:cs="Arial"/>
          <w:sz w:val="21"/>
          <w:szCs w:val="21"/>
        </w:rPr>
      </w:pPr>
    </w:p>
    <w:p w14:paraId="1E2D3837"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 xml:space="preserve">Se evidenció que la Entidad Territorial cuenta con herramientas de planeación como, el Plan de Acción en Salud - PAS y el Componente Operativo y de Inversiones en Salud - COAI. En cuanto al Plan Territorial en Salud se verificó que el mismo no está publicado en la página </w:t>
      </w:r>
      <w:r w:rsidRPr="00A76485">
        <w:rPr>
          <w:rFonts w:ascii="Arial" w:hAnsi="Arial" w:cs="Arial"/>
          <w:i/>
          <w:iCs/>
          <w:sz w:val="21"/>
          <w:szCs w:val="21"/>
        </w:rPr>
        <w:t>Web</w:t>
      </w:r>
      <w:r w:rsidRPr="00A76485">
        <w:rPr>
          <w:rFonts w:ascii="Arial" w:hAnsi="Arial" w:cs="Arial"/>
          <w:sz w:val="21"/>
          <w:szCs w:val="21"/>
        </w:rPr>
        <w:t xml:space="preserve"> de la Entidad, sin embargo, hace parte integral del Plan de Desarrollo de la Entidad Territorial, el cual si se identificó su publicación en la web.</w:t>
      </w:r>
    </w:p>
    <w:p w14:paraId="47D24A21" w14:textId="77777777" w:rsidR="00B53AC8" w:rsidRPr="00A76485" w:rsidRDefault="00B53AC8" w:rsidP="00492D77">
      <w:pPr>
        <w:contextualSpacing/>
        <w:jc w:val="both"/>
        <w:rPr>
          <w:rFonts w:ascii="Arial" w:hAnsi="Arial" w:cs="Arial"/>
          <w:sz w:val="21"/>
          <w:szCs w:val="21"/>
        </w:rPr>
      </w:pPr>
    </w:p>
    <w:p w14:paraId="6972BE02"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De acuerdo con el PAS presentado por la Entidad Territorial para la</w:t>
      </w:r>
      <w:r w:rsidR="00F96427">
        <w:rPr>
          <w:rFonts w:ascii="Arial" w:hAnsi="Arial" w:cs="Arial"/>
          <w:sz w:val="21"/>
          <w:szCs w:val="21"/>
        </w:rPr>
        <w:t>s</w:t>
      </w:r>
      <w:r w:rsidRPr="00A76485">
        <w:rPr>
          <w:rFonts w:ascii="Arial" w:hAnsi="Arial" w:cs="Arial"/>
          <w:sz w:val="21"/>
          <w:szCs w:val="21"/>
        </w:rPr>
        <w:t xml:space="preserve"> vigencia</w:t>
      </w:r>
      <w:r w:rsidR="00F96427">
        <w:rPr>
          <w:rFonts w:ascii="Arial" w:hAnsi="Arial" w:cs="Arial"/>
          <w:sz w:val="21"/>
          <w:szCs w:val="21"/>
        </w:rPr>
        <w:t>s</w:t>
      </w:r>
      <w:r w:rsidRPr="00A76485">
        <w:rPr>
          <w:rFonts w:ascii="Arial" w:hAnsi="Arial" w:cs="Arial"/>
          <w:sz w:val="21"/>
          <w:szCs w:val="21"/>
        </w:rPr>
        <w:t xml:space="preserve"> 2021 y 2022 es posible identificar las dimensiones, componentes, el código del subprograma y el BPIN del proyecto de inversión, así mismo se incluye la línea </w:t>
      </w:r>
      <w:r w:rsidR="00F96427">
        <w:rPr>
          <w:rFonts w:ascii="Arial" w:hAnsi="Arial" w:cs="Arial"/>
          <w:sz w:val="21"/>
          <w:szCs w:val="21"/>
        </w:rPr>
        <w:t xml:space="preserve">de </w:t>
      </w:r>
      <w:r w:rsidRPr="00A76485">
        <w:rPr>
          <w:rFonts w:ascii="Arial" w:hAnsi="Arial" w:cs="Arial"/>
          <w:sz w:val="21"/>
          <w:szCs w:val="21"/>
        </w:rPr>
        <w:t>acción, la cual distingue entre PIC y Gestión y el avance en las actividades realizadas por trimestre.</w:t>
      </w:r>
    </w:p>
    <w:p w14:paraId="71F053C0" w14:textId="77777777" w:rsidR="00B53AC8" w:rsidRPr="00A76485" w:rsidRDefault="00B53AC8" w:rsidP="00492D77">
      <w:pPr>
        <w:contextualSpacing/>
        <w:jc w:val="both"/>
        <w:rPr>
          <w:rFonts w:ascii="Arial" w:hAnsi="Arial" w:cs="Arial"/>
          <w:sz w:val="21"/>
          <w:szCs w:val="21"/>
        </w:rPr>
      </w:pPr>
    </w:p>
    <w:p w14:paraId="2BC9E4B6" w14:textId="77777777" w:rsidR="00B53AC8" w:rsidRDefault="00B53AC8" w:rsidP="00492D77">
      <w:pPr>
        <w:pStyle w:val="Sinespaciado"/>
        <w:contextualSpacing/>
        <w:jc w:val="both"/>
        <w:rPr>
          <w:rFonts w:ascii="Arial" w:hAnsi="Arial" w:cs="Arial"/>
          <w:bCs/>
          <w:sz w:val="21"/>
          <w:szCs w:val="21"/>
        </w:rPr>
      </w:pPr>
      <w:r w:rsidRPr="00A76485">
        <w:rPr>
          <w:rFonts w:ascii="Arial" w:hAnsi="Arial" w:cs="Arial"/>
          <w:bCs/>
          <w:sz w:val="21"/>
          <w:szCs w:val="21"/>
        </w:rPr>
        <w:t xml:space="preserve">De otro lado, respecto al avance de las intervenciones aprobadas en el Plan de Acción en Salud y la evaluación de las metas sanitarias del Plan Territorial de Salud, la Entidad envió informe de seguimiento en </w:t>
      </w:r>
      <w:r w:rsidR="00F96427">
        <w:rPr>
          <w:rFonts w:ascii="Arial" w:hAnsi="Arial" w:cs="Arial"/>
          <w:bCs/>
          <w:sz w:val="21"/>
          <w:szCs w:val="21"/>
        </w:rPr>
        <w:t>el</w:t>
      </w:r>
      <w:r w:rsidR="00F96427" w:rsidRPr="00A76485">
        <w:rPr>
          <w:rFonts w:ascii="Arial" w:hAnsi="Arial" w:cs="Arial"/>
          <w:bCs/>
          <w:sz w:val="21"/>
          <w:szCs w:val="21"/>
        </w:rPr>
        <w:t xml:space="preserve"> </w:t>
      </w:r>
      <w:r w:rsidRPr="00A76485">
        <w:rPr>
          <w:rFonts w:ascii="Arial" w:hAnsi="Arial" w:cs="Arial"/>
          <w:bCs/>
          <w:sz w:val="21"/>
          <w:szCs w:val="21"/>
        </w:rPr>
        <w:t>que se identifican 54 metas, de las cuales 7 se encuentran con un avance inferior al 15% así:</w:t>
      </w:r>
    </w:p>
    <w:p w14:paraId="7B57EC9C" w14:textId="77777777" w:rsidR="006C5F54" w:rsidRPr="00A76485" w:rsidRDefault="006C5F54" w:rsidP="00492D77">
      <w:pPr>
        <w:pStyle w:val="Sinespaciado"/>
        <w:contextualSpacing/>
        <w:jc w:val="both"/>
        <w:rPr>
          <w:rFonts w:ascii="Arial" w:hAnsi="Arial" w:cs="Arial"/>
        </w:rPr>
      </w:pPr>
    </w:p>
    <w:p w14:paraId="771D1C59" w14:textId="77777777" w:rsidR="00B53AC8" w:rsidRPr="00A76485" w:rsidRDefault="00B53AC8" w:rsidP="00492D77">
      <w:pPr>
        <w:contextualSpacing/>
        <w:jc w:val="center"/>
        <w:rPr>
          <w:rFonts w:ascii="Arial" w:eastAsiaTheme="minorHAnsi" w:hAnsi="Arial" w:cs="Arial"/>
          <w:b/>
          <w:bCs/>
          <w:sz w:val="18"/>
          <w:szCs w:val="18"/>
          <w:lang w:val="es-CO" w:eastAsia="en-US"/>
        </w:rPr>
      </w:pPr>
      <w:r w:rsidRPr="00A76485">
        <w:rPr>
          <w:rFonts w:ascii="Arial" w:eastAsiaTheme="minorHAnsi" w:hAnsi="Arial" w:cs="Arial"/>
          <w:b/>
          <w:bCs/>
          <w:sz w:val="18"/>
          <w:szCs w:val="18"/>
          <w:lang w:val="es-CO" w:eastAsia="en-US"/>
        </w:rPr>
        <w:lastRenderedPageBreak/>
        <w:t>Imagen No 1</w:t>
      </w:r>
    </w:p>
    <w:p w14:paraId="32D56FF4" w14:textId="77777777" w:rsidR="00B53AC8" w:rsidRPr="00A76485" w:rsidRDefault="00B53AC8" w:rsidP="00492D77">
      <w:pPr>
        <w:contextualSpacing/>
        <w:jc w:val="both"/>
        <w:rPr>
          <w:rFonts w:ascii="Arial" w:hAnsi="Arial" w:cs="Arial"/>
          <w:sz w:val="21"/>
          <w:szCs w:val="21"/>
        </w:rPr>
      </w:pPr>
      <w:r w:rsidRPr="00A76485">
        <w:rPr>
          <w:rFonts w:ascii="Arial" w:hAnsi="Arial" w:cs="Arial"/>
          <w:noProof/>
          <w:lang w:val="es-CO" w:eastAsia="es-CO"/>
        </w:rPr>
        <w:drawing>
          <wp:inline distT="0" distB="0" distL="0" distR="0" wp14:anchorId="2D78CA57" wp14:editId="0DF74692">
            <wp:extent cx="5867211" cy="4247909"/>
            <wp:effectExtent l="0" t="0" r="63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5091" cy="4282574"/>
                    </a:xfrm>
                    <a:prstGeom prst="rect">
                      <a:avLst/>
                    </a:prstGeom>
                  </pic:spPr>
                </pic:pic>
              </a:graphicData>
            </a:graphic>
          </wp:inline>
        </w:drawing>
      </w:r>
    </w:p>
    <w:p w14:paraId="4134B397" w14:textId="77777777" w:rsidR="00B53AC8" w:rsidRPr="00A76485" w:rsidRDefault="00B53AC8" w:rsidP="00492D77">
      <w:pPr>
        <w:contextualSpacing/>
        <w:jc w:val="both"/>
        <w:rPr>
          <w:rFonts w:ascii="Arial" w:hAnsi="Arial" w:cs="Arial"/>
          <w:sz w:val="16"/>
          <w:szCs w:val="16"/>
        </w:rPr>
      </w:pPr>
      <w:r w:rsidRPr="00A76485">
        <w:rPr>
          <w:rFonts w:ascii="Arial" w:hAnsi="Arial" w:cs="Arial"/>
          <w:sz w:val="16"/>
          <w:szCs w:val="16"/>
        </w:rPr>
        <w:t>Fuente: Entidad territorial</w:t>
      </w:r>
    </w:p>
    <w:p w14:paraId="1DDA7A6E" w14:textId="77777777" w:rsidR="00B53AC8" w:rsidRPr="00A76485" w:rsidRDefault="00B53AC8" w:rsidP="00492D77">
      <w:pPr>
        <w:contextualSpacing/>
        <w:jc w:val="both"/>
        <w:rPr>
          <w:rFonts w:ascii="Arial" w:hAnsi="Arial" w:cs="Arial"/>
          <w:sz w:val="21"/>
          <w:szCs w:val="21"/>
        </w:rPr>
      </w:pPr>
    </w:p>
    <w:p w14:paraId="619787E1"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Y 9 metas más con avance entre el 30% y el 50%.</w:t>
      </w:r>
    </w:p>
    <w:p w14:paraId="0D44AC3E" w14:textId="77777777" w:rsidR="00B53AC8" w:rsidRPr="00A76485" w:rsidRDefault="00B53AC8" w:rsidP="00492D77">
      <w:pPr>
        <w:contextualSpacing/>
        <w:jc w:val="center"/>
        <w:rPr>
          <w:rFonts w:ascii="Arial" w:eastAsiaTheme="minorHAnsi" w:hAnsi="Arial" w:cs="Arial"/>
          <w:bCs/>
          <w:sz w:val="18"/>
          <w:szCs w:val="18"/>
          <w:lang w:val="es-CO" w:eastAsia="en-US"/>
        </w:rPr>
      </w:pPr>
    </w:p>
    <w:p w14:paraId="1E907069" w14:textId="77777777" w:rsidR="00B53AC8" w:rsidRPr="00A76485" w:rsidRDefault="00B53AC8" w:rsidP="00492D77">
      <w:pPr>
        <w:contextualSpacing/>
        <w:jc w:val="center"/>
        <w:rPr>
          <w:rFonts w:ascii="Arial" w:eastAsiaTheme="minorHAnsi" w:hAnsi="Arial" w:cs="Arial"/>
          <w:b/>
          <w:bCs/>
          <w:sz w:val="18"/>
          <w:szCs w:val="18"/>
          <w:lang w:val="es-CO" w:eastAsia="en-US"/>
        </w:rPr>
      </w:pPr>
      <w:r w:rsidRPr="00A76485">
        <w:rPr>
          <w:rFonts w:ascii="Arial" w:eastAsiaTheme="minorHAnsi" w:hAnsi="Arial" w:cs="Arial"/>
          <w:b/>
          <w:bCs/>
          <w:sz w:val="18"/>
          <w:szCs w:val="18"/>
          <w:lang w:val="es-CO" w:eastAsia="en-US"/>
        </w:rPr>
        <w:t>Imagen No 2</w:t>
      </w:r>
    </w:p>
    <w:p w14:paraId="2635343A" w14:textId="77777777" w:rsidR="00B53AC8" w:rsidRPr="00A76485" w:rsidRDefault="00B53AC8" w:rsidP="00492D77">
      <w:pPr>
        <w:contextualSpacing/>
        <w:jc w:val="both"/>
        <w:rPr>
          <w:rFonts w:ascii="Arial" w:hAnsi="Arial" w:cs="Arial"/>
          <w:sz w:val="21"/>
          <w:szCs w:val="21"/>
        </w:rPr>
      </w:pPr>
      <w:r w:rsidRPr="00A76485">
        <w:rPr>
          <w:rFonts w:ascii="Arial" w:hAnsi="Arial" w:cs="Arial"/>
          <w:noProof/>
          <w:lang w:val="es-CO" w:eastAsia="es-CO"/>
        </w:rPr>
        <w:lastRenderedPageBreak/>
        <w:drawing>
          <wp:inline distT="0" distB="0" distL="0" distR="0" wp14:anchorId="625B1625" wp14:editId="5B6D71BE">
            <wp:extent cx="5868491" cy="3523957"/>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76793" cy="3528942"/>
                    </a:xfrm>
                    <a:prstGeom prst="rect">
                      <a:avLst/>
                    </a:prstGeom>
                  </pic:spPr>
                </pic:pic>
              </a:graphicData>
            </a:graphic>
          </wp:inline>
        </w:drawing>
      </w:r>
    </w:p>
    <w:p w14:paraId="622164DE" w14:textId="77777777" w:rsidR="00B53AC8" w:rsidRPr="00A76485" w:rsidRDefault="00B53AC8" w:rsidP="00492D77">
      <w:pPr>
        <w:contextualSpacing/>
        <w:jc w:val="both"/>
        <w:rPr>
          <w:rFonts w:ascii="Arial" w:hAnsi="Arial" w:cs="Arial"/>
          <w:sz w:val="21"/>
          <w:szCs w:val="21"/>
        </w:rPr>
      </w:pPr>
      <w:r w:rsidRPr="00A76485">
        <w:rPr>
          <w:rFonts w:ascii="Arial" w:hAnsi="Arial" w:cs="Arial"/>
          <w:sz w:val="16"/>
          <w:szCs w:val="16"/>
        </w:rPr>
        <w:t>Fuente: Entidad territorial</w:t>
      </w:r>
    </w:p>
    <w:p w14:paraId="362783A6" w14:textId="77777777" w:rsidR="0063021D" w:rsidRPr="00A76485" w:rsidRDefault="0063021D" w:rsidP="00492D77">
      <w:pPr>
        <w:contextualSpacing/>
        <w:jc w:val="both"/>
        <w:rPr>
          <w:rFonts w:ascii="Arial" w:hAnsi="Arial" w:cs="Arial"/>
          <w:sz w:val="21"/>
          <w:szCs w:val="21"/>
        </w:rPr>
      </w:pPr>
    </w:p>
    <w:p w14:paraId="24F23978" w14:textId="77777777" w:rsidR="001F0DF7" w:rsidRDefault="00B53AC8" w:rsidP="00492D77">
      <w:pPr>
        <w:contextualSpacing/>
        <w:jc w:val="both"/>
        <w:rPr>
          <w:rFonts w:ascii="Arial" w:hAnsi="Arial" w:cs="Arial"/>
          <w:sz w:val="21"/>
          <w:szCs w:val="21"/>
        </w:rPr>
      </w:pPr>
      <w:r w:rsidRPr="00A76485">
        <w:rPr>
          <w:rFonts w:ascii="Arial" w:hAnsi="Arial" w:cs="Arial"/>
          <w:sz w:val="21"/>
          <w:szCs w:val="21"/>
        </w:rPr>
        <w:t>De lo anterior se observa que 16 de las 54 actividades, registran un avance inferior al 50% a un año de la finalización del plan. Lo anterior, denota baja cumplimiento en las metas sanitarias del plan territorial de salud, lo que pone en riesgo su cumplimiento</w:t>
      </w:r>
      <w:r w:rsidR="00983412">
        <w:rPr>
          <w:rFonts w:ascii="Arial" w:hAnsi="Arial" w:cs="Arial"/>
          <w:sz w:val="21"/>
          <w:szCs w:val="21"/>
        </w:rPr>
        <w:t xml:space="preserve">, </w:t>
      </w:r>
    </w:p>
    <w:p w14:paraId="7B9372FA" w14:textId="77777777" w:rsidR="00BA48E7" w:rsidRDefault="00BA48E7" w:rsidP="00492D77">
      <w:pPr>
        <w:contextualSpacing/>
        <w:jc w:val="both"/>
        <w:rPr>
          <w:rFonts w:ascii="Arial" w:hAnsi="Arial" w:cs="Arial"/>
          <w:sz w:val="21"/>
          <w:szCs w:val="21"/>
        </w:rPr>
      </w:pPr>
    </w:p>
    <w:p w14:paraId="62AEDE79" w14:textId="77777777" w:rsidR="001F0DF7" w:rsidRDefault="001F0DF7" w:rsidP="00492D77">
      <w:pPr>
        <w:contextualSpacing/>
        <w:jc w:val="both"/>
        <w:rPr>
          <w:rFonts w:ascii="Arial" w:hAnsi="Arial" w:cs="Arial"/>
          <w:sz w:val="21"/>
          <w:szCs w:val="21"/>
        </w:rPr>
      </w:pPr>
      <w:r>
        <w:rPr>
          <w:rFonts w:ascii="Arial" w:hAnsi="Arial" w:cs="Arial"/>
          <w:sz w:val="21"/>
          <w:szCs w:val="21"/>
        </w:rPr>
        <w:t xml:space="preserve">Cabe destacar </w:t>
      </w:r>
      <w:r w:rsidR="00BA48E7">
        <w:rPr>
          <w:rFonts w:ascii="Arial" w:hAnsi="Arial" w:cs="Arial"/>
          <w:sz w:val="21"/>
          <w:szCs w:val="21"/>
        </w:rPr>
        <w:t xml:space="preserve">que el comportamiento evidenciado de las </w:t>
      </w:r>
      <w:r>
        <w:rPr>
          <w:rFonts w:ascii="Arial" w:hAnsi="Arial" w:cs="Arial"/>
          <w:sz w:val="21"/>
          <w:szCs w:val="21"/>
        </w:rPr>
        <w:t xml:space="preserve">metas </w:t>
      </w:r>
      <w:r w:rsidR="00BA48E7">
        <w:rPr>
          <w:rFonts w:ascii="Arial" w:hAnsi="Arial" w:cs="Arial"/>
          <w:sz w:val="21"/>
          <w:szCs w:val="21"/>
        </w:rPr>
        <w:t xml:space="preserve">relacionas con el </w:t>
      </w:r>
      <w:r>
        <w:rPr>
          <w:rFonts w:ascii="Arial" w:hAnsi="Arial" w:cs="Arial"/>
          <w:sz w:val="21"/>
          <w:szCs w:val="21"/>
        </w:rPr>
        <w:t xml:space="preserve">componente de </w:t>
      </w:r>
      <w:r w:rsidR="00BA48E7">
        <w:rPr>
          <w:rFonts w:ascii="Arial" w:hAnsi="Arial" w:cs="Arial"/>
          <w:sz w:val="21"/>
          <w:szCs w:val="21"/>
        </w:rPr>
        <w:t xml:space="preserve">salud pública guardan consistencia con el resultado presupuestal referido anteriormente para la subcuenta correspondiente, en el que se destaca </w:t>
      </w:r>
      <w:r w:rsidR="00BA48E7" w:rsidRPr="00BA48E7">
        <w:rPr>
          <w:rFonts w:ascii="Arial" w:hAnsi="Arial" w:cs="Arial"/>
          <w:sz w:val="21"/>
          <w:szCs w:val="21"/>
        </w:rPr>
        <w:t xml:space="preserve">la baja ejecución </w:t>
      </w:r>
      <w:r w:rsidR="00BA48E7">
        <w:rPr>
          <w:rFonts w:ascii="Arial" w:hAnsi="Arial" w:cs="Arial"/>
          <w:sz w:val="21"/>
          <w:szCs w:val="21"/>
        </w:rPr>
        <w:t xml:space="preserve">tanto en la vigencia 2021 como en la vigencia 2022, derivada de la </w:t>
      </w:r>
      <w:r w:rsidR="00BA48E7" w:rsidRPr="00BA48E7">
        <w:rPr>
          <w:rFonts w:ascii="Arial" w:hAnsi="Arial" w:cs="Arial"/>
          <w:sz w:val="21"/>
          <w:szCs w:val="21"/>
        </w:rPr>
        <w:t xml:space="preserve">incorporación de manera recurrente de recursos del balance </w:t>
      </w:r>
      <w:r w:rsidR="00BA48E7">
        <w:rPr>
          <w:rFonts w:ascii="Arial" w:hAnsi="Arial" w:cs="Arial"/>
          <w:sz w:val="21"/>
          <w:szCs w:val="21"/>
        </w:rPr>
        <w:t>que</w:t>
      </w:r>
      <w:r w:rsidR="00BA48E7" w:rsidRPr="00BA48E7">
        <w:rPr>
          <w:rFonts w:ascii="Arial" w:hAnsi="Arial" w:cs="Arial"/>
          <w:sz w:val="21"/>
          <w:szCs w:val="21"/>
        </w:rPr>
        <w:t xml:space="preserve"> no son ejecutados por la Entidad, correspondientes a contratos pendientes de liquidar de vigencias anteriores, que continúan asignados en el presupuesto como </w:t>
      </w:r>
      <w:r w:rsidR="00BA48E7" w:rsidRPr="00914696">
        <w:rPr>
          <w:rFonts w:ascii="Arial" w:hAnsi="Arial" w:cs="Arial"/>
          <w:sz w:val="21"/>
          <w:szCs w:val="21"/>
        </w:rPr>
        <w:t>vigencias expiradas sin ejecutar y a recursos recibidos de la Nación en vigencias anteriores, para</w:t>
      </w:r>
      <w:r w:rsidR="00BA48E7" w:rsidRPr="00BA48E7">
        <w:rPr>
          <w:rFonts w:ascii="Arial" w:hAnsi="Arial" w:cs="Arial"/>
          <w:sz w:val="21"/>
          <w:szCs w:val="21"/>
        </w:rPr>
        <w:t xml:space="preserve"> la atención</w:t>
      </w:r>
      <w:r w:rsidR="00BA48E7">
        <w:rPr>
          <w:rFonts w:ascii="Arial" w:hAnsi="Arial" w:cs="Arial"/>
          <w:sz w:val="21"/>
          <w:szCs w:val="21"/>
        </w:rPr>
        <w:t xml:space="preserve"> de enfermedades transmisibles.</w:t>
      </w:r>
    </w:p>
    <w:p w14:paraId="6999B952" w14:textId="77777777" w:rsidR="00B53AC8" w:rsidRPr="00A76485" w:rsidRDefault="00B53AC8" w:rsidP="00492D77">
      <w:pPr>
        <w:contextualSpacing/>
        <w:jc w:val="both"/>
        <w:rPr>
          <w:rFonts w:ascii="Arial" w:hAnsi="Arial" w:cs="Arial"/>
          <w:sz w:val="21"/>
          <w:szCs w:val="21"/>
        </w:rPr>
      </w:pPr>
    </w:p>
    <w:p w14:paraId="4967782C" w14:textId="77777777" w:rsidR="00B53AC8" w:rsidRPr="00A76485" w:rsidRDefault="00B53AC8" w:rsidP="00492D77">
      <w:pPr>
        <w:pStyle w:val="Prrafodelista"/>
        <w:numPr>
          <w:ilvl w:val="6"/>
          <w:numId w:val="1"/>
        </w:numPr>
        <w:ind w:left="567"/>
        <w:jc w:val="both"/>
        <w:rPr>
          <w:rFonts w:ascii="Arial" w:hAnsi="Arial" w:cs="Arial"/>
          <w:sz w:val="21"/>
          <w:szCs w:val="21"/>
        </w:rPr>
      </w:pPr>
      <w:r w:rsidRPr="00A76485">
        <w:rPr>
          <w:rFonts w:ascii="Arial" w:hAnsi="Arial" w:cs="Arial"/>
          <w:b/>
          <w:bCs/>
          <w:sz w:val="21"/>
          <w:szCs w:val="21"/>
        </w:rPr>
        <w:t>Análisis de PIC.</w:t>
      </w:r>
    </w:p>
    <w:p w14:paraId="217A13B7" w14:textId="77777777" w:rsidR="00B53AC8" w:rsidRPr="00A76485" w:rsidRDefault="00B53AC8" w:rsidP="00492D77">
      <w:pPr>
        <w:contextualSpacing/>
        <w:jc w:val="both"/>
        <w:rPr>
          <w:rFonts w:ascii="Arial" w:hAnsi="Arial" w:cs="Arial"/>
          <w:sz w:val="21"/>
          <w:szCs w:val="21"/>
        </w:rPr>
      </w:pPr>
    </w:p>
    <w:p w14:paraId="63532440" w14:textId="77777777" w:rsidR="00B53AC8" w:rsidRDefault="00B53AC8" w:rsidP="00492D77">
      <w:pPr>
        <w:contextualSpacing/>
        <w:jc w:val="both"/>
        <w:rPr>
          <w:rFonts w:ascii="Arial" w:hAnsi="Arial" w:cs="Arial"/>
          <w:sz w:val="21"/>
          <w:szCs w:val="21"/>
        </w:rPr>
      </w:pPr>
      <w:r w:rsidRPr="00A76485">
        <w:rPr>
          <w:rFonts w:ascii="Arial" w:hAnsi="Arial" w:cs="Arial"/>
          <w:sz w:val="21"/>
          <w:szCs w:val="21"/>
        </w:rPr>
        <w:t xml:space="preserve">Para la </w:t>
      </w:r>
      <w:r w:rsidRPr="00A76485">
        <w:rPr>
          <w:rFonts w:ascii="Arial" w:hAnsi="Arial" w:cs="Arial"/>
          <w:b/>
          <w:sz w:val="21"/>
          <w:szCs w:val="21"/>
        </w:rPr>
        <w:t xml:space="preserve">vigencia 2021 </w:t>
      </w:r>
      <w:r w:rsidRPr="00A76485">
        <w:rPr>
          <w:rFonts w:ascii="Arial" w:hAnsi="Arial" w:cs="Arial"/>
          <w:sz w:val="21"/>
          <w:szCs w:val="21"/>
        </w:rPr>
        <w:t>la Entidad suscribió contratos por valor de $1.125 millones con recursos del SGP- Salud Pública, en 4 contratos.</w:t>
      </w:r>
    </w:p>
    <w:p w14:paraId="07A2A41D" w14:textId="77777777" w:rsidR="006C5F54" w:rsidRPr="00A76485" w:rsidRDefault="006C5F54" w:rsidP="00492D77">
      <w:pPr>
        <w:contextualSpacing/>
        <w:jc w:val="both"/>
        <w:rPr>
          <w:rFonts w:ascii="Arial" w:hAnsi="Arial" w:cs="Arial"/>
          <w:b/>
          <w:sz w:val="21"/>
          <w:szCs w:val="21"/>
        </w:rPr>
      </w:pPr>
    </w:p>
    <w:p w14:paraId="057E9F7E" w14:textId="77777777" w:rsidR="00B53AC8" w:rsidRPr="00A76485" w:rsidRDefault="00B53AC8" w:rsidP="00492D77">
      <w:pPr>
        <w:contextualSpacing/>
        <w:jc w:val="center"/>
        <w:rPr>
          <w:rFonts w:ascii="Arial" w:hAnsi="Arial" w:cs="Arial"/>
          <w:sz w:val="21"/>
          <w:szCs w:val="21"/>
        </w:rPr>
      </w:pPr>
      <w:r w:rsidRPr="00A76485">
        <w:rPr>
          <w:rFonts w:ascii="Arial" w:hAnsi="Arial" w:cs="Arial"/>
          <w:b/>
          <w:sz w:val="18"/>
          <w:szCs w:val="18"/>
        </w:rPr>
        <w:lastRenderedPageBreak/>
        <w:t>Imagen No 3</w:t>
      </w:r>
      <w:r w:rsidRPr="00A76485">
        <w:rPr>
          <w:rFonts w:ascii="Arial" w:hAnsi="Arial" w:cs="Arial"/>
          <w:sz w:val="21"/>
          <w:szCs w:val="21"/>
        </w:rPr>
        <w:t xml:space="preserve"> </w:t>
      </w:r>
      <w:r w:rsidRPr="00A76485">
        <w:rPr>
          <w:rFonts w:ascii="Arial" w:hAnsi="Arial" w:cs="Arial"/>
          <w:noProof/>
          <w:lang w:val="es-CO" w:eastAsia="es-CO"/>
        </w:rPr>
        <w:drawing>
          <wp:inline distT="0" distB="0" distL="0" distR="0" wp14:anchorId="10B159DF" wp14:editId="7ED17D4D">
            <wp:extent cx="5612130" cy="1717804"/>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24529" cy="1721599"/>
                    </a:xfrm>
                    <a:prstGeom prst="rect">
                      <a:avLst/>
                    </a:prstGeom>
                  </pic:spPr>
                </pic:pic>
              </a:graphicData>
            </a:graphic>
          </wp:inline>
        </w:drawing>
      </w:r>
    </w:p>
    <w:p w14:paraId="65B945AA" w14:textId="77777777" w:rsidR="00B53AC8" w:rsidRPr="00A76485" w:rsidRDefault="00B53AC8" w:rsidP="00492D77">
      <w:pPr>
        <w:contextualSpacing/>
        <w:jc w:val="both"/>
        <w:rPr>
          <w:rFonts w:ascii="Arial" w:hAnsi="Arial" w:cs="Arial"/>
          <w:sz w:val="16"/>
          <w:szCs w:val="16"/>
        </w:rPr>
      </w:pPr>
      <w:r w:rsidRPr="00A76485">
        <w:rPr>
          <w:rFonts w:ascii="Arial" w:hAnsi="Arial" w:cs="Arial"/>
          <w:sz w:val="16"/>
          <w:szCs w:val="16"/>
        </w:rPr>
        <w:t>Fuente: Entidad territorial</w:t>
      </w:r>
    </w:p>
    <w:p w14:paraId="0FB280FF" w14:textId="77777777" w:rsidR="00B53AC8" w:rsidRPr="00A76485" w:rsidRDefault="00B53AC8" w:rsidP="00492D77">
      <w:pPr>
        <w:contextualSpacing/>
        <w:jc w:val="both"/>
        <w:rPr>
          <w:rFonts w:ascii="Arial" w:hAnsi="Arial" w:cs="Arial"/>
          <w:sz w:val="21"/>
          <w:szCs w:val="21"/>
        </w:rPr>
      </w:pPr>
    </w:p>
    <w:p w14:paraId="4E0B823D" w14:textId="77777777" w:rsidR="00B53AC8" w:rsidRPr="00A76485" w:rsidRDefault="00FF3F87" w:rsidP="00492D77">
      <w:pPr>
        <w:contextualSpacing/>
        <w:jc w:val="both"/>
        <w:rPr>
          <w:rFonts w:ascii="Arial" w:hAnsi="Arial" w:cs="Arial"/>
          <w:sz w:val="21"/>
          <w:szCs w:val="21"/>
        </w:rPr>
      </w:pPr>
      <w:r w:rsidRPr="00A76485">
        <w:rPr>
          <w:rFonts w:ascii="Arial" w:hAnsi="Arial" w:cs="Arial"/>
          <w:sz w:val="21"/>
          <w:szCs w:val="21"/>
        </w:rPr>
        <w:t xml:space="preserve">Efectuada la verificación en el Sistema Electrónico para la Contratación Pública - SECOP II, se identificó en relación </w:t>
      </w:r>
      <w:r w:rsidR="006C5F54">
        <w:rPr>
          <w:rFonts w:ascii="Arial" w:hAnsi="Arial" w:cs="Arial"/>
          <w:sz w:val="21"/>
          <w:szCs w:val="21"/>
        </w:rPr>
        <w:t>con e</w:t>
      </w:r>
      <w:r w:rsidRPr="00A76485">
        <w:rPr>
          <w:rFonts w:ascii="Arial" w:hAnsi="Arial" w:cs="Arial"/>
          <w:sz w:val="21"/>
          <w:szCs w:val="21"/>
        </w:rPr>
        <w:t xml:space="preserve">l </w:t>
      </w:r>
      <w:r w:rsidR="006C5F54">
        <w:rPr>
          <w:rFonts w:ascii="Arial" w:hAnsi="Arial" w:cs="Arial"/>
          <w:sz w:val="21"/>
          <w:szCs w:val="21"/>
        </w:rPr>
        <w:t>C</w:t>
      </w:r>
      <w:r w:rsidR="00B53AC8" w:rsidRPr="00A76485">
        <w:rPr>
          <w:rFonts w:ascii="Arial" w:hAnsi="Arial" w:cs="Arial"/>
          <w:sz w:val="21"/>
          <w:szCs w:val="21"/>
        </w:rPr>
        <w:t xml:space="preserve">ontrato No RE-ESAL-012-2021, </w:t>
      </w:r>
      <w:r w:rsidRPr="00A76485">
        <w:rPr>
          <w:rFonts w:ascii="Arial" w:hAnsi="Arial" w:cs="Arial"/>
          <w:sz w:val="21"/>
          <w:szCs w:val="21"/>
        </w:rPr>
        <w:t>que el contrato cargado no correspondía</w:t>
      </w:r>
      <w:r w:rsidR="00B53AC8" w:rsidRPr="00A76485">
        <w:rPr>
          <w:rFonts w:ascii="Arial" w:hAnsi="Arial" w:cs="Arial"/>
          <w:sz w:val="21"/>
          <w:szCs w:val="21"/>
        </w:rPr>
        <w:t xml:space="preserve">, sin embargo, </w:t>
      </w:r>
      <w:r w:rsidRPr="00A76485">
        <w:rPr>
          <w:rFonts w:ascii="Arial" w:hAnsi="Arial" w:cs="Arial"/>
          <w:sz w:val="21"/>
          <w:szCs w:val="21"/>
        </w:rPr>
        <w:t xml:space="preserve">en el marco del reconocimiento institucional realizado, </w:t>
      </w:r>
      <w:r w:rsidR="00B53AC8" w:rsidRPr="00A76485">
        <w:rPr>
          <w:rFonts w:ascii="Arial" w:hAnsi="Arial" w:cs="Arial"/>
          <w:sz w:val="21"/>
          <w:szCs w:val="21"/>
        </w:rPr>
        <w:t xml:space="preserve">la </w:t>
      </w:r>
      <w:r w:rsidR="006C5F54">
        <w:rPr>
          <w:rFonts w:ascii="Arial" w:hAnsi="Arial" w:cs="Arial"/>
          <w:sz w:val="21"/>
          <w:szCs w:val="21"/>
        </w:rPr>
        <w:t>E</w:t>
      </w:r>
      <w:r w:rsidR="00B53AC8" w:rsidRPr="00A76485">
        <w:rPr>
          <w:rFonts w:ascii="Arial" w:hAnsi="Arial" w:cs="Arial"/>
          <w:sz w:val="21"/>
          <w:szCs w:val="21"/>
        </w:rPr>
        <w:t>ntidad informó que por error de digitación se incluyó mal el número</w:t>
      </w:r>
      <w:r w:rsidRPr="00A76485">
        <w:rPr>
          <w:rFonts w:ascii="Arial" w:hAnsi="Arial" w:cs="Arial"/>
          <w:sz w:val="21"/>
          <w:szCs w:val="21"/>
        </w:rPr>
        <w:t xml:space="preserve"> en el requerimiento </w:t>
      </w:r>
      <w:r w:rsidR="00EE136B" w:rsidRPr="00A76485">
        <w:rPr>
          <w:rFonts w:ascii="Arial" w:hAnsi="Arial" w:cs="Arial"/>
          <w:sz w:val="21"/>
          <w:szCs w:val="21"/>
        </w:rPr>
        <w:t>efectuado del citado contrato</w:t>
      </w:r>
      <w:r w:rsidRPr="00A76485">
        <w:rPr>
          <w:rFonts w:ascii="Arial" w:hAnsi="Arial" w:cs="Arial"/>
          <w:sz w:val="21"/>
          <w:szCs w:val="21"/>
        </w:rPr>
        <w:t>,</w:t>
      </w:r>
      <w:r w:rsidR="00B53AC8" w:rsidRPr="00A76485">
        <w:rPr>
          <w:rFonts w:ascii="Arial" w:hAnsi="Arial" w:cs="Arial"/>
          <w:sz w:val="21"/>
          <w:szCs w:val="21"/>
        </w:rPr>
        <w:t xml:space="preserve"> siendo el correcto el RE-ESAL-014-2021, el cual fue </w:t>
      </w:r>
      <w:r w:rsidR="00EE136B" w:rsidRPr="00A76485">
        <w:rPr>
          <w:rFonts w:ascii="Arial" w:hAnsi="Arial" w:cs="Arial"/>
          <w:sz w:val="21"/>
          <w:szCs w:val="21"/>
        </w:rPr>
        <w:t xml:space="preserve">efectivamente </w:t>
      </w:r>
      <w:r w:rsidR="00B53AC8" w:rsidRPr="00A76485">
        <w:rPr>
          <w:rFonts w:ascii="Arial" w:hAnsi="Arial" w:cs="Arial"/>
          <w:sz w:val="21"/>
          <w:szCs w:val="21"/>
        </w:rPr>
        <w:t>validado en la plataforma.  Este contrato fue con la fundación CUIDADO ANIMAL (FUNCUAN) por $288 millones</w:t>
      </w:r>
      <w:r w:rsidR="00B53AC8" w:rsidRPr="00A76485">
        <w:rPr>
          <w:rStyle w:val="Refdenotaalpie"/>
          <w:rFonts w:ascii="Arial" w:hAnsi="Arial" w:cs="Arial"/>
          <w:sz w:val="21"/>
          <w:szCs w:val="21"/>
        </w:rPr>
        <w:footnoteReference w:id="5"/>
      </w:r>
      <w:r w:rsidR="00B53AC8" w:rsidRPr="00A76485">
        <w:rPr>
          <w:rFonts w:ascii="Arial" w:hAnsi="Arial" w:cs="Arial"/>
          <w:sz w:val="21"/>
          <w:szCs w:val="21"/>
        </w:rPr>
        <w:t xml:space="preserve"> para adelantar acciones en la  dimensión vacunación canina y felina del plan territorial de salud, y fortalecimiento del programa para protección y bienestar animal del distrito de santa marta en el marco del plan de desarrollo </w:t>
      </w:r>
      <w:r w:rsidR="00731E8C" w:rsidRPr="00A76485">
        <w:rPr>
          <w:rFonts w:ascii="Arial" w:hAnsi="Arial" w:cs="Arial"/>
          <w:sz w:val="21"/>
          <w:szCs w:val="21"/>
        </w:rPr>
        <w:t>S</w:t>
      </w:r>
      <w:r w:rsidR="00B53AC8" w:rsidRPr="00A76485">
        <w:rPr>
          <w:rFonts w:ascii="Arial" w:hAnsi="Arial" w:cs="Arial"/>
          <w:sz w:val="21"/>
          <w:szCs w:val="21"/>
        </w:rPr>
        <w:t xml:space="preserve">anta </w:t>
      </w:r>
      <w:r w:rsidR="00731E8C" w:rsidRPr="00A76485">
        <w:rPr>
          <w:rFonts w:ascii="Arial" w:hAnsi="Arial" w:cs="Arial"/>
          <w:sz w:val="21"/>
          <w:szCs w:val="21"/>
        </w:rPr>
        <w:t>M</w:t>
      </w:r>
      <w:r w:rsidR="00B53AC8" w:rsidRPr="00A76485">
        <w:rPr>
          <w:rFonts w:ascii="Arial" w:hAnsi="Arial" w:cs="Arial"/>
          <w:sz w:val="21"/>
          <w:szCs w:val="21"/>
        </w:rPr>
        <w:t xml:space="preserve">arta corazón del cambio 2020 – 2023, en el que fue posible verificar </w:t>
      </w:r>
      <w:r w:rsidR="003868C2" w:rsidRPr="00A76485">
        <w:rPr>
          <w:rFonts w:ascii="Arial" w:hAnsi="Arial" w:cs="Arial"/>
          <w:sz w:val="21"/>
          <w:szCs w:val="21"/>
        </w:rPr>
        <w:t xml:space="preserve">que </w:t>
      </w:r>
      <w:r w:rsidR="00B53AC8" w:rsidRPr="00A76485">
        <w:rPr>
          <w:rFonts w:ascii="Arial" w:hAnsi="Arial" w:cs="Arial"/>
          <w:sz w:val="21"/>
          <w:szCs w:val="21"/>
        </w:rPr>
        <w:t>la ESE</w:t>
      </w:r>
      <w:r w:rsidR="00A639C2" w:rsidRPr="00A76485">
        <w:rPr>
          <w:rFonts w:ascii="Arial" w:hAnsi="Arial" w:cs="Arial"/>
          <w:sz w:val="21"/>
          <w:szCs w:val="21"/>
        </w:rPr>
        <w:t xml:space="preserve"> Alejandro Prospero </w:t>
      </w:r>
      <w:proofErr w:type="spellStart"/>
      <w:r w:rsidR="00A639C2" w:rsidRPr="00A76485">
        <w:rPr>
          <w:rFonts w:ascii="Arial" w:hAnsi="Arial" w:cs="Arial"/>
          <w:sz w:val="21"/>
          <w:szCs w:val="21"/>
        </w:rPr>
        <w:t>Reverend</w:t>
      </w:r>
      <w:proofErr w:type="spellEnd"/>
      <w:r w:rsidR="00A639C2" w:rsidRPr="00A76485">
        <w:rPr>
          <w:rFonts w:ascii="Arial" w:hAnsi="Arial" w:cs="Arial"/>
          <w:sz w:val="21"/>
          <w:szCs w:val="21"/>
        </w:rPr>
        <w:t xml:space="preserve"> </w:t>
      </w:r>
      <w:r w:rsidR="00EE136B" w:rsidRPr="00A76485">
        <w:rPr>
          <w:rFonts w:ascii="Arial" w:hAnsi="Arial" w:cs="Arial"/>
          <w:sz w:val="21"/>
          <w:szCs w:val="21"/>
        </w:rPr>
        <w:t xml:space="preserve">no contaba con las condiciones de habilitación requeridas para la ejecución de dichas actividades, pero que en todo caso, de acuerdo </w:t>
      </w:r>
      <w:r w:rsidR="00731E8C" w:rsidRPr="00A76485">
        <w:rPr>
          <w:rFonts w:ascii="Arial" w:hAnsi="Arial" w:cs="Arial"/>
          <w:sz w:val="21"/>
          <w:szCs w:val="21"/>
        </w:rPr>
        <w:t>con</w:t>
      </w:r>
      <w:r w:rsidR="00EE136B" w:rsidRPr="00A76485">
        <w:rPr>
          <w:rFonts w:ascii="Arial" w:hAnsi="Arial" w:cs="Arial"/>
          <w:sz w:val="21"/>
          <w:szCs w:val="21"/>
        </w:rPr>
        <w:t xml:space="preserve"> las directrices emitidas por el MSPS en la Resolución </w:t>
      </w:r>
      <w:r w:rsidR="001B6DE2" w:rsidRPr="00A76485">
        <w:rPr>
          <w:rFonts w:ascii="Arial" w:hAnsi="Arial" w:cs="Arial"/>
          <w:sz w:val="21"/>
          <w:szCs w:val="21"/>
        </w:rPr>
        <w:t>518 de 2015</w:t>
      </w:r>
      <w:r w:rsidR="00EE136B" w:rsidRPr="00A76485">
        <w:rPr>
          <w:rFonts w:ascii="Arial" w:hAnsi="Arial" w:cs="Arial"/>
          <w:sz w:val="21"/>
          <w:szCs w:val="21"/>
        </w:rPr>
        <w:t xml:space="preserve"> son susceptibles de contratar directamente por la </w:t>
      </w:r>
      <w:r w:rsidR="006C5F54">
        <w:rPr>
          <w:rFonts w:ascii="Arial" w:hAnsi="Arial" w:cs="Arial"/>
          <w:sz w:val="21"/>
          <w:szCs w:val="21"/>
        </w:rPr>
        <w:t>E</w:t>
      </w:r>
      <w:r w:rsidR="00EE136B" w:rsidRPr="00A76485">
        <w:rPr>
          <w:rFonts w:ascii="Arial" w:hAnsi="Arial" w:cs="Arial"/>
          <w:sz w:val="21"/>
          <w:szCs w:val="21"/>
        </w:rPr>
        <w:t xml:space="preserve">ntidad </w:t>
      </w:r>
      <w:r w:rsidR="006C5F54">
        <w:rPr>
          <w:rFonts w:ascii="Arial" w:hAnsi="Arial" w:cs="Arial"/>
          <w:sz w:val="21"/>
          <w:szCs w:val="21"/>
        </w:rPr>
        <w:t>T</w:t>
      </w:r>
      <w:r w:rsidR="00EE136B" w:rsidRPr="00A76485">
        <w:rPr>
          <w:rFonts w:ascii="Arial" w:hAnsi="Arial" w:cs="Arial"/>
          <w:sz w:val="21"/>
          <w:szCs w:val="21"/>
        </w:rPr>
        <w:t xml:space="preserve">erritorial con otro prestador. </w:t>
      </w:r>
    </w:p>
    <w:p w14:paraId="2A904291" w14:textId="77777777" w:rsidR="00B53AC8" w:rsidRPr="00A76485" w:rsidRDefault="00B53AC8" w:rsidP="00492D77">
      <w:pPr>
        <w:contextualSpacing/>
        <w:jc w:val="both"/>
        <w:rPr>
          <w:rFonts w:ascii="Arial" w:hAnsi="Arial" w:cs="Arial"/>
          <w:sz w:val="21"/>
          <w:szCs w:val="21"/>
        </w:rPr>
      </w:pPr>
    </w:p>
    <w:p w14:paraId="7B56776F" w14:textId="77777777" w:rsidR="006C5F54" w:rsidRDefault="00B53AC8" w:rsidP="00492D77">
      <w:pPr>
        <w:contextualSpacing/>
        <w:jc w:val="both"/>
        <w:rPr>
          <w:rFonts w:ascii="Arial" w:hAnsi="Arial" w:cs="Arial"/>
          <w:sz w:val="21"/>
          <w:szCs w:val="21"/>
        </w:rPr>
      </w:pPr>
      <w:r w:rsidRPr="00A76485">
        <w:rPr>
          <w:rFonts w:ascii="Arial" w:hAnsi="Arial" w:cs="Arial"/>
          <w:sz w:val="21"/>
          <w:szCs w:val="21"/>
        </w:rPr>
        <w:t>Teniendo en cuenta las actividades realizadas en el marco del convenio, se observa que se divide</w:t>
      </w:r>
      <w:r w:rsidR="00EE136B" w:rsidRPr="00A76485">
        <w:rPr>
          <w:rFonts w:ascii="Arial" w:hAnsi="Arial" w:cs="Arial"/>
          <w:sz w:val="21"/>
          <w:szCs w:val="21"/>
        </w:rPr>
        <w:t>n</w:t>
      </w:r>
      <w:r w:rsidRPr="00A76485">
        <w:rPr>
          <w:rFonts w:ascii="Arial" w:hAnsi="Arial" w:cs="Arial"/>
          <w:sz w:val="21"/>
          <w:szCs w:val="21"/>
        </w:rPr>
        <w:t xml:space="preserve"> en dos tipos de acciones a) Vacunación canina y felina de 104.605 gatos y perros </w:t>
      </w:r>
      <w:r w:rsidR="00214F1B" w:rsidRPr="00A76485">
        <w:rPr>
          <w:rFonts w:ascii="Arial" w:hAnsi="Arial" w:cs="Arial"/>
          <w:sz w:val="21"/>
          <w:szCs w:val="21"/>
        </w:rPr>
        <w:t>financiadas con recursos provenientes del SGP- Salud pública por un valor de</w:t>
      </w:r>
      <w:r w:rsidRPr="00A76485">
        <w:rPr>
          <w:rFonts w:ascii="Arial" w:hAnsi="Arial" w:cs="Arial"/>
          <w:sz w:val="21"/>
          <w:szCs w:val="21"/>
        </w:rPr>
        <w:t xml:space="preserve"> $288 millones y b) Programa de bienestar animal, esterilización y atención prioritaria a 3.000 animales (perros y gatos), 500 consultas animales, albergues transitorios a 300 animales, jornadas masivas de educación y sensibilización y realizar un taller de fortalecimiento de capacidades, </w:t>
      </w:r>
      <w:r w:rsidR="00214F1B" w:rsidRPr="00A76485">
        <w:rPr>
          <w:rFonts w:ascii="Arial" w:hAnsi="Arial" w:cs="Arial"/>
          <w:sz w:val="21"/>
          <w:szCs w:val="21"/>
        </w:rPr>
        <w:t xml:space="preserve">financiadas con recursos propios por un valor de </w:t>
      </w:r>
      <w:r w:rsidRPr="00A76485">
        <w:rPr>
          <w:rFonts w:ascii="Arial" w:hAnsi="Arial" w:cs="Arial"/>
          <w:sz w:val="21"/>
          <w:szCs w:val="21"/>
        </w:rPr>
        <w:t xml:space="preserve"> $500 millones. De igual forma, dentro del convenio se </w:t>
      </w:r>
      <w:r w:rsidR="00214F1B" w:rsidRPr="00A76485">
        <w:rPr>
          <w:rFonts w:ascii="Arial" w:hAnsi="Arial" w:cs="Arial"/>
          <w:sz w:val="21"/>
          <w:szCs w:val="21"/>
        </w:rPr>
        <w:t xml:space="preserve">evidencia </w:t>
      </w:r>
      <w:r w:rsidRPr="00A76485">
        <w:rPr>
          <w:rFonts w:ascii="Arial" w:hAnsi="Arial" w:cs="Arial"/>
          <w:sz w:val="21"/>
          <w:szCs w:val="21"/>
        </w:rPr>
        <w:t xml:space="preserve">que la fundación cofinancia el 10% del total contratado ($78 millones). </w:t>
      </w:r>
    </w:p>
    <w:p w14:paraId="3F30D775" w14:textId="77777777" w:rsidR="006C5F54" w:rsidRDefault="006C5F54" w:rsidP="00492D77">
      <w:pPr>
        <w:contextualSpacing/>
        <w:jc w:val="both"/>
        <w:rPr>
          <w:rFonts w:ascii="Arial" w:hAnsi="Arial" w:cs="Arial"/>
          <w:sz w:val="21"/>
          <w:szCs w:val="21"/>
        </w:rPr>
      </w:pPr>
    </w:p>
    <w:p w14:paraId="4FC68057"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 xml:space="preserve">Ahora, al revisar los documentos </w:t>
      </w:r>
      <w:r w:rsidR="00F96427" w:rsidRPr="00A76485">
        <w:rPr>
          <w:rFonts w:ascii="Arial" w:hAnsi="Arial" w:cs="Arial"/>
          <w:sz w:val="21"/>
          <w:szCs w:val="21"/>
        </w:rPr>
        <w:t xml:space="preserve">del convenio </w:t>
      </w:r>
      <w:r w:rsidRPr="00A76485">
        <w:rPr>
          <w:rFonts w:ascii="Arial" w:hAnsi="Arial" w:cs="Arial"/>
          <w:sz w:val="21"/>
          <w:szCs w:val="21"/>
        </w:rPr>
        <w:t xml:space="preserve">cargados en </w:t>
      </w:r>
      <w:r w:rsidR="00214F1B" w:rsidRPr="00A76485">
        <w:rPr>
          <w:rFonts w:ascii="Arial" w:hAnsi="Arial" w:cs="Arial"/>
          <w:sz w:val="21"/>
          <w:szCs w:val="21"/>
        </w:rPr>
        <w:t xml:space="preserve">el </w:t>
      </w:r>
      <w:r w:rsidRPr="00A76485">
        <w:rPr>
          <w:rFonts w:ascii="Arial" w:hAnsi="Arial" w:cs="Arial"/>
          <w:sz w:val="21"/>
          <w:szCs w:val="21"/>
        </w:rPr>
        <w:t xml:space="preserve">SECOP II se </w:t>
      </w:r>
      <w:r w:rsidR="00214F1B" w:rsidRPr="00A76485">
        <w:rPr>
          <w:rFonts w:ascii="Arial" w:hAnsi="Arial" w:cs="Arial"/>
          <w:sz w:val="21"/>
          <w:szCs w:val="21"/>
        </w:rPr>
        <w:t xml:space="preserve">identifica </w:t>
      </w:r>
      <w:r w:rsidRPr="00A76485">
        <w:rPr>
          <w:rFonts w:ascii="Arial" w:hAnsi="Arial" w:cs="Arial"/>
          <w:sz w:val="21"/>
          <w:szCs w:val="21"/>
        </w:rPr>
        <w:t xml:space="preserve">el CDP No 1442 por valor de $788.587.596, valor correspondiente al 100% del convenio. No se pudo identificar el </w:t>
      </w:r>
      <w:r w:rsidR="006C5F54">
        <w:rPr>
          <w:rFonts w:ascii="Arial" w:hAnsi="Arial" w:cs="Arial"/>
          <w:sz w:val="21"/>
          <w:szCs w:val="21"/>
        </w:rPr>
        <w:t>R</w:t>
      </w:r>
      <w:r w:rsidRPr="00A76485">
        <w:rPr>
          <w:rFonts w:ascii="Arial" w:hAnsi="Arial" w:cs="Arial"/>
          <w:sz w:val="21"/>
          <w:szCs w:val="21"/>
        </w:rPr>
        <w:t xml:space="preserve">egistro Presupuestal (RP) para validar que solo se ejecutara el 90% del total contratado por la </w:t>
      </w:r>
      <w:r w:rsidR="006C5F54">
        <w:rPr>
          <w:rFonts w:ascii="Arial" w:hAnsi="Arial" w:cs="Arial"/>
          <w:sz w:val="21"/>
          <w:szCs w:val="21"/>
        </w:rPr>
        <w:t>E</w:t>
      </w:r>
      <w:r w:rsidRPr="00A76485">
        <w:rPr>
          <w:rFonts w:ascii="Arial" w:hAnsi="Arial" w:cs="Arial"/>
          <w:sz w:val="21"/>
          <w:szCs w:val="21"/>
        </w:rPr>
        <w:t>ntidad.</w:t>
      </w:r>
    </w:p>
    <w:p w14:paraId="0D366579" w14:textId="77777777" w:rsidR="00B53AC8" w:rsidRPr="00A76485" w:rsidRDefault="00B53AC8" w:rsidP="00492D77">
      <w:pPr>
        <w:contextualSpacing/>
        <w:jc w:val="both"/>
        <w:rPr>
          <w:rFonts w:ascii="Arial" w:hAnsi="Arial" w:cs="Arial"/>
          <w:sz w:val="21"/>
          <w:szCs w:val="21"/>
        </w:rPr>
      </w:pPr>
    </w:p>
    <w:p w14:paraId="7ADF7A97"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Por otro lado, no fue posible identificar los 3 informes de ejecución del convenio con el avance referido en los estudios previos, los cuales eran requisito para el respectivo pago, tampoco se identificaron los informes del supervisor.</w:t>
      </w:r>
    </w:p>
    <w:p w14:paraId="6A6EF66D" w14:textId="77777777" w:rsidR="00214F1B" w:rsidRPr="00A76485" w:rsidRDefault="00214F1B" w:rsidP="00492D77">
      <w:pPr>
        <w:contextualSpacing/>
        <w:jc w:val="both"/>
        <w:rPr>
          <w:rFonts w:ascii="Arial" w:hAnsi="Arial" w:cs="Arial"/>
          <w:sz w:val="21"/>
          <w:szCs w:val="21"/>
        </w:rPr>
      </w:pPr>
    </w:p>
    <w:p w14:paraId="3DF0B24D" w14:textId="77777777" w:rsidR="00B53AC8" w:rsidRPr="00A76485" w:rsidRDefault="00B53AC8" w:rsidP="00492D77">
      <w:pPr>
        <w:contextualSpacing/>
        <w:jc w:val="both"/>
        <w:rPr>
          <w:rFonts w:ascii="Arial" w:hAnsi="Arial" w:cs="Arial"/>
          <w:sz w:val="22"/>
          <w:szCs w:val="22"/>
          <w:lang w:val="es-CO"/>
        </w:rPr>
      </w:pPr>
      <w:r w:rsidRPr="00A76485">
        <w:rPr>
          <w:rFonts w:ascii="Arial" w:hAnsi="Arial" w:cs="Arial"/>
          <w:sz w:val="21"/>
          <w:szCs w:val="21"/>
        </w:rPr>
        <w:t xml:space="preserve"> </w:t>
      </w:r>
      <w:r w:rsidRPr="00A76485">
        <w:rPr>
          <w:rFonts w:ascii="Arial" w:hAnsi="Arial" w:cs="Arial"/>
          <w:sz w:val="22"/>
          <w:szCs w:val="22"/>
          <w:lang w:val="es-CO"/>
        </w:rPr>
        <w:t xml:space="preserve">En cuanto a la </w:t>
      </w:r>
      <w:r w:rsidRPr="00A76485">
        <w:rPr>
          <w:rFonts w:ascii="Arial" w:hAnsi="Arial" w:cs="Arial"/>
          <w:b/>
          <w:sz w:val="22"/>
          <w:szCs w:val="22"/>
          <w:lang w:val="es-CO"/>
        </w:rPr>
        <w:t>vigencia 2022</w:t>
      </w:r>
      <w:r w:rsidRPr="00A76485">
        <w:rPr>
          <w:rFonts w:ascii="Arial" w:hAnsi="Arial" w:cs="Arial"/>
          <w:sz w:val="22"/>
          <w:szCs w:val="22"/>
          <w:lang w:val="es-CO"/>
        </w:rPr>
        <w:t>, se reportaron los siguientes contratos:</w:t>
      </w:r>
    </w:p>
    <w:p w14:paraId="55F513BB" w14:textId="77777777" w:rsidR="00B53AC8" w:rsidRPr="00A76485" w:rsidRDefault="00B53AC8" w:rsidP="00492D77">
      <w:pPr>
        <w:jc w:val="center"/>
        <w:rPr>
          <w:rFonts w:ascii="Arial" w:hAnsi="Arial" w:cs="Arial"/>
          <w:sz w:val="18"/>
          <w:szCs w:val="18"/>
        </w:rPr>
      </w:pPr>
    </w:p>
    <w:p w14:paraId="3602CC05" w14:textId="77777777" w:rsidR="00B53AC8" w:rsidRPr="00A76485" w:rsidRDefault="00B53AC8" w:rsidP="00492D77">
      <w:pPr>
        <w:jc w:val="center"/>
        <w:rPr>
          <w:rFonts w:ascii="Arial" w:hAnsi="Arial" w:cs="Arial"/>
          <w:b/>
          <w:sz w:val="22"/>
          <w:szCs w:val="22"/>
          <w:lang w:val="es-CO"/>
        </w:rPr>
      </w:pPr>
      <w:r w:rsidRPr="00A76485">
        <w:rPr>
          <w:rFonts w:ascii="Arial" w:hAnsi="Arial" w:cs="Arial"/>
          <w:b/>
          <w:sz w:val="18"/>
          <w:szCs w:val="18"/>
        </w:rPr>
        <w:lastRenderedPageBreak/>
        <w:t>Imagen No 4</w:t>
      </w:r>
    </w:p>
    <w:p w14:paraId="2459A28D" w14:textId="77777777" w:rsidR="00B53AC8" w:rsidRPr="00A76485" w:rsidRDefault="00B53AC8" w:rsidP="00492D77">
      <w:pPr>
        <w:contextualSpacing/>
        <w:jc w:val="center"/>
        <w:rPr>
          <w:rFonts w:ascii="Arial" w:hAnsi="Arial" w:cs="Arial"/>
          <w:b/>
          <w:sz w:val="20"/>
          <w:szCs w:val="20"/>
        </w:rPr>
      </w:pPr>
      <w:r w:rsidRPr="00A76485">
        <w:rPr>
          <w:rFonts w:ascii="Arial" w:hAnsi="Arial" w:cs="Arial"/>
          <w:b/>
          <w:sz w:val="20"/>
          <w:szCs w:val="20"/>
        </w:rPr>
        <w:t>Contratación PIC 2022</w:t>
      </w:r>
    </w:p>
    <w:p w14:paraId="1DBDC0AF" w14:textId="77777777" w:rsidR="002932ED" w:rsidRDefault="002932ED" w:rsidP="002932ED">
      <w:pPr>
        <w:jc w:val="both"/>
        <w:rPr>
          <w:rFonts w:ascii="Arial" w:hAnsi="Arial" w:cs="Arial"/>
          <w:sz w:val="22"/>
          <w:szCs w:val="22"/>
          <w:lang w:val="es-CO"/>
        </w:rPr>
      </w:pPr>
      <w:r>
        <w:rPr>
          <w:rFonts w:ascii="Arial" w:hAnsi="Arial" w:cs="Arial"/>
          <w:noProof/>
          <w:lang w:val="es-CO" w:eastAsia="es-CO"/>
        </w:rPr>
        <w:drawing>
          <wp:inline distT="0" distB="0" distL="0" distR="0" wp14:anchorId="45C0E324" wp14:editId="13D6B2C6">
            <wp:extent cx="5610225" cy="20859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0225" cy="2085975"/>
                    </a:xfrm>
                    <a:prstGeom prst="rect">
                      <a:avLst/>
                    </a:prstGeom>
                    <a:noFill/>
                    <a:ln>
                      <a:noFill/>
                    </a:ln>
                  </pic:spPr>
                </pic:pic>
              </a:graphicData>
            </a:graphic>
          </wp:inline>
        </w:drawing>
      </w:r>
    </w:p>
    <w:p w14:paraId="1395BBAA" w14:textId="77777777" w:rsidR="002932ED" w:rsidRDefault="002932ED" w:rsidP="002932ED">
      <w:pPr>
        <w:jc w:val="both"/>
        <w:rPr>
          <w:rFonts w:ascii="Arial" w:hAnsi="Arial" w:cs="Arial"/>
          <w:sz w:val="16"/>
          <w:szCs w:val="16"/>
        </w:rPr>
      </w:pPr>
      <w:r>
        <w:rPr>
          <w:rFonts w:ascii="Arial" w:hAnsi="Arial" w:cs="Arial"/>
          <w:sz w:val="16"/>
          <w:szCs w:val="16"/>
        </w:rPr>
        <w:t>Fuente: Entidad territorial</w:t>
      </w:r>
    </w:p>
    <w:p w14:paraId="724D242C" w14:textId="77777777" w:rsidR="00B53AC8" w:rsidRPr="00A76485" w:rsidRDefault="00B53AC8" w:rsidP="00492D77">
      <w:pPr>
        <w:jc w:val="both"/>
        <w:rPr>
          <w:rFonts w:ascii="Arial" w:hAnsi="Arial" w:cs="Arial"/>
          <w:sz w:val="22"/>
          <w:szCs w:val="22"/>
          <w:lang w:val="es-CO"/>
        </w:rPr>
      </w:pPr>
    </w:p>
    <w:p w14:paraId="1471ADC3" w14:textId="77777777" w:rsidR="003E0ECD" w:rsidRPr="00A76485" w:rsidRDefault="00B53AC8" w:rsidP="00492D77">
      <w:pPr>
        <w:jc w:val="both"/>
        <w:rPr>
          <w:rFonts w:ascii="Arial" w:hAnsi="Arial" w:cs="Arial"/>
          <w:sz w:val="22"/>
          <w:szCs w:val="22"/>
          <w:lang w:val="es-CO"/>
        </w:rPr>
      </w:pPr>
      <w:r w:rsidRPr="00A76485">
        <w:rPr>
          <w:rFonts w:ascii="Arial" w:hAnsi="Arial" w:cs="Arial"/>
          <w:sz w:val="22"/>
          <w:szCs w:val="22"/>
          <w:lang w:val="es-CO"/>
        </w:rPr>
        <w:t>Se identificaron 4 contratos por valor de $1.806 millones, con fecha de inicio de actividades en el último trimestre de 2022, incluso un contrato por $300illones suscrito el 19 de diciembre de 2022.</w:t>
      </w:r>
      <w:r w:rsidR="00731E8C" w:rsidRPr="00A76485">
        <w:rPr>
          <w:rFonts w:ascii="Arial" w:hAnsi="Arial" w:cs="Arial"/>
          <w:sz w:val="22"/>
          <w:szCs w:val="22"/>
          <w:lang w:val="es-CO"/>
        </w:rPr>
        <w:t xml:space="preserve">  De igual forma, al validar la información carg</w:t>
      </w:r>
      <w:r w:rsidR="003E0ECD" w:rsidRPr="00A76485">
        <w:rPr>
          <w:rFonts w:ascii="Arial" w:hAnsi="Arial" w:cs="Arial"/>
          <w:sz w:val="22"/>
          <w:szCs w:val="22"/>
          <w:lang w:val="es-CO"/>
        </w:rPr>
        <w:t>a</w:t>
      </w:r>
      <w:r w:rsidR="00731E8C" w:rsidRPr="00A76485">
        <w:rPr>
          <w:rFonts w:ascii="Arial" w:hAnsi="Arial" w:cs="Arial"/>
          <w:sz w:val="22"/>
          <w:szCs w:val="22"/>
          <w:lang w:val="es-CO"/>
        </w:rPr>
        <w:t>da en la plataforma SECOP II,</w:t>
      </w:r>
      <w:r w:rsidR="003E0ECD" w:rsidRPr="00A76485">
        <w:rPr>
          <w:rFonts w:ascii="Arial" w:hAnsi="Arial" w:cs="Arial"/>
          <w:sz w:val="22"/>
          <w:szCs w:val="22"/>
          <w:lang w:val="es-CO"/>
        </w:rPr>
        <w:t xml:space="preserve"> por la </w:t>
      </w:r>
      <w:r w:rsidR="006C5F54">
        <w:rPr>
          <w:rFonts w:ascii="Arial" w:hAnsi="Arial" w:cs="Arial"/>
          <w:sz w:val="22"/>
          <w:szCs w:val="22"/>
          <w:lang w:val="es-CO"/>
        </w:rPr>
        <w:t>E</w:t>
      </w:r>
      <w:r w:rsidR="003E0ECD" w:rsidRPr="00A76485">
        <w:rPr>
          <w:rFonts w:ascii="Arial" w:hAnsi="Arial" w:cs="Arial"/>
          <w:sz w:val="22"/>
          <w:szCs w:val="22"/>
          <w:lang w:val="es-CO"/>
        </w:rPr>
        <w:t xml:space="preserve">ntidad </w:t>
      </w:r>
      <w:r w:rsidR="006C5F54">
        <w:rPr>
          <w:rFonts w:ascii="Arial" w:hAnsi="Arial" w:cs="Arial"/>
          <w:sz w:val="22"/>
          <w:szCs w:val="22"/>
          <w:lang w:val="es-CO"/>
        </w:rPr>
        <w:t>T</w:t>
      </w:r>
      <w:r w:rsidR="003E0ECD" w:rsidRPr="00A76485">
        <w:rPr>
          <w:rFonts w:ascii="Arial" w:hAnsi="Arial" w:cs="Arial"/>
          <w:sz w:val="22"/>
          <w:szCs w:val="22"/>
          <w:lang w:val="es-CO"/>
        </w:rPr>
        <w:t>erritorial para estos cont</w:t>
      </w:r>
      <w:r w:rsidR="00193B9F" w:rsidRPr="00A76485">
        <w:rPr>
          <w:rFonts w:ascii="Arial" w:hAnsi="Arial" w:cs="Arial"/>
          <w:sz w:val="22"/>
          <w:szCs w:val="22"/>
          <w:lang w:val="es-CO"/>
        </w:rPr>
        <w:t>r</w:t>
      </w:r>
      <w:r w:rsidR="003E0ECD" w:rsidRPr="00A76485">
        <w:rPr>
          <w:rFonts w:ascii="Arial" w:hAnsi="Arial" w:cs="Arial"/>
          <w:sz w:val="22"/>
          <w:szCs w:val="22"/>
          <w:lang w:val="es-CO"/>
        </w:rPr>
        <w:t>a</w:t>
      </w:r>
      <w:r w:rsidR="006C5F54">
        <w:rPr>
          <w:rFonts w:ascii="Arial" w:hAnsi="Arial" w:cs="Arial"/>
          <w:sz w:val="22"/>
          <w:szCs w:val="22"/>
          <w:lang w:val="es-CO"/>
        </w:rPr>
        <w:t>t</w:t>
      </w:r>
      <w:r w:rsidR="003E0ECD" w:rsidRPr="00A76485">
        <w:rPr>
          <w:rFonts w:ascii="Arial" w:hAnsi="Arial" w:cs="Arial"/>
          <w:sz w:val="22"/>
          <w:szCs w:val="22"/>
          <w:lang w:val="es-CO"/>
        </w:rPr>
        <w:t>os,</w:t>
      </w:r>
      <w:r w:rsidR="00731E8C" w:rsidRPr="00A76485">
        <w:rPr>
          <w:rFonts w:ascii="Arial" w:hAnsi="Arial" w:cs="Arial"/>
          <w:sz w:val="22"/>
          <w:szCs w:val="22"/>
          <w:lang w:val="es-CO"/>
        </w:rPr>
        <w:t xml:space="preserve"> no se </w:t>
      </w:r>
      <w:r w:rsidR="003E0ECD" w:rsidRPr="00A76485">
        <w:rPr>
          <w:rFonts w:ascii="Arial" w:hAnsi="Arial" w:cs="Arial"/>
          <w:sz w:val="22"/>
          <w:szCs w:val="22"/>
          <w:lang w:val="es-CO"/>
        </w:rPr>
        <w:t>encontraron</w:t>
      </w:r>
      <w:r w:rsidR="00731E8C" w:rsidRPr="00A76485">
        <w:rPr>
          <w:rFonts w:ascii="Arial" w:hAnsi="Arial" w:cs="Arial"/>
          <w:sz w:val="22"/>
          <w:szCs w:val="22"/>
          <w:lang w:val="es-CO"/>
        </w:rPr>
        <w:t xml:space="preserve"> los documentos de ejecución </w:t>
      </w:r>
      <w:r w:rsidR="00F96427" w:rsidRPr="00A76485">
        <w:rPr>
          <w:rFonts w:ascii="Arial" w:hAnsi="Arial" w:cs="Arial"/>
          <w:sz w:val="22"/>
          <w:szCs w:val="22"/>
          <w:lang w:val="es-CO"/>
        </w:rPr>
        <w:t>de este</w:t>
      </w:r>
      <w:r w:rsidR="00731E8C" w:rsidRPr="00A76485">
        <w:rPr>
          <w:rFonts w:ascii="Arial" w:hAnsi="Arial" w:cs="Arial"/>
          <w:sz w:val="22"/>
          <w:szCs w:val="22"/>
          <w:lang w:val="es-CO"/>
        </w:rPr>
        <w:t>, ni se pudo verificar la existencia de los informes de interventoría</w:t>
      </w:r>
      <w:r w:rsidR="003E0ECD" w:rsidRPr="00A76485">
        <w:rPr>
          <w:rFonts w:ascii="Arial" w:hAnsi="Arial" w:cs="Arial"/>
          <w:sz w:val="22"/>
          <w:szCs w:val="22"/>
          <w:lang w:val="es-CO"/>
        </w:rPr>
        <w:t>, situación que se evidenció en las dos vigencias analizadas.</w:t>
      </w:r>
    </w:p>
    <w:p w14:paraId="6823DC64" w14:textId="77777777" w:rsidR="00B53AC8" w:rsidRPr="00A76485" w:rsidRDefault="00B53AC8" w:rsidP="00492D77">
      <w:pPr>
        <w:jc w:val="both"/>
        <w:rPr>
          <w:rFonts w:ascii="Arial" w:hAnsi="Arial" w:cs="Arial"/>
          <w:sz w:val="22"/>
          <w:szCs w:val="22"/>
          <w:lang w:val="es-CO"/>
        </w:rPr>
      </w:pPr>
    </w:p>
    <w:p w14:paraId="42CADE44" w14:textId="77777777" w:rsidR="00B53AC8" w:rsidRPr="00A76485" w:rsidRDefault="00B53AC8" w:rsidP="00492D77">
      <w:pPr>
        <w:jc w:val="both"/>
        <w:rPr>
          <w:rFonts w:ascii="Arial" w:hAnsi="Arial" w:cs="Arial"/>
          <w:bCs/>
          <w:sz w:val="21"/>
          <w:szCs w:val="21"/>
        </w:rPr>
      </w:pPr>
      <w:r w:rsidRPr="00A76485">
        <w:rPr>
          <w:rFonts w:ascii="Arial" w:hAnsi="Arial" w:cs="Arial"/>
          <w:bCs/>
          <w:sz w:val="21"/>
          <w:szCs w:val="21"/>
        </w:rPr>
        <w:t xml:space="preserve">Por lo anterior, al verificar los </w:t>
      </w:r>
      <w:r w:rsidRPr="00A76485">
        <w:rPr>
          <w:rFonts w:ascii="Arial" w:hAnsi="Arial" w:cs="Arial"/>
          <w:sz w:val="21"/>
          <w:szCs w:val="21"/>
        </w:rPr>
        <w:t>parámetros de contratación establecidos en las Resoluciones 518 de 2015, y 3280 de 2018 para las intervenciones colectivas</w:t>
      </w:r>
      <w:r w:rsidRPr="00A76485">
        <w:rPr>
          <w:rFonts w:ascii="Arial" w:hAnsi="Arial" w:cs="Arial"/>
          <w:bCs/>
          <w:sz w:val="21"/>
          <w:szCs w:val="21"/>
        </w:rPr>
        <w:t xml:space="preserve"> con la fecha en la que la Entidad inició la contratación del PIC (último trimestre del año), se identifica falta de oportunidad en la contratación como en el giro de los recursos, debiéndose realizar en el primer trimestre, esto conforme con lo dispuesto en el artículo 5 de la Resolución 857 de 2020.</w:t>
      </w:r>
      <w:r w:rsidR="003E0ECD" w:rsidRPr="00A76485">
        <w:rPr>
          <w:rFonts w:ascii="Arial" w:hAnsi="Arial" w:cs="Arial"/>
          <w:bCs/>
          <w:sz w:val="21"/>
          <w:szCs w:val="21"/>
        </w:rPr>
        <w:t xml:space="preserve"> </w:t>
      </w:r>
    </w:p>
    <w:p w14:paraId="7BBDACCB" w14:textId="77777777" w:rsidR="00B53AC8" w:rsidRPr="00A76485" w:rsidRDefault="00B53AC8" w:rsidP="00492D77">
      <w:pPr>
        <w:jc w:val="both"/>
        <w:rPr>
          <w:rFonts w:ascii="Arial" w:hAnsi="Arial" w:cs="Arial"/>
          <w:sz w:val="22"/>
          <w:szCs w:val="22"/>
          <w:lang w:val="es-CO"/>
        </w:rPr>
      </w:pPr>
    </w:p>
    <w:p w14:paraId="369ADCA3" w14:textId="77777777" w:rsidR="00B53AC8" w:rsidRPr="00A76485" w:rsidRDefault="00B53AC8" w:rsidP="00492D77">
      <w:pPr>
        <w:pStyle w:val="Prrafodelista"/>
        <w:numPr>
          <w:ilvl w:val="3"/>
          <w:numId w:val="1"/>
        </w:numPr>
        <w:ind w:left="284" w:firstLine="0"/>
        <w:jc w:val="both"/>
        <w:rPr>
          <w:rFonts w:ascii="Arial" w:hAnsi="Arial" w:cs="Arial"/>
          <w:b/>
          <w:bCs/>
          <w:sz w:val="21"/>
          <w:szCs w:val="21"/>
        </w:rPr>
      </w:pPr>
      <w:r w:rsidRPr="00A76485">
        <w:rPr>
          <w:rFonts w:ascii="Arial" w:hAnsi="Arial" w:cs="Arial"/>
          <w:b/>
          <w:bCs/>
          <w:sz w:val="21"/>
          <w:szCs w:val="21"/>
        </w:rPr>
        <w:t>Gestión en Salud Pública.</w:t>
      </w:r>
    </w:p>
    <w:p w14:paraId="6E0F1A7A" w14:textId="77777777" w:rsidR="00B53AC8" w:rsidRPr="00A76485" w:rsidRDefault="00B53AC8" w:rsidP="00492D77">
      <w:pPr>
        <w:contextualSpacing/>
        <w:jc w:val="both"/>
        <w:rPr>
          <w:rFonts w:ascii="Arial" w:hAnsi="Arial" w:cs="Arial"/>
          <w:b/>
          <w:bCs/>
          <w:sz w:val="21"/>
          <w:szCs w:val="21"/>
        </w:rPr>
      </w:pPr>
    </w:p>
    <w:p w14:paraId="54779C2D" w14:textId="77777777" w:rsidR="00B53AC8" w:rsidRPr="00A76485" w:rsidRDefault="00B53AC8" w:rsidP="00492D77">
      <w:pPr>
        <w:contextualSpacing/>
        <w:jc w:val="both"/>
        <w:rPr>
          <w:rFonts w:ascii="Arial" w:hAnsi="Arial" w:cs="Arial"/>
          <w:b/>
          <w:bCs/>
          <w:sz w:val="21"/>
          <w:szCs w:val="21"/>
        </w:rPr>
      </w:pPr>
      <w:r w:rsidRPr="00A76485">
        <w:rPr>
          <w:rFonts w:ascii="Arial" w:hAnsi="Arial" w:cs="Arial"/>
          <w:b/>
          <w:bCs/>
          <w:sz w:val="21"/>
          <w:szCs w:val="21"/>
        </w:rPr>
        <w:t>3.1 Análisis de los procesos de gestión de la Salud Publica financiados con el SGP:</w:t>
      </w:r>
    </w:p>
    <w:p w14:paraId="0BAF4CE2" w14:textId="77777777" w:rsidR="00054C23" w:rsidRDefault="00054C23" w:rsidP="00492D77">
      <w:pPr>
        <w:jc w:val="both"/>
        <w:rPr>
          <w:rStyle w:val="contentpasted0"/>
          <w:rFonts w:ascii="Arial" w:eastAsia="Times New Roman" w:hAnsi="Arial" w:cs="Arial"/>
          <w:color w:val="000000"/>
          <w:sz w:val="21"/>
          <w:szCs w:val="21"/>
        </w:rPr>
      </w:pPr>
    </w:p>
    <w:p w14:paraId="5F25281B" w14:textId="77777777" w:rsidR="00B53AC8" w:rsidRDefault="00B53AC8" w:rsidP="00492D77">
      <w:pPr>
        <w:jc w:val="both"/>
        <w:rPr>
          <w:rStyle w:val="contentpasted0"/>
          <w:rFonts w:ascii="Arial" w:eastAsia="Times New Roman" w:hAnsi="Arial" w:cs="Arial"/>
          <w:color w:val="000000"/>
          <w:sz w:val="21"/>
          <w:szCs w:val="21"/>
        </w:rPr>
      </w:pPr>
      <w:r w:rsidRPr="00A76485">
        <w:rPr>
          <w:rStyle w:val="contentpasted0"/>
          <w:rFonts w:ascii="Arial" w:eastAsia="Times New Roman" w:hAnsi="Arial" w:cs="Arial"/>
          <w:color w:val="000000"/>
          <w:sz w:val="21"/>
          <w:szCs w:val="21"/>
        </w:rPr>
        <w:t xml:space="preserve">La </w:t>
      </w:r>
      <w:r w:rsidR="00054C23">
        <w:rPr>
          <w:rStyle w:val="contentpasted0"/>
          <w:rFonts w:ascii="Arial" w:eastAsia="Times New Roman" w:hAnsi="Arial" w:cs="Arial"/>
          <w:color w:val="000000"/>
          <w:sz w:val="21"/>
          <w:szCs w:val="21"/>
        </w:rPr>
        <w:t>E</w:t>
      </w:r>
      <w:r w:rsidRPr="00A76485">
        <w:rPr>
          <w:rStyle w:val="contentpasted0"/>
          <w:rFonts w:ascii="Arial" w:eastAsia="Times New Roman" w:hAnsi="Arial" w:cs="Arial"/>
          <w:color w:val="000000"/>
          <w:sz w:val="21"/>
          <w:szCs w:val="21"/>
        </w:rPr>
        <w:t xml:space="preserve">ntidad Territorial entregó la matriz que contiene los procesos y los productos esperados a su nivel de gobierno </w:t>
      </w:r>
      <w:r w:rsidR="00593904" w:rsidRPr="00A76485">
        <w:rPr>
          <w:rStyle w:val="contentpasted0"/>
          <w:rFonts w:ascii="Arial" w:eastAsia="Times New Roman" w:hAnsi="Arial" w:cs="Arial"/>
          <w:color w:val="000000"/>
          <w:sz w:val="21"/>
          <w:szCs w:val="21"/>
        </w:rPr>
        <w:t>teniendo en cuenta</w:t>
      </w:r>
      <w:r w:rsidRPr="00A76485">
        <w:rPr>
          <w:rStyle w:val="contentpasted0"/>
          <w:rFonts w:ascii="Arial" w:eastAsia="Times New Roman" w:hAnsi="Arial" w:cs="Arial"/>
          <w:color w:val="000000"/>
          <w:sz w:val="21"/>
          <w:szCs w:val="21"/>
        </w:rPr>
        <w:t xml:space="preserve"> el documento técnico expedido por el MSPS </w:t>
      </w:r>
      <w:r w:rsidRPr="00A76485">
        <w:rPr>
          <w:rStyle w:val="contentpasted0"/>
          <w:rFonts w:ascii="Arial" w:eastAsia="Times New Roman" w:hAnsi="Arial" w:cs="Arial"/>
          <w:i/>
          <w:color w:val="000000"/>
          <w:sz w:val="21"/>
          <w:szCs w:val="21"/>
        </w:rPr>
        <w:t>"Directrices para la caracterización y ejecución de los procesos para la Gestión de la Salud Pública en el contexto de la Política de Atención Integral en Salud</w:t>
      </w:r>
      <w:r w:rsidRPr="00A76485">
        <w:rPr>
          <w:rStyle w:val="contentpasted0"/>
          <w:rFonts w:ascii="Arial" w:eastAsia="Times New Roman" w:hAnsi="Arial" w:cs="Arial"/>
          <w:color w:val="000000"/>
          <w:sz w:val="21"/>
          <w:szCs w:val="21"/>
        </w:rPr>
        <w:t xml:space="preserve">", en la que fue posible identificar los procesos </w:t>
      </w:r>
      <w:r w:rsidR="00593904" w:rsidRPr="00A76485">
        <w:rPr>
          <w:rStyle w:val="contentpasted0"/>
          <w:rFonts w:ascii="Arial" w:eastAsia="Times New Roman" w:hAnsi="Arial" w:cs="Arial"/>
          <w:color w:val="000000"/>
          <w:sz w:val="21"/>
          <w:szCs w:val="21"/>
        </w:rPr>
        <w:t>definidos en</w:t>
      </w:r>
      <w:r w:rsidRPr="00A76485">
        <w:rPr>
          <w:rStyle w:val="contentpasted0"/>
          <w:rFonts w:ascii="Arial" w:eastAsia="Times New Roman" w:hAnsi="Arial" w:cs="Arial"/>
          <w:color w:val="000000"/>
          <w:sz w:val="21"/>
          <w:szCs w:val="21"/>
        </w:rPr>
        <w:t xml:space="preserve"> la </w:t>
      </w:r>
      <w:r w:rsidR="00593904" w:rsidRPr="00A76485">
        <w:rPr>
          <w:rStyle w:val="contentpasted0"/>
          <w:rFonts w:ascii="Arial" w:eastAsia="Times New Roman" w:hAnsi="Arial" w:cs="Arial"/>
          <w:color w:val="000000"/>
          <w:sz w:val="21"/>
          <w:szCs w:val="21"/>
        </w:rPr>
        <w:t>R</w:t>
      </w:r>
      <w:r w:rsidRPr="00A76485">
        <w:rPr>
          <w:rStyle w:val="contentpasted0"/>
          <w:rFonts w:ascii="Arial" w:eastAsia="Times New Roman" w:hAnsi="Arial" w:cs="Arial"/>
          <w:color w:val="000000"/>
          <w:sz w:val="21"/>
          <w:szCs w:val="21"/>
        </w:rPr>
        <w:t>esolución 518 de 2015, de igual forma menciona que s</w:t>
      </w:r>
      <w:r w:rsidR="00593904" w:rsidRPr="00A76485">
        <w:rPr>
          <w:rStyle w:val="contentpasted0"/>
          <w:rFonts w:ascii="Arial" w:eastAsia="Times New Roman" w:hAnsi="Arial" w:cs="Arial"/>
          <w:color w:val="000000"/>
          <w:sz w:val="21"/>
          <w:szCs w:val="21"/>
        </w:rPr>
        <w:t>í</w:t>
      </w:r>
      <w:r w:rsidRPr="00A76485">
        <w:rPr>
          <w:rStyle w:val="contentpasted0"/>
          <w:rFonts w:ascii="Arial" w:eastAsia="Times New Roman" w:hAnsi="Arial" w:cs="Arial"/>
          <w:color w:val="000000"/>
          <w:sz w:val="21"/>
          <w:szCs w:val="21"/>
        </w:rPr>
        <w:t xml:space="preserve"> realiza la totalidad de las acciones, sin embargo, solo entregó evidencia del proceso de gestión; 2. Desarrollo de capacidades y 5. Vigilancia en salud pública, </w:t>
      </w:r>
      <w:r w:rsidR="00593904" w:rsidRPr="00A76485">
        <w:rPr>
          <w:rStyle w:val="contentpasted0"/>
          <w:rFonts w:ascii="Arial" w:eastAsia="Times New Roman" w:hAnsi="Arial" w:cs="Arial"/>
          <w:color w:val="000000"/>
          <w:sz w:val="21"/>
          <w:szCs w:val="21"/>
        </w:rPr>
        <w:t>por lo que no fue posible identificar su cumplimiento respecto a los 5 procesos restantes.</w:t>
      </w:r>
    </w:p>
    <w:p w14:paraId="2F8081E1" w14:textId="77777777" w:rsidR="00054C23" w:rsidRPr="00A76485" w:rsidRDefault="00054C23" w:rsidP="00492D77">
      <w:pPr>
        <w:jc w:val="both"/>
        <w:rPr>
          <w:rStyle w:val="contentpasted0"/>
          <w:rFonts w:ascii="Arial" w:eastAsia="Times New Roman" w:hAnsi="Arial" w:cs="Arial"/>
          <w:color w:val="000000"/>
          <w:sz w:val="21"/>
          <w:szCs w:val="21"/>
        </w:rPr>
      </w:pPr>
    </w:p>
    <w:p w14:paraId="7003680E" w14:textId="77777777" w:rsidR="00B53AC8" w:rsidRDefault="00B53AC8" w:rsidP="00492D77">
      <w:pPr>
        <w:jc w:val="both"/>
        <w:rPr>
          <w:rFonts w:ascii="Arial" w:hAnsi="Arial" w:cs="Arial"/>
          <w:color w:val="000000"/>
          <w:sz w:val="21"/>
          <w:szCs w:val="21"/>
        </w:rPr>
      </w:pPr>
      <w:r w:rsidRPr="00A76485">
        <w:rPr>
          <w:rStyle w:val="contentpasted0"/>
          <w:rFonts w:ascii="Arial" w:eastAsia="Times New Roman" w:hAnsi="Arial" w:cs="Arial"/>
          <w:color w:val="000000"/>
          <w:sz w:val="21"/>
          <w:szCs w:val="21"/>
        </w:rPr>
        <w:t xml:space="preserve">Ahora, al validar la información entregada por la </w:t>
      </w:r>
      <w:r w:rsidR="00054C23">
        <w:rPr>
          <w:rStyle w:val="contentpasted0"/>
          <w:rFonts w:ascii="Arial" w:eastAsia="Times New Roman" w:hAnsi="Arial" w:cs="Arial"/>
          <w:color w:val="000000"/>
          <w:sz w:val="21"/>
          <w:szCs w:val="21"/>
        </w:rPr>
        <w:t>E</w:t>
      </w:r>
      <w:r w:rsidRPr="00A76485">
        <w:rPr>
          <w:rStyle w:val="contentpasted0"/>
          <w:rFonts w:ascii="Arial" w:eastAsia="Times New Roman" w:hAnsi="Arial" w:cs="Arial"/>
          <w:color w:val="000000"/>
          <w:sz w:val="21"/>
          <w:szCs w:val="21"/>
        </w:rPr>
        <w:t>ntidad en la matriz referente a las actividades desarrolladas para dar cumplimiento a los productos esperado</w:t>
      </w:r>
      <w:r w:rsidR="00593904" w:rsidRPr="00A76485">
        <w:rPr>
          <w:rStyle w:val="contentpasted0"/>
          <w:rFonts w:ascii="Arial" w:eastAsia="Times New Roman" w:hAnsi="Arial" w:cs="Arial"/>
          <w:color w:val="000000"/>
          <w:sz w:val="21"/>
          <w:szCs w:val="21"/>
        </w:rPr>
        <w:t>s</w:t>
      </w:r>
      <w:r w:rsidRPr="00A76485">
        <w:rPr>
          <w:rStyle w:val="contentpasted0"/>
          <w:rFonts w:ascii="Arial" w:eastAsia="Times New Roman" w:hAnsi="Arial" w:cs="Arial"/>
          <w:color w:val="000000"/>
          <w:sz w:val="21"/>
          <w:szCs w:val="21"/>
        </w:rPr>
        <w:t xml:space="preserve"> se encontraron casos en los que las acciones y los productos no son consistentes o están en procesos de adaptación </w:t>
      </w:r>
      <w:r w:rsidRPr="00A76485">
        <w:rPr>
          <w:rFonts w:ascii="Arial" w:hAnsi="Arial" w:cs="Arial"/>
          <w:color w:val="000000"/>
          <w:sz w:val="21"/>
          <w:szCs w:val="21"/>
        </w:rPr>
        <w:t>y otro en el que se menciona, frente a las competencias en el talento humano y las capacidades para implementar el modelo de I.V.C., que el funcionario encargado no tiene funciones de I.V.C., situaciones que ponen en riesgo la consecución de los objetivos en cada uno de los procesos.</w:t>
      </w:r>
    </w:p>
    <w:p w14:paraId="4DBBE0B0" w14:textId="77777777" w:rsidR="00054C23" w:rsidRPr="00A76485" w:rsidRDefault="00054C23" w:rsidP="00492D77">
      <w:pPr>
        <w:jc w:val="both"/>
        <w:rPr>
          <w:rFonts w:ascii="Arial" w:hAnsi="Arial" w:cs="Arial"/>
          <w:sz w:val="18"/>
          <w:szCs w:val="18"/>
        </w:rPr>
      </w:pPr>
    </w:p>
    <w:p w14:paraId="3BA7A6AA" w14:textId="77777777" w:rsidR="00B53AC8" w:rsidRPr="00A76485" w:rsidRDefault="00B53AC8" w:rsidP="00492D77">
      <w:pPr>
        <w:jc w:val="center"/>
        <w:rPr>
          <w:rStyle w:val="contentpasted0"/>
          <w:rFonts w:ascii="Arial" w:eastAsia="Times New Roman" w:hAnsi="Arial" w:cs="Arial"/>
          <w:color w:val="000000"/>
          <w:sz w:val="21"/>
          <w:szCs w:val="21"/>
        </w:rPr>
      </w:pPr>
      <w:r w:rsidRPr="00A76485">
        <w:rPr>
          <w:rFonts w:ascii="Arial" w:hAnsi="Arial" w:cs="Arial"/>
          <w:b/>
          <w:sz w:val="18"/>
          <w:szCs w:val="18"/>
        </w:rPr>
        <w:t>Imagen No 5</w:t>
      </w:r>
      <w:r w:rsidRPr="00A76485">
        <w:rPr>
          <w:rFonts w:ascii="Arial" w:hAnsi="Arial" w:cs="Arial"/>
          <w:noProof/>
          <w:lang w:val="es-CO" w:eastAsia="es-CO"/>
        </w:rPr>
        <w:drawing>
          <wp:inline distT="0" distB="0" distL="0" distR="0" wp14:anchorId="2E950F7A" wp14:editId="277F81FB">
            <wp:extent cx="5612130" cy="118110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2130" cy="1181100"/>
                    </a:xfrm>
                    <a:prstGeom prst="rect">
                      <a:avLst/>
                    </a:prstGeom>
                  </pic:spPr>
                </pic:pic>
              </a:graphicData>
            </a:graphic>
          </wp:inline>
        </w:drawing>
      </w:r>
      <w:r w:rsidRPr="00A76485">
        <w:rPr>
          <w:rFonts w:ascii="Arial" w:hAnsi="Arial" w:cs="Arial"/>
          <w:sz w:val="16"/>
          <w:szCs w:val="16"/>
        </w:rPr>
        <w:t>Fuente: Entidad territorial</w:t>
      </w:r>
    </w:p>
    <w:p w14:paraId="29B1A2B9" w14:textId="77777777" w:rsidR="00054C23" w:rsidRDefault="00054C23" w:rsidP="00492D77">
      <w:pPr>
        <w:jc w:val="both"/>
        <w:rPr>
          <w:rStyle w:val="contentpasted0"/>
          <w:rFonts w:ascii="Arial" w:hAnsi="Arial" w:cs="Arial"/>
          <w:color w:val="000000"/>
          <w:sz w:val="21"/>
          <w:szCs w:val="21"/>
        </w:rPr>
      </w:pPr>
    </w:p>
    <w:p w14:paraId="1EBC5A51" w14:textId="77777777" w:rsidR="00B53AC8" w:rsidRDefault="00B53AC8" w:rsidP="00492D77">
      <w:pPr>
        <w:jc w:val="both"/>
        <w:rPr>
          <w:rStyle w:val="contentpasted0"/>
          <w:rFonts w:ascii="Arial" w:hAnsi="Arial" w:cs="Arial"/>
          <w:color w:val="000000"/>
          <w:sz w:val="21"/>
          <w:szCs w:val="21"/>
        </w:rPr>
      </w:pPr>
      <w:r w:rsidRPr="00A76485">
        <w:rPr>
          <w:rStyle w:val="contentpasted0"/>
          <w:rFonts w:ascii="Arial" w:hAnsi="Arial" w:cs="Arial"/>
          <w:color w:val="000000"/>
          <w:sz w:val="21"/>
          <w:szCs w:val="21"/>
        </w:rPr>
        <w:t>Por lo anterior, la evidencia presentada no responde a los productos esperado</w:t>
      </w:r>
      <w:r w:rsidR="00593904" w:rsidRPr="00A76485">
        <w:rPr>
          <w:rStyle w:val="contentpasted0"/>
          <w:rFonts w:ascii="Arial" w:hAnsi="Arial" w:cs="Arial"/>
          <w:color w:val="000000"/>
          <w:sz w:val="21"/>
          <w:szCs w:val="21"/>
        </w:rPr>
        <w:t>s</w:t>
      </w:r>
      <w:r w:rsidRPr="00A76485">
        <w:rPr>
          <w:rStyle w:val="contentpasted0"/>
          <w:rFonts w:ascii="Arial" w:hAnsi="Arial" w:cs="Arial"/>
          <w:color w:val="000000"/>
          <w:sz w:val="21"/>
          <w:szCs w:val="21"/>
        </w:rPr>
        <w:t xml:space="preserve"> por la </w:t>
      </w:r>
      <w:r w:rsidR="00593904" w:rsidRPr="00A76485">
        <w:rPr>
          <w:rStyle w:val="contentpasted0"/>
          <w:rFonts w:ascii="Arial" w:hAnsi="Arial" w:cs="Arial"/>
          <w:color w:val="000000"/>
          <w:sz w:val="21"/>
          <w:szCs w:val="21"/>
        </w:rPr>
        <w:t>R</w:t>
      </w:r>
      <w:r w:rsidRPr="00A76485">
        <w:rPr>
          <w:rStyle w:val="contentpasted0"/>
          <w:rFonts w:ascii="Arial" w:hAnsi="Arial" w:cs="Arial"/>
          <w:color w:val="000000"/>
          <w:sz w:val="21"/>
          <w:szCs w:val="21"/>
        </w:rPr>
        <w:t>esolución 518 de 2015</w:t>
      </w:r>
      <w:r w:rsidR="00554EE2" w:rsidRPr="00A76485">
        <w:rPr>
          <w:rStyle w:val="contentpasted0"/>
          <w:rFonts w:ascii="Arial" w:hAnsi="Arial" w:cs="Arial"/>
          <w:color w:val="000000"/>
          <w:sz w:val="21"/>
          <w:szCs w:val="21"/>
        </w:rPr>
        <w:t xml:space="preserve"> y </w:t>
      </w:r>
      <w:r w:rsidR="00554EE2" w:rsidRPr="00A76485">
        <w:rPr>
          <w:rStyle w:val="contentpasted0"/>
          <w:rFonts w:ascii="Arial" w:eastAsia="Times New Roman" w:hAnsi="Arial" w:cs="Arial"/>
          <w:color w:val="000000"/>
          <w:sz w:val="21"/>
          <w:szCs w:val="21"/>
        </w:rPr>
        <w:t xml:space="preserve">documento técnico expedido por el MSPS </w:t>
      </w:r>
      <w:r w:rsidR="00554EE2" w:rsidRPr="00A76485">
        <w:rPr>
          <w:rStyle w:val="contentpasted0"/>
          <w:rFonts w:ascii="Arial" w:eastAsia="Times New Roman" w:hAnsi="Arial" w:cs="Arial"/>
          <w:i/>
          <w:color w:val="000000"/>
          <w:sz w:val="21"/>
          <w:szCs w:val="21"/>
        </w:rPr>
        <w:t>"Directrices para la caracterización y ejecución de los procesos para la Gestión de la Salud Pública en el contexto de la Política de Atención Integral en Salud</w:t>
      </w:r>
      <w:r w:rsidR="00554EE2" w:rsidRPr="00A76485">
        <w:rPr>
          <w:rStyle w:val="contentpasted0"/>
          <w:rFonts w:ascii="Arial" w:eastAsia="Times New Roman" w:hAnsi="Arial" w:cs="Arial"/>
          <w:color w:val="000000"/>
          <w:sz w:val="21"/>
          <w:szCs w:val="21"/>
        </w:rPr>
        <w:t>"</w:t>
      </w:r>
      <w:r w:rsidRPr="00A76485">
        <w:rPr>
          <w:rStyle w:val="contentpasted0"/>
          <w:rFonts w:ascii="Arial" w:hAnsi="Arial" w:cs="Arial"/>
          <w:color w:val="000000"/>
          <w:sz w:val="21"/>
          <w:szCs w:val="21"/>
        </w:rPr>
        <w:t>.</w:t>
      </w:r>
    </w:p>
    <w:p w14:paraId="3AE1975D" w14:textId="77777777" w:rsidR="00054C23" w:rsidRPr="00A76485" w:rsidRDefault="00054C23" w:rsidP="00492D77">
      <w:pPr>
        <w:jc w:val="both"/>
        <w:rPr>
          <w:rStyle w:val="contentpasted0"/>
          <w:rFonts w:ascii="Arial" w:hAnsi="Arial" w:cs="Arial"/>
          <w:color w:val="000000"/>
          <w:sz w:val="21"/>
          <w:szCs w:val="21"/>
        </w:rPr>
      </w:pPr>
    </w:p>
    <w:p w14:paraId="7B789EA0" w14:textId="77777777" w:rsidR="00B53AC8" w:rsidRPr="00A76485" w:rsidRDefault="00B53AC8" w:rsidP="00492D77">
      <w:pPr>
        <w:jc w:val="both"/>
        <w:rPr>
          <w:rFonts w:ascii="Arial" w:hAnsi="Arial" w:cs="Arial"/>
          <w:b/>
          <w:bCs/>
          <w:sz w:val="21"/>
          <w:szCs w:val="21"/>
        </w:rPr>
      </w:pPr>
      <w:r w:rsidRPr="00A76485">
        <w:rPr>
          <w:rFonts w:ascii="Arial" w:hAnsi="Arial" w:cs="Arial"/>
          <w:b/>
          <w:bCs/>
          <w:sz w:val="21"/>
          <w:szCs w:val="21"/>
        </w:rPr>
        <w:t>3.2 Contratación gestión de la Salud Pública 2021 y 2022.</w:t>
      </w:r>
    </w:p>
    <w:p w14:paraId="5D6A6A24" w14:textId="77777777" w:rsidR="00054C23" w:rsidRDefault="00054C23" w:rsidP="00492D77">
      <w:pPr>
        <w:contextualSpacing/>
        <w:jc w:val="both"/>
        <w:rPr>
          <w:rFonts w:ascii="Arial" w:hAnsi="Arial" w:cs="Arial"/>
          <w:bCs/>
          <w:sz w:val="21"/>
          <w:szCs w:val="21"/>
        </w:rPr>
      </w:pPr>
    </w:p>
    <w:p w14:paraId="5676D765" w14:textId="77777777" w:rsidR="00B53AC8" w:rsidRDefault="00B53AC8" w:rsidP="00492D77">
      <w:pPr>
        <w:contextualSpacing/>
        <w:jc w:val="both"/>
        <w:rPr>
          <w:rFonts w:ascii="Arial" w:hAnsi="Arial" w:cs="Arial"/>
          <w:bCs/>
          <w:sz w:val="21"/>
          <w:szCs w:val="21"/>
        </w:rPr>
      </w:pPr>
      <w:r w:rsidRPr="00A76485">
        <w:rPr>
          <w:rFonts w:ascii="Arial" w:hAnsi="Arial" w:cs="Arial"/>
          <w:bCs/>
          <w:sz w:val="21"/>
          <w:szCs w:val="21"/>
        </w:rPr>
        <w:t xml:space="preserve">Para la ejecución de acciones relacionadas con la gestión de la Salud Pública en la vigencia 2021 la </w:t>
      </w:r>
      <w:r w:rsidR="00054C23">
        <w:rPr>
          <w:rFonts w:ascii="Arial" w:hAnsi="Arial" w:cs="Arial"/>
          <w:bCs/>
          <w:sz w:val="21"/>
          <w:szCs w:val="21"/>
        </w:rPr>
        <w:t>E</w:t>
      </w:r>
      <w:r w:rsidRPr="00A76485">
        <w:rPr>
          <w:rFonts w:ascii="Arial" w:hAnsi="Arial" w:cs="Arial"/>
          <w:bCs/>
          <w:sz w:val="21"/>
          <w:szCs w:val="21"/>
        </w:rPr>
        <w:t>ntidad reporta un total de doscientos ochenta (280) contratos, comprometiendo un total de $2.647 millones provenientes del SGP - Salud Pública, frente a los cuales no se identifica el tipo de contrato realizado. En ese orden de acuerdo con la modalidad de selección se evidenció lo siguiente:</w:t>
      </w:r>
    </w:p>
    <w:p w14:paraId="2832223F" w14:textId="77777777" w:rsidR="00054C23" w:rsidRPr="00A76485" w:rsidRDefault="00054C23" w:rsidP="00492D77">
      <w:pPr>
        <w:contextualSpacing/>
        <w:jc w:val="both"/>
        <w:rPr>
          <w:rFonts w:ascii="Arial" w:hAnsi="Arial" w:cs="Arial"/>
          <w:bCs/>
          <w:sz w:val="21"/>
          <w:szCs w:val="21"/>
        </w:rPr>
      </w:pPr>
    </w:p>
    <w:p w14:paraId="26589B96" w14:textId="77777777" w:rsidR="00B53AC8" w:rsidRPr="00A76485" w:rsidRDefault="00B53AC8" w:rsidP="00492D77">
      <w:pPr>
        <w:contextualSpacing/>
        <w:jc w:val="center"/>
        <w:rPr>
          <w:rFonts w:ascii="Arial" w:hAnsi="Arial" w:cs="Arial"/>
          <w:b/>
          <w:sz w:val="18"/>
          <w:szCs w:val="18"/>
        </w:rPr>
      </w:pPr>
      <w:r w:rsidRPr="00A76485">
        <w:rPr>
          <w:rFonts w:ascii="Arial" w:hAnsi="Arial" w:cs="Arial"/>
          <w:b/>
          <w:sz w:val="18"/>
          <w:szCs w:val="18"/>
        </w:rPr>
        <w:t>Tabla No 13</w:t>
      </w:r>
    </w:p>
    <w:tbl>
      <w:tblPr>
        <w:tblW w:w="3799" w:type="pct"/>
        <w:jc w:val="center"/>
        <w:tblCellMar>
          <w:left w:w="70" w:type="dxa"/>
          <w:right w:w="70" w:type="dxa"/>
        </w:tblCellMar>
        <w:tblLook w:val="04A0" w:firstRow="1" w:lastRow="0" w:firstColumn="1" w:lastColumn="0" w:noHBand="0" w:noVBand="1"/>
      </w:tblPr>
      <w:tblGrid>
        <w:gridCol w:w="3421"/>
        <w:gridCol w:w="2821"/>
        <w:gridCol w:w="1942"/>
      </w:tblGrid>
      <w:tr w:rsidR="00B53AC8" w:rsidRPr="00A76485" w14:paraId="5E42BE40" w14:textId="77777777" w:rsidTr="005636EE">
        <w:trPr>
          <w:trHeight w:val="251"/>
          <w:jc w:val="center"/>
        </w:trPr>
        <w:tc>
          <w:tcPr>
            <w:tcW w:w="5000" w:type="pct"/>
            <w:gridSpan w:val="3"/>
            <w:tcBorders>
              <w:top w:val="single" w:sz="4" w:space="0" w:color="1F4E78"/>
              <w:left w:val="single" w:sz="4" w:space="0" w:color="1F4E78"/>
              <w:bottom w:val="single" w:sz="4" w:space="0" w:color="1F4E78"/>
              <w:right w:val="single" w:sz="4" w:space="0" w:color="1F4E78"/>
            </w:tcBorders>
            <w:shd w:val="clear" w:color="000000" w:fill="2F75B5"/>
            <w:noWrap/>
            <w:vAlign w:val="bottom"/>
            <w:hideMark/>
          </w:tcPr>
          <w:p w14:paraId="30559505" w14:textId="77777777" w:rsidR="00B53AC8" w:rsidRPr="00A76485" w:rsidRDefault="00B53AC8" w:rsidP="00492D77">
            <w:pPr>
              <w:jc w:val="cente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Vigencia 2021</w:t>
            </w:r>
            <w:r w:rsidR="002932ED">
              <w:rPr>
                <w:rFonts w:ascii="Arial" w:eastAsia="Times New Roman" w:hAnsi="Arial" w:cs="Arial"/>
                <w:color w:val="FFFFFF"/>
                <w:sz w:val="18"/>
                <w:szCs w:val="18"/>
                <w:lang w:val="es-CO" w:eastAsia="es-CO"/>
              </w:rPr>
              <w:t xml:space="preserve"> (valores en millones)</w:t>
            </w:r>
          </w:p>
        </w:tc>
      </w:tr>
      <w:tr w:rsidR="00B53AC8" w:rsidRPr="00A76485" w14:paraId="1510AB92" w14:textId="77777777" w:rsidTr="005636EE">
        <w:trPr>
          <w:trHeight w:val="251"/>
          <w:jc w:val="center"/>
        </w:trPr>
        <w:tc>
          <w:tcPr>
            <w:tcW w:w="1609" w:type="pct"/>
            <w:tcBorders>
              <w:top w:val="nil"/>
              <w:left w:val="single" w:sz="4" w:space="0" w:color="1F4E78"/>
              <w:bottom w:val="single" w:sz="4" w:space="0" w:color="1F4E78"/>
              <w:right w:val="single" w:sz="4" w:space="0" w:color="1F4E78"/>
            </w:tcBorders>
            <w:shd w:val="clear" w:color="000000" w:fill="2F75B5"/>
            <w:noWrap/>
            <w:vAlign w:val="bottom"/>
            <w:hideMark/>
          </w:tcPr>
          <w:p w14:paraId="41898A7F" w14:textId="77777777" w:rsidR="00B53AC8" w:rsidRPr="00A76485" w:rsidRDefault="00B53AC8" w:rsidP="00492D77">
            <w:pP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MODALIDAD DE SELECCIÓN</w:t>
            </w:r>
          </w:p>
        </w:tc>
        <w:tc>
          <w:tcPr>
            <w:tcW w:w="2185" w:type="pct"/>
            <w:tcBorders>
              <w:top w:val="nil"/>
              <w:left w:val="nil"/>
              <w:bottom w:val="single" w:sz="4" w:space="0" w:color="1F4E78"/>
              <w:right w:val="single" w:sz="4" w:space="0" w:color="1F4E78"/>
            </w:tcBorders>
            <w:shd w:val="clear" w:color="000000" w:fill="2F75B5"/>
            <w:noWrap/>
            <w:vAlign w:val="bottom"/>
            <w:hideMark/>
          </w:tcPr>
          <w:p w14:paraId="5492FD88" w14:textId="77777777" w:rsidR="00B53AC8" w:rsidRPr="00A76485" w:rsidRDefault="00B53AC8" w:rsidP="00492D77">
            <w:pP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 xml:space="preserve"> VALOR FINAL DEL CONTRATO</w:t>
            </w:r>
          </w:p>
        </w:tc>
        <w:tc>
          <w:tcPr>
            <w:tcW w:w="1206" w:type="pct"/>
            <w:tcBorders>
              <w:top w:val="nil"/>
              <w:left w:val="nil"/>
              <w:bottom w:val="single" w:sz="4" w:space="0" w:color="1F4E78"/>
              <w:right w:val="single" w:sz="4" w:space="0" w:color="1F4E78"/>
            </w:tcBorders>
            <w:shd w:val="clear" w:color="000000" w:fill="2F75B5"/>
            <w:noWrap/>
            <w:vAlign w:val="bottom"/>
            <w:hideMark/>
          </w:tcPr>
          <w:p w14:paraId="26152A9E" w14:textId="77777777" w:rsidR="00B53AC8" w:rsidRPr="00A76485" w:rsidRDefault="00B53AC8" w:rsidP="00492D77">
            <w:pP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Cantidad de Contratos</w:t>
            </w:r>
          </w:p>
        </w:tc>
      </w:tr>
      <w:tr w:rsidR="00B53AC8" w:rsidRPr="00A76485" w14:paraId="5152FE60" w14:textId="77777777" w:rsidTr="005636EE">
        <w:trPr>
          <w:trHeight w:val="251"/>
          <w:jc w:val="center"/>
        </w:trPr>
        <w:tc>
          <w:tcPr>
            <w:tcW w:w="1609" w:type="pct"/>
            <w:tcBorders>
              <w:top w:val="nil"/>
              <w:left w:val="single" w:sz="4" w:space="0" w:color="1F4E78"/>
              <w:bottom w:val="single" w:sz="4" w:space="0" w:color="1F4E78"/>
              <w:right w:val="single" w:sz="4" w:space="0" w:color="1F4E78"/>
            </w:tcBorders>
            <w:shd w:val="clear" w:color="auto" w:fill="auto"/>
            <w:noWrap/>
            <w:vAlign w:val="bottom"/>
            <w:hideMark/>
          </w:tcPr>
          <w:p w14:paraId="3B92AE0C"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CONTRATACIÓN DIRECTA </w:t>
            </w:r>
          </w:p>
        </w:tc>
        <w:tc>
          <w:tcPr>
            <w:tcW w:w="2185" w:type="pct"/>
            <w:tcBorders>
              <w:top w:val="nil"/>
              <w:left w:val="nil"/>
              <w:bottom w:val="single" w:sz="4" w:space="0" w:color="1F4E78"/>
              <w:right w:val="single" w:sz="4" w:space="0" w:color="1F4E78"/>
            </w:tcBorders>
            <w:shd w:val="clear" w:color="auto" w:fill="auto"/>
            <w:noWrap/>
            <w:vAlign w:val="bottom"/>
            <w:hideMark/>
          </w:tcPr>
          <w:p w14:paraId="052BCA12" w14:textId="77777777" w:rsidR="00B53AC8" w:rsidRPr="00A76485" w:rsidRDefault="00B53AC8" w:rsidP="00054C23">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$2.263</w:t>
            </w:r>
          </w:p>
        </w:tc>
        <w:tc>
          <w:tcPr>
            <w:tcW w:w="1206" w:type="pct"/>
            <w:tcBorders>
              <w:top w:val="nil"/>
              <w:left w:val="nil"/>
              <w:bottom w:val="single" w:sz="4" w:space="0" w:color="1F4E78"/>
              <w:right w:val="single" w:sz="4" w:space="0" w:color="1F4E78"/>
            </w:tcBorders>
            <w:shd w:val="clear" w:color="auto" w:fill="auto"/>
            <w:noWrap/>
            <w:vAlign w:val="bottom"/>
            <w:hideMark/>
          </w:tcPr>
          <w:p w14:paraId="7BF3C17E"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279</w:t>
            </w:r>
          </w:p>
        </w:tc>
      </w:tr>
      <w:tr w:rsidR="00B53AC8" w:rsidRPr="00A76485" w14:paraId="043863CC" w14:textId="77777777" w:rsidTr="005636EE">
        <w:trPr>
          <w:trHeight w:val="251"/>
          <w:jc w:val="center"/>
        </w:trPr>
        <w:tc>
          <w:tcPr>
            <w:tcW w:w="1609" w:type="pct"/>
            <w:tcBorders>
              <w:top w:val="nil"/>
              <w:left w:val="single" w:sz="4" w:space="0" w:color="1F4E78"/>
              <w:bottom w:val="single" w:sz="4" w:space="0" w:color="1F4E78"/>
              <w:right w:val="single" w:sz="4" w:space="0" w:color="1F4E78"/>
            </w:tcBorders>
            <w:shd w:val="clear" w:color="auto" w:fill="auto"/>
            <w:noWrap/>
            <w:vAlign w:val="bottom"/>
            <w:hideMark/>
          </w:tcPr>
          <w:p w14:paraId="77F58F99"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PROCESO </w:t>
            </w:r>
            <w:r w:rsidR="00054C23">
              <w:rPr>
                <w:rFonts w:ascii="Arial" w:eastAsia="Times New Roman" w:hAnsi="Arial" w:cs="Arial"/>
                <w:color w:val="000000"/>
                <w:sz w:val="18"/>
                <w:szCs w:val="18"/>
                <w:lang w:val="es-CO" w:eastAsia="es-CO"/>
              </w:rPr>
              <w:t>CONVOCATORIA PÚBLICA</w:t>
            </w:r>
            <w:r w:rsidRPr="00A76485">
              <w:rPr>
                <w:rFonts w:ascii="Arial" w:eastAsia="Times New Roman" w:hAnsi="Arial" w:cs="Arial"/>
                <w:color w:val="000000"/>
                <w:sz w:val="18"/>
                <w:szCs w:val="18"/>
                <w:lang w:val="es-CO" w:eastAsia="es-CO"/>
              </w:rPr>
              <w:t xml:space="preserve"> </w:t>
            </w:r>
          </w:p>
        </w:tc>
        <w:tc>
          <w:tcPr>
            <w:tcW w:w="2185" w:type="pct"/>
            <w:tcBorders>
              <w:top w:val="nil"/>
              <w:left w:val="nil"/>
              <w:bottom w:val="single" w:sz="4" w:space="0" w:color="1F4E78"/>
              <w:right w:val="single" w:sz="4" w:space="0" w:color="1F4E78"/>
            </w:tcBorders>
            <w:shd w:val="clear" w:color="auto" w:fill="auto"/>
            <w:noWrap/>
            <w:vAlign w:val="bottom"/>
            <w:hideMark/>
          </w:tcPr>
          <w:p w14:paraId="2292E1E9" w14:textId="77777777" w:rsidR="00B53AC8" w:rsidRPr="00A76485" w:rsidRDefault="00B53AC8" w:rsidP="00054C23">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$ 385</w:t>
            </w:r>
          </w:p>
        </w:tc>
        <w:tc>
          <w:tcPr>
            <w:tcW w:w="1206" w:type="pct"/>
            <w:tcBorders>
              <w:top w:val="nil"/>
              <w:left w:val="nil"/>
              <w:bottom w:val="single" w:sz="4" w:space="0" w:color="1F4E78"/>
              <w:right w:val="single" w:sz="4" w:space="0" w:color="1F4E78"/>
            </w:tcBorders>
            <w:shd w:val="clear" w:color="auto" w:fill="auto"/>
            <w:noWrap/>
            <w:vAlign w:val="bottom"/>
            <w:hideMark/>
          </w:tcPr>
          <w:p w14:paraId="77F16EE6"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w:t>
            </w:r>
          </w:p>
        </w:tc>
      </w:tr>
      <w:tr w:rsidR="00B53AC8" w:rsidRPr="00A76485" w14:paraId="24D7CB6A" w14:textId="77777777" w:rsidTr="005636EE">
        <w:trPr>
          <w:trHeight w:val="251"/>
          <w:jc w:val="center"/>
        </w:trPr>
        <w:tc>
          <w:tcPr>
            <w:tcW w:w="1609" w:type="pct"/>
            <w:tcBorders>
              <w:top w:val="nil"/>
              <w:left w:val="single" w:sz="4" w:space="0" w:color="1F4E78"/>
              <w:bottom w:val="single" w:sz="4" w:space="0" w:color="1F4E78"/>
              <w:right w:val="single" w:sz="4" w:space="0" w:color="1F4E78"/>
            </w:tcBorders>
            <w:shd w:val="clear" w:color="auto" w:fill="auto"/>
            <w:noWrap/>
            <w:vAlign w:val="bottom"/>
            <w:hideMark/>
          </w:tcPr>
          <w:p w14:paraId="02592E81"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Total </w:t>
            </w:r>
          </w:p>
        </w:tc>
        <w:tc>
          <w:tcPr>
            <w:tcW w:w="2185" w:type="pct"/>
            <w:tcBorders>
              <w:top w:val="nil"/>
              <w:left w:val="nil"/>
              <w:bottom w:val="single" w:sz="4" w:space="0" w:color="1F4E78"/>
              <w:right w:val="single" w:sz="4" w:space="0" w:color="1F4E78"/>
            </w:tcBorders>
            <w:shd w:val="clear" w:color="auto" w:fill="auto"/>
            <w:noWrap/>
            <w:vAlign w:val="bottom"/>
            <w:hideMark/>
          </w:tcPr>
          <w:p w14:paraId="3259B07A" w14:textId="77777777" w:rsidR="00B53AC8" w:rsidRPr="00A76485" w:rsidRDefault="00B53AC8" w:rsidP="00054C23">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$2.648</w:t>
            </w:r>
          </w:p>
        </w:tc>
        <w:tc>
          <w:tcPr>
            <w:tcW w:w="1206" w:type="pct"/>
            <w:tcBorders>
              <w:top w:val="nil"/>
              <w:left w:val="nil"/>
              <w:bottom w:val="single" w:sz="4" w:space="0" w:color="1F4E78"/>
              <w:right w:val="single" w:sz="4" w:space="0" w:color="1F4E78"/>
            </w:tcBorders>
            <w:shd w:val="clear" w:color="auto" w:fill="auto"/>
            <w:noWrap/>
            <w:vAlign w:val="bottom"/>
            <w:hideMark/>
          </w:tcPr>
          <w:p w14:paraId="35D41935"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280</w:t>
            </w:r>
          </w:p>
        </w:tc>
      </w:tr>
    </w:tbl>
    <w:p w14:paraId="05A36E17" w14:textId="77777777" w:rsidR="00B53AC8" w:rsidRPr="00A76485" w:rsidRDefault="00B53AC8" w:rsidP="00492D77">
      <w:pPr>
        <w:jc w:val="both"/>
        <w:rPr>
          <w:rFonts w:ascii="Arial" w:eastAsia="Times New Roman" w:hAnsi="Arial" w:cs="Arial"/>
          <w:color w:val="000000"/>
          <w:sz w:val="18"/>
          <w:szCs w:val="18"/>
          <w:lang w:val="es-CO" w:eastAsia="es-CO"/>
        </w:rPr>
      </w:pPr>
      <w:r w:rsidRPr="00A76485">
        <w:rPr>
          <w:rFonts w:ascii="Arial" w:hAnsi="Arial" w:cs="Arial"/>
          <w:sz w:val="22"/>
          <w:szCs w:val="22"/>
        </w:rPr>
        <w:t xml:space="preserve">                   </w:t>
      </w:r>
      <w:r w:rsidRPr="00A76485">
        <w:rPr>
          <w:rFonts w:ascii="Arial" w:eastAsia="Times New Roman" w:hAnsi="Arial" w:cs="Arial"/>
          <w:color w:val="000000"/>
          <w:sz w:val="18"/>
          <w:szCs w:val="18"/>
          <w:lang w:val="es-CO" w:eastAsia="es-CO"/>
        </w:rPr>
        <w:t xml:space="preserve">Fuente: Elaboración DAF con información </w:t>
      </w:r>
      <w:proofErr w:type="gramStart"/>
      <w:r w:rsidRPr="00A76485">
        <w:rPr>
          <w:rFonts w:ascii="Arial" w:eastAsia="Times New Roman" w:hAnsi="Arial" w:cs="Arial"/>
          <w:color w:val="000000"/>
          <w:sz w:val="18"/>
          <w:szCs w:val="18"/>
          <w:lang w:val="es-CO" w:eastAsia="es-CO"/>
        </w:rPr>
        <w:t>-  Entidad</w:t>
      </w:r>
      <w:proofErr w:type="gramEnd"/>
      <w:r w:rsidRPr="00A76485">
        <w:rPr>
          <w:rFonts w:ascii="Arial" w:eastAsia="Times New Roman" w:hAnsi="Arial" w:cs="Arial"/>
          <w:color w:val="000000"/>
          <w:sz w:val="18"/>
          <w:szCs w:val="18"/>
          <w:lang w:val="es-CO" w:eastAsia="es-CO"/>
        </w:rPr>
        <w:t xml:space="preserve"> territorial – Secretaria de Salud.</w:t>
      </w:r>
    </w:p>
    <w:p w14:paraId="69C30DE4" w14:textId="77777777" w:rsidR="00054C23" w:rsidRDefault="00054C23" w:rsidP="00492D77">
      <w:pPr>
        <w:rPr>
          <w:rStyle w:val="contentpasted0"/>
          <w:rFonts w:ascii="Arial" w:hAnsi="Arial" w:cs="Arial"/>
          <w:color w:val="000000"/>
          <w:sz w:val="21"/>
          <w:szCs w:val="21"/>
        </w:rPr>
      </w:pPr>
    </w:p>
    <w:p w14:paraId="7AF8E41A" w14:textId="77777777" w:rsidR="00B53AC8" w:rsidRPr="00A76485" w:rsidRDefault="00B53AC8" w:rsidP="00492D77">
      <w:pPr>
        <w:rPr>
          <w:rStyle w:val="contentpasted0"/>
          <w:rFonts w:ascii="Arial" w:hAnsi="Arial" w:cs="Arial"/>
          <w:color w:val="000000"/>
          <w:sz w:val="21"/>
          <w:szCs w:val="21"/>
        </w:rPr>
      </w:pPr>
      <w:r w:rsidRPr="00A76485">
        <w:rPr>
          <w:rStyle w:val="contentpasted0"/>
          <w:rFonts w:ascii="Arial" w:hAnsi="Arial" w:cs="Arial"/>
          <w:color w:val="000000"/>
          <w:sz w:val="21"/>
          <w:szCs w:val="21"/>
        </w:rPr>
        <w:t xml:space="preserve">Del cuadro anterior se tiene que el 99% de los contratos fue por contratación directa y el 1% restante por proceso </w:t>
      </w:r>
      <w:r w:rsidR="00054C23">
        <w:rPr>
          <w:rStyle w:val="contentpasted0"/>
          <w:rFonts w:ascii="Arial" w:hAnsi="Arial" w:cs="Arial"/>
          <w:color w:val="000000"/>
          <w:sz w:val="21"/>
          <w:szCs w:val="21"/>
        </w:rPr>
        <w:t>de convocatoria pública</w:t>
      </w:r>
      <w:r w:rsidRPr="00A76485">
        <w:rPr>
          <w:rStyle w:val="contentpasted0"/>
          <w:rFonts w:ascii="Arial" w:hAnsi="Arial" w:cs="Arial"/>
          <w:color w:val="000000"/>
          <w:sz w:val="21"/>
          <w:szCs w:val="21"/>
        </w:rPr>
        <w:t>.</w:t>
      </w:r>
    </w:p>
    <w:p w14:paraId="3953B873" w14:textId="77777777" w:rsidR="00593904" w:rsidRPr="00A76485" w:rsidRDefault="00593904" w:rsidP="00492D77">
      <w:pPr>
        <w:rPr>
          <w:rStyle w:val="contentpasted0"/>
          <w:rFonts w:ascii="Arial" w:hAnsi="Arial" w:cs="Arial"/>
          <w:color w:val="000000"/>
          <w:sz w:val="21"/>
          <w:szCs w:val="21"/>
        </w:rPr>
      </w:pPr>
    </w:p>
    <w:p w14:paraId="5BD7E91F" w14:textId="77777777" w:rsidR="00054C23" w:rsidRDefault="00B53AC8" w:rsidP="00492D77">
      <w:pPr>
        <w:rPr>
          <w:rStyle w:val="contentpasted0"/>
          <w:rFonts w:ascii="Arial" w:hAnsi="Arial" w:cs="Arial"/>
          <w:color w:val="000000"/>
          <w:sz w:val="21"/>
          <w:szCs w:val="21"/>
        </w:rPr>
      </w:pPr>
      <w:r w:rsidRPr="00A76485">
        <w:rPr>
          <w:rStyle w:val="contentpasted0"/>
          <w:rFonts w:ascii="Arial" w:hAnsi="Arial" w:cs="Arial"/>
          <w:color w:val="000000"/>
          <w:sz w:val="21"/>
          <w:szCs w:val="21"/>
        </w:rPr>
        <w:t xml:space="preserve">Frente a la matriz entregada por la </w:t>
      </w:r>
      <w:r w:rsidR="00054C23">
        <w:rPr>
          <w:rStyle w:val="contentpasted0"/>
          <w:rFonts w:ascii="Arial" w:hAnsi="Arial" w:cs="Arial"/>
          <w:color w:val="000000"/>
          <w:sz w:val="21"/>
          <w:szCs w:val="21"/>
        </w:rPr>
        <w:t>E</w:t>
      </w:r>
      <w:r w:rsidRPr="00A76485">
        <w:rPr>
          <w:rStyle w:val="contentpasted0"/>
          <w:rFonts w:ascii="Arial" w:hAnsi="Arial" w:cs="Arial"/>
          <w:color w:val="000000"/>
          <w:sz w:val="21"/>
          <w:szCs w:val="21"/>
        </w:rPr>
        <w:t>ntidad se evidencia que la contratación efectuada por prestación de servicios no supera los 6 meses, y el 43% de los contratos se realizó a dos meses.</w:t>
      </w:r>
    </w:p>
    <w:p w14:paraId="05171FD5" w14:textId="77777777" w:rsidR="00B53AC8" w:rsidRPr="00A76485" w:rsidRDefault="00B53AC8" w:rsidP="00492D77">
      <w:pPr>
        <w:rPr>
          <w:rFonts w:ascii="Arial" w:hAnsi="Arial" w:cs="Arial"/>
          <w:b/>
          <w:sz w:val="18"/>
          <w:szCs w:val="18"/>
        </w:rPr>
      </w:pPr>
      <w:r w:rsidRPr="00A76485">
        <w:rPr>
          <w:rFonts w:ascii="Arial" w:hAnsi="Arial" w:cs="Arial"/>
          <w:b/>
          <w:sz w:val="18"/>
          <w:szCs w:val="18"/>
        </w:rPr>
        <w:t xml:space="preserve"> </w:t>
      </w:r>
    </w:p>
    <w:p w14:paraId="632CF27D" w14:textId="77777777" w:rsidR="00B53AC8" w:rsidRPr="00A76485" w:rsidRDefault="00B53AC8" w:rsidP="00492D77">
      <w:pPr>
        <w:jc w:val="center"/>
        <w:rPr>
          <w:rStyle w:val="contentpasted0"/>
          <w:rFonts w:ascii="Arial" w:hAnsi="Arial" w:cs="Arial"/>
          <w:color w:val="000000"/>
          <w:sz w:val="21"/>
          <w:szCs w:val="21"/>
        </w:rPr>
      </w:pPr>
      <w:r w:rsidRPr="00A76485">
        <w:rPr>
          <w:rFonts w:ascii="Arial" w:hAnsi="Arial" w:cs="Arial"/>
          <w:b/>
          <w:sz w:val="18"/>
          <w:szCs w:val="18"/>
        </w:rPr>
        <w:t>Tabla No 14</w:t>
      </w:r>
    </w:p>
    <w:tbl>
      <w:tblPr>
        <w:tblW w:w="3813" w:type="pct"/>
        <w:jc w:val="center"/>
        <w:tblLayout w:type="fixed"/>
        <w:tblCellMar>
          <w:left w:w="70" w:type="dxa"/>
          <w:right w:w="70" w:type="dxa"/>
        </w:tblCellMar>
        <w:tblLook w:val="04A0" w:firstRow="1" w:lastRow="0" w:firstColumn="1" w:lastColumn="0" w:noHBand="0" w:noVBand="1"/>
      </w:tblPr>
      <w:tblGrid>
        <w:gridCol w:w="1902"/>
        <w:gridCol w:w="2489"/>
        <w:gridCol w:w="2341"/>
      </w:tblGrid>
      <w:tr w:rsidR="00B53AC8" w:rsidRPr="00A76485" w14:paraId="4145648D" w14:textId="77777777" w:rsidTr="00054C23">
        <w:trPr>
          <w:trHeight w:val="160"/>
          <w:jc w:val="center"/>
        </w:trPr>
        <w:tc>
          <w:tcPr>
            <w:tcW w:w="4999" w:type="pct"/>
            <w:gridSpan w:val="3"/>
            <w:tcBorders>
              <w:top w:val="single" w:sz="4" w:space="0" w:color="1F4E78"/>
              <w:left w:val="single" w:sz="4" w:space="0" w:color="1F4E78"/>
              <w:bottom w:val="single" w:sz="4" w:space="0" w:color="1F4E78"/>
              <w:right w:val="single" w:sz="4" w:space="0" w:color="1F4E78"/>
            </w:tcBorders>
            <w:shd w:val="clear" w:color="000000" w:fill="2F75B5"/>
            <w:noWrap/>
            <w:vAlign w:val="bottom"/>
            <w:hideMark/>
          </w:tcPr>
          <w:p w14:paraId="4E5F8385" w14:textId="77777777" w:rsidR="00B53AC8" w:rsidRPr="00A76485" w:rsidRDefault="00B53AC8" w:rsidP="00492D77">
            <w:pPr>
              <w:jc w:val="cente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Vigencia 2021</w:t>
            </w:r>
            <w:r w:rsidR="002932ED">
              <w:rPr>
                <w:rFonts w:ascii="Arial" w:eastAsia="Times New Roman" w:hAnsi="Arial" w:cs="Arial"/>
                <w:color w:val="FFFFFF"/>
                <w:sz w:val="18"/>
                <w:szCs w:val="18"/>
                <w:lang w:val="es-CO" w:eastAsia="es-CO"/>
              </w:rPr>
              <w:t xml:space="preserve"> (valores en millones)</w:t>
            </w:r>
          </w:p>
        </w:tc>
      </w:tr>
      <w:tr w:rsidR="00B53AC8" w:rsidRPr="00A76485" w14:paraId="697CA8EB" w14:textId="77777777" w:rsidTr="00054C23">
        <w:trPr>
          <w:trHeight w:val="160"/>
          <w:jc w:val="center"/>
        </w:trPr>
        <w:tc>
          <w:tcPr>
            <w:tcW w:w="1412" w:type="pct"/>
            <w:tcBorders>
              <w:top w:val="single" w:sz="4" w:space="0" w:color="999999"/>
              <w:left w:val="single" w:sz="4" w:space="0" w:color="999999"/>
              <w:bottom w:val="nil"/>
              <w:right w:val="nil"/>
            </w:tcBorders>
            <w:shd w:val="clear" w:color="000000" w:fill="2F75B5"/>
            <w:noWrap/>
            <w:vAlign w:val="bottom"/>
            <w:hideMark/>
          </w:tcPr>
          <w:p w14:paraId="1E2F49E5" w14:textId="77777777" w:rsidR="00B53AC8" w:rsidRPr="00A76485" w:rsidRDefault="00B53AC8" w:rsidP="00054C23">
            <w:pPr>
              <w:jc w:val="center"/>
              <w:rPr>
                <w:rFonts w:ascii="Arial" w:eastAsia="Times New Roman" w:hAnsi="Arial" w:cs="Arial"/>
                <w:color w:val="FFFFFF"/>
                <w:sz w:val="22"/>
                <w:szCs w:val="22"/>
                <w:lang w:val="es-CO" w:eastAsia="es-CO"/>
              </w:rPr>
            </w:pPr>
            <w:r w:rsidRPr="00A76485">
              <w:rPr>
                <w:rFonts w:ascii="Arial" w:eastAsia="Times New Roman" w:hAnsi="Arial" w:cs="Arial"/>
                <w:color w:val="FFFFFF"/>
                <w:sz w:val="22"/>
                <w:szCs w:val="22"/>
                <w:lang w:val="es-CO" w:eastAsia="es-CO"/>
              </w:rPr>
              <w:t>PLAZO</w:t>
            </w:r>
          </w:p>
        </w:tc>
        <w:tc>
          <w:tcPr>
            <w:tcW w:w="1849" w:type="pct"/>
            <w:tcBorders>
              <w:top w:val="single" w:sz="4" w:space="0" w:color="999999"/>
              <w:left w:val="single" w:sz="4" w:space="0" w:color="999999"/>
              <w:bottom w:val="nil"/>
              <w:right w:val="nil"/>
            </w:tcBorders>
            <w:shd w:val="clear" w:color="000000" w:fill="2F75B5"/>
            <w:noWrap/>
            <w:vAlign w:val="bottom"/>
            <w:hideMark/>
          </w:tcPr>
          <w:p w14:paraId="17329369" w14:textId="77777777" w:rsidR="00B53AC8" w:rsidRPr="00A76485" w:rsidRDefault="00B53AC8" w:rsidP="00054C23">
            <w:pPr>
              <w:jc w:val="center"/>
              <w:rPr>
                <w:rFonts w:ascii="Arial" w:eastAsia="Times New Roman" w:hAnsi="Arial" w:cs="Arial"/>
                <w:color w:val="FFFFFF"/>
                <w:sz w:val="22"/>
                <w:szCs w:val="22"/>
                <w:lang w:val="es-CO" w:eastAsia="es-CO"/>
              </w:rPr>
            </w:pPr>
            <w:r w:rsidRPr="00A76485">
              <w:rPr>
                <w:rFonts w:ascii="Arial" w:eastAsia="Times New Roman" w:hAnsi="Arial" w:cs="Arial"/>
                <w:color w:val="FFFFFF"/>
                <w:sz w:val="22"/>
                <w:szCs w:val="22"/>
                <w:lang w:val="es-CO" w:eastAsia="es-CO"/>
              </w:rPr>
              <w:t>VALOR FINAL DEL CONTRATO</w:t>
            </w:r>
          </w:p>
        </w:tc>
        <w:tc>
          <w:tcPr>
            <w:tcW w:w="1739" w:type="pct"/>
            <w:tcBorders>
              <w:top w:val="single" w:sz="4" w:space="0" w:color="999999"/>
              <w:left w:val="nil"/>
              <w:bottom w:val="nil"/>
              <w:right w:val="single" w:sz="4" w:space="0" w:color="999999"/>
            </w:tcBorders>
            <w:shd w:val="clear" w:color="000000" w:fill="2F75B5"/>
            <w:noWrap/>
            <w:vAlign w:val="bottom"/>
            <w:hideMark/>
          </w:tcPr>
          <w:p w14:paraId="0A4DE5FC" w14:textId="77777777" w:rsidR="00B53AC8" w:rsidRPr="00A76485" w:rsidRDefault="00B53AC8" w:rsidP="00054C23">
            <w:pPr>
              <w:jc w:val="center"/>
              <w:rPr>
                <w:rFonts w:ascii="Arial" w:eastAsia="Times New Roman" w:hAnsi="Arial" w:cs="Arial"/>
                <w:color w:val="FFFFFF"/>
                <w:sz w:val="22"/>
                <w:szCs w:val="22"/>
                <w:lang w:val="es-CO" w:eastAsia="es-CO"/>
              </w:rPr>
            </w:pPr>
            <w:r w:rsidRPr="00A76485">
              <w:rPr>
                <w:rFonts w:ascii="Arial" w:eastAsia="Times New Roman" w:hAnsi="Arial" w:cs="Arial"/>
                <w:color w:val="FFFFFF"/>
                <w:sz w:val="22"/>
                <w:szCs w:val="22"/>
                <w:lang w:val="es-CO" w:eastAsia="es-CO"/>
              </w:rPr>
              <w:t>Cantidad de Contratos</w:t>
            </w:r>
          </w:p>
        </w:tc>
      </w:tr>
      <w:tr w:rsidR="00B53AC8" w:rsidRPr="00A76485" w14:paraId="4A00DDE5" w14:textId="77777777" w:rsidTr="00054C23">
        <w:trPr>
          <w:trHeight w:val="160"/>
          <w:jc w:val="center"/>
        </w:trPr>
        <w:tc>
          <w:tcPr>
            <w:tcW w:w="1412" w:type="pct"/>
            <w:tcBorders>
              <w:top w:val="single" w:sz="4" w:space="0" w:color="1F4E78"/>
              <w:left w:val="single" w:sz="4" w:space="0" w:color="1F4E78"/>
              <w:bottom w:val="single" w:sz="4" w:space="0" w:color="1F4E78"/>
              <w:right w:val="single" w:sz="4" w:space="0" w:color="1F4E78"/>
            </w:tcBorders>
            <w:shd w:val="clear" w:color="auto" w:fill="auto"/>
            <w:noWrap/>
            <w:vAlign w:val="bottom"/>
            <w:hideMark/>
          </w:tcPr>
          <w:p w14:paraId="6E693E4C"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CINCO (5) MESES </w:t>
            </w:r>
          </w:p>
        </w:tc>
        <w:tc>
          <w:tcPr>
            <w:tcW w:w="1849" w:type="pct"/>
            <w:tcBorders>
              <w:top w:val="single" w:sz="4" w:space="0" w:color="1F4E78"/>
              <w:left w:val="nil"/>
              <w:bottom w:val="single" w:sz="4" w:space="0" w:color="1F4E78"/>
              <w:right w:val="single" w:sz="4" w:space="0" w:color="1F4E78"/>
            </w:tcBorders>
            <w:shd w:val="clear" w:color="auto" w:fill="auto"/>
            <w:noWrap/>
            <w:vAlign w:val="bottom"/>
            <w:hideMark/>
          </w:tcPr>
          <w:p w14:paraId="5687DE46" w14:textId="77777777" w:rsidR="00B53AC8" w:rsidRPr="00A76485" w:rsidRDefault="00B53AC8" w:rsidP="00054C23">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$150 </w:t>
            </w:r>
          </w:p>
        </w:tc>
        <w:tc>
          <w:tcPr>
            <w:tcW w:w="1739" w:type="pct"/>
            <w:tcBorders>
              <w:top w:val="single" w:sz="4" w:space="0" w:color="1F4E78"/>
              <w:left w:val="nil"/>
              <w:bottom w:val="single" w:sz="4" w:space="0" w:color="1F4E78"/>
              <w:right w:val="single" w:sz="4" w:space="0" w:color="1F4E78"/>
            </w:tcBorders>
            <w:shd w:val="clear" w:color="auto" w:fill="auto"/>
            <w:noWrap/>
            <w:vAlign w:val="bottom"/>
            <w:hideMark/>
          </w:tcPr>
          <w:p w14:paraId="3566F63A"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9</w:t>
            </w:r>
          </w:p>
        </w:tc>
      </w:tr>
      <w:tr w:rsidR="00B53AC8" w:rsidRPr="00A76485" w14:paraId="040C88AF" w14:textId="77777777" w:rsidTr="00054C23">
        <w:trPr>
          <w:trHeight w:val="160"/>
          <w:jc w:val="center"/>
        </w:trPr>
        <w:tc>
          <w:tcPr>
            <w:tcW w:w="1412" w:type="pct"/>
            <w:tcBorders>
              <w:top w:val="nil"/>
              <w:left w:val="single" w:sz="4" w:space="0" w:color="1F4E78"/>
              <w:bottom w:val="single" w:sz="4" w:space="0" w:color="1F4E78"/>
              <w:right w:val="single" w:sz="4" w:space="0" w:color="1F4E78"/>
            </w:tcBorders>
            <w:shd w:val="clear" w:color="auto" w:fill="auto"/>
            <w:noWrap/>
            <w:vAlign w:val="bottom"/>
            <w:hideMark/>
          </w:tcPr>
          <w:p w14:paraId="1E4D7754"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CUATRO (4) MESES </w:t>
            </w:r>
          </w:p>
        </w:tc>
        <w:tc>
          <w:tcPr>
            <w:tcW w:w="1849" w:type="pct"/>
            <w:tcBorders>
              <w:top w:val="nil"/>
              <w:left w:val="nil"/>
              <w:bottom w:val="single" w:sz="4" w:space="0" w:color="1F4E78"/>
              <w:right w:val="single" w:sz="4" w:space="0" w:color="1F4E78"/>
            </w:tcBorders>
            <w:shd w:val="clear" w:color="auto" w:fill="auto"/>
            <w:noWrap/>
            <w:vAlign w:val="bottom"/>
            <w:hideMark/>
          </w:tcPr>
          <w:p w14:paraId="1CE7A2E4" w14:textId="77777777" w:rsidR="00B53AC8" w:rsidRPr="00A76485" w:rsidRDefault="00B53AC8" w:rsidP="00054C23">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$1.138 </w:t>
            </w:r>
          </w:p>
        </w:tc>
        <w:tc>
          <w:tcPr>
            <w:tcW w:w="1739" w:type="pct"/>
            <w:tcBorders>
              <w:top w:val="nil"/>
              <w:left w:val="nil"/>
              <w:bottom w:val="single" w:sz="4" w:space="0" w:color="1F4E78"/>
              <w:right w:val="single" w:sz="4" w:space="0" w:color="1F4E78"/>
            </w:tcBorders>
            <w:shd w:val="clear" w:color="auto" w:fill="auto"/>
            <w:noWrap/>
            <w:vAlign w:val="bottom"/>
            <w:hideMark/>
          </w:tcPr>
          <w:p w14:paraId="7D60C257"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108</w:t>
            </w:r>
          </w:p>
        </w:tc>
      </w:tr>
      <w:tr w:rsidR="00B53AC8" w:rsidRPr="00A76485" w14:paraId="6FD0A26B" w14:textId="77777777" w:rsidTr="00054C23">
        <w:trPr>
          <w:trHeight w:val="160"/>
          <w:jc w:val="center"/>
        </w:trPr>
        <w:tc>
          <w:tcPr>
            <w:tcW w:w="1412" w:type="pct"/>
            <w:tcBorders>
              <w:top w:val="nil"/>
              <w:left w:val="single" w:sz="4" w:space="0" w:color="1F4E78"/>
              <w:bottom w:val="single" w:sz="4" w:space="0" w:color="1F4E78"/>
              <w:right w:val="single" w:sz="4" w:space="0" w:color="1F4E78"/>
            </w:tcBorders>
            <w:shd w:val="clear" w:color="auto" w:fill="auto"/>
            <w:noWrap/>
            <w:vAlign w:val="bottom"/>
            <w:hideMark/>
          </w:tcPr>
          <w:p w14:paraId="6FE44576"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DOS (2) MESES </w:t>
            </w:r>
          </w:p>
        </w:tc>
        <w:tc>
          <w:tcPr>
            <w:tcW w:w="1849" w:type="pct"/>
            <w:tcBorders>
              <w:top w:val="nil"/>
              <w:left w:val="nil"/>
              <w:bottom w:val="single" w:sz="4" w:space="0" w:color="1F4E78"/>
              <w:right w:val="single" w:sz="4" w:space="0" w:color="1F4E78"/>
            </w:tcBorders>
            <w:shd w:val="clear" w:color="auto" w:fill="auto"/>
            <w:noWrap/>
            <w:vAlign w:val="bottom"/>
            <w:hideMark/>
          </w:tcPr>
          <w:p w14:paraId="2349C04C" w14:textId="77777777" w:rsidR="00B53AC8" w:rsidRPr="00A76485" w:rsidRDefault="00B53AC8" w:rsidP="00054C23">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$651 </w:t>
            </w:r>
          </w:p>
        </w:tc>
        <w:tc>
          <w:tcPr>
            <w:tcW w:w="1739" w:type="pct"/>
            <w:tcBorders>
              <w:top w:val="nil"/>
              <w:left w:val="nil"/>
              <w:bottom w:val="single" w:sz="4" w:space="0" w:color="1F4E78"/>
              <w:right w:val="single" w:sz="4" w:space="0" w:color="1F4E78"/>
            </w:tcBorders>
            <w:shd w:val="clear" w:color="auto" w:fill="auto"/>
            <w:noWrap/>
            <w:vAlign w:val="bottom"/>
            <w:hideMark/>
          </w:tcPr>
          <w:p w14:paraId="5F62E3F9"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121</w:t>
            </w:r>
          </w:p>
        </w:tc>
      </w:tr>
      <w:tr w:rsidR="00B53AC8" w:rsidRPr="00A76485" w14:paraId="1BC09A2C" w14:textId="77777777" w:rsidTr="00054C23">
        <w:trPr>
          <w:trHeight w:val="160"/>
          <w:jc w:val="center"/>
        </w:trPr>
        <w:tc>
          <w:tcPr>
            <w:tcW w:w="1412" w:type="pct"/>
            <w:tcBorders>
              <w:top w:val="nil"/>
              <w:left w:val="single" w:sz="4" w:space="0" w:color="1F4E78"/>
              <w:bottom w:val="single" w:sz="4" w:space="0" w:color="1F4E78"/>
              <w:right w:val="single" w:sz="4" w:space="0" w:color="1F4E78"/>
            </w:tcBorders>
            <w:shd w:val="clear" w:color="auto" w:fill="auto"/>
            <w:noWrap/>
            <w:vAlign w:val="bottom"/>
            <w:hideMark/>
          </w:tcPr>
          <w:p w14:paraId="31F3D058"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TRES (3) MESES </w:t>
            </w:r>
          </w:p>
        </w:tc>
        <w:tc>
          <w:tcPr>
            <w:tcW w:w="1849" w:type="pct"/>
            <w:tcBorders>
              <w:top w:val="nil"/>
              <w:left w:val="nil"/>
              <w:bottom w:val="single" w:sz="4" w:space="0" w:color="1F4E78"/>
              <w:right w:val="single" w:sz="4" w:space="0" w:color="1F4E78"/>
            </w:tcBorders>
            <w:shd w:val="clear" w:color="auto" w:fill="auto"/>
            <w:noWrap/>
            <w:vAlign w:val="bottom"/>
            <w:hideMark/>
          </w:tcPr>
          <w:p w14:paraId="718C81FA" w14:textId="77777777" w:rsidR="00B53AC8" w:rsidRPr="00A76485" w:rsidRDefault="00B53AC8" w:rsidP="00054C23">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$313 </w:t>
            </w:r>
          </w:p>
        </w:tc>
        <w:tc>
          <w:tcPr>
            <w:tcW w:w="1739" w:type="pct"/>
            <w:tcBorders>
              <w:top w:val="nil"/>
              <w:left w:val="nil"/>
              <w:bottom w:val="single" w:sz="4" w:space="0" w:color="1F4E78"/>
              <w:right w:val="single" w:sz="4" w:space="0" w:color="1F4E78"/>
            </w:tcBorders>
            <w:shd w:val="clear" w:color="auto" w:fill="auto"/>
            <w:noWrap/>
            <w:vAlign w:val="bottom"/>
            <w:hideMark/>
          </w:tcPr>
          <w:p w14:paraId="366354FF"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36</w:t>
            </w:r>
          </w:p>
        </w:tc>
      </w:tr>
      <w:tr w:rsidR="00B53AC8" w:rsidRPr="00A76485" w14:paraId="784A8C57" w14:textId="77777777" w:rsidTr="00054C23">
        <w:trPr>
          <w:trHeight w:val="160"/>
          <w:jc w:val="center"/>
        </w:trPr>
        <w:tc>
          <w:tcPr>
            <w:tcW w:w="1412" w:type="pct"/>
            <w:tcBorders>
              <w:top w:val="nil"/>
              <w:left w:val="single" w:sz="4" w:space="0" w:color="1F4E78"/>
              <w:bottom w:val="single" w:sz="4" w:space="0" w:color="1F4E78"/>
              <w:right w:val="single" w:sz="4" w:space="0" w:color="1F4E78"/>
            </w:tcBorders>
            <w:shd w:val="clear" w:color="auto" w:fill="auto"/>
            <w:noWrap/>
            <w:vAlign w:val="bottom"/>
            <w:hideMark/>
          </w:tcPr>
          <w:p w14:paraId="46E7542A"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UN (1) MES </w:t>
            </w:r>
          </w:p>
        </w:tc>
        <w:tc>
          <w:tcPr>
            <w:tcW w:w="1849" w:type="pct"/>
            <w:tcBorders>
              <w:top w:val="nil"/>
              <w:left w:val="nil"/>
              <w:bottom w:val="single" w:sz="4" w:space="0" w:color="1F4E78"/>
              <w:right w:val="single" w:sz="4" w:space="0" w:color="1F4E78"/>
            </w:tcBorders>
            <w:shd w:val="clear" w:color="auto" w:fill="auto"/>
            <w:noWrap/>
            <w:vAlign w:val="bottom"/>
            <w:hideMark/>
          </w:tcPr>
          <w:p w14:paraId="3394A25B" w14:textId="77777777" w:rsidR="00B53AC8" w:rsidRPr="00A76485" w:rsidRDefault="00B53AC8" w:rsidP="00054C23">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$11 </w:t>
            </w:r>
          </w:p>
        </w:tc>
        <w:tc>
          <w:tcPr>
            <w:tcW w:w="1739" w:type="pct"/>
            <w:tcBorders>
              <w:top w:val="nil"/>
              <w:left w:val="nil"/>
              <w:bottom w:val="single" w:sz="4" w:space="0" w:color="1F4E78"/>
              <w:right w:val="single" w:sz="4" w:space="0" w:color="1F4E78"/>
            </w:tcBorders>
            <w:shd w:val="clear" w:color="auto" w:fill="auto"/>
            <w:noWrap/>
            <w:vAlign w:val="bottom"/>
            <w:hideMark/>
          </w:tcPr>
          <w:p w14:paraId="68254164"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5</w:t>
            </w:r>
          </w:p>
        </w:tc>
      </w:tr>
      <w:tr w:rsidR="00B53AC8" w:rsidRPr="00A76485" w14:paraId="5BFA2191" w14:textId="77777777" w:rsidTr="00054C23">
        <w:trPr>
          <w:trHeight w:val="160"/>
          <w:jc w:val="center"/>
        </w:trPr>
        <w:tc>
          <w:tcPr>
            <w:tcW w:w="1412" w:type="pct"/>
            <w:tcBorders>
              <w:top w:val="nil"/>
              <w:left w:val="single" w:sz="4" w:space="0" w:color="1F4E78"/>
              <w:bottom w:val="single" w:sz="4" w:space="0" w:color="1F4E78"/>
              <w:right w:val="single" w:sz="4" w:space="0" w:color="1F4E78"/>
            </w:tcBorders>
            <w:shd w:val="clear" w:color="auto" w:fill="auto"/>
            <w:noWrap/>
            <w:vAlign w:val="bottom"/>
            <w:hideMark/>
          </w:tcPr>
          <w:p w14:paraId="5EF6DED7"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Inferior a 1 mes </w:t>
            </w:r>
          </w:p>
        </w:tc>
        <w:tc>
          <w:tcPr>
            <w:tcW w:w="1849" w:type="pct"/>
            <w:tcBorders>
              <w:top w:val="nil"/>
              <w:left w:val="nil"/>
              <w:bottom w:val="single" w:sz="4" w:space="0" w:color="1F4E78"/>
              <w:right w:val="single" w:sz="4" w:space="0" w:color="1F4E78"/>
            </w:tcBorders>
            <w:shd w:val="clear" w:color="auto" w:fill="auto"/>
            <w:noWrap/>
            <w:vAlign w:val="bottom"/>
            <w:hideMark/>
          </w:tcPr>
          <w:p w14:paraId="3FCFB40C" w14:textId="77777777" w:rsidR="00B53AC8" w:rsidRPr="00A76485" w:rsidRDefault="00B53AC8" w:rsidP="00054C23">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$385 </w:t>
            </w:r>
          </w:p>
        </w:tc>
        <w:tc>
          <w:tcPr>
            <w:tcW w:w="1739" w:type="pct"/>
            <w:tcBorders>
              <w:top w:val="nil"/>
              <w:left w:val="nil"/>
              <w:bottom w:val="single" w:sz="4" w:space="0" w:color="1F4E78"/>
              <w:right w:val="single" w:sz="4" w:space="0" w:color="1F4E78"/>
            </w:tcBorders>
            <w:shd w:val="clear" w:color="auto" w:fill="auto"/>
            <w:noWrap/>
            <w:vAlign w:val="bottom"/>
            <w:hideMark/>
          </w:tcPr>
          <w:p w14:paraId="1E3B1750"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1</w:t>
            </w:r>
          </w:p>
        </w:tc>
      </w:tr>
      <w:tr w:rsidR="00B53AC8" w:rsidRPr="00A76485" w14:paraId="151396D9" w14:textId="77777777" w:rsidTr="00054C23">
        <w:trPr>
          <w:trHeight w:val="160"/>
          <w:jc w:val="center"/>
        </w:trPr>
        <w:tc>
          <w:tcPr>
            <w:tcW w:w="1412" w:type="pct"/>
            <w:tcBorders>
              <w:top w:val="nil"/>
              <w:left w:val="single" w:sz="4" w:space="0" w:color="1F4E78"/>
              <w:bottom w:val="single" w:sz="4" w:space="0" w:color="1F4E78"/>
              <w:right w:val="single" w:sz="4" w:space="0" w:color="1F4E78"/>
            </w:tcBorders>
            <w:shd w:val="clear" w:color="auto" w:fill="auto"/>
            <w:noWrap/>
            <w:vAlign w:val="bottom"/>
            <w:hideMark/>
          </w:tcPr>
          <w:p w14:paraId="25E698C9"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Total </w:t>
            </w:r>
          </w:p>
        </w:tc>
        <w:tc>
          <w:tcPr>
            <w:tcW w:w="1849" w:type="pct"/>
            <w:tcBorders>
              <w:top w:val="nil"/>
              <w:left w:val="nil"/>
              <w:bottom w:val="single" w:sz="4" w:space="0" w:color="1F4E78"/>
              <w:right w:val="single" w:sz="4" w:space="0" w:color="1F4E78"/>
            </w:tcBorders>
            <w:shd w:val="clear" w:color="auto" w:fill="auto"/>
            <w:noWrap/>
            <w:vAlign w:val="bottom"/>
            <w:hideMark/>
          </w:tcPr>
          <w:p w14:paraId="1A801A15" w14:textId="77777777" w:rsidR="00B53AC8" w:rsidRPr="00A76485" w:rsidRDefault="00B53AC8" w:rsidP="00054C23">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$2.648 </w:t>
            </w:r>
          </w:p>
        </w:tc>
        <w:tc>
          <w:tcPr>
            <w:tcW w:w="1739" w:type="pct"/>
            <w:tcBorders>
              <w:top w:val="nil"/>
              <w:left w:val="nil"/>
              <w:bottom w:val="single" w:sz="4" w:space="0" w:color="1F4E78"/>
              <w:right w:val="single" w:sz="4" w:space="0" w:color="1F4E78"/>
            </w:tcBorders>
            <w:shd w:val="clear" w:color="auto" w:fill="auto"/>
            <w:noWrap/>
            <w:vAlign w:val="bottom"/>
            <w:hideMark/>
          </w:tcPr>
          <w:p w14:paraId="3F7560E9"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280</w:t>
            </w:r>
          </w:p>
        </w:tc>
      </w:tr>
    </w:tbl>
    <w:p w14:paraId="2B8ED242" w14:textId="77777777" w:rsidR="00B53AC8" w:rsidRPr="00A76485" w:rsidRDefault="00B53AC8" w:rsidP="00492D77">
      <w:pPr>
        <w:rPr>
          <w:rStyle w:val="contentpasted0"/>
          <w:rFonts w:ascii="Arial" w:hAnsi="Arial" w:cs="Arial"/>
          <w:color w:val="000000"/>
          <w:sz w:val="21"/>
          <w:szCs w:val="21"/>
        </w:rPr>
      </w:pPr>
      <w:r w:rsidRPr="00A76485">
        <w:rPr>
          <w:rFonts w:ascii="Arial" w:eastAsia="Times New Roman" w:hAnsi="Arial" w:cs="Arial"/>
          <w:color w:val="000000"/>
          <w:sz w:val="18"/>
          <w:szCs w:val="18"/>
          <w:lang w:val="es-CO" w:eastAsia="es-CO"/>
        </w:rPr>
        <w:t xml:space="preserve">                        Fuente: Elaboración DAF con información - Entidad territorial – </w:t>
      </w:r>
      <w:proofErr w:type="gramStart"/>
      <w:r w:rsidRPr="00A76485">
        <w:rPr>
          <w:rFonts w:ascii="Arial" w:eastAsia="Times New Roman" w:hAnsi="Arial" w:cs="Arial"/>
          <w:color w:val="000000"/>
          <w:sz w:val="18"/>
          <w:szCs w:val="18"/>
          <w:lang w:val="es-CO" w:eastAsia="es-CO"/>
        </w:rPr>
        <w:t>Secretaria</w:t>
      </w:r>
      <w:proofErr w:type="gramEnd"/>
      <w:r w:rsidRPr="00A76485">
        <w:rPr>
          <w:rFonts w:ascii="Arial" w:eastAsia="Times New Roman" w:hAnsi="Arial" w:cs="Arial"/>
          <w:color w:val="000000"/>
          <w:sz w:val="18"/>
          <w:szCs w:val="18"/>
          <w:lang w:val="es-CO" w:eastAsia="es-CO"/>
        </w:rPr>
        <w:t xml:space="preserve"> de Salud</w:t>
      </w:r>
    </w:p>
    <w:p w14:paraId="2124F622" w14:textId="77777777" w:rsidR="00054C23" w:rsidRDefault="00054C23" w:rsidP="00492D77">
      <w:pPr>
        <w:jc w:val="both"/>
        <w:rPr>
          <w:rStyle w:val="contentpasted0"/>
          <w:rFonts w:ascii="Arial" w:hAnsi="Arial" w:cs="Arial"/>
          <w:color w:val="000000"/>
          <w:sz w:val="21"/>
          <w:szCs w:val="21"/>
        </w:rPr>
      </w:pPr>
    </w:p>
    <w:p w14:paraId="22034D1F" w14:textId="77777777" w:rsidR="00B53AC8" w:rsidRDefault="00B53AC8" w:rsidP="00492D77">
      <w:pPr>
        <w:jc w:val="both"/>
        <w:rPr>
          <w:rStyle w:val="contentpasted0"/>
          <w:rFonts w:ascii="Arial" w:hAnsi="Arial" w:cs="Arial"/>
          <w:color w:val="000000"/>
          <w:sz w:val="21"/>
          <w:szCs w:val="21"/>
        </w:rPr>
      </w:pPr>
      <w:r w:rsidRPr="00A76485">
        <w:rPr>
          <w:rStyle w:val="contentpasted0"/>
          <w:rFonts w:ascii="Arial" w:hAnsi="Arial" w:cs="Arial"/>
          <w:color w:val="000000"/>
          <w:sz w:val="21"/>
          <w:szCs w:val="21"/>
        </w:rPr>
        <w:t xml:space="preserve">Ahora, se evidencia que el personal es contratado dos y tres veces en la vigencia, para desarrollar las mismas actividades, lo que duplica los procesos contractuales e impacta en la continuidad de las actividades de la </w:t>
      </w:r>
      <w:r w:rsidR="00013AAF">
        <w:rPr>
          <w:rStyle w:val="contentpasted0"/>
          <w:rFonts w:ascii="Arial" w:hAnsi="Arial" w:cs="Arial"/>
          <w:color w:val="000000"/>
          <w:sz w:val="21"/>
          <w:szCs w:val="21"/>
        </w:rPr>
        <w:t>E</w:t>
      </w:r>
      <w:r w:rsidRPr="00A76485">
        <w:rPr>
          <w:rStyle w:val="contentpasted0"/>
          <w:rFonts w:ascii="Arial" w:hAnsi="Arial" w:cs="Arial"/>
          <w:color w:val="000000"/>
          <w:sz w:val="21"/>
          <w:szCs w:val="21"/>
        </w:rPr>
        <w:t xml:space="preserve">ntidad. Como ejemplo se tiene el siguiente cuadro: </w:t>
      </w:r>
    </w:p>
    <w:p w14:paraId="73B25EC6" w14:textId="77777777" w:rsidR="00013AAF" w:rsidRPr="00A76485" w:rsidRDefault="00013AAF" w:rsidP="00492D77">
      <w:pPr>
        <w:jc w:val="both"/>
        <w:rPr>
          <w:rStyle w:val="contentpasted0"/>
          <w:rFonts w:ascii="Arial" w:hAnsi="Arial" w:cs="Arial"/>
          <w:color w:val="000000"/>
          <w:sz w:val="21"/>
          <w:szCs w:val="21"/>
        </w:rPr>
      </w:pPr>
    </w:p>
    <w:p w14:paraId="1CEABAD5" w14:textId="77777777" w:rsidR="00B53AC8" w:rsidRPr="00A76485" w:rsidRDefault="00B53AC8" w:rsidP="00492D77">
      <w:pPr>
        <w:jc w:val="center"/>
        <w:rPr>
          <w:rStyle w:val="contentpasted0"/>
          <w:rFonts w:ascii="Arial" w:hAnsi="Arial" w:cs="Arial"/>
          <w:color w:val="000000"/>
          <w:sz w:val="21"/>
          <w:szCs w:val="21"/>
        </w:rPr>
      </w:pPr>
      <w:r w:rsidRPr="00A76485">
        <w:rPr>
          <w:rFonts w:ascii="Arial" w:hAnsi="Arial" w:cs="Arial"/>
          <w:b/>
          <w:sz w:val="18"/>
          <w:szCs w:val="18"/>
        </w:rPr>
        <w:t>Imagen No 6</w:t>
      </w:r>
      <w:r w:rsidRPr="00A76485">
        <w:rPr>
          <w:rFonts w:ascii="Arial" w:hAnsi="Arial" w:cs="Arial"/>
          <w:noProof/>
          <w:lang w:val="es-CO" w:eastAsia="es-CO"/>
        </w:rPr>
        <w:drawing>
          <wp:inline distT="0" distB="0" distL="0" distR="0" wp14:anchorId="61AA38AC" wp14:editId="5A4D0B0E">
            <wp:extent cx="5612130" cy="122301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2130" cy="1223010"/>
                    </a:xfrm>
                    <a:prstGeom prst="rect">
                      <a:avLst/>
                    </a:prstGeom>
                  </pic:spPr>
                </pic:pic>
              </a:graphicData>
            </a:graphic>
          </wp:inline>
        </w:drawing>
      </w:r>
    </w:p>
    <w:p w14:paraId="740E3C3E" w14:textId="77777777" w:rsidR="00013AAF" w:rsidRDefault="00013AAF" w:rsidP="00492D77">
      <w:pPr>
        <w:rPr>
          <w:rStyle w:val="contentpasted0"/>
          <w:rFonts w:ascii="Arial" w:hAnsi="Arial" w:cs="Arial"/>
          <w:color w:val="000000"/>
          <w:sz w:val="21"/>
          <w:szCs w:val="21"/>
        </w:rPr>
      </w:pPr>
    </w:p>
    <w:p w14:paraId="6129FF92" w14:textId="77777777" w:rsidR="00B53AC8" w:rsidRPr="00A76485" w:rsidRDefault="00B53AC8" w:rsidP="00492D77">
      <w:pPr>
        <w:rPr>
          <w:rStyle w:val="contentpasted0"/>
          <w:rFonts w:ascii="Arial" w:hAnsi="Arial" w:cs="Arial"/>
          <w:color w:val="000000"/>
          <w:sz w:val="21"/>
          <w:szCs w:val="21"/>
        </w:rPr>
      </w:pPr>
      <w:r w:rsidRPr="00A76485">
        <w:rPr>
          <w:rStyle w:val="contentpasted0"/>
          <w:rFonts w:ascii="Arial" w:hAnsi="Arial" w:cs="Arial"/>
          <w:color w:val="000000"/>
          <w:sz w:val="21"/>
          <w:szCs w:val="21"/>
        </w:rPr>
        <w:t>En la vigencia 2022, se reportan un total de 260 contratos por valor de $ 4.087 millones, que por tipo de contrato se tiene:</w:t>
      </w:r>
    </w:p>
    <w:p w14:paraId="233E775B" w14:textId="77777777" w:rsidR="003D7662" w:rsidRPr="00A76485" w:rsidRDefault="003D7662" w:rsidP="00492D77">
      <w:pPr>
        <w:rPr>
          <w:rStyle w:val="contentpasted0"/>
          <w:rFonts w:ascii="Arial" w:hAnsi="Arial" w:cs="Arial"/>
          <w:color w:val="000000"/>
          <w:sz w:val="21"/>
          <w:szCs w:val="21"/>
        </w:rPr>
      </w:pPr>
    </w:p>
    <w:tbl>
      <w:tblPr>
        <w:tblW w:w="3911" w:type="pct"/>
        <w:jc w:val="center"/>
        <w:tblCellMar>
          <w:left w:w="70" w:type="dxa"/>
          <w:right w:w="70" w:type="dxa"/>
        </w:tblCellMar>
        <w:tblLook w:val="04A0" w:firstRow="1" w:lastRow="0" w:firstColumn="1" w:lastColumn="0" w:noHBand="0" w:noVBand="1"/>
      </w:tblPr>
      <w:tblGrid>
        <w:gridCol w:w="3416"/>
        <w:gridCol w:w="2821"/>
        <w:gridCol w:w="1942"/>
      </w:tblGrid>
      <w:tr w:rsidR="00B53AC8" w:rsidRPr="00A76485" w14:paraId="0D8A5DF0" w14:textId="77777777" w:rsidTr="005636EE">
        <w:trPr>
          <w:trHeight w:val="251"/>
          <w:jc w:val="center"/>
        </w:trPr>
        <w:tc>
          <w:tcPr>
            <w:tcW w:w="5000" w:type="pct"/>
            <w:gridSpan w:val="3"/>
            <w:tcBorders>
              <w:top w:val="single" w:sz="4" w:space="0" w:color="1F4E78"/>
              <w:left w:val="single" w:sz="4" w:space="0" w:color="1F4E78"/>
              <w:bottom w:val="single" w:sz="4" w:space="0" w:color="1F4E78"/>
              <w:right w:val="single" w:sz="4" w:space="0" w:color="1F4E78"/>
            </w:tcBorders>
            <w:shd w:val="clear" w:color="000000" w:fill="2F75B5"/>
            <w:noWrap/>
            <w:vAlign w:val="bottom"/>
            <w:hideMark/>
          </w:tcPr>
          <w:p w14:paraId="2E75A671" w14:textId="77777777" w:rsidR="00B53AC8" w:rsidRPr="00A76485" w:rsidRDefault="00B53AC8" w:rsidP="00492D77">
            <w:pPr>
              <w:jc w:val="center"/>
              <w:rPr>
                <w:rStyle w:val="contentpasted0"/>
                <w:rFonts w:ascii="Arial" w:hAnsi="Arial" w:cs="Arial"/>
                <w:color w:val="FFFFFF" w:themeColor="background1"/>
                <w:sz w:val="21"/>
                <w:szCs w:val="21"/>
              </w:rPr>
            </w:pPr>
            <w:r w:rsidRPr="00A76485">
              <w:rPr>
                <w:rFonts w:ascii="Arial" w:hAnsi="Arial" w:cs="Arial"/>
                <w:b/>
                <w:color w:val="FFFFFF" w:themeColor="background1"/>
                <w:sz w:val="18"/>
                <w:szCs w:val="18"/>
              </w:rPr>
              <w:t>Tabla No 15</w:t>
            </w:r>
          </w:p>
          <w:p w14:paraId="727F025B" w14:textId="77777777" w:rsidR="00B53AC8" w:rsidRPr="00A76485" w:rsidRDefault="00B53AC8" w:rsidP="00492D77">
            <w:pPr>
              <w:jc w:val="center"/>
              <w:rPr>
                <w:rFonts w:ascii="Arial" w:eastAsia="Times New Roman" w:hAnsi="Arial" w:cs="Arial"/>
                <w:color w:val="FFFFFF"/>
                <w:sz w:val="18"/>
                <w:szCs w:val="18"/>
                <w:lang w:val="es-CO" w:eastAsia="es-CO"/>
              </w:rPr>
            </w:pPr>
            <w:r w:rsidRPr="00A76485">
              <w:rPr>
                <w:rStyle w:val="contentpasted0"/>
                <w:rFonts w:ascii="Arial" w:hAnsi="Arial" w:cs="Arial"/>
                <w:color w:val="000000"/>
                <w:sz w:val="21"/>
                <w:szCs w:val="21"/>
              </w:rPr>
              <w:t xml:space="preserve"> </w:t>
            </w:r>
            <w:r w:rsidRPr="00A76485">
              <w:rPr>
                <w:rFonts w:ascii="Arial" w:eastAsia="Times New Roman" w:hAnsi="Arial" w:cs="Arial"/>
                <w:color w:val="FFFFFF"/>
                <w:sz w:val="18"/>
                <w:szCs w:val="18"/>
                <w:lang w:val="es-CO" w:eastAsia="es-CO"/>
              </w:rPr>
              <w:t>Vigencia 2022</w:t>
            </w:r>
            <w:r w:rsidR="002932ED">
              <w:rPr>
                <w:rFonts w:ascii="Arial" w:eastAsia="Times New Roman" w:hAnsi="Arial" w:cs="Arial"/>
                <w:color w:val="FFFFFF"/>
                <w:sz w:val="18"/>
                <w:szCs w:val="18"/>
                <w:lang w:val="es-CO" w:eastAsia="es-CO"/>
              </w:rPr>
              <w:t xml:space="preserve"> (valores en millones)</w:t>
            </w:r>
          </w:p>
        </w:tc>
      </w:tr>
      <w:tr w:rsidR="00B53AC8" w:rsidRPr="00A76485" w14:paraId="2757F9B8" w14:textId="77777777" w:rsidTr="005636EE">
        <w:trPr>
          <w:trHeight w:val="251"/>
          <w:jc w:val="center"/>
        </w:trPr>
        <w:tc>
          <w:tcPr>
            <w:tcW w:w="1705" w:type="pct"/>
            <w:tcBorders>
              <w:top w:val="nil"/>
              <w:left w:val="single" w:sz="4" w:space="0" w:color="1F4E78"/>
              <w:bottom w:val="single" w:sz="4" w:space="0" w:color="1F4E78"/>
              <w:right w:val="single" w:sz="4" w:space="0" w:color="1F4E78"/>
            </w:tcBorders>
            <w:shd w:val="clear" w:color="000000" w:fill="2F75B5"/>
            <w:noWrap/>
            <w:vAlign w:val="bottom"/>
            <w:hideMark/>
          </w:tcPr>
          <w:p w14:paraId="104283DA" w14:textId="77777777" w:rsidR="00B53AC8" w:rsidRPr="00A76485" w:rsidRDefault="00B53AC8" w:rsidP="00492D77">
            <w:pP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MODALIDAD DE SELECCIÓN</w:t>
            </w:r>
          </w:p>
        </w:tc>
        <w:tc>
          <w:tcPr>
            <w:tcW w:w="2123" w:type="pct"/>
            <w:tcBorders>
              <w:top w:val="nil"/>
              <w:left w:val="nil"/>
              <w:bottom w:val="single" w:sz="4" w:space="0" w:color="1F4E78"/>
              <w:right w:val="single" w:sz="4" w:space="0" w:color="1F4E78"/>
            </w:tcBorders>
            <w:shd w:val="clear" w:color="000000" w:fill="2F75B5"/>
            <w:noWrap/>
            <w:vAlign w:val="bottom"/>
            <w:hideMark/>
          </w:tcPr>
          <w:p w14:paraId="62C8F67E" w14:textId="77777777" w:rsidR="00B53AC8" w:rsidRPr="00A76485" w:rsidRDefault="00B53AC8" w:rsidP="00492D77">
            <w:pP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 xml:space="preserve"> VALOR FINAL DEL CONTRATO</w:t>
            </w:r>
          </w:p>
        </w:tc>
        <w:tc>
          <w:tcPr>
            <w:tcW w:w="1172" w:type="pct"/>
            <w:tcBorders>
              <w:top w:val="nil"/>
              <w:left w:val="nil"/>
              <w:bottom w:val="single" w:sz="4" w:space="0" w:color="1F4E78"/>
              <w:right w:val="single" w:sz="4" w:space="0" w:color="1F4E78"/>
            </w:tcBorders>
            <w:shd w:val="clear" w:color="000000" w:fill="2F75B5"/>
            <w:noWrap/>
            <w:vAlign w:val="bottom"/>
            <w:hideMark/>
          </w:tcPr>
          <w:p w14:paraId="52A537BC" w14:textId="77777777" w:rsidR="00B53AC8" w:rsidRPr="00A76485" w:rsidRDefault="00B53AC8" w:rsidP="00492D77">
            <w:pP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Cantidad de Contratos</w:t>
            </w:r>
          </w:p>
        </w:tc>
      </w:tr>
      <w:tr w:rsidR="00B53AC8" w:rsidRPr="00A76485" w14:paraId="1554C77C" w14:textId="77777777" w:rsidTr="005636EE">
        <w:trPr>
          <w:trHeight w:val="251"/>
          <w:jc w:val="center"/>
        </w:trPr>
        <w:tc>
          <w:tcPr>
            <w:tcW w:w="1705" w:type="pct"/>
            <w:tcBorders>
              <w:top w:val="nil"/>
              <w:left w:val="single" w:sz="4" w:space="0" w:color="1F4E78"/>
              <w:bottom w:val="single" w:sz="4" w:space="0" w:color="1F4E78"/>
              <w:right w:val="single" w:sz="4" w:space="0" w:color="1F4E78"/>
            </w:tcBorders>
            <w:shd w:val="clear" w:color="auto" w:fill="auto"/>
            <w:noWrap/>
            <w:vAlign w:val="bottom"/>
            <w:hideMark/>
          </w:tcPr>
          <w:p w14:paraId="7513DA30"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CONTRATACIÓN DIRECTA </w:t>
            </w:r>
          </w:p>
        </w:tc>
        <w:tc>
          <w:tcPr>
            <w:tcW w:w="2123" w:type="pct"/>
            <w:tcBorders>
              <w:top w:val="nil"/>
              <w:left w:val="nil"/>
              <w:bottom w:val="single" w:sz="4" w:space="0" w:color="1F4E78"/>
              <w:right w:val="single" w:sz="4" w:space="0" w:color="1F4E78"/>
            </w:tcBorders>
            <w:shd w:val="clear" w:color="auto" w:fill="auto"/>
            <w:noWrap/>
            <w:vAlign w:val="bottom"/>
            <w:hideMark/>
          </w:tcPr>
          <w:p w14:paraId="15A6552E" w14:textId="77777777" w:rsidR="00B53AC8" w:rsidRPr="00A76485" w:rsidRDefault="00B53AC8" w:rsidP="00013AAF">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$3.566</w:t>
            </w:r>
          </w:p>
        </w:tc>
        <w:tc>
          <w:tcPr>
            <w:tcW w:w="1172" w:type="pct"/>
            <w:tcBorders>
              <w:top w:val="nil"/>
              <w:left w:val="nil"/>
              <w:bottom w:val="single" w:sz="4" w:space="0" w:color="1F4E78"/>
              <w:right w:val="single" w:sz="4" w:space="0" w:color="1F4E78"/>
            </w:tcBorders>
            <w:shd w:val="clear" w:color="auto" w:fill="auto"/>
            <w:noWrap/>
            <w:vAlign w:val="bottom"/>
            <w:hideMark/>
          </w:tcPr>
          <w:p w14:paraId="291E955D"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256</w:t>
            </w:r>
          </w:p>
        </w:tc>
      </w:tr>
      <w:tr w:rsidR="00B53AC8" w:rsidRPr="00A76485" w14:paraId="3463AB57" w14:textId="77777777" w:rsidTr="005636EE">
        <w:trPr>
          <w:trHeight w:val="251"/>
          <w:jc w:val="center"/>
        </w:trPr>
        <w:tc>
          <w:tcPr>
            <w:tcW w:w="1705" w:type="pct"/>
            <w:tcBorders>
              <w:top w:val="nil"/>
              <w:left w:val="single" w:sz="4" w:space="0" w:color="1F4E78"/>
              <w:bottom w:val="single" w:sz="4" w:space="0" w:color="1F4E78"/>
              <w:right w:val="single" w:sz="4" w:space="0" w:color="1F4E78"/>
            </w:tcBorders>
            <w:shd w:val="clear" w:color="auto" w:fill="auto"/>
            <w:noWrap/>
            <w:vAlign w:val="bottom"/>
            <w:hideMark/>
          </w:tcPr>
          <w:p w14:paraId="7075AA73"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PROCESO C</w:t>
            </w:r>
            <w:r w:rsidR="00013AAF">
              <w:rPr>
                <w:rFonts w:ascii="Arial" w:eastAsia="Times New Roman" w:hAnsi="Arial" w:cs="Arial"/>
                <w:color w:val="000000"/>
                <w:sz w:val="18"/>
                <w:szCs w:val="18"/>
                <w:lang w:val="es-CO" w:eastAsia="es-CO"/>
              </w:rPr>
              <w:t>O</w:t>
            </w:r>
            <w:r w:rsidR="00013AAF">
              <w:rPr>
                <w:rFonts w:eastAsia="Times New Roman"/>
                <w:sz w:val="18"/>
                <w:szCs w:val="18"/>
                <w:lang w:val="es-CO" w:eastAsia="es-CO"/>
              </w:rPr>
              <w:t>NVOCATORIA PÚBLICA</w:t>
            </w:r>
          </w:p>
        </w:tc>
        <w:tc>
          <w:tcPr>
            <w:tcW w:w="2123" w:type="pct"/>
            <w:tcBorders>
              <w:top w:val="nil"/>
              <w:left w:val="nil"/>
              <w:bottom w:val="single" w:sz="4" w:space="0" w:color="1F4E78"/>
              <w:right w:val="single" w:sz="4" w:space="0" w:color="1F4E78"/>
            </w:tcBorders>
            <w:shd w:val="clear" w:color="auto" w:fill="auto"/>
            <w:noWrap/>
            <w:vAlign w:val="bottom"/>
            <w:hideMark/>
          </w:tcPr>
          <w:p w14:paraId="6D18E5C6" w14:textId="77777777" w:rsidR="00B53AC8" w:rsidRPr="00A76485" w:rsidRDefault="00B53AC8" w:rsidP="00013AAF">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$520</w:t>
            </w:r>
          </w:p>
        </w:tc>
        <w:tc>
          <w:tcPr>
            <w:tcW w:w="1172" w:type="pct"/>
            <w:tcBorders>
              <w:top w:val="nil"/>
              <w:left w:val="nil"/>
              <w:bottom w:val="single" w:sz="4" w:space="0" w:color="1F4E78"/>
              <w:right w:val="single" w:sz="4" w:space="0" w:color="1F4E78"/>
            </w:tcBorders>
            <w:shd w:val="clear" w:color="auto" w:fill="auto"/>
            <w:noWrap/>
            <w:vAlign w:val="bottom"/>
            <w:hideMark/>
          </w:tcPr>
          <w:p w14:paraId="6F33E1A0"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4</w:t>
            </w:r>
          </w:p>
        </w:tc>
      </w:tr>
      <w:tr w:rsidR="00B53AC8" w:rsidRPr="00A76485" w14:paraId="57CB3B2E" w14:textId="77777777" w:rsidTr="005636EE">
        <w:trPr>
          <w:trHeight w:val="251"/>
          <w:jc w:val="center"/>
        </w:trPr>
        <w:tc>
          <w:tcPr>
            <w:tcW w:w="1705" w:type="pct"/>
            <w:tcBorders>
              <w:top w:val="nil"/>
              <w:left w:val="single" w:sz="4" w:space="0" w:color="1F4E78"/>
              <w:bottom w:val="single" w:sz="4" w:space="0" w:color="1F4E78"/>
              <w:right w:val="single" w:sz="4" w:space="0" w:color="1F4E78"/>
            </w:tcBorders>
            <w:shd w:val="clear" w:color="auto" w:fill="auto"/>
            <w:noWrap/>
            <w:vAlign w:val="bottom"/>
            <w:hideMark/>
          </w:tcPr>
          <w:p w14:paraId="6EB0F7F4" w14:textId="77777777" w:rsidR="00B53AC8" w:rsidRPr="00A76485" w:rsidRDefault="00B53AC8" w:rsidP="00492D77">
            <w:pP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Total </w:t>
            </w:r>
          </w:p>
        </w:tc>
        <w:tc>
          <w:tcPr>
            <w:tcW w:w="2123" w:type="pct"/>
            <w:tcBorders>
              <w:top w:val="nil"/>
              <w:left w:val="nil"/>
              <w:bottom w:val="single" w:sz="4" w:space="0" w:color="1F4E78"/>
              <w:right w:val="single" w:sz="4" w:space="0" w:color="1F4E78"/>
            </w:tcBorders>
            <w:shd w:val="clear" w:color="auto" w:fill="auto"/>
            <w:noWrap/>
            <w:vAlign w:val="bottom"/>
            <w:hideMark/>
          </w:tcPr>
          <w:p w14:paraId="16253332" w14:textId="77777777" w:rsidR="00B53AC8" w:rsidRPr="00A76485" w:rsidRDefault="00B53AC8" w:rsidP="00013AAF">
            <w:pPr>
              <w:jc w:val="center"/>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$4.087</w:t>
            </w:r>
          </w:p>
        </w:tc>
        <w:tc>
          <w:tcPr>
            <w:tcW w:w="1172" w:type="pct"/>
            <w:tcBorders>
              <w:top w:val="nil"/>
              <w:left w:val="nil"/>
              <w:bottom w:val="single" w:sz="4" w:space="0" w:color="1F4E78"/>
              <w:right w:val="single" w:sz="4" w:space="0" w:color="1F4E78"/>
            </w:tcBorders>
            <w:shd w:val="clear" w:color="auto" w:fill="auto"/>
            <w:noWrap/>
            <w:vAlign w:val="bottom"/>
            <w:hideMark/>
          </w:tcPr>
          <w:p w14:paraId="2C29B9D7" w14:textId="77777777" w:rsidR="00B53AC8" w:rsidRPr="00A76485" w:rsidRDefault="00B53AC8" w:rsidP="00492D77">
            <w:pPr>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260</w:t>
            </w:r>
          </w:p>
        </w:tc>
      </w:tr>
    </w:tbl>
    <w:p w14:paraId="2AAA37E4" w14:textId="77777777" w:rsidR="00B53AC8" w:rsidRPr="00A76485" w:rsidRDefault="00B53AC8" w:rsidP="00492D77">
      <w:pPr>
        <w:jc w:val="both"/>
        <w:rPr>
          <w:rStyle w:val="contentpasted0"/>
          <w:rFonts w:ascii="Arial" w:hAnsi="Arial" w:cs="Arial"/>
          <w:color w:val="000000"/>
          <w:sz w:val="21"/>
          <w:szCs w:val="21"/>
        </w:rPr>
      </w:pPr>
      <w:r w:rsidRPr="00A76485">
        <w:rPr>
          <w:rFonts w:ascii="Arial" w:eastAsia="Times New Roman" w:hAnsi="Arial" w:cs="Arial"/>
          <w:color w:val="000000"/>
          <w:sz w:val="18"/>
          <w:szCs w:val="18"/>
          <w:lang w:val="es-CO" w:eastAsia="es-CO"/>
        </w:rPr>
        <w:t xml:space="preserve">                       Fuente: Elaboración DAF con información - Entidad territorial – </w:t>
      </w:r>
      <w:proofErr w:type="gramStart"/>
      <w:r w:rsidRPr="00A76485">
        <w:rPr>
          <w:rFonts w:ascii="Arial" w:eastAsia="Times New Roman" w:hAnsi="Arial" w:cs="Arial"/>
          <w:color w:val="000000"/>
          <w:sz w:val="18"/>
          <w:szCs w:val="18"/>
          <w:lang w:val="es-CO" w:eastAsia="es-CO"/>
        </w:rPr>
        <w:t>Secretaria</w:t>
      </w:r>
      <w:proofErr w:type="gramEnd"/>
      <w:r w:rsidRPr="00A76485">
        <w:rPr>
          <w:rFonts w:ascii="Arial" w:eastAsia="Times New Roman" w:hAnsi="Arial" w:cs="Arial"/>
          <w:color w:val="000000"/>
          <w:sz w:val="18"/>
          <w:szCs w:val="18"/>
          <w:lang w:val="es-CO" w:eastAsia="es-CO"/>
        </w:rPr>
        <w:t xml:space="preserve"> de Salud</w:t>
      </w:r>
    </w:p>
    <w:p w14:paraId="5F2EFA0C" w14:textId="77777777" w:rsidR="00013AAF" w:rsidRDefault="00013AAF" w:rsidP="00492D77">
      <w:pPr>
        <w:jc w:val="both"/>
        <w:rPr>
          <w:rStyle w:val="contentpasted0"/>
          <w:rFonts w:ascii="Arial" w:hAnsi="Arial" w:cs="Arial"/>
          <w:color w:val="000000"/>
          <w:sz w:val="21"/>
          <w:szCs w:val="21"/>
        </w:rPr>
      </w:pPr>
    </w:p>
    <w:p w14:paraId="283B7E7F" w14:textId="77777777" w:rsidR="00B53AC8" w:rsidRDefault="00B53AC8" w:rsidP="00492D77">
      <w:pPr>
        <w:jc w:val="both"/>
        <w:rPr>
          <w:rStyle w:val="contentpasted0"/>
          <w:rFonts w:ascii="Arial" w:hAnsi="Arial" w:cs="Arial"/>
          <w:color w:val="000000"/>
          <w:sz w:val="21"/>
          <w:szCs w:val="21"/>
        </w:rPr>
      </w:pPr>
      <w:r w:rsidRPr="00A76485">
        <w:rPr>
          <w:rStyle w:val="contentpasted0"/>
          <w:rFonts w:ascii="Arial" w:hAnsi="Arial" w:cs="Arial"/>
          <w:color w:val="000000"/>
          <w:sz w:val="21"/>
          <w:szCs w:val="21"/>
        </w:rPr>
        <w:t>Como se evidenció en la vigencia 2021, la mayor parte de los contratos se hace por contra</w:t>
      </w:r>
      <w:r w:rsidR="00013AAF">
        <w:rPr>
          <w:rStyle w:val="contentpasted0"/>
          <w:rFonts w:ascii="Arial" w:hAnsi="Arial" w:cs="Arial"/>
          <w:color w:val="000000"/>
          <w:sz w:val="21"/>
          <w:szCs w:val="21"/>
        </w:rPr>
        <w:t>ta</w:t>
      </w:r>
      <w:r w:rsidRPr="00A76485">
        <w:rPr>
          <w:rStyle w:val="contentpasted0"/>
          <w:rFonts w:ascii="Arial" w:hAnsi="Arial" w:cs="Arial"/>
          <w:color w:val="000000"/>
          <w:sz w:val="21"/>
          <w:szCs w:val="21"/>
        </w:rPr>
        <w:t>ción directa.</w:t>
      </w:r>
    </w:p>
    <w:p w14:paraId="0D708357" w14:textId="77777777" w:rsidR="00013AAF" w:rsidRPr="00A76485" w:rsidRDefault="00013AAF" w:rsidP="00492D77">
      <w:pPr>
        <w:jc w:val="both"/>
        <w:rPr>
          <w:rStyle w:val="contentpasted0"/>
          <w:rFonts w:ascii="Arial" w:hAnsi="Arial" w:cs="Arial"/>
          <w:color w:val="000000"/>
          <w:sz w:val="21"/>
          <w:szCs w:val="21"/>
        </w:rPr>
      </w:pPr>
    </w:p>
    <w:p w14:paraId="306B52BC" w14:textId="77777777" w:rsidR="00B53AC8" w:rsidRDefault="00B53AC8" w:rsidP="00492D77">
      <w:pPr>
        <w:jc w:val="both"/>
        <w:rPr>
          <w:rStyle w:val="contentpasted0"/>
          <w:rFonts w:ascii="Arial" w:hAnsi="Arial" w:cs="Arial"/>
          <w:color w:val="000000"/>
          <w:sz w:val="21"/>
          <w:szCs w:val="21"/>
        </w:rPr>
      </w:pPr>
      <w:r w:rsidRPr="00A76485">
        <w:rPr>
          <w:rStyle w:val="contentpasted0"/>
          <w:rFonts w:ascii="Arial" w:hAnsi="Arial" w:cs="Arial"/>
          <w:color w:val="000000"/>
          <w:sz w:val="21"/>
          <w:szCs w:val="21"/>
        </w:rPr>
        <w:t>Frente al plazo de cada contrato se mantiene la modalidad de contratación por periodos inferiores a los 6 meses, así:</w:t>
      </w:r>
    </w:p>
    <w:p w14:paraId="2051BDA2" w14:textId="77777777" w:rsidR="00013AAF" w:rsidRPr="00A76485" w:rsidRDefault="00013AAF" w:rsidP="00492D77">
      <w:pPr>
        <w:jc w:val="both"/>
        <w:rPr>
          <w:rStyle w:val="contentpasted0"/>
          <w:rFonts w:ascii="Arial" w:hAnsi="Arial" w:cs="Arial"/>
          <w:color w:val="000000"/>
          <w:sz w:val="21"/>
          <w:szCs w:val="21"/>
        </w:rPr>
      </w:pPr>
    </w:p>
    <w:tbl>
      <w:tblPr>
        <w:tblW w:w="3996" w:type="pct"/>
        <w:jc w:val="center"/>
        <w:tblCellMar>
          <w:left w:w="70" w:type="dxa"/>
          <w:right w:w="70" w:type="dxa"/>
        </w:tblCellMar>
        <w:tblLook w:val="04A0" w:firstRow="1" w:lastRow="0" w:firstColumn="1" w:lastColumn="0" w:noHBand="0" w:noVBand="1"/>
      </w:tblPr>
      <w:tblGrid>
        <w:gridCol w:w="2292"/>
        <w:gridCol w:w="2821"/>
        <w:gridCol w:w="1942"/>
      </w:tblGrid>
      <w:tr w:rsidR="00B53AC8" w:rsidRPr="00A76485" w14:paraId="64994259" w14:textId="77777777" w:rsidTr="005636EE">
        <w:trPr>
          <w:trHeight w:val="251"/>
          <w:jc w:val="center"/>
        </w:trPr>
        <w:tc>
          <w:tcPr>
            <w:tcW w:w="5000" w:type="pct"/>
            <w:gridSpan w:val="3"/>
            <w:tcBorders>
              <w:top w:val="single" w:sz="4" w:space="0" w:color="1F4E78"/>
              <w:left w:val="single" w:sz="4" w:space="0" w:color="1F4E78"/>
              <w:bottom w:val="single" w:sz="4" w:space="0" w:color="1F4E78"/>
              <w:right w:val="single" w:sz="4" w:space="0" w:color="1F4E78"/>
            </w:tcBorders>
            <w:shd w:val="clear" w:color="000000" w:fill="2F75B5"/>
            <w:noWrap/>
            <w:vAlign w:val="bottom"/>
            <w:hideMark/>
          </w:tcPr>
          <w:p w14:paraId="7AE4A054" w14:textId="77777777" w:rsidR="00B53AC8" w:rsidRPr="00A76485" w:rsidRDefault="00B53AC8" w:rsidP="00492D77">
            <w:pPr>
              <w:jc w:val="center"/>
              <w:rPr>
                <w:rStyle w:val="contentpasted0"/>
                <w:rFonts w:ascii="Arial" w:hAnsi="Arial" w:cs="Arial"/>
                <w:color w:val="FFFFFF" w:themeColor="background1"/>
                <w:sz w:val="21"/>
                <w:szCs w:val="21"/>
              </w:rPr>
            </w:pPr>
            <w:r w:rsidRPr="00A76485">
              <w:rPr>
                <w:rFonts w:ascii="Arial" w:hAnsi="Arial" w:cs="Arial"/>
                <w:b/>
                <w:color w:val="FFFFFF" w:themeColor="background1"/>
                <w:sz w:val="18"/>
                <w:szCs w:val="18"/>
              </w:rPr>
              <w:t>Tabla No 16</w:t>
            </w:r>
          </w:p>
          <w:p w14:paraId="2FE7A45D" w14:textId="77777777" w:rsidR="00B53AC8" w:rsidRPr="00A76485" w:rsidRDefault="00B53AC8" w:rsidP="00492D77">
            <w:pPr>
              <w:ind w:left="-174" w:firstLine="174"/>
              <w:jc w:val="center"/>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Vigencia 2022</w:t>
            </w:r>
            <w:r w:rsidR="002932ED">
              <w:rPr>
                <w:rFonts w:ascii="Arial" w:eastAsia="Times New Roman" w:hAnsi="Arial" w:cs="Arial"/>
                <w:color w:val="FFFFFF"/>
                <w:sz w:val="18"/>
                <w:szCs w:val="18"/>
                <w:lang w:val="es-CO" w:eastAsia="es-CO"/>
              </w:rPr>
              <w:t xml:space="preserve"> (valores en millones)</w:t>
            </w:r>
          </w:p>
        </w:tc>
      </w:tr>
      <w:tr w:rsidR="00B53AC8" w:rsidRPr="00A76485" w14:paraId="0D82E403"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000000" w:fill="2F75B5"/>
            <w:noWrap/>
            <w:vAlign w:val="bottom"/>
            <w:hideMark/>
          </w:tcPr>
          <w:p w14:paraId="669343DF" w14:textId="77777777" w:rsidR="00B53AC8" w:rsidRPr="00A76485" w:rsidRDefault="00B53AC8" w:rsidP="00492D77">
            <w:pPr>
              <w:ind w:left="-174" w:firstLine="174"/>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PLAZO</w:t>
            </w:r>
          </w:p>
        </w:tc>
        <w:tc>
          <w:tcPr>
            <w:tcW w:w="2078" w:type="pct"/>
            <w:tcBorders>
              <w:top w:val="nil"/>
              <w:left w:val="nil"/>
              <w:bottom w:val="single" w:sz="4" w:space="0" w:color="1F4E78"/>
              <w:right w:val="single" w:sz="4" w:space="0" w:color="1F4E78"/>
            </w:tcBorders>
            <w:shd w:val="clear" w:color="000000" w:fill="2F75B5"/>
            <w:noWrap/>
            <w:vAlign w:val="bottom"/>
            <w:hideMark/>
          </w:tcPr>
          <w:p w14:paraId="3A9F9F4C" w14:textId="77777777" w:rsidR="00B53AC8" w:rsidRPr="00A76485" w:rsidRDefault="00B53AC8" w:rsidP="00492D77">
            <w:pPr>
              <w:ind w:left="-174" w:firstLine="174"/>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 xml:space="preserve"> VALOR FINAL DEL CONTRATO</w:t>
            </w:r>
          </w:p>
        </w:tc>
        <w:tc>
          <w:tcPr>
            <w:tcW w:w="1147" w:type="pct"/>
            <w:tcBorders>
              <w:top w:val="nil"/>
              <w:left w:val="nil"/>
              <w:bottom w:val="single" w:sz="4" w:space="0" w:color="1F4E78"/>
              <w:right w:val="single" w:sz="4" w:space="0" w:color="1F4E78"/>
            </w:tcBorders>
            <w:shd w:val="clear" w:color="000000" w:fill="2F75B5"/>
            <w:noWrap/>
            <w:vAlign w:val="bottom"/>
            <w:hideMark/>
          </w:tcPr>
          <w:p w14:paraId="18AF05EC" w14:textId="77777777" w:rsidR="00B53AC8" w:rsidRPr="00A76485" w:rsidRDefault="00B53AC8" w:rsidP="00492D77">
            <w:pPr>
              <w:ind w:left="-174" w:firstLine="174"/>
              <w:rPr>
                <w:rFonts w:ascii="Arial" w:eastAsia="Times New Roman" w:hAnsi="Arial" w:cs="Arial"/>
                <w:color w:val="FFFFFF"/>
                <w:sz w:val="18"/>
                <w:szCs w:val="18"/>
                <w:lang w:val="es-CO" w:eastAsia="es-CO"/>
              </w:rPr>
            </w:pPr>
            <w:r w:rsidRPr="00A76485">
              <w:rPr>
                <w:rFonts w:ascii="Arial" w:eastAsia="Times New Roman" w:hAnsi="Arial" w:cs="Arial"/>
                <w:color w:val="FFFFFF"/>
                <w:sz w:val="18"/>
                <w:szCs w:val="18"/>
                <w:lang w:val="es-CO" w:eastAsia="es-CO"/>
              </w:rPr>
              <w:t>Cantidad de Contratos</w:t>
            </w:r>
          </w:p>
        </w:tc>
      </w:tr>
      <w:tr w:rsidR="00B53AC8" w:rsidRPr="00A76485" w14:paraId="6209C782"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auto" w:fill="auto"/>
            <w:noWrap/>
            <w:vAlign w:val="bottom"/>
            <w:hideMark/>
          </w:tcPr>
          <w:p w14:paraId="7172002F"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CINCO (5) MESES </w:t>
            </w:r>
          </w:p>
        </w:tc>
        <w:tc>
          <w:tcPr>
            <w:tcW w:w="2078" w:type="pct"/>
            <w:tcBorders>
              <w:top w:val="nil"/>
              <w:left w:val="nil"/>
              <w:bottom w:val="single" w:sz="4" w:space="0" w:color="1F4E78"/>
              <w:right w:val="single" w:sz="4" w:space="0" w:color="1F4E78"/>
            </w:tcBorders>
            <w:shd w:val="clear" w:color="auto" w:fill="auto"/>
            <w:noWrap/>
            <w:vAlign w:val="bottom"/>
            <w:hideMark/>
          </w:tcPr>
          <w:p w14:paraId="3D7DF4A6" w14:textId="77777777" w:rsidR="00B53AC8" w:rsidRPr="00A76485" w:rsidRDefault="00B53AC8" w:rsidP="00013AAF">
            <w:pPr>
              <w:ind w:left="-174" w:firstLine="174"/>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$704 </w:t>
            </w:r>
          </w:p>
        </w:tc>
        <w:tc>
          <w:tcPr>
            <w:tcW w:w="1147" w:type="pct"/>
            <w:tcBorders>
              <w:top w:val="nil"/>
              <w:left w:val="nil"/>
              <w:bottom w:val="single" w:sz="4" w:space="0" w:color="1F4E78"/>
              <w:right w:val="single" w:sz="4" w:space="0" w:color="1F4E78"/>
            </w:tcBorders>
            <w:shd w:val="clear" w:color="auto" w:fill="auto"/>
            <w:noWrap/>
            <w:vAlign w:val="bottom"/>
            <w:hideMark/>
          </w:tcPr>
          <w:p w14:paraId="241F5B99"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52 </w:t>
            </w:r>
          </w:p>
        </w:tc>
      </w:tr>
      <w:tr w:rsidR="00B53AC8" w:rsidRPr="00A76485" w14:paraId="1C1A6684"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auto" w:fill="auto"/>
            <w:noWrap/>
            <w:vAlign w:val="bottom"/>
            <w:hideMark/>
          </w:tcPr>
          <w:p w14:paraId="2C37B8A5"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CUATRO (4) MESES </w:t>
            </w:r>
          </w:p>
        </w:tc>
        <w:tc>
          <w:tcPr>
            <w:tcW w:w="2078" w:type="pct"/>
            <w:tcBorders>
              <w:top w:val="nil"/>
              <w:left w:val="nil"/>
              <w:bottom w:val="single" w:sz="4" w:space="0" w:color="1F4E78"/>
              <w:right w:val="single" w:sz="4" w:space="0" w:color="1F4E78"/>
            </w:tcBorders>
            <w:shd w:val="clear" w:color="auto" w:fill="auto"/>
            <w:noWrap/>
            <w:vAlign w:val="bottom"/>
            <w:hideMark/>
          </w:tcPr>
          <w:p w14:paraId="70B3536D" w14:textId="77777777" w:rsidR="00B53AC8" w:rsidRPr="00A76485" w:rsidRDefault="00B53AC8" w:rsidP="00013AAF">
            <w:pPr>
              <w:ind w:left="-174" w:firstLine="174"/>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$215 </w:t>
            </w:r>
          </w:p>
        </w:tc>
        <w:tc>
          <w:tcPr>
            <w:tcW w:w="1147" w:type="pct"/>
            <w:tcBorders>
              <w:top w:val="nil"/>
              <w:left w:val="nil"/>
              <w:bottom w:val="single" w:sz="4" w:space="0" w:color="1F4E78"/>
              <w:right w:val="single" w:sz="4" w:space="0" w:color="1F4E78"/>
            </w:tcBorders>
            <w:shd w:val="clear" w:color="auto" w:fill="auto"/>
            <w:noWrap/>
            <w:vAlign w:val="bottom"/>
            <w:hideMark/>
          </w:tcPr>
          <w:p w14:paraId="2A94735C"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18 </w:t>
            </w:r>
          </w:p>
        </w:tc>
      </w:tr>
      <w:tr w:rsidR="00B53AC8" w:rsidRPr="00A76485" w14:paraId="191BF41A"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auto" w:fill="auto"/>
            <w:noWrap/>
            <w:vAlign w:val="bottom"/>
            <w:hideMark/>
          </w:tcPr>
          <w:p w14:paraId="3BDBA47B"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DOS (2) MESES </w:t>
            </w:r>
          </w:p>
        </w:tc>
        <w:tc>
          <w:tcPr>
            <w:tcW w:w="2078" w:type="pct"/>
            <w:tcBorders>
              <w:top w:val="nil"/>
              <w:left w:val="nil"/>
              <w:bottom w:val="single" w:sz="4" w:space="0" w:color="1F4E78"/>
              <w:right w:val="single" w:sz="4" w:space="0" w:color="1F4E78"/>
            </w:tcBorders>
            <w:shd w:val="clear" w:color="auto" w:fill="auto"/>
            <w:noWrap/>
            <w:vAlign w:val="bottom"/>
            <w:hideMark/>
          </w:tcPr>
          <w:p w14:paraId="7441C3F1" w14:textId="77777777" w:rsidR="00B53AC8" w:rsidRPr="00A76485" w:rsidRDefault="00B53AC8" w:rsidP="00013AAF">
            <w:pPr>
              <w:ind w:left="-174" w:firstLine="174"/>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$36 </w:t>
            </w:r>
          </w:p>
        </w:tc>
        <w:tc>
          <w:tcPr>
            <w:tcW w:w="1147" w:type="pct"/>
            <w:tcBorders>
              <w:top w:val="nil"/>
              <w:left w:val="nil"/>
              <w:bottom w:val="single" w:sz="4" w:space="0" w:color="1F4E78"/>
              <w:right w:val="single" w:sz="4" w:space="0" w:color="1F4E78"/>
            </w:tcBorders>
            <w:shd w:val="clear" w:color="auto" w:fill="auto"/>
            <w:noWrap/>
            <w:vAlign w:val="bottom"/>
            <w:hideMark/>
          </w:tcPr>
          <w:p w14:paraId="1A06FCC6"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6 </w:t>
            </w:r>
          </w:p>
        </w:tc>
      </w:tr>
      <w:tr w:rsidR="00B53AC8" w:rsidRPr="00A76485" w14:paraId="3DB7ED68"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auto" w:fill="auto"/>
            <w:noWrap/>
            <w:vAlign w:val="bottom"/>
            <w:hideMark/>
          </w:tcPr>
          <w:p w14:paraId="60703773"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TRES (3) MESES </w:t>
            </w:r>
          </w:p>
        </w:tc>
        <w:tc>
          <w:tcPr>
            <w:tcW w:w="2078" w:type="pct"/>
            <w:tcBorders>
              <w:top w:val="nil"/>
              <w:left w:val="nil"/>
              <w:bottom w:val="single" w:sz="4" w:space="0" w:color="1F4E78"/>
              <w:right w:val="single" w:sz="4" w:space="0" w:color="1F4E78"/>
            </w:tcBorders>
            <w:shd w:val="clear" w:color="auto" w:fill="auto"/>
            <w:noWrap/>
            <w:vAlign w:val="bottom"/>
            <w:hideMark/>
          </w:tcPr>
          <w:p w14:paraId="4C0C24D9" w14:textId="77777777" w:rsidR="00B53AC8" w:rsidRPr="00A76485" w:rsidRDefault="00B53AC8" w:rsidP="00013AAF">
            <w:pPr>
              <w:ind w:left="-174" w:firstLine="174"/>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$2.288 </w:t>
            </w:r>
          </w:p>
        </w:tc>
        <w:tc>
          <w:tcPr>
            <w:tcW w:w="1147" w:type="pct"/>
            <w:tcBorders>
              <w:top w:val="nil"/>
              <w:left w:val="nil"/>
              <w:bottom w:val="single" w:sz="4" w:space="0" w:color="1F4E78"/>
              <w:right w:val="single" w:sz="4" w:space="0" w:color="1F4E78"/>
            </w:tcBorders>
            <w:shd w:val="clear" w:color="auto" w:fill="auto"/>
            <w:noWrap/>
            <w:vAlign w:val="bottom"/>
            <w:hideMark/>
          </w:tcPr>
          <w:p w14:paraId="08EE6C28"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136 </w:t>
            </w:r>
          </w:p>
        </w:tc>
      </w:tr>
      <w:tr w:rsidR="00B53AC8" w:rsidRPr="00A76485" w14:paraId="4079B161"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auto" w:fill="auto"/>
            <w:noWrap/>
            <w:vAlign w:val="bottom"/>
            <w:hideMark/>
          </w:tcPr>
          <w:p w14:paraId="541B956F"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UN (1) MES </w:t>
            </w:r>
          </w:p>
        </w:tc>
        <w:tc>
          <w:tcPr>
            <w:tcW w:w="2078" w:type="pct"/>
            <w:tcBorders>
              <w:top w:val="nil"/>
              <w:left w:val="nil"/>
              <w:bottom w:val="single" w:sz="4" w:space="0" w:color="1F4E78"/>
              <w:right w:val="single" w:sz="4" w:space="0" w:color="1F4E78"/>
            </w:tcBorders>
            <w:shd w:val="clear" w:color="auto" w:fill="auto"/>
            <w:noWrap/>
            <w:vAlign w:val="bottom"/>
            <w:hideMark/>
          </w:tcPr>
          <w:p w14:paraId="41409752" w14:textId="77777777" w:rsidR="00B53AC8" w:rsidRPr="00A76485" w:rsidRDefault="00B53AC8" w:rsidP="00013AAF">
            <w:pPr>
              <w:ind w:left="-174" w:firstLine="174"/>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$290 </w:t>
            </w:r>
          </w:p>
        </w:tc>
        <w:tc>
          <w:tcPr>
            <w:tcW w:w="1147" w:type="pct"/>
            <w:tcBorders>
              <w:top w:val="nil"/>
              <w:left w:val="nil"/>
              <w:bottom w:val="single" w:sz="4" w:space="0" w:color="1F4E78"/>
              <w:right w:val="single" w:sz="4" w:space="0" w:color="1F4E78"/>
            </w:tcBorders>
            <w:shd w:val="clear" w:color="auto" w:fill="auto"/>
            <w:noWrap/>
            <w:vAlign w:val="bottom"/>
            <w:hideMark/>
          </w:tcPr>
          <w:p w14:paraId="65F9F004"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33 </w:t>
            </w:r>
          </w:p>
        </w:tc>
      </w:tr>
      <w:tr w:rsidR="00B53AC8" w:rsidRPr="00A76485" w14:paraId="2953F54D"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auto" w:fill="auto"/>
            <w:noWrap/>
            <w:vAlign w:val="bottom"/>
            <w:hideMark/>
          </w:tcPr>
          <w:p w14:paraId="1796AD9C"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Inferior a 1 mes </w:t>
            </w:r>
          </w:p>
        </w:tc>
        <w:tc>
          <w:tcPr>
            <w:tcW w:w="2078" w:type="pct"/>
            <w:tcBorders>
              <w:top w:val="nil"/>
              <w:left w:val="nil"/>
              <w:bottom w:val="single" w:sz="4" w:space="0" w:color="1F4E78"/>
              <w:right w:val="single" w:sz="4" w:space="0" w:color="1F4E78"/>
            </w:tcBorders>
            <w:shd w:val="clear" w:color="auto" w:fill="auto"/>
            <w:noWrap/>
            <w:vAlign w:val="bottom"/>
            <w:hideMark/>
          </w:tcPr>
          <w:p w14:paraId="0A8EE535" w14:textId="77777777" w:rsidR="00B53AC8" w:rsidRPr="00A76485" w:rsidRDefault="00B53AC8" w:rsidP="00013AAF">
            <w:pPr>
              <w:ind w:left="-174" w:firstLine="174"/>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$34 </w:t>
            </w:r>
          </w:p>
        </w:tc>
        <w:tc>
          <w:tcPr>
            <w:tcW w:w="1147" w:type="pct"/>
            <w:tcBorders>
              <w:top w:val="nil"/>
              <w:left w:val="nil"/>
              <w:bottom w:val="single" w:sz="4" w:space="0" w:color="1F4E78"/>
              <w:right w:val="single" w:sz="4" w:space="0" w:color="1F4E78"/>
            </w:tcBorders>
            <w:shd w:val="clear" w:color="auto" w:fill="auto"/>
            <w:noWrap/>
            <w:vAlign w:val="bottom"/>
            <w:hideMark/>
          </w:tcPr>
          <w:p w14:paraId="26FBEA30"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11 </w:t>
            </w:r>
          </w:p>
        </w:tc>
      </w:tr>
      <w:tr w:rsidR="00B53AC8" w:rsidRPr="00A76485" w14:paraId="5A9D8095" w14:textId="77777777" w:rsidTr="005636EE">
        <w:trPr>
          <w:trHeight w:val="251"/>
          <w:jc w:val="center"/>
        </w:trPr>
        <w:tc>
          <w:tcPr>
            <w:tcW w:w="1775" w:type="pct"/>
            <w:tcBorders>
              <w:top w:val="nil"/>
              <w:left w:val="single" w:sz="4" w:space="0" w:color="1F4E78"/>
              <w:bottom w:val="single" w:sz="4" w:space="0" w:color="1F4E78"/>
              <w:right w:val="single" w:sz="4" w:space="0" w:color="1F4E78"/>
            </w:tcBorders>
            <w:shd w:val="clear" w:color="auto" w:fill="auto"/>
            <w:noWrap/>
            <w:vAlign w:val="bottom"/>
            <w:hideMark/>
          </w:tcPr>
          <w:p w14:paraId="14F657DA"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Total </w:t>
            </w:r>
          </w:p>
        </w:tc>
        <w:tc>
          <w:tcPr>
            <w:tcW w:w="2078" w:type="pct"/>
            <w:tcBorders>
              <w:top w:val="nil"/>
              <w:left w:val="nil"/>
              <w:bottom w:val="single" w:sz="4" w:space="0" w:color="1F4E78"/>
              <w:right w:val="single" w:sz="4" w:space="0" w:color="1F4E78"/>
            </w:tcBorders>
            <w:shd w:val="clear" w:color="auto" w:fill="auto"/>
            <w:noWrap/>
            <w:vAlign w:val="bottom"/>
            <w:hideMark/>
          </w:tcPr>
          <w:p w14:paraId="4995079C" w14:textId="77777777" w:rsidR="00B53AC8" w:rsidRPr="00A76485" w:rsidRDefault="00B53AC8" w:rsidP="00013AAF">
            <w:pPr>
              <w:ind w:left="-174" w:firstLine="174"/>
              <w:jc w:val="right"/>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$3.566 </w:t>
            </w:r>
          </w:p>
        </w:tc>
        <w:tc>
          <w:tcPr>
            <w:tcW w:w="1147" w:type="pct"/>
            <w:tcBorders>
              <w:top w:val="nil"/>
              <w:left w:val="nil"/>
              <w:bottom w:val="single" w:sz="4" w:space="0" w:color="1F4E78"/>
              <w:right w:val="single" w:sz="4" w:space="0" w:color="1F4E78"/>
            </w:tcBorders>
            <w:shd w:val="clear" w:color="auto" w:fill="auto"/>
            <w:noWrap/>
            <w:vAlign w:val="bottom"/>
            <w:hideMark/>
          </w:tcPr>
          <w:p w14:paraId="7551B519" w14:textId="77777777" w:rsidR="00B53AC8" w:rsidRPr="00A76485" w:rsidRDefault="00B53AC8" w:rsidP="00492D77">
            <w:pPr>
              <w:ind w:left="-174" w:firstLine="174"/>
              <w:rPr>
                <w:rFonts w:ascii="Arial" w:eastAsia="Times New Roman" w:hAnsi="Arial" w:cs="Arial"/>
                <w:color w:val="000000"/>
                <w:sz w:val="18"/>
                <w:szCs w:val="18"/>
                <w:lang w:val="es-CO" w:eastAsia="es-CO"/>
              </w:rPr>
            </w:pPr>
            <w:r w:rsidRPr="00A76485">
              <w:rPr>
                <w:rFonts w:ascii="Arial" w:eastAsia="Times New Roman" w:hAnsi="Arial" w:cs="Arial"/>
                <w:color w:val="000000"/>
                <w:sz w:val="18"/>
                <w:szCs w:val="18"/>
                <w:lang w:val="es-CO" w:eastAsia="es-CO"/>
              </w:rPr>
              <w:t xml:space="preserve"> $                          256 </w:t>
            </w:r>
          </w:p>
        </w:tc>
      </w:tr>
    </w:tbl>
    <w:p w14:paraId="675AC1BF" w14:textId="77777777" w:rsidR="00B53AC8" w:rsidRPr="00A76485" w:rsidRDefault="00B53AC8" w:rsidP="00492D77">
      <w:pPr>
        <w:jc w:val="both"/>
        <w:rPr>
          <w:rStyle w:val="contentpasted0"/>
          <w:rFonts w:ascii="Arial" w:hAnsi="Arial" w:cs="Arial"/>
          <w:color w:val="000000"/>
          <w:sz w:val="21"/>
          <w:szCs w:val="21"/>
        </w:rPr>
      </w:pPr>
      <w:r w:rsidRPr="00A76485">
        <w:rPr>
          <w:rFonts w:ascii="Arial" w:eastAsia="Times New Roman" w:hAnsi="Arial" w:cs="Arial"/>
          <w:color w:val="000000"/>
          <w:sz w:val="18"/>
          <w:szCs w:val="18"/>
          <w:lang w:val="es-CO" w:eastAsia="es-CO"/>
        </w:rPr>
        <w:t xml:space="preserve">                      Fuente: Elaboración DAF con información </w:t>
      </w:r>
      <w:proofErr w:type="gramStart"/>
      <w:r w:rsidRPr="00A76485">
        <w:rPr>
          <w:rFonts w:ascii="Arial" w:eastAsia="Times New Roman" w:hAnsi="Arial" w:cs="Arial"/>
          <w:color w:val="000000"/>
          <w:sz w:val="18"/>
          <w:szCs w:val="18"/>
          <w:lang w:val="es-CO" w:eastAsia="es-CO"/>
        </w:rPr>
        <w:t>-  Entidad</w:t>
      </w:r>
      <w:proofErr w:type="gramEnd"/>
      <w:r w:rsidRPr="00A76485">
        <w:rPr>
          <w:rFonts w:ascii="Arial" w:eastAsia="Times New Roman" w:hAnsi="Arial" w:cs="Arial"/>
          <w:color w:val="000000"/>
          <w:sz w:val="18"/>
          <w:szCs w:val="18"/>
          <w:lang w:val="es-CO" w:eastAsia="es-CO"/>
        </w:rPr>
        <w:t xml:space="preserve"> territorial – Secretaria de Salud</w:t>
      </w:r>
    </w:p>
    <w:p w14:paraId="1FC7B2A0" w14:textId="77777777" w:rsidR="00013AAF" w:rsidRDefault="00013AAF" w:rsidP="00492D77">
      <w:pPr>
        <w:jc w:val="both"/>
        <w:rPr>
          <w:rStyle w:val="contentpasted0"/>
          <w:rFonts w:ascii="Arial" w:hAnsi="Arial" w:cs="Arial"/>
          <w:color w:val="000000"/>
          <w:sz w:val="21"/>
          <w:szCs w:val="21"/>
        </w:rPr>
      </w:pPr>
    </w:p>
    <w:p w14:paraId="4B1C6FBA" w14:textId="77777777" w:rsidR="00B53AC8" w:rsidRDefault="00B53AC8" w:rsidP="00492D77">
      <w:pPr>
        <w:jc w:val="both"/>
        <w:rPr>
          <w:rStyle w:val="contentpasted0"/>
          <w:rFonts w:ascii="Arial" w:hAnsi="Arial" w:cs="Arial"/>
          <w:color w:val="000000"/>
          <w:sz w:val="21"/>
          <w:szCs w:val="21"/>
        </w:rPr>
      </w:pPr>
      <w:r w:rsidRPr="00A76485">
        <w:rPr>
          <w:rStyle w:val="contentpasted0"/>
          <w:rFonts w:ascii="Arial" w:hAnsi="Arial" w:cs="Arial"/>
          <w:color w:val="000000"/>
          <w:sz w:val="21"/>
          <w:szCs w:val="21"/>
        </w:rPr>
        <w:t xml:space="preserve">Al igual que en la vigencia 2021, la contratación se hace de manera </w:t>
      </w:r>
      <w:r w:rsidR="00733543" w:rsidRPr="00A76485">
        <w:rPr>
          <w:rStyle w:val="contentpasted0"/>
          <w:rFonts w:ascii="Arial" w:hAnsi="Arial" w:cs="Arial"/>
          <w:color w:val="000000"/>
          <w:sz w:val="21"/>
          <w:szCs w:val="21"/>
        </w:rPr>
        <w:t>dividida</w:t>
      </w:r>
      <w:r w:rsidRPr="00A76485">
        <w:rPr>
          <w:rStyle w:val="contentpasted0"/>
          <w:rFonts w:ascii="Arial" w:hAnsi="Arial" w:cs="Arial"/>
          <w:color w:val="000000"/>
          <w:sz w:val="21"/>
          <w:szCs w:val="21"/>
        </w:rPr>
        <w:t xml:space="preserve"> con el mismo contratista así:</w:t>
      </w:r>
    </w:p>
    <w:p w14:paraId="1CF716FA" w14:textId="77777777" w:rsidR="00013AAF" w:rsidRPr="00A76485" w:rsidRDefault="00013AAF" w:rsidP="00492D77">
      <w:pPr>
        <w:jc w:val="both"/>
        <w:rPr>
          <w:rStyle w:val="contentpasted0"/>
          <w:rFonts w:ascii="Arial" w:hAnsi="Arial" w:cs="Arial"/>
          <w:color w:val="000000"/>
          <w:sz w:val="21"/>
          <w:szCs w:val="21"/>
        </w:rPr>
      </w:pPr>
    </w:p>
    <w:p w14:paraId="4E393795" w14:textId="77777777" w:rsidR="00B53AC8" w:rsidRPr="00A76485" w:rsidRDefault="00B53AC8" w:rsidP="00492D77">
      <w:pPr>
        <w:jc w:val="center"/>
        <w:rPr>
          <w:rStyle w:val="contentpasted0"/>
          <w:rFonts w:ascii="Arial" w:hAnsi="Arial" w:cs="Arial"/>
          <w:color w:val="000000"/>
          <w:sz w:val="21"/>
          <w:szCs w:val="21"/>
        </w:rPr>
      </w:pPr>
      <w:r w:rsidRPr="00A76485">
        <w:rPr>
          <w:rFonts w:ascii="Arial" w:hAnsi="Arial" w:cs="Arial"/>
          <w:b/>
          <w:sz w:val="18"/>
          <w:szCs w:val="18"/>
        </w:rPr>
        <w:lastRenderedPageBreak/>
        <w:t>Imagen No 7</w:t>
      </w:r>
      <w:r w:rsidRPr="00A76485">
        <w:rPr>
          <w:rStyle w:val="contentpasted0"/>
          <w:rFonts w:ascii="Arial" w:hAnsi="Arial" w:cs="Arial"/>
          <w:noProof/>
          <w:lang w:val="es-CO" w:eastAsia="es-CO"/>
        </w:rPr>
        <w:drawing>
          <wp:inline distT="0" distB="0" distL="0" distR="0" wp14:anchorId="58ADF97E" wp14:editId="254935B6">
            <wp:extent cx="5609671" cy="13144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3021" cy="1315235"/>
                    </a:xfrm>
                    <a:prstGeom prst="rect">
                      <a:avLst/>
                    </a:prstGeom>
                    <a:noFill/>
                    <a:ln>
                      <a:noFill/>
                    </a:ln>
                  </pic:spPr>
                </pic:pic>
              </a:graphicData>
            </a:graphic>
          </wp:inline>
        </w:drawing>
      </w:r>
    </w:p>
    <w:p w14:paraId="041622E7" w14:textId="77777777" w:rsidR="00733543" w:rsidRDefault="00733543" w:rsidP="00492D77">
      <w:pPr>
        <w:contextualSpacing/>
        <w:jc w:val="both"/>
        <w:rPr>
          <w:rFonts w:ascii="Arial" w:hAnsi="Arial" w:cs="Arial"/>
          <w:bCs/>
          <w:sz w:val="21"/>
          <w:szCs w:val="21"/>
        </w:rPr>
      </w:pPr>
    </w:p>
    <w:p w14:paraId="6045AE3D" w14:textId="77777777" w:rsidR="00B53AC8" w:rsidRPr="00A76485" w:rsidRDefault="00B53AC8" w:rsidP="00492D77">
      <w:pPr>
        <w:contextualSpacing/>
        <w:jc w:val="both"/>
        <w:rPr>
          <w:rFonts w:ascii="Arial" w:hAnsi="Arial" w:cs="Arial"/>
          <w:bCs/>
          <w:sz w:val="21"/>
          <w:szCs w:val="21"/>
        </w:rPr>
      </w:pPr>
      <w:r w:rsidRPr="00A76485">
        <w:rPr>
          <w:rFonts w:ascii="Arial" w:hAnsi="Arial" w:cs="Arial"/>
          <w:bCs/>
          <w:sz w:val="21"/>
          <w:szCs w:val="21"/>
        </w:rPr>
        <w:t>Verificada la información reportada por la Entidad en una muestra de 10 contratos en la plataforma SECOP</w:t>
      </w:r>
      <w:r w:rsidR="00554EE2" w:rsidRPr="00A76485">
        <w:rPr>
          <w:rFonts w:ascii="Arial" w:hAnsi="Arial" w:cs="Arial"/>
          <w:bCs/>
          <w:sz w:val="21"/>
          <w:szCs w:val="21"/>
        </w:rPr>
        <w:t xml:space="preserve"> II</w:t>
      </w:r>
      <w:r w:rsidRPr="00A76485">
        <w:rPr>
          <w:rFonts w:ascii="Arial" w:hAnsi="Arial" w:cs="Arial"/>
          <w:bCs/>
          <w:sz w:val="21"/>
          <w:szCs w:val="21"/>
        </w:rPr>
        <w:t xml:space="preserve">, se encontró que estos no registran la totalidad de la información, incumpliendo </w:t>
      </w:r>
      <w:r w:rsidR="00C71D52" w:rsidRPr="00A76485">
        <w:rPr>
          <w:rFonts w:ascii="Arial" w:hAnsi="Arial" w:cs="Arial"/>
          <w:bCs/>
          <w:sz w:val="21"/>
          <w:szCs w:val="21"/>
        </w:rPr>
        <w:t xml:space="preserve">lo previsto por </w:t>
      </w:r>
      <w:r w:rsidRPr="00A76485">
        <w:rPr>
          <w:rFonts w:ascii="Arial" w:hAnsi="Arial" w:cs="Arial"/>
          <w:bCs/>
          <w:sz w:val="21"/>
          <w:szCs w:val="21"/>
        </w:rPr>
        <w:t xml:space="preserve">el artículo 3 de la Ley 1150 de 2007 y el artículo 2.1.1.2.1.7 y 2.1.1.2.1.8 del Decreto 1081 de 2015, </w:t>
      </w:r>
      <w:r w:rsidR="00554EE2" w:rsidRPr="00A76485">
        <w:rPr>
          <w:rFonts w:ascii="Arial" w:hAnsi="Arial" w:cs="Arial"/>
          <w:bCs/>
          <w:sz w:val="21"/>
          <w:szCs w:val="21"/>
        </w:rPr>
        <w:t xml:space="preserve">en los que se indica que </w:t>
      </w:r>
      <w:r w:rsidRPr="00A76485">
        <w:rPr>
          <w:rFonts w:ascii="Arial" w:hAnsi="Arial" w:cs="Arial"/>
          <w:bCs/>
          <w:sz w:val="21"/>
          <w:szCs w:val="21"/>
        </w:rPr>
        <w:t>la información correspondiente a la gestión contractual con cargo a recursos públicos debe ser publicada en el Sistema Electrónico para la Contratación Pública – SECOP por parte de los sujetos obligados que contratan con recursos públicos; respecto de lo anterior, el artículo 2.2.2.1.8.3 del Decreto 1082 de 2015 estableció que: “</w:t>
      </w:r>
      <w:r w:rsidRPr="00A76485">
        <w:rPr>
          <w:rFonts w:ascii="Arial" w:hAnsi="Arial" w:cs="Arial"/>
          <w:bCs/>
          <w:i/>
          <w:iCs/>
          <w:sz w:val="21"/>
          <w:szCs w:val="21"/>
        </w:rPr>
        <w:t>La entidad contratante deberá garantizar la publicidad de los procedimientos, documentos y actos asociados a los procesos de contratación […]</w:t>
      </w:r>
      <w:r w:rsidRPr="00A76485">
        <w:rPr>
          <w:rFonts w:ascii="Arial" w:hAnsi="Arial" w:cs="Arial"/>
          <w:bCs/>
          <w:sz w:val="21"/>
          <w:szCs w:val="21"/>
        </w:rPr>
        <w:t>”.</w:t>
      </w:r>
    </w:p>
    <w:p w14:paraId="6C3A4E72" w14:textId="77777777" w:rsidR="00B53AC8" w:rsidRPr="00A76485" w:rsidRDefault="00B53AC8" w:rsidP="00492D77">
      <w:pPr>
        <w:contextualSpacing/>
        <w:jc w:val="both"/>
        <w:rPr>
          <w:rFonts w:ascii="Arial" w:hAnsi="Arial" w:cs="Arial"/>
          <w:bCs/>
          <w:sz w:val="21"/>
          <w:szCs w:val="21"/>
        </w:rPr>
      </w:pPr>
    </w:p>
    <w:p w14:paraId="13E06806" w14:textId="77777777" w:rsidR="00B53AC8" w:rsidRPr="00A76485" w:rsidRDefault="00C71D52" w:rsidP="00492D77">
      <w:pPr>
        <w:contextualSpacing/>
        <w:jc w:val="both"/>
        <w:rPr>
          <w:rFonts w:ascii="Arial" w:hAnsi="Arial" w:cs="Arial"/>
          <w:bCs/>
          <w:sz w:val="21"/>
          <w:szCs w:val="21"/>
        </w:rPr>
      </w:pPr>
      <w:r w:rsidRPr="00A76485">
        <w:rPr>
          <w:rFonts w:ascii="Arial" w:hAnsi="Arial" w:cs="Arial"/>
          <w:bCs/>
          <w:sz w:val="21"/>
          <w:szCs w:val="21"/>
        </w:rPr>
        <w:t>Adicionalmente</w:t>
      </w:r>
      <w:r w:rsidR="00B53AC8" w:rsidRPr="00A76485">
        <w:rPr>
          <w:rFonts w:ascii="Arial" w:hAnsi="Arial" w:cs="Arial"/>
          <w:bCs/>
          <w:sz w:val="21"/>
          <w:szCs w:val="21"/>
        </w:rPr>
        <w:t xml:space="preserve">, el artículo 9º de la Ley 1712 de 2014, establece la obligación de publicar todos los contratos que se realicen con cargo a recursos públicos; es así que, los sujetos obligados deben publicar la información relativa a la ejecución de sus contratos, obligación que fue desarrollada por el Decreto 1081 de 2015, el cual estableció que para la publicación de la ejecución de los contratos, los sujetos obligados deben publicar las aprobaciones, autorizaciones, requerimientos o </w:t>
      </w:r>
      <w:r w:rsidR="00B53AC8" w:rsidRPr="00A76485">
        <w:rPr>
          <w:rFonts w:ascii="Arial" w:hAnsi="Arial" w:cs="Arial"/>
          <w:b/>
          <w:bCs/>
          <w:sz w:val="21"/>
          <w:szCs w:val="21"/>
        </w:rPr>
        <w:t>informes del supervisor o del interventor que aprueben la ejecución del contrato</w:t>
      </w:r>
      <w:r w:rsidR="00B53AC8" w:rsidRPr="00A76485">
        <w:rPr>
          <w:rFonts w:ascii="Arial" w:hAnsi="Arial" w:cs="Arial"/>
          <w:bCs/>
          <w:sz w:val="21"/>
          <w:szCs w:val="21"/>
        </w:rPr>
        <w:t>, en el plazo previsto en el artículo 2.2.1.1.1.7.1 del Decreto 1082 de 2015.</w:t>
      </w:r>
    </w:p>
    <w:p w14:paraId="2303645B" w14:textId="77777777" w:rsidR="00B53AC8" w:rsidRPr="00A76485" w:rsidRDefault="00B53AC8" w:rsidP="00492D77">
      <w:pPr>
        <w:contextualSpacing/>
        <w:jc w:val="both"/>
        <w:rPr>
          <w:rFonts w:ascii="Arial" w:hAnsi="Arial" w:cs="Arial"/>
          <w:bCs/>
          <w:sz w:val="21"/>
          <w:szCs w:val="21"/>
        </w:rPr>
      </w:pPr>
    </w:p>
    <w:p w14:paraId="542DB70C" w14:textId="77777777" w:rsidR="00B53AC8" w:rsidRPr="00A76485" w:rsidRDefault="00554EE2" w:rsidP="00492D77">
      <w:pPr>
        <w:jc w:val="both"/>
        <w:rPr>
          <w:rFonts w:ascii="Arial" w:hAnsi="Arial" w:cs="Arial"/>
          <w:bCs/>
          <w:sz w:val="21"/>
          <w:szCs w:val="21"/>
        </w:rPr>
      </w:pPr>
      <w:r w:rsidRPr="00A76485">
        <w:rPr>
          <w:rFonts w:ascii="Arial" w:hAnsi="Arial" w:cs="Arial"/>
          <w:bCs/>
          <w:sz w:val="21"/>
          <w:szCs w:val="21"/>
        </w:rPr>
        <w:t>Lo anterior se</w:t>
      </w:r>
      <w:r w:rsidR="00B53AC8" w:rsidRPr="00A76485">
        <w:rPr>
          <w:rFonts w:ascii="Arial" w:hAnsi="Arial" w:cs="Arial"/>
          <w:bCs/>
          <w:sz w:val="21"/>
          <w:szCs w:val="21"/>
        </w:rPr>
        <w:t xml:space="preserve"> evidencia en la siguiente imagen de la plataforma SECOP del Contrato No PS750-2022.</w:t>
      </w:r>
    </w:p>
    <w:p w14:paraId="78D425D7" w14:textId="77777777" w:rsidR="00B53AC8" w:rsidRPr="00A76485" w:rsidRDefault="00B53AC8" w:rsidP="00492D77">
      <w:pPr>
        <w:jc w:val="center"/>
        <w:rPr>
          <w:rFonts w:ascii="Arial" w:hAnsi="Arial" w:cs="Arial"/>
          <w:sz w:val="22"/>
          <w:szCs w:val="22"/>
          <w:lang w:val="es-CO"/>
        </w:rPr>
      </w:pPr>
      <w:r w:rsidRPr="00A76485">
        <w:rPr>
          <w:rFonts w:ascii="Arial" w:hAnsi="Arial" w:cs="Arial"/>
          <w:b/>
          <w:sz w:val="18"/>
          <w:szCs w:val="18"/>
        </w:rPr>
        <w:t>Imagen No 8</w:t>
      </w:r>
    </w:p>
    <w:p w14:paraId="7DBCAB2D" w14:textId="77777777" w:rsidR="00B53AC8" w:rsidRPr="00A76485" w:rsidRDefault="00E42E1C" w:rsidP="00492D77">
      <w:pPr>
        <w:jc w:val="both"/>
        <w:rPr>
          <w:rFonts w:ascii="Arial" w:hAnsi="Arial" w:cs="Arial"/>
          <w:sz w:val="22"/>
          <w:szCs w:val="22"/>
          <w:lang w:val="es-CO"/>
        </w:rPr>
      </w:pPr>
      <w:r>
        <w:rPr>
          <w:rFonts w:ascii="Arial" w:hAnsi="Arial" w:cs="Arial"/>
          <w:noProof/>
          <w:sz w:val="22"/>
          <w:szCs w:val="22"/>
          <w:lang w:val="es-CO" w:eastAsia="es-CO"/>
        </w:rPr>
        <w:pict w14:anchorId="049E3FEB">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3" o:spid="_x0000_s2050" type="#_x0000_t67" style="position:absolute;left:0;text-align:left;margin-left:118.05pt;margin-top:74.75pt;width:29.15pt;height:53.2pt;rotation:54748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2KgSwIAAJEEAAAOAAAAZHJzL2Uyb0RvYy54bWysVG1v0zAQ/o7Ef7D8naZJk66tlk5jpQhp&#10;wKTBD3Btp/HwG2e36fj1XNxsZCDxAZEPVs53ee65e+5yeXUymhwlBOVsTfPJlBJpuRPK7mv69cv2&#10;zYKSEJkVTDsra/ooA71av3512fmVLFzrtJBAEMSGVedr2sboV1kWeCsNCxPnpUVn48CwiCbsMwGs&#10;Q3Sjs2I6nWedA+HBcRkC3m7OTrpO+E0jefzcNEFGomuK3GI6IZ27/szWl2y1B+ZbxQca7B9YGKYs&#10;Jn2G2rDIyAHUH1BGcXDBNXHCnclc0yguUw1YTT79rZr7lnmZasHmBP/cpvD/YPmn4x0QJWpazCix&#10;zKBGWy15ywjbsQdH8Bp71PmwwtB7fwd9lcHfOv4toCN74emNgDFk1310AqHYIbrUl1MDhoDD/lfT&#10;vJhVVbrF+skpifH4LIY8RcLxcjZfLsuSEo6u+UVVzhc9kYyteqiehIcQ30tnSP9SU+E6ew3guoTM&#10;jrchJkHEUBUTDzkljdGo75Fpkk/7ZxiAUVAxDqowpBjyDpDI4ClzaoXTSmyV1smA/e5GA0H8mpbb&#10;Rf52M3wcxmHakg4bXpWY/+8YRTnbzhNJTPsCw6iIi6OVqeliVEkrmXhnRRrryJQ+v+PH2g5i9fqc&#10;Bd058YhaJVVwN3CLsY2tgx+UdLgRNQ3fDwwkJfqDxZFb5mXZr1AyyuqiQAPGnt3YwyxHqJryCJSc&#10;jZt4XryDB7VvMVeeqrfuGqekUfFpnM68Bro490n1YUf7xRrbKerXn2T9EwAA//8DAFBLAwQUAAYA&#10;CAAAACEA9Ewz7N0AAAALAQAADwAAAGRycy9kb3ducmV2LnhtbEyPzU7DMBCE70h9B2srcaN2UkGj&#10;EKeqkODAjbZCHJ14E0f4J8RuE96e5QS3Wc2n2ZlqvzjLrjjFIXgJ2UYAQ98GPfhewvn0fFcAi0l5&#10;rWzwKOEbI+zr1U2lSh1m/4bXY+oZhfhYKgkmpbHkPLYGnYqbMKInrwuTU4nOqed6UjOFO8tzIR64&#10;U4OnD0aN+GSw/TxenIQv6wYjivn91I3i4/Wgdl370kh5u14Oj8ASLukPht/6VB1q6tSEi9eRWQl5&#10;lmeEkrHb3gMjYpsVJBqySAGvK/5/Q/0DAAD//wMAUEsBAi0AFAAGAAgA&#10;" adj="15685,0" fillcolor="#4f81bd" strokecolor="#243f60" strokeweight="2pt">
            <v:path arrowok="t"/>
          </v:shape>
        </w:pict>
      </w:r>
      <w:r w:rsidR="00B53AC8" w:rsidRPr="00A76485">
        <w:rPr>
          <w:rFonts w:ascii="Arial" w:hAnsi="Arial" w:cs="Arial"/>
          <w:noProof/>
          <w:sz w:val="22"/>
          <w:szCs w:val="22"/>
          <w:lang w:val="es-CO" w:eastAsia="es-CO"/>
        </w:rPr>
        <w:drawing>
          <wp:inline distT="0" distB="0" distL="0" distR="0" wp14:anchorId="4606C1B5" wp14:editId="0C422475">
            <wp:extent cx="5612130" cy="231140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12130" cy="2311400"/>
                    </a:xfrm>
                    <a:prstGeom prst="rect">
                      <a:avLst/>
                    </a:prstGeom>
                  </pic:spPr>
                </pic:pic>
              </a:graphicData>
            </a:graphic>
          </wp:inline>
        </w:drawing>
      </w:r>
    </w:p>
    <w:p w14:paraId="49FFEA23" w14:textId="77777777" w:rsidR="00B53AC8" w:rsidRPr="00A76485" w:rsidRDefault="00B53AC8" w:rsidP="00492D77">
      <w:pPr>
        <w:jc w:val="both"/>
        <w:rPr>
          <w:rFonts w:ascii="Arial" w:hAnsi="Arial" w:cs="Arial"/>
          <w:sz w:val="22"/>
          <w:szCs w:val="22"/>
          <w:lang w:val="es-CO"/>
        </w:rPr>
      </w:pPr>
    </w:p>
    <w:p w14:paraId="79C6263D" w14:textId="77777777" w:rsidR="00B53AC8" w:rsidRPr="00A76485" w:rsidRDefault="00B53AC8" w:rsidP="00492D77">
      <w:pPr>
        <w:jc w:val="both"/>
        <w:rPr>
          <w:rFonts w:ascii="Arial" w:hAnsi="Arial" w:cs="Arial"/>
          <w:bCs/>
          <w:sz w:val="21"/>
          <w:szCs w:val="21"/>
        </w:rPr>
      </w:pPr>
      <w:r w:rsidRPr="00A76485">
        <w:rPr>
          <w:rFonts w:ascii="Arial" w:hAnsi="Arial" w:cs="Arial"/>
          <w:bCs/>
          <w:sz w:val="21"/>
          <w:szCs w:val="21"/>
        </w:rPr>
        <w:t>Así la</w:t>
      </w:r>
      <w:r w:rsidR="00C71D52" w:rsidRPr="00A76485">
        <w:rPr>
          <w:rFonts w:ascii="Arial" w:hAnsi="Arial" w:cs="Arial"/>
          <w:bCs/>
          <w:sz w:val="21"/>
          <w:szCs w:val="21"/>
        </w:rPr>
        <w:t>s</w:t>
      </w:r>
      <w:r w:rsidRPr="00A76485">
        <w:rPr>
          <w:rFonts w:ascii="Arial" w:hAnsi="Arial" w:cs="Arial"/>
          <w:bCs/>
          <w:sz w:val="21"/>
          <w:szCs w:val="21"/>
        </w:rPr>
        <w:t xml:space="preserve"> cosas, se relacionan los contratos y los documentos no encontrados en el SECOP II:</w:t>
      </w:r>
    </w:p>
    <w:p w14:paraId="41B5F715" w14:textId="77777777" w:rsidR="00C77CF4" w:rsidRPr="00A76485" w:rsidRDefault="00C77CF4" w:rsidP="00492D77">
      <w:pPr>
        <w:jc w:val="both"/>
        <w:rPr>
          <w:rFonts w:ascii="Arial" w:hAnsi="Arial" w:cs="Arial"/>
          <w:sz w:val="22"/>
          <w:szCs w:val="22"/>
          <w:lang w:val="es-CO"/>
        </w:rPr>
      </w:pPr>
    </w:p>
    <w:p w14:paraId="7CD4C375" w14:textId="77777777" w:rsidR="00B53AC8" w:rsidRPr="00A76485" w:rsidRDefault="00B53AC8" w:rsidP="00492D77">
      <w:pPr>
        <w:jc w:val="center"/>
        <w:rPr>
          <w:rStyle w:val="contentpasted0"/>
          <w:rFonts w:ascii="Arial" w:hAnsi="Arial" w:cs="Arial"/>
          <w:color w:val="000000"/>
          <w:sz w:val="21"/>
          <w:szCs w:val="21"/>
        </w:rPr>
      </w:pPr>
      <w:r w:rsidRPr="00A76485">
        <w:rPr>
          <w:rFonts w:ascii="Arial" w:hAnsi="Arial" w:cs="Arial"/>
          <w:b/>
          <w:sz w:val="18"/>
          <w:szCs w:val="18"/>
        </w:rPr>
        <w:t>Tabla No 17</w:t>
      </w:r>
    </w:p>
    <w:tbl>
      <w:tblPr>
        <w:tblW w:w="4115" w:type="pct"/>
        <w:jc w:val="center"/>
        <w:tblCellMar>
          <w:left w:w="70" w:type="dxa"/>
          <w:right w:w="70" w:type="dxa"/>
        </w:tblCellMar>
        <w:tblLook w:val="04A0" w:firstRow="1" w:lastRow="0" w:firstColumn="1" w:lastColumn="0" w:noHBand="0" w:noVBand="1"/>
      </w:tblPr>
      <w:tblGrid>
        <w:gridCol w:w="1581"/>
        <w:gridCol w:w="2730"/>
        <w:gridCol w:w="2946"/>
      </w:tblGrid>
      <w:tr w:rsidR="00B53AC8" w:rsidRPr="00A76485" w14:paraId="63F89ABA" w14:textId="77777777" w:rsidTr="005636EE">
        <w:trPr>
          <w:trHeight w:val="319"/>
          <w:jc w:val="center"/>
        </w:trPr>
        <w:tc>
          <w:tcPr>
            <w:tcW w:w="1089"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95B4FC0" w14:textId="77777777" w:rsidR="00B53AC8" w:rsidRPr="00A76485" w:rsidRDefault="00B53AC8" w:rsidP="00492D77">
            <w:pPr>
              <w:jc w:val="center"/>
              <w:rPr>
                <w:rFonts w:ascii="Arial" w:eastAsia="Times New Roman" w:hAnsi="Arial" w:cs="Arial"/>
                <w:b/>
                <w:bCs/>
                <w:color w:val="000000"/>
                <w:sz w:val="16"/>
                <w:szCs w:val="16"/>
                <w:lang w:val="es-CO" w:eastAsia="es-CO"/>
              </w:rPr>
            </w:pPr>
            <w:r w:rsidRPr="00A76485">
              <w:rPr>
                <w:rFonts w:ascii="Arial" w:eastAsia="Times New Roman" w:hAnsi="Arial" w:cs="Arial"/>
                <w:b/>
                <w:bCs/>
                <w:color w:val="000000"/>
                <w:sz w:val="16"/>
                <w:szCs w:val="16"/>
                <w:lang w:val="es-CO" w:eastAsia="es-CO"/>
              </w:rPr>
              <w:t xml:space="preserve">No. DE CONTRATO </w:t>
            </w:r>
          </w:p>
        </w:tc>
        <w:tc>
          <w:tcPr>
            <w:tcW w:w="1881"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F0F3020" w14:textId="77777777" w:rsidR="00B53AC8" w:rsidRPr="00A76485" w:rsidRDefault="00B53AC8" w:rsidP="00492D77">
            <w:pPr>
              <w:jc w:val="center"/>
              <w:rPr>
                <w:rFonts w:ascii="Arial" w:eastAsia="Times New Roman" w:hAnsi="Arial" w:cs="Arial"/>
                <w:b/>
                <w:bCs/>
                <w:color w:val="000000"/>
                <w:sz w:val="16"/>
                <w:szCs w:val="16"/>
                <w:lang w:val="es-CO" w:eastAsia="es-CO"/>
              </w:rPr>
            </w:pPr>
            <w:r w:rsidRPr="00A76485">
              <w:rPr>
                <w:rFonts w:ascii="Arial" w:eastAsia="Times New Roman" w:hAnsi="Arial" w:cs="Arial"/>
                <w:b/>
                <w:bCs/>
                <w:color w:val="000000"/>
                <w:sz w:val="16"/>
                <w:szCs w:val="16"/>
                <w:lang w:val="es-CO" w:eastAsia="es-CO"/>
              </w:rPr>
              <w:t>COMPONENTE</w:t>
            </w:r>
          </w:p>
        </w:tc>
        <w:tc>
          <w:tcPr>
            <w:tcW w:w="2030" w:type="pct"/>
            <w:vMerge w:val="restart"/>
            <w:tcBorders>
              <w:top w:val="single" w:sz="8" w:space="0" w:color="auto"/>
              <w:left w:val="single" w:sz="8" w:space="0" w:color="auto"/>
              <w:bottom w:val="nil"/>
              <w:right w:val="single" w:sz="8" w:space="0" w:color="auto"/>
            </w:tcBorders>
            <w:shd w:val="clear" w:color="000000" w:fill="C0C0C0"/>
            <w:vAlign w:val="center"/>
            <w:hideMark/>
          </w:tcPr>
          <w:p w14:paraId="54B5F804" w14:textId="77777777" w:rsidR="00B53AC8" w:rsidRPr="00A76485" w:rsidRDefault="00B53AC8" w:rsidP="00492D77">
            <w:pPr>
              <w:jc w:val="center"/>
              <w:rPr>
                <w:rFonts w:ascii="Arial" w:eastAsia="Times New Roman" w:hAnsi="Arial" w:cs="Arial"/>
                <w:b/>
                <w:bCs/>
                <w:color w:val="000000"/>
                <w:sz w:val="16"/>
                <w:szCs w:val="16"/>
                <w:lang w:val="es-CO" w:eastAsia="es-CO"/>
              </w:rPr>
            </w:pPr>
            <w:r w:rsidRPr="00A76485">
              <w:rPr>
                <w:rFonts w:ascii="Arial" w:eastAsia="Times New Roman" w:hAnsi="Arial" w:cs="Arial"/>
                <w:b/>
                <w:bCs/>
                <w:color w:val="000000"/>
                <w:sz w:val="16"/>
                <w:szCs w:val="16"/>
                <w:lang w:val="es-CO" w:eastAsia="es-CO"/>
              </w:rPr>
              <w:t>DOCUMENTO NO PUBLICADO</w:t>
            </w:r>
          </w:p>
        </w:tc>
      </w:tr>
      <w:tr w:rsidR="00B53AC8" w:rsidRPr="00A76485" w14:paraId="2A968218" w14:textId="77777777" w:rsidTr="005636EE">
        <w:trPr>
          <w:trHeight w:val="290"/>
          <w:jc w:val="center"/>
        </w:trPr>
        <w:tc>
          <w:tcPr>
            <w:tcW w:w="1089" w:type="pct"/>
            <w:vMerge/>
            <w:tcBorders>
              <w:top w:val="single" w:sz="8" w:space="0" w:color="auto"/>
              <w:left w:val="single" w:sz="8" w:space="0" w:color="auto"/>
              <w:bottom w:val="single" w:sz="8" w:space="0" w:color="000000"/>
              <w:right w:val="single" w:sz="8" w:space="0" w:color="auto"/>
            </w:tcBorders>
            <w:vAlign w:val="center"/>
            <w:hideMark/>
          </w:tcPr>
          <w:p w14:paraId="5354B347" w14:textId="77777777" w:rsidR="00B53AC8" w:rsidRPr="00A76485" w:rsidRDefault="00B53AC8" w:rsidP="00492D77">
            <w:pPr>
              <w:rPr>
                <w:rFonts w:ascii="Arial" w:eastAsia="Times New Roman" w:hAnsi="Arial" w:cs="Arial"/>
                <w:b/>
                <w:bCs/>
                <w:color w:val="000000"/>
                <w:sz w:val="16"/>
                <w:szCs w:val="16"/>
                <w:lang w:val="es-CO" w:eastAsia="es-CO"/>
              </w:rPr>
            </w:pPr>
          </w:p>
        </w:tc>
        <w:tc>
          <w:tcPr>
            <w:tcW w:w="1881" w:type="pct"/>
            <w:vMerge/>
            <w:tcBorders>
              <w:top w:val="single" w:sz="8" w:space="0" w:color="auto"/>
              <w:left w:val="single" w:sz="8" w:space="0" w:color="auto"/>
              <w:bottom w:val="single" w:sz="8" w:space="0" w:color="000000"/>
              <w:right w:val="single" w:sz="8" w:space="0" w:color="auto"/>
            </w:tcBorders>
            <w:vAlign w:val="center"/>
            <w:hideMark/>
          </w:tcPr>
          <w:p w14:paraId="736E7F3C" w14:textId="77777777" w:rsidR="00B53AC8" w:rsidRPr="00A76485" w:rsidRDefault="00B53AC8" w:rsidP="00492D77">
            <w:pPr>
              <w:rPr>
                <w:rFonts w:ascii="Arial" w:eastAsia="Times New Roman" w:hAnsi="Arial" w:cs="Arial"/>
                <w:b/>
                <w:bCs/>
                <w:color w:val="000000"/>
                <w:sz w:val="16"/>
                <w:szCs w:val="16"/>
                <w:lang w:val="es-CO" w:eastAsia="es-CO"/>
              </w:rPr>
            </w:pPr>
          </w:p>
        </w:tc>
        <w:tc>
          <w:tcPr>
            <w:tcW w:w="2030" w:type="pct"/>
            <w:vMerge/>
            <w:tcBorders>
              <w:top w:val="single" w:sz="8" w:space="0" w:color="auto"/>
              <w:left w:val="single" w:sz="8" w:space="0" w:color="auto"/>
              <w:bottom w:val="nil"/>
              <w:right w:val="single" w:sz="8" w:space="0" w:color="auto"/>
            </w:tcBorders>
            <w:vAlign w:val="center"/>
            <w:hideMark/>
          </w:tcPr>
          <w:p w14:paraId="711415D5" w14:textId="77777777" w:rsidR="00B53AC8" w:rsidRPr="00A76485" w:rsidRDefault="00B53AC8" w:rsidP="00492D77">
            <w:pPr>
              <w:rPr>
                <w:rFonts w:ascii="Arial" w:eastAsia="Times New Roman" w:hAnsi="Arial" w:cs="Arial"/>
                <w:b/>
                <w:bCs/>
                <w:color w:val="000000"/>
                <w:sz w:val="16"/>
                <w:szCs w:val="16"/>
                <w:lang w:val="es-CO" w:eastAsia="es-CO"/>
              </w:rPr>
            </w:pPr>
          </w:p>
        </w:tc>
      </w:tr>
      <w:tr w:rsidR="00B53AC8" w:rsidRPr="00A76485" w14:paraId="30494FA1"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vAlign w:val="center"/>
            <w:hideMark/>
          </w:tcPr>
          <w:p w14:paraId="6B0993FB"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PS750-2022</w:t>
            </w:r>
          </w:p>
        </w:tc>
        <w:tc>
          <w:tcPr>
            <w:tcW w:w="1881" w:type="pct"/>
            <w:tcBorders>
              <w:top w:val="nil"/>
              <w:left w:val="nil"/>
              <w:bottom w:val="single" w:sz="8" w:space="0" w:color="auto"/>
              <w:right w:val="nil"/>
            </w:tcBorders>
            <w:shd w:val="clear" w:color="auto" w:fill="auto"/>
            <w:noWrap/>
            <w:vAlign w:val="center"/>
            <w:hideMark/>
          </w:tcPr>
          <w:p w14:paraId="697EE60A"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val="restart"/>
            <w:tcBorders>
              <w:top w:val="single" w:sz="8" w:space="0" w:color="1F4E78"/>
              <w:left w:val="single" w:sz="8" w:space="0" w:color="1F4E78"/>
              <w:bottom w:val="single" w:sz="8" w:space="0" w:color="1F4E78"/>
              <w:right w:val="single" w:sz="8" w:space="0" w:color="1F4E78"/>
            </w:tcBorders>
            <w:shd w:val="clear" w:color="auto" w:fill="auto"/>
            <w:vAlign w:val="center"/>
            <w:hideMark/>
          </w:tcPr>
          <w:p w14:paraId="444BF02A" w14:textId="77777777" w:rsidR="00B53AC8" w:rsidRPr="00A76485" w:rsidRDefault="00B53AC8" w:rsidP="00492D77">
            <w:pPr>
              <w:jc w:val="cente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eastAsia="es-CO"/>
              </w:rPr>
              <w:t>Informes de ejecución o Informes de supervisión</w:t>
            </w:r>
          </w:p>
        </w:tc>
      </w:tr>
      <w:tr w:rsidR="00B53AC8" w:rsidRPr="00A76485" w14:paraId="31326D3F"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vAlign w:val="center"/>
            <w:hideMark/>
          </w:tcPr>
          <w:p w14:paraId="07809B33"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PS1133-2022</w:t>
            </w:r>
          </w:p>
        </w:tc>
        <w:tc>
          <w:tcPr>
            <w:tcW w:w="1881" w:type="pct"/>
            <w:tcBorders>
              <w:top w:val="nil"/>
              <w:left w:val="nil"/>
              <w:bottom w:val="single" w:sz="8" w:space="0" w:color="auto"/>
              <w:right w:val="nil"/>
            </w:tcBorders>
            <w:shd w:val="clear" w:color="auto" w:fill="auto"/>
            <w:noWrap/>
            <w:vAlign w:val="center"/>
            <w:hideMark/>
          </w:tcPr>
          <w:p w14:paraId="6BCEA07B"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70EF8E49"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601CC14B"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7695E4EC"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PS1129-2022</w:t>
            </w:r>
          </w:p>
        </w:tc>
        <w:tc>
          <w:tcPr>
            <w:tcW w:w="1881" w:type="pct"/>
            <w:tcBorders>
              <w:top w:val="nil"/>
              <w:left w:val="nil"/>
              <w:bottom w:val="single" w:sz="8" w:space="0" w:color="auto"/>
              <w:right w:val="nil"/>
            </w:tcBorders>
            <w:shd w:val="clear" w:color="auto" w:fill="auto"/>
            <w:noWrap/>
            <w:vAlign w:val="center"/>
            <w:hideMark/>
          </w:tcPr>
          <w:p w14:paraId="6F7C262C"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08D14A51"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44EA6D9D"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4A30391B"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PS1136-2022</w:t>
            </w:r>
          </w:p>
        </w:tc>
        <w:tc>
          <w:tcPr>
            <w:tcW w:w="1881" w:type="pct"/>
            <w:tcBorders>
              <w:top w:val="nil"/>
              <w:left w:val="nil"/>
              <w:bottom w:val="single" w:sz="8" w:space="0" w:color="auto"/>
              <w:right w:val="nil"/>
            </w:tcBorders>
            <w:shd w:val="clear" w:color="auto" w:fill="auto"/>
            <w:noWrap/>
            <w:vAlign w:val="center"/>
            <w:hideMark/>
          </w:tcPr>
          <w:p w14:paraId="370B9900"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52F966D2"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06145EEF"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707C0C6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PS1166-2022</w:t>
            </w:r>
          </w:p>
        </w:tc>
        <w:tc>
          <w:tcPr>
            <w:tcW w:w="1881" w:type="pct"/>
            <w:tcBorders>
              <w:top w:val="nil"/>
              <w:left w:val="nil"/>
              <w:bottom w:val="single" w:sz="8" w:space="0" w:color="auto"/>
              <w:right w:val="nil"/>
            </w:tcBorders>
            <w:shd w:val="clear" w:color="auto" w:fill="auto"/>
            <w:noWrap/>
            <w:vAlign w:val="center"/>
            <w:hideMark/>
          </w:tcPr>
          <w:p w14:paraId="61F3D81A"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62B648D1"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5ABDE7B1"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568AA49B"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PS1197-2022</w:t>
            </w:r>
          </w:p>
        </w:tc>
        <w:tc>
          <w:tcPr>
            <w:tcW w:w="1881" w:type="pct"/>
            <w:tcBorders>
              <w:top w:val="nil"/>
              <w:left w:val="nil"/>
              <w:bottom w:val="single" w:sz="8" w:space="0" w:color="auto"/>
              <w:right w:val="nil"/>
            </w:tcBorders>
            <w:shd w:val="clear" w:color="auto" w:fill="auto"/>
            <w:noWrap/>
            <w:vAlign w:val="center"/>
            <w:hideMark/>
          </w:tcPr>
          <w:p w14:paraId="1FD9A77A"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7BFAACA3"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70B69290"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426E6285"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PS1199-2022</w:t>
            </w:r>
          </w:p>
        </w:tc>
        <w:tc>
          <w:tcPr>
            <w:tcW w:w="1881" w:type="pct"/>
            <w:tcBorders>
              <w:top w:val="nil"/>
              <w:left w:val="nil"/>
              <w:bottom w:val="single" w:sz="8" w:space="0" w:color="auto"/>
              <w:right w:val="nil"/>
            </w:tcBorders>
            <w:shd w:val="clear" w:color="auto" w:fill="auto"/>
            <w:noWrap/>
            <w:vAlign w:val="center"/>
            <w:hideMark/>
          </w:tcPr>
          <w:p w14:paraId="1FC64D67"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15942E07"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158D9D43"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27219E38"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PS1221-2022</w:t>
            </w:r>
          </w:p>
        </w:tc>
        <w:tc>
          <w:tcPr>
            <w:tcW w:w="1881" w:type="pct"/>
            <w:tcBorders>
              <w:top w:val="nil"/>
              <w:left w:val="nil"/>
              <w:bottom w:val="single" w:sz="8" w:space="0" w:color="auto"/>
              <w:right w:val="nil"/>
            </w:tcBorders>
            <w:shd w:val="clear" w:color="auto" w:fill="auto"/>
            <w:noWrap/>
            <w:vAlign w:val="center"/>
            <w:hideMark/>
          </w:tcPr>
          <w:p w14:paraId="4FBF8037"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00A6AED4"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43AFC4CB"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74D6C730"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PS1264-2022</w:t>
            </w:r>
          </w:p>
        </w:tc>
        <w:tc>
          <w:tcPr>
            <w:tcW w:w="1881" w:type="pct"/>
            <w:tcBorders>
              <w:top w:val="nil"/>
              <w:left w:val="nil"/>
              <w:bottom w:val="single" w:sz="8" w:space="0" w:color="auto"/>
              <w:right w:val="nil"/>
            </w:tcBorders>
            <w:shd w:val="clear" w:color="auto" w:fill="auto"/>
            <w:noWrap/>
            <w:vAlign w:val="center"/>
            <w:hideMark/>
          </w:tcPr>
          <w:p w14:paraId="6EA47C73"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374741B0"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4FE2CF9A" w14:textId="77777777" w:rsidTr="005636EE">
        <w:trPr>
          <w:trHeight w:val="290"/>
          <w:jc w:val="center"/>
        </w:trPr>
        <w:tc>
          <w:tcPr>
            <w:tcW w:w="1089" w:type="pct"/>
            <w:tcBorders>
              <w:top w:val="nil"/>
              <w:left w:val="single" w:sz="8" w:space="0" w:color="auto"/>
              <w:bottom w:val="single" w:sz="8" w:space="0" w:color="auto"/>
              <w:right w:val="single" w:sz="8" w:space="0" w:color="auto"/>
            </w:tcBorders>
            <w:shd w:val="clear" w:color="000000" w:fill="FFFFFF"/>
            <w:noWrap/>
            <w:vAlign w:val="center"/>
            <w:hideMark/>
          </w:tcPr>
          <w:p w14:paraId="491D810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PS1277-2022</w:t>
            </w:r>
          </w:p>
        </w:tc>
        <w:tc>
          <w:tcPr>
            <w:tcW w:w="1881" w:type="pct"/>
            <w:tcBorders>
              <w:top w:val="nil"/>
              <w:left w:val="nil"/>
              <w:bottom w:val="single" w:sz="8" w:space="0" w:color="auto"/>
              <w:right w:val="nil"/>
            </w:tcBorders>
            <w:shd w:val="clear" w:color="auto" w:fill="auto"/>
            <w:noWrap/>
            <w:vAlign w:val="center"/>
            <w:hideMark/>
          </w:tcPr>
          <w:p w14:paraId="0BEAD45D"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30" w:type="pct"/>
            <w:vMerge/>
            <w:tcBorders>
              <w:top w:val="single" w:sz="8" w:space="0" w:color="1F4E78"/>
              <w:left w:val="single" w:sz="8" w:space="0" w:color="1F4E78"/>
              <w:bottom w:val="single" w:sz="8" w:space="0" w:color="1F4E78"/>
              <w:right w:val="single" w:sz="8" w:space="0" w:color="1F4E78"/>
            </w:tcBorders>
            <w:vAlign w:val="center"/>
            <w:hideMark/>
          </w:tcPr>
          <w:p w14:paraId="4AE1B4D3" w14:textId="77777777" w:rsidR="00B53AC8" w:rsidRPr="00A76485" w:rsidRDefault="00B53AC8" w:rsidP="00492D77">
            <w:pPr>
              <w:rPr>
                <w:rFonts w:ascii="Arial" w:eastAsia="Times New Roman" w:hAnsi="Arial" w:cs="Arial"/>
                <w:color w:val="000000"/>
                <w:sz w:val="16"/>
                <w:szCs w:val="16"/>
                <w:lang w:val="es-CO" w:eastAsia="es-CO"/>
              </w:rPr>
            </w:pPr>
          </w:p>
        </w:tc>
      </w:tr>
    </w:tbl>
    <w:p w14:paraId="4B4335B0" w14:textId="77777777" w:rsidR="00B53AC8" w:rsidRPr="00A76485" w:rsidRDefault="00B53AC8" w:rsidP="00492D77">
      <w:pPr>
        <w:jc w:val="both"/>
        <w:rPr>
          <w:rFonts w:ascii="Arial" w:hAnsi="Arial" w:cs="Arial"/>
          <w:sz w:val="22"/>
          <w:szCs w:val="22"/>
          <w:lang w:val="es-CO"/>
        </w:rPr>
      </w:pPr>
      <w:r w:rsidRPr="00A76485">
        <w:rPr>
          <w:rFonts w:ascii="Arial" w:eastAsia="Times New Roman" w:hAnsi="Arial" w:cs="Arial"/>
          <w:color w:val="000000"/>
          <w:sz w:val="18"/>
          <w:szCs w:val="18"/>
          <w:lang w:val="es-CO" w:eastAsia="es-CO"/>
        </w:rPr>
        <w:t xml:space="preserve">                  Fuente: Elaboración DAF con información </w:t>
      </w:r>
      <w:proofErr w:type="gramStart"/>
      <w:r w:rsidRPr="00A76485">
        <w:rPr>
          <w:rFonts w:ascii="Arial" w:eastAsia="Times New Roman" w:hAnsi="Arial" w:cs="Arial"/>
          <w:color w:val="000000"/>
          <w:sz w:val="18"/>
          <w:szCs w:val="18"/>
          <w:lang w:val="es-CO" w:eastAsia="es-CO"/>
        </w:rPr>
        <w:t>-  Entidad</w:t>
      </w:r>
      <w:proofErr w:type="gramEnd"/>
      <w:r w:rsidRPr="00A76485">
        <w:rPr>
          <w:rFonts w:ascii="Arial" w:eastAsia="Times New Roman" w:hAnsi="Arial" w:cs="Arial"/>
          <w:color w:val="000000"/>
          <w:sz w:val="18"/>
          <w:szCs w:val="18"/>
          <w:lang w:val="es-CO" w:eastAsia="es-CO"/>
        </w:rPr>
        <w:t xml:space="preserve"> territorial – Secretaria de Salud</w:t>
      </w:r>
    </w:p>
    <w:p w14:paraId="6C6F8C9B" w14:textId="77777777" w:rsidR="00C77CF4" w:rsidRPr="00A76485" w:rsidRDefault="00C77CF4" w:rsidP="00492D77">
      <w:pPr>
        <w:jc w:val="both"/>
        <w:rPr>
          <w:rFonts w:ascii="Arial" w:hAnsi="Arial" w:cs="Arial"/>
          <w:sz w:val="22"/>
          <w:szCs w:val="22"/>
          <w:lang w:val="es-CO"/>
        </w:rPr>
      </w:pPr>
    </w:p>
    <w:p w14:paraId="0E721730" w14:textId="77777777" w:rsidR="00B53AC8" w:rsidRPr="00A76485" w:rsidRDefault="00B53AC8" w:rsidP="00492D77">
      <w:pPr>
        <w:pStyle w:val="Prrafodelista"/>
        <w:numPr>
          <w:ilvl w:val="3"/>
          <w:numId w:val="1"/>
        </w:numPr>
        <w:ind w:left="426"/>
        <w:jc w:val="both"/>
        <w:rPr>
          <w:rFonts w:ascii="Arial" w:hAnsi="Arial" w:cs="Arial"/>
          <w:b/>
          <w:sz w:val="21"/>
          <w:szCs w:val="21"/>
        </w:rPr>
      </w:pPr>
      <w:r w:rsidRPr="00A76485">
        <w:rPr>
          <w:rFonts w:ascii="Arial" w:hAnsi="Arial" w:cs="Arial"/>
          <w:b/>
          <w:sz w:val="21"/>
          <w:szCs w:val="21"/>
        </w:rPr>
        <w:t>Análisis Jurídico.</w:t>
      </w:r>
    </w:p>
    <w:p w14:paraId="49F05019" w14:textId="77777777" w:rsidR="00B53AC8" w:rsidRPr="00A76485" w:rsidRDefault="00B53AC8" w:rsidP="00492D77">
      <w:pPr>
        <w:contextualSpacing/>
        <w:jc w:val="both"/>
        <w:rPr>
          <w:rFonts w:ascii="Arial" w:eastAsiaTheme="minorHAnsi" w:hAnsi="Arial" w:cs="Arial"/>
          <w:i/>
          <w:sz w:val="21"/>
          <w:szCs w:val="21"/>
          <w:u w:val="single"/>
          <w:lang w:val="es-CO" w:eastAsia="en-US"/>
        </w:rPr>
      </w:pPr>
    </w:p>
    <w:p w14:paraId="233DA9BF" w14:textId="77777777" w:rsidR="00B53AC8" w:rsidRPr="00A76485" w:rsidRDefault="00B53AC8" w:rsidP="00492D77">
      <w:pPr>
        <w:contextualSpacing/>
        <w:jc w:val="both"/>
        <w:rPr>
          <w:rFonts w:ascii="Arial" w:hAnsi="Arial" w:cs="Arial"/>
          <w:b/>
          <w:sz w:val="21"/>
          <w:szCs w:val="21"/>
        </w:rPr>
      </w:pPr>
      <w:r w:rsidRPr="00A76485">
        <w:rPr>
          <w:rFonts w:ascii="Arial" w:hAnsi="Arial" w:cs="Arial"/>
          <w:b/>
          <w:sz w:val="21"/>
          <w:szCs w:val="21"/>
        </w:rPr>
        <w:t>4.1 Procesos Jurídicos.</w:t>
      </w:r>
    </w:p>
    <w:p w14:paraId="0FA5D5FD" w14:textId="77777777" w:rsidR="00B53AC8" w:rsidRPr="00A76485" w:rsidRDefault="00B53AC8" w:rsidP="00492D77">
      <w:pPr>
        <w:pStyle w:val="Sinespaciado"/>
        <w:contextualSpacing/>
        <w:jc w:val="both"/>
        <w:rPr>
          <w:rFonts w:ascii="Arial" w:eastAsia="MS Mincho" w:hAnsi="Arial" w:cs="Arial"/>
          <w:bCs/>
          <w:sz w:val="21"/>
          <w:szCs w:val="21"/>
          <w:lang w:val="es-ES" w:eastAsia="es-ES"/>
        </w:rPr>
      </w:pPr>
    </w:p>
    <w:p w14:paraId="680EF6F7" w14:textId="77777777" w:rsidR="00B53AC8" w:rsidRPr="00A76485" w:rsidRDefault="00B53AC8" w:rsidP="00492D77">
      <w:pPr>
        <w:pStyle w:val="Sinespaciado"/>
        <w:contextualSpacing/>
        <w:jc w:val="both"/>
        <w:rPr>
          <w:rFonts w:ascii="Arial" w:eastAsia="MS Mincho" w:hAnsi="Arial" w:cs="Arial"/>
          <w:bCs/>
          <w:sz w:val="21"/>
          <w:szCs w:val="21"/>
          <w:lang w:val="es-ES" w:eastAsia="es-ES"/>
        </w:rPr>
      </w:pPr>
      <w:r w:rsidRPr="00A76485">
        <w:rPr>
          <w:rFonts w:ascii="Arial" w:eastAsia="MS Mincho" w:hAnsi="Arial" w:cs="Arial"/>
          <w:bCs/>
          <w:sz w:val="21"/>
          <w:szCs w:val="21"/>
          <w:lang w:val="es-ES" w:eastAsia="es-ES"/>
        </w:rPr>
        <w:t>El Distrito de Santa Marta, hizo entrega del informe de procesos judiciales que cursan actualmente en contra del Distrito relacionados específicamente con la Secretaría de Salud, en los formatos establecidos por esta Dirección, en los que se tiene un total de 36 procesos por $25.985 millones así:</w:t>
      </w:r>
    </w:p>
    <w:p w14:paraId="21255A71" w14:textId="77777777" w:rsidR="00B53AC8" w:rsidRPr="00A76485" w:rsidRDefault="00B53AC8" w:rsidP="00492D77">
      <w:pPr>
        <w:jc w:val="center"/>
        <w:rPr>
          <w:rFonts w:ascii="Arial" w:hAnsi="Arial" w:cs="Arial"/>
          <w:b/>
          <w:sz w:val="18"/>
          <w:szCs w:val="18"/>
        </w:rPr>
      </w:pPr>
      <w:r w:rsidRPr="00A76485">
        <w:rPr>
          <w:rFonts w:ascii="Arial" w:hAnsi="Arial" w:cs="Arial"/>
          <w:b/>
          <w:sz w:val="18"/>
          <w:szCs w:val="18"/>
        </w:rPr>
        <w:t>Tabla No 18</w:t>
      </w:r>
    </w:p>
    <w:p w14:paraId="310B6C6E" w14:textId="77777777" w:rsidR="00B53AC8" w:rsidRPr="00A76485" w:rsidRDefault="00B53AC8" w:rsidP="00492D77">
      <w:pPr>
        <w:jc w:val="center"/>
        <w:rPr>
          <w:rStyle w:val="contentpasted0"/>
          <w:rFonts w:ascii="Arial" w:hAnsi="Arial" w:cs="Arial"/>
          <w:color w:val="000000"/>
          <w:sz w:val="21"/>
          <w:szCs w:val="21"/>
        </w:rPr>
      </w:pPr>
      <w:r w:rsidRPr="00A76485">
        <w:rPr>
          <w:rFonts w:ascii="Arial" w:hAnsi="Arial" w:cs="Arial"/>
          <w:b/>
          <w:sz w:val="18"/>
          <w:szCs w:val="18"/>
        </w:rPr>
        <w:t>Valores en $</w:t>
      </w:r>
    </w:p>
    <w:p w14:paraId="1E4B8776" w14:textId="77777777" w:rsidR="00B53AC8" w:rsidRPr="00A76485" w:rsidRDefault="00667806" w:rsidP="00492D77">
      <w:pPr>
        <w:pStyle w:val="Sinespaciado"/>
        <w:contextualSpacing/>
        <w:jc w:val="center"/>
        <w:rPr>
          <w:rFonts w:ascii="Arial" w:eastAsia="MS Mincho" w:hAnsi="Arial" w:cs="Arial"/>
          <w:bCs/>
          <w:sz w:val="21"/>
          <w:szCs w:val="21"/>
          <w:lang w:val="es-ES" w:eastAsia="es-ES"/>
        </w:rPr>
      </w:pPr>
      <w:r>
        <w:rPr>
          <w:noProof/>
          <w:lang w:eastAsia="es-CO"/>
        </w:rPr>
        <w:drawing>
          <wp:inline distT="0" distB="0" distL="0" distR="0" wp14:anchorId="607D5EF7" wp14:editId="44B107FE">
            <wp:extent cx="5612130" cy="1908810"/>
            <wp:effectExtent l="0" t="0" r="7620" b="0"/>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pic:cNvPicPr>
                  </pic:nvPicPr>
                  <pic:blipFill>
                    <a:blip r:embed="rId36"/>
                    <a:stretch>
                      <a:fillRect/>
                    </a:stretch>
                  </pic:blipFill>
                  <pic:spPr>
                    <a:xfrm>
                      <a:off x="0" y="0"/>
                      <a:ext cx="5612130" cy="1908810"/>
                    </a:xfrm>
                    <a:prstGeom prst="rect">
                      <a:avLst/>
                    </a:prstGeom>
                  </pic:spPr>
                </pic:pic>
              </a:graphicData>
            </a:graphic>
          </wp:inline>
        </w:drawing>
      </w:r>
    </w:p>
    <w:p w14:paraId="529888FE" w14:textId="77777777" w:rsidR="00B53AC8" w:rsidRPr="00A76485" w:rsidRDefault="00B53AC8" w:rsidP="00492D77">
      <w:pPr>
        <w:jc w:val="both"/>
        <w:rPr>
          <w:rFonts w:ascii="Arial" w:hAnsi="Arial" w:cs="Arial"/>
          <w:sz w:val="22"/>
          <w:szCs w:val="22"/>
          <w:lang w:val="es-CO"/>
        </w:rPr>
      </w:pPr>
      <w:r w:rsidRPr="00A76485">
        <w:rPr>
          <w:rFonts w:ascii="Arial" w:eastAsia="Times New Roman" w:hAnsi="Arial" w:cs="Arial"/>
          <w:color w:val="000000"/>
          <w:sz w:val="18"/>
          <w:szCs w:val="18"/>
          <w:lang w:val="es-CO" w:eastAsia="es-CO"/>
        </w:rPr>
        <w:t xml:space="preserve">   Fuente: Entidad territorial – </w:t>
      </w:r>
      <w:proofErr w:type="gramStart"/>
      <w:r w:rsidRPr="00A76485">
        <w:rPr>
          <w:rFonts w:ascii="Arial" w:eastAsia="Times New Roman" w:hAnsi="Arial" w:cs="Arial"/>
          <w:color w:val="000000"/>
          <w:sz w:val="18"/>
          <w:szCs w:val="18"/>
          <w:lang w:val="es-CO" w:eastAsia="es-CO"/>
        </w:rPr>
        <w:t>Secretaria</w:t>
      </w:r>
      <w:proofErr w:type="gramEnd"/>
      <w:r w:rsidRPr="00A76485">
        <w:rPr>
          <w:rFonts w:ascii="Arial" w:eastAsia="Times New Roman" w:hAnsi="Arial" w:cs="Arial"/>
          <w:color w:val="000000"/>
          <w:sz w:val="18"/>
          <w:szCs w:val="18"/>
          <w:lang w:val="es-CO" w:eastAsia="es-CO"/>
        </w:rPr>
        <w:t xml:space="preserve"> de Salud</w:t>
      </w:r>
    </w:p>
    <w:p w14:paraId="40CC4AEB" w14:textId="77777777" w:rsidR="00E4176E" w:rsidRPr="00A76485" w:rsidRDefault="00E4176E" w:rsidP="00492D77">
      <w:pPr>
        <w:pStyle w:val="Sinespaciado"/>
        <w:contextualSpacing/>
        <w:jc w:val="both"/>
        <w:rPr>
          <w:rFonts w:ascii="Arial" w:hAnsi="Arial" w:cs="Arial"/>
          <w:sz w:val="21"/>
          <w:szCs w:val="21"/>
        </w:rPr>
      </w:pPr>
    </w:p>
    <w:p w14:paraId="7863009F" w14:textId="77777777" w:rsidR="00B53AC8" w:rsidRPr="00A76485" w:rsidRDefault="00B53AC8" w:rsidP="00492D77">
      <w:pPr>
        <w:pStyle w:val="Sinespaciado"/>
        <w:contextualSpacing/>
        <w:jc w:val="both"/>
        <w:rPr>
          <w:rFonts w:ascii="Arial" w:eastAsia="Calibri" w:hAnsi="Arial" w:cs="Arial"/>
          <w:sz w:val="21"/>
          <w:szCs w:val="21"/>
        </w:rPr>
      </w:pPr>
      <w:r w:rsidRPr="00A76485">
        <w:rPr>
          <w:rFonts w:ascii="Arial" w:hAnsi="Arial" w:cs="Arial"/>
          <w:sz w:val="21"/>
          <w:szCs w:val="21"/>
        </w:rPr>
        <w:t xml:space="preserve">En cuanto a la cantidad de procesos judiciales y el monto estimado de las pretensiones, se pudo verificar que </w:t>
      </w:r>
      <w:r w:rsidRPr="00A76485">
        <w:rPr>
          <w:rFonts w:ascii="Arial" w:eastAsia="Calibri" w:hAnsi="Arial" w:cs="Arial"/>
          <w:sz w:val="21"/>
          <w:szCs w:val="21"/>
        </w:rPr>
        <w:t>se tiene constituido el fondo de contingencias, sin embargo, no es exclusivo para el sector salud, sino que los recursos asignados ($1.133 millones programados en el presupuesto 2023) son para toda la administración, situación que genera</w:t>
      </w:r>
      <w:r w:rsidRPr="00A76485">
        <w:rPr>
          <w:rFonts w:ascii="Arial" w:hAnsi="Arial" w:cs="Arial"/>
          <w:sz w:val="21"/>
          <w:szCs w:val="21"/>
        </w:rPr>
        <w:t xml:space="preserve"> un</w:t>
      </w:r>
      <w:r w:rsidRPr="00A76485">
        <w:rPr>
          <w:rFonts w:ascii="Arial" w:eastAsia="Calibri" w:hAnsi="Arial" w:cs="Arial"/>
          <w:sz w:val="21"/>
          <w:szCs w:val="21"/>
        </w:rPr>
        <w:t xml:space="preserve"> alto riesgo en las finanzas de la Entidad</w:t>
      </w:r>
      <w:r w:rsidR="00733543">
        <w:rPr>
          <w:rFonts w:ascii="Arial" w:eastAsia="Calibri" w:hAnsi="Arial" w:cs="Arial"/>
          <w:sz w:val="21"/>
          <w:szCs w:val="21"/>
        </w:rPr>
        <w:t>.</w:t>
      </w:r>
    </w:p>
    <w:p w14:paraId="091BB925" w14:textId="77777777" w:rsidR="00B53AC8" w:rsidRPr="00A76485" w:rsidRDefault="00B53AC8" w:rsidP="00492D77">
      <w:pPr>
        <w:pStyle w:val="Sinespaciado"/>
        <w:contextualSpacing/>
        <w:jc w:val="both"/>
        <w:rPr>
          <w:rFonts w:ascii="Arial" w:eastAsia="MS Mincho" w:hAnsi="Arial" w:cs="Arial"/>
          <w:bCs/>
          <w:sz w:val="21"/>
          <w:szCs w:val="21"/>
          <w:lang w:val="es-ES" w:eastAsia="es-ES"/>
        </w:rPr>
      </w:pPr>
    </w:p>
    <w:p w14:paraId="079A6AC8" w14:textId="77777777" w:rsidR="00B53AC8" w:rsidRPr="00A76485" w:rsidRDefault="00B53AC8" w:rsidP="00492D77">
      <w:pPr>
        <w:pStyle w:val="Sinespaciado"/>
        <w:contextualSpacing/>
        <w:jc w:val="both"/>
        <w:rPr>
          <w:rFonts w:ascii="Arial" w:eastAsia="MS Mincho" w:hAnsi="Arial" w:cs="Arial"/>
          <w:bCs/>
          <w:sz w:val="21"/>
          <w:szCs w:val="21"/>
          <w:lang w:val="es-ES" w:eastAsia="es-ES"/>
        </w:rPr>
      </w:pPr>
      <w:r w:rsidRPr="00A76485">
        <w:rPr>
          <w:rFonts w:ascii="Arial" w:eastAsia="MS Mincho" w:hAnsi="Arial" w:cs="Arial"/>
          <w:bCs/>
          <w:sz w:val="21"/>
          <w:szCs w:val="21"/>
          <w:lang w:val="es-ES" w:eastAsia="es-ES"/>
        </w:rPr>
        <w:lastRenderedPageBreak/>
        <w:t>Por otra parte, se adjuntó certificación de la Tesorería del Distrito en la que se informa que no existen embargos a las Cuentas Maestras del Sector Salud.</w:t>
      </w:r>
    </w:p>
    <w:p w14:paraId="49FF1FD2" w14:textId="77777777" w:rsidR="00B53AC8" w:rsidRPr="00A76485" w:rsidRDefault="00B53AC8" w:rsidP="00492D77">
      <w:pPr>
        <w:pStyle w:val="Sinespaciado"/>
        <w:contextualSpacing/>
        <w:jc w:val="both"/>
        <w:rPr>
          <w:rFonts w:ascii="Arial" w:eastAsia="MS Mincho" w:hAnsi="Arial" w:cs="Arial"/>
          <w:bCs/>
          <w:sz w:val="21"/>
          <w:szCs w:val="21"/>
          <w:lang w:val="es-ES" w:eastAsia="es-ES"/>
        </w:rPr>
      </w:pPr>
    </w:p>
    <w:p w14:paraId="5B7498B9" w14:textId="77777777" w:rsidR="00B53AC8" w:rsidRPr="00A76485" w:rsidRDefault="00B53AC8" w:rsidP="00492D77">
      <w:pPr>
        <w:contextualSpacing/>
        <w:jc w:val="both"/>
        <w:rPr>
          <w:rFonts w:ascii="Arial" w:hAnsi="Arial" w:cs="Arial"/>
          <w:b/>
          <w:sz w:val="21"/>
          <w:szCs w:val="21"/>
        </w:rPr>
      </w:pPr>
      <w:r w:rsidRPr="00A76485">
        <w:rPr>
          <w:rFonts w:ascii="Arial" w:hAnsi="Arial" w:cs="Arial"/>
          <w:b/>
          <w:sz w:val="21"/>
          <w:szCs w:val="21"/>
        </w:rPr>
        <w:t>4.2 Metodología probabilidad de fallo.</w:t>
      </w:r>
    </w:p>
    <w:p w14:paraId="2313DE74" w14:textId="77777777" w:rsidR="00B53AC8" w:rsidRPr="00A76485" w:rsidRDefault="00B53AC8" w:rsidP="00492D77">
      <w:pPr>
        <w:autoSpaceDE w:val="0"/>
        <w:autoSpaceDN w:val="0"/>
        <w:adjustRightInd w:val="0"/>
        <w:contextualSpacing/>
        <w:rPr>
          <w:rFonts w:ascii="Arial" w:hAnsi="Arial" w:cs="Arial"/>
          <w:b/>
          <w:sz w:val="21"/>
          <w:szCs w:val="21"/>
        </w:rPr>
      </w:pPr>
    </w:p>
    <w:p w14:paraId="4C49DB89" w14:textId="77777777" w:rsidR="00B53AC8" w:rsidRPr="00A76485" w:rsidRDefault="00B53AC8" w:rsidP="00492D77">
      <w:pPr>
        <w:jc w:val="both"/>
        <w:rPr>
          <w:rFonts w:ascii="Arial" w:hAnsi="Arial" w:cs="Arial"/>
          <w:bCs/>
          <w:sz w:val="21"/>
          <w:szCs w:val="21"/>
        </w:rPr>
      </w:pPr>
      <w:r w:rsidRPr="00A76485">
        <w:rPr>
          <w:rFonts w:ascii="Arial" w:hAnsi="Arial" w:cs="Arial"/>
          <w:bCs/>
          <w:sz w:val="21"/>
          <w:szCs w:val="21"/>
        </w:rPr>
        <w:t xml:space="preserve">En cuanto a la metodología utilizada para determinar la probabilidad de fallo de los procesos judiciales, la Entidad envía la </w:t>
      </w:r>
      <w:r w:rsidR="00733543">
        <w:rPr>
          <w:rFonts w:ascii="Arial" w:hAnsi="Arial" w:cs="Arial"/>
          <w:bCs/>
          <w:sz w:val="21"/>
          <w:szCs w:val="21"/>
        </w:rPr>
        <w:t>R</w:t>
      </w:r>
      <w:r w:rsidRPr="00A76485">
        <w:rPr>
          <w:rFonts w:ascii="Arial" w:hAnsi="Arial" w:cs="Arial"/>
          <w:bCs/>
          <w:sz w:val="21"/>
          <w:szCs w:val="21"/>
        </w:rPr>
        <w:t>esolución No</w:t>
      </w:r>
      <w:r w:rsidR="00733543">
        <w:rPr>
          <w:rFonts w:ascii="Arial" w:hAnsi="Arial" w:cs="Arial"/>
          <w:bCs/>
          <w:sz w:val="21"/>
          <w:szCs w:val="21"/>
        </w:rPr>
        <w:t>.</w:t>
      </w:r>
      <w:r w:rsidRPr="00A76485">
        <w:rPr>
          <w:rFonts w:ascii="Arial" w:hAnsi="Arial" w:cs="Arial"/>
          <w:bCs/>
          <w:sz w:val="21"/>
          <w:szCs w:val="21"/>
        </w:rPr>
        <w:t xml:space="preserve"> 7116 del 19 de diciembre de 2019 “</w:t>
      </w:r>
      <w:r w:rsidRPr="00733543">
        <w:rPr>
          <w:rFonts w:ascii="Arial" w:hAnsi="Arial" w:cs="Arial"/>
          <w:bCs/>
          <w:i/>
          <w:iCs/>
          <w:sz w:val="21"/>
          <w:szCs w:val="21"/>
        </w:rPr>
        <w:t xml:space="preserve">Por </w:t>
      </w:r>
      <w:r w:rsidR="00733543">
        <w:rPr>
          <w:rFonts w:ascii="Arial" w:hAnsi="Arial" w:cs="Arial"/>
          <w:bCs/>
          <w:i/>
          <w:iCs/>
          <w:sz w:val="21"/>
          <w:szCs w:val="21"/>
        </w:rPr>
        <w:t>l</w:t>
      </w:r>
      <w:r w:rsidRPr="00733543">
        <w:rPr>
          <w:rFonts w:ascii="Arial" w:hAnsi="Arial" w:cs="Arial"/>
          <w:bCs/>
          <w:i/>
          <w:iCs/>
          <w:sz w:val="21"/>
          <w:szCs w:val="21"/>
        </w:rPr>
        <w:t xml:space="preserve">a </w:t>
      </w:r>
      <w:r w:rsidR="00733543">
        <w:rPr>
          <w:rFonts w:ascii="Arial" w:hAnsi="Arial" w:cs="Arial"/>
          <w:bCs/>
          <w:i/>
          <w:iCs/>
          <w:sz w:val="21"/>
          <w:szCs w:val="21"/>
        </w:rPr>
        <w:t>c</w:t>
      </w:r>
      <w:r w:rsidRPr="00733543">
        <w:rPr>
          <w:rFonts w:ascii="Arial" w:hAnsi="Arial" w:cs="Arial"/>
          <w:bCs/>
          <w:i/>
          <w:iCs/>
          <w:sz w:val="21"/>
          <w:szCs w:val="21"/>
        </w:rPr>
        <w:t xml:space="preserve">ual </w:t>
      </w:r>
      <w:r w:rsidR="00733543">
        <w:rPr>
          <w:rFonts w:ascii="Arial" w:hAnsi="Arial" w:cs="Arial"/>
          <w:bCs/>
          <w:i/>
          <w:iCs/>
          <w:sz w:val="21"/>
          <w:szCs w:val="21"/>
        </w:rPr>
        <w:t>s</w:t>
      </w:r>
      <w:r w:rsidRPr="00733543">
        <w:rPr>
          <w:rFonts w:ascii="Arial" w:hAnsi="Arial" w:cs="Arial"/>
          <w:bCs/>
          <w:i/>
          <w:iCs/>
          <w:sz w:val="21"/>
          <w:szCs w:val="21"/>
        </w:rPr>
        <w:t xml:space="preserve">e </w:t>
      </w:r>
      <w:r w:rsidR="00733543">
        <w:rPr>
          <w:rFonts w:ascii="Arial" w:hAnsi="Arial" w:cs="Arial"/>
          <w:bCs/>
          <w:i/>
          <w:iCs/>
          <w:sz w:val="21"/>
          <w:szCs w:val="21"/>
        </w:rPr>
        <w:t>a</w:t>
      </w:r>
      <w:r w:rsidRPr="00733543">
        <w:rPr>
          <w:rFonts w:ascii="Arial" w:hAnsi="Arial" w:cs="Arial"/>
          <w:bCs/>
          <w:i/>
          <w:iCs/>
          <w:sz w:val="21"/>
          <w:szCs w:val="21"/>
        </w:rPr>
        <w:t xml:space="preserve">dopta </w:t>
      </w:r>
      <w:r w:rsidR="00733543">
        <w:rPr>
          <w:rFonts w:ascii="Arial" w:hAnsi="Arial" w:cs="Arial"/>
          <w:bCs/>
          <w:i/>
          <w:iCs/>
          <w:sz w:val="21"/>
          <w:szCs w:val="21"/>
        </w:rPr>
        <w:t>l</w:t>
      </w:r>
      <w:r w:rsidRPr="00733543">
        <w:rPr>
          <w:rFonts w:ascii="Arial" w:hAnsi="Arial" w:cs="Arial"/>
          <w:bCs/>
          <w:i/>
          <w:iCs/>
          <w:sz w:val="21"/>
          <w:szCs w:val="21"/>
        </w:rPr>
        <w:t xml:space="preserve">a </w:t>
      </w:r>
      <w:r w:rsidR="00733543">
        <w:rPr>
          <w:rFonts w:ascii="Arial" w:hAnsi="Arial" w:cs="Arial"/>
          <w:bCs/>
          <w:i/>
          <w:iCs/>
          <w:sz w:val="21"/>
          <w:szCs w:val="21"/>
        </w:rPr>
        <w:t>p</w:t>
      </w:r>
      <w:r w:rsidRPr="00733543">
        <w:rPr>
          <w:rFonts w:ascii="Arial" w:hAnsi="Arial" w:cs="Arial"/>
          <w:bCs/>
          <w:i/>
          <w:iCs/>
          <w:sz w:val="21"/>
          <w:szCs w:val="21"/>
        </w:rPr>
        <w:t xml:space="preserve">olítica de </w:t>
      </w:r>
      <w:r w:rsidR="00733543">
        <w:rPr>
          <w:rFonts w:ascii="Arial" w:hAnsi="Arial" w:cs="Arial"/>
          <w:bCs/>
          <w:i/>
          <w:iCs/>
          <w:sz w:val="21"/>
          <w:szCs w:val="21"/>
        </w:rPr>
        <w:t>p</w:t>
      </w:r>
      <w:r w:rsidRPr="00733543">
        <w:rPr>
          <w:rFonts w:ascii="Arial" w:hAnsi="Arial" w:cs="Arial"/>
          <w:bCs/>
          <w:i/>
          <w:iCs/>
          <w:sz w:val="21"/>
          <w:szCs w:val="21"/>
        </w:rPr>
        <w:t xml:space="preserve">revención </w:t>
      </w:r>
      <w:r w:rsidR="00733543">
        <w:rPr>
          <w:rFonts w:ascii="Arial" w:hAnsi="Arial" w:cs="Arial"/>
          <w:bCs/>
          <w:i/>
          <w:iCs/>
          <w:sz w:val="21"/>
          <w:szCs w:val="21"/>
        </w:rPr>
        <w:t>d</w:t>
      </w:r>
      <w:r w:rsidRPr="00733543">
        <w:rPr>
          <w:rFonts w:ascii="Arial" w:hAnsi="Arial" w:cs="Arial"/>
          <w:bCs/>
          <w:i/>
          <w:iCs/>
          <w:sz w:val="21"/>
          <w:szCs w:val="21"/>
        </w:rPr>
        <w:t xml:space="preserve">el </w:t>
      </w:r>
      <w:r w:rsidR="00733543">
        <w:rPr>
          <w:rFonts w:ascii="Arial" w:hAnsi="Arial" w:cs="Arial"/>
          <w:bCs/>
          <w:i/>
          <w:iCs/>
          <w:sz w:val="21"/>
          <w:szCs w:val="21"/>
        </w:rPr>
        <w:t>d</w:t>
      </w:r>
      <w:r w:rsidRPr="00733543">
        <w:rPr>
          <w:rFonts w:ascii="Arial" w:hAnsi="Arial" w:cs="Arial"/>
          <w:bCs/>
          <w:i/>
          <w:iCs/>
          <w:sz w:val="21"/>
          <w:szCs w:val="21"/>
        </w:rPr>
        <w:t xml:space="preserve">año </w:t>
      </w:r>
      <w:r w:rsidR="00733543">
        <w:rPr>
          <w:rFonts w:ascii="Arial" w:hAnsi="Arial" w:cs="Arial"/>
          <w:bCs/>
          <w:i/>
          <w:iCs/>
          <w:sz w:val="21"/>
          <w:szCs w:val="21"/>
        </w:rPr>
        <w:t>a</w:t>
      </w:r>
      <w:r w:rsidRPr="00733543">
        <w:rPr>
          <w:rFonts w:ascii="Arial" w:hAnsi="Arial" w:cs="Arial"/>
          <w:bCs/>
          <w:i/>
          <w:iCs/>
          <w:sz w:val="21"/>
          <w:szCs w:val="21"/>
        </w:rPr>
        <w:t xml:space="preserve">ntijurídico </w:t>
      </w:r>
      <w:r w:rsidR="00733543">
        <w:rPr>
          <w:rFonts w:ascii="Arial" w:hAnsi="Arial" w:cs="Arial"/>
          <w:bCs/>
          <w:i/>
          <w:iCs/>
          <w:sz w:val="21"/>
          <w:szCs w:val="21"/>
        </w:rPr>
        <w:t>d</w:t>
      </w:r>
      <w:r w:rsidRPr="00733543">
        <w:rPr>
          <w:rFonts w:ascii="Arial" w:hAnsi="Arial" w:cs="Arial"/>
          <w:bCs/>
          <w:i/>
          <w:iCs/>
          <w:sz w:val="21"/>
          <w:szCs w:val="21"/>
        </w:rPr>
        <w:t xml:space="preserve">el Distrito </w:t>
      </w:r>
      <w:r w:rsidR="00733543">
        <w:rPr>
          <w:rFonts w:ascii="Arial" w:hAnsi="Arial" w:cs="Arial"/>
          <w:bCs/>
          <w:i/>
          <w:iCs/>
          <w:sz w:val="21"/>
          <w:szCs w:val="21"/>
        </w:rPr>
        <w:t>d</w:t>
      </w:r>
      <w:r w:rsidRPr="00733543">
        <w:rPr>
          <w:rFonts w:ascii="Arial" w:hAnsi="Arial" w:cs="Arial"/>
          <w:bCs/>
          <w:i/>
          <w:iCs/>
          <w:sz w:val="21"/>
          <w:szCs w:val="21"/>
        </w:rPr>
        <w:t>e Santa Marta</w:t>
      </w:r>
      <w:r w:rsidRPr="00A76485">
        <w:rPr>
          <w:rFonts w:ascii="Arial" w:hAnsi="Arial" w:cs="Arial"/>
          <w:bCs/>
          <w:sz w:val="21"/>
          <w:szCs w:val="21"/>
        </w:rPr>
        <w:t xml:space="preserve">” en la que se pudo verificar que la metodología está ajustada a las recomendaciones dadas por la </w:t>
      </w:r>
      <w:r w:rsidR="00ED2DF4">
        <w:rPr>
          <w:rFonts w:ascii="Arial" w:hAnsi="Arial" w:cs="Arial"/>
          <w:bCs/>
          <w:sz w:val="21"/>
          <w:szCs w:val="21"/>
        </w:rPr>
        <w:t>A</w:t>
      </w:r>
      <w:r w:rsidRPr="00A76485">
        <w:rPr>
          <w:rFonts w:ascii="Arial" w:hAnsi="Arial" w:cs="Arial"/>
          <w:bCs/>
          <w:sz w:val="21"/>
          <w:szCs w:val="21"/>
        </w:rPr>
        <w:t xml:space="preserve">gencia </w:t>
      </w:r>
      <w:r w:rsidR="00ED2DF4">
        <w:rPr>
          <w:rFonts w:ascii="Arial" w:hAnsi="Arial" w:cs="Arial"/>
          <w:bCs/>
          <w:sz w:val="21"/>
          <w:szCs w:val="21"/>
        </w:rPr>
        <w:t>N</w:t>
      </w:r>
      <w:r w:rsidRPr="00A76485">
        <w:rPr>
          <w:rFonts w:ascii="Arial" w:hAnsi="Arial" w:cs="Arial"/>
          <w:bCs/>
          <w:sz w:val="21"/>
          <w:szCs w:val="21"/>
        </w:rPr>
        <w:t xml:space="preserve">acional de </w:t>
      </w:r>
      <w:r w:rsidR="00ED2DF4">
        <w:rPr>
          <w:rFonts w:ascii="Arial" w:hAnsi="Arial" w:cs="Arial"/>
          <w:bCs/>
          <w:sz w:val="21"/>
          <w:szCs w:val="21"/>
        </w:rPr>
        <w:t>D</w:t>
      </w:r>
      <w:r w:rsidRPr="00A76485">
        <w:rPr>
          <w:rFonts w:ascii="Arial" w:hAnsi="Arial" w:cs="Arial"/>
          <w:bCs/>
          <w:sz w:val="21"/>
          <w:szCs w:val="21"/>
        </w:rPr>
        <w:t xml:space="preserve">efensa </w:t>
      </w:r>
      <w:r w:rsidR="00ED2DF4">
        <w:rPr>
          <w:rFonts w:ascii="Arial" w:hAnsi="Arial" w:cs="Arial"/>
          <w:bCs/>
          <w:sz w:val="21"/>
          <w:szCs w:val="21"/>
        </w:rPr>
        <w:t>J</w:t>
      </w:r>
      <w:r w:rsidRPr="00A76485">
        <w:rPr>
          <w:rFonts w:ascii="Arial" w:hAnsi="Arial" w:cs="Arial"/>
          <w:bCs/>
          <w:sz w:val="21"/>
          <w:szCs w:val="21"/>
        </w:rPr>
        <w:t xml:space="preserve">urídica del </w:t>
      </w:r>
      <w:r w:rsidR="00ED2DF4">
        <w:rPr>
          <w:rFonts w:ascii="Arial" w:hAnsi="Arial" w:cs="Arial"/>
          <w:bCs/>
          <w:sz w:val="21"/>
          <w:szCs w:val="21"/>
        </w:rPr>
        <w:t>E</w:t>
      </w:r>
      <w:r w:rsidRPr="00A76485">
        <w:rPr>
          <w:rFonts w:ascii="Arial" w:hAnsi="Arial" w:cs="Arial"/>
          <w:bCs/>
          <w:sz w:val="21"/>
          <w:szCs w:val="21"/>
        </w:rPr>
        <w:t xml:space="preserve">stado.     </w:t>
      </w:r>
    </w:p>
    <w:p w14:paraId="4877F6FA" w14:textId="77777777" w:rsidR="003D7662" w:rsidRPr="00A76485" w:rsidRDefault="003D7662" w:rsidP="00492D77">
      <w:pPr>
        <w:jc w:val="both"/>
        <w:rPr>
          <w:rFonts w:ascii="Arial" w:hAnsi="Arial" w:cs="Arial"/>
          <w:sz w:val="22"/>
          <w:szCs w:val="22"/>
          <w:lang w:val="es-CO"/>
        </w:rPr>
      </w:pPr>
    </w:p>
    <w:p w14:paraId="3D4AB75A" w14:textId="77777777" w:rsidR="00B53AC8" w:rsidRPr="00A76485" w:rsidRDefault="00B53AC8" w:rsidP="00492D77">
      <w:pPr>
        <w:pStyle w:val="Ttulo1"/>
        <w:numPr>
          <w:ilvl w:val="0"/>
          <w:numId w:val="1"/>
        </w:numPr>
        <w:spacing w:before="0"/>
        <w:jc w:val="both"/>
        <w:rPr>
          <w:rFonts w:ascii="Arial" w:hAnsi="Arial" w:cs="Arial"/>
          <w:b/>
          <w:color w:val="auto"/>
          <w:sz w:val="22"/>
          <w:szCs w:val="22"/>
          <w:lang w:val="es-CO"/>
        </w:rPr>
      </w:pPr>
      <w:r w:rsidRPr="00A76485">
        <w:rPr>
          <w:rFonts w:ascii="Arial" w:hAnsi="Arial" w:cs="Arial"/>
          <w:b/>
          <w:color w:val="auto"/>
          <w:sz w:val="22"/>
          <w:szCs w:val="22"/>
          <w:lang w:val="es-CO"/>
        </w:rPr>
        <w:t xml:space="preserve">EVENTOS DE RIESGO IDENTIFICADOS </w:t>
      </w:r>
    </w:p>
    <w:p w14:paraId="7668CC10" w14:textId="77777777" w:rsidR="00B53AC8" w:rsidRPr="00A76485" w:rsidRDefault="00B53AC8" w:rsidP="00492D77">
      <w:pPr>
        <w:pStyle w:val="Prrafodelista"/>
        <w:ind w:left="1080"/>
        <w:jc w:val="both"/>
        <w:rPr>
          <w:rFonts w:ascii="Arial" w:eastAsia="Arial Narrow" w:hAnsi="Arial" w:cs="Arial"/>
          <w:color w:val="000000" w:themeColor="text1"/>
          <w:sz w:val="21"/>
          <w:szCs w:val="21"/>
          <w:lang w:val="es-CO" w:eastAsia="en-US"/>
        </w:rPr>
      </w:pPr>
    </w:p>
    <w:p w14:paraId="2D696FE2" w14:textId="77777777" w:rsidR="00653CDD" w:rsidRPr="00A76485" w:rsidRDefault="00653CDD" w:rsidP="00492D77">
      <w:pPr>
        <w:contextualSpacing/>
        <w:jc w:val="both"/>
        <w:rPr>
          <w:rFonts w:ascii="Arial" w:hAnsi="Arial" w:cs="Arial"/>
          <w:bCs/>
          <w:sz w:val="21"/>
          <w:szCs w:val="21"/>
        </w:rPr>
      </w:pPr>
      <w:r w:rsidRPr="00A76485">
        <w:rPr>
          <w:rFonts w:ascii="Arial" w:eastAsia="Arial Narrow" w:hAnsi="Arial" w:cs="Arial"/>
          <w:b/>
          <w:bCs/>
          <w:color w:val="000000" w:themeColor="text1"/>
          <w:sz w:val="20"/>
          <w:szCs w:val="20"/>
          <w:lang w:val="es-CO" w:eastAsia="en-US"/>
        </w:rPr>
        <w:t>EVENTO DE RIESGO 9.</w:t>
      </w:r>
      <w:r w:rsidR="006C434D">
        <w:rPr>
          <w:rFonts w:ascii="Arial" w:eastAsia="Arial Narrow" w:hAnsi="Arial" w:cs="Arial"/>
          <w:b/>
          <w:bCs/>
          <w:color w:val="000000" w:themeColor="text1"/>
          <w:sz w:val="20"/>
          <w:szCs w:val="20"/>
          <w:lang w:val="es-CO" w:eastAsia="en-US"/>
        </w:rPr>
        <w:t>1.</w:t>
      </w:r>
      <w:r w:rsidRPr="00A76485">
        <w:rPr>
          <w:rFonts w:ascii="Arial" w:eastAsia="Arial Narrow" w:hAnsi="Arial" w:cs="Arial"/>
          <w:b/>
          <w:bCs/>
          <w:color w:val="000000" w:themeColor="text1"/>
          <w:sz w:val="20"/>
          <w:szCs w:val="20"/>
          <w:lang w:val="es-CO" w:eastAsia="en-US"/>
        </w:rPr>
        <w:t xml:space="preserve"> </w:t>
      </w:r>
      <w:r w:rsidR="006C434D" w:rsidRPr="00472B0F">
        <w:rPr>
          <w:rFonts w:ascii="Arial" w:eastAsia="Arial Narrow" w:hAnsi="Arial" w:cs="Arial"/>
          <w:b/>
          <w:bCs/>
          <w:i/>
          <w:color w:val="000000" w:themeColor="text1"/>
          <w:sz w:val="20"/>
          <w:szCs w:val="20"/>
          <w:lang w:val="es-CO" w:eastAsia="en-US"/>
        </w:rPr>
        <w:t>“No envío de información conforme a los plazos, condiciones y formatos indicados por el Gobierno Nacional, y/o haber remitido o entregado información incompleta o errónea</w:t>
      </w:r>
      <w:r w:rsidR="006C434D" w:rsidRPr="006C434D">
        <w:rPr>
          <w:rFonts w:ascii="Arial" w:eastAsia="Arial Narrow" w:hAnsi="Arial" w:cs="Arial"/>
          <w:b/>
          <w:bCs/>
          <w:color w:val="000000" w:themeColor="text1"/>
          <w:sz w:val="20"/>
          <w:szCs w:val="20"/>
          <w:lang w:val="es-CO" w:eastAsia="en-US"/>
        </w:rPr>
        <w:t>.</w:t>
      </w:r>
    </w:p>
    <w:p w14:paraId="40F6047F" w14:textId="77777777" w:rsidR="003D3D8F" w:rsidRDefault="003D3D8F" w:rsidP="00492D77">
      <w:pPr>
        <w:contextualSpacing/>
        <w:jc w:val="both"/>
        <w:rPr>
          <w:rFonts w:ascii="Arial" w:hAnsi="Arial" w:cs="Arial"/>
          <w:bCs/>
          <w:sz w:val="21"/>
          <w:szCs w:val="21"/>
        </w:rPr>
      </w:pPr>
    </w:p>
    <w:p w14:paraId="39175C58" w14:textId="77777777" w:rsidR="00653CDD" w:rsidRPr="00A76485" w:rsidRDefault="00653CDD" w:rsidP="00492D77">
      <w:pPr>
        <w:contextualSpacing/>
        <w:jc w:val="both"/>
        <w:rPr>
          <w:rFonts w:ascii="Arial" w:hAnsi="Arial" w:cs="Arial"/>
          <w:bCs/>
          <w:sz w:val="21"/>
          <w:szCs w:val="21"/>
        </w:rPr>
      </w:pPr>
      <w:r w:rsidRPr="00A76485">
        <w:rPr>
          <w:rFonts w:ascii="Arial" w:hAnsi="Arial" w:cs="Arial"/>
          <w:bCs/>
          <w:sz w:val="21"/>
          <w:szCs w:val="21"/>
        </w:rPr>
        <w:t xml:space="preserve">De acuerdo con el artículo 22 del Decreto 028 de 2008, es deber de las entidades territoriales suministrar la información que los diferentes responsables institucionales requieran en aplicación de la Estrategia de Monitoreo, Seguimiento y Control Integral al uso de los recursos del Sistema general de Participaciones establecida en el mismo Decreto. </w:t>
      </w:r>
    </w:p>
    <w:p w14:paraId="503E7E80" w14:textId="77777777" w:rsidR="00B53AC8" w:rsidRPr="00A76485" w:rsidRDefault="00B53AC8" w:rsidP="00492D77">
      <w:pPr>
        <w:pStyle w:val="Default"/>
        <w:contextualSpacing/>
        <w:jc w:val="both"/>
        <w:rPr>
          <w:rFonts w:eastAsia="MS Mincho"/>
          <w:bCs/>
          <w:color w:val="auto"/>
          <w:sz w:val="21"/>
          <w:szCs w:val="21"/>
          <w:lang w:val="es-ES" w:eastAsia="es-ES"/>
        </w:rPr>
      </w:pPr>
    </w:p>
    <w:p w14:paraId="0887C8DF" w14:textId="77777777" w:rsidR="006C434D" w:rsidRPr="00472B0F" w:rsidRDefault="00653CDD" w:rsidP="00327195">
      <w:pPr>
        <w:contextualSpacing/>
        <w:jc w:val="both"/>
        <w:rPr>
          <w:rFonts w:ascii="Arial" w:hAnsi="Arial" w:cs="Arial"/>
          <w:sz w:val="21"/>
          <w:szCs w:val="21"/>
        </w:rPr>
      </w:pPr>
      <w:r w:rsidRPr="00A76485">
        <w:rPr>
          <w:rFonts w:ascii="Arial" w:hAnsi="Arial" w:cs="Arial"/>
          <w:bCs/>
          <w:sz w:val="21"/>
          <w:szCs w:val="21"/>
        </w:rPr>
        <w:t xml:space="preserve">En virtud de lo anterior y en ejercicio de sus competencias, la Dirección General de Apoyo Fiscal solicitó al Distrito de Santa Marta información sectorial mediante oficio con radicado </w:t>
      </w:r>
      <w:r w:rsidR="003E0ECD" w:rsidRPr="00A76485">
        <w:rPr>
          <w:rFonts w:ascii="Arial" w:hAnsi="Arial" w:cs="Arial"/>
          <w:bCs/>
          <w:sz w:val="21"/>
          <w:szCs w:val="21"/>
        </w:rPr>
        <w:t>2-2023- 013314;</w:t>
      </w:r>
      <w:r w:rsidRPr="00A76485">
        <w:rPr>
          <w:rFonts w:ascii="Arial" w:hAnsi="Arial" w:cs="Arial"/>
          <w:bCs/>
          <w:sz w:val="21"/>
          <w:szCs w:val="21"/>
        </w:rPr>
        <w:t xml:space="preserve"> </w:t>
      </w:r>
      <w:r w:rsidR="00CE5F47">
        <w:rPr>
          <w:rFonts w:ascii="Arial" w:hAnsi="Arial" w:cs="Arial"/>
          <w:bCs/>
          <w:sz w:val="21"/>
          <w:szCs w:val="21"/>
        </w:rPr>
        <w:t>cuyo punto 16 requirió “</w:t>
      </w:r>
      <w:r w:rsidR="00CE5F47" w:rsidRPr="00854591">
        <w:rPr>
          <w:rFonts w:ascii="Arial" w:hAnsi="Arial" w:cs="Arial"/>
          <w:bCs/>
          <w:i/>
          <w:iCs/>
          <w:sz w:val="21"/>
          <w:szCs w:val="21"/>
        </w:rPr>
        <w:t>[…] los procesos y los productos esperados a su nivel de</w:t>
      </w:r>
      <w:r w:rsidR="00CE5F47" w:rsidRPr="00854591">
        <w:rPr>
          <w:rFonts w:ascii="Arial" w:hAnsi="Arial" w:cs="Arial"/>
          <w:i/>
          <w:iCs/>
          <w:sz w:val="21"/>
          <w:szCs w:val="21"/>
        </w:rPr>
        <w:t xml:space="preserve"> gobierno con base en el documento técnico expedido por el MSPS "Directrices para la caracterización y ejecución de los procesos para la Gestión de la Salud Pública en el contexto de la Política de Atención Integral en Salud"</w:t>
      </w:r>
      <w:r w:rsidR="00CE5F47">
        <w:rPr>
          <w:rFonts w:ascii="Arial" w:hAnsi="Arial" w:cs="Arial"/>
          <w:i/>
          <w:iCs/>
          <w:sz w:val="21"/>
          <w:szCs w:val="21"/>
        </w:rPr>
        <w:t xml:space="preserve">. </w:t>
      </w:r>
      <w:r w:rsidR="00CE5F47" w:rsidRPr="00A76485">
        <w:rPr>
          <w:rFonts w:ascii="Arial" w:hAnsi="Arial" w:cs="Arial"/>
          <w:i/>
          <w:sz w:val="21"/>
          <w:szCs w:val="21"/>
        </w:rPr>
        <w:t>Recuerde:</w:t>
      </w:r>
      <w:r w:rsidR="00CE5F47">
        <w:rPr>
          <w:rFonts w:ascii="Arial" w:hAnsi="Arial" w:cs="Arial"/>
          <w:i/>
          <w:sz w:val="21"/>
          <w:szCs w:val="21"/>
        </w:rPr>
        <w:t xml:space="preserve"> </w:t>
      </w:r>
      <w:r w:rsidR="00CE5F47" w:rsidRPr="00A76485">
        <w:rPr>
          <w:rFonts w:ascii="Arial" w:hAnsi="Arial" w:cs="Arial"/>
          <w:i/>
          <w:sz w:val="21"/>
          <w:szCs w:val="21"/>
        </w:rPr>
        <w:t>1. Soporte lo escrito con archivos PDF, Excel o Pantallazos anexos.</w:t>
      </w:r>
      <w:r w:rsidR="00CE5F47">
        <w:rPr>
          <w:rFonts w:ascii="Arial" w:hAnsi="Arial" w:cs="Arial"/>
          <w:i/>
          <w:sz w:val="21"/>
          <w:szCs w:val="21"/>
        </w:rPr>
        <w:t xml:space="preserve"> </w:t>
      </w:r>
      <w:r w:rsidR="00CE5F47" w:rsidRPr="00A76485">
        <w:rPr>
          <w:rFonts w:ascii="Arial" w:hAnsi="Arial" w:cs="Arial"/>
          <w:i/>
          <w:sz w:val="21"/>
          <w:szCs w:val="21"/>
        </w:rPr>
        <w:t>2.</w:t>
      </w:r>
      <w:r w:rsidR="00CE5F47">
        <w:rPr>
          <w:rFonts w:ascii="Arial" w:hAnsi="Arial" w:cs="Arial"/>
          <w:i/>
          <w:sz w:val="21"/>
          <w:szCs w:val="21"/>
        </w:rPr>
        <w:t xml:space="preserve"> </w:t>
      </w:r>
      <w:r w:rsidR="00CE5F47" w:rsidRPr="00A76485">
        <w:rPr>
          <w:rFonts w:ascii="Arial" w:hAnsi="Arial" w:cs="Arial"/>
          <w:i/>
          <w:sz w:val="21"/>
          <w:szCs w:val="21"/>
        </w:rPr>
        <w:t xml:space="preserve">relacione las acciones con quien la elabora y el </w:t>
      </w:r>
      <w:proofErr w:type="spellStart"/>
      <w:r w:rsidR="00CE5F47" w:rsidRPr="00A76485">
        <w:rPr>
          <w:rFonts w:ascii="Arial" w:hAnsi="Arial" w:cs="Arial"/>
          <w:i/>
          <w:sz w:val="21"/>
          <w:szCs w:val="21"/>
        </w:rPr>
        <w:t>como</w:t>
      </w:r>
      <w:proofErr w:type="spellEnd"/>
      <w:r w:rsidR="00CE5F47" w:rsidRPr="00A76485">
        <w:rPr>
          <w:rFonts w:ascii="Arial" w:hAnsi="Arial" w:cs="Arial"/>
          <w:i/>
          <w:sz w:val="21"/>
          <w:szCs w:val="21"/>
        </w:rPr>
        <w:t xml:space="preserve">: Ejemplo: Sí es Contrato de Prestación de Servicios deje el link del contrato en el </w:t>
      </w:r>
      <w:proofErr w:type="spellStart"/>
      <w:r w:rsidR="00CE5F47" w:rsidRPr="00A76485">
        <w:rPr>
          <w:rFonts w:ascii="Arial" w:hAnsi="Arial" w:cs="Arial"/>
          <w:i/>
          <w:sz w:val="21"/>
          <w:szCs w:val="21"/>
        </w:rPr>
        <w:t>secop</w:t>
      </w:r>
      <w:proofErr w:type="spellEnd"/>
      <w:r w:rsidR="00CE5F47" w:rsidRPr="00A76485">
        <w:rPr>
          <w:rFonts w:ascii="Arial" w:hAnsi="Arial" w:cs="Arial"/>
          <w:i/>
          <w:sz w:val="21"/>
          <w:szCs w:val="21"/>
        </w:rPr>
        <w:t xml:space="preserve"> II y si lo ejecuta un funcionario el nombre del </w:t>
      </w:r>
      <w:proofErr w:type="gramStart"/>
      <w:r w:rsidR="00CE5F47" w:rsidRPr="00A76485">
        <w:rPr>
          <w:rFonts w:ascii="Arial" w:hAnsi="Arial" w:cs="Arial"/>
          <w:i/>
          <w:sz w:val="21"/>
          <w:szCs w:val="21"/>
        </w:rPr>
        <w:t>Funcionario</w:t>
      </w:r>
      <w:proofErr w:type="gramEnd"/>
      <w:r w:rsidR="00CE5F47">
        <w:rPr>
          <w:rFonts w:ascii="Arial" w:hAnsi="Arial" w:cs="Arial"/>
          <w:i/>
          <w:sz w:val="21"/>
          <w:szCs w:val="21"/>
        </w:rPr>
        <w:t>”;</w:t>
      </w:r>
      <w:r w:rsidR="00472B0F">
        <w:rPr>
          <w:rFonts w:ascii="Arial" w:hAnsi="Arial" w:cs="Arial"/>
          <w:i/>
          <w:sz w:val="21"/>
          <w:szCs w:val="21"/>
        </w:rPr>
        <w:t xml:space="preserve"> </w:t>
      </w:r>
      <w:r w:rsidR="006C434D" w:rsidRPr="00472B0F">
        <w:rPr>
          <w:rFonts w:ascii="Arial" w:hAnsi="Arial" w:cs="Arial"/>
          <w:sz w:val="21"/>
          <w:szCs w:val="21"/>
        </w:rPr>
        <w:t>la cual no fue suministrada en los términos de completitud y calidad requeridas</w:t>
      </w:r>
      <w:r w:rsidR="006C434D" w:rsidRPr="006C434D">
        <w:rPr>
          <w:rFonts w:ascii="Arial" w:hAnsi="Arial" w:cs="Arial"/>
          <w:sz w:val="21"/>
          <w:szCs w:val="21"/>
        </w:rPr>
        <w:t>.</w:t>
      </w:r>
      <w:r w:rsidR="008D0874" w:rsidRPr="00472B0F">
        <w:rPr>
          <w:rFonts w:ascii="Arial" w:hAnsi="Arial" w:cs="Arial"/>
          <w:sz w:val="21"/>
          <w:szCs w:val="21"/>
        </w:rPr>
        <w:t xml:space="preserve"> </w:t>
      </w:r>
    </w:p>
    <w:p w14:paraId="5C31DAB7" w14:textId="77777777" w:rsidR="006C434D" w:rsidRDefault="006C434D" w:rsidP="00327195">
      <w:pPr>
        <w:contextualSpacing/>
        <w:jc w:val="both"/>
        <w:rPr>
          <w:rFonts w:ascii="Arial" w:hAnsi="Arial" w:cs="Arial"/>
          <w:i/>
          <w:sz w:val="21"/>
          <w:szCs w:val="21"/>
        </w:rPr>
      </w:pPr>
    </w:p>
    <w:p w14:paraId="7FA09829" w14:textId="77777777" w:rsidR="00327195" w:rsidRDefault="006C434D" w:rsidP="00327195">
      <w:pPr>
        <w:contextualSpacing/>
        <w:jc w:val="both"/>
        <w:rPr>
          <w:rStyle w:val="contentpasted0"/>
          <w:rFonts w:ascii="Arial" w:hAnsi="Arial" w:cs="Arial"/>
          <w:color w:val="000000"/>
          <w:sz w:val="21"/>
          <w:szCs w:val="21"/>
        </w:rPr>
      </w:pPr>
      <w:r w:rsidRPr="00472B0F">
        <w:rPr>
          <w:rFonts w:ascii="Arial" w:hAnsi="Arial" w:cs="Arial"/>
          <w:sz w:val="21"/>
          <w:szCs w:val="21"/>
        </w:rPr>
        <w:t>Posteriormente, en el marco de la visita institucional efectuada, se procede con la explicación a la entidad territorial de la información requerida</w:t>
      </w:r>
      <w:r w:rsidRPr="006C434D">
        <w:rPr>
          <w:rFonts w:ascii="Arial" w:hAnsi="Arial" w:cs="Arial"/>
          <w:sz w:val="21"/>
          <w:szCs w:val="21"/>
        </w:rPr>
        <w:t>.</w:t>
      </w:r>
      <w:r>
        <w:rPr>
          <w:rFonts w:ascii="Arial" w:hAnsi="Arial" w:cs="Arial"/>
          <w:sz w:val="21"/>
          <w:szCs w:val="21"/>
        </w:rPr>
        <w:t xml:space="preserve"> </w:t>
      </w:r>
      <w:r w:rsidRPr="00472B0F">
        <w:rPr>
          <w:rFonts w:ascii="Arial" w:hAnsi="Arial" w:cs="Arial"/>
          <w:sz w:val="21"/>
          <w:szCs w:val="21"/>
        </w:rPr>
        <w:t>N</w:t>
      </w:r>
      <w:r w:rsidR="00653CDD" w:rsidRPr="006C434D">
        <w:rPr>
          <w:rFonts w:ascii="Arial" w:hAnsi="Arial" w:cs="Arial"/>
          <w:bCs/>
          <w:sz w:val="21"/>
          <w:szCs w:val="21"/>
        </w:rPr>
        <w:t>o</w:t>
      </w:r>
      <w:r w:rsidR="00653CDD" w:rsidRPr="00A76485">
        <w:rPr>
          <w:rFonts w:ascii="Arial" w:hAnsi="Arial" w:cs="Arial"/>
          <w:bCs/>
          <w:sz w:val="21"/>
          <w:szCs w:val="21"/>
        </w:rPr>
        <w:t xml:space="preserve"> obstante, la Entidad Territorial </w:t>
      </w:r>
      <w:r w:rsidR="00327195">
        <w:rPr>
          <w:rFonts w:ascii="Arial" w:hAnsi="Arial" w:cs="Arial"/>
          <w:bCs/>
          <w:sz w:val="21"/>
          <w:szCs w:val="21"/>
        </w:rPr>
        <w:t xml:space="preserve">respecto de los Procesos “3. Participación Social” y “4. Gestión del Conocimiento” que se relacionan a continuación, no </w:t>
      </w:r>
      <w:r>
        <w:rPr>
          <w:rFonts w:ascii="Arial" w:hAnsi="Arial" w:cs="Arial"/>
          <w:bCs/>
          <w:sz w:val="21"/>
          <w:szCs w:val="21"/>
        </w:rPr>
        <w:t xml:space="preserve">entregó </w:t>
      </w:r>
      <w:r w:rsidR="00327195">
        <w:rPr>
          <w:rFonts w:ascii="Arial" w:hAnsi="Arial" w:cs="Arial"/>
          <w:bCs/>
          <w:sz w:val="21"/>
          <w:szCs w:val="21"/>
        </w:rPr>
        <w:t xml:space="preserve">la información relacionada con: </w:t>
      </w:r>
      <w:r w:rsidR="00327195" w:rsidRPr="00F1149B">
        <w:rPr>
          <w:rFonts w:ascii="Arial" w:hAnsi="Arial" w:cs="Arial"/>
          <w:bCs/>
          <w:i/>
          <w:iCs/>
          <w:sz w:val="21"/>
          <w:szCs w:val="21"/>
        </w:rPr>
        <w:t xml:space="preserve">i) ACCIÓN REALIZADA; </w:t>
      </w:r>
      <w:proofErr w:type="spellStart"/>
      <w:r w:rsidR="00327195" w:rsidRPr="00F1149B">
        <w:rPr>
          <w:rFonts w:ascii="Arial" w:hAnsi="Arial" w:cs="Arial"/>
          <w:bCs/>
          <w:i/>
          <w:iCs/>
          <w:sz w:val="21"/>
          <w:szCs w:val="21"/>
        </w:rPr>
        <w:t>ii</w:t>
      </w:r>
      <w:proofErr w:type="spellEnd"/>
      <w:r w:rsidR="00327195" w:rsidRPr="00F1149B">
        <w:rPr>
          <w:rFonts w:ascii="Arial" w:hAnsi="Arial" w:cs="Arial"/>
          <w:bCs/>
          <w:i/>
          <w:iCs/>
          <w:sz w:val="21"/>
          <w:szCs w:val="21"/>
        </w:rPr>
        <w:t xml:space="preserve">) DESCRIBA LA ACCIÓN; </w:t>
      </w:r>
      <w:proofErr w:type="spellStart"/>
      <w:r w:rsidR="00327195" w:rsidRPr="00F1149B">
        <w:rPr>
          <w:rFonts w:ascii="Arial" w:hAnsi="Arial" w:cs="Arial"/>
          <w:bCs/>
          <w:i/>
          <w:iCs/>
          <w:sz w:val="21"/>
          <w:szCs w:val="21"/>
        </w:rPr>
        <w:t>iii</w:t>
      </w:r>
      <w:proofErr w:type="spellEnd"/>
      <w:r w:rsidR="00327195" w:rsidRPr="00F1149B">
        <w:rPr>
          <w:rFonts w:ascii="Arial" w:hAnsi="Arial" w:cs="Arial"/>
          <w:bCs/>
          <w:i/>
          <w:iCs/>
          <w:sz w:val="21"/>
          <w:szCs w:val="21"/>
        </w:rPr>
        <w:t xml:space="preserve">) EVIDENCIA; </w:t>
      </w:r>
      <w:proofErr w:type="spellStart"/>
      <w:r w:rsidR="00327195" w:rsidRPr="00F1149B">
        <w:rPr>
          <w:rFonts w:ascii="Arial" w:hAnsi="Arial" w:cs="Arial"/>
          <w:bCs/>
          <w:i/>
          <w:iCs/>
          <w:sz w:val="21"/>
          <w:szCs w:val="21"/>
        </w:rPr>
        <w:t>iv</w:t>
      </w:r>
      <w:proofErr w:type="spellEnd"/>
      <w:r w:rsidR="00327195" w:rsidRPr="00F1149B">
        <w:rPr>
          <w:rFonts w:ascii="Arial" w:hAnsi="Arial" w:cs="Arial"/>
          <w:bCs/>
          <w:i/>
          <w:iCs/>
          <w:sz w:val="21"/>
          <w:szCs w:val="21"/>
        </w:rPr>
        <w:t>)  NOMBRE DE LA EVIDENCIA; v) TIPO DE ARCHIVO; vi) Quien ejecuto la acción; vi) LINK DEL CONTRATO DEL SECOP/NOMBRE DEL FUNCIONARIO</w:t>
      </w:r>
      <w:r w:rsidR="00327195">
        <w:rPr>
          <w:rFonts w:ascii="Arial" w:hAnsi="Arial" w:cs="Arial"/>
          <w:bCs/>
          <w:sz w:val="21"/>
          <w:szCs w:val="21"/>
        </w:rPr>
        <w:t xml:space="preserve">; </w:t>
      </w:r>
      <w:r w:rsidR="00327195" w:rsidRPr="00A76485">
        <w:rPr>
          <w:rStyle w:val="contentpasted0"/>
          <w:rFonts w:ascii="Arial" w:hAnsi="Arial" w:cs="Arial"/>
          <w:color w:val="000000"/>
          <w:sz w:val="21"/>
          <w:szCs w:val="21"/>
        </w:rPr>
        <w:t>por lo que no se pudo verificar el cumplimiento de los procesos de gestión de la salud pública y productos esperados atribuibles en el ámbito de sus competencias según disposiciones del Ministerio de Salud y Protección Social</w:t>
      </w:r>
      <w:r w:rsidR="008D0874">
        <w:rPr>
          <w:rStyle w:val="contentpasted0"/>
          <w:rFonts w:ascii="Arial" w:hAnsi="Arial" w:cs="Arial"/>
          <w:color w:val="000000"/>
          <w:sz w:val="21"/>
          <w:szCs w:val="21"/>
        </w:rPr>
        <w:t xml:space="preserve"> para los procesos de participación social y gestión del conocimiento.</w:t>
      </w:r>
      <w:r w:rsidR="00327195" w:rsidRPr="00A76485">
        <w:rPr>
          <w:rStyle w:val="contentpasted0"/>
          <w:rFonts w:ascii="Arial" w:hAnsi="Arial" w:cs="Arial"/>
          <w:color w:val="000000"/>
          <w:sz w:val="21"/>
          <w:szCs w:val="21"/>
        </w:rPr>
        <w:t>.</w:t>
      </w:r>
    </w:p>
    <w:p w14:paraId="4EFA5C7F" w14:textId="77777777" w:rsidR="00327195" w:rsidRDefault="00327195" w:rsidP="00327195">
      <w:pPr>
        <w:contextualSpacing/>
        <w:jc w:val="both"/>
        <w:rPr>
          <w:rStyle w:val="contentpasted0"/>
          <w:rFonts w:ascii="Arial" w:hAnsi="Arial" w:cs="Arial"/>
          <w:color w:val="000000"/>
          <w:sz w:val="21"/>
          <w:szCs w:val="21"/>
        </w:rPr>
      </w:pPr>
    </w:p>
    <w:p w14:paraId="75BB5ADC" w14:textId="77777777" w:rsidR="00327195" w:rsidRDefault="00F1149B" w:rsidP="00327195">
      <w:pPr>
        <w:contextualSpacing/>
        <w:jc w:val="both"/>
        <w:rPr>
          <w:rFonts w:ascii="Arial" w:hAnsi="Arial" w:cs="Arial"/>
          <w:bCs/>
          <w:sz w:val="21"/>
          <w:szCs w:val="21"/>
        </w:rPr>
      </w:pPr>
      <w:r w:rsidRPr="00F1149B">
        <w:rPr>
          <w:noProof/>
          <w:lang w:val="es-CO" w:eastAsia="es-CO"/>
        </w:rPr>
        <w:lastRenderedPageBreak/>
        <w:drawing>
          <wp:inline distT="0" distB="0" distL="0" distR="0" wp14:anchorId="568C6214" wp14:editId="629B8C0E">
            <wp:extent cx="5612130" cy="139446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1394460"/>
                    </a:xfrm>
                    <a:prstGeom prst="rect">
                      <a:avLst/>
                    </a:prstGeom>
                    <a:noFill/>
                    <a:ln>
                      <a:noFill/>
                    </a:ln>
                  </pic:spPr>
                </pic:pic>
              </a:graphicData>
            </a:graphic>
          </wp:inline>
        </w:drawing>
      </w:r>
    </w:p>
    <w:p w14:paraId="2F99AB40" w14:textId="77777777" w:rsidR="00327195" w:rsidRDefault="00327195" w:rsidP="00327195">
      <w:pPr>
        <w:contextualSpacing/>
        <w:jc w:val="both"/>
        <w:rPr>
          <w:rFonts w:ascii="Arial" w:hAnsi="Arial" w:cs="Arial"/>
          <w:bCs/>
          <w:sz w:val="21"/>
          <w:szCs w:val="21"/>
        </w:rPr>
      </w:pPr>
    </w:p>
    <w:p w14:paraId="354B7D82" w14:textId="77777777" w:rsidR="00B53AC8" w:rsidRPr="00A76485" w:rsidRDefault="00B53AC8" w:rsidP="00492D77">
      <w:pPr>
        <w:pStyle w:val="Sinespaciado"/>
        <w:contextualSpacing/>
        <w:jc w:val="both"/>
        <w:rPr>
          <w:rFonts w:ascii="Arial" w:eastAsia="MS Mincho" w:hAnsi="Arial" w:cs="Arial"/>
          <w:sz w:val="21"/>
          <w:szCs w:val="21"/>
          <w:lang w:val="es-ES" w:eastAsia="es-ES"/>
        </w:rPr>
      </w:pPr>
      <w:r w:rsidRPr="00A76485">
        <w:rPr>
          <w:rFonts w:ascii="Arial" w:eastAsia="MS Mincho" w:hAnsi="Arial" w:cs="Arial"/>
          <w:sz w:val="21"/>
          <w:szCs w:val="21"/>
          <w:lang w:val="es-ES" w:eastAsia="es-ES"/>
        </w:rPr>
        <w:t xml:space="preserve">Evidencias: </w:t>
      </w:r>
    </w:p>
    <w:p w14:paraId="2C1AB41A" w14:textId="77777777" w:rsidR="00B53AC8" w:rsidRPr="00A76485" w:rsidRDefault="00B53AC8" w:rsidP="00492D77">
      <w:pPr>
        <w:jc w:val="both"/>
        <w:rPr>
          <w:rFonts w:ascii="Arial" w:eastAsia="Arial Narrow" w:hAnsi="Arial" w:cs="Arial"/>
          <w:color w:val="000000" w:themeColor="text1"/>
          <w:sz w:val="21"/>
          <w:szCs w:val="21"/>
        </w:rPr>
      </w:pPr>
    </w:p>
    <w:p w14:paraId="177C150D" w14:textId="77777777" w:rsidR="006C434D" w:rsidRDefault="00B53AC8" w:rsidP="00492D77">
      <w:pPr>
        <w:jc w:val="both"/>
        <w:rPr>
          <w:rFonts w:ascii="Arial" w:eastAsia="Arial Narrow" w:hAnsi="Arial" w:cs="Arial"/>
          <w:color w:val="000000" w:themeColor="text1"/>
          <w:sz w:val="20"/>
          <w:szCs w:val="20"/>
        </w:rPr>
      </w:pPr>
      <w:r w:rsidRPr="004F048F">
        <w:rPr>
          <w:rFonts w:ascii="Arial" w:eastAsia="Arial Narrow" w:hAnsi="Arial" w:cs="Arial"/>
          <w:color w:val="000000" w:themeColor="text1"/>
          <w:sz w:val="21"/>
          <w:szCs w:val="21"/>
        </w:rPr>
        <w:t>MATRIZ DE VERIFICACIÓN DE INFORMACIÓN</w:t>
      </w:r>
      <w:r w:rsidRPr="004F048F">
        <w:rPr>
          <w:rFonts w:ascii="Arial" w:hAnsi="Arial" w:cs="Arial"/>
          <w:sz w:val="20"/>
          <w:szCs w:val="20"/>
        </w:rPr>
        <w:t xml:space="preserve"> </w:t>
      </w:r>
      <w:r w:rsidRPr="00914696">
        <w:rPr>
          <w:rFonts w:ascii="Arial" w:eastAsia="Arial Narrow" w:hAnsi="Arial" w:cs="Arial"/>
          <w:color w:val="000000" w:themeColor="text1"/>
          <w:sz w:val="21"/>
          <w:szCs w:val="21"/>
        </w:rPr>
        <w:t>REQUIMIENTO 16.</w:t>
      </w:r>
      <w:r w:rsidR="004F048F" w:rsidRPr="00914696">
        <w:t xml:space="preserve"> </w:t>
      </w:r>
      <w:r w:rsidR="004F048F" w:rsidRPr="00914696">
        <w:rPr>
          <w:rFonts w:ascii="Arial" w:eastAsia="Arial Narrow" w:hAnsi="Arial" w:cs="Arial"/>
          <w:color w:val="000000" w:themeColor="text1"/>
          <w:sz w:val="21"/>
          <w:szCs w:val="21"/>
        </w:rPr>
        <w:t xml:space="preserve">OFICIO CON RADICADO SIED NO. 2-2023-013314 DEL 17 DE MARZO DE 2023. </w:t>
      </w:r>
      <w:r w:rsidRPr="004F048F">
        <w:rPr>
          <w:rFonts w:ascii="Arial" w:eastAsia="Arial Narrow" w:hAnsi="Arial" w:cs="Arial"/>
          <w:color w:val="000000" w:themeColor="text1"/>
          <w:sz w:val="21"/>
          <w:szCs w:val="21"/>
        </w:rPr>
        <w:t xml:space="preserve"> </w:t>
      </w:r>
      <w:r w:rsidRPr="004F048F">
        <w:rPr>
          <w:rFonts w:ascii="Arial" w:hAnsi="Arial" w:cs="Arial"/>
          <w:sz w:val="21"/>
          <w:szCs w:val="21"/>
        </w:rPr>
        <w:t xml:space="preserve">HISTORIAL DE SEGUIMIENTO Y CONTROL A LOS RECURSOS DEL SISTEMA GENERAL DE PARTICIPACIONES. </w:t>
      </w:r>
      <w:r w:rsidRPr="004F048F">
        <w:rPr>
          <w:rFonts w:ascii="Arial" w:hAnsi="Arial" w:cs="Arial"/>
          <w:sz w:val="20"/>
          <w:szCs w:val="20"/>
        </w:rPr>
        <w:t xml:space="preserve">EXPEDIENTE </w:t>
      </w:r>
      <w:r w:rsidRPr="004F048F">
        <w:rPr>
          <w:rFonts w:ascii="Arial" w:hAnsi="Arial" w:cs="Arial"/>
          <w:sz w:val="21"/>
          <w:szCs w:val="21"/>
        </w:rPr>
        <w:t>2/2023/D028-PREDI</w:t>
      </w:r>
      <w:r w:rsidRPr="004F048F">
        <w:rPr>
          <w:rFonts w:ascii="Arial" w:hAnsi="Arial" w:cs="Arial"/>
          <w:sz w:val="20"/>
          <w:szCs w:val="20"/>
        </w:rPr>
        <w:t>.</w:t>
      </w:r>
      <w:r w:rsidRPr="004F048F">
        <w:rPr>
          <w:rFonts w:ascii="Arial" w:eastAsia="Arial Narrow" w:hAnsi="Arial" w:cs="Arial"/>
          <w:color w:val="000000" w:themeColor="text1"/>
          <w:sz w:val="20"/>
          <w:szCs w:val="20"/>
        </w:rPr>
        <w:t xml:space="preserve"> </w:t>
      </w:r>
      <w:r w:rsidR="004F048F" w:rsidRPr="004F048F">
        <w:rPr>
          <w:rFonts w:ascii="Arial" w:eastAsia="Arial Narrow" w:hAnsi="Arial" w:cs="Arial"/>
          <w:color w:val="000000" w:themeColor="text1"/>
          <w:sz w:val="20"/>
          <w:szCs w:val="20"/>
        </w:rPr>
        <w:t>ENLACE: http://portalgestiondoc.minhacienda.red/PortalEmpleado/#url-960061</w:t>
      </w:r>
    </w:p>
    <w:p w14:paraId="0E4051C4" w14:textId="77777777" w:rsidR="006C434D" w:rsidRDefault="006C434D" w:rsidP="00492D77">
      <w:pPr>
        <w:jc w:val="both"/>
        <w:rPr>
          <w:rFonts w:ascii="Arial" w:eastAsia="Arial Narrow" w:hAnsi="Arial" w:cs="Arial"/>
          <w:color w:val="000000" w:themeColor="text1"/>
          <w:sz w:val="20"/>
          <w:szCs w:val="20"/>
        </w:rPr>
      </w:pPr>
    </w:p>
    <w:p w14:paraId="548D8EF7" w14:textId="77777777" w:rsidR="00121ECB" w:rsidRDefault="004F048F" w:rsidP="00492D77">
      <w:pPr>
        <w:jc w:val="both"/>
        <w:rPr>
          <w:rFonts w:ascii="Arial" w:eastAsia="Arial Narrow" w:hAnsi="Arial" w:cs="Arial"/>
          <w:color w:val="000000" w:themeColor="text1"/>
          <w:sz w:val="20"/>
          <w:szCs w:val="20"/>
        </w:rPr>
      </w:pPr>
      <w:r w:rsidRPr="00A76485">
        <w:rPr>
          <w:rFonts w:ascii="Arial" w:eastAsia="Arial Narrow" w:hAnsi="Arial" w:cs="Arial"/>
          <w:color w:val="000000" w:themeColor="text1"/>
          <w:sz w:val="21"/>
          <w:szCs w:val="21"/>
        </w:rPr>
        <w:t>MATRIZ DE VERIFICACIÓN DE INFORMACIÓN</w:t>
      </w:r>
      <w:r w:rsidRPr="00A76485">
        <w:rPr>
          <w:rFonts w:ascii="Arial" w:hAnsi="Arial" w:cs="Arial"/>
          <w:sz w:val="20"/>
          <w:szCs w:val="20"/>
        </w:rPr>
        <w:t xml:space="preserve"> </w:t>
      </w:r>
      <w:r w:rsidRPr="00A76485">
        <w:rPr>
          <w:rFonts w:ascii="Arial" w:eastAsia="Arial Narrow" w:hAnsi="Arial" w:cs="Arial"/>
          <w:color w:val="000000" w:themeColor="text1"/>
          <w:sz w:val="21"/>
          <w:szCs w:val="21"/>
        </w:rPr>
        <w:t xml:space="preserve">REQUIMIENTO </w:t>
      </w:r>
      <w:r>
        <w:rPr>
          <w:rFonts w:ascii="Arial" w:eastAsia="Arial Narrow" w:hAnsi="Arial" w:cs="Arial"/>
          <w:color w:val="000000" w:themeColor="text1"/>
          <w:sz w:val="21"/>
          <w:szCs w:val="21"/>
        </w:rPr>
        <w:t>#</w:t>
      </w:r>
      <w:r w:rsidRPr="00A76485">
        <w:rPr>
          <w:rFonts w:ascii="Arial" w:eastAsia="Arial Narrow" w:hAnsi="Arial" w:cs="Arial"/>
          <w:color w:val="000000" w:themeColor="text1"/>
          <w:sz w:val="21"/>
          <w:szCs w:val="21"/>
        </w:rPr>
        <w:t>16</w:t>
      </w:r>
      <w:r>
        <w:rPr>
          <w:rFonts w:ascii="Arial" w:eastAsia="Arial Narrow" w:hAnsi="Arial" w:cs="Arial"/>
          <w:color w:val="000000" w:themeColor="text1"/>
          <w:sz w:val="21"/>
          <w:szCs w:val="21"/>
        </w:rPr>
        <w:t xml:space="preserve"> AJUSTADO </w:t>
      </w:r>
      <w:r>
        <w:rPr>
          <w:rFonts w:ascii="Arial" w:eastAsia="Arial Narrow" w:hAnsi="Arial" w:cs="Arial"/>
          <w:color w:val="000000" w:themeColor="text1"/>
          <w:sz w:val="20"/>
          <w:szCs w:val="20"/>
        </w:rPr>
        <w:t xml:space="preserve">RADICADO </w:t>
      </w:r>
      <w:r w:rsidR="008D0874">
        <w:rPr>
          <w:rFonts w:ascii="Arial" w:eastAsia="Arial Narrow" w:hAnsi="Arial" w:cs="Arial"/>
          <w:color w:val="000000" w:themeColor="text1"/>
          <w:sz w:val="20"/>
          <w:szCs w:val="20"/>
        </w:rPr>
        <w:t>No 1-2023-042608.</w:t>
      </w:r>
      <w:r w:rsidRPr="004F048F">
        <w:rPr>
          <w:rFonts w:ascii="Arial" w:eastAsia="Arial Narrow" w:hAnsi="Arial" w:cs="Arial"/>
          <w:color w:val="000000" w:themeColor="text1"/>
          <w:sz w:val="20"/>
          <w:szCs w:val="20"/>
        </w:rPr>
        <w:t>HISTORIAL DE SEGUIMIENTO Y CONTROL A LOS RECURSOS DEL SISTEMA GENERAL DE PARTICIPACIONES – DIAGNÓSTICO Y APLICACIÓN DE LA MEDIDA. EXPEDIENTE 2/2023/D028-PREDI. ENLACE: http://portalgestiondoc.minhacienda.red/PortalEmpleado/#url-960061</w:t>
      </w:r>
    </w:p>
    <w:p w14:paraId="55B26D80" w14:textId="77777777" w:rsidR="004F048F" w:rsidRDefault="004F048F" w:rsidP="00492D77">
      <w:pPr>
        <w:jc w:val="both"/>
        <w:rPr>
          <w:rFonts w:ascii="Arial" w:eastAsia="Arial Narrow" w:hAnsi="Arial" w:cs="Arial"/>
          <w:color w:val="000000" w:themeColor="text1"/>
          <w:sz w:val="20"/>
          <w:szCs w:val="20"/>
        </w:rPr>
      </w:pPr>
    </w:p>
    <w:p w14:paraId="391FA430" w14:textId="77777777" w:rsidR="00121ECB" w:rsidRDefault="00121ECB" w:rsidP="00492D77">
      <w:pPr>
        <w:jc w:val="both"/>
        <w:rPr>
          <w:rFonts w:ascii="Arial" w:eastAsia="Arial Narrow" w:hAnsi="Arial" w:cs="Arial"/>
          <w:color w:val="000000" w:themeColor="text1"/>
          <w:sz w:val="20"/>
          <w:szCs w:val="20"/>
        </w:rPr>
      </w:pPr>
    </w:p>
    <w:p w14:paraId="0DEA935E" w14:textId="77777777" w:rsidR="00B53AC8" w:rsidRPr="00E42E1C" w:rsidRDefault="00854591" w:rsidP="00492D77">
      <w:pPr>
        <w:jc w:val="both"/>
        <w:rPr>
          <w:rFonts w:ascii="Arial" w:eastAsia="Arial Narrow" w:hAnsi="Arial" w:cs="Arial"/>
          <w:b/>
          <w:bCs/>
          <w:color w:val="000000" w:themeColor="text1"/>
          <w:sz w:val="21"/>
          <w:szCs w:val="21"/>
          <w:lang w:val="en-US"/>
        </w:rPr>
      </w:pPr>
      <w:r>
        <w:rPr>
          <w:rFonts w:ascii="Arial" w:eastAsia="Arial Narrow" w:hAnsi="Arial" w:cs="Arial"/>
          <w:color w:val="000000" w:themeColor="text1"/>
          <w:sz w:val="20"/>
          <w:szCs w:val="20"/>
        </w:rPr>
        <w:t xml:space="preserve"> </w:t>
      </w:r>
      <w:r w:rsidR="00B53AC8" w:rsidRPr="00E42E1C">
        <w:rPr>
          <w:rFonts w:ascii="Arial" w:eastAsia="Arial Narrow" w:hAnsi="Arial" w:cs="Arial"/>
          <w:color w:val="000000" w:themeColor="text1"/>
          <w:sz w:val="21"/>
          <w:szCs w:val="21"/>
          <w:lang w:val="en-US" w:eastAsia="en-US"/>
        </w:rPr>
        <w:t>ENLACE:</w:t>
      </w:r>
      <w:r w:rsidR="00B53AC8" w:rsidRPr="00E42E1C">
        <w:rPr>
          <w:rFonts w:ascii="Arial" w:eastAsia="Arial Narrow" w:hAnsi="Arial" w:cs="Arial"/>
          <w:color w:val="000000" w:themeColor="text1"/>
          <w:sz w:val="21"/>
          <w:szCs w:val="21"/>
          <w:lang w:val="en-US"/>
        </w:rPr>
        <w:t xml:space="preserve"> </w:t>
      </w:r>
      <w:hyperlink r:id="rId38" w:anchor="url-960061" w:history="1">
        <w:r w:rsidR="00B53AC8" w:rsidRPr="00E42E1C">
          <w:rPr>
            <w:rStyle w:val="Hipervnculo"/>
            <w:rFonts w:ascii="Arial" w:eastAsia="Arial Narrow" w:hAnsi="Arial" w:cs="Arial"/>
            <w:sz w:val="21"/>
            <w:szCs w:val="21"/>
            <w:lang w:val="en-US" w:eastAsia="en-US"/>
          </w:rPr>
          <w:t>http://portalgestiondoc.minhacienda.red/PortalEmpleado/#url-960061</w:t>
        </w:r>
      </w:hyperlink>
    </w:p>
    <w:p w14:paraId="7B242D06" w14:textId="77777777" w:rsidR="00B53AC8" w:rsidRPr="00E42E1C" w:rsidRDefault="00B53AC8" w:rsidP="00492D77">
      <w:pPr>
        <w:contextualSpacing/>
        <w:jc w:val="both"/>
        <w:rPr>
          <w:rFonts w:ascii="Arial" w:eastAsia="Calibri" w:hAnsi="Arial" w:cs="Arial"/>
          <w:b/>
          <w:bCs/>
          <w:sz w:val="21"/>
          <w:szCs w:val="21"/>
          <w:lang w:val="en-US"/>
        </w:rPr>
      </w:pPr>
    </w:p>
    <w:p w14:paraId="35E04201" w14:textId="77777777" w:rsidR="00B53AC8" w:rsidRPr="00A76485" w:rsidRDefault="00B53AC8" w:rsidP="00492D77">
      <w:pPr>
        <w:contextualSpacing/>
        <w:jc w:val="both"/>
        <w:rPr>
          <w:rFonts w:ascii="Arial" w:eastAsia="Calibri" w:hAnsi="Arial" w:cs="Arial"/>
          <w:b/>
          <w:bCs/>
          <w:sz w:val="21"/>
          <w:szCs w:val="21"/>
          <w:highlight w:val="yellow"/>
        </w:rPr>
      </w:pPr>
      <w:r w:rsidRPr="00A76485">
        <w:rPr>
          <w:rFonts w:ascii="Arial" w:eastAsia="Calibri" w:hAnsi="Arial" w:cs="Arial"/>
          <w:b/>
          <w:bCs/>
          <w:sz w:val="21"/>
          <w:szCs w:val="21"/>
        </w:rPr>
        <w:t>EVENTO DE RIESGO 9.10. “</w:t>
      </w:r>
      <w:r w:rsidRPr="00A76485">
        <w:rPr>
          <w:rFonts w:ascii="Arial" w:eastAsia="Calibri" w:hAnsi="Arial" w:cs="Arial"/>
          <w:b/>
          <w:bCs/>
          <w:i/>
          <w:iCs/>
          <w:sz w:val="21"/>
          <w:szCs w:val="21"/>
        </w:rPr>
        <w:t>No publicar los actos administrativos, contratos, convenios e informes, cuando la ley lo exija</w:t>
      </w:r>
      <w:r w:rsidRPr="00A76485">
        <w:rPr>
          <w:rFonts w:ascii="Arial" w:eastAsia="Calibri" w:hAnsi="Arial" w:cs="Arial"/>
          <w:b/>
          <w:bCs/>
          <w:sz w:val="21"/>
          <w:szCs w:val="21"/>
        </w:rPr>
        <w:t>”.</w:t>
      </w:r>
    </w:p>
    <w:p w14:paraId="7750FFE5" w14:textId="77777777" w:rsidR="00B53AC8" w:rsidRPr="00A76485" w:rsidRDefault="00B53AC8" w:rsidP="00492D77">
      <w:pPr>
        <w:contextualSpacing/>
        <w:jc w:val="both"/>
        <w:rPr>
          <w:rFonts w:ascii="Arial" w:eastAsia="Calibri" w:hAnsi="Arial" w:cs="Arial"/>
          <w:b/>
          <w:bCs/>
          <w:sz w:val="21"/>
          <w:szCs w:val="21"/>
        </w:rPr>
      </w:pPr>
    </w:p>
    <w:p w14:paraId="7975E4BB"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De conformidad con el artículo 3 de la Ley 1150 de 2007 y según el artículo 2.1.1.2.1.7 y 2.1.1.2.1.8 del Decreto 1081 de 2015, la información correspondiente a la gestión contractual con cargo a recursos públicos debe ser publicada en el Sistema Electrónico para la Contratación Pública – SECOP por parte de los sujetos obligados que contratan con recursos públicos; respecto de lo anterior, el artículo 2.2.2.1.8.3 del Decreto 1082 de 2015 estableció que: “</w:t>
      </w:r>
      <w:r w:rsidRPr="00A76485">
        <w:rPr>
          <w:rFonts w:ascii="Arial" w:hAnsi="Arial" w:cs="Arial"/>
          <w:i/>
          <w:iCs/>
          <w:sz w:val="21"/>
          <w:szCs w:val="21"/>
        </w:rPr>
        <w:t>La entidad contratante deberá garantizar la publicidad de los procedimientos, documentos y actos asociados a los procesos de contratación […]</w:t>
      </w:r>
      <w:r w:rsidRPr="00A76485">
        <w:rPr>
          <w:rFonts w:ascii="Arial" w:hAnsi="Arial" w:cs="Arial"/>
          <w:sz w:val="21"/>
          <w:szCs w:val="21"/>
        </w:rPr>
        <w:t>”.</w:t>
      </w:r>
    </w:p>
    <w:p w14:paraId="3AD4D38B" w14:textId="77777777" w:rsidR="00B53AC8" w:rsidRPr="00A76485" w:rsidRDefault="00B53AC8" w:rsidP="00492D77">
      <w:pPr>
        <w:ind w:left="708"/>
        <w:contextualSpacing/>
        <w:jc w:val="both"/>
        <w:rPr>
          <w:rFonts w:ascii="Arial" w:hAnsi="Arial" w:cs="Arial"/>
          <w:sz w:val="21"/>
          <w:szCs w:val="21"/>
        </w:rPr>
      </w:pPr>
    </w:p>
    <w:p w14:paraId="11C44DD8"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Además de lo anterior, el artículo 9º de la Ley 1712 de 2014, establece la obligación de publicar todos los contratos que se realicen con cargo a recursos públicos; es así que, los sujetos obligados deben publicar la información relativa a la ejecución de sus contratos, obligación que fue desarrollada por el Decreto 1081 de 2015, el cual estableció que para la publicación de la ejecución de los contratos, los sujetos obligados deben publicar las aprobaciones, autorizaciones, requerimientos o informes del supervisor o del interventor que aprueben la ejecución de los contratos, en el plazo previsto en el artículo 2.2.1.1.1.7.1 del Decreto 1082 de 2015.</w:t>
      </w:r>
    </w:p>
    <w:p w14:paraId="32EB22D9" w14:textId="77777777" w:rsidR="00B53AC8" w:rsidRPr="00A76485" w:rsidRDefault="00B53AC8" w:rsidP="00492D77">
      <w:pPr>
        <w:contextualSpacing/>
        <w:jc w:val="both"/>
        <w:rPr>
          <w:rFonts w:ascii="Arial" w:hAnsi="Arial" w:cs="Arial"/>
          <w:sz w:val="21"/>
          <w:szCs w:val="21"/>
        </w:rPr>
      </w:pPr>
    </w:p>
    <w:p w14:paraId="01A4AE56"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Efectuada la consulta en la plataforma SECOP II de los Contratos celebrados por el Distrito de Santa Marta que se relacionan a continuación, se identificó que no se encuentra publicada la siguiente información:</w:t>
      </w:r>
    </w:p>
    <w:p w14:paraId="25C0C201" w14:textId="77777777" w:rsidR="00B53AC8" w:rsidRPr="00A76485" w:rsidRDefault="00B53AC8" w:rsidP="00492D77">
      <w:pPr>
        <w:contextualSpacing/>
        <w:jc w:val="both"/>
        <w:rPr>
          <w:rFonts w:ascii="Arial" w:hAnsi="Arial" w:cs="Arial"/>
          <w:sz w:val="21"/>
          <w:szCs w:val="21"/>
        </w:rPr>
      </w:pPr>
    </w:p>
    <w:tbl>
      <w:tblPr>
        <w:tblW w:w="3763" w:type="pct"/>
        <w:jc w:val="center"/>
        <w:tblCellMar>
          <w:left w:w="70" w:type="dxa"/>
          <w:right w:w="70" w:type="dxa"/>
        </w:tblCellMar>
        <w:tblLook w:val="04A0" w:firstRow="1" w:lastRow="0" w:firstColumn="1" w:lastColumn="0" w:noHBand="0" w:noVBand="1"/>
      </w:tblPr>
      <w:tblGrid>
        <w:gridCol w:w="1447"/>
        <w:gridCol w:w="2496"/>
        <w:gridCol w:w="2693"/>
      </w:tblGrid>
      <w:tr w:rsidR="00B53AC8" w:rsidRPr="00A76485" w14:paraId="237B194E" w14:textId="77777777" w:rsidTr="003D7662">
        <w:trPr>
          <w:trHeight w:val="276"/>
          <w:jc w:val="center"/>
        </w:trPr>
        <w:tc>
          <w:tcPr>
            <w:tcW w:w="1090"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6EDF7302" w14:textId="77777777" w:rsidR="00B53AC8" w:rsidRPr="00A76485" w:rsidRDefault="00B53AC8" w:rsidP="00492D77">
            <w:pPr>
              <w:jc w:val="center"/>
              <w:rPr>
                <w:rFonts w:ascii="Arial" w:eastAsia="Times New Roman" w:hAnsi="Arial" w:cs="Arial"/>
                <w:b/>
                <w:bCs/>
                <w:color w:val="000000"/>
                <w:sz w:val="16"/>
                <w:szCs w:val="16"/>
                <w:lang w:val="es-CO" w:eastAsia="es-CO"/>
              </w:rPr>
            </w:pPr>
            <w:r w:rsidRPr="00A76485">
              <w:rPr>
                <w:rFonts w:ascii="Arial" w:eastAsia="Times New Roman" w:hAnsi="Arial" w:cs="Arial"/>
                <w:b/>
                <w:bCs/>
                <w:color w:val="000000"/>
                <w:sz w:val="16"/>
                <w:szCs w:val="16"/>
                <w:lang w:val="es-CO" w:eastAsia="es-CO"/>
              </w:rPr>
              <w:t xml:space="preserve">No. DE CONTRATO </w:t>
            </w:r>
          </w:p>
        </w:tc>
        <w:tc>
          <w:tcPr>
            <w:tcW w:w="1881"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0D4C067C" w14:textId="77777777" w:rsidR="00B53AC8" w:rsidRPr="00A76485" w:rsidRDefault="00B53AC8" w:rsidP="00492D77">
            <w:pPr>
              <w:jc w:val="center"/>
              <w:rPr>
                <w:rFonts w:ascii="Arial" w:eastAsia="Times New Roman" w:hAnsi="Arial" w:cs="Arial"/>
                <w:b/>
                <w:bCs/>
                <w:color w:val="000000"/>
                <w:sz w:val="16"/>
                <w:szCs w:val="16"/>
                <w:lang w:val="es-CO" w:eastAsia="es-CO"/>
              </w:rPr>
            </w:pPr>
            <w:r w:rsidRPr="00A76485">
              <w:rPr>
                <w:rFonts w:ascii="Arial" w:eastAsia="Times New Roman" w:hAnsi="Arial" w:cs="Arial"/>
                <w:b/>
                <w:bCs/>
                <w:color w:val="000000"/>
                <w:sz w:val="16"/>
                <w:szCs w:val="16"/>
                <w:lang w:val="es-CO" w:eastAsia="es-CO"/>
              </w:rPr>
              <w:t>COMPONENTE</w:t>
            </w:r>
          </w:p>
        </w:tc>
        <w:tc>
          <w:tcPr>
            <w:tcW w:w="2029" w:type="pct"/>
            <w:vMerge w:val="restart"/>
            <w:tcBorders>
              <w:top w:val="single" w:sz="8" w:space="0" w:color="auto"/>
              <w:left w:val="single" w:sz="8" w:space="0" w:color="auto"/>
              <w:bottom w:val="nil"/>
              <w:right w:val="single" w:sz="8" w:space="0" w:color="auto"/>
            </w:tcBorders>
            <w:shd w:val="clear" w:color="000000" w:fill="C0C0C0"/>
            <w:vAlign w:val="center"/>
            <w:hideMark/>
          </w:tcPr>
          <w:p w14:paraId="38A16A63" w14:textId="77777777" w:rsidR="00B53AC8" w:rsidRPr="00A76485" w:rsidRDefault="00B53AC8" w:rsidP="00492D77">
            <w:pPr>
              <w:jc w:val="center"/>
              <w:rPr>
                <w:rFonts w:ascii="Arial" w:eastAsia="Times New Roman" w:hAnsi="Arial" w:cs="Arial"/>
                <w:b/>
                <w:bCs/>
                <w:color w:val="000000"/>
                <w:sz w:val="16"/>
                <w:szCs w:val="16"/>
                <w:lang w:val="es-CO" w:eastAsia="es-CO"/>
              </w:rPr>
            </w:pPr>
            <w:r w:rsidRPr="00A76485">
              <w:rPr>
                <w:rFonts w:ascii="Arial" w:eastAsia="Times New Roman" w:hAnsi="Arial" w:cs="Arial"/>
                <w:b/>
                <w:bCs/>
                <w:color w:val="000000"/>
                <w:sz w:val="16"/>
                <w:szCs w:val="16"/>
                <w:lang w:val="es-CO" w:eastAsia="es-CO"/>
              </w:rPr>
              <w:t>DOCUMENTO NO PUBLICADO</w:t>
            </w:r>
          </w:p>
        </w:tc>
      </w:tr>
      <w:tr w:rsidR="00B53AC8" w:rsidRPr="00A76485" w14:paraId="223EC04B" w14:textId="77777777" w:rsidTr="003D7662">
        <w:trPr>
          <w:trHeight w:val="276"/>
          <w:jc w:val="center"/>
        </w:trPr>
        <w:tc>
          <w:tcPr>
            <w:tcW w:w="1090" w:type="pct"/>
            <w:vMerge/>
            <w:tcBorders>
              <w:top w:val="single" w:sz="8" w:space="0" w:color="auto"/>
              <w:left w:val="single" w:sz="8" w:space="0" w:color="auto"/>
              <w:bottom w:val="single" w:sz="8" w:space="0" w:color="000000"/>
              <w:right w:val="single" w:sz="8" w:space="0" w:color="auto"/>
            </w:tcBorders>
            <w:vAlign w:val="center"/>
            <w:hideMark/>
          </w:tcPr>
          <w:p w14:paraId="448687CC" w14:textId="77777777" w:rsidR="00B53AC8" w:rsidRPr="00A76485" w:rsidRDefault="00B53AC8" w:rsidP="00492D77">
            <w:pPr>
              <w:rPr>
                <w:rFonts w:ascii="Arial" w:eastAsia="Times New Roman" w:hAnsi="Arial" w:cs="Arial"/>
                <w:b/>
                <w:bCs/>
                <w:color w:val="000000"/>
                <w:sz w:val="16"/>
                <w:szCs w:val="16"/>
                <w:lang w:val="es-CO" w:eastAsia="es-CO"/>
              </w:rPr>
            </w:pPr>
          </w:p>
        </w:tc>
        <w:tc>
          <w:tcPr>
            <w:tcW w:w="1881" w:type="pct"/>
            <w:vMerge/>
            <w:tcBorders>
              <w:top w:val="single" w:sz="8" w:space="0" w:color="auto"/>
              <w:left w:val="single" w:sz="8" w:space="0" w:color="auto"/>
              <w:bottom w:val="single" w:sz="8" w:space="0" w:color="000000"/>
              <w:right w:val="single" w:sz="8" w:space="0" w:color="auto"/>
            </w:tcBorders>
            <w:vAlign w:val="center"/>
            <w:hideMark/>
          </w:tcPr>
          <w:p w14:paraId="78147B5E" w14:textId="77777777" w:rsidR="00B53AC8" w:rsidRPr="00A76485" w:rsidRDefault="00B53AC8" w:rsidP="00492D77">
            <w:pPr>
              <w:rPr>
                <w:rFonts w:ascii="Arial" w:eastAsia="Times New Roman" w:hAnsi="Arial" w:cs="Arial"/>
                <w:b/>
                <w:bCs/>
                <w:color w:val="000000"/>
                <w:sz w:val="16"/>
                <w:szCs w:val="16"/>
                <w:lang w:val="es-CO" w:eastAsia="es-CO"/>
              </w:rPr>
            </w:pPr>
          </w:p>
        </w:tc>
        <w:tc>
          <w:tcPr>
            <w:tcW w:w="2029" w:type="pct"/>
            <w:vMerge/>
            <w:tcBorders>
              <w:top w:val="single" w:sz="8" w:space="0" w:color="auto"/>
              <w:left w:val="single" w:sz="8" w:space="0" w:color="auto"/>
              <w:bottom w:val="nil"/>
              <w:right w:val="single" w:sz="8" w:space="0" w:color="auto"/>
            </w:tcBorders>
            <w:vAlign w:val="center"/>
            <w:hideMark/>
          </w:tcPr>
          <w:p w14:paraId="44CDB252" w14:textId="77777777" w:rsidR="00B53AC8" w:rsidRPr="00A76485" w:rsidRDefault="00B53AC8" w:rsidP="00492D77">
            <w:pPr>
              <w:rPr>
                <w:rFonts w:ascii="Arial" w:eastAsia="Times New Roman" w:hAnsi="Arial" w:cs="Arial"/>
                <w:b/>
                <w:bCs/>
                <w:color w:val="000000"/>
                <w:sz w:val="16"/>
                <w:szCs w:val="16"/>
                <w:lang w:val="es-CO" w:eastAsia="es-CO"/>
              </w:rPr>
            </w:pPr>
          </w:p>
        </w:tc>
      </w:tr>
      <w:tr w:rsidR="00B53AC8" w:rsidRPr="00A76485" w14:paraId="5B20369B"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vAlign w:val="center"/>
            <w:hideMark/>
          </w:tcPr>
          <w:p w14:paraId="5C63C22E"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PS750-2022</w:t>
            </w:r>
          </w:p>
        </w:tc>
        <w:tc>
          <w:tcPr>
            <w:tcW w:w="1881" w:type="pct"/>
            <w:tcBorders>
              <w:top w:val="nil"/>
              <w:left w:val="nil"/>
              <w:bottom w:val="single" w:sz="8" w:space="0" w:color="auto"/>
              <w:right w:val="nil"/>
            </w:tcBorders>
            <w:shd w:val="clear" w:color="auto" w:fill="auto"/>
            <w:noWrap/>
            <w:vAlign w:val="center"/>
            <w:hideMark/>
          </w:tcPr>
          <w:p w14:paraId="7A1D3CBE"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val="restart"/>
            <w:tcBorders>
              <w:top w:val="single" w:sz="8" w:space="0" w:color="1F4E78"/>
              <w:left w:val="single" w:sz="8" w:space="0" w:color="1F4E78"/>
              <w:bottom w:val="single" w:sz="8" w:space="0" w:color="1F4E78"/>
              <w:right w:val="single" w:sz="8" w:space="0" w:color="1F4E78"/>
            </w:tcBorders>
            <w:shd w:val="clear" w:color="auto" w:fill="auto"/>
            <w:vAlign w:val="center"/>
            <w:hideMark/>
          </w:tcPr>
          <w:p w14:paraId="4EB043A7" w14:textId="77777777" w:rsidR="00B53AC8" w:rsidRPr="00A76485" w:rsidRDefault="00B53AC8" w:rsidP="00492D77">
            <w:pPr>
              <w:jc w:val="cente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eastAsia="es-CO"/>
              </w:rPr>
              <w:t>Informes de ejecución o Informes de supervisión</w:t>
            </w:r>
          </w:p>
        </w:tc>
      </w:tr>
      <w:tr w:rsidR="00B53AC8" w:rsidRPr="00A76485" w14:paraId="0DAFB55A"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vAlign w:val="center"/>
            <w:hideMark/>
          </w:tcPr>
          <w:p w14:paraId="7DDBC972"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PS1133-2022</w:t>
            </w:r>
          </w:p>
        </w:tc>
        <w:tc>
          <w:tcPr>
            <w:tcW w:w="1881" w:type="pct"/>
            <w:tcBorders>
              <w:top w:val="nil"/>
              <w:left w:val="nil"/>
              <w:bottom w:val="single" w:sz="8" w:space="0" w:color="auto"/>
              <w:right w:val="nil"/>
            </w:tcBorders>
            <w:shd w:val="clear" w:color="auto" w:fill="auto"/>
            <w:noWrap/>
            <w:vAlign w:val="center"/>
            <w:hideMark/>
          </w:tcPr>
          <w:p w14:paraId="73CC254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79BE1EC7"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244E0217"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28CCF75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PS1129-2022</w:t>
            </w:r>
          </w:p>
        </w:tc>
        <w:tc>
          <w:tcPr>
            <w:tcW w:w="1881" w:type="pct"/>
            <w:tcBorders>
              <w:top w:val="nil"/>
              <w:left w:val="nil"/>
              <w:bottom w:val="single" w:sz="8" w:space="0" w:color="auto"/>
              <w:right w:val="nil"/>
            </w:tcBorders>
            <w:shd w:val="clear" w:color="auto" w:fill="auto"/>
            <w:noWrap/>
            <w:vAlign w:val="center"/>
            <w:hideMark/>
          </w:tcPr>
          <w:p w14:paraId="5A38AC0D"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4B2D4F74"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1E31EDC9"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5FB2E3E0"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PS1136-2022</w:t>
            </w:r>
          </w:p>
        </w:tc>
        <w:tc>
          <w:tcPr>
            <w:tcW w:w="1881" w:type="pct"/>
            <w:tcBorders>
              <w:top w:val="nil"/>
              <w:left w:val="nil"/>
              <w:bottom w:val="single" w:sz="8" w:space="0" w:color="auto"/>
              <w:right w:val="nil"/>
            </w:tcBorders>
            <w:shd w:val="clear" w:color="auto" w:fill="auto"/>
            <w:noWrap/>
            <w:vAlign w:val="center"/>
            <w:hideMark/>
          </w:tcPr>
          <w:p w14:paraId="6CDCF91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744BE234"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4D70A60A"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7C7C0C76"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PS1166-2022</w:t>
            </w:r>
          </w:p>
        </w:tc>
        <w:tc>
          <w:tcPr>
            <w:tcW w:w="1881" w:type="pct"/>
            <w:tcBorders>
              <w:top w:val="nil"/>
              <w:left w:val="nil"/>
              <w:bottom w:val="single" w:sz="8" w:space="0" w:color="auto"/>
              <w:right w:val="nil"/>
            </w:tcBorders>
            <w:shd w:val="clear" w:color="auto" w:fill="auto"/>
            <w:noWrap/>
            <w:vAlign w:val="center"/>
            <w:hideMark/>
          </w:tcPr>
          <w:p w14:paraId="3DF6FFE8"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47C436A1"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78046BCD"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759EA885"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PS1197-2022</w:t>
            </w:r>
          </w:p>
        </w:tc>
        <w:tc>
          <w:tcPr>
            <w:tcW w:w="1881" w:type="pct"/>
            <w:tcBorders>
              <w:top w:val="nil"/>
              <w:left w:val="nil"/>
              <w:bottom w:val="single" w:sz="8" w:space="0" w:color="auto"/>
              <w:right w:val="nil"/>
            </w:tcBorders>
            <w:shd w:val="clear" w:color="auto" w:fill="auto"/>
            <w:noWrap/>
            <w:vAlign w:val="center"/>
            <w:hideMark/>
          </w:tcPr>
          <w:p w14:paraId="62B3DCD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292B2A59"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1C442026"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5CA87EA6"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PS1199-2022</w:t>
            </w:r>
          </w:p>
        </w:tc>
        <w:tc>
          <w:tcPr>
            <w:tcW w:w="1881" w:type="pct"/>
            <w:tcBorders>
              <w:top w:val="nil"/>
              <w:left w:val="nil"/>
              <w:bottom w:val="single" w:sz="8" w:space="0" w:color="auto"/>
              <w:right w:val="nil"/>
            </w:tcBorders>
            <w:shd w:val="clear" w:color="auto" w:fill="auto"/>
            <w:noWrap/>
            <w:vAlign w:val="center"/>
            <w:hideMark/>
          </w:tcPr>
          <w:p w14:paraId="470F84CA"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39661519"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12B7054F"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7C9210E4"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PS1221-2022</w:t>
            </w:r>
          </w:p>
        </w:tc>
        <w:tc>
          <w:tcPr>
            <w:tcW w:w="1881" w:type="pct"/>
            <w:tcBorders>
              <w:top w:val="nil"/>
              <w:left w:val="nil"/>
              <w:bottom w:val="single" w:sz="8" w:space="0" w:color="auto"/>
              <w:right w:val="nil"/>
            </w:tcBorders>
            <w:shd w:val="clear" w:color="auto" w:fill="auto"/>
            <w:noWrap/>
            <w:vAlign w:val="center"/>
            <w:hideMark/>
          </w:tcPr>
          <w:p w14:paraId="0A9EF8C9"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0FBAF789"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086FCA4E"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1253669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PS1264-2022</w:t>
            </w:r>
          </w:p>
        </w:tc>
        <w:tc>
          <w:tcPr>
            <w:tcW w:w="1881" w:type="pct"/>
            <w:tcBorders>
              <w:top w:val="nil"/>
              <w:left w:val="nil"/>
              <w:bottom w:val="single" w:sz="8" w:space="0" w:color="auto"/>
              <w:right w:val="nil"/>
            </w:tcBorders>
            <w:shd w:val="clear" w:color="auto" w:fill="auto"/>
            <w:noWrap/>
            <w:vAlign w:val="center"/>
            <w:hideMark/>
          </w:tcPr>
          <w:p w14:paraId="24928B5D"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24F93B97" w14:textId="77777777" w:rsidR="00B53AC8" w:rsidRPr="00A76485" w:rsidRDefault="00B53AC8" w:rsidP="00492D77">
            <w:pPr>
              <w:rPr>
                <w:rFonts w:ascii="Arial" w:eastAsia="Times New Roman" w:hAnsi="Arial" w:cs="Arial"/>
                <w:color w:val="000000"/>
                <w:sz w:val="16"/>
                <w:szCs w:val="16"/>
                <w:lang w:val="es-CO" w:eastAsia="es-CO"/>
              </w:rPr>
            </w:pPr>
          </w:p>
        </w:tc>
      </w:tr>
      <w:tr w:rsidR="00B53AC8" w:rsidRPr="00A76485" w14:paraId="70B8377B" w14:textId="77777777" w:rsidTr="003D7662">
        <w:trPr>
          <w:trHeight w:val="237"/>
          <w:jc w:val="center"/>
        </w:trPr>
        <w:tc>
          <w:tcPr>
            <w:tcW w:w="1090" w:type="pct"/>
            <w:tcBorders>
              <w:top w:val="nil"/>
              <w:left w:val="single" w:sz="8" w:space="0" w:color="auto"/>
              <w:bottom w:val="single" w:sz="8" w:space="0" w:color="auto"/>
              <w:right w:val="single" w:sz="8" w:space="0" w:color="auto"/>
            </w:tcBorders>
            <w:shd w:val="clear" w:color="000000" w:fill="FFFFFF"/>
            <w:noWrap/>
            <w:vAlign w:val="center"/>
            <w:hideMark/>
          </w:tcPr>
          <w:p w14:paraId="43B0B986"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PS1277-2022</w:t>
            </w:r>
          </w:p>
        </w:tc>
        <w:tc>
          <w:tcPr>
            <w:tcW w:w="1881" w:type="pct"/>
            <w:tcBorders>
              <w:top w:val="nil"/>
              <w:left w:val="nil"/>
              <w:bottom w:val="single" w:sz="8" w:space="0" w:color="auto"/>
              <w:right w:val="nil"/>
            </w:tcBorders>
            <w:shd w:val="clear" w:color="auto" w:fill="auto"/>
            <w:noWrap/>
            <w:vAlign w:val="center"/>
            <w:hideMark/>
          </w:tcPr>
          <w:p w14:paraId="6DCA2371" w14:textId="77777777" w:rsidR="00B53AC8" w:rsidRPr="00A76485" w:rsidRDefault="00B53AC8" w:rsidP="00492D77">
            <w:pPr>
              <w:rPr>
                <w:rFonts w:ascii="Arial" w:eastAsia="Times New Roman" w:hAnsi="Arial" w:cs="Arial"/>
                <w:color w:val="000000"/>
                <w:sz w:val="16"/>
                <w:szCs w:val="16"/>
                <w:lang w:val="es-CO" w:eastAsia="es-CO"/>
              </w:rPr>
            </w:pPr>
            <w:r w:rsidRPr="00A76485">
              <w:rPr>
                <w:rFonts w:ascii="Arial" w:eastAsia="Times New Roman" w:hAnsi="Arial" w:cs="Arial"/>
                <w:color w:val="000000"/>
                <w:sz w:val="16"/>
                <w:szCs w:val="16"/>
                <w:lang w:val="es-CO" w:eastAsia="es-CO"/>
              </w:rPr>
              <w:t>SGP - SALUD PUBLICA</w:t>
            </w:r>
          </w:p>
        </w:tc>
        <w:tc>
          <w:tcPr>
            <w:tcW w:w="2029" w:type="pct"/>
            <w:vMerge/>
            <w:tcBorders>
              <w:top w:val="single" w:sz="8" w:space="0" w:color="1F4E78"/>
              <w:left w:val="single" w:sz="8" w:space="0" w:color="1F4E78"/>
              <w:bottom w:val="single" w:sz="8" w:space="0" w:color="1F4E78"/>
              <w:right w:val="single" w:sz="8" w:space="0" w:color="1F4E78"/>
            </w:tcBorders>
            <w:vAlign w:val="center"/>
            <w:hideMark/>
          </w:tcPr>
          <w:p w14:paraId="7EBE971D" w14:textId="77777777" w:rsidR="00B53AC8" w:rsidRPr="00A76485" w:rsidRDefault="00B53AC8" w:rsidP="00492D77">
            <w:pPr>
              <w:rPr>
                <w:rFonts w:ascii="Arial" w:eastAsia="Times New Roman" w:hAnsi="Arial" w:cs="Arial"/>
                <w:color w:val="000000"/>
                <w:sz w:val="16"/>
                <w:szCs w:val="16"/>
                <w:lang w:val="es-CO" w:eastAsia="es-CO"/>
              </w:rPr>
            </w:pPr>
          </w:p>
        </w:tc>
      </w:tr>
    </w:tbl>
    <w:p w14:paraId="663564F0" w14:textId="77777777" w:rsidR="00B53AC8" w:rsidRPr="00A76485" w:rsidRDefault="00B53AC8" w:rsidP="00492D77">
      <w:pPr>
        <w:jc w:val="both"/>
        <w:rPr>
          <w:rFonts w:ascii="Arial" w:eastAsia="Times New Roman" w:hAnsi="Arial" w:cs="Arial"/>
          <w:color w:val="000000"/>
          <w:sz w:val="18"/>
          <w:szCs w:val="18"/>
          <w:lang w:val="es-CO" w:eastAsia="es-CO"/>
        </w:rPr>
      </w:pPr>
      <w:r w:rsidRPr="00A76485">
        <w:rPr>
          <w:rFonts w:ascii="Arial" w:hAnsi="Arial" w:cs="Arial"/>
          <w:sz w:val="21"/>
          <w:szCs w:val="21"/>
        </w:rPr>
        <w:tab/>
        <w:t xml:space="preserve">    </w:t>
      </w:r>
      <w:r w:rsidRPr="00A76485">
        <w:rPr>
          <w:rFonts w:ascii="Arial" w:eastAsia="Times New Roman" w:hAnsi="Arial" w:cs="Arial"/>
          <w:color w:val="000000"/>
          <w:sz w:val="18"/>
          <w:szCs w:val="18"/>
          <w:lang w:val="es-CO" w:eastAsia="es-CO"/>
        </w:rPr>
        <w:t xml:space="preserve">Fuente: Elaboración DAF con información </w:t>
      </w:r>
      <w:proofErr w:type="gramStart"/>
      <w:r w:rsidRPr="00A76485">
        <w:rPr>
          <w:rFonts w:ascii="Arial" w:eastAsia="Times New Roman" w:hAnsi="Arial" w:cs="Arial"/>
          <w:color w:val="000000"/>
          <w:sz w:val="18"/>
          <w:szCs w:val="18"/>
          <w:lang w:val="es-CO" w:eastAsia="es-CO"/>
        </w:rPr>
        <w:t>-  Entidad</w:t>
      </w:r>
      <w:proofErr w:type="gramEnd"/>
      <w:r w:rsidRPr="00A76485">
        <w:rPr>
          <w:rFonts w:ascii="Arial" w:eastAsia="Times New Roman" w:hAnsi="Arial" w:cs="Arial"/>
          <w:color w:val="000000"/>
          <w:sz w:val="18"/>
          <w:szCs w:val="18"/>
          <w:lang w:val="es-CO" w:eastAsia="es-CO"/>
        </w:rPr>
        <w:t xml:space="preserve"> territorial – Secretaria de Salud</w:t>
      </w:r>
    </w:p>
    <w:p w14:paraId="296E43C0" w14:textId="77777777" w:rsidR="00B53AC8" w:rsidRPr="00A76485" w:rsidRDefault="00B53AC8" w:rsidP="00492D77">
      <w:pPr>
        <w:jc w:val="both"/>
        <w:rPr>
          <w:rFonts w:ascii="Arial" w:eastAsia="Times New Roman" w:hAnsi="Arial" w:cs="Arial"/>
          <w:color w:val="000000"/>
          <w:sz w:val="18"/>
          <w:szCs w:val="18"/>
          <w:lang w:val="es-CO" w:eastAsia="es-CO"/>
        </w:rPr>
      </w:pPr>
    </w:p>
    <w:p w14:paraId="0629DA32" w14:textId="77777777" w:rsidR="00B53AC8" w:rsidRPr="00A76485" w:rsidRDefault="00C77CF4" w:rsidP="00492D77">
      <w:pPr>
        <w:jc w:val="both"/>
        <w:rPr>
          <w:rFonts w:ascii="Arial" w:hAnsi="Arial" w:cs="Arial"/>
          <w:sz w:val="21"/>
          <w:szCs w:val="21"/>
        </w:rPr>
      </w:pPr>
      <w:r w:rsidRPr="00A76485">
        <w:rPr>
          <w:rFonts w:ascii="Arial" w:hAnsi="Arial" w:cs="Arial"/>
          <w:sz w:val="21"/>
          <w:szCs w:val="21"/>
        </w:rPr>
        <w:t>Frente a la contratación del PIC los siguientes contratos presentan la misma observación, sobre la no publicación de la totalidad de documentos como informes de ejecución y supervisión:</w:t>
      </w:r>
    </w:p>
    <w:p w14:paraId="0EA4618C" w14:textId="77777777" w:rsidR="00C77CF4" w:rsidRPr="00A76485" w:rsidRDefault="00C77CF4" w:rsidP="00492D77">
      <w:pPr>
        <w:jc w:val="both"/>
        <w:rPr>
          <w:rFonts w:ascii="Arial" w:hAnsi="Arial" w:cs="Arial"/>
          <w:sz w:val="21"/>
          <w:szCs w:val="21"/>
        </w:rPr>
      </w:pPr>
    </w:p>
    <w:tbl>
      <w:tblPr>
        <w:tblW w:w="5060" w:type="dxa"/>
        <w:jc w:val="center"/>
        <w:tblCellMar>
          <w:left w:w="70" w:type="dxa"/>
          <w:right w:w="70" w:type="dxa"/>
        </w:tblCellMar>
        <w:tblLook w:val="04A0" w:firstRow="1" w:lastRow="0" w:firstColumn="1" w:lastColumn="0" w:noHBand="0" w:noVBand="1"/>
      </w:tblPr>
      <w:tblGrid>
        <w:gridCol w:w="1540"/>
        <w:gridCol w:w="2120"/>
        <w:gridCol w:w="1199"/>
        <w:gridCol w:w="201"/>
      </w:tblGrid>
      <w:tr w:rsidR="00667806" w14:paraId="25891542" w14:textId="77777777" w:rsidTr="00667806">
        <w:trPr>
          <w:gridAfter w:val="1"/>
          <w:trHeight w:val="330"/>
          <w:jc w:val="center"/>
        </w:trPr>
        <w:tc>
          <w:tcPr>
            <w:tcW w:w="1540" w:type="dxa"/>
            <w:vMerge w:val="restart"/>
            <w:tcBorders>
              <w:top w:val="single" w:sz="8" w:space="0" w:color="auto"/>
              <w:left w:val="single" w:sz="8" w:space="0" w:color="auto"/>
              <w:bottom w:val="single" w:sz="8" w:space="0" w:color="000000"/>
              <w:right w:val="single" w:sz="8" w:space="0" w:color="auto"/>
            </w:tcBorders>
            <w:shd w:val="clear" w:color="auto" w:fill="C0C0C0"/>
            <w:vAlign w:val="center"/>
            <w:hideMark/>
          </w:tcPr>
          <w:p w14:paraId="533EDFDF" w14:textId="77777777" w:rsidR="00667806" w:rsidRDefault="00667806">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No. DE CONTRATO</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C0C0C0"/>
            <w:vAlign w:val="center"/>
            <w:hideMark/>
          </w:tcPr>
          <w:p w14:paraId="2E1F47B4" w14:textId="77777777" w:rsidR="00667806" w:rsidRDefault="00667806">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COMPONENTE</w:t>
            </w:r>
          </w:p>
        </w:tc>
        <w:tc>
          <w:tcPr>
            <w:tcW w:w="1400" w:type="dxa"/>
            <w:vMerge w:val="restart"/>
            <w:tcBorders>
              <w:top w:val="single" w:sz="8" w:space="0" w:color="auto"/>
              <w:left w:val="single" w:sz="8" w:space="0" w:color="auto"/>
              <w:bottom w:val="single" w:sz="8" w:space="0" w:color="1F4E78"/>
              <w:right w:val="single" w:sz="8" w:space="0" w:color="auto"/>
            </w:tcBorders>
            <w:shd w:val="clear" w:color="auto" w:fill="C0C0C0"/>
            <w:vAlign w:val="center"/>
            <w:hideMark/>
          </w:tcPr>
          <w:p w14:paraId="010E8821" w14:textId="77777777" w:rsidR="00667806" w:rsidRDefault="00667806">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DOCUMENTO NO PUBLICADO</w:t>
            </w:r>
          </w:p>
        </w:tc>
      </w:tr>
      <w:tr w:rsidR="00667806" w14:paraId="44D01591" w14:textId="77777777" w:rsidTr="00667806">
        <w:trPr>
          <w:trHeight w:val="30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17015275" w14:textId="77777777" w:rsidR="00667806" w:rsidRDefault="00667806">
            <w:pPr>
              <w:rPr>
                <w:rFonts w:ascii="Arial" w:eastAsia="Times New Roman" w:hAnsi="Arial" w:cs="Arial"/>
                <w:b/>
                <w:bCs/>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C50A71" w14:textId="77777777" w:rsidR="00667806" w:rsidRDefault="00667806">
            <w:pPr>
              <w:rPr>
                <w:rFonts w:ascii="Arial" w:eastAsia="Times New Roman" w:hAnsi="Arial" w:cs="Arial"/>
                <w:b/>
                <w:bCs/>
                <w:color w:val="000000"/>
                <w:sz w:val="16"/>
                <w:szCs w:val="16"/>
                <w:lang w:val="es-CO" w:eastAsia="es-CO"/>
              </w:rPr>
            </w:pPr>
          </w:p>
        </w:tc>
        <w:tc>
          <w:tcPr>
            <w:tcW w:w="0" w:type="auto"/>
            <w:vMerge/>
            <w:tcBorders>
              <w:top w:val="single" w:sz="8" w:space="0" w:color="auto"/>
              <w:left w:val="single" w:sz="8" w:space="0" w:color="auto"/>
              <w:bottom w:val="single" w:sz="8" w:space="0" w:color="1F4E78"/>
              <w:right w:val="single" w:sz="8" w:space="0" w:color="auto"/>
            </w:tcBorders>
            <w:vAlign w:val="center"/>
            <w:hideMark/>
          </w:tcPr>
          <w:p w14:paraId="2A2E482A" w14:textId="77777777" w:rsidR="00667806" w:rsidRDefault="00667806">
            <w:pPr>
              <w:rPr>
                <w:rFonts w:ascii="Arial" w:eastAsia="Times New Roman" w:hAnsi="Arial" w:cs="Arial"/>
                <w:b/>
                <w:bCs/>
                <w:color w:val="000000"/>
                <w:sz w:val="16"/>
                <w:szCs w:val="16"/>
                <w:lang w:val="es-CO" w:eastAsia="es-CO"/>
              </w:rPr>
            </w:pPr>
          </w:p>
        </w:tc>
        <w:tc>
          <w:tcPr>
            <w:tcW w:w="0" w:type="auto"/>
            <w:vAlign w:val="center"/>
            <w:hideMark/>
          </w:tcPr>
          <w:p w14:paraId="4C932A71" w14:textId="77777777" w:rsidR="00667806" w:rsidRDefault="00667806">
            <w:pPr>
              <w:rPr>
                <w:rFonts w:ascii="Arial" w:eastAsia="Times New Roman" w:hAnsi="Arial" w:cs="Arial"/>
                <w:b/>
                <w:bCs/>
                <w:color w:val="000000"/>
                <w:sz w:val="16"/>
                <w:szCs w:val="16"/>
                <w:lang w:val="es-CO" w:eastAsia="es-CO"/>
              </w:rPr>
            </w:pPr>
          </w:p>
        </w:tc>
      </w:tr>
      <w:tr w:rsidR="00667806" w14:paraId="5CD29653" w14:textId="77777777" w:rsidTr="00667806">
        <w:trPr>
          <w:trHeight w:val="300"/>
          <w:jc w:val="center"/>
        </w:trPr>
        <w:tc>
          <w:tcPr>
            <w:tcW w:w="1540" w:type="dxa"/>
            <w:tcBorders>
              <w:top w:val="nil"/>
              <w:left w:val="single" w:sz="8" w:space="0" w:color="auto"/>
              <w:bottom w:val="single" w:sz="8" w:space="0" w:color="auto"/>
              <w:right w:val="single" w:sz="8" w:space="0" w:color="auto"/>
            </w:tcBorders>
            <w:shd w:val="clear" w:color="auto" w:fill="FFFFFF"/>
            <w:vAlign w:val="center"/>
            <w:hideMark/>
          </w:tcPr>
          <w:p w14:paraId="7DD83C08"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PS1450-2022</w:t>
            </w:r>
          </w:p>
        </w:tc>
        <w:tc>
          <w:tcPr>
            <w:tcW w:w="2120" w:type="dxa"/>
            <w:tcBorders>
              <w:top w:val="nil"/>
              <w:left w:val="nil"/>
              <w:bottom w:val="single" w:sz="8" w:space="0" w:color="auto"/>
              <w:right w:val="nil"/>
            </w:tcBorders>
            <w:noWrap/>
            <w:vAlign w:val="center"/>
            <w:hideMark/>
          </w:tcPr>
          <w:p w14:paraId="6B83EF5F"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 - SALUD PUBLICA</w:t>
            </w:r>
          </w:p>
        </w:tc>
        <w:tc>
          <w:tcPr>
            <w:tcW w:w="1400" w:type="dxa"/>
            <w:vMerge w:val="restart"/>
            <w:tcBorders>
              <w:top w:val="nil"/>
              <w:left w:val="single" w:sz="8" w:space="0" w:color="1F4E78"/>
              <w:bottom w:val="single" w:sz="8" w:space="0" w:color="000000"/>
              <w:right w:val="single" w:sz="8" w:space="0" w:color="auto"/>
            </w:tcBorders>
            <w:vAlign w:val="center"/>
            <w:hideMark/>
          </w:tcPr>
          <w:p w14:paraId="3F830214"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Informes de ejecución o Informes de supervisión</w:t>
            </w:r>
          </w:p>
        </w:tc>
        <w:tc>
          <w:tcPr>
            <w:tcW w:w="0" w:type="auto"/>
            <w:vAlign w:val="center"/>
            <w:hideMark/>
          </w:tcPr>
          <w:p w14:paraId="1FF388C4" w14:textId="77777777" w:rsidR="00667806" w:rsidRDefault="00667806">
            <w:pPr>
              <w:rPr>
                <w:rFonts w:asciiTheme="minorHAnsi" w:eastAsiaTheme="minorHAnsi" w:hAnsiTheme="minorHAnsi" w:cstheme="minorBidi"/>
                <w:sz w:val="20"/>
                <w:szCs w:val="20"/>
                <w:lang w:val="es-CO" w:eastAsia="es-CO"/>
              </w:rPr>
            </w:pPr>
          </w:p>
        </w:tc>
      </w:tr>
      <w:tr w:rsidR="00667806" w14:paraId="49FCA070" w14:textId="77777777" w:rsidTr="00667806">
        <w:trPr>
          <w:trHeight w:val="300"/>
          <w:jc w:val="center"/>
        </w:trPr>
        <w:tc>
          <w:tcPr>
            <w:tcW w:w="1540" w:type="dxa"/>
            <w:tcBorders>
              <w:top w:val="nil"/>
              <w:left w:val="single" w:sz="8" w:space="0" w:color="auto"/>
              <w:bottom w:val="single" w:sz="8" w:space="0" w:color="auto"/>
              <w:right w:val="single" w:sz="8" w:space="0" w:color="auto"/>
            </w:tcBorders>
            <w:shd w:val="clear" w:color="auto" w:fill="FFFFFF"/>
            <w:vAlign w:val="center"/>
            <w:hideMark/>
          </w:tcPr>
          <w:p w14:paraId="15DDE72A"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CI1696-2022</w:t>
            </w:r>
          </w:p>
        </w:tc>
        <w:tc>
          <w:tcPr>
            <w:tcW w:w="2120" w:type="dxa"/>
            <w:tcBorders>
              <w:top w:val="nil"/>
              <w:left w:val="nil"/>
              <w:bottom w:val="single" w:sz="8" w:space="0" w:color="auto"/>
              <w:right w:val="nil"/>
            </w:tcBorders>
            <w:noWrap/>
            <w:vAlign w:val="center"/>
            <w:hideMark/>
          </w:tcPr>
          <w:p w14:paraId="7CF9F724"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 - SALUD PUBLICA</w:t>
            </w:r>
          </w:p>
        </w:tc>
        <w:tc>
          <w:tcPr>
            <w:tcW w:w="0" w:type="auto"/>
            <w:vMerge/>
            <w:tcBorders>
              <w:top w:val="nil"/>
              <w:left w:val="single" w:sz="8" w:space="0" w:color="1F4E78"/>
              <w:bottom w:val="single" w:sz="8" w:space="0" w:color="000000"/>
              <w:right w:val="single" w:sz="8" w:space="0" w:color="auto"/>
            </w:tcBorders>
            <w:vAlign w:val="center"/>
            <w:hideMark/>
          </w:tcPr>
          <w:p w14:paraId="1C8B2BD2" w14:textId="77777777" w:rsidR="00667806" w:rsidRDefault="00667806">
            <w:pPr>
              <w:rPr>
                <w:rFonts w:ascii="Arial" w:eastAsia="Times New Roman" w:hAnsi="Arial" w:cs="Arial"/>
                <w:color w:val="000000"/>
                <w:sz w:val="16"/>
                <w:szCs w:val="16"/>
                <w:lang w:val="es-CO" w:eastAsia="es-CO"/>
              </w:rPr>
            </w:pPr>
          </w:p>
        </w:tc>
        <w:tc>
          <w:tcPr>
            <w:tcW w:w="0" w:type="auto"/>
            <w:vAlign w:val="center"/>
            <w:hideMark/>
          </w:tcPr>
          <w:p w14:paraId="221CE7FD" w14:textId="77777777" w:rsidR="00667806" w:rsidRDefault="00667806">
            <w:pPr>
              <w:rPr>
                <w:rFonts w:asciiTheme="minorHAnsi" w:eastAsiaTheme="minorHAnsi" w:hAnsiTheme="minorHAnsi" w:cstheme="minorBidi"/>
                <w:sz w:val="20"/>
                <w:szCs w:val="20"/>
                <w:lang w:val="es-CO" w:eastAsia="es-CO"/>
              </w:rPr>
            </w:pPr>
          </w:p>
        </w:tc>
      </w:tr>
      <w:tr w:rsidR="00667806" w14:paraId="4B5FA568" w14:textId="77777777" w:rsidTr="00667806">
        <w:trPr>
          <w:trHeight w:val="300"/>
          <w:jc w:val="center"/>
        </w:trPr>
        <w:tc>
          <w:tcPr>
            <w:tcW w:w="1540" w:type="dxa"/>
            <w:tcBorders>
              <w:top w:val="nil"/>
              <w:left w:val="single" w:sz="8" w:space="0" w:color="auto"/>
              <w:bottom w:val="single" w:sz="8" w:space="0" w:color="auto"/>
              <w:right w:val="single" w:sz="8" w:space="0" w:color="auto"/>
            </w:tcBorders>
            <w:shd w:val="clear" w:color="auto" w:fill="FFFFFF"/>
            <w:vAlign w:val="center"/>
            <w:hideMark/>
          </w:tcPr>
          <w:p w14:paraId="7BA3C61F"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CI1696-2022</w:t>
            </w:r>
          </w:p>
        </w:tc>
        <w:tc>
          <w:tcPr>
            <w:tcW w:w="2120" w:type="dxa"/>
            <w:tcBorders>
              <w:top w:val="nil"/>
              <w:left w:val="nil"/>
              <w:bottom w:val="single" w:sz="8" w:space="0" w:color="auto"/>
              <w:right w:val="nil"/>
            </w:tcBorders>
            <w:noWrap/>
            <w:vAlign w:val="center"/>
            <w:hideMark/>
          </w:tcPr>
          <w:p w14:paraId="54F48082"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 - SALUD PUBLICA</w:t>
            </w:r>
          </w:p>
        </w:tc>
        <w:tc>
          <w:tcPr>
            <w:tcW w:w="0" w:type="auto"/>
            <w:vMerge/>
            <w:tcBorders>
              <w:top w:val="nil"/>
              <w:left w:val="single" w:sz="8" w:space="0" w:color="1F4E78"/>
              <w:bottom w:val="single" w:sz="8" w:space="0" w:color="000000"/>
              <w:right w:val="single" w:sz="8" w:space="0" w:color="auto"/>
            </w:tcBorders>
            <w:vAlign w:val="center"/>
            <w:hideMark/>
          </w:tcPr>
          <w:p w14:paraId="42F2CEC6" w14:textId="77777777" w:rsidR="00667806" w:rsidRDefault="00667806">
            <w:pPr>
              <w:rPr>
                <w:rFonts w:ascii="Arial" w:eastAsia="Times New Roman" w:hAnsi="Arial" w:cs="Arial"/>
                <w:color w:val="000000"/>
                <w:sz w:val="16"/>
                <w:szCs w:val="16"/>
                <w:lang w:val="es-CO" w:eastAsia="es-CO"/>
              </w:rPr>
            </w:pPr>
          </w:p>
        </w:tc>
        <w:tc>
          <w:tcPr>
            <w:tcW w:w="0" w:type="auto"/>
            <w:vAlign w:val="center"/>
            <w:hideMark/>
          </w:tcPr>
          <w:p w14:paraId="77F349B5" w14:textId="77777777" w:rsidR="00667806" w:rsidRDefault="00667806">
            <w:pPr>
              <w:rPr>
                <w:rFonts w:asciiTheme="minorHAnsi" w:eastAsiaTheme="minorHAnsi" w:hAnsiTheme="minorHAnsi" w:cstheme="minorBidi"/>
                <w:sz w:val="20"/>
                <w:szCs w:val="20"/>
                <w:lang w:val="es-CO" w:eastAsia="es-CO"/>
              </w:rPr>
            </w:pPr>
          </w:p>
        </w:tc>
      </w:tr>
      <w:tr w:rsidR="00667806" w14:paraId="6E9800C7" w14:textId="77777777" w:rsidTr="00667806">
        <w:trPr>
          <w:trHeight w:val="300"/>
          <w:jc w:val="center"/>
        </w:trPr>
        <w:tc>
          <w:tcPr>
            <w:tcW w:w="1540" w:type="dxa"/>
            <w:tcBorders>
              <w:top w:val="nil"/>
              <w:left w:val="single" w:sz="8" w:space="0" w:color="auto"/>
              <w:bottom w:val="single" w:sz="8" w:space="0" w:color="auto"/>
              <w:right w:val="single" w:sz="8" w:space="0" w:color="auto"/>
            </w:tcBorders>
            <w:shd w:val="clear" w:color="auto" w:fill="FFFFFF"/>
            <w:noWrap/>
            <w:vAlign w:val="center"/>
            <w:hideMark/>
          </w:tcPr>
          <w:p w14:paraId="2F595BFA"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ESAL-018-2022</w:t>
            </w:r>
          </w:p>
        </w:tc>
        <w:tc>
          <w:tcPr>
            <w:tcW w:w="2120" w:type="dxa"/>
            <w:tcBorders>
              <w:top w:val="nil"/>
              <w:left w:val="nil"/>
              <w:bottom w:val="single" w:sz="8" w:space="0" w:color="auto"/>
              <w:right w:val="nil"/>
            </w:tcBorders>
            <w:noWrap/>
            <w:vAlign w:val="center"/>
            <w:hideMark/>
          </w:tcPr>
          <w:p w14:paraId="122A4D74" w14:textId="77777777" w:rsidR="00667806" w:rsidRDefault="00667806">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SGP - SALUD PUBLICA</w:t>
            </w:r>
          </w:p>
        </w:tc>
        <w:tc>
          <w:tcPr>
            <w:tcW w:w="0" w:type="auto"/>
            <w:vMerge/>
            <w:tcBorders>
              <w:top w:val="nil"/>
              <w:left w:val="single" w:sz="8" w:space="0" w:color="1F4E78"/>
              <w:bottom w:val="single" w:sz="8" w:space="0" w:color="000000"/>
              <w:right w:val="single" w:sz="8" w:space="0" w:color="auto"/>
            </w:tcBorders>
            <w:vAlign w:val="center"/>
            <w:hideMark/>
          </w:tcPr>
          <w:p w14:paraId="7BEA277D" w14:textId="77777777" w:rsidR="00667806" w:rsidRDefault="00667806">
            <w:pPr>
              <w:rPr>
                <w:rFonts w:ascii="Arial" w:eastAsia="Times New Roman" w:hAnsi="Arial" w:cs="Arial"/>
                <w:color w:val="000000"/>
                <w:sz w:val="16"/>
                <w:szCs w:val="16"/>
                <w:lang w:val="es-CO" w:eastAsia="es-CO"/>
              </w:rPr>
            </w:pPr>
          </w:p>
        </w:tc>
        <w:tc>
          <w:tcPr>
            <w:tcW w:w="0" w:type="auto"/>
            <w:vAlign w:val="center"/>
            <w:hideMark/>
          </w:tcPr>
          <w:p w14:paraId="60F9EA22" w14:textId="77777777" w:rsidR="00667806" w:rsidRDefault="00667806">
            <w:pPr>
              <w:rPr>
                <w:rFonts w:asciiTheme="minorHAnsi" w:eastAsiaTheme="minorHAnsi" w:hAnsiTheme="minorHAnsi" w:cstheme="minorBidi"/>
                <w:sz w:val="20"/>
                <w:szCs w:val="20"/>
                <w:lang w:val="es-CO" w:eastAsia="es-CO"/>
              </w:rPr>
            </w:pPr>
          </w:p>
        </w:tc>
      </w:tr>
    </w:tbl>
    <w:p w14:paraId="5862B7BF" w14:textId="77777777" w:rsidR="00667806" w:rsidRDefault="00667806" w:rsidP="00667806">
      <w:pPr>
        <w:jc w:val="center"/>
        <w:rPr>
          <w:rFonts w:ascii="Arial" w:hAnsi="Arial" w:cs="Arial"/>
          <w:sz w:val="21"/>
          <w:szCs w:val="21"/>
        </w:rPr>
      </w:pPr>
      <w:r>
        <w:rPr>
          <w:rFonts w:ascii="Arial" w:eastAsia="Times New Roman" w:hAnsi="Arial" w:cs="Arial"/>
          <w:color w:val="000000"/>
          <w:sz w:val="18"/>
          <w:szCs w:val="18"/>
          <w:lang w:val="es-CO" w:eastAsia="es-CO"/>
        </w:rPr>
        <w:t xml:space="preserve">Fuente: Entidad territorial – </w:t>
      </w:r>
      <w:proofErr w:type="gramStart"/>
      <w:r>
        <w:rPr>
          <w:rFonts w:ascii="Arial" w:eastAsia="Times New Roman" w:hAnsi="Arial" w:cs="Arial"/>
          <w:color w:val="000000"/>
          <w:sz w:val="18"/>
          <w:szCs w:val="18"/>
          <w:lang w:val="es-CO" w:eastAsia="es-CO"/>
        </w:rPr>
        <w:t>Secretaria</w:t>
      </w:r>
      <w:proofErr w:type="gramEnd"/>
      <w:r>
        <w:rPr>
          <w:rFonts w:ascii="Arial" w:eastAsia="Times New Roman" w:hAnsi="Arial" w:cs="Arial"/>
          <w:color w:val="000000"/>
          <w:sz w:val="18"/>
          <w:szCs w:val="18"/>
          <w:lang w:val="es-CO" w:eastAsia="es-CO"/>
        </w:rPr>
        <w:t xml:space="preserve"> de Salud</w:t>
      </w:r>
    </w:p>
    <w:p w14:paraId="5E2FF220" w14:textId="77777777" w:rsidR="00C77CF4" w:rsidRPr="00A76485" w:rsidRDefault="00C77CF4" w:rsidP="00492D77">
      <w:pPr>
        <w:jc w:val="both"/>
        <w:rPr>
          <w:rFonts w:ascii="Arial" w:eastAsia="Times New Roman" w:hAnsi="Arial" w:cs="Arial"/>
          <w:color w:val="000000"/>
          <w:sz w:val="18"/>
          <w:szCs w:val="18"/>
          <w:lang w:val="es-CO" w:eastAsia="es-CO"/>
        </w:rPr>
      </w:pPr>
    </w:p>
    <w:p w14:paraId="7068AA5C" w14:textId="77777777" w:rsidR="00B53AC8" w:rsidRPr="00A76485" w:rsidRDefault="00B53AC8" w:rsidP="00492D77">
      <w:pPr>
        <w:pStyle w:val="Sinespaciado"/>
        <w:contextualSpacing/>
        <w:jc w:val="both"/>
        <w:rPr>
          <w:rFonts w:ascii="Arial" w:eastAsia="MS Mincho" w:hAnsi="Arial" w:cs="Arial"/>
          <w:sz w:val="21"/>
          <w:szCs w:val="21"/>
          <w:lang w:val="es-ES" w:eastAsia="es-ES"/>
        </w:rPr>
      </w:pPr>
      <w:r w:rsidRPr="00A76485">
        <w:rPr>
          <w:rFonts w:ascii="Arial" w:eastAsia="MS Mincho" w:hAnsi="Arial" w:cs="Arial"/>
          <w:sz w:val="21"/>
          <w:szCs w:val="21"/>
          <w:lang w:val="es-ES" w:eastAsia="es-ES"/>
        </w:rPr>
        <w:t xml:space="preserve">Evidencias: </w:t>
      </w:r>
    </w:p>
    <w:p w14:paraId="7A5C8B79" w14:textId="77777777" w:rsidR="00B53AC8" w:rsidRPr="00A76485" w:rsidRDefault="00B53AC8" w:rsidP="00492D77">
      <w:pPr>
        <w:contextualSpacing/>
        <w:jc w:val="both"/>
        <w:rPr>
          <w:rFonts w:ascii="Arial" w:eastAsia="Times New Roman" w:hAnsi="Arial" w:cs="Arial"/>
          <w:b/>
          <w:color w:val="000000" w:themeColor="text1"/>
          <w:sz w:val="21"/>
          <w:szCs w:val="21"/>
          <w:lang w:eastAsia="en-US"/>
        </w:rPr>
      </w:pPr>
    </w:p>
    <w:p w14:paraId="4B5F8B21" w14:textId="77777777" w:rsidR="00B53AC8" w:rsidRPr="00A76485" w:rsidRDefault="00B53AC8" w:rsidP="00492D77">
      <w:pPr>
        <w:jc w:val="both"/>
        <w:rPr>
          <w:rFonts w:ascii="Arial" w:eastAsia="Arial Narrow" w:hAnsi="Arial" w:cs="Arial"/>
          <w:color w:val="000000" w:themeColor="text1"/>
          <w:sz w:val="21"/>
          <w:szCs w:val="21"/>
          <w:lang w:val="es-CO" w:eastAsia="en-US"/>
        </w:rPr>
      </w:pPr>
      <w:r w:rsidRPr="00A76485">
        <w:rPr>
          <w:rFonts w:ascii="Arial" w:eastAsia="Arial Narrow" w:hAnsi="Arial" w:cs="Arial"/>
          <w:color w:val="000000" w:themeColor="text1"/>
          <w:sz w:val="21"/>
          <w:szCs w:val="21"/>
        </w:rPr>
        <w:t xml:space="preserve">CONSULTA SISTEMA ELECTRÓNICO DE CONTRATACIÓN PÚBLICA – SECOP. SALUD. DISTRITO DE SANTA MARTA. </w:t>
      </w:r>
      <w:r w:rsidR="004F048F" w:rsidRPr="004F048F">
        <w:rPr>
          <w:rFonts w:ascii="Arial" w:eastAsia="Arial Narrow" w:hAnsi="Arial" w:cs="Arial"/>
          <w:color w:val="000000" w:themeColor="text1"/>
          <w:sz w:val="21"/>
          <w:szCs w:val="21"/>
        </w:rPr>
        <w:t>OFICIO CON RADICADO SIED NO. 2-2023-013314 DEL 17 DE MARZO DE 2023</w:t>
      </w:r>
      <w:r w:rsidR="004F048F">
        <w:rPr>
          <w:rFonts w:ascii="Arial" w:eastAsia="Arial Narrow" w:hAnsi="Arial" w:cs="Arial"/>
          <w:color w:val="000000" w:themeColor="text1"/>
          <w:sz w:val="21"/>
          <w:szCs w:val="21"/>
        </w:rPr>
        <w:t xml:space="preserve">. </w:t>
      </w:r>
      <w:r w:rsidRPr="00A76485">
        <w:rPr>
          <w:rFonts w:ascii="Arial" w:eastAsia="Arial Narrow" w:hAnsi="Arial" w:cs="Arial"/>
          <w:color w:val="000000" w:themeColor="text1"/>
          <w:sz w:val="21"/>
          <w:szCs w:val="21"/>
        </w:rPr>
        <w:t>HISTORIAL DE SEGUIMIENTO Y CONTROL A LOS RECURSOS DEL SISTEMA GENERAL DE PARTICIPACIONES – DIAGNÓSTICO Y APLICACIÓN DE LA MEDIDA. EXPEDIENTE 2/2023/D028-</w:t>
      </w:r>
      <w:proofErr w:type="gramStart"/>
      <w:r w:rsidRPr="00A76485">
        <w:rPr>
          <w:rFonts w:ascii="Arial" w:eastAsia="Arial Narrow" w:hAnsi="Arial" w:cs="Arial"/>
          <w:color w:val="000000" w:themeColor="text1"/>
          <w:sz w:val="21"/>
          <w:szCs w:val="21"/>
        </w:rPr>
        <w:t>PREDI..</w:t>
      </w:r>
      <w:proofErr w:type="gramEnd"/>
      <w:r w:rsidR="00854591">
        <w:rPr>
          <w:rFonts w:ascii="Arial" w:eastAsia="Arial Narrow" w:hAnsi="Arial" w:cs="Arial"/>
          <w:color w:val="000000" w:themeColor="text1"/>
          <w:sz w:val="21"/>
          <w:szCs w:val="21"/>
        </w:rPr>
        <w:t xml:space="preserve"> </w:t>
      </w:r>
      <w:r w:rsidRPr="00A76485">
        <w:rPr>
          <w:rFonts w:ascii="Arial" w:eastAsia="Arial Narrow" w:hAnsi="Arial" w:cs="Arial"/>
          <w:color w:val="000000" w:themeColor="text1"/>
          <w:sz w:val="21"/>
          <w:szCs w:val="21"/>
        </w:rPr>
        <w:t xml:space="preserve">ENLACE: </w:t>
      </w:r>
      <w:hyperlink r:id="rId39" w:anchor="url-960061" w:history="1">
        <w:r w:rsidRPr="00A76485">
          <w:rPr>
            <w:rStyle w:val="Hipervnculo"/>
            <w:rFonts w:ascii="Arial" w:eastAsia="Arial Narrow" w:hAnsi="Arial" w:cs="Arial"/>
            <w:sz w:val="21"/>
            <w:szCs w:val="21"/>
            <w:lang w:val="es-CO" w:eastAsia="en-US"/>
          </w:rPr>
          <w:t>http://portalgestiondoc.minhacienda.red/PortalEmpleado/#url-960061</w:t>
        </w:r>
      </w:hyperlink>
    </w:p>
    <w:p w14:paraId="2B6959AA" w14:textId="77777777" w:rsidR="00B53AC8" w:rsidRPr="00A76485" w:rsidRDefault="00B53AC8" w:rsidP="00492D77">
      <w:pPr>
        <w:pStyle w:val="Default"/>
        <w:contextualSpacing/>
        <w:jc w:val="both"/>
        <w:rPr>
          <w:rStyle w:val="Hipervnculo"/>
          <w:rFonts w:eastAsia="MS Mincho"/>
          <w:bCs/>
          <w:lang w:val="es-ES" w:eastAsia="es-ES"/>
        </w:rPr>
      </w:pPr>
    </w:p>
    <w:p w14:paraId="03A19F16" w14:textId="77777777" w:rsidR="00B53AC8" w:rsidRPr="00A76485" w:rsidRDefault="00B53AC8" w:rsidP="00492D77">
      <w:pPr>
        <w:contextualSpacing/>
        <w:jc w:val="both"/>
        <w:rPr>
          <w:rFonts w:ascii="Arial" w:eastAsia="Calibri" w:hAnsi="Arial" w:cs="Arial"/>
          <w:b/>
          <w:bCs/>
          <w:i/>
          <w:sz w:val="21"/>
          <w:szCs w:val="21"/>
        </w:rPr>
      </w:pPr>
      <w:r w:rsidRPr="00A76485">
        <w:rPr>
          <w:rFonts w:ascii="Arial" w:eastAsia="Calibri" w:hAnsi="Arial" w:cs="Arial"/>
          <w:b/>
          <w:bCs/>
          <w:sz w:val="21"/>
          <w:szCs w:val="21"/>
        </w:rPr>
        <w:t xml:space="preserve">EVENTO DE RIESGO 9.17. </w:t>
      </w:r>
      <w:r w:rsidRPr="00A76485">
        <w:rPr>
          <w:rFonts w:ascii="Arial" w:eastAsia="Calibri" w:hAnsi="Arial" w:cs="Arial"/>
          <w:b/>
          <w:bCs/>
          <w:i/>
          <w:sz w:val="21"/>
          <w:szCs w:val="21"/>
        </w:rPr>
        <w:t>“Suscripción, modificación o ejecución de contratos cuyo objeto o actividades contractuales no aseguren la prestación del servicio en las condiciones definidas por la normatividad vigente, no cumplan con los fines para los cuales están destinados los recursos, o no aseguren el cumplimiento de metas de continuidad, cobertura y calidad en los servicios.”</w:t>
      </w:r>
    </w:p>
    <w:p w14:paraId="6A60B7AD" w14:textId="77777777" w:rsidR="00B53AC8" w:rsidRPr="00A76485" w:rsidRDefault="00B53AC8" w:rsidP="00492D77">
      <w:pPr>
        <w:contextualSpacing/>
        <w:jc w:val="both"/>
        <w:rPr>
          <w:rFonts w:ascii="Arial" w:eastAsia="Calibri" w:hAnsi="Arial" w:cs="Arial"/>
          <w:b/>
          <w:bCs/>
          <w:sz w:val="21"/>
          <w:szCs w:val="21"/>
        </w:rPr>
      </w:pPr>
    </w:p>
    <w:p w14:paraId="1B7359E4" w14:textId="77777777" w:rsidR="00B53AC8" w:rsidRPr="00A76485" w:rsidRDefault="00B53AC8" w:rsidP="00492D77">
      <w:pPr>
        <w:jc w:val="both"/>
        <w:rPr>
          <w:rFonts w:ascii="Arial" w:eastAsia="Arial Narrow" w:hAnsi="Arial" w:cs="Arial"/>
          <w:b/>
          <w:bCs/>
          <w:color w:val="000000" w:themeColor="text1"/>
          <w:sz w:val="21"/>
          <w:szCs w:val="21"/>
          <w:lang w:val="es-CO"/>
        </w:rPr>
      </w:pPr>
      <w:r w:rsidRPr="00A76485">
        <w:rPr>
          <w:rFonts w:ascii="Arial" w:eastAsia="Arial Narrow" w:hAnsi="Arial" w:cs="Arial"/>
          <w:b/>
          <w:bCs/>
          <w:sz w:val="21"/>
          <w:szCs w:val="21"/>
        </w:rPr>
        <w:t>1. Falta de oportunidad contractual.</w:t>
      </w:r>
    </w:p>
    <w:p w14:paraId="334C44D7" w14:textId="77777777" w:rsidR="00B53AC8" w:rsidRPr="00A76485" w:rsidRDefault="00B53AC8" w:rsidP="00492D77">
      <w:pPr>
        <w:jc w:val="both"/>
        <w:rPr>
          <w:rFonts w:ascii="Arial" w:eastAsia="Arial Narrow" w:hAnsi="Arial" w:cs="Arial"/>
          <w:b/>
          <w:bCs/>
          <w:color w:val="000000" w:themeColor="text1"/>
          <w:sz w:val="21"/>
          <w:szCs w:val="21"/>
          <w:lang w:val="es-CO"/>
        </w:rPr>
      </w:pPr>
    </w:p>
    <w:p w14:paraId="0FF9AAC0" w14:textId="77777777" w:rsidR="00B53AC8" w:rsidRPr="00A76485" w:rsidRDefault="00B53AC8" w:rsidP="00492D77">
      <w:pPr>
        <w:pStyle w:val="Prrafodelista"/>
        <w:numPr>
          <w:ilvl w:val="1"/>
          <w:numId w:val="15"/>
        </w:numPr>
        <w:jc w:val="both"/>
        <w:rPr>
          <w:rFonts w:ascii="Arial" w:eastAsia="Arial Narrow" w:hAnsi="Arial" w:cs="Arial"/>
          <w:b/>
          <w:bCs/>
          <w:color w:val="000000" w:themeColor="text1"/>
          <w:sz w:val="21"/>
          <w:szCs w:val="21"/>
          <w:lang w:val="es-CO"/>
        </w:rPr>
      </w:pPr>
      <w:r w:rsidRPr="00A76485">
        <w:rPr>
          <w:rFonts w:ascii="Arial" w:eastAsia="Arial Narrow" w:hAnsi="Arial" w:cs="Arial"/>
          <w:b/>
          <w:bCs/>
          <w:color w:val="000000" w:themeColor="text1"/>
          <w:sz w:val="21"/>
          <w:szCs w:val="21"/>
          <w:lang w:val="es-CO"/>
        </w:rPr>
        <w:t>Contratación Salud Pública PIC.</w:t>
      </w:r>
    </w:p>
    <w:p w14:paraId="78183587" w14:textId="77777777" w:rsidR="00B53AC8" w:rsidRPr="00A76485" w:rsidRDefault="00B53AC8" w:rsidP="00492D77">
      <w:pPr>
        <w:jc w:val="both"/>
        <w:rPr>
          <w:rFonts w:ascii="Arial" w:hAnsi="Arial" w:cs="Arial"/>
          <w:sz w:val="21"/>
          <w:szCs w:val="21"/>
        </w:rPr>
      </w:pPr>
    </w:p>
    <w:p w14:paraId="53CA7B92" w14:textId="77777777" w:rsidR="00B53AC8" w:rsidRPr="00A76485" w:rsidRDefault="00B53AC8" w:rsidP="00492D77">
      <w:pPr>
        <w:jc w:val="both"/>
        <w:rPr>
          <w:rFonts w:ascii="Arial" w:hAnsi="Arial" w:cs="Arial"/>
          <w:sz w:val="21"/>
          <w:szCs w:val="21"/>
        </w:rPr>
      </w:pPr>
      <w:r w:rsidRPr="00A76485">
        <w:rPr>
          <w:rFonts w:ascii="Arial" w:hAnsi="Arial" w:cs="Arial"/>
          <w:sz w:val="21"/>
          <w:szCs w:val="21"/>
        </w:rPr>
        <w:t>De conformidad con lo establecido en el artículo 16 de la Resolución 518 de 2015, que determina: “</w:t>
      </w:r>
      <w:r w:rsidRPr="00A76485">
        <w:rPr>
          <w:rFonts w:ascii="Arial" w:hAnsi="Arial" w:cs="Arial"/>
          <w:i/>
          <w:iCs/>
          <w:sz w:val="21"/>
          <w:szCs w:val="21"/>
        </w:rPr>
        <w:t>Oportunidad en la contratación</w:t>
      </w:r>
      <w:r w:rsidRPr="00A76485">
        <w:rPr>
          <w:rFonts w:ascii="Arial" w:hAnsi="Arial" w:cs="Arial"/>
          <w:b/>
          <w:bCs/>
          <w:sz w:val="21"/>
          <w:szCs w:val="21"/>
        </w:rPr>
        <w:t xml:space="preserve">. </w:t>
      </w:r>
      <w:r w:rsidRPr="00A76485">
        <w:rPr>
          <w:rFonts w:ascii="Arial" w:hAnsi="Arial" w:cs="Arial"/>
          <w:i/>
          <w:sz w:val="21"/>
          <w:szCs w:val="21"/>
        </w:rPr>
        <w:t xml:space="preserve">En el marco del plan financiero territorial de salud, </w:t>
      </w:r>
      <w:r w:rsidRPr="00A76485">
        <w:rPr>
          <w:rFonts w:ascii="Arial" w:hAnsi="Arial" w:cs="Arial"/>
          <w:i/>
          <w:sz w:val="21"/>
          <w:szCs w:val="21"/>
        </w:rPr>
        <w:lastRenderedPageBreak/>
        <w:t>las entidades territoriales deberán garantizar la continuidad de las intervenciones, procedimientos, actividades e insumos del plan de salud pública de intervenciones colectivas, mediante la contratación oportuna del mismo”,</w:t>
      </w:r>
      <w:r w:rsidRPr="00A76485">
        <w:rPr>
          <w:rFonts w:ascii="Arial" w:hAnsi="Arial" w:cs="Arial"/>
          <w:sz w:val="21"/>
          <w:szCs w:val="21"/>
        </w:rPr>
        <w:t xml:space="preserve"> las entidades territoriales deben efectuar la contratación del Plan de Intervenciones Colectivas de manera oportuna, con la finalidad de garantizar la prestación del servicio de manera continua durante toda la vigencia fiscal.</w:t>
      </w:r>
    </w:p>
    <w:p w14:paraId="19F36FE0" w14:textId="77777777" w:rsidR="00B53AC8" w:rsidRPr="00A76485" w:rsidRDefault="00B53AC8" w:rsidP="00492D77">
      <w:pPr>
        <w:jc w:val="both"/>
        <w:rPr>
          <w:rFonts w:ascii="Arial" w:hAnsi="Arial" w:cs="Arial"/>
          <w:sz w:val="21"/>
          <w:szCs w:val="21"/>
        </w:rPr>
      </w:pPr>
    </w:p>
    <w:p w14:paraId="2B17A411" w14:textId="77777777" w:rsidR="00B53AC8" w:rsidRPr="00A76485" w:rsidRDefault="00B53AC8" w:rsidP="00492D77">
      <w:pPr>
        <w:jc w:val="both"/>
        <w:rPr>
          <w:rFonts w:ascii="Arial" w:hAnsi="Arial" w:cs="Arial"/>
          <w:bCs/>
          <w:sz w:val="21"/>
          <w:szCs w:val="21"/>
        </w:rPr>
      </w:pPr>
      <w:r w:rsidRPr="00A76485">
        <w:rPr>
          <w:rFonts w:ascii="Arial" w:hAnsi="Arial" w:cs="Arial"/>
          <w:sz w:val="21"/>
          <w:szCs w:val="21"/>
        </w:rPr>
        <w:t xml:space="preserve">No </w:t>
      </w:r>
      <w:proofErr w:type="gramStart"/>
      <w:r w:rsidRPr="00A76485">
        <w:rPr>
          <w:rFonts w:ascii="Arial" w:hAnsi="Arial" w:cs="Arial"/>
          <w:sz w:val="21"/>
          <w:szCs w:val="21"/>
        </w:rPr>
        <w:t>obstante</w:t>
      </w:r>
      <w:proofErr w:type="gramEnd"/>
      <w:r w:rsidRPr="00A76485">
        <w:rPr>
          <w:rFonts w:ascii="Arial" w:hAnsi="Arial" w:cs="Arial"/>
          <w:sz w:val="21"/>
          <w:szCs w:val="21"/>
        </w:rPr>
        <w:t xml:space="preserve"> lo anterior, se identificó que el Distrito de Santa Marta, suscribió los contratos con las ESE en los meses de septiembre y octubre de 2021 </w:t>
      </w:r>
      <w:r w:rsidR="00854591">
        <w:rPr>
          <w:rFonts w:ascii="Arial" w:hAnsi="Arial" w:cs="Arial"/>
          <w:sz w:val="21"/>
          <w:szCs w:val="21"/>
        </w:rPr>
        <w:t>y</w:t>
      </w:r>
      <w:r w:rsidRPr="00A76485">
        <w:rPr>
          <w:rFonts w:ascii="Arial" w:hAnsi="Arial" w:cs="Arial"/>
          <w:sz w:val="21"/>
          <w:szCs w:val="21"/>
        </w:rPr>
        <w:t xml:space="preserve"> 2022. </w:t>
      </w:r>
      <w:r w:rsidRPr="00A76485">
        <w:rPr>
          <w:rFonts w:ascii="Arial" w:hAnsi="Arial" w:cs="Arial"/>
          <w:bCs/>
          <w:sz w:val="21"/>
          <w:szCs w:val="21"/>
        </w:rPr>
        <w:t xml:space="preserve">Por lo anterior, al verificar los </w:t>
      </w:r>
      <w:r w:rsidRPr="00A76485">
        <w:rPr>
          <w:rFonts w:ascii="Arial" w:hAnsi="Arial" w:cs="Arial"/>
          <w:sz w:val="21"/>
          <w:szCs w:val="21"/>
        </w:rPr>
        <w:t>parámetros de contratación establecidos en las Resoluciones 518 de 2015, y 3280 de 2018 para las intervenciones colectivas</w:t>
      </w:r>
      <w:r w:rsidRPr="00A76485">
        <w:rPr>
          <w:rFonts w:ascii="Arial" w:hAnsi="Arial" w:cs="Arial"/>
          <w:bCs/>
          <w:sz w:val="21"/>
          <w:szCs w:val="21"/>
        </w:rPr>
        <w:t xml:space="preserve"> con la fecha en la que la Entidad inició la contratación del PIC (último trimestre del año), se identifica falta de oportunidad en la contratación como en el giro de los recursos, debiéndose realizar en el primer trimestre, esto conforme con lo dispuesto en el artículo 5 de la Resolución 857 de 2020.</w:t>
      </w:r>
    </w:p>
    <w:p w14:paraId="44FDE2C9" w14:textId="77777777" w:rsidR="00B53AC8" w:rsidRPr="00A76485" w:rsidRDefault="00B53AC8" w:rsidP="00492D77">
      <w:pPr>
        <w:jc w:val="both"/>
        <w:rPr>
          <w:rFonts w:ascii="Arial" w:hAnsi="Arial" w:cs="Arial"/>
          <w:bCs/>
          <w:sz w:val="21"/>
          <w:szCs w:val="21"/>
        </w:rPr>
      </w:pPr>
    </w:p>
    <w:p w14:paraId="5AF22537" w14:textId="77777777" w:rsidR="00B53AC8" w:rsidRPr="00A76485" w:rsidRDefault="00B53AC8" w:rsidP="00492D77">
      <w:pPr>
        <w:jc w:val="center"/>
        <w:rPr>
          <w:rFonts w:ascii="Arial" w:hAnsi="Arial" w:cs="Arial"/>
          <w:bCs/>
          <w:sz w:val="21"/>
          <w:szCs w:val="21"/>
        </w:rPr>
      </w:pPr>
      <w:r w:rsidRPr="00A76485">
        <w:rPr>
          <w:rFonts w:ascii="Arial" w:hAnsi="Arial" w:cs="Arial"/>
          <w:bCs/>
          <w:sz w:val="21"/>
          <w:szCs w:val="21"/>
        </w:rPr>
        <w:t>Vigencia 2021</w:t>
      </w:r>
    </w:p>
    <w:p w14:paraId="168A93E9" w14:textId="77777777" w:rsidR="00B53AC8" w:rsidRPr="00A76485" w:rsidRDefault="00E42E1C" w:rsidP="00492D77">
      <w:pPr>
        <w:jc w:val="both"/>
        <w:rPr>
          <w:rFonts w:ascii="Arial" w:hAnsi="Arial" w:cs="Arial"/>
          <w:sz w:val="21"/>
          <w:szCs w:val="21"/>
        </w:rPr>
      </w:pPr>
      <w:r>
        <w:rPr>
          <w:rFonts w:ascii="Arial" w:hAnsi="Arial" w:cs="Arial"/>
          <w:noProof/>
          <w:lang w:val="es-CO" w:eastAsia="es-CO"/>
        </w:rPr>
        <w:pict w14:anchorId="0458D96B">
          <v:shape id="Flecha abajo 26" o:spid="_x0000_s2052" type="#_x0000_t67" style="position:absolute;left:0;text-align:left;margin-left:61.45pt;margin-top:101.35pt;width:41.5pt;height:2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dj="10800" fillcolor="#4f81bd [3204]" strokecolor="#243f60 [1604]" strokeweight="2pt"/>
        </w:pict>
      </w:r>
      <w:r w:rsidR="00667806">
        <w:rPr>
          <w:noProof/>
          <w:lang w:val="es-CO" w:eastAsia="es-CO"/>
        </w:rPr>
        <w:drawing>
          <wp:inline distT="0" distB="0" distL="0" distR="0" wp14:anchorId="5F9999AA" wp14:editId="22A8E6A7">
            <wp:extent cx="5610860" cy="2980055"/>
            <wp:effectExtent l="0" t="0" r="8890" b="0"/>
            <wp:docPr id="12" name="Imagen 1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Tabla&#10;&#10;Descripción generada automáticamente"/>
                    <pic:cNvPicPr>
                      <a:picLocks noChangeAspect="1"/>
                    </pic:cNvPicPr>
                  </pic:nvPicPr>
                  <pic:blipFill>
                    <a:blip r:embed="rId30"/>
                    <a:stretch>
                      <a:fillRect/>
                    </a:stretch>
                  </pic:blipFill>
                  <pic:spPr>
                    <a:xfrm>
                      <a:off x="0" y="0"/>
                      <a:ext cx="5610860" cy="2980055"/>
                    </a:xfrm>
                    <a:prstGeom prst="rect">
                      <a:avLst/>
                    </a:prstGeom>
                  </pic:spPr>
                </pic:pic>
              </a:graphicData>
            </a:graphic>
          </wp:inline>
        </w:drawing>
      </w:r>
    </w:p>
    <w:p w14:paraId="5D591ED2" w14:textId="77777777" w:rsidR="00B53AC8" w:rsidRPr="00A76485" w:rsidRDefault="00B53AC8" w:rsidP="00492D77">
      <w:pPr>
        <w:contextualSpacing/>
        <w:rPr>
          <w:rFonts w:ascii="Arial" w:eastAsia="Times New Roman" w:hAnsi="Arial" w:cs="Arial"/>
          <w:bCs/>
          <w:color w:val="000000" w:themeColor="text1"/>
          <w:sz w:val="16"/>
          <w:szCs w:val="16"/>
          <w:lang w:eastAsia="en-US"/>
        </w:rPr>
      </w:pPr>
      <w:r w:rsidRPr="00A76485">
        <w:rPr>
          <w:rFonts w:ascii="Arial" w:eastAsia="Times New Roman" w:hAnsi="Arial" w:cs="Arial"/>
          <w:bCs/>
          <w:color w:val="000000" w:themeColor="text1"/>
          <w:sz w:val="16"/>
          <w:szCs w:val="16"/>
          <w:lang w:eastAsia="en-US"/>
        </w:rPr>
        <w:t>Fuente: Entidad Territorial</w:t>
      </w:r>
    </w:p>
    <w:p w14:paraId="3F003B93" w14:textId="77777777" w:rsidR="00B53AC8" w:rsidRPr="00A76485" w:rsidRDefault="00B53AC8" w:rsidP="00492D77">
      <w:pPr>
        <w:jc w:val="center"/>
        <w:rPr>
          <w:rFonts w:ascii="Arial" w:hAnsi="Arial" w:cs="Arial"/>
          <w:bCs/>
          <w:sz w:val="21"/>
          <w:szCs w:val="21"/>
        </w:rPr>
      </w:pPr>
    </w:p>
    <w:p w14:paraId="06FA55B7" w14:textId="77777777" w:rsidR="00B53AC8" w:rsidRPr="00A76485" w:rsidRDefault="00B53AC8" w:rsidP="00492D77">
      <w:pPr>
        <w:jc w:val="center"/>
        <w:rPr>
          <w:rFonts w:ascii="Arial" w:hAnsi="Arial" w:cs="Arial"/>
          <w:bCs/>
          <w:sz w:val="21"/>
          <w:szCs w:val="21"/>
        </w:rPr>
      </w:pPr>
      <w:r w:rsidRPr="00A76485">
        <w:rPr>
          <w:rFonts w:ascii="Arial" w:hAnsi="Arial" w:cs="Arial"/>
          <w:bCs/>
          <w:sz w:val="21"/>
          <w:szCs w:val="21"/>
        </w:rPr>
        <w:t>Vigencia 2022</w:t>
      </w:r>
    </w:p>
    <w:p w14:paraId="4CB702C1" w14:textId="77777777" w:rsidR="00B53AC8" w:rsidRPr="00A76485" w:rsidRDefault="00E42E1C" w:rsidP="00492D77">
      <w:pPr>
        <w:jc w:val="both"/>
        <w:rPr>
          <w:rFonts w:ascii="Arial" w:hAnsi="Arial" w:cs="Arial"/>
          <w:sz w:val="21"/>
          <w:szCs w:val="21"/>
        </w:rPr>
      </w:pPr>
      <w:r>
        <w:rPr>
          <w:rFonts w:ascii="Arial" w:hAnsi="Arial" w:cs="Arial"/>
          <w:noProof/>
          <w:lang w:val="es-CO" w:eastAsia="es-CO"/>
        </w:rPr>
        <w:pict w14:anchorId="44A54A9E">
          <v:shape id="Flecha abajo 28" o:spid="_x0000_s2051" type="#_x0000_t67" style="position:absolute;left:0;text-align:left;margin-left:37pt;margin-top:115.9pt;width:41.5pt;height:29.5pt;rotation:-2496483fd;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DSkiQIAAFoFAAAOAAAAZHJzL2Uyb0RvYy54bWysVEtv2zAMvg/YfxB0X+14SR9BnSJo0WFA&#10;0QZrt54VWao9yKJGKXGyXz9KdtyiLXYY5oNBiuQnPj7q/GLXGrZV6BuwJZ8c5ZwpK6Fq7FPJvz9c&#10;fzrlzAdhK2HAqpLvlecXi48fzjs3VwXUYCqFjECsn3eu5HUIbp5lXtaqFf4InLJk1ICtCKTiU1ah&#10;6Ai9NVmR58dZB1g5BKm8p9Or3sgXCV9rJcOd1l4FZkpOuYX0x/Rfx3+2OBfzJxSubuSQhviHLFrR&#10;WLp0hLoSQbANNm+g2kYieNDhSEKbgdaNVKkGqmaSv6rmvhZOpVqoOd6NbfL/D1beblfImqrkBU3K&#10;ipZmdG2UrAUTa/ETGB1Tjzrn5+R671Y4aJ7EWPBOY8sQqLFFcTqbnRGKNo37QWRIDaES2S71ez/2&#10;W+0Ck3Q4K07yGU1FkunzyfSYZELPetAI7tCHLwpaFoWSV9DZJSJ0CVlsb3zo/Q9+FBwz7XNLUtgb&#10;FZGM/aY01Um3Fik6MUxdGmRbQdwQUiob+pR9LSrVH89y+oakxoiUYgKMyLoxZsQeACJ732L3uQ7+&#10;MVQlgo7B+d8S64PHiHQz2DAGt40FfA/AUFXDzb3/oUl9a2KX1lDtiQVpijQO7+R1Qw2/ET6sBNI+&#10;0CHteLijnzbQlRwGibMa8Pd759GfaEpWzjrar5L7XxuBijPz1RKBzybTaVzIpExnJwUp+NKyfmmx&#10;m/YSaEyTlF0So38wB1EjtI/0FCzjrWQSVtLdJZcBD8pl6PeeHhOplsvkRkvoRLix904eCBu59LB7&#10;FOgG1gWi6y0cdlHMX/Gu943zsLDcBNBNIuVzX4d+0wIn4gyPTXwhXurJ6/lJXPwBAAD//wMAUEsD&#10;BBQABgAIAAAAIQBwXvaP3gAAAAoBAAAPAAAAZHJzL2Rvd25yZXYueG1sTI/BTsMwEETvSPyDtUjc&#10;qJ1ASUnjVAgJcW4LEr25sRtHjddW7Cbh79me4Lizo5l51WZ2PRvNEDuPErKFAGaw8brDVsLn/v1h&#10;BSwmhVr1Ho2EHxNhU9/eVKrUfsKtGXepZRSCsVQSbEqh5Dw21jgVFz4YpN/JD04lOoeW60FNFO56&#10;ngvxzJ3qkBqsCubNmua8uzgJwheH835sc3tYfn9tpy58zFmQ8v5ufl0DS2ZOf2a4zqfpUNOmo7+g&#10;jqyXUDwRSpKQP2aEcDUsC1KOpLyIFfC64v8R6l8AAAD//wMA&#10;" adj="10800" fillcolor="#4f81bd [3204]" strokecolor="#243f60 [1604]" strokeweight="2pt"/>
        </w:pict>
      </w:r>
      <w:r w:rsidR="00B53AC8" w:rsidRPr="00A76485">
        <w:rPr>
          <w:rFonts w:ascii="Arial" w:hAnsi="Arial" w:cs="Arial"/>
          <w:noProof/>
          <w:lang w:val="es-CO" w:eastAsia="es-CO"/>
        </w:rPr>
        <w:drawing>
          <wp:inline distT="0" distB="0" distL="0" distR="0" wp14:anchorId="142C60D9" wp14:editId="058C2952">
            <wp:extent cx="5610848" cy="189210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9232" cy="1905048"/>
                    </a:xfrm>
                    <a:prstGeom prst="rect">
                      <a:avLst/>
                    </a:prstGeom>
                    <a:noFill/>
                    <a:ln>
                      <a:noFill/>
                    </a:ln>
                  </pic:spPr>
                </pic:pic>
              </a:graphicData>
            </a:graphic>
          </wp:inline>
        </w:drawing>
      </w:r>
    </w:p>
    <w:p w14:paraId="23F18593" w14:textId="77777777" w:rsidR="00B53AC8" w:rsidRPr="00A76485" w:rsidRDefault="00B53AC8" w:rsidP="00492D77">
      <w:pPr>
        <w:contextualSpacing/>
        <w:rPr>
          <w:rFonts w:ascii="Arial" w:eastAsia="Times New Roman" w:hAnsi="Arial" w:cs="Arial"/>
          <w:bCs/>
          <w:color w:val="000000" w:themeColor="text1"/>
          <w:sz w:val="16"/>
          <w:szCs w:val="16"/>
          <w:lang w:eastAsia="en-US"/>
        </w:rPr>
      </w:pPr>
      <w:r w:rsidRPr="00A76485">
        <w:rPr>
          <w:rFonts w:ascii="Arial" w:eastAsia="Times New Roman" w:hAnsi="Arial" w:cs="Arial"/>
          <w:bCs/>
          <w:color w:val="000000" w:themeColor="text1"/>
          <w:sz w:val="16"/>
          <w:szCs w:val="16"/>
          <w:lang w:eastAsia="en-US"/>
        </w:rPr>
        <w:t>Fuente: Entidad Territorial</w:t>
      </w:r>
    </w:p>
    <w:p w14:paraId="039E1B9E" w14:textId="77777777" w:rsidR="00B53AC8" w:rsidRPr="00A76485" w:rsidRDefault="00B53AC8" w:rsidP="00492D77">
      <w:pPr>
        <w:jc w:val="both"/>
        <w:rPr>
          <w:rFonts w:ascii="Arial" w:hAnsi="Arial" w:cs="Arial"/>
          <w:sz w:val="21"/>
          <w:szCs w:val="21"/>
        </w:rPr>
      </w:pPr>
    </w:p>
    <w:p w14:paraId="63962D40" w14:textId="77777777" w:rsidR="00B53AC8" w:rsidRPr="00A76485" w:rsidRDefault="00B53AC8" w:rsidP="00492D77">
      <w:pPr>
        <w:jc w:val="both"/>
        <w:rPr>
          <w:rFonts w:ascii="Arial" w:hAnsi="Arial" w:cs="Arial"/>
          <w:sz w:val="21"/>
          <w:szCs w:val="21"/>
        </w:rPr>
      </w:pPr>
      <w:r w:rsidRPr="00A76485">
        <w:rPr>
          <w:rFonts w:ascii="Arial" w:hAnsi="Arial" w:cs="Arial"/>
          <w:sz w:val="21"/>
          <w:szCs w:val="21"/>
        </w:rPr>
        <w:t>En este sentido, no se cumplió con la oportunidad en la contratación de las citadas acciones, poniendo en riesgo la prestación del servicio a cargo de la Entidad Territorial, así como la eficiente y debida ejecución de los recursos del Sistema General de Participaciones del Sector Salud.</w:t>
      </w:r>
    </w:p>
    <w:p w14:paraId="1352DA94" w14:textId="77777777" w:rsidR="0028720A" w:rsidRPr="00A76485" w:rsidRDefault="0028720A" w:rsidP="00492D77">
      <w:pPr>
        <w:pStyle w:val="Sinespaciado"/>
        <w:contextualSpacing/>
        <w:jc w:val="both"/>
        <w:rPr>
          <w:rFonts w:ascii="Arial" w:eastAsia="MS Mincho" w:hAnsi="Arial" w:cs="Arial"/>
          <w:sz w:val="21"/>
          <w:szCs w:val="21"/>
          <w:lang w:val="es-ES" w:eastAsia="es-ES"/>
        </w:rPr>
      </w:pPr>
    </w:p>
    <w:p w14:paraId="6C980993" w14:textId="77777777" w:rsidR="00B53AC8" w:rsidRPr="00A76485" w:rsidRDefault="00B53AC8" w:rsidP="00492D77">
      <w:pPr>
        <w:pStyle w:val="Sinespaciado"/>
        <w:contextualSpacing/>
        <w:jc w:val="both"/>
        <w:rPr>
          <w:rFonts w:ascii="Arial" w:eastAsia="MS Mincho" w:hAnsi="Arial" w:cs="Arial"/>
          <w:sz w:val="21"/>
          <w:szCs w:val="21"/>
          <w:lang w:val="es-ES" w:eastAsia="es-ES"/>
        </w:rPr>
      </w:pPr>
      <w:r w:rsidRPr="00A76485">
        <w:rPr>
          <w:rFonts w:ascii="Arial" w:eastAsia="MS Mincho" w:hAnsi="Arial" w:cs="Arial"/>
          <w:sz w:val="21"/>
          <w:szCs w:val="21"/>
          <w:lang w:val="es-ES" w:eastAsia="es-ES"/>
        </w:rPr>
        <w:t xml:space="preserve">Evidencias: </w:t>
      </w:r>
    </w:p>
    <w:p w14:paraId="1FB433E1" w14:textId="77777777" w:rsidR="00B53AC8" w:rsidRPr="00A76485" w:rsidRDefault="00B53AC8" w:rsidP="00492D77">
      <w:pPr>
        <w:jc w:val="both"/>
        <w:rPr>
          <w:rFonts w:ascii="Arial" w:eastAsia="Arial Narrow" w:hAnsi="Arial" w:cs="Arial"/>
          <w:color w:val="000000" w:themeColor="text1"/>
          <w:sz w:val="21"/>
          <w:szCs w:val="21"/>
        </w:rPr>
      </w:pPr>
    </w:p>
    <w:p w14:paraId="5F3712BB" w14:textId="77777777" w:rsidR="00B53AC8" w:rsidRPr="00A76485" w:rsidRDefault="00B53AC8" w:rsidP="00492D77">
      <w:pPr>
        <w:jc w:val="both"/>
        <w:rPr>
          <w:rFonts w:ascii="Arial" w:eastAsia="Arial Narrow" w:hAnsi="Arial" w:cs="Arial"/>
          <w:b/>
          <w:bCs/>
          <w:color w:val="000000" w:themeColor="text1"/>
          <w:sz w:val="21"/>
          <w:szCs w:val="21"/>
          <w:lang w:val="es-CO"/>
        </w:rPr>
      </w:pPr>
      <w:r w:rsidRPr="00A76485">
        <w:rPr>
          <w:rFonts w:ascii="Arial" w:eastAsia="Arial Narrow" w:hAnsi="Arial" w:cs="Arial"/>
          <w:color w:val="000000" w:themeColor="text1"/>
          <w:sz w:val="21"/>
          <w:szCs w:val="21"/>
        </w:rPr>
        <w:t>MATRIZ DE VERIFICACIÓN DE INFORMACIÓN</w:t>
      </w:r>
      <w:r w:rsidRPr="00A76485">
        <w:rPr>
          <w:rFonts w:ascii="Arial" w:hAnsi="Arial" w:cs="Arial"/>
          <w:sz w:val="20"/>
          <w:szCs w:val="20"/>
        </w:rPr>
        <w:t xml:space="preserve"> </w:t>
      </w:r>
      <w:r w:rsidRPr="00A76485">
        <w:rPr>
          <w:rFonts w:ascii="Arial" w:eastAsia="Arial Narrow" w:hAnsi="Arial" w:cs="Arial"/>
          <w:color w:val="000000" w:themeColor="text1"/>
          <w:sz w:val="21"/>
          <w:szCs w:val="21"/>
        </w:rPr>
        <w:t>REQUIMIENTO 19B de 2021,</w:t>
      </w:r>
      <w:r w:rsidR="00914696">
        <w:rPr>
          <w:rFonts w:ascii="Arial" w:eastAsia="Arial Narrow" w:hAnsi="Arial" w:cs="Arial"/>
          <w:color w:val="000000" w:themeColor="text1"/>
          <w:sz w:val="21"/>
          <w:szCs w:val="21"/>
        </w:rPr>
        <w:t>2</w:t>
      </w:r>
      <w:r w:rsidRPr="00A76485">
        <w:rPr>
          <w:rFonts w:ascii="Arial" w:eastAsia="Arial Narrow" w:hAnsi="Arial" w:cs="Arial"/>
          <w:color w:val="000000" w:themeColor="text1"/>
          <w:sz w:val="21"/>
          <w:szCs w:val="21"/>
        </w:rPr>
        <w:t xml:space="preserve">022. </w:t>
      </w:r>
      <w:r w:rsidR="00914696" w:rsidRPr="00914696">
        <w:rPr>
          <w:rFonts w:ascii="Arial" w:eastAsia="Arial Narrow" w:hAnsi="Arial" w:cs="Arial"/>
          <w:color w:val="000000" w:themeColor="text1"/>
          <w:sz w:val="21"/>
          <w:szCs w:val="21"/>
        </w:rPr>
        <w:t>OFICIO CON RADICADO SIED NO. 2-2023-013314 DEL 17 DE MARZO DE 2023</w:t>
      </w:r>
      <w:r w:rsidR="00914696">
        <w:rPr>
          <w:rFonts w:ascii="Arial" w:eastAsia="Arial Narrow" w:hAnsi="Arial" w:cs="Arial"/>
          <w:color w:val="000000" w:themeColor="text1"/>
          <w:sz w:val="21"/>
          <w:szCs w:val="21"/>
        </w:rPr>
        <w:t xml:space="preserve">. </w:t>
      </w:r>
      <w:r w:rsidRPr="00A76485">
        <w:rPr>
          <w:rFonts w:ascii="Arial" w:hAnsi="Arial" w:cs="Arial"/>
          <w:sz w:val="21"/>
          <w:szCs w:val="21"/>
        </w:rPr>
        <w:t xml:space="preserve">HISTORIAL DE SEGUIMIENTO Y CONTROL A LOS RECURSOS DEL SISTEMA GENERAL DE PARTICIPACIONES. </w:t>
      </w:r>
      <w:r w:rsidRPr="00A76485">
        <w:rPr>
          <w:rFonts w:ascii="Arial" w:hAnsi="Arial" w:cs="Arial"/>
          <w:sz w:val="20"/>
          <w:szCs w:val="20"/>
        </w:rPr>
        <w:t xml:space="preserve">EXPEDIENTE </w:t>
      </w:r>
      <w:r w:rsidRPr="00A76485">
        <w:rPr>
          <w:rFonts w:ascii="Arial" w:hAnsi="Arial" w:cs="Arial"/>
          <w:sz w:val="21"/>
          <w:szCs w:val="21"/>
        </w:rPr>
        <w:t>2/2023/D028-</w:t>
      </w:r>
      <w:proofErr w:type="gramStart"/>
      <w:r w:rsidRPr="00A76485">
        <w:rPr>
          <w:rFonts w:ascii="Arial" w:hAnsi="Arial" w:cs="Arial"/>
          <w:sz w:val="21"/>
          <w:szCs w:val="21"/>
        </w:rPr>
        <w:t>PREDI</w:t>
      </w:r>
      <w:r w:rsidRPr="00A76485">
        <w:rPr>
          <w:rFonts w:ascii="Arial" w:hAnsi="Arial" w:cs="Arial"/>
          <w:sz w:val="20"/>
          <w:szCs w:val="20"/>
        </w:rPr>
        <w:t>.</w:t>
      </w:r>
      <w:r w:rsidRPr="00914696">
        <w:rPr>
          <w:rFonts w:ascii="Arial" w:eastAsia="Arial Narrow" w:hAnsi="Arial" w:cs="Arial"/>
          <w:color w:val="000000" w:themeColor="text1"/>
          <w:sz w:val="20"/>
          <w:szCs w:val="20"/>
        </w:rPr>
        <w:t>.</w:t>
      </w:r>
      <w:proofErr w:type="gramEnd"/>
      <w:r w:rsidR="00854591" w:rsidRPr="00914696">
        <w:rPr>
          <w:rFonts w:ascii="Arial" w:eastAsia="Arial Narrow" w:hAnsi="Arial" w:cs="Arial"/>
          <w:color w:val="000000" w:themeColor="text1"/>
          <w:sz w:val="20"/>
          <w:szCs w:val="20"/>
        </w:rPr>
        <w:t xml:space="preserve"> </w:t>
      </w:r>
      <w:r w:rsidRPr="00914696">
        <w:rPr>
          <w:rFonts w:ascii="Arial" w:eastAsia="Arial Narrow" w:hAnsi="Arial" w:cs="Arial"/>
          <w:color w:val="000000" w:themeColor="text1"/>
          <w:sz w:val="21"/>
          <w:szCs w:val="21"/>
          <w:lang w:val="es-CO" w:eastAsia="en-US"/>
        </w:rPr>
        <w:t>ENLACE</w:t>
      </w:r>
      <w:r w:rsidRPr="00A76485">
        <w:rPr>
          <w:rFonts w:ascii="Arial" w:eastAsia="Arial Narrow" w:hAnsi="Arial" w:cs="Arial"/>
          <w:color w:val="000000" w:themeColor="text1"/>
          <w:sz w:val="21"/>
          <w:szCs w:val="21"/>
          <w:lang w:val="es-CO" w:eastAsia="en-US"/>
        </w:rPr>
        <w:t>:</w:t>
      </w:r>
      <w:r w:rsidRPr="00A76485">
        <w:rPr>
          <w:rFonts w:ascii="Arial" w:eastAsia="Arial Narrow" w:hAnsi="Arial" w:cs="Arial"/>
          <w:color w:val="000000" w:themeColor="text1"/>
          <w:sz w:val="21"/>
          <w:szCs w:val="21"/>
        </w:rPr>
        <w:t xml:space="preserve"> </w:t>
      </w:r>
      <w:hyperlink r:id="rId40" w:anchor="url-960061" w:history="1">
        <w:r w:rsidRPr="00A76485">
          <w:rPr>
            <w:rStyle w:val="Hipervnculo"/>
            <w:rFonts w:ascii="Arial" w:eastAsia="Arial Narrow" w:hAnsi="Arial" w:cs="Arial"/>
            <w:sz w:val="21"/>
            <w:szCs w:val="21"/>
            <w:lang w:val="es-CO" w:eastAsia="en-US"/>
          </w:rPr>
          <w:t>http://portalgestiondoc.minhacienda.red/PortalEmpleado/#url-960061</w:t>
        </w:r>
      </w:hyperlink>
    </w:p>
    <w:p w14:paraId="5ED68186" w14:textId="77777777" w:rsidR="00B53AC8" w:rsidRPr="00A76485" w:rsidRDefault="00B53AC8" w:rsidP="00492D77">
      <w:pPr>
        <w:pStyle w:val="Sinespaciado"/>
        <w:jc w:val="both"/>
        <w:rPr>
          <w:rFonts w:ascii="Arial" w:hAnsi="Arial" w:cs="Arial"/>
        </w:rPr>
      </w:pPr>
    </w:p>
    <w:p w14:paraId="6633D99A" w14:textId="77777777" w:rsidR="00B53AC8" w:rsidRPr="00A76485" w:rsidRDefault="00B53AC8" w:rsidP="00492D77">
      <w:pPr>
        <w:contextualSpacing/>
        <w:jc w:val="both"/>
        <w:rPr>
          <w:rFonts w:ascii="Arial" w:hAnsi="Arial" w:cs="Arial"/>
          <w:b/>
          <w:bCs/>
          <w:sz w:val="21"/>
          <w:szCs w:val="21"/>
        </w:rPr>
      </w:pPr>
      <w:r w:rsidRPr="00A76485">
        <w:rPr>
          <w:rFonts w:ascii="Arial" w:eastAsia="Calibri" w:hAnsi="Arial" w:cs="Arial"/>
          <w:b/>
          <w:bCs/>
          <w:sz w:val="21"/>
          <w:szCs w:val="21"/>
        </w:rPr>
        <w:t>EVENTO DE RIESGO</w:t>
      </w:r>
      <w:r w:rsidRPr="00A76485">
        <w:rPr>
          <w:rFonts w:ascii="Arial" w:hAnsi="Arial" w:cs="Arial"/>
          <w:b/>
          <w:bCs/>
          <w:sz w:val="21"/>
          <w:szCs w:val="21"/>
        </w:rPr>
        <w:t xml:space="preserve"> 9.18. “</w:t>
      </w:r>
      <w:r w:rsidRPr="00A76485">
        <w:rPr>
          <w:rFonts w:ascii="Arial" w:hAnsi="Arial" w:cs="Arial"/>
          <w:b/>
          <w:bCs/>
          <w:i/>
          <w:iCs/>
          <w:sz w:val="21"/>
          <w:szCs w:val="21"/>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Pr="00A76485">
        <w:rPr>
          <w:rFonts w:ascii="Arial" w:hAnsi="Arial" w:cs="Arial"/>
          <w:b/>
          <w:bCs/>
          <w:sz w:val="21"/>
          <w:szCs w:val="21"/>
        </w:rPr>
        <w:t>”.</w:t>
      </w:r>
    </w:p>
    <w:p w14:paraId="6E2FE6AC" w14:textId="77777777" w:rsidR="00B53AC8" w:rsidRPr="00A76485" w:rsidRDefault="00B53AC8" w:rsidP="00492D77">
      <w:pPr>
        <w:pStyle w:val="Sinespaciado"/>
        <w:jc w:val="both"/>
        <w:rPr>
          <w:rFonts w:ascii="Arial" w:hAnsi="Arial" w:cs="Arial"/>
        </w:rPr>
      </w:pPr>
    </w:p>
    <w:p w14:paraId="3EB14CBF" w14:textId="77777777" w:rsidR="00B53AC8" w:rsidRPr="00A76485" w:rsidRDefault="00B53AC8" w:rsidP="00854591">
      <w:pPr>
        <w:pStyle w:val="Sinespaciado"/>
        <w:numPr>
          <w:ilvl w:val="3"/>
          <w:numId w:val="1"/>
        </w:numPr>
        <w:ind w:left="426"/>
        <w:jc w:val="both"/>
        <w:rPr>
          <w:rFonts w:ascii="Arial" w:eastAsia="Arial Narrow" w:hAnsi="Arial" w:cs="Arial"/>
          <w:b/>
          <w:bCs/>
          <w:color w:val="000000" w:themeColor="text1"/>
          <w:sz w:val="21"/>
          <w:szCs w:val="21"/>
        </w:rPr>
      </w:pPr>
      <w:r w:rsidRPr="00A76485">
        <w:rPr>
          <w:rFonts w:ascii="Arial" w:eastAsia="Arial Narrow" w:hAnsi="Arial" w:cs="Arial"/>
          <w:b/>
          <w:bCs/>
          <w:color w:val="000000" w:themeColor="text1"/>
          <w:sz w:val="21"/>
          <w:szCs w:val="21"/>
        </w:rPr>
        <w:t>Baja ejecución en los recursos de la subcuenta salud pública.</w:t>
      </w:r>
    </w:p>
    <w:p w14:paraId="32DA0365" w14:textId="77777777" w:rsidR="00B53AC8" w:rsidRPr="00A76485" w:rsidRDefault="00B53AC8" w:rsidP="00492D77">
      <w:pPr>
        <w:pStyle w:val="Sinespaciado"/>
        <w:ind w:left="66"/>
        <w:jc w:val="both"/>
        <w:rPr>
          <w:rFonts w:ascii="Arial" w:eastAsia="Arial Narrow" w:hAnsi="Arial" w:cs="Arial"/>
          <w:b/>
          <w:bCs/>
          <w:color w:val="000000" w:themeColor="text1"/>
          <w:sz w:val="21"/>
          <w:szCs w:val="21"/>
        </w:rPr>
      </w:pPr>
    </w:p>
    <w:p w14:paraId="70C10285" w14:textId="77777777" w:rsidR="00B53AC8" w:rsidRPr="00A76485" w:rsidRDefault="00854591" w:rsidP="00492D77">
      <w:pPr>
        <w:pStyle w:val="Sinespaciado"/>
        <w:ind w:left="66"/>
        <w:jc w:val="both"/>
        <w:rPr>
          <w:rFonts w:ascii="Arial" w:hAnsi="Arial" w:cs="Arial"/>
          <w:sz w:val="21"/>
          <w:szCs w:val="21"/>
        </w:rPr>
      </w:pPr>
      <w:r>
        <w:rPr>
          <w:rFonts w:ascii="Arial" w:hAnsi="Arial" w:cs="Arial"/>
          <w:sz w:val="21"/>
          <w:szCs w:val="21"/>
        </w:rPr>
        <w:t>En relación con el</w:t>
      </w:r>
      <w:r w:rsidR="00B53AC8" w:rsidRPr="00A76485">
        <w:rPr>
          <w:rFonts w:ascii="Arial" w:hAnsi="Arial" w:cs="Arial"/>
          <w:sz w:val="21"/>
          <w:szCs w:val="21"/>
        </w:rPr>
        <w:t xml:space="preserve"> componente de Salud Pública para la</w:t>
      </w:r>
      <w:r>
        <w:rPr>
          <w:rFonts w:ascii="Arial" w:hAnsi="Arial" w:cs="Arial"/>
          <w:sz w:val="21"/>
          <w:szCs w:val="21"/>
        </w:rPr>
        <w:t>s</w:t>
      </w:r>
      <w:r w:rsidR="00B53AC8" w:rsidRPr="00A76485">
        <w:rPr>
          <w:rFonts w:ascii="Arial" w:hAnsi="Arial" w:cs="Arial"/>
          <w:sz w:val="21"/>
          <w:szCs w:val="21"/>
        </w:rPr>
        <w:t xml:space="preserve"> vigencia</w:t>
      </w:r>
      <w:r>
        <w:rPr>
          <w:rFonts w:ascii="Arial" w:hAnsi="Arial" w:cs="Arial"/>
          <w:sz w:val="21"/>
          <w:szCs w:val="21"/>
        </w:rPr>
        <w:t>s</w:t>
      </w:r>
      <w:r w:rsidR="00B53AC8" w:rsidRPr="00A76485">
        <w:rPr>
          <w:rFonts w:ascii="Arial" w:hAnsi="Arial" w:cs="Arial"/>
          <w:sz w:val="21"/>
          <w:szCs w:val="21"/>
        </w:rPr>
        <w:t xml:space="preserve"> 2021 y 2022, se evidencia baja ejecución</w:t>
      </w:r>
      <w:r>
        <w:rPr>
          <w:rFonts w:ascii="Arial" w:hAnsi="Arial" w:cs="Arial"/>
          <w:sz w:val="21"/>
          <w:szCs w:val="21"/>
        </w:rPr>
        <w:t>. P</w:t>
      </w:r>
      <w:r w:rsidR="00B53AC8" w:rsidRPr="00A76485">
        <w:rPr>
          <w:rFonts w:ascii="Arial" w:hAnsi="Arial" w:cs="Arial"/>
          <w:sz w:val="21"/>
          <w:szCs w:val="21"/>
        </w:rPr>
        <w:t>ara la vigencia 2021, se programaron recursos por $6.110 millones y se ejecutaron $4.073 millones correspondientes al 67%</w:t>
      </w:r>
      <w:r>
        <w:rPr>
          <w:rFonts w:ascii="Arial" w:hAnsi="Arial" w:cs="Arial"/>
          <w:sz w:val="21"/>
          <w:szCs w:val="21"/>
        </w:rPr>
        <w:t xml:space="preserve">; </w:t>
      </w:r>
      <w:r w:rsidR="00B53AC8" w:rsidRPr="00A76485">
        <w:rPr>
          <w:rFonts w:ascii="Arial" w:hAnsi="Arial" w:cs="Arial"/>
          <w:sz w:val="21"/>
          <w:szCs w:val="21"/>
        </w:rPr>
        <w:t xml:space="preserve">ahora </w:t>
      </w:r>
      <w:r>
        <w:rPr>
          <w:rFonts w:ascii="Arial" w:hAnsi="Arial" w:cs="Arial"/>
          <w:sz w:val="21"/>
          <w:szCs w:val="21"/>
        </w:rPr>
        <w:t xml:space="preserve">bien, </w:t>
      </w:r>
      <w:r w:rsidR="00B53AC8" w:rsidRPr="00A76485">
        <w:rPr>
          <w:rFonts w:ascii="Arial" w:hAnsi="Arial" w:cs="Arial"/>
          <w:sz w:val="21"/>
          <w:szCs w:val="21"/>
        </w:rPr>
        <w:t>si se revisan los pagos efectivos</w:t>
      </w:r>
      <w:r>
        <w:rPr>
          <w:rFonts w:ascii="Arial" w:hAnsi="Arial" w:cs="Arial"/>
          <w:sz w:val="21"/>
          <w:szCs w:val="21"/>
        </w:rPr>
        <w:t>,</w:t>
      </w:r>
      <w:r w:rsidR="00B53AC8" w:rsidRPr="00A76485">
        <w:rPr>
          <w:rFonts w:ascii="Arial" w:hAnsi="Arial" w:cs="Arial"/>
          <w:sz w:val="21"/>
          <w:szCs w:val="21"/>
        </w:rPr>
        <w:t xml:space="preserve"> el porcentaje se reduce al 42%. De igual forma, en la vigencia 2022 el porcentaje de ejecución fue de 73%, 6 puntos porcentuales superior al de la vigencia anterior. </w:t>
      </w:r>
    </w:p>
    <w:p w14:paraId="378A9770" w14:textId="77777777" w:rsidR="00B53AC8" w:rsidRPr="00A76485" w:rsidRDefault="00B53AC8" w:rsidP="00492D77">
      <w:pPr>
        <w:pStyle w:val="Sinespaciado"/>
        <w:ind w:left="66"/>
        <w:jc w:val="both"/>
        <w:rPr>
          <w:rFonts w:ascii="Arial" w:hAnsi="Arial" w:cs="Arial"/>
        </w:rPr>
      </w:pPr>
    </w:p>
    <w:p w14:paraId="5AE0658C" w14:textId="77777777" w:rsidR="00B53AC8" w:rsidRPr="00A76485" w:rsidRDefault="00B53AC8" w:rsidP="00492D77">
      <w:pPr>
        <w:pStyle w:val="Sinespaciado"/>
        <w:jc w:val="both"/>
        <w:rPr>
          <w:rFonts w:ascii="Arial" w:hAnsi="Arial" w:cs="Arial"/>
        </w:rPr>
      </w:pPr>
      <w:r w:rsidRPr="00A76485">
        <w:rPr>
          <w:rFonts w:ascii="Arial" w:hAnsi="Arial" w:cs="Arial"/>
          <w:noProof/>
          <w:lang w:eastAsia="es-CO"/>
        </w:rPr>
        <w:drawing>
          <wp:inline distT="0" distB="0" distL="0" distR="0" wp14:anchorId="6D19E303" wp14:editId="1526DB16">
            <wp:extent cx="5607050" cy="9207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1325" cy="934589"/>
                    </a:xfrm>
                    <a:prstGeom prst="rect">
                      <a:avLst/>
                    </a:prstGeom>
                    <a:noFill/>
                    <a:ln>
                      <a:noFill/>
                    </a:ln>
                  </pic:spPr>
                </pic:pic>
              </a:graphicData>
            </a:graphic>
          </wp:inline>
        </w:drawing>
      </w:r>
    </w:p>
    <w:p w14:paraId="6DA49F19" w14:textId="77777777" w:rsidR="00B53AC8" w:rsidRPr="00A76485" w:rsidRDefault="00B53AC8" w:rsidP="00492D77">
      <w:pPr>
        <w:pStyle w:val="Sinespaciado"/>
        <w:jc w:val="both"/>
        <w:rPr>
          <w:rFonts w:ascii="Arial" w:eastAsia="Times New Roman" w:hAnsi="Arial" w:cs="Arial"/>
          <w:color w:val="000000"/>
          <w:sz w:val="18"/>
          <w:szCs w:val="18"/>
          <w:lang w:eastAsia="es-CO"/>
        </w:rPr>
      </w:pPr>
      <w:r w:rsidRPr="00A76485">
        <w:rPr>
          <w:rFonts w:ascii="Arial" w:eastAsia="Times New Roman" w:hAnsi="Arial" w:cs="Arial"/>
          <w:color w:val="000000"/>
          <w:sz w:val="18"/>
          <w:szCs w:val="18"/>
          <w:lang w:eastAsia="es-CO"/>
        </w:rPr>
        <w:t>Fuente: Elaboración DAF con información - Entidad territorial.</w:t>
      </w:r>
    </w:p>
    <w:p w14:paraId="5F7869DB" w14:textId="77777777" w:rsidR="0028720A" w:rsidRPr="00A76485" w:rsidRDefault="0028720A" w:rsidP="00492D77">
      <w:pPr>
        <w:pStyle w:val="Sinespaciado"/>
        <w:jc w:val="both"/>
        <w:rPr>
          <w:rFonts w:ascii="Arial" w:hAnsi="Arial" w:cs="Arial"/>
        </w:rPr>
      </w:pPr>
    </w:p>
    <w:p w14:paraId="2981E66E" w14:textId="77777777" w:rsidR="00B53AC8" w:rsidRPr="00854591" w:rsidRDefault="00B53AC8" w:rsidP="00492D77">
      <w:pPr>
        <w:pStyle w:val="Sinespaciado"/>
        <w:jc w:val="both"/>
        <w:rPr>
          <w:rFonts w:ascii="Arial" w:hAnsi="Arial" w:cs="Arial"/>
          <w:sz w:val="21"/>
          <w:szCs w:val="21"/>
        </w:rPr>
      </w:pPr>
      <w:r w:rsidRPr="00854591">
        <w:rPr>
          <w:rFonts w:ascii="Arial" w:hAnsi="Arial" w:cs="Arial"/>
          <w:sz w:val="21"/>
          <w:szCs w:val="21"/>
        </w:rPr>
        <w:t xml:space="preserve">Por su parte, al revisar los rubros y las fuentes que generan el mayor impacto en la baja ejecución, se identificó la recurrencia en la generación de recursos del balance, en las </w:t>
      </w:r>
      <w:r w:rsidR="00AA03F0">
        <w:rPr>
          <w:rFonts w:ascii="Arial" w:hAnsi="Arial" w:cs="Arial"/>
          <w:sz w:val="21"/>
          <w:szCs w:val="21"/>
        </w:rPr>
        <w:t>ú</w:t>
      </w:r>
      <w:r w:rsidRPr="00854591">
        <w:rPr>
          <w:rFonts w:ascii="Arial" w:hAnsi="Arial" w:cs="Arial"/>
          <w:sz w:val="21"/>
          <w:szCs w:val="21"/>
        </w:rPr>
        <w:t>ltimas vigencias y recursos de vigencias expiradas que no se ejecutaron, producto de contratos sin liquidar.</w:t>
      </w:r>
      <w:r w:rsidR="001E6B9E" w:rsidRPr="00854591">
        <w:rPr>
          <w:rFonts w:ascii="Arial" w:hAnsi="Arial" w:cs="Arial"/>
          <w:sz w:val="21"/>
          <w:szCs w:val="21"/>
        </w:rPr>
        <w:t xml:space="preserve"> Afectando de esta forma el cumplimiento de las metas planteadas en los diferentes programas de la Salud Pública enmarcadas en el Plan Territorial de salud</w:t>
      </w:r>
      <w:r w:rsidR="00154E75">
        <w:rPr>
          <w:rFonts w:ascii="Arial" w:hAnsi="Arial" w:cs="Arial"/>
          <w:sz w:val="21"/>
          <w:szCs w:val="21"/>
        </w:rPr>
        <w:t>, que al cierre de la vigencia 2022, identifican un avance inferior al 50%</w:t>
      </w:r>
      <w:r w:rsidR="001E6B9E" w:rsidRPr="00854591">
        <w:rPr>
          <w:rFonts w:ascii="Arial" w:hAnsi="Arial" w:cs="Arial"/>
          <w:sz w:val="21"/>
          <w:szCs w:val="21"/>
        </w:rPr>
        <w:t>.</w:t>
      </w:r>
    </w:p>
    <w:p w14:paraId="7771C4B4" w14:textId="77777777" w:rsidR="00B53AC8" w:rsidRPr="00854591" w:rsidRDefault="00B53AC8" w:rsidP="00492D77">
      <w:pPr>
        <w:pStyle w:val="Sinespaciado"/>
        <w:jc w:val="both"/>
        <w:rPr>
          <w:rFonts w:ascii="Arial" w:hAnsi="Arial" w:cs="Arial"/>
          <w:sz w:val="21"/>
          <w:szCs w:val="21"/>
        </w:rPr>
      </w:pPr>
      <w:r w:rsidRPr="00854591">
        <w:rPr>
          <w:rFonts w:ascii="Arial" w:hAnsi="Arial" w:cs="Arial"/>
          <w:sz w:val="21"/>
          <w:szCs w:val="21"/>
        </w:rPr>
        <w:t xml:space="preserve"> </w:t>
      </w:r>
    </w:p>
    <w:p w14:paraId="629416D0" w14:textId="77777777" w:rsidR="00B53AC8" w:rsidRPr="00854591" w:rsidRDefault="00B53AC8" w:rsidP="00492D77">
      <w:pPr>
        <w:contextualSpacing/>
        <w:jc w:val="both"/>
        <w:rPr>
          <w:rFonts w:ascii="Arial" w:eastAsia="Calibri" w:hAnsi="Arial" w:cs="Arial"/>
          <w:b/>
          <w:sz w:val="21"/>
          <w:szCs w:val="21"/>
        </w:rPr>
      </w:pPr>
      <w:r w:rsidRPr="00854591">
        <w:rPr>
          <w:rFonts w:ascii="Arial" w:eastAsia="Calibri" w:hAnsi="Arial" w:cs="Arial"/>
          <w:b/>
          <w:sz w:val="21"/>
          <w:szCs w:val="21"/>
        </w:rPr>
        <w:t>Evidencias:</w:t>
      </w:r>
    </w:p>
    <w:p w14:paraId="663C1947" w14:textId="77777777" w:rsidR="00B53AC8" w:rsidRPr="00854591" w:rsidRDefault="00B53AC8" w:rsidP="00492D77">
      <w:pPr>
        <w:jc w:val="both"/>
        <w:rPr>
          <w:rFonts w:ascii="Arial" w:eastAsia="Arial Narrow" w:hAnsi="Arial" w:cs="Arial"/>
          <w:b/>
          <w:bCs/>
          <w:color w:val="000000" w:themeColor="text1"/>
          <w:sz w:val="21"/>
          <w:szCs w:val="21"/>
        </w:rPr>
      </w:pPr>
    </w:p>
    <w:p w14:paraId="2AA2B254" w14:textId="77777777" w:rsidR="00B53AC8" w:rsidRPr="00854591" w:rsidRDefault="00B53AC8" w:rsidP="00492D77">
      <w:pPr>
        <w:jc w:val="both"/>
        <w:rPr>
          <w:rFonts w:ascii="Arial" w:eastAsia="Arial Narrow" w:hAnsi="Arial" w:cs="Arial"/>
          <w:color w:val="000000" w:themeColor="text1"/>
          <w:sz w:val="21"/>
          <w:szCs w:val="21"/>
          <w:lang w:val="es-CO" w:eastAsia="en-US"/>
        </w:rPr>
      </w:pPr>
      <w:r w:rsidRPr="00854591">
        <w:rPr>
          <w:rFonts w:ascii="Arial" w:eastAsia="Arial Narrow" w:hAnsi="Arial" w:cs="Arial"/>
          <w:color w:val="000000" w:themeColor="text1"/>
          <w:sz w:val="21"/>
          <w:szCs w:val="21"/>
        </w:rPr>
        <w:t>ANEXOS 1 AL 11 DD SGP 2-2023.SALUD. DISTRITO DE SANTA MARTA.</w:t>
      </w:r>
      <w:r w:rsidR="00914696" w:rsidRPr="00914696">
        <w:rPr>
          <w:rFonts w:ascii="Arial" w:eastAsia="Arial Narrow" w:hAnsi="Arial" w:cs="Arial"/>
          <w:color w:val="000000" w:themeColor="text1"/>
          <w:sz w:val="21"/>
          <w:szCs w:val="21"/>
        </w:rPr>
        <w:t xml:space="preserve"> </w:t>
      </w:r>
      <w:r w:rsidR="00914696" w:rsidRPr="00854591">
        <w:rPr>
          <w:rFonts w:ascii="Arial" w:eastAsia="Arial Narrow" w:hAnsi="Arial" w:cs="Arial"/>
          <w:color w:val="000000" w:themeColor="text1"/>
          <w:sz w:val="21"/>
          <w:szCs w:val="21"/>
        </w:rPr>
        <w:t>OFICIO CON RADICADO SIED NO</w:t>
      </w:r>
      <w:r w:rsidR="00914696" w:rsidRPr="00854591">
        <w:rPr>
          <w:rFonts w:ascii="Arial" w:hAnsi="Arial" w:cs="Arial"/>
          <w:sz w:val="21"/>
          <w:szCs w:val="21"/>
        </w:rPr>
        <w:t>. 2-2023-013314</w:t>
      </w:r>
      <w:r w:rsidR="00914696" w:rsidRPr="00854591">
        <w:rPr>
          <w:rFonts w:ascii="Arial" w:eastAsia="Arial Narrow" w:hAnsi="Arial" w:cs="Arial"/>
          <w:color w:val="000000" w:themeColor="text1"/>
          <w:sz w:val="21"/>
          <w:szCs w:val="21"/>
        </w:rPr>
        <w:t xml:space="preserve"> DEL 17 DE MARZO DE 2023</w:t>
      </w:r>
      <w:r w:rsidR="00914696">
        <w:rPr>
          <w:rFonts w:ascii="Arial" w:eastAsia="Arial Narrow" w:hAnsi="Arial" w:cs="Arial"/>
          <w:color w:val="000000" w:themeColor="text1"/>
          <w:sz w:val="21"/>
          <w:szCs w:val="21"/>
        </w:rPr>
        <w:t>.</w:t>
      </w:r>
      <w:r w:rsidRPr="00854591">
        <w:rPr>
          <w:rFonts w:ascii="Arial" w:eastAsia="Arial Narrow" w:hAnsi="Arial" w:cs="Arial"/>
          <w:color w:val="000000" w:themeColor="text1"/>
          <w:sz w:val="21"/>
          <w:szCs w:val="21"/>
        </w:rPr>
        <w:t xml:space="preserve"> </w:t>
      </w:r>
      <w:r w:rsidRPr="00854591">
        <w:rPr>
          <w:rFonts w:ascii="Arial" w:hAnsi="Arial" w:cs="Arial"/>
          <w:sz w:val="21"/>
          <w:szCs w:val="21"/>
        </w:rPr>
        <w:t>HISTORIAL DE SEGUIMIENTO Y CONTROL A LOS RECURSOS DEL SISTEMA GENERAL DE PARTICIPACIONES. EXPEDIENTE 2/2023/D028-</w:t>
      </w:r>
      <w:proofErr w:type="gramStart"/>
      <w:r w:rsidRPr="00854591">
        <w:rPr>
          <w:rFonts w:ascii="Arial" w:hAnsi="Arial" w:cs="Arial"/>
          <w:sz w:val="21"/>
          <w:szCs w:val="21"/>
        </w:rPr>
        <w:t>PREDI.</w:t>
      </w:r>
      <w:r w:rsidRPr="00854591">
        <w:rPr>
          <w:rFonts w:ascii="Arial" w:eastAsia="Arial Narrow" w:hAnsi="Arial" w:cs="Arial"/>
          <w:color w:val="000000" w:themeColor="text1"/>
          <w:sz w:val="21"/>
          <w:szCs w:val="21"/>
        </w:rPr>
        <w:t>.</w:t>
      </w:r>
      <w:proofErr w:type="gramEnd"/>
      <w:r w:rsidR="00854591">
        <w:rPr>
          <w:rFonts w:ascii="Arial" w:eastAsia="Arial Narrow" w:hAnsi="Arial" w:cs="Arial"/>
          <w:color w:val="000000" w:themeColor="text1"/>
          <w:sz w:val="21"/>
          <w:szCs w:val="21"/>
        </w:rPr>
        <w:t xml:space="preserve"> </w:t>
      </w:r>
      <w:r w:rsidRPr="00854591">
        <w:rPr>
          <w:rFonts w:ascii="Arial" w:eastAsia="Arial Narrow" w:hAnsi="Arial" w:cs="Arial"/>
          <w:color w:val="000000" w:themeColor="text1"/>
          <w:sz w:val="21"/>
          <w:szCs w:val="21"/>
          <w:lang w:val="es-CO" w:eastAsia="en-US"/>
        </w:rPr>
        <w:t xml:space="preserve">ENLACE: </w:t>
      </w:r>
      <w:hyperlink r:id="rId42" w:anchor="url-960061" w:history="1">
        <w:r w:rsidRPr="00854591">
          <w:rPr>
            <w:rStyle w:val="Hipervnculo"/>
            <w:rFonts w:ascii="Arial" w:eastAsia="Arial Narrow" w:hAnsi="Arial" w:cs="Arial"/>
            <w:sz w:val="21"/>
            <w:szCs w:val="21"/>
            <w:lang w:val="es-CO" w:eastAsia="en-US"/>
          </w:rPr>
          <w:t>http://portalgestiondoc.minhacienda.red/PortalEmpleado/#url-960061</w:t>
        </w:r>
      </w:hyperlink>
    </w:p>
    <w:p w14:paraId="3EA00BD2" w14:textId="77777777" w:rsidR="00B53AC8" w:rsidRDefault="00B53AC8" w:rsidP="00492D77">
      <w:pPr>
        <w:contextualSpacing/>
        <w:jc w:val="both"/>
        <w:rPr>
          <w:rFonts w:ascii="Arial" w:eastAsia="Times New Roman" w:hAnsi="Arial" w:cs="Arial"/>
          <w:b/>
          <w:color w:val="000000" w:themeColor="text1"/>
          <w:sz w:val="21"/>
          <w:szCs w:val="21"/>
          <w:lang w:eastAsia="en-US"/>
        </w:rPr>
      </w:pPr>
    </w:p>
    <w:p w14:paraId="1CF23FD2" w14:textId="77777777" w:rsidR="00EF4DE1" w:rsidRPr="00854591" w:rsidRDefault="00EF4DE1" w:rsidP="00492D77">
      <w:pPr>
        <w:contextualSpacing/>
        <w:jc w:val="both"/>
        <w:rPr>
          <w:rFonts w:ascii="Arial" w:eastAsia="Times New Roman" w:hAnsi="Arial" w:cs="Arial"/>
          <w:b/>
          <w:color w:val="000000" w:themeColor="text1"/>
          <w:sz w:val="21"/>
          <w:szCs w:val="21"/>
          <w:lang w:eastAsia="en-US"/>
        </w:rPr>
      </w:pPr>
    </w:p>
    <w:p w14:paraId="14872E8A" w14:textId="77777777" w:rsidR="00DF1EAE" w:rsidRPr="00854591" w:rsidRDefault="00667806" w:rsidP="00492D77">
      <w:pPr>
        <w:jc w:val="both"/>
        <w:rPr>
          <w:rFonts w:ascii="Arial" w:hAnsi="Arial" w:cs="Arial"/>
          <w:b/>
          <w:sz w:val="21"/>
          <w:szCs w:val="21"/>
        </w:rPr>
      </w:pPr>
      <w:r>
        <w:rPr>
          <w:rFonts w:ascii="Arial" w:hAnsi="Arial" w:cs="Arial"/>
          <w:b/>
          <w:sz w:val="21"/>
          <w:szCs w:val="21"/>
        </w:rPr>
        <w:t>2</w:t>
      </w:r>
      <w:r w:rsidR="00DF1EAE" w:rsidRPr="00854591">
        <w:rPr>
          <w:rFonts w:ascii="Arial" w:hAnsi="Arial" w:cs="Arial"/>
          <w:b/>
          <w:sz w:val="21"/>
          <w:szCs w:val="21"/>
        </w:rPr>
        <w:t>. Baja ejecución de las metas del plan de acción en salud.</w:t>
      </w:r>
    </w:p>
    <w:p w14:paraId="2111100B" w14:textId="77777777" w:rsidR="00DF1EAE" w:rsidRPr="00854591" w:rsidRDefault="00DF1EAE" w:rsidP="00492D77">
      <w:pPr>
        <w:jc w:val="both"/>
        <w:rPr>
          <w:rFonts w:ascii="Arial" w:hAnsi="Arial" w:cs="Arial"/>
          <w:sz w:val="21"/>
          <w:szCs w:val="21"/>
        </w:rPr>
      </w:pPr>
    </w:p>
    <w:p w14:paraId="26A13A68" w14:textId="77777777" w:rsidR="001E6B9E" w:rsidRPr="00854591" w:rsidRDefault="001E6B9E" w:rsidP="00492D77">
      <w:pPr>
        <w:contextualSpacing/>
        <w:jc w:val="both"/>
        <w:rPr>
          <w:rFonts w:ascii="Arial" w:hAnsi="Arial" w:cs="Arial"/>
          <w:sz w:val="21"/>
          <w:szCs w:val="21"/>
        </w:rPr>
      </w:pPr>
      <w:r w:rsidRPr="00854591">
        <w:rPr>
          <w:rFonts w:ascii="Arial" w:hAnsi="Arial" w:cs="Arial"/>
          <w:sz w:val="21"/>
          <w:szCs w:val="21"/>
        </w:rPr>
        <w:t xml:space="preserve">Conforme lo prevé la Resolución 1536 de 2015 la Planeación Integral para la Salud se refiere a un conjunto de procesos que </w:t>
      </w:r>
      <w:r w:rsidR="009B7DF9" w:rsidRPr="00854591">
        <w:rPr>
          <w:rFonts w:ascii="Arial" w:hAnsi="Arial" w:cs="Arial"/>
          <w:sz w:val="21"/>
          <w:szCs w:val="21"/>
        </w:rPr>
        <w:t>les</w:t>
      </w:r>
      <w:r w:rsidRPr="00854591">
        <w:rPr>
          <w:rFonts w:ascii="Arial" w:hAnsi="Arial" w:cs="Arial"/>
          <w:sz w:val="21"/>
          <w:szCs w:val="21"/>
        </w:rPr>
        <w:t xml:space="preserve"> permite a las entidades territoriales definir las acciones de formulación, implementación, monitoreo, evaluación y rendición de cuentas del Plan Territorial de Salud – PTS. En ese marco el Plan Territorial de Salud constituye el instrumento estratégico e indicativo de política pública en salud, el cual le permite a las entidades territoriales cumplir con las estrategias establecidas en e</w:t>
      </w:r>
      <w:r w:rsidR="00630AA5" w:rsidRPr="00854591">
        <w:rPr>
          <w:rFonts w:ascii="Arial" w:hAnsi="Arial" w:cs="Arial"/>
          <w:sz w:val="21"/>
          <w:szCs w:val="21"/>
        </w:rPr>
        <w:t xml:space="preserve">l Plan Decenal de Salud Pública, siendo además responsables de su elaboración y monitoreo continúo. </w:t>
      </w:r>
    </w:p>
    <w:p w14:paraId="124A7B68" w14:textId="77777777" w:rsidR="001E6B9E" w:rsidRPr="00854591" w:rsidRDefault="001E6B9E" w:rsidP="00492D77">
      <w:pPr>
        <w:contextualSpacing/>
        <w:jc w:val="both"/>
        <w:rPr>
          <w:rFonts w:ascii="Arial" w:hAnsi="Arial" w:cs="Arial"/>
          <w:sz w:val="21"/>
          <w:szCs w:val="21"/>
        </w:rPr>
      </w:pPr>
    </w:p>
    <w:p w14:paraId="4E6CED2B" w14:textId="77777777" w:rsidR="00DF1EAE" w:rsidRPr="00854591" w:rsidRDefault="00DF1EAE" w:rsidP="00492D77">
      <w:pPr>
        <w:contextualSpacing/>
        <w:jc w:val="both"/>
        <w:rPr>
          <w:rFonts w:ascii="Arial" w:hAnsi="Arial" w:cs="Arial"/>
          <w:bCs/>
          <w:sz w:val="21"/>
          <w:szCs w:val="21"/>
        </w:rPr>
      </w:pPr>
      <w:r w:rsidRPr="00854591">
        <w:rPr>
          <w:rFonts w:ascii="Arial" w:hAnsi="Arial" w:cs="Arial"/>
          <w:sz w:val="21"/>
          <w:szCs w:val="21"/>
        </w:rPr>
        <w:t>Se observó que 16 de las 54 actividades,</w:t>
      </w:r>
      <w:r w:rsidRPr="00854591">
        <w:rPr>
          <w:rFonts w:ascii="Arial" w:hAnsi="Arial" w:cs="Arial"/>
          <w:bCs/>
          <w:sz w:val="21"/>
          <w:szCs w:val="21"/>
        </w:rPr>
        <w:t xml:space="preserve"> de las intervenciones aprobadas en el Plan de Acción en Salud y la evaluación de las metas sanitarias del Plan Territorial de Salud,</w:t>
      </w:r>
      <w:r w:rsidRPr="00854591">
        <w:rPr>
          <w:rFonts w:ascii="Arial" w:hAnsi="Arial" w:cs="Arial"/>
          <w:sz w:val="21"/>
          <w:szCs w:val="21"/>
        </w:rPr>
        <w:t xml:space="preserve"> registran un avance inferior al 50% a un año de la finalización del plan. Lo anterior, denota baja cumplimiento en las metas sanitarias del plan territorial de salud, lo que pone en riesgo su cumplimiento y la prestación de los servicios de salud.</w:t>
      </w:r>
      <w:r w:rsidRPr="00854591">
        <w:rPr>
          <w:rFonts w:ascii="Arial" w:hAnsi="Arial" w:cs="Arial"/>
          <w:bCs/>
          <w:sz w:val="21"/>
          <w:szCs w:val="21"/>
        </w:rPr>
        <w:t xml:space="preserve"> </w:t>
      </w:r>
    </w:p>
    <w:p w14:paraId="43D360CA" w14:textId="77777777" w:rsidR="006A3353" w:rsidRPr="00854591" w:rsidRDefault="006A3353" w:rsidP="00492D77">
      <w:pPr>
        <w:contextualSpacing/>
        <w:jc w:val="both"/>
        <w:rPr>
          <w:rFonts w:ascii="Arial" w:hAnsi="Arial" w:cs="Arial"/>
          <w:sz w:val="21"/>
          <w:szCs w:val="21"/>
        </w:rPr>
      </w:pPr>
    </w:p>
    <w:p w14:paraId="1F34FAE1" w14:textId="77777777" w:rsidR="00DF1EAE" w:rsidRPr="00A76485" w:rsidRDefault="00E42E1C" w:rsidP="00492D77">
      <w:pPr>
        <w:contextualSpacing/>
        <w:jc w:val="both"/>
        <w:rPr>
          <w:rFonts w:ascii="Arial" w:hAnsi="Arial" w:cs="Arial"/>
          <w:sz w:val="21"/>
          <w:szCs w:val="21"/>
        </w:rPr>
      </w:pPr>
      <w:r>
        <w:rPr>
          <w:rFonts w:ascii="Arial" w:hAnsi="Arial" w:cs="Arial"/>
          <w:noProof/>
          <w:lang w:val="es-CO" w:eastAsia="es-CO"/>
        </w:rPr>
        <w:pict w14:anchorId="0EAF8B2D">
          <v:shape id="Flecha abajo 18" o:spid="_x0000_s2053" type="#_x0000_t67" style="position:absolute;left:0;text-align:left;margin-left:357.35pt;margin-top:17.6pt;width:57.4pt;height:51.95pt;rotation:2794284fd;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jbhAIAAFAFAAAOAAAAZHJzL2Uyb0RvYy54bWysVFFP2zAQfp+0/2D5fSTNWgoVKapATJMQ&#10;IGDi2XVsksnxeWe3affrd3bSgADtYVoeorPv7ru77+58dr5rDdsq9A3Ykk+Ocs6UlVA19rnkPx6v&#10;vpxw5oOwlTBgVcn3yvPz5edPZ51bqAJqMJVCRiDWLzpX8joEt8gyL2vVCn8ETllSasBWBDric1ah&#10;6Ai9NVmR58dZB1g5BKm8p9vLXsmXCV9rJcOt1l4FZkpOuYX0x/Rfx3+2PBOLZxSubuSQhviHLFrR&#10;WAo6Ql2KINgGm3dQbSMRPOhwJKHNQOtGqlQDVTPJ31TzUAunUi1EjncjTf7/wcqb7R2ypqLeUaes&#10;aKlHV0bJWjCxFj+B0TVx1Dm/INMHd4fDyZMYC95pbBkCEVvMZifF9GuigQpju8TyfmRZ7QKTdDkv&#10;Tot8xpkk1fHsdD6bxwhZDxUhHfrwTUHLolDyCjq7QoQuIYvttQ+9/cGOnGN+fUZJCnujIpKx90pT&#10;dRS1SN5prtSFQbYVNBFCSmXDpFfVolL99Synb0hq9EgpJsCIrBtjRuwBIM7se+w+18E+uqo0lqNz&#10;/rfEeufRI0UGG0bntrGAHwEYqmqI3NsfSOqpiSytodpT71PvaDW8k1cNEX4tfLgTSFtAl7TZ4ZZ+&#10;2kBXchgkzmrA3x/dR3saTtJy1tFWldz/2ghUnJnvlsb2dDKdxjVMh+lsXtABX2vWrzV2014AtWmS&#10;sktitA/mIGqE9okegFWMSiphJcUuuQx4OFyEftvpCZFqtUpmtHpOhGv74GQEj6zGWXrcPQl0w9QF&#10;GtcbOGygWLyZu942elpYbQLoJg3lC68D37S2aXCGJya+C6/PyerlIVz+AQAA//8DAFBLAwQUAAYA&#10;CAAAACEACD6h0OAAAAAKAQAADwAAAGRycy9kb3ducmV2LnhtbEyPUUvDMBSF3wX/Q7iCby5t52zX&#10;NR0ymCDCYFHfb5usLWuS0mRr9++9Punj5Xyc891iO5ueXfXoO2cFxIsImLa1U51tBHx97p8yYD6g&#10;Vdg7qwXctIdteX9XYK7cZI/6KkPDqMT6HAW0IQw5575utUG/cIO2lJ3caDDQOTZcjThRuel5EkUv&#10;3GBnaaHFQe9aXZ/lxQjIqsPtW6Z4rPcfww6nN3mW750Qjw/z6wZY0HP4g+FXn9ShJKfKXazyrBeQ&#10;xs8poQKWqwQYAVmyXgGriFyuY+Blwf+/UP4AAAD//wMA&#10;" adj="10800" fillcolor="#4f81bd [3204]" strokecolor="#243f60 [1604]" strokeweight="2pt"/>
        </w:pict>
      </w:r>
      <w:r w:rsidR="006A3353" w:rsidRPr="00A76485">
        <w:rPr>
          <w:rFonts w:ascii="Arial" w:hAnsi="Arial" w:cs="Arial"/>
          <w:noProof/>
          <w:lang w:val="es-CO" w:eastAsia="es-CO"/>
        </w:rPr>
        <w:drawing>
          <wp:inline distT="0" distB="0" distL="0" distR="0" wp14:anchorId="7F7AE8F4" wp14:editId="2947CDE8">
            <wp:extent cx="5610860" cy="4894419"/>
            <wp:effectExtent l="0" t="0" r="889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29409" cy="4910600"/>
                    </a:xfrm>
                    <a:prstGeom prst="rect">
                      <a:avLst/>
                    </a:prstGeom>
                  </pic:spPr>
                </pic:pic>
              </a:graphicData>
            </a:graphic>
          </wp:inline>
        </w:drawing>
      </w:r>
    </w:p>
    <w:p w14:paraId="4E8946E1" w14:textId="77777777" w:rsidR="003D7662" w:rsidRPr="00A76485" w:rsidRDefault="003D7662" w:rsidP="00492D77">
      <w:pPr>
        <w:contextualSpacing/>
        <w:rPr>
          <w:rFonts w:ascii="Arial" w:eastAsia="Times New Roman" w:hAnsi="Arial" w:cs="Arial"/>
          <w:bCs/>
          <w:color w:val="000000" w:themeColor="text1"/>
          <w:sz w:val="16"/>
          <w:szCs w:val="16"/>
          <w:lang w:eastAsia="en-US"/>
        </w:rPr>
      </w:pPr>
      <w:r w:rsidRPr="00A76485">
        <w:rPr>
          <w:rFonts w:ascii="Arial" w:eastAsia="Times New Roman" w:hAnsi="Arial" w:cs="Arial"/>
          <w:bCs/>
          <w:color w:val="000000" w:themeColor="text1"/>
          <w:sz w:val="16"/>
          <w:szCs w:val="16"/>
          <w:lang w:eastAsia="en-US"/>
        </w:rPr>
        <w:lastRenderedPageBreak/>
        <w:t>Fuente: Entidad Territorial</w:t>
      </w:r>
    </w:p>
    <w:p w14:paraId="037107F9" w14:textId="77777777" w:rsidR="003D7662" w:rsidRPr="00A76485" w:rsidRDefault="003D7662" w:rsidP="00492D77">
      <w:pPr>
        <w:jc w:val="both"/>
        <w:rPr>
          <w:rFonts w:ascii="Arial" w:eastAsia="Arial Narrow" w:hAnsi="Arial" w:cs="Arial"/>
          <w:color w:val="000000" w:themeColor="text1"/>
          <w:sz w:val="21"/>
          <w:szCs w:val="21"/>
        </w:rPr>
      </w:pPr>
    </w:p>
    <w:p w14:paraId="224B93F5" w14:textId="77777777" w:rsidR="00DF1EAE" w:rsidRPr="00A76485" w:rsidRDefault="00DF1EAE" w:rsidP="00492D77">
      <w:pPr>
        <w:jc w:val="both"/>
        <w:rPr>
          <w:rFonts w:ascii="Arial" w:eastAsia="Arial Narrow" w:hAnsi="Arial" w:cs="Arial"/>
          <w:color w:val="000000" w:themeColor="text1"/>
          <w:sz w:val="21"/>
          <w:szCs w:val="21"/>
        </w:rPr>
      </w:pPr>
      <w:r w:rsidRPr="00A76485">
        <w:rPr>
          <w:rFonts w:ascii="Arial" w:eastAsia="Arial Narrow" w:hAnsi="Arial" w:cs="Arial"/>
          <w:color w:val="000000" w:themeColor="text1"/>
          <w:sz w:val="21"/>
          <w:szCs w:val="21"/>
        </w:rPr>
        <w:t xml:space="preserve">EVIDENCIA </w:t>
      </w:r>
    </w:p>
    <w:p w14:paraId="4877CFD5" w14:textId="77777777" w:rsidR="00DF1EAE" w:rsidRPr="00A76485" w:rsidRDefault="00DF1EAE" w:rsidP="00492D77">
      <w:pPr>
        <w:jc w:val="both"/>
        <w:rPr>
          <w:rFonts w:ascii="Arial" w:eastAsia="Arial Narrow" w:hAnsi="Arial" w:cs="Arial"/>
          <w:color w:val="000000" w:themeColor="text1"/>
          <w:sz w:val="21"/>
          <w:szCs w:val="21"/>
        </w:rPr>
      </w:pPr>
    </w:p>
    <w:p w14:paraId="376CF034" w14:textId="77777777" w:rsidR="00DF1EAE" w:rsidRPr="00A76485" w:rsidRDefault="00DF1EAE" w:rsidP="00492D77">
      <w:pPr>
        <w:jc w:val="both"/>
        <w:rPr>
          <w:rStyle w:val="Hipervnculo"/>
          <w:rFonts w:ascii="Arial" w:eastAsia="Arial Narrow" w:hAnsi="Arial" w:cs="Arial"/>
          <w:sz w:val="21"/>
          <w:szCs w:val="21"/>
          <w:lang w:val="es-CO" w:eastAsia="en-US"/>
        </w:rPr>
      </w:pPr>
      <w:r w:rsidRPr="00A76485">
        <w:rPr>
          <w:rFonts w:ascii="Arial" w:eastAsia="Arial Narrow" w:hAnsi="Arial" w:cs="Arial"/>
          <w:color w:val="000000" w:themeColor="text1"/>
          <w:sz w:val="21"/>
          <w:szCs w:val="21"/>
        </w:rPr>
        <w:t>MATRIZ DE VERIFICACIÓN DE INFORMACIÓN</w:t>
      </w:r>
      <w:r w:rsidRPr="00A76485">
        <w:rPr>
          <w:rFonts w:ascii="Arial" w:hAnsi="Arial" w:cs="Arial"/>
          <w:sz w:val="20"/>
          <w:szCs w:val="20"/>
        </w:rPr>
        <w:t xml:space="preserve"> </w:t>
      </w:r>
      <w:r w:rsidR="006A3353" w:rsidRPr="00A76485">
        <w:rPr>
          <w:rFonts w:ascii="Arial" w:eastAsia="Arial Narrow" w:hAnsi="Arial" w:cs="Arial"/>
          <w:color w:val="000000" w:themeColor="text1"/>
          <w:sz w:val="21"/>
          <w:szCs w:val="21"/>
        </w:rPr>
        <w:t>REQUIMIENTO 15</w:t>
      </w:r>
      <w:r w:rsidRPr="00A76485">
        <w:rPr>
          <w:rFonts w:ascii="Arial" w:eastAsia="Arial Narrow" w:hAnsi="Arial" w:cs="Arial"/>
          <w:color w:val="000000" w:themeColor="text1"/>
          <w:sz w:val="21"/>
          <w:szCs w:val="21"/>
        </w:rPr>
        <w:t xml:space="preserve">. </w:t>
      </w:r>
      <w:r w:rsidR="00914696" w:rsidRPr="00914696">
        <w:rPr>
          <w:rFonts w:ascii="Arial" w:eastAsia="Arial Narrow" w:hAnsi="Arial" w:cs="Arial"/>
          <w:color w:val="000000" w:themeColor="text1"/>
          <w:sz w:val="21"/>
          <w:szCs w:val="21"/>
        </w:rPr>
        <w:t>OFICIO CON RADICADO SIED NO. 2-2023-013314 DEL 17 DE MARZO DE 2023 Y ANEXO 1-2023-042608</w:t>
      </w:r>
      <w:r w:rsidR="00914696">
        <w:rPr>
          <w:rFonts w:ascii="Arial" w:eastAsia="Arial Narrow" w:hAnsi="Arial" w:cs="Arial"/>
          <w:color w:val="000000" w:themeColor="text1"/>
          <w:sz w:val="21"/>
          <w:szCs w:val="21"/>
        </w:rPr>
        <w:t xml:space="preserve">. </w:t>
      </w:r>
      <w:r w:rsidRPr="00A76485">
        <w:rPr>
          <w:rFonts w:ascii="Arial" w:hAnsi="Arial" w:cs="Arial"/>
          <w:sz w:val="21"/>
          <w:szCs w:val="21"/>
        </w:rPr>
        <w:t xml:space="preserve">HISTORIAL DE SEGUIMIENTO Y CONTROL A LOS RECURSOS DEL SISTEMA GENERAL DE PARTICIPACIONES. </w:t>
      </w:r>
      <w:r w:rsidRPr="00A76485">
        <w:rPr>
          <w:rFonts w:ascii="Arial" w:hAnsi="Arial" w:cs="Arial"/>
          <w:sz w:val="20"/>
          <w:szCs w:val="20"/>
        </w:rPr>
        <w:t xml:space="preserve">EXPEDIENTE </w:t>
      </w:r>
      <w:r w:rsidRPr="00A76485">
        <w:rPr>
          <w:rFonts w:ascii="Arial" w:hAnsi="Arial" w:cs="Arial"/>
          <w:sz w:val="21"/>
          <w:szCs w:val="21"/>
        </w:rPr>
        <w:t>2/2023/D028-</w:t>
      </w:r>
      <w:proofErr w:type="gramStart"/>
      <w:r w:rsidRPr="00A76485">
        <w:rPr>
          <w:rFonts w:ascii="Arial" w:hAnsi="Arial" w:cs="Arial"/>
          <w:sz w:val="21"/>
          <w:szCs w:val="21"/>
        </w:rPr>
        <w:t>PREDI</w:t>
      </w:r>
      <w:r w:rsidRPr="00A76485">
        <w:rPr>
          <w:rFonts w:ascii="Arial" w:hAnsi="Arial" w:cs="Arial"/>
          <w:sz w:val="20"/>
          <w:szCs w:val="20"/>
        </w:rPr>
        <w:t>.</w:t>
      </w:r>
      <w:r w:rsidR="009B7DF9">
        <w:rPr>
          <w:rFonts w:ascii="Arial" w:hAnsi="Arial" w:cs="Arial"/>
          <w:sz w:val="21"/>
          <w:szCs w:val="21"/>
        </w:rPr>
        <w:t>.</w:t>
      </w:r>
      <w:proofErr w:type="gramEnd"/>
      <w:r w:rsidR="009B7DF9">
        <w:rPr>
          <w:rFonts w:ascii="Arial" w:hAnsi="Arial" w:cs="Arial"/>
          <w:sz w:val="21"/>
          <w:szCs w:val="21"/>
        </w:rPr>
        <w:t xml:space="preserve"> </w:t>
      </w:r>
      <w:r w:rsidRPr="00A76485">
        <w:rPr>
          <w:rFonts w:ascii="Arial" w:eastAsia="Arial Narrow" w:hAnsi="Arial" w:cs="Arial"/>
          <w:color w:val="000000" w:themeColor="text1"/>
          <w:sz w:val="21"/>
          <w:szCs w:val="21"/>
          <w:lang w:val="es-CO" w:eastAsia="en-US"/>
        </w:rPr>
        <w:t>ENLACE:</w:t>
      </w:r>
      <w:r w:rsidRPr="00A76485">
        <w:rPr>
          <w:rFonts w:ascii="Arial" w:eastAsia="Arial Narrow" w:hAnsi="Arial" w:cs="Arial"/>
          <w:color w:val="000000" w:themeColor="text1"/>
          <w:sz w:val="21"/>
          <w:szCs w:val="21"/>
        </w:rPr>
        <w:t xml:space="preserve"> </w:t>
      </w:r>
      <w:hyperlink r:id="rId44" w:anchor="url-67" w:history="1">
        <w:r w:rsidRPr="00A76485">
          <w:rPr>
            <w:rStyle w:val="Hipervnculo"/>
            <w:rFonts w:ascii="Arial" w:eastAsia="Arial Narrow" w:hAnsi="Arial" w:cs="Arial"/>
            <w:sz w:val="21"/>
            <w:szCs w:val="21"/>
            <w:lang w:val="es-CO" w:eastAsia="en-US"/>
          </w:rPr>
          <w:t>http://portalgestiondoc.minhacienda.red/PortalEmpleado/#url-67</w:t>
        </w:r>
      </w:hyperlink>
    </w:p>
    <w:p w14:paraId="6947BBDA" w14:textId="77777777" w:rsidR="00FA3251" w:rsidRDefault="00FA3251" w:rsidP="00492D77">
      <w:pPr>
        <w:contextualSpacing/>
        <w:jc w:val="both"/>
        <w:rPr>
          <w:rFonts w:ascii="Arial" w:eastAsiaTheme="minorHAnsi" w:hAnsi="Arial" w:cs="Arial"/>
          <w:color w:val="000000"/>
          <w:sz w:val="21"/>
          <w:szCs w:val="21"/>
          <w:lang w:val="es-CO" w:eastAsia="en-US"/>
        </w:rPr>
      </w:pPr>
    </w:p>
    <w:p w14:paraId="7FFE868A" w14:textId="77777777" w:rsidR="00B53AC8" w:rsidRPr="00A76485" w:rsidRDefault="00B53AC8" w:rsidP="00492D77">
      <w:pPr>
        <w:pStyle w:val="Ttulo1"/>
        <w:numPr>
          <w:ilvl w:val="0"/>
          <w:numId w:val="1"/>
        </w:numPr>
        <w:spacing w:before="0"/>
        <w:jc w:val="both"/>
        <w:rPr>
          <w:rFonts w:ascii="Arial" w:hAnsi="Arial" w:cs="Arial"/>
          <w:b/>
          <w:color w:val="auto"/>
          <w:sz w:val="22"/>
          <w:szCs w:val="22"/>
          <w:lang w:val="es-CO"/>
        </w:rPr>
      </w:pPr>
      <w:r w:rsidRPr="00A76485">
        <w:rPr>
          <w:rFonts w:ascii="Arial" w:hAnsi="Arial" w:cs="Arial"/>
          <w:b/>
          <w:color w:val="auto"/>
          <w:sz w:val="22"/>
          <w:szCs w:val="22"/>
          <w:lang w:val="es-CO"/>
        </w:rPr>
        <w:t>CONCLUSIONES Y RECOMENDACIONES.</w:t>
      </w:r>
    </w:p>
    <w:p w14:paraId="627C4EFF" w14:textId="77777777" w:rsidR="00B53AC8" w:rsidRPr="00A76485" w:rsidRDefault="00B53AC8" w:rsidP="00492D77">
      <w:pPr>
        <w:rPr>
          <w:rFonts w:ascii="Arial" w:hAnsi="Arial" w:cs="Arial"/>
          <w:sz w:val="22"/>
          <w:szCs w:val="22"/>
          <w:lang w:val="es-CO"/>
        </w:rPr>
      </w:pPr>
    </w:p>
    <w:p w14:paraId="55EF7802" w14:textId="77777777" w:rsidR="00B53AC8" w:rsidRPr="00A76485" w:rsidRDefault="00B53AC8" w:rsidP="00492D77">
      <w:pPr>
        <w:pStyle w:val="Default"/>
        <w:contextualSpacing/>
        <w:jc w:val="both"/>
        <w:rPr>
          <w:i/>
          <w:sz w:val="21"/>
          <w:szCs w:val="21"/>
          <w:lang w:val="es-CO"/>
        </w:rPr>
      </w:pPr>
      <w:r w:rsidRPr="00A76485">
        <w:rPr>
          <w:sz w:val="21"/>
          <w:szCs w:val="21"/>
          <w:lang w:val="es-CO"/>
        </w:rPr>
        <w:t xml:space="preserve">A partir del análisis de la información remitida por el Distrito de Santa Marta, se evidenció la existencia de los siguientes eventos de riesgo, definidos en el artículo 9 del Decreto 028 de 2009, en relación con el uso de los recursos del Sistema en General de Participaciones el Sector Salud: </w:t>
      </w:r>
      <w:r w:rsidRPr="00A76485">
        <w:rPr>
          <w:i/>
          <w:sz w:val="21"/>
          <w:szCs w:val="21"/>
          <w:lang w:val="es-CO"/>
        </w:rPr>
        <w:t>9.</w:t>
      </w:r>
      <w:r w:rsidR="00163E43">
        <w:rPr>
          <w:i/>
          <w:sz w:val="21"/>
          <w:szCs w:val="21"/>
          <w:lang w:val="es-CO"/>
        </w:rPr>
        <w:t>1</w:t>
      </w:r>
      <w:r w:rsidRPr="00A76485">
        <w:rPr>
          <w:i/>
          <w:sz w:val="21"/>
          <w:szCs w:val="21"/>
          <w:lang w:val="es-CO"/>
        </w:rPr>
        <w:t xml:space="preserve">. </w:t>
      </w:r>
      <w:r w:rsidR="00154E75" w:rsidRPr="00154E75">
        <w:rPr>
          <w:i/>
          <w:sz w:val="21"/>
          <w:szCs w:val="21"/>
          <w:lang w:val="es-CO"/>
        </w:rPr>
        <w:t xml:space="preserve">“No envío de información conforme a los plazos, condiciones </w:t>
      </w:r>
      <w:proofErr w:type="gramStart"/>
      <w:r w:rsidR="00154E75" w:rsidRPr="00154E75">
        <w:rPr>
          <w:i/>
          <w:sz w:val="21"/>
          <w:szCs w:val="21"/>
          <w:lang w:val="es-CO"/>
        </w:rPr>
        <w:t>y  formatos</w:t>
      </w:r>
      <w:proofErr w:type="gramEnd"/>
      <w:r w:rsidR="00154E75" w:rsidRPr="00154E75">
        <w:rPr>
          <w:i/>
          <w:sz w:val="21"/>
          <w:szCs w:val="21"/>
          <w:lang w:val="es-CO"/>
        </w:rPr>
        <w:t xml:space="preserve"> indicados por el Gobierno Nacional, y/o haber remitido o entregado información incompleta o errónea.“</w:t>
      </w:r>
      <w:r w:rsidR="00154E75">
        <w:rPr>
          <w:i/>
          <w:sz w:val="21"/>
          <w:szCs w:val="21"/>
          <w:lang w:val="es-CO"/>
        </w:rPr>
        <w:t xml:space="preserve"> ,,</w:t>
      </w:r>
      <w:r w:rsidRPr="00A76485">
        <w:rPr>
          <w:sz w:val="21"/>
          <w:szCs w:val="21"/>
          <w:lang w:val="es-CO"/>
        </w:rPr>
        <w:t xml:space="preserve">9.10. </w:t>
      </w:r>
      <w:r w:rsidRPr="00A76485">
        <w:rPr>
          <w:i/>
          <w:sz w:val="21"/>
          <w:szCs w:val="21"/>
          <w:lang w:val="es-CO"/>
        </w:rPr>
        <w:t>“No publicar los actos administrativos, contratos, convenios e informes, cuando la ley lo exija”</w:t>
      </w:r>
      <w:r w:rsidRPr="00A76485">
        <w:rPr>
          <w:sz w:val="21"/>
          <w:szCs w:val="21"/>
          <w:lang w:val="es-CO"/>
        </w:rPr>
        <w:t xml:space="preserve"> y 9.18. “</w:t>
      </w:r>
      <w:r w:rsidRPr="00A76485">
        <w:rPr>
          <w:i/>
          <w:sz w:val="21"/>
          <w:szCs w:val="21"/>
          <w:lang w:val="es-CO"/>
        </w:rPr>
        <w:t>Aquella situación que,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p>
    <w:p w14:paraId="5EDBC9BA" w14:textId="77777777" w:rsidR="00B53AC8" w:rsidRPr="00A76485" w:rsidRDefault="00B53AC8" w:rsidP="00492D77">
      <w:pPr>
        <w:contextualSpacing/>
        <w:jc w:val="both"/>
        <w:rPr>
          <w:rFonts w:ascii="Arial" w:eastAsiaTheme="minorHAnsi" w:hAnsi="Arial" w:cs="Arial"/>
          <w:color w:val="000000"/>
          <w:sz w:val="21"/>
          <w:szCs w:val="21"/>
          <w:lang w:val="es-CO" w:eastAsia="en-US"/>
        </w:rPr>
      </w:pPr>
    </w:p>
    <w:p w14:paraId="30D6DF14" w14:textId="77777777" w:rsidR="00B53AC8" w:rsidRPr="00A76485" w:rsidRDefault="00B53AC8" w:rsidP="00492D77">
      <w:pPr>
        <w:contextualSpacing/>
        <w:jc w:val="both"/>
        <w:rPr>
          <w:rFonts w:ascii="Arial" w:hAnsi="Arial" w:cs="Arial"/>
          <w:sz w:val="21"/>
          <w:szCs w:val="21"/>
        </w:rPr>
      </w:pPr>
      <w:r w:rsidRPr="00A76485">
        <w:rPr>
          <w:rFonts w:ascii="Arial" w:hAnsi="Arial" w:cs="Arial"/>
          <w:sz w:val="21"/>
          <w:szCs w:val="21"/>
        </w:rPr>
        <w:t>Con base en los riesgos identificados y en el marco de las funciones asignadas en los Decretos 028 de 2008 y 1068 de 2015, relacionadas con la coordinación de la ejecución de las actividades de monitoreo, seguimiento y control al uso de recursos del SGP, se recomienda la adopción de la Medida Preventiva de Plan de Desempeño en el Sector Salud, encaminada a</w:t>
      </w:r>
      <w:r w:rsidR="006A3353" w:rsidRPr="00A76485">
        <w:rPr>
          <w:rFonts w:ascii="Arial" w:hAnsi="Arial" w:cs="Arial"/>
          <w:sz w:val="21"/>
          <w:szCs w:val="21"/>
        </w:rPr>
        <w:t>; 1.)</w:t>
      </w:r>
      <w:r w:rsidRPr="00A76485">
        <w:rPr>
          <w:rFonts w:ascii="Arial" w:hAnsi="Arial" w:cs="Arial"/>
          <w:sz w:val="21"/>
          <w:szCs w:val="21"/>
        </w:rPr>
        <w:t xml:space="preserve"> lograr la correcta administración del Fondo Local de Salud de acuerdo con las directrices normativas vigentes, desde el ámbito presupuestal, contable y de tesorería, alcanzar niveles más eficientes en la ejecu</w:t>
      </w:r>
      <w:r w:rsidR="006A3353" w:rsidRPr="00A76485">
        <w:rPr>
          <w:rFonts w:ascii="Arial" w:hAnsi="Arial" w:cs="Arial"/>
          <w:sz w:val="21"/>
          <w:szCs w:val="21"/>
        </w:rPr>
        <w:t>ción de los recursos del Sector;</w:t>
      </w:r>
      <w:r w:rsidRPr="00A76485">
        <w:rPr>
          <w:rFonts w:ascii="Arial" w:hAnsi="Arial" w:cs="Arial"/>
          <w:sz w:val="21"/>
          <w:szCs w:val="21"/>
        </w:rPr>
        <w:t xml:space="preserve"> </w:t>
      </w:r>
      <w:r w:rsidR="006A3353" w:rsidRPr="00A76485">
        <w:rPr>
          <w:rFonts w:ascii="Arial" w:hAnsi="Arial" w:cs="Arial"/>
          <w:sz w:val="21"/>
          <w:szCs w:val="21"/>
        </w:rPr>
        <w:t xml:space="preserve">2.) </w:t>
      </w:r>
      <w:r w:rsidRPr="00A76485">
        <w:rPr>
          <w:rFonts w:ascii="Arial" w:hAnsi="Arial" w:cs="Arial"/>
          <w:sz w:val="21"/>
          <w:szCs w:val="21"/>
        </w:rPr>
        <w:t>fortalecer las capacidades institucionales para mejorar la c</w:t>
      </w:r>
      <w:r w:rsidR="006A3353" w:rsidRPr="00A76485">
        <w:rPr>
          <w:rFonts w:ascii="Arial" w:hAnsi="Arial" w:cs="Arial"/>
          <w:sz w:val="21"/>
          <w:szCs w:val="21"/>
        </w:rPr>
        <w:t xml:space="preserve">alidad del reporte en el CUIPO; 3) </w:t>
      </w:r>
      <w:r w:rsidRPr="00A76485">
        <w:rPr>
          <w:rFonts w:ascii="Arial" w:hAnsi="Arial" w:cs="Arial"/>
          <w:sz w:val="21"/>
          <w:szCs w:val="21"/>
        </w:rPr>
        <w:t xml:space="preserve">mitigar el riesgo de afectación sobre los recursos del Sector derivado de actuaciones judiciales, </w:t>
      </w:r>
      <w:r w:rsidR="006A3353" w:rsidRPr="00A76485">
        <w:rPr>
          <w:rFonts w:ascii="Arial" w:hAnsi="Arial" w:cs="Arial"/>
          <w:sz w:val="21"/>
          <w:szCs w:val="21"/>
        </w:rPr>
        <w:t xml:space="preserve">4) </w:t>
      </w:r>
      <w:r w:rsidRPr="00A76485">
        <w:rPr>
          <w:rFonts w:ascii="Arial" w:hAnsi="Arial" w:cs="Arial"/>
          <w:sz w:val="21"/>
          <w:szCs w:val="21"/>
        </w:rPr>
        <w:t xml:space="preserve">mejorar los procesos de planeación financiera y ejecutar las actuaciones necesarias para corregir conductas en las etapas precontractuales, contractuales y </w:t>
      </w:r>
      <w:proofErr w:type="spellStart"/>
      <w:r w:rsidRPr="00A76485">
        <w:rPr>
          <w:rFonts w:ascii="Arial" w:hAnsi="Arial" w:cs="Arial"/>
          <w:sz w:val="21"/>
          <w:szCs w:val="21"/>
        </w:rPr>
        <w:t>poscontractuales</w:t>
      </w:r>
      <w:proofErr w:type="spellEnd"/>
      <w:r w:rsidRPr="00A76485">
        <w:rPr>
          <w:rFonts w:ascii="Arial" w:hAnsi="Arial" w:cs="Arial"/>
          <w:sz w:val="21"/>
          <w:szCs w:val="21"/>
        </w:rPr>
        <w:t xml:space="preserve"> que contribuyan en la mitigación de situaciones asociadas, conforme l</w:t>
      </w:r>
      <w:r w:rsidR="006A3353" w:rsidRPr="00A76485">
        <w:rPr>
          <w:rFonts w:ascii="Arial" w:hAnsi="Arial" w:cs="Arial"/>
          <w:sz w:val="21"/>
          <w:szCs w:val="21"/>
        </w:rPr>
        <w:t>o prevé la normatividad vigente; 5)</w:t>
      </w:r>
      <w:r w:rsidRPr="00A76485">
        <w:rPr>
          <w:rFonts w:ascii="Arial" w:hAnsi="Arial" w:cs="Arial"/>
          <w:sz w:val="21"/>
          <w:szCs w:val="21"/>
        </w:rPr>
        <w:t xml:space="preserve">  Mejorar la </w:t>
      </w:r>
      <w:r w:rsidRPr="00A76485">
        <w:rPr>
          <w:rFonts w:ascii="Arial" w:hAnsi="Arial" w:cs="Arial"/>
          <w:iCs/>
          <w:sz w:val="21"/>
          <w:szCs w:val="21"/>
        </w:rPr>
        <w:t>Oportunidad en la contratación</w:t>
      </w:r>
      <w:r w:rsidRPr="00A76485">
        <w:rPr>
          <w:rFonts w:ascii="Arial" w:hAnsi="Arial" w:cs="Arial"/>
          <w:b/>
          <w:bCs/>
          <w:sz w:val="21"/>
          <w:szCs w:val="21"/>
        </w:rPr>
        <w:t>,</w:t>
      </w:r>
      <w:r w:rsidRPr="00A76485">
        <w:rPr>
          <w:rFonts w:ascii="Arial" w:hAnsi="Arial" w:cs="Arial"/>
          <w:sz w:val="21"/>
          <w:szCs w:val="21"/>
        </w:rPr>
        <w:t xml:space="preserve"> garantizando la continuidad de las intervenciones, procedimientos, actividades e insumos del plan de salud pública de intervenciones colectivas, mediante la contratación oportuna del mismo</w:t>
      </w:r>
      <w:r w:rsidR="006A3353" w:rsidRPr="00A76485">
        <w:rPr>
          <w:rFonts w:ascii="Arial" w:hAnsi="Arial" w:cs="Arial"/>
          <w:sz w:val="21"/>
          <w:szCs w:val="21"/>
        </w:rPr>
        <w:t xml:space="preserve"> y; 6) dar cumplimiento con las metas</w:t>
      </w:r>
      <w:r w:rsidR="006A3353" w:rsidRPr="00A76485">
        <w:rPr>
          <w:rFonts w:ascii="Arial" w:hAnsi="Arial" w:cs="Arial"/>
          <w:bCs/>
          <w:sz w:val="21"/>
          <w:szCs w:val="21"/>
        </w:rPr>
        <w:t xml:space="preserve"> sanitarias del Plan Territorial de Salud</w:t>
      </w:r>
      <w:r w:rsidR="006A3353" w:rsidRPr="00A76485">
        <w:rPr>
          <w:rFonts w:ascii="Arial" w:hAnsi="Arial" w:cs="Arial"/>
          <w:sz w:val="21"/>
          <w:szCs w:val="21"/>
        </w:rPr>
        <w:t xml:space="preserve"> programas en el Plan de Acción en Salud.</w:t>
      </w:r>
    </w:p>
    <w:p w14:paraId="3E38DB6E" w14:textId="77777777" w:rsidR="00B53AC8" w:rsidRPr="00A76485" w:rsidRDefault="00B53AC8" w:rsidP="00492D77">
      <w:pPr>
        <w:rPr>
          <w:rFonts w:ascii="Arial" w:hAnsi="Arial" w:cs="Arial"/>
          <w:sz w:val="16"/>
          <w:szCs w:val="16"/>
          <w:lang w:val="es-CO"/>
        </w:rPr>
      </w:pPr>
    </w:p>
    <w:p w14:paraId="2646EAA5" w14:textId="77777777" w:rsidR="00B53AC8" w:rsidRPr="00A76485" w:rsidRDefault="00B53AC8" w:rsidP="00492D77">
      <w:pPr>
        <w:rPr>
          <w:rFonts w:ascii="Arial" w:hAnsi="Arial" w:cs="Arial"/>
          <w:sz w:val="16"/>
          <w:szCs w:val="16"/>
          <w:lang w:val="es-CO"/>
        </w:rPr>
      </w:pPr>
    </w:p>
    <w:p w14:paraId="09A49410" w14:textId="77777777" w:rsidR="00B53AC8" w:rsidRPr="00A76485" w:rsidRDefault="00B53AC8" w:rsidP="00492D77">
      <w:pPr>
        <w:rPr>
          <w:rFonts w:ascii="Arial" w:hAnsi="Arial" w:cs="Arial"/>
          <w:sz w:val="16"/>
          <w:szCs w:val="16"/>
          <w:lang w:val="es-CO"/>
        </w:rPr>
      </w:pPr>
    </w:p>
    <w:p w14:paraId="09D0CE4E" w14:textId="77777777" w:rsidR="00B53AC8" w:rsidRPr="00A76485" w:rsidRDefault="00B53AC8" w:rsidP="00492D77">
      <w:pPr>
        <w:contextualSpacing/>
        <w:jc w:val="both"/>
        <w:rPr>
          <w:rFonts w:ascii="Arial" w:eastAsia="Times New Roman" w:hAnsi="Arial" w:cs="Arial"/>
          <w:color w:val="000000" w:themeColor="text1"/>
          <w:sz w:val="16"/>
          <w:szCs w:val="16"/>
          <w:lang w:eastAsia="en-US"/>
        </w:rPr>
      </w:pPr>
      <w:r w:rsidRPr="00A76485">
        <w:rPr>
          <w:rFonts w:ascii="Arial" w:eastAsia="Times New Roman" w:hAnsi="Arial" w:cs="Arial"/>
          <w:b/>
          <w:color w:val="000000" w:themeColor="text1"/>
          <w:sz w:val="16"/>
          <w:szCs w:val="16"/>
          <w:lang w:eastAsia="en-US"/>
        </w:rPr>
        <w:t>Aprobó</w:t>
      </w:r>
      <w:r w:rsidRPr="00A76485">
        <w:rPr>
          <w:rFonts w:ascii="Arial" w:eastAsia="Times New Roman" w:hAnsi="Arial" w:cs="Arial"/>
          <w:color w:val="000000" w:themeColor="text1"/>
          <w:sz w:val="16"/>
          <w:szCs w:val="16"/>
          <w:lang w:eastAsia="en-US"/>
        </w:rPr>
        <w:t xml:space="preserve">: Fernando Olivera </w:t>
      </w:r>
    </w:p>
    <w:p w14:paraId="2A874B6C" w14:textId="77777777" w:rsidR="00B53AC8" w:rsidRPr="00A76485" w:rsidRDefault="00B53AC8" w:rsidP="00492D77">
      <w:pPr>
        <w:contextualSpacing/>
        <w:jc w:val="both"/>
        <w:rPr>
          <w:rFonts w:ascii="Arial" w:eastAsia="Times New Roman" w:hAnsi="Arial" w:cs="Arial"/>
          <w:color w:val="000000" w:themeColor="text1"/>
          <w:sz w:val="16"/>
          <w:szCs w:val="16"/>
          <w:lang w:eastAsia="en-US"/>
        </w:rPr>
      </w:pPr>
      <w:r w:rsidRPr="00A76485">
        <w:rPr>
          <w:rFonts w:ascii="Arial" w:eastAsia="Times New Roman" w:hAnsi="Arial" w:cs="Arial"/>
          <w:b/>
          <w:color w:val="000000" w:themeColor="text1"/>
          <w:sz w:val="16"/>
          <w:szCs w:val="16"/>
          <w:lang w:eastAsia="en-US"/>
        </w:rPr>
        <w:t>Revisión Técnica</w:t>
      </w:r>
      <w:r w:rsidRPr="00A76485">
        <w:rPr>
          <w:rFonts w:ascii="Arial" w:eastAsia="Times New Roman" w:hAnsi="Arial" w:cs="Arial"/>
          <w:color w:val="000000" w:themeColor="text1"/>
          <w:sz w:val="16"/>
          <w:szCs w:val="16"/>
          <w:lang w:eastAsia="en-US"/>
        </w:rPr>
        <w:t>: Patricia Peña</w:t>
      </w:r>
    </w:p>
    <w:p w14:paraId="236533D8" w14:textId="77777777" w:rsidR="00B53AC8" w:rsidRPr="00A76485" w:rsidRDefault="00B53AC8" w:rsidP="00492D77">
      <w:pPr>
        <w:contextualSpacing/>
        <w:jc w:val="both"/>
        <w:rPr>
          <w:rFonts w:ascii="Arial" w:eastAsia="Times New Roman" w:hAnsi="Arial" w:cs="Arial"/>
          <w:color w:val="000000" w:themeColor="text1"/>
          <w:sz w:val="16"/>
          <w:szCs w:val="16"/>
          <w:lang w:eastAsia="en-US"/>
        </w:rPr>
      </w:pPr>
      <w:r w:rsidRPr="00A76485">
        <w:rPr>
          <w:rFonts w:ascii="Arial" w:eastAsia="Times New Roman" w:hAnsi="Arial" w:cs="Arial"/>
          <w:b/>
          <w:bCs/>
          <w:color w:val="000000" w:themeColor="text1"/>
          <w:sz w:val="16"/>
          <w:szCs w:val="16"/>
          <w:lang w:eastAsia="en-US"/>
        </w:rPr>
        <w:t xml:space="preserve">Revisión Jurídica: </w:t>
      </w:r>
      <w:r w:rsidRPr="00A76485">
        <w:rPr>
          <w:rFonts w:ascii="Arial" w:eastAsia="Times New Roman" w:hAnsi="Arial" w:cs="Arial"/>
          <w:color w:val="000000" w:themeColor="text1"/>
          <w:sz w:val="16"/>
          <w:szCs w:val="16"/>
          <w:lang w:eastAsia="en-US"/>
        </w:rPr>
        <w:t>Adelaida Berdugo</w:t>
      </w:r>
    </w:p>
    <w:p w14:paraId="7C82B57D" w14:textId="77777777" w:rsidR="00B53AC8" w:rsidRPr="00A76485" w:rsidRDefault="00B53AC8" w:rsidP="00492D77">
      <w:pPr>
        <w:contextualSpacing/>
        <w:jc w:val="both"/>
        <w:rPr>
          <w:rFonts w:ascii="Arial" w:hAnsi="Arial" w:cs="Arial"/>
          <w:sz w:val="21"/>
          <w:szCs w:val="21"/>
        </w:rPr>
      </w:pPr>
      <w:r w:rsidRPr="00A76485">
        <w:rPr>
          <w:rFonts w:ascii="Arial" w:eastAsia="Times New Roman" w:hAnsi="Arial" w:cs="Arial"/>
          <w:b/>
          <w:color w:val="000000" w:themeColor="text1"/>
          <w:sz w:val="16"/>
          <w:szCs w:val="16"/>
          <w:lang w:eastAsia="en-US"/>
        </w:rPr>
        <w:t>Elaboró</w:t>
      </w:r>
      <w:r w:rsidRPr="00A76485">
        <w:rPr>
          <w:rFonts w:ascii="Arial" w:eastAsia="Times New Roman" w:hAnsi="Arial" w:cs="Arial"/>
          <w:color w:val="000000" w:themeColor="text1"/>
          <w:sz w:val="16"/>
          <w:szCs w:val="16"/>
          <w:lang w:eastAsia="en-US"/>
        </w:rPr>
        <w:t>: Óscar Giraldo</w:t>
      </w:r>
    </w:p>
    <w:p w14:paraId="3D797C50" w14:textId="77777777" w:rsidR="00B53AC8" w:rsidRPr="00A76485" w:rsidRDefault="00B53AC8" w:rsidP="00492D77">
      <w:pPr>
        <w:rPr>
          <w:rFonts w:ascii="Arial" w:hAnsi="Arial" w:cs="Arial"/>
          <w:sz w:val="16"/>
          <w:szCs w:val="16"/>
          <w:lang w:val="es-CO"/>
        </w:rPr>
      </w:pPr>
      <w:r w:rsidRPr="00A76485">
        <w:rPr>
          <w:rFonts w:ascii="Arial" w:hAnsi="Arial" w:cs="Arial"/>
          <w:sz w:val="16"/>
          <w:szCs w:val="16"/>
          <w:lang w:val="es-CO"/>
        </w:rPr>
        <w:t xml:space="preserve"> </w:t>
      </w:r>
    </w:p>
    <w:sectPr w:rsidR="00B53AC8" w:rsidRPr="00A76485" w:rsidSect="004E432F">
      <w:headerReference w:type="default" r:id="rId45"/>
      <w:footerReference w:type="default" r:id="rId46"/>
      <w:headerReference w:type="first" r:id="rId47"/>
      <w:footerReference w:type="first" r:id="rId48"/>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632D8D" w14:textId="77777777" w:rsidR="006809DF" w:rsidRDefault="006809DF" w:rsidP="00F71345">
      <w:r>
        <w:separator/>
      </w:r>
    </w:p>
  </w:endnote>
  <w:endnote w:type="continuationSeparator" w:id="0">
    <w:p w14:paraId="11EA2A3F" w14:textId="77777777" w:rsidR="006809DF" w:rsidRDefault="006809DF"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Futura Std Book">
    <w:altName w:val="Gadugi"/>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C4B3A" w14:textId="77777777" w:rsidR="009A1C97" w:rsidRPr="00A76485" w:rsidRDefault="00E42E1C" w:rsidP="00A76485">
    <w:pPr>
      <w:pStyle w:val="Piedepgina"/>
    </w:pPr>
    <w:r>
      <w:rPr>
        <w:rFonts w:ascii="Times New Roman" w:hAnsi="Times New Roman" w:cs="Times New Roman"/>
        <w:noProof/>
        <w:sz w:val="24"/>
        <w:szCs w:val="24"/>
        <w:lang w:eastAsia="es-CO"/>
      </w:rPr>
      <w:pict w14:anchorId="69130580">
        <v:shapetype id="_x0000_t202" coordsize="21600,21600" o:spt="202" path="m,l,21600r21600,l21600,xe">
          <v:stroke joinstyle="miter"/>
          <v:path gradientshapeok="t" o:connecttype="rect"/>
        </v:shapetype>
        <v:shape id="Cuadro de texto 1223101586" o:spid="_x0000_s1026" type="#_x0000_t202" style="position:absolute;margin-left:0;margin-top:-54.75pt;width:474.75pt;height:96.8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2nvGAIAACUEAAAOAAAAZHJzL2Uyb0RvYy54bWysU8tu2zAQvBfoPxC815IVO40Fy4GbwEUB&#10;IwngFDnTFGkJoLgsSVtyv75LSn7AvRW9ULvc1T5mhvPHrlHkIKyrQRd0PEopEZpDWetdQX++r748&#10;UOI80yVToEVBj8LRx8XnT/PW5CKDClQpLMEi2uWtKWjlvcmTxPFKNMyNwAiNQQm2YR5du0tKy1qs&#10;3qgkS9P7pAVbGgtcOIe3z32QLmJ9KQX3r1I64YkqKM7m42njuQ1nspizfGeZqWo+jMH+YYqG1Rqb&#10;nks9M8/I3tZ/lWpqbsGB9CMOTQJS1lzEHXCbcXqzzaZiRsRdEBxnzjC5/1eWvxw25s0S332DDgkM&#10;gLTG5Q4vwz6dtE344qQE4wjh8Qyb6DzheHmfZrO7bEoJx9g4y2az2TTUSS6/G+v8dwENCUZBLfIS&#10;4WKHtfN96ikldNOwqpWK3ChNWmxxN03jD+cIFlcae1yGDZbvtt2wwRbKIy5moefcGb6qsfmaOf/G&#10;LJKMu6Bw/SseUgE24ao2lFRgf9/ehTzEHCOUtCiWgrpfe2YFJeqHRjZm48kkqCs6k+nXDB17Hdle&#10;R/S+eQLU4xifhuHRDPlenUxpoflAXS9DVwwxzbF3Qf3JfPK9hPFdcLFcxiTUk2F+rTeGh9IBxgDp&#10;e/fBrBlw90jZC5xkxfIb+PvcnoDl3oOsIzcB2B7NAW/UYmR3eDdB7Nd+zLq87sUfAAAA//8DAFBL&#10;AwQUAAYACAAAACEAQlcxgOAAAAAIAQAADwAAAGRycy9kb3ducmV2LnhtbEyPQWvCQBCF7wX/wzJC&#10;b7oxaIlpJiIBKZT2oPXS2yYZk9Dd2TS7atpf3/VUb294w3vfyzaj0eJCg+ssIyzmEQjiytYdNwjH&#10;j90sAeG84lppy4TwQw42+eQhU2ltr7yny8E3IoSwSxVC632fSumqloxyc9sTB+9kB6N8OIdG1oO6&#10;hnCjZRxFT9KojkNDq3oqWqq+DmeD8Frs3tW+jE3yq4uXt9O2/z5+rhAfp+P2GYSn0f8/ww0/oEMe&#10;mEp75toJjRCGeITZIlqvQAR/vbyJEiFZxiDzTN4PyP8AAAD//wMAUEsBAi0AFAAGAAgAAAAhALaD&#10;OJL+AAAA4QEAABMAAAAAAAAAAAAAAAAAAAAAAFtDb250ZW50X1R5&#10;" filled="f" stroked="f" strokeweight=".5pt">
          <v:textbox>
            <w:txbxContent>
              <w:p w14:paraId="7D1F02FA" w14:textId="77777777" w:rsidR="009A1C97" w:rsidRDefault="009A1C97" w:rsidP="00A76485">
                <w:pPr>
                  <w:spacing w:line="276" w:lineRule="auto"/>
                  <w:jc w:val="both"/>
                  <w:rPr>
                    <w:rFonts w:ascii="Helvetica" w:hAnsi="Helvetica"/>
                    <w:sz w:val="20"/>
                    <w:szCs w:val="20"/>
                  </w:rPr>
                </w:pPr>
                <w:r>
                  <w:rPr>
                    <w:rFonts w:ascii="Helvetica" w:hAnsi="Helvetica"/>
                    <w:sz w:val="20"/>
                    <w:szCs w:val="20"/>
                  </w:rPr>
                  <w:t>________________________________________________________________________</w:t>
                </w:r>
              </w:p>
              <w:p w14:paraId="29C2276F" w14:textId="77777777" w:rsidR="009A1C97" w:rsidRDefault="009A1C97" w:rsidP="00A76485">
                <w:pPr>
                  <w:spacing w:line="276" w:lineRule="auto"/>
                  <w:jc w:val="both"/>
                  <w:rPr>
                    <w:rFonts w:ascii="Helvetica" w:hAnsi="Helvetica"/>
                    <w:b/>
                    <w:bCs/>
                    <w:sz w:val="20"/>
                    <w:szCs w:val="20"/>
                  </w:rPr>
                </w:pPr>
                <w:r>
                  <w:rPr>
                    <w:rFonts w:ascii="Helvetica" w:hAnsi="Helvetica"/>
                    <w:b/>
                    <w:bCs/>
                    <w:sz w:val="20"/>
                    <w:szCs w:val="20"/>
                  </w:rPr>
                  <w:t>Ministerio de Hacienda y Crédito Público</w:t>
                </w:r>
              </w:p>
              <w:p w14:paraId="186F957C" w14:textId="77777777" w:rsidR="009A1C97" w:rsidRDefault="009A1C97" w:rsidP="00A76485">
                <w:pPr>
                  <w:spacing w:line="276" w:lineRule="auto"/>
                  <w:jc w:val="both"/>
                  <w:rPr>
                    <w:rFonts w:ascii="Helvetica" w:hAnsi="Helvetica"/>
                    <w:sz w:val="20"/>
                    <w:szCs w:val="20"/>
                  </w:rPr>
                </w:pPr>
                <w:r>
                  <w:rPr>
                    <w:rFonts w:ascii="Helvetica" w:hAnsi="Helvetica"/>
                    <w:sz w:val="20"/>
                    <w:szCs w:val="20"/>
                  </w:rPr>
                  <w:t>Dirección: Carrera 8 No. 6C- 38, Bogotá D.C., Colombia</w:t>
                </w:r>
              </w:p>
              <w:p w14:paraId="0BC66674" w14:textId="77777777" w:rsidR="009A1C97" w:rsidRDefault="009A1C97" w:rsidP="00A76485">
                <w:pPr>
                  <w:spacing w:line="276" w:lineRule="auto"/>
                  <w:jc w:val="both"/>
                  <w:rPr>
                    <w:rFonts w:ascii="Helvetica" w:hAnsi="Helvetica"/>
                    <w:sz w:val="20"/>
                    <w:szCs w:val="20"/>
                  </w:rPr>
                </w:pPr>
                <w:r>
                  <w:rPr>
                    <w:rFonts w:ascii="Helvetica" w:hAnsi="Helvetica"/>
                    <w:sz w:val="20"/>
                    <w:szCs w:val="20"/>
                  </w:rPr>
                  <w:t>Conmutador: (+57) 601 3811700 - 602 1270</w:t>
                </w:r>
              </w:p>
              <w:p w14:paraId="555530A7" w14:textId="77777777" w:rsidR="009A1C97" w:rsidRDefault="009A1C97" w:rsidP="00A76485">
                <w:pPr>
                  <w:spacing w:line="276" w:lineRule="auto"/>
                  <w:jc w:val="both"/>
                  <w:rPr>
                    <w:rFonts w:ascii="Helvetica" w:hAnsi="Helvetica"/>
                    <w:sz w:val="20"/>
                    <w:szCs w:val="20"/>
                  </w:rPr>
                </w:pPr>
                <w:r>
                  <w:rPr>
                    <w:rFonts w:ascii="Helvetica" w:hAnsi="Helvetica"/>
                    <w:sz w:val="20"/>
                    <w:szCs w:val="20"/>
                  </w:rPr>
                  <w:t>Línea Gratuita: (+57) 01 8000 910071</w:t>
                </w:r>
              </w:p>
              <w:p w14:paraId="40385F91" w14:textId="77777777" w:rsidR="009A1C97" w:rsidRDefault="009A1C97" w:rsidP="00A76485">
                <w:pPr>
                  <w:spacing w:line="276" w:lineRule="auto"/>
                  <w:jc w:val="both"/>
                  <w:rPr>
                    <w:rFonts w:ascii="Helvetica" w:hAnsi="Helvetica"/>
                    <w:sz w:val="20"/>
                    <w:szCs w:val="20"/>
                  </w:rPr>
                </w:pP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9ED18" w14:textId="77777777" w:rsidR="009A1C97" w:rsidRDefault="00E42E1C">
    <w:pPr>
      <w:pStyle w:val="Piedepgina"/>
    </w:pPr>
    <w:r>
      <w:rPr>
        <w:rFonts w:ascii="Times New Roman" w:hAnsi="Times New Roman" w:cs="Times New Roman"/>
        <w:noProof/>
        <w:sz w:val="24"/>
        <w:szCs w:val="24"/>
        <w:lang w:eastAsia="es-CO"/>
      </w:rPr>
      <w:pict w14:anchorId="12CE3D74">
        <v:shapetype id="_x0000_t202" coordsize="21600,21600" o:spt="202" path="m,l,21600r21600,l21600,xe">
          <v:stroke joinstyle="miter"/>
          <v:path gradientshapeok="t" o:connecttype="rect"/>
        </v:shapetype>
        <v:shape id="Cuadro de texto 1" o:spid="_x0000_s1027" type="#_x0000_t202" style="position:absolute;margin-left:0;margin-top:-58.5pt;width:474.75pt;height:96.8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AqGQIAACwEAAAOAAAAZHJzL2Uyb0RvYy54bWysU02P2jAQvVfqf7B8LwlZ2C6IsKK7oqqE&#10;dldiqz0bxyaWHI9rGxL66zt2+BK9Vb04M57JfLz3PHvsGk32wnkFpqTDQU6JMBwqZbYl/fm+/PJA&#10;iQ/MVEyDESU9CE8f558/zVo7FQXUoCvhCBYxftraktYh2GmWeV6LhvkBWGEwKME1LKDrtlnlWIvV&#10;G50VeX6fteAq64AL7/H2uQ/SeaovpeDhVUovAtElxdlCOl06N/HM5jM23Tpma8WPY7B/mKJhymDT&#10;c6lnFhjZOfVXqUZxBx5kGHBoMpBScZF2wG2G+c0265pZkXZBcLw9w+T/X1n+sl/bN0dC9w06JDAC&#10;0lo/9XgZ9+mka+IXJyUYRwgPZ9hEFwjHy/u8mNwVY0o4xoZFMZlMxrFOdvndOh++C2hINErqkJcE&#10;F9uvfOhTTymxm4Gl0jpxow1pscXdOE8/nCNYXBvscRk2WqHbdERVV4tsoDrgfg566r3lS4UzrJgP&#10;b8wh17gS6je84iE1YC+ulaWkBvf79i7mIfQYoaRFzZTU/9oxJyjRPwySMhmORlFkyRmNvxbouOvI&#10;5jpids0ToCyH+EIsT2bMD/pkSgfNB8p7EbtiiBmOvUsaTuZT6JWMz4OLxSIloawsCyuztjyWjmhG&#10;ZN+7D+bsEf6AzL3ASV1sesNCn9vzsNgFkCpRFPHt0TzCjpJMJB+fT9T8tZ+yLo98/gcAAP//AwBQ&#10;SwMEFAAGAAgAAAAhAASBrHDhAAAACAEAAA8AAABkcnMvZG93bnJldi54bWxMj0FPwkAQhe8m/ofN&#10;mHiDbYlQKJ0S0oSYGD2AXLxNu0vb0N2t3QWqv97xpLc3eZP3vpdtRtOJqx586yxCPI1AaFs51doa&#10;4fi+myxB+EBWUeesRvjSHjb5/V1GqXI3u9fXQ6gFh1ifEkITQp9K6atGG/JT12vL3skNhgKfQy3V&#10;QDcON52cRdFCGmotNzTU66LR1flwMQgvxe6N9uXMLL+74vn1tO0/jx9zxMeHcbsGEfQY/p7hF5/R&#10;IWem0l2s8qJD4CEBYRLHCSv2V0+rOYgSIVkkIPNM/h+Q/wAAAP//AwBQSwECLQAUAAYACAAAACEA&#10;toM4kv4AAADhAQAAEwAAAAAAAAAAAAAAAAAAAAAAW0NvbnRlbnRf&#10;" filled="f" stroked="f" strokeweight=".5pt">
          <v:textbox>
            <w:txbxContent>
              <w:p w14:paraId="05C2E0F9" w14:textId="77777777" w:rsidR="009A1C97" w:rsidRDefault="009A1C97" w:rsidP="00A76485">
                <w:pPr>
                  <w:spacing w:line="276" w:lineRule="auto"/>
                  <w:jc w:val="both"/>
                  <w:rPr>
                    <w:rFonts w:ascii="Helvetica" w:hAnsi="Helvetica"/>
                    <w:sz w:val="20"/>
                    <w:szCs w:val="20"/>
                  </w:rPr>
                </w:pPr>
                <w:r>
                  <w:rPr>
                    <w:rFonts w:ascii="Helvetica" w:hAnsi="Helvetica"/>
                    <w:sz w:val="20"/>
                    <w:szCs w:val="20"/>
                  </w:rPr>
                  <w:t>________________________________________________________________________</w:t>
                </w:r>
              </w:p>
              <w:p w14:paraId="203D56E6" w14:textId="77777777" w:rsidR="009A1C97" w:rsidRDefault="009A1C97" w:rsidP="00A76485">
                <w:pPr>
                  <w:spacing w:line="276" w:lineRule="auto"/>
                  <w:jc w:val="both"/>
                  <w:rPr>
                    <w:rFonts w:ascii="Helvetica" w:hAnsi="Helvetica"/>
                    <w:b/>
                    <w:bCs/>
                    <w:sz w:val="20"/>
                    <w:szCs w:val="20"/>
                  </w:rPr>
                </w:pPr>
                <w:r>
                  <w:rPr>
                    <w:rFonts w:ascii="Helvetica" w:hAnsi="Helvetica"/>
                    <w:b/>
                    <w:bCs/>
                    <w:sz w:val="20"/>
                    <w:szCs w:val="20"/>
                  </w:rPr>
                  <w:t>Ministerio de Hacienda y Crédito Público</w:t>
                </w:r>
              </w:p>
              <w:p w14:paraId="6C3B6FFF" w14:textId="77777777" w:rsidR="009A1C97" w:rsidRDefault="009A1C97" w:rsidP="00A76485">
                <w:pPr>
                  <w:spacing w:line="276" w:lineRule="auto"/>
                  <w:jc w:val="both"/>
                  <w:rPr>
                    <w:rFonts w:ascii="Helvetica" w:hAnsi="Helvetica"/>
                    <w:sz w:val="20"/>
                    <w:szCs w:val="20"/>
                  </w:rPr>
                </w:pPr>
                <w:r>
                  <w:rPr>
                    <w:rFonts w:ascii="Helvetica" w:hAnsi="Helvetica"/>
                    <w:sz w:val="20"/>
                    <w:szCs w:val="20"/>
                  </w:rPr>
                  <w:t>Dirección: Carrera 8 No. 6C- 38, Bogotá D.C., Colombia</w:t>
                </w:r>
              </w:p>
              <w:p w14:paraId="3F447D8D" w14:textId="77777777" w:rsidR="009A1C97" w:rsidRDefault="009A1C97" w:rsidP="00A76485">
                <w:pPr>
                  <w:spacing w:line="276" w:lineRule="auto"/>
                  <w:jc w:val="both"/>
                  <w:rPr>
                    <w:rFonts w:ascii="Helvetica" w:hAnsi="Helvetica"/>
                    <w:sz w:val="20"/>
                    <w:szCs w:val="20"/>
                  </w:rPr>
                </w:pPr>
                <w:r>
                  <w:rPr>
                    <w:rFonts w:ascii="Helvetica" w:hAnsi="Helvetica"/>
                    <w:sz w:val="20"/>
                    <w:szCs w:val="20"/>
                  </w:rPr>
                  <w:t>Conmutador: (+57) 601 3811700 - 602 1270</w:t>
                </w:r>
              </w:p>
              <w:p w14:paraId="41916410" w14:textId="77777777" w:rsidR="009A1C97" w:rsidRDefault="009A1C97" w:rsidP="00A76485">
                <w:pPr>
                  <w:spacing w:line="276" w:lineRule="auto"/>
                  <w:jc w:val="both"/>
                  <w:rPr>
                    <w:rFonts w:ascii="Helvetica" w:hAnsi="Helvetica"/>
                    <w:sz w:val="20"/>
                    <w:szCs w:val="20"/>
                  </w:rPr>
                </w:pPr>
                <w:r>
                  <w:rPr>
                    <w:rFonts w:ascii="Helvetica" w:hAnsi="Helvetica"/>
                    <w:sz w:val="20"/>
                    <w:szCs w:val="20"/>
                  </w:rPr>
                  <w:t>Línea Gratuita: (+57) 01 8000 910071</w:t>
                </w:r>
              </w:p>
              <w:p w14:paraId="01B88B7D" w14:textId="77777777" w:rsidR="009A1C97" w:rsidRDefault="009A1C97" w:rsidP="00A76485">
                <w:pPr>
                  <w:spacing w:line="276" w:lineRule="auto"/>
                  <w:jc w:val="both"/>
                  <w:rPr>
                    <w:rFonts w:ascii="Helvetica" w:hAnsi="Helvetica"/>
                    <w:sz w:val="20"/>
                    <w:szCs w:val="20"/>
                  </w:rPr>
                </w:pP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36A0B9" w14:textId="77777777" w:rsidR="006809DF" w:rsidRDefault="006809DF" w:rsidP="00F71345">
      <w:r>
        <w:separator/>
      </w:r>
    </w:p>
  </w:footnote>
  <w:footnote w:type="continuationSeparator" w:id="0">
    <w:p w14:paraId="7D3AAC37" w14:textId="77777777" w:rsidR="006809DF" w:rsidRDefault="006809DF" w:rsidP="00F71345">
      <w:r>
        <w:continuationSeparator/>
      </w:r>
    </w:p>
  </w:footnote>
  <w:footnote w:id="1">
    <w:p w14:paraId="0D185480" w14:textId="77777777" w:rsidR="009A1C97" w:rsidRDefault="009A1C97">
      <w:pPr>
        <w:pStyle w:val="Textonotapie"/>
      </w:pPr>
      <w:r>
        <w:rPr>
          <w:rStyle w:val="Refdenotaalpie"/>
        </w:rPr>
        <w:footnoteRef/>
      </w:r>
      <w:r>
        <w:t xml:space="preserve"> </w:t>
      </w:r>
      <w:hyperlink r:id="rId1" w:history="1">
        <w:r w:rsidR="000A5513" w:rsidRPr="000E2A7A">
          <w:rPr>
            <w:rStyle w:val="Hipervnculo"/>
          </w:rPr>
          <w:t>https://es.wikipedia.org/wiki/Santa_Marta_(Colombia)</w:t>
        </w:r>
      </w:hyperlink>
      <w:r w:rsidR="000A5513">
        <w:t xml:space="preserve"> </w:t>
      </w:r>
    </w:p>
  </w:footnote>
  <w:footnote w:id="2">
    <w:p w14:paraId="796E5F4E" w14:textId="77777777" w:rsidR="009A1C97" w:rsidRDefault="009A1C97" w:rsidP="00B53AC8">
      <w:pPr>
        <w:pStyle w:val="Textonotapie"/>
      </w:pPr>
      <w:r>
        <w:rPr>
          <w:rStyle w:val="Refdenotaalpie"/>
        </w:rPr>
        <w:footnoteRef/>
      </w:r>
      <w:r>
        <w:t xml:space="preserve"> </w:t>
      </w:r>
      <w:r>
        <w:rPr>
          <w:rFonts w:ascii="Arial Narrow" w:hAnsi="Arial Narrow"/>
          <w:sz w:val="16"/>
          <w:szCs w:val="16"/>
        </w:rPr>
        <w:t xml:space="preserve">Información tomada del Informe de Viabilidad Fiscal del Departamento del Magdalena a junio de  </w:t>
      </w:r>
      <w:proofErr w:type="spellStart"/>
      <w:r>
        <w:rPr>
          <w:rFonts w:ascii="Arial Narrow" w:hAnsi="Arial Narrow"/>
          <w:sz w:val="16"/>
          <w:szCs w:val="16"/>
        </w:rPr>
        <w:t>de</w:t>
      </w:r>
      <w:proofErr w:type="spellEnd"/>
      <w:r>
        <w:rPr>
          <w:rFonts w:ascii="Arial Narrow" w:hAnsi="Arial Narrow"/>
          <w:sz w:val="16"/>
          <w:szCs w:val="16"/>
        </w:rPr>
        <w:t xml:space="preserve"> 2022 de la DAF/MHCP.</w:t>
      </w:r>
    </w:p>
  </w:footnote>
  <w:footnote w:id="3">
    <w:p w14:paraId="1A4B2501" w14:textId="77777777" w:rsidR="009A1C97" w:rsidRPr="00C45AA6" w:rsidRDefault="009A1C97" w:rsidP="00957AAF">
      <w:pPr>
        <w:pStyle w:val="Textonotapie"/>
      </w:pPr>
      <w:r>
        <w:rPr>
          <w:rStyle w:val="Refdenotaalpie"/>
        </w:rPr>
        <w:footnoteRef/>
      </w:r>
      <w:r>
        <w:t xml:space="preserve"> </w:t>
      </w:r>
      <w:r w:rsidRPr="00156E34">
        <w:rPr>
          <w:rFonts w:ascii="Arial Narrow" w:hAnsi="Arial Narrow"/>
        </w:rPr>
        <w:t>Ver, Boletín Económico Regional</w:t>
      </w:r>
      <w:r>
        <w:rPr>
          <w:rFonts w:ascii="Arial Narrow" w:hAnsi="Arial Narrow"/>
        </w:rPr>
        <w:t>, Costa Caribe</w:t>
      </w:r>
      <w:r w:rsidRPr="00156E34">
        <w:rPr>
          <w:rFonts w:ascii="Arial Narrow" w:hAnsi="Arial Narrow"/>
        </w:rPr>
        <w:t>. II trimestre de 2022. Banco de la República.</w:t>
      </w:r>
    </w:p>
  </w:footnote>
  <w:footnote w:id="4">
    <w:p w14:paraId="4FD75FF8" w14:textId="77777777" w:rsidR="009A1C97" w:rsidRDefault="009A1C97" w:rsidP="00B53AC8">
      <w:pPr>
        <w:pStyle w:val="Textonotapie"/>
      </w:pPr>
      <w:r>
        <w:rPr>
          <w:rStyle w:val="Refdenotaalpie"/>
        </w:rPr>
        <w:footnoteRef/>
      </w:r>
      <w:r>
        <w:t xml:space="preserve"> Valores en términos nominales.</w:t>
      </w:r>
    </w:p>
  </w:footnote>
  <w:footnote w:id="5">
    <w:p w14:paraId="1489874F" w14:textId="77777777" w:rsidR="009A1C97" w:rsidRDefault="009A1C97" w:rsidP="00B53AC8">
      <w:pPr>
        <w:pStyle w:val="Textonotapie"/>
      </w:pPr>
      <w:r>
        <w:rPr>
          <w:rStyle w:val="Refdenotaalpie"/>
        </w:rPr>
        <w:footnoteRef/>
      </w:r>
      <w:r>
        <w:t xml:space="preserve"> El contrato fue por $788 millones, la entidad solo reportó en la base los recursos del SGP- Salud Pública.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946F" w14:textId="77777777" w:rsidR="009A1C97" w:rsidRDefault="009A1C97" w:rsidP="00A82889">
    <w:pPr>
      <w:jc w:val="right"/>
      <w:rPr>
        <w:rFonts w:ascii="Arial" w:hAnsi="Arial" w:cs="Arial"/>
        <w:sz w:val="16"/>
        <w:szCs w:val="16"/>
      </w:rPr>
    </w:pPr>
    <w:r w:rsidRPr="00B07A14">
      <w:rPr>
        <w:noProof/>
        <w:u w:val="single"/>
        <w:lang w:val="es-CO" w:eastAsia="es-CO"/>
      </w:rPr>
      <w:drawing>
        <wp:anchor distT="0" distB="0" distL="114300" distR="114300" simplePos="0" relativeHeight="251663360" behindDoc="0" locked="0" layoutInCell="1" allowOverlap="1" wp14:anchorId="0EDD5852" wp14:editId="5C920692">
          <wp:simplePos x="0" y="0"/>
          <wp:positionH relativeFrom="page">
            <wp:posOffset>9702</wp:posOffset>
          </wp:positionH>
          <wp:positionV relativeFrom="paragraph">
            <wp:posOffset>-392631</wp:posOffset>
          </wp:positionV>
          <wp:extent cx="7769737" cy="1005101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9737" cy="10051012"/>
                  </a:xfrm>
                  <a:prstGeom prst="rect">
                    <a:avLst/>
                  </a:prstGeom>
                  <a:noFill/>
                  <a:ln>
                    <a:noFill/>
                  </a:ln>
                </pic:spPr>
              </pic:pic>
            </a:graphicData>
          </a:graphic>
        </wp:anchor>
      </w:drawing>
    </w:r>
  </w:p>
  <w:p w14:paraId="5552080A" w14:textId="77777777" w:rsidR="009A1C97" w:rsidRDefault="009A1C97" w:rsidP="00137CCA">
    <w:pPr>
      <w:rPr>
        <w:rFonts w:ascii="Arial" w:hAnsi="Arial" w:cs="Arial"/>
        <w:sz w:val="16"/>
        <w:szCs w:val="16"/>
      </w:rPr>
    </w:pPr>
  </w:p>
  <w:p w14:paraId="470B5DCB" w14:textId="77777777" w:rsidR="009A1C97" w:rsidRDefault="009A1C97" w:rsidP="00137CCA">
    <w:pPr>
      <w:rPr>
        <w:rFonts w:ascii="Arial" w:hAnsi="Arial" w:cs="Arial"/>
        <w:sz w:val="16"/>
        <w:szCs w:val="16"/>
      </w:rPr>
    </w:pPr>
  </w:p>
  <w:p w14:paraId="1A1A1FBF" w14:textId="77777777" w:rsidR="009A1C97" w:rsidRDefault="009A1C97" w:rsidP="00F01F75">
    <w:pPr>
      <w:pStyle w:val="Encabezado"/>
      <w:rPr>
        <w:rFonts w:ascii="Arial" w:hAnsi="Arial" w:cs="Arial"/>
        <w:sz w:val="16"/>
        <w:szCs w:val="16"/>
      </w:rPr>
    </w:pPr>
  </w:p>
  <w:p w14:paraId="7740A48C" w14:textId="77777777" w:rsidR="009A1C97" w:rsidRDefault="009A1C97" w:rsidP="00F01F75">
    <w:pPr>
      <w:pStyle w:val="Encabezado"/>
      <w:rPr>
        <w:rFonts w:ascii="Arial" w:hAnsi="Arial" w:cs="Arial"/>
        <w:sz w:val="16"/>
        <w:szCs w:val="16"/>
      </w:rPr>
    </w:pPr>
  </w:p>
  <w:p w14:paraId="05F5779D" w14:textId="77777777" w:rsidR="009A1C97" w:rsidRPr="00F01F75" w:rsidRDefault="009A1C97"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 xml:space="preserve">informe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154E75">
      <w:rPr>
        <w:rStyle w:val="Nmerodepgina"/>
        <w:rFonts w:ascii="Arial" w:hAnsi="Arial" w:cs="Arial"/>
        <w:noProof/>
        <w:sz w:val="16"/>
        <w:szCs w:val="16"/>
      </w:rPr>
      <w:t>28</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154E75">
      <w:rPr>
        <w:rStyle w:val="Nmerodepgina"/>
        <w:rFonts w:ascii="Arial" w:hAnsi="Arial" w:cs="Arial"/>
        <w:noProof/>
        <w:sz w:val="16"/>
        <w:szCs w:val="16"/>
      </w:rPr>
      <w:t>35</w:t>
    </w:r>
    <w:r w:rsidRPr="00F01F75">
      <w:rPr>
        <w:rStyle w:val="Nmerodepgina"/>
        <w:rFonts w:ascii="Arial" w:hAnsi="Arial" w:cs="Arial"/>
        <w:sz w:val="16"/>
        <w:szCs w:val="16"/>
      </w:rPr>
      <w:fldChar w:fldCharType="end"/>
    </w:r>
  </w:p>
  <w:p w14:paraId="34FA731D" w14:textId="77777777" w:rsidR="009A1C97" w:rsidRPr="00F01F75" w:rsidRDefault="009A1C97">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07D8" w14:textId="77777777" w:rsidR="009A1C97" w:rsidRPr="00B07A14" w:rsidRDefault="009A1C97">
    <w:pPr>
      <w:pStyle w:val="Encabezado"/>
      <w:rPr>
        <w:u w:val="single"/>
      </w:rPr>
    </w:pPr>
    <w:r w:rsidRPr="00B07A14">
      <w:rPr>
        <w:noProof/>
        <w:u w:val="single"/>
        <w:lang w:eastAsia="es-CO"/>
      </w:rPr>
      <w:drawing>
        <wp:anchor distT="0" distB="0" distL="114300" distR="114300" simplePos="0" relativeHeight="251661312" behindDoc="0" locked="0" layoutInCell="1" allowOverlap="1" wp14:anchorId="19C6E003" wp14:editId="7D8C84C4">
          <wp:simplePos x="0" y="0"/>
          <wp:positionH relativeFrom="page">
            <wp:posOffset>3690</wp:posOffset>
          </wp:positionH>
          <wp:positionV relativeFrom="paragraph">
            <wp:posOffset>-237916</wp:posOffset>
          </wp:positionV>
          <wp:extent cx="7769737" cy="10051012"/>
          <wp:effectExtent l="0" t="0" r="0" b="0"/>
          <wp:wrapNone/>
          <wp:docPr id="1615993281" name="Imagen 161599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93281" name="Imagen 161599328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9737" cy="10051012"/>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974C42"/>
    <w:multiLevelType w:val="multilevel"/>
    <w:tmpl w:val="99F84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10200"/>
    <w:multiLevelType w:val="hybridMultilevel"/>
    <w:tmpl w:val="EC226E7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E15E1F"/>
    <w:multiLevelType w:val="multilevel"/>
    <w:tmpl w:val="08109A6A"/>
    <w:lvl w:ilvl="0">
      <w:start w:val="1"/>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A4F0685"/>
    <w:multiLevelType w:val="multilevel"/>
    <w:tmpl w:val="8E328688"/>
    <w:lvl w:ilvl="0">
      <w:start w:val="1"/>
      <w:numFmt w:val="decimal"/>
      <w:lvlText w:val="%1."/>
      <w:lvlJc w:val="left"/>
      <w:pPr>
        <w:ind w:left="357" w:hanging="357"/>
      </w:pPr>
      <w:rPr>
        <w:b/>
      </w:rPr>
    </w:lvl>
    <w:lvl w:ilvl="1">
      <w:start w:val="1"/>
      <w:numFmt w:val="decimal"/>
      <w:lvlText w:val="%1.%2."/>
      <w:lvlJc w:val="left"/>
      <w:pPr>
        <w:ind w:left="357" w:hanging="357"/>
      </w:pPr>
      <w:rPr>
        <w:b/>
        <w:color w:val="auto"/>
      </w:r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4" w15:restartNumberingAfterBreak="0">
    <w:nsid w:val="28353024"/>
    <w:multiLevelType w:val="multilevel"/>
    <w:tmpl w:val="A5206112"/>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98E58D7"/>
    <w:multiLevelType w:val="hybridMultilevel"/>
    <w:tmpl w:val="53C6242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3381839"/>
    <w:multiLevelType w:val="hybridMultilevel"/>
    <w:tmpl w:val="16147932"/>
    <w:lvl w:ilvl="0" w:tplc="5DF62690">
      <w:start w:val="1"/>
      <w:numFmt w:val="upp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4CEB0D86"/>
    <w:multiLevelType w:val="hybridMultilevel"/>
    <w:tmpl w:val="F3940246"/>
    <w:lvl w:ilvl="0" w:tplc="4FEEE634">
      <w:start w:val="6"/>
      <w:numFmt w:val="upperLetter"/>
      <w:lvlText w:val="%1."/>
      <w:lvlJc w:val="left"/>
      <w:pPr>
        <w:ind w:left="720" w:hanging="360"/>
      </w:pPr>
      <w:rPr>
        <w:rFonts w:ascii="Arial Narrow" w:eastAsia="Calibri" w:hAnsi="Arial Narrow" w:cs="Arial" w:hint="default"/>
        <w:b/>
        <w:sz w:val="22"/>
      </w:rPr>
    </w:lvl>
    <w:lvl w:ilvl="1" w:tplc="0E1E1B86">
      <w:start w:val="1"/>
      <w:numFmt w:val="lowerLetter"/>
      <w:lvlText w:val="%2."/>
      <w:lvlJc w:val="left"/>
      <w:pPr>
        <w:ind w:left="1440" w:hanging="360"/>
      </w:pPr>
    </w:lvl>
    <w:lvl w:ilvl="2" w:tplc="38EC1838">
      <w:start w:val="1"/>
      <w:numFmt w:val="lowerRoman"/>
      <w:lvlText w:val="%3."/>
      <w:lvlJc w:val="right"/>
      <w:pPr>
        <w:ind w:left="2160" w:hanging="180"/>
      </w:pPr>
    </w:lvl>
    <w:lvl w:ilvl="3" w:tplc="992EF440">
      <w:start w:val="1"/>
      <w:numFmt w:val="decimal"/>
      <w:lvlText w:val="%4."/>
      <w:lvlJc w:val="left"/>
      <w:pPr>
        <w:ind w:left="2880" w:hanging="360"/>
      </w:pPr>
    </w:lvl>
    <w:lvl w:ilvl="4" w:tplc="FA6828CA">
      <w:start w:val="1"/>
      <w:numFmt w:val="lowerLetter"/>
      <w:lvlText w:val="%5."/>
      <w:lvlJc w:val="left"/>
      <w:pPr>
        <w:ind w:left="3600" w:hanging="360"/>
      </w:pPr>
    </w:lvl>
    <w:lvl w:ilvl="5" w:tplc="4E7ECC28">
      <w:start w:val="1"/>
      <w:numFmt w:val="lowerRoman"/>
      <w:lvlText w:val="%6."/>
      <w:lvlJc w:val="right"/>
      <w:pPr>
        <w:ind w:left="4320" w:hanging="180"/>
      </w:pPr>
    </w:lvl>
    <w:lvl w:ilvl="6" w:tplc="AD8663F8">
      <w:start w:val="1"/>
      <w:numFmt w:val="decimal"/>
      <w:lvlText w:val="%7."/>
      <w:lvlJc w:val="left"/>
      <w:pPr>
        <w:ind w:left="5040" w:hanging="360"/>
      </w:pPr>
    </w:lvl>
    <w:lvl w:ilvl="7" w:tplc="9738B084">
      <w:start w:val="1"/>
      <w:numFmt w:val="lowerLetter"/>
      <w:lvlText w:val="%8."/>
      <w:lvlJc w:val="left"/>
      <w:pPr>
        <w:ind w:left="5760" w:hanging="360"/>
      </w:pPr>
    </w:lvl>
    <w:lvl w:ilvl="8" w:tplc="4E22BD74">
      <w:start w:val="1"/>
      <w:numFmt w:val="lowerRoman"/>
      <w:lvlText w:val="%9."/>
      <w:lvlJc w:val="right"/>
      <w:pPr>
        <w:ind w:left="6480" w:hanging="180"/>
      </w:pPr>
    </w:lvl>
  </w:abstractNum>
  <w:abstractNum w:abstractNumId="8" w15:restartNumberingAfterBreak="0">
    <w:nsid w:val="54631FA0"/>
    <w:multiLevelType w:val="multilevel"/>
    <w:tmpl w:val="EF9A9C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CB84201"/>
    <w:multiLevelType w:val="multilevel"/>
    <w:tmpl w:val="D45C58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E951B4"/>
    <w:multiLevelType w:val="multilevel"/>
    <w:tmpl w:val="5B8A57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69884139"/>
    <w:multiLevelType w:val="hybridMultilevel"/>
    <w:tmpl w:val="C39A5FC6"/>
    <w:lvl w:ilvl="0" w:tplc="240A000F">
      <w:start w:val="1"/>
      <w:numFmt w:val="decimal"/>
      <w:lvlText w:val="%1."/>
      <w:lvlJc w:val="left"/>
      <w:pPr>
        <w:ind w:left="720" w:hanging="360"/>
      </w:pPr>
      <w:rPr>
        <w:rFonts w:hint="default"/>
        <w:b/>
        <w:sz w:val="22"/>
      </w:rPr>
    </w:lvl>
    <w:lvl w:ilvl="1" w:tplc="762873E8">
      <w:start w:val="1"/>
      <w:numFmt w:val="lowerLetter"/>
      <w:lvlText w:val="%2."/>
      <w:lvlJc w:val="left"/>
      <w:pPr>
        <w:ind w:left="1440" w:hanging="360"/>
      </w:pPr>
    </w:lvl>
    <w:lvl w:ilvl="2" w:tplc="0D1EB44E">
      <w:start w:val="1"/>
      <w:numFmt w:val="lowerRoman"/>
      <w:lvlText w:val="%3."/>
      <w:lvlJc w:val="right"/>
      <w:pPr>
        <w:ind w:left="2160" w:hanging="180"/>
      </w:pPr>
    </w:lvl>
    <w:lvl w:ilvl="3" w:tplc="82A462EE">
      <w:start w:val="1"/>
      <w:numFmt w:val="decimal"/>
      <w:lvlText w:val="%4."/>
      <w:lvlJc w:val="left"/>
      <w:pPr>
        <w:ind w:left="2880" w:hanging="360"/>
      </w:pPr>
    </w:lvl>
    <w:lvl w:ilvl="4" w:tplc="C05AEC3A">
      <w:start w:val="1"/>
      <w:numFmt w:val="lowerLetter"/>
      <w:lvlText w:val="%5."/>
      <w:lvlJc w:val="left"/>
      <w:pPr>
        <w:ind w:left="3600" w:hanging="360"/>
      </w:pPr>
    </w:lvl>
    <w:lvl w:ilvl="5" w:tplc="1B3C20F4">
      <w:start w:val="1"/>
      <w:numFmt w:val="lowerRoman"/>
      <w:lvlText w:val="%6."/>
      <w:lvlJc w:val="right"/>
      <w:pPr>
        <w:ind w:left="4320" w:hanging="180"/>
      </w:pPr>
    </w:lvl>
    <w:lvl w:ilvl="6" w:tplc="94144166">
      <w:start w:val="1"/>
      <w:numFmt w:val="decimal"/>
      <w:lvlText w:val="%7."/>
      <w:lvlJc w:val="left"/>
      <w:pPr>
        <w:ind w:left="5040" w:hanging="360"/>
      </w:pPr>
    </w:lvl>
    <w:lvl w:ilvl="7" w:tplc="62783396">
      <w:start w:val="1"/>
      <w:numFmt w:val="lowerLetter"/>
      <w:lvlText w:val="%8."/>
      <w:lvlJc w:val="left"/>
      <w:pPr>
        <w:ind w:left="5760" w:hanging="360"/>
      </w:pPr>
    </w:lvl>
    <w:lvl w:ilvl="8" w:tplc="7FEC2614">
      <w:start w:val="1"/>
      <w:numFmt w:val="lowerRoman"/>
      <w:lvlText w:val="%9."/>
      <w:lvlJc w:val="right"/>
      <w:pPr>
        <w:ind w:left="6480" w:hanging="180"/>
      </w:pPr>
    </w:lvl>
  </w:abstractNum>
  <w:abstractNum w:abstractNumId="12" w15:restartNumberingAfterBreak="0">
    <w:nsid w:val="71C0304B"/>
    <w:multiLevelType w:val="hybridMultilevel"/>
    <w:tmpl w:val="A8A8CF2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5FF7C30"/>
    <w:multiLevelType w:val="hybridMultilevel"/>
    <w:tmpl w:val="079423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8ED6C88"/>
    <w:multiLevelType w:val="hybridMultilevel"/>
    <w:tmpl w:val="576E8F5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3887687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8703269">
    <w:abstractNumId w:val="12"/>
  </w:num>
  <w:num w:numId="3" w16cid:durableId="1674381595">
    <w:abstractNumId w:val="1"/>
  </w:num>
  <w:num w:numId="4" w16cid:durableId="1490436234">
    <w:abstractNumId w:val="11"/>
  </w:num>
  <w:num w:numId="5" w16cid:durableId="11549553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93236687">
    <w:abstractNumId w:val="7"/>
  </w:num>
  <w:num w:numId="7" w16cid:durableId="10914671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7032782">
    <w:abstractNumId w:val="2"/>
  </w:num>
  <w:num w:numId="9" w16cid:durableId="1169254082">
    <w:abstractNumId w:val="8"/>
  </w:num>
  <w:num w:numId="10" w16cid:durableId="1306004510">
    <w:abstractNumId w:val="13"/>
  </w:num>
  <w:num w:numId="11" w16cid:durableId="649870787">
    <w:abstractNumId w:val="14"/>
  </w:num>
  <w:num w:numId="12" w16cid:durableId="459033152">
    <w:abstractNumId w:val="9"/>
  </w:num>
  <w:num w:numId="13" w16cid:durableId="9968089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16139426">
    <w:abstractNumId w:val="0"/>
  </w:num>
  <w:num w:numId="15" w16cid:durableId="1840658039">
    <w:abstractNumId w:val="4"/>
  </w:num>
  <w:num w:numId="16" w16cid:durableId="145963844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trackRevisions/>
  <w:defaultTabStop w:val="709"/>
  <w:hyphenationZone w:val="425"/>
  <w:characterSpacingControl w:val="doNotCompress"/>
  <w:hdrShapeDefaults>
    <o:shapedefaults v:ext="edit" spidmax="2054"/>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363C"/>
    <w:rsid w:val="00011854"/>
    <w:rsid w:val="00013AAF"/>
    <w:rsid w:val="00015D8E"/>
    <w:rsid w:val="000219D4"/>
    <w:rsid w:val="00023A69"/>
    <w:rsid w:val="00025168"/>
    <w:rsid w:val="000322E3"/>
    <w:rsid w:val="00042D32"/>
    <w:rsid w:val="00043DE6"/>
    <w:rsid w:val="000463D3"/>
    <w:rsid w:val="0005197E"/>
    <w:rsid w:val="000533EF"/>
    <w:rsid w:val="00054C23"/>
    <w:rsid w:val="00057AF8"/>
    <w:rsid w:val="00057CB6"/>
    <w:rsid w:val="000643E9"/>
    <w:rsid w:val="00065034"/>
    <w:rsid w:val="000652C3"/>
    <w:rsid w:val="00066D3A"/>
    <w:rsid w:val="00070B70"/>
    <w:rsid w:val="00070C78"/>
    <w:rsid w:val="000717C3"/>
    <w:rsid w:val="00073A1F"/>
    <w:rsid w:val="00075AD5"/>
    <w:rsid w:val="00077AA2"/>
    <w:rsid w:val="0008210A"/>
    <w:rsid w:val="00082354"/>
    <w:rsid w:val="0008330B"/>
    <w:rsid w:val="0008507C"/>
    <w:rsid w:val="000877D1"/>
    <w:rsid w:val="00093EB8"/>
    <w:rsid w:val="000A07D3"/>
    <w:rsid w:val="000A1163"/>
    <w:rsid w:val="000A2FC8"/>
    <w:rsid w:val="000A31BA"/>
    <w:rsid w:val="000A4383"/>
    <w:rsid w:val="000A5513"/>
    <w:rsid w:val="000A71F1"/>
    <w:rsid w:val="000A738C"/>
    <w:rsid w:val="000A791C"/>
    <w:rsid w:val="000B1E4E"/>
    <w:rsid w:val="000B20AE"/>
    <w:rsid w:val="000C2C96"/>
    <w:rsid w:val="000C4465"/>
    <w:rsid w:val="000C5781"/>
    <w:rsid w:val="000D09AB"/>
    <w:rsid w:val="000D466B"/>
    <w:rsid w:val="000D6114"/>
    <w:rsid w:val="000E1037"/>
    <w:rsid w:val="000E1ECA"/>
    <w:rsid w:val="000E42D0"/>
    <w:rsid w:val="000E4714"/>
    <w:rsid w:val="000E5163"/>
    <w:rsid w:val="000E5748"/>
    <w:rsid w:val="000E6513"/>
    <w:rsid w:val="000F0372"/>
    <w:rsid w:val="000F0EAD"/>
    <w:rsid w:val="000F1CBA"/>
    <w:rsid w:val="000F3807"/>
    <w:rsid w:val="000F4D2E"/>
    <w:rsid w:val="000F6620"/>
    <w:rsid w:val="00101484"/>
    <w:rsid w:val="00102684"/>
    <w:rsid w:val="00103AE9"/>
    <w:rsid w:val="0010497F"/>
    <w:rsid w:val="001067F4"/>
    <w:rsid w:val="001100A5"/>
    <w:rsid w:val="001107D5"/>
    <w:rsid w:val="0011263A"/>
    <w:rsid w:val="0011350E"/>
    <w:rsid w:val="00113CC1"/>
    <w:rsid w:val="00114AE3"/>
    <w:rsid w:val="00116F54"/>
    <w:rsid w:val="00117B7B"/>
    <w:rsid w:val="00120EEB"/>
    <w:rsid w:val="00121ECB"/>
    <w:rsid w:val="00122182"/>
    <w:rsid w:val="001258D6"/>
    <w:rsid w:val="00127CD2"/>
    <w:rsid w:val="00130944"/>
    <w:rsid w:val="001339E2"/>
    <w:rsid w:val="0013472A"/>
    <w:rsid w:val="00137CCA"/>
    <w:rsid w:val="001419E5"/>
    <w:rsid w:val="00144777"/>
    <w:rsid w:val="001448E3"/>
    <w:rsid w:val="001454CA"/>
    <w:rsid w:val="00147E82"/>
    <w:rsid w:val="00150E3E"/>
    <w:rsid w:val="001515F9"/>
    <w:rsid w:val="001518F2"/>
    <w:rsid w:val="00153869"/>
    <w:rsid w:val="00153ADC"/>
    <w:rsid w:val="00153C65"/>
    <w:rsid w:val="00154E75"/>
    <w:rsid w:val="00155650"/>
    <w:rsid w:val="00156301"/>
    <w:rsid w:val="00162B69"/>
    <w:rsid w:val="00163E43"/>
    <w:rsid w:val="00166790"/>
    <w:rsid w:val="00167BE4"/>
    <w:rsid w:val="0017111C"/>
    <w:rsid w:val="001741BB"/>
    <w:rsid w:val="0017545B"/>
    <w:rsid w:val="00182DEA"/>
    <w:rsid w:val="0019035D"/>
    <w:rsid w:val="00191CE9"/>
    <w:rsid w:val="00191D96"/>
    <w:rsid w:val="00191E93"/>
    <w:rsid w:val="00191EBC"/>
    <w:rsid w:val="00193284"/>
    <w:rsid w:val="00193B9F"/>
    <w:rsid w:val="0019444E"/>
    <w:rsid w:val="001971ED"/>
    <w:rsid w:val="001972B2"/>
    <w:rsid w:val="001A1ABA"/>
    <w:rsid w:val="001A2147"/>
    <w:rsid w:val="001B0799"/>
    <w:rsid w:val="001B3240"/>
    <w:rsid w:val="001B489C"/>
    <w:rsid w:val="001B651E"/>
    <w:rsid w:val="001B6DE2"/>
    <w:rsid w:val="001C1229"/>
    <w:rsid w:val="001C40E5"/>
    <w:rsid w:val="001D085D"/>
    <w:rsid w:val="001D104A"/>
    <w:rsid w:val="001D13E2"/>
    <w:rsid w:val="001D1F25"/>
    <w:rsid w:val="001D36C0"/>
    <w:rsid w:val="001D7796"/>
    <w:rsid w:val="001D787E"/>
    <w:rsid w:val="001E3E05"/>
    <w:rsid w:val="001E50F4"/>
    <w:rsid w:val="001E5520"/>
    <w:rsid w:val="001E55D9"/>
    <w:rsid w:val="001E60E2"/>
    <w:rsid w:val="001E6B9E"/>
    <w:rsid w:val="001F0127"/>
    <w:rsid w:val="001F0B1A"/>
    <w:rsid w:val="001F0DF7"/>
    <w:rsid w:val="001F4D1B"/>
    <w:rsid w:val="001F4ED2"/>
    <w:rsid w:val="001F6014"/>
    <w:rsid w:val="001F7009"/>
    <w:rsid w:val="001F72C4"/>
    <w:rsid w:val="00204100"/>
    <w:rsid w:val="002047B0"/>
    <w:rsid w:val="0020773D"/>
    <w:rsid w:val="0021197B"/>
    <w:rsid w:val="0021375B"/>
    <w:rsid w:val="00214F1B"/>
    <w:rsid w:val="002176E6"/>
    <w:rsid w:val="002211EF"/>
    <w:rsid w:val="00221EF1"/>
    <w:rsid w:val="0022264A"/>
    <w:rsid w:val="0022631D"/>
    <w:rsid w:val="00226B16"/>
    <w:rsid w:val="002335A5"/>
    <w:rsid w:val="0023633F"/>
    <w:rsid w:val="00237795"/>
    <w:rsid w:val="00237DFE"/>
    <w:rsid w:val="00237EFE"/>
    <w:rsid w:val="002414B0"/>
    <w:rsid w:val="002418C9"/>
    <w:rsid w:val="00242ECE"/>
    <w:rsid w:val="0024487B"/>
    <w:rsid w:val="002458E9"/>
    <w:rsid w:val="00251020"/>
    <w:rsid w:val="002511A6"/>
    <w:rsid w:val="00253CF2"/>
    <w:rsid w:val="002567A2"/>
    <w:rsid w:val="00257AAF"/>
    <w:rsid w:val="002658A7"/>
    <w:rsid w:val="00271E28"/>
    <w:rsid w:val="0027413A"/>
    <w:rsid w:val="0027421A"/>
    <w:rsid w:val="00280A31"/>
    <w:rsid w:val="00281DAD"/>
    <w:rsid w:val="00282357"/>
    <w:rsid w:val="00283D9E"/>
    <w:rsid w:val="002850DB"/>
    <w:rsid w:val="0028720A"/>
    <w:rsid w:val="002919CE"/>
    <w:rsid w:val="002932ED"/>
    <w:rsid w:val="002962FA"/>
    <w:rsid w:val="002A13EA"/>
    <w:rsid w:val="002A2626"/>
    <w:rsid w:val="002A6351"/>
    <w:rsid w:val="002A730B"/>
    <w:rsid w:val="002B2812"/>
    <w:rsid w:val="002B2E03"/>
    <w:rsid w:val="002B3410"/>
    <w:rsid w:val="002B4C0B"/>
    <w:rsid w:val="002B4E93"/>
    <w:rsid w:val="002C45F1"/>
    <w:rsid w:val="002C64C1"/>
    <w:rsid w:val="002C6BBE"/>
    <w:rsid w:val="002D1151"/>
    <w:rsid w:val="002D301B"/>
    <w:rsid w:val="002D3CF8"/>
    <w:rsid w:val="002D4B67"/>
    <w:rsid w:val="002D4F09"/>
    <w:rsid w:val="002D6C5F"/>
    <w:rsid w:val="002E1F1F"/>
    <w:rsid w:val="002E3E8B"/>
    <w:rsid w:val="002E54FE"/>
    <w:rsid w:val="002E6BE9"/>
    <w:rsid w:val="002E72FA"/>
    <w:rsid w:val="002E7640"/>
    <w:rsid w:val="002E7778"/>
    <w:rsid w:val="002F01D9"/>
    <w:rsid w:val="002F08CD"/>
    <w:rsid w:val="002F2BCC"/>
    <w:rsid w:val="002F3621"/>
    <w:rsid w:val="0030112E"/>
    <w:rsid w:val="00301846"/>
    <w:rsid w:val="0030295A"/>
    <w:rsid w:val="003037EC"/>
    <w:rsid w:val="003057C9"/>
    <w:rsid w:val="003226AB"/>
    <w:rsid w:val="0032474D"/>
    <w:rsid w:val="00327195"/>
    <w:rsid w:val="003300CE"/>
    <w:rsid w:val="00330AC6"/>
    <w:rsid w:val="0033289D"/>
    <w:rsid w:val="003334C8"/>
    <w:rsid w:val="0033489C"/>
    <w:rsid w:val="00336BAB"/>
    <w:rsid w:val="00337229"/>
    <w:rsid w:val="00340279"/>
    <w:rsid w:val="00341877"/>
    <w:rsid w:val="003419D9"/>
    <w:rsid w:val="0034312A"/>
    <w:rsid w:val="00343F87"/>
    <w:rsid w:val="00346D99"/>
    <w:rsid w:val="00350C08"/>
    <w:rsid w:val="0035116E"/>
    <w:rsid w:val="003560AE"/>
    <w:rsid w:val="0036039E"/>
    <w:rsid w:val="0036144E"/>
    <w:rsid w:val="00370540"/>
    <w:rsid w:val="00372895"/>
    <w:rsid w:val="00375763"/>
    <w:rsid w:val="003774E3"/>
    <w:rsid w:val="0038265A"/>
    <w:rsid w:val="00383A3E"/>
    <w:rsid w:val="00384066"/>
    <w:rsid w:val="003868C2"/>
    <w:rsid w:val="00387857"/>
    <w:rsid w:val="00391021"/>
    <w:rsid w:val="0039201F"/>
    <w:rsid w:val="00395375"/>
    <w:rsid w:val="003A3DD0"/>
    <w:rsid w:val="003A4D61"/>
    <w:rsid w:val="003A520B"/>
    <w:rsid w:val="003B1D05"/>
    <w:rsid w:val="003B7FE6"/>
    <w:rsid w:val="003C01C0"/>
    <w:rsid w:val="003C102D"/>
    <w:rsid w:val="003C2E21"/>
    <w:rsid w:val="003C6D25"/>
    <w:rsid w:val="003D00E0"/>
    <w:rsid w:val="003D3D8F"/>
    <w:rsid w:val="003D4DD3"/>
    <w:rsid w:val="003D7662"/>
    <w:rsid w:val="003D7CCD"/>
    <w:rsid w:val="003D7FD2"/>
    <w:rsid w:val="003E07FC"/>
    <w:rsid w:val="003E0ECD"/>
    <w:rsid w:val="003E221C"/>
    <w:rsid w:val="003E31A7"/>
    <w:rsid w:val="003E35C5"/>
    <w:rsid w:val="003E38D1"/>
    <w:rsid w:val="003E59CF"/>
    <w:rsid w:val="003E632D"/>
    <w:rsid w:val="003E77FC"/>
    <w:rsid w:val="003F07EB"/>
    <w:rsid w:val="003F0FB1"/>
    <w:rsid w:val="003F59D9"/>
    <w:rsid w:val="003F5C1B"/>
    <w:rsid w:val="003F617A"/>
    <w:rsid w:val="003F6A30"/>
    <w:rsid w:val="003F788E"/>
    <w:rsid w:val="003F7900"/>
    <w:rsid w:val="004057C1"/>
    <w:rsid w:val="00410445"/>
    <w:rsid w:val="00410C94"/>
    <w:rsid w:val="00412976"/>
    <w:rsid w:val="0041494D"/>
    <w:rsid w:val="00417D74"/>
    <w:rsid w:val="004217FA"/>
    <w:rsid w:val="00430693"/>
    <w:rsid w:val="0043107F"/>
    <w:rsid w:val="004315F2"/>
    <w:rsid w:val="00434B41"/>
    <w:rsid w:val="00434D74"/>
    <w:rsid w:val="00437A6B"/>
    <w:rsid w:val="004412E9"/>
    <w:rsid w:val="0044344C"/>
    <w:rsid w:val="00447D2A"/>
    <w:rsid w:val="00450D48"/>
    <w:rsid w:val="00453CE2"/>
    <w:rsid w:val="004607BE"/>
    <w:rsid w:val="00467143"/>
    <w:rsid w:val="00467ACD"/>
    <w:rsid w:val="004700D0"/>
    <w:rsid w:val="00472B0F"/>
    <w:rsid w:val="00472DB8"/>
    <w:rsid w:val="00472DE8"/>
    <w:rsid w:val="00473B82"/>
    <w:rsid w:val="00473F70"/>
    <w:rsid w:val="00474633"/>
    <w:rsid w:val="0047507E"/>
    <w:rsid w:val="00483386"/>
    <w:rsid w:val="00483533"/>
    <w:rsid w:val="00487AEE"/>
    <w:rsid w:val="0049010D"/>
    <w:rsid w:val="00492D77"/>
    <w:rsid w:val="004940D4"/>
    <w:rsid w:val="00496968"/>
    <w:rsid w:val="00497E68"/>
    <w:rsid w:val="004A140A"/>
    <w:rsid w:val="004A7F07"/>
    <w:rsid w:val="004A7F0D"/>
    <w:rsid w:val="004B267F"/>
    <w:rsid w:val="004B299B"/>
    <w:rsid w:val="004C2EDB"/>
    <w:rsid w:val="004C3700"/>
    <w:rsid w:val="004D11E5"/>
    <w:rsid w:val="004D3AB8"/>
    <w:rsid w:val="004D3FB8"/>
    <w:rsid w:val="004D4EE2"/>
    <w:rsid w:val="004D66AD"/>
    <w:rsid w:val="004E28CD"/>
    <w:rsid w:val="004E432F"/>
    <w:rsid w:val="004E4D21"/>
    <w:rsid w:val="004E6B93"/>
    <w:rsid w:val="004E7B18"/>
    <w:rsid w:val="004F048F"/>
    <w:rsid w:val="004F093C"/>
    <w:rsid w:val="004F2BB0"/>
    <w:rsid w:val="004F7BEA"/>
    <w:rsid w:val="005125B0"/>
    <w:rsid w:val="00514FBE"/>
    <w:rsid w:val="005169B2"/>
    <w:rsid w:val="0052149D"/>
    <w:rsid w:val="0052323E"/>
    <w:rsid w:val="00526464"/>
    <w:rsid w:val="0053089E"/>
    <w:rsid w:val="00534DC0"/>
    <w:rsid w:val="005368CD"/>
    <w:rsid w:val="00536BB6"/>
    <w:rsid w:val="00537794"/>
    <w:rsid w:val="0053783B"/>
    <w:rsid w:val="00537AEC"/>
    <w:rsid w:val="00540821"/>
    <w:rsid w:val="00542591"/>
    <w:rsid w:val="00542618"/>
    <w:rsid w:val="00542EB8"/>
    <w:rsid w:val="00542F4B"/>
    <w:rsid w:val="005445CE"/>
    <w:rsid w:val="0054628A"/>
    <w:rsid w:val="0055059C"/>
    <w:rsid w:val="00550636"/>
    <w:rsid w:val="005506C6"/>
    <w:rsid w:val="0055135E"/>
    <w:rsid w:val="00552AE0"/>
    <w:rsid w:val="00553C66"/>
    <w:rsid w:val="0055424A"/>
    <w:rsid w:val="00554EE2"/>
    <w:rsid w:val="00561999"/>
    <w:rsid w:val="00561CC5"/>
    <w:rsid w:val="00562716"/>
    <w:rsid w:val="00562C85"/>
    <w:rsid w:val="00562FCA"/>
    <w:rsid w:val="005636EE"/>
    <w:rsid w:val="00565A21"/>
    <w:rsid w:val="00570943"/>
    <w:rsid w:val="00571ED1"/>
    <w:rsid w:val="0057200A"/>
    <w:rsid w:val="00573B0A"/>
    <w:rsid w:val="00576F0C"/>
    <w:rsid w:val="00577720"/>
    <w:rsid w:val="0058232E"/>
    <w:rsid w:val="005833C7"/>
    <w:rsid w:val="00590228"/>
    <w:rsid w:val="00590F1A"/>
    <w:rsid w:val="00593364"/>
    <w:rsid w:val="00593904"/>
    <w:rsid w:val="0059604D"/>
    <w:rsid w:val="005A0B6D"/>
    <w:rsid w:val="005A1A5A"/>
    <w:rsid w:val="005A22D2"/>
    <w:rsid w:val="005A27D0"/>
    <w:rsid w:val="005A34AD"/>
    <w:rsid w:val="005A3BD8"/>
    <w:rsid w:val="005B137A"/>
    <w:rsid w:val="005C4D79"/>
    <w:rsid w:val="005C5817"/>
    <w:rsid w:val="005C61AC"/>
    <w:rsid w:val="005C6301"/>
    <w:rsid w:val="005C7523"/>
    <w:rsid w:val="005D214D"/>
    <w:rsid w:val="005D4DC9"/>
    <w:rsid w:val="005E04F5"/>
    <w:rsid w:val="005E1133"/>
    <w:rsid w:val="005F2435"/>
    <w:rsid w:val="005F245D"/>
    <w:rsid w:val="005F60FA"/>
    <w:rsid w:val="005F726F"/>
    <w:rsid w:val="005F77DF"/>
    <w:rsid w:val="0060069D"/>
    <w:rsid w:val="00604180"/>
    <w:rsid w:val="00604613"/>
    <w:rsid w:val="00605557"/>
    <w:rsid w:val="00606514"/>
    <w:rsid w:val="00611CFE"/>
    <w:rsid w:val="00612649"/>
    <w:rsid w:val="00614627"/>
    <w:rsid w:val="00616130"/>
    <w:rsid w:val="00616856"/>
    <w:rsid w:val="006170E3"/>
    <w:rsid w:val="006206EE"/>
    <w:rsid w:val="00620A77"/>
    <w:rsid w:val="00622789"/>
    <w:rsid w:val="00622C55"/>
    <w:rsid w:val="00622DE5"/>
    <w:rsid w:val="006252FE"/>
    <w:rsid w:val="00625968"/>
    <w:rsid w:val="00625FC7"/>
    <w:rsid w:val="00627337"/>
    <w:rsid w:val="0063021D"/>
    <w:rsid w:val="00630AA5"/>
    <w:rsid w:val="00630EA6"/>
    <w:rsid w:val="006315F5"/>
    <w:rsid w:val="0063188F"/>
    <w:rsid w:val="00635021"/>
    <w:rsid w:val="00635482"/>
    <w:rsid w:val="00636431"/>
    <w:rsid w:val="00641321"/>
    <w:rsid w:val="00642DF2"/>
    <w:rsid w:val="006473B9"/>
    <w:rsid w:val="00653614"/>
    <w:rsid w:val="00653965"/>
    <w:rsid w:val="00653CDD"/>
    <w:rsid w:val="00656F39"/>
    <w:rsid w:val="00666526"/>
    <w:rsid w:val="00667806"/>
    <w:rsid w:val="00675B68"/>
    <w:rsid w:val="006809DF"/>
    <w:rsid w:val="00681239"/>
    <w:rsid w:val="00684340"/>
    <w:rsid w:val="006845A4"/>
    <w:rsid w:val="00686C1E"/>
    <w:rsid w:val="00687E5C"/>
    <w:rsid w:val="00693FF1"/>
    <w:rsid w:val="0069486D"/>
    <w:rsid w:val="00695B4E"/>
    <w:rsid w:val="00695F10"/>
    <w:rsid w:val="00696EC2"/>
    <w:rsid w:val="006A042D"/>
    <w:rsid w:val="006A05E2"/>
    <w:rsid w:val="006A18EF"/>
    <w:rsid w:val="006A29E0"/>
    <w:rsid w:val="006A3353"/>
    <w:rsid w:val="006A7F83"/>
    <w:rsid w:val="006B16FC"/>
    <w:rsid w:val="006B61A9"/>
    <w:rsid w:val="006B67C9"/>
    <w:rsid w:val="006C2B4A"/>
    <w:rsid w:val="006C2D70"/>
    <w:rsid w:val="006C3264"/>
    <w:rsid w:val="006C434D"/>
    <w:rsid w:val="006C509B"/>
    <w:rsid w:val="006C54CE"/>
    <w:rsid w:val="006C5F54"/>
    <w:rsid w:val="006D1FB5"/>
    <w:rsid w:val="006D5525"/>
    <w:rsid w:val="006D63DF"/>
    <w:rsid w:val="006E137B"/>
    <w:rsid w:val="006E247D"/>
    <w:rsid w:val="006E358F"/>
    <w:rsid w:val="006E6B01"/>
    <w:rsid w:val="006E6E29"/>
    <w:rsid w:val="006F19BE"/>
    <w:rsid w:val="00702037"/>
    <w:rsid w:val="00703894"/>
    <w:rsid w:val="00705EA4"/>
    <w:rsid w:val="00706B8D"/>
    <w:rsid w:val="00711742"/>
    <w:rsid w:val="007178FE"/>
    <w:rsid w:val="00717F9F"/>
    <w:rsid w:val="0072153B"/>
    <w:rsid w:val="0072156C"/>
    <w:rsid w:val="00721671"/>
    <w:rsid w:val="00723A06"/>
    <w:rsid w:val="00724108"/>
    <w:rsid w:val="00724A15"/>
    <w:rsid w:val="00731E8C"/>
    <w:rsid w:val="007326C6"/>
    <w:rsid w:val="00733543"/>
    <w:rsid w:val="00736096"/>
    <w:rsid w:val="007364A7"/>
    <w:rsid w:val="00741E0C"/>
    <w:rsid w:val="00743EA2"/>
    <w:rsid w:val="0074453A"/>
    <w:rsid w:val="00746519"/>
    <w:rsid w:val="007517D6"/>
    <w:rsid w:val="00751CA6"/>
    <w:rsid w:val="00752767"/>
    <w:rsid w:val="00756840"/>
    <w:rsid w:val="0076104D"/>
    <w:rsid w:val="007616AB"/>
    <w:rsid w:val="00761DA0"/>
    <w:rsid w:val="007649A3"/>
    <w:rsid w:val="00772099"/>
    <w:rsid w:val="00774648"/>
    <w:rsid w:val="007760F2"/>
    <w:rsid w:val="0077677C"/>
    <w:rsid w:val="007808EB"/>
    <w:rsid w:val="007810B5"/>
    <w:rsid w:val="00782AB5"/>
    <w:rsid w:val="007854AF"/>
    <w:rsid w:val="007902C2"/>
    <w:rsid w:val="0079650C"/>
    <w:rsid w:val="00797B07"/>
    <w:rsid w:val="00797DA6"/>
    <w:rsid w:val="007A240F"/>
    <w:rsid w:val="007A25C5"/>
    <w:rsid w:val="007B1D31"/>
    <w:rsid w:val="007C1614"/>
    <w:rsid w:val="007C3FC6"/>
    <w:rsid w:val="007C5936"/>
    <w:rsid w:val="007D55D3"/>
    <w:rsid w:val="007D5B96"/>
    <w:rsid w:val="007D70FC"/>
    <w:rsid w:val="007E00A3"/>
    <w:rsid w:val="007E0BF0"/>
    <w:rsid w:val="007E2C10"/>
    <w:rsid w:val="007E55C0"/>
    <w:rsid w:val="007E5FCF"/>
    <w:rsid w:val="007E637A"/>
    <w:rsid w:val="007E7102"/>
    <w:rsid w:val="007E7756"/>
    <w:rsid w:val="0080212F"/>
    <w:rsid w:val="00804184"/>
    <w:rsid w:val="008054FF"/>
    <w:rsid w:val="00807524"/>
    <w:rsid w:val="0081002E"/>
    <w:rsid w:val="008113B7"/>
    <w:rsid w:val="00811F04"/>
    <w:rsid w:val="00823102"/>
    <w:rsid w:val="00823ABF"/>
    <w:rsid w:val="008240C6"/>
    <w:rsid w:val="008305C8"/>
    <w:rsid w:val="00831880"/>
    <w:rsid w:val="008321D0"/>
    <w:rsid w:val="008341CE"/>
    <w:rsid w:val="008363B6"/>
    <w:rsid w:val="00836626"/>
    <w:rsid w:val="00842933"/>
    <w:rsid w:val="00843519"/>
    <w:rsid w:val="00844E5C"/>
    <w:rsid w:val="00851356"/>
    <w:rsid w:val="008540DC"/>
    <w:rsid w:val="00854591"/>
    <w:rsid w:val="00854C45"/>
    <w:rsid w:val="00862A45"/>
    <w:rsid w:val="008630CA"/>
    <w:rsid w:val="008663CA"/>
    <w:rsid w:val="008674EE"/>
    <w:rsid w:val="00870E09"/>
    <w:rsid w:val="00874628"/>
    <w:rsid w:val="00876917"/>
    <w:rsid w:val="008840C6"/>
    <w:rsid w:val="00891CEC"/>
    <w:rsid w:val="00894E28"/>
    <w:rsid w:val="008958DB"/>
    <w:rsid w:val="008A1BA2"/>
    <w:rsid w:val="008A2D0E"/>
    <w:rsid w:val="008A2D15"/>
    <w:rsid w:val="008A4DC4"/>
    <w:rsid w:val="008A73E0"/>
    <w:rsid w:val="008B3DEC"/>
    <w:rsid w:val="008B681E"/>
    <w:rsid w:val="008C0898"/>
    <w:rsid w:val="008C1DD1"/>
    <w:rsid w:val="008C22DE"/>
    <w:rsid w:val="008C4685"/>
    <w:rsid w:val="008C49F3"/>
    <w:rsid w:val="008C4EF3"/>
    <w:rsid w:val="008C66C6"/>
    <w:rsid w:val="008C705B"/>
    <w:rsid w:val="008C7605"/>
    <w:rsid w:val="008D0874"/>
    <w:rsid w:val="008D1E68"/>
    <w:rsid w:val="008D21D2"/>
    <w:rsid w:val="008D4001"/>
    <w:rsid w:val="008D6672"/>
    <w:rsid w:val="008D7E24"/>
    <w:rsid w:val="008E33A2"/>
    <w:rsid w:val="008E6BC1"/>
    <w:rsid w:val="008F0211"/>
    <w:rsid w:val="008F60B6"/>
    <w:rsid w:val="00902163"/>
    <w:rsid w:val="0090268D"/>
    <w:rsid w:val="0090467A"/>
    <w:rsid w:val="00911020"/>
    <w:rsid w:val="00911C9F"/>
    <w:rsid w:val="00912562"/>
    <w:rsid w:val="009132DF"/>
    <w:rsid w:val="00914696"/>
    <w:rsid w:val="0092035F"/>
    <w:rsid w:val="009271C8"/>
    <w:rsid w:val="00931D87"/>
    <w:rsid w:val="009417D7"/>
    <w:rsid w:val="009430E0"/>
    <w:rsid w:val="009436F2"/>
    <w:rsid w:val="00944394"/>
    <w:rsid w:val="00944CEA"/>
    <w:rsid w:val="00945819"/>
    <w:rsid w:val="0095171F"/>
    <w:rsid w:val="00951B76"/>
    <w:rsid w:val="009527D9"/>
    <w:rsid w:val="00952CD2"/>
    <w:rsid w:val="00955635"/>
    <w:rsid w:val="009565E0"/>
    <w:rsid w:val="00957AAF"/>
    <w:rsid w:val="009600C8"/>
    <w:rsid w:val="0096240B"/>
    <w:rsid w:val="009677C0"/>
    <w:rsid w:val="00967DB2"/>
    <w:rsid w:val="00974298"/>
    <w:rsid w:val="00974CDD"/>
    <w:rsid w:val="00982AC4"/>
    <w:rsid w:val="00983412"/>
    <w:rsid w:val="00992748"/>
    <w:rsid w:val="00994055"/>
    <w:rsid w:val="0099421E"/>
    <w:rsid w:val="00996E42"/>
    <w:rsid w:val="00996E4F"/>
    <w:rsid w:val="0099728C"/>
    <w:rsid w:val="00997A66"/>
    <w:rsid w:val="009A00D8"/>
    <w:rsid w:val="009A0260"/>
    <w:rsid w:val="009A1C97"/>
    <w:rsid w:val="009A1CDC"/>
    <w:rsid w:val="009A34A5"/>
    <w:rsid w:val="009A5550"/>
    <w:rsid w:val="009A620E"/>
    <w:rsid w:val="009B06E4"/>
    <w:rsid w:val="009B3C7A"/>
    <w:rsid w:val="009B4F70"/>
    <w:rsid w:val="009B62ED"/>
    <w:rsid w:val="009B7DF9"/>
    <w:rsid w:val="009C1E4E"/>
    <w:rsid w:val="009C49C7"/>
    <w:rsid w:val="009C541E"/>
    <w:rsid w:val="009C66E3"/>
    <w:rsid w:val="009C66F8"/>
    <w:rsid w:val="009C6CB9"/>
    <w:rsid w:val="009C6FEB"/>
    <w:rsid w:val="009D1CFE"/>
    <w:rsid w:val="009D2198"/>
    <w:rsid w:val="009D3916"/>
    <w:rsid w:val="009D6F03"/>
    <w:rsid w:val="009E0515"/>
    <w:rsid w:val="009E36F1"/>
    <w:rsid w:val="009E6F2A"/>
    <w:rsid w:val="009F0FAB"/>
    <w:rsid w:val="009F1065"/>
    <w:rsid w:val="009F6BD3"/>
    <w:rsid w:val="00A00B26"/>
    <w:rsid w:val="00A034A0"/>
    <w:rsid w:val="00A04079"/>
    <w:rsid w:val="00A117D7"/>
    <w:rsid w:val="00A13B04"/>
    <w:rsid w:val="00A21993"/>
    <w:rsid w:val="00A21DA5"/>
    <w:rsid w:val="00A240A7"/>
    <w:rsid w:val="00A25DEC"/>
    <w:rsid w:val="00A308E8"/>
    <w:rsid w:val="00A324C6"/>
    <w:rsid w:val="00A36102"/>
    <w:rsid w:val="00A36875"/>
    <w:rsid w:val="00A405D3"/>
    <w:rsid w:val="00A45C91"/>
    <w:rsid w:val="00A50048"/>
    <w:rsid w:val="00A50365"/>
    <w:rsid w:val="00A62B42"/>
    <w:rsid w:val="00A63200"/>
    <w:rsid w:val="00A639C2"/>
    <w:rsid w:val="00A646FC"/>
    <w:rsid w:val="00A65BBE"/>
    <w:rsid w:val="00A65FDF"/>
    <w:rsid w:val="00A71316"/>
    <w:rsid w:val="00A74D82"/>
    <w:rsid w:val="00A76485"/>
    <w:rsid w:val="00A77A34"/>
    <w:rsid w:val="00A80D6F"/>
    <w:rsid w:val="00A82889"/>
    <w:rsid w:val="00A8367C"/>
    <w:rsid w:val="00A9281B"/>
    <w:rsid w:val="00A961F0"/>
    <w:rsid w:val="00A963CA"/>
    <w:rsid w:val="00A978EA"/>
    <w:rsid w:val="00AA03F0"/>
    <w:rsid w:val="00AA3408"/>
    <w:rsid w:val="00AA56AC"/>
    <w:rsid w:val="00AA64DC"/>
    <w:rsid w:val="00AB17DD"/>
    <w:rsid w:val="00AB2DF2"/>
    <w:rsid w:val="00AB3160"/>
    <w:rsid w:val="00AC150F"/>
    <w:rsid w:val="00AC47A2"/>
    <w:rsid w:val="00AD0830"/>
    <w:rsid w:val="00AD3D48"/>
    <w:rsid w:val="00AD46E2"/>
    <w:rsid w:val="00AD5175"/>
    <w:rsid w:val="00AD565F"/>
    <w:rsid w:val="00AD6FC7"/>
    <w:rsid w:val="00AE2750"/>
    <w:rsid w:val="00AE3C12"/>
    <w:rsid w:val="00AE5230"/>
    <w:rsid w:val="00AE60FB"/>
    <w:rsid w:val="00AE68CC"/>
    <w:rsid w:val="00AE7ABF"/>
    <w:rsid w:val="00AF5DE1"/>
    <w:rsid w:val="00B01DA2"/>
    <w:rsid w:val="00B022F5"/>
    <w:rsid w:val="00B04F94"/>
    <w:rsid w:val="00B07A14"/>
    <w:rsid w:val="00B11476"/>
    <w:rsid w:val="00B11937"/>
    <w:rsid w:val="00B13B7F"/>
    <w:rsid w:val="00B15D52"/>
    <w:rsid w:val="00B165CB"/>
    <w:rsid w:val="00B16A12"/>
    <w:rsid w:val="00B22F0D"/>
    <w:rsid w:val="00B23027"/>
    <w:rsid w:val="00B24581"/>
    <w:rsid w:val="00B2480E"/>
    <w:rsid w:val="00B260C3"/>
    <w:rsid w:val="00B268C2"/>
    <w:rsid w:val="00B3089A"/>
    <w:rsid w:val="00B32956"/>
    <w:rsid w:val="00B32F87"/>
    <w:rsid w:val="00B35263"/>
    <w:rsid w:val="00B35D69"/>
    <w:rsid w:val="00B361B3"/>
    <w:rsid w:val="00B366E5"/>
    <w:rsid w:val="00B410AE"/>
    <w:rsid w:val="00B41AE8"/>
    <w:rsid w:val="00B42B54"/>
    <w:rsid w:val="00B43896"/>
    <w:rsid w:val="00B44184"/>
    <w:rsid w:val="00B50692"/>
    <w:rsid w:val="00B51957"/>
    <w:rsid w:val="00B53AC8"/>
    <w:rsid w:val="00B55762"/>
    <w:rsid w:val="00B55812"/>
    <w:rsid w:val="00B56A74"/>
    <w:rsid w:val="00B6126A"/>
    <w:rsid w:val="00B619A1"/>
    <w:rsid w:val="00B62D9B"/>
    <w:rsid w:val="00B62FD1"/>
    <w:rsid w:val="00B66236"/>
    <w:rsid w:val="00B667E4"/>
    <w:rsid w:val="00B703F6"/>
    <w:rsid w:val="00B73CE0"/>
    <w:rsid w:val="00B74688"/>
    <w:rsid w:val="00B74A64"/>
    <w:rsid w:val="00B76CB3"/>
    <w:rsid w:val="00B81971"/>
    <w:rsid w:val="00B824AA"/>
    <w:rsid w:val="00B84C81"/>
    <w:rsid w:val="00B85E1C"/>
    <w:rsid w:val="00B90B4B"/>
    <w:rsid w:val="00B9309E"/>
    <w:rsid w:val="00B938C0"/>
    <w:rsid w:val="00B96BD8"/>
    <w:rsid w:val="00BA08A8"/>
    <w:rsid w:val="00BA1ABA"/>
    <w:rsid w:val="00BA220A"/>
    <w:rsid w:val="00BA46B9"/>
    <w:rsid w:val="00BA48E7"/>
    <w:rsid w:val="00BB23F6"/>
    <w:rsid w:val="00BB2B65"/>
    <w:rsid w:val="00BB3FEA"/>
    <w:rsid w:val="00BB40CD"/>
    <w:rsid w:val="00BB5205"/>
    <w:rsid w:val="00BB5CAC"/>
    <w:rsid w:val="00BB76D5"/>
    <w:rsid w:val="00BC14DC"/>
    <w:rsid w:val="00BC1762"/>
    <w:rsid w:val="00BC1C5C"/>
    <w:rsid w:val="00BC237E"/>
    <w:rsid w:val="00BC6847"/>
    <w:rsid w:val="00BC6ABE"/>
    <w:rsid w:val="00BE2D78"/>
    <w:rsid w:val="00BE5AAD"/>
    <w:rsid w:val="00BE5DD3"/>
    <w:rsid w:val="00BE6CB4"/>
    <w:rsid w:val="00BF2F6B"/>
    <w:rsid w:val="00BF42F6"/>
    <w:rsid w:val="00BF7E7E"/>
    <w:rsid w:val="00C01D97"/>
    <w:rsid w:val="00C0298B"/>
    <w:rsid w:val="00C02F39"/>
    <w:rsid w:val="00C057ED"/>
    <w:rsid w:val="00C06A06"/>
    <w:rsid w:val="00C0734E"/>
    <w:rsid w:val="00C07A50"/>
    <w:rsid w:val="00C10D22"/>
    <w:rsid w:val="00C11141"/>
    <w:rsid w:val="00C15484"/>
    <w:rsid w:val="00C17977"/>
    <w:rsid w:val="00C246B9"/>
    <w:rsid w:val="00C250C6"/>
    <w:rsid w:val="00C27CC8"/>
    <w:rsid w:val="00C32D7F"/>
    <w:rsid w:val="00C33C8C"/>
    <w:rsid w:val="00C427C0"/>
    <w:rsid w:val="00C447A9"/>
    <w:rsid w:val="00C453E3"/>
    <w:rsid w:val="00C45AFC"/>
    <w:rsid w:val="00C47352"/>
    <w:rsid w:val="00C50417"/>
    <w:rsid w:val="00C52A22"/>
    <w:rsid w:val="00C539EB"/>
    <w:rsid w:val="00C545B3"/>
    <w:rsid w:val="00C56078"/>
    <w:rsid w:val="00C577BD"/>
    <w:rsid w:val="00C57E5C"/>
    <w:rsid w:val="00C63C0E"/>
    <w:rsid w:val="00C63D66"/>
    <w:rsid w:val="00C6415B"/>
    <w:rsid w:val="00C65B1C"/>
    <w:rsid w:val="00C668DD"/>
    <w:rsid w:val="00C67A77"/>
    <w:rsid w:val="00C71D52"/>
    <w:rsid w:val="00C742A8"/>
    <w:rsid w:val="00C75DA9"/>
    <w:rsid w:val="00C77312"/>
    <w:rsid w:val="00C7760A"/>
    <w:rsid w:val="00C77C56"/>
    <w:rsid w:val="00C77CF4"/>
    <w:rsid w:val="00C82D58"/>
    <w:rsid w:val="00C859A0"/>
    <w:rsid w:val="00C90BA5"/>
    <w:rsid w:val="00C9264B"/>
    <w:rsid w:val="00C92E27"/>
    <w:rsid w:val="00C943ED"/>
    <w:rsid w:val="00C946CC"/>
    <w:rsid w:val="00C94DE4"/>
    <w:rsid w:val="00CA0D07"/>
    <w:rsid w:val="00CA4476"/>
    <w:rsid w:val="00CA4EF8"/>
    <w:rsid w:val="00CA5028"/>
    <w:rsid w:val="00CB06B5"/>
    <w:rsid w:val="00CB2402"/>
    <w:rsid w:val="00CB6B23"/>
    <w:rsid w:val="00CB70F7"/>
    <w:rsid w:val="00CD1C0F"/>
    <w:rsid w:val="00CD2418"/>
    <w:rsid w:val="00CD2B33"/>
    <w:rsid w:val="00CD5E28"/>
    <w:rsid w:val="00CE5F47"/>
    <w:rsid w:val="00CE7065"/>
    <w:rsid w:val="00CF5704"/>
    <w:rsid w:val="00D0144F"/>
    <w:rsid w:val="00D06885"/>
    <w:rsid w:val="00D10AAF"/>
    <w:rsid w:val="00D12651"/>
    <w:rsid w:val="00D12FFB"/>
    <w:rsid w:val="00D14983"/>
    <w:rsid w:val="00D153EA"/>
    <w:rsid w:val="00D210E1"/>
    <w:rsid w:val="00D2162C"/>
    <w:rsid w:val="00D24FB4"/>
    <w:rsid w:val="00D27A6F"/>
    <w:rsid w:val="00D45F04"/>
    <w:rsid w:val="00D479E1"/>
    <w:rsid w:val="00D52E85"/>
    <w:rsid w:val="00D54781"/>
    <w:rsid w:val="00D55234"/>
    <w:rsid w:val="00D5628C"/>
    <w:rsid w:val="00D56FE3"/>
    <w:rsid w:val="00D61C2E"/>
    <w:rsid w:val="00D63A31"/>
    <w:rsid w:val="00D674F6"/>
    <w:rsid w:val="00D8043B"/>
    <w:rsid w:val="00D8162B"/>
    <w:rsid w:val="00D81F18"/>
    <w:rsid w:val="00D85863"/>
    <w:rsid w:val="00D90014"/>
    <w:rsid w:val="00D91956"/>
    <w:rsid w:val="00D91E61"/>
    <w:rsid w:val="00D92691"/>
    <w:rsid w:val="00D938CA"/>
    <w:rsid w:val="00D952A9"/>
    <w:rsid w:val="00D96A3E"/>
    <w:rsid w:val="00DA4521"/>
    <w:rsid w:val="00DB1A70"/>
    <w:rsid w:val="00DB1B9A"/>
    <w:rsid w:val="00DB264B"/>
    <w:rsid w:val="00DB4A24"/>
    <w:rsid w:val="00DB5EAE"/>
    <w:rsid w:val="00DC25D3"/>
    <w:rsid w:val="00DC2787"/>
    <w:rsid w:val="00DC4423"/>
    <w:rsid w:val="00DC60BE"/>
    <w:rsid w:val="00DC7327"/>
    <w:rsid w:val="00DC7BBB"/>
    <w:rsid w:val="00DD3C3F"/>
    <w:rsid w:val="00DD4C14"/>
    <w:rsid w:val="00DE071F"/>
    <w:rsid w:val="00DF13EB"/>
    <w:rsid w:val="00DF1791"/>
    <w:rsid w:val="00DF1EAE"/>
    <w:rsid w:val="00DF4CC1"/>
    <w:rsid w:val="00DF5C1A"/>
    <w:rsid w:val="00DF6348"/>
    <w:rsid w:val="00DF6E27"/>
    <w:rsid w:val="00E01216"/>
    <w:rsid w:val="00E02036"/>
    <w:rsid w:val="00E02276"/>
    <w:rsid w:val="00E045EA"/>
    <w:rsid w:val="00E0759D"/>
    <w:rsid w:val="00E11760"/>
    <w:rsid w:val="00E14B50"/>
    <w:rsid w:val="00E15BE8"/>
    <w:rsid w:val="00E20CD5"/>
    <w:rsid w:val="00E22584"/>
    <w:rsid w:val="00E27901"/>
    <w:rsid w:val="00E30903"/>
    <w:rsid w:val="00E32E6A"/>
    <w:rsid w:val="00E33180"/>
    <w:rsid w:val="00E35077"/>
    <w:rsid w:val="00E35715"/>
    <w:rsid w:val="00E35E3F"/>
    <w:rsid w:val="00E40750"/>
    <w:rsid w:val="00E411A0"/>
    <w:rsid w:val="00E4176E"/>
    <w:rsid w:val="00E41BE5"/>
    <w:rsid w:val="00E42E1C"/>
    <w:rsid w:val="00E43141"/>
    <w:rsid w:val="00E44562"/>
    <w:rsid w:val="00E45087"/>
    <w:rsid w:val="00E51330"/>
    <w:rsid w:val="00E51E4A"/>
    <w:rsid w:val="00E543C2"/>
    <w:rsid w:val="00E5464B"/>
    <w:rsid w:val="00E5534B"/>
    <w:rsid w:val="00E55716"/>
    <w:rsid w:val="00E603F8"/>
    <w:rsid w:val="00E61E67"/>
    <w:rsid w:val="00E62ACB"/>
    <w:rsid w:val="00E63E52"/>
    <w:rsid w:val="00E63F76"/>
    <w:rsid w:val="00E674BE"/>
    <w:rsid w:val="00E678D9"/>
    <w:rsid w:val="00E70CF7"/>
    <w:rsid w:val="00E71A3E"/>
    <w:rsid w:val="00E71C4E"/>
    <w:rsid w:val="00E72535"/>
    <w:rsid w:val="00E74AD8"/>
    <w:rsid w:val="00E84405"/>
    <w:rsid w:val="00E84A33"/>
    <w:rsid w:val="00E91212"/>
    <w:rsid w:val="00E97335"/>
    <w:rsid w:val="00E97BFD"/>
    <w:rsid w:val="00EA09E2"/>
    <w:rsid w:val="00EA1AF5"/>
    <w:rsid w:val="00EA4B94"/>
    <w:rsid w:val="00EA6524"/>
    <w:rsid w:val="00EB1709"/>
    <w:rsid w:val="00EB2676"/>
    <w:rsid w:val="00EB2BC9"/>
    <w:rsid w:val="00EB3399"/>
    <w:rsid w:val="00EB3AAB"/>
    <w:rsid w:val="00EC0552"/>
    <w:rsid w:val="00EC40EF"/>
    <w:rsid w:val="00EC679C"/>
    <w:rsid w:val="00ED2360"/>
    <w:rsid w:val="00ED2DF4"/>
    <w:rsid w:val="00ED3344"/>
    <w:rsid w:val="00ED3C93"/>
    <w:rsid w:val="00ED42E5"/>
    <w:rsid w:val="00ED67E0"/>
    <w:rsid w:val="00EE10E1"/>
    <w:rsid w:val="00EE136B"/>
    <w:rsid w:val="00EE231F"/>
    <w:rsid w:val="00EE3936"/>
    <w:rsid w:val="00EE548B"/>
    <w:rsid w:val="00EF0321"/>
    <w:rsid w:val="00EF04A8"/>
    <w:rsid w:val="00EF27B9"/>
    <w:rsid w:val="00EF3156"/>
    <w:rsid w:val="00EF3D14"/>
    <w:rsid w:val="00EF4DE1"/>
    <w:rsid w:val="00EF523B"/>
    <w:rsid w:val="00EF55FD"/>
    <w:rsid w:val="00EF5D6B"/>
    <w:rsid w:val="00EF6C25"/>
    <w:rsid w:val="00EF71C9"/>
    <w:rsid w:val="00F00EEA"/>
    <w:rsid w:val="00F018CF"/>
    <w:rsid w:val="00F01F75"/>
    <w:rsid w:val="00F02B45"/>
    <w:rsid w:val="00F02E2D"/>
    <w:rsid w:val="00F0492E"/>
    <w:rsid w:val="00F04D0A"/>
    <w:rsid w:val="00F10C44"/>
    <w:rsid w:val="00F1149B"/>
    <w:rsid w:val="00F140E1"/>
    <w:rsid w:val="00F14F05"/>
    <w:rsid w:val="00F16C6E"/>
    <w:rsid w:val="00F17232"/>
    <w:rsid w:val="00F22067"/>
    <w:rsid w:val="00F2208E"/>
    <w:rsid w:val="00F231A6"/>
    <w:rsid w:val="00F24094"/>
    <w:rsid w:val="00F2417D"/>
    <w:rsid w:val="00F267FC"/>
    <w:rsid w:val="00F310FC"/>
    <w:rsid w:val="00F31A94"/>
    <w:rsid w:val="00F31BF9"/>
    <w:rsid w:val="00F34DFC"/>
    <w:rsid w:val="00F4019A"/>
    <w:rsid w:val="00F40D49"/>
    <w:rsid w:val="00F418EA"/>
    <w:rsid w:val="00F436BA"/>
    <w:rsid w:val="00F44B08"/>
    <w:rsid w:val="00F46010"/>
    <w:rsid w:val="00F46181"/>
    <w:rsid w:val="00F504CA"/>
    <w:rsid w:val="00F54663"/>
    <w:rsid w:val="00F54921"/>
    <w:rsid w:val="00F565B6"/>
    <w:rsid w:val="00F62A45"/>
    <w:rsid w:val="00F65748"/>
    <w:rsid w:val="00F71345"/>
    <w:rsid w:val="00F71655"/>
    <w:rsid w:val="00F71A75"/>
    <w:rsid w:val="00F77458"/>
    <w:rsid w:val="00F77A5D"/>
    <w:rsid w:val="00F80CAD"/>
    <w:rsid w:val="00F82BD2"/>
    <w:rsid w:val="00F86FB3"/>
    <w:rsid w:val="00F87245"/>
    <w:rsid w:val="00F93451"/>
    <w:rsid w:val="00F935C0"/>
    <w:rsid w:val="00F93F04"/>
    <w:rsid w:val="00F942A6"/>
    <w:rsid w:val="00F96427"/>
    <w:rsid w:val="00F970D0"/>
    <w:rsid w:val="00F97132"/>
    <w:rsid w:val="00FA0D2B"/>
    <w:rsid w:val="00FA2A58"/>
    <w:rsid w:val="00FA3251"/>
    <w:rsid w:val="00FA3A7D"/>
    <w:rsid w:val="00FB20F6"/>
    <w:rsid w:val="00FB24C7"/>
    <w:rsid w:val="00FB4369"/>
    <w:rsid w:val="00FB4415"/>
    <w:rsid w:val="00FB58C7"/>
    <w:rsid w:val="00FC1153"/>
    <w:rsid w:val="00FC1BF5"/>
    <w:rsid w:val="00FC3313"/>
    <w:rsid w:val="00FC3CC7"/>
    <w:rsid w:val="00FC45B5"/>
    <w:rsid w:val="00FC4A32"/>
    <w:rsid w:val="00FC794A"/>
    <w:rsid w:val="00FD2584"/>
    <w:rsid w:val="00FD4185"/>
    <w:rsid w:val="00FD4248"/>
    <w:rsid w:val="00FD6239"/>
    <w:rsid w:val="00FD6D86"/>
    <w:rsid w:val="00FE3832"/>
    <w:rsid w:val="00FF0B33"/>
    <w:rsid w:val="00FF3F87"/>
    <w:rsid w:val="00FF40D6"/>
    <w:rsid w:val="00FF4B12"/>
    <w:rsid w:val="00FF6628"/>
    <w:rsid w:val="00FF7D8A"/>
    <w:rsid w:val="1009C638"/>
    <w:rsid w:val="692DB43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9F8D8EB"/>
  <w15:docId w15:val="{F100C7B3-2E0C-4079-8BA4-785865EF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7662"/>
    <w:rPr>
      <w:rFonts w:ascii="Times New Roman" w:eastAsia="MS Mincho" w:hAnsi="Times New Roman" w:cs="Times New Roman"/>
      <w:sz w:val="24"/>
      <w:szCs w:val="24"/>
      <w:lang w:val="es-ES" w:eastAsia="es-ES"/>
    </w:rPr>
  </w:style>
  <w:style w:type="paragraph" w:styleId="Ttulo1">
    <w:name w:val="heading 1"/>
    <w:aliases w:val="TituloPrincipal"/>
    <w:basedOn w:val="Normal"/>
    <w:next w:val="Normal"/>
    <w:link w:val="Ttulo1Car"/>
    <w:uiPriority w:val="9"/>
    <w:qFormat/>
    <w:rsid w:val="002F2BC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F2BC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2F2BCC"/>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List,Normal. Viñetas,titulo 3,Ha,Bullets,Lista vistosa - Énfasis 11,Cuadrícula clara - Énfasis 31,List Paragraph_0,List Paragraph_1,List Paragraph"/>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99"/>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aliases w:val="Subtitulo"/>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unhideWhenUsed/>
    <w:rsid w:val="00CB6B23"/>
    <w:rPr>
      <w:sz w:val="20"/>
      <w:szCs w:val="20"/>
    </w:rPr>
  </w:style>
  <w:style w:type="character" w:customStyle="1" w:styleId="TextocomentarioCar">
    <w:name w:val="Texto comentario Car"/>
    <w:basedOn w:val="Fuentedeprrafopredeter"/>
    <w:link w:val="Textocomentario"/>
    <w:uiPriority w:val="99"/>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0D6114"/>
    <w:pPr>
      <w:spacing w:before="100" w:beforeAutospacing="1" w:after="119"/>
    </w:pPr>
    <w:rPr>
      <w:rFonts w:eastAsia="Calibri"/>
    </w:rPr>
  </w:style>
  <w:style w:type="character" w:customStyle="1" w:styleId="Ttulo1Car">
    <w:name w:val="Título 1 Car"/>
    <w:aliases w:val="TituloPrincipal Car"/>
    <w:basedOn w:val="Fuentedeprrafopredeter"/>
    <w:link w:val="Ttulo1"/>
    <w:uiPriority w:val="9"/>
    <w:rsid w:val="002F2BCC"/>
    <w:rPr>
      <w:rFonts w:asciiTheme="majorHAnsi" w:eastAsiaTheme="majorEastAsia" w:hAnsiTheme="majorHAnsi" w:cstheme="majorBidi"/>
      <w:color w:val="365F91" w:themeColor="accent1" w:themeShade="BF"/>
      <w:sz w:val="32"/>
      <w:szCs w:val="32"/>
      <w:lang w:val="es-ES" w:eastAsia="es-ES"/>
    </w:rPr>
  </w:style>
  <w:style w:type="character" w:customStyle="1" w:styleId="Ttulo2Car">
    <w:name w:val="Título 2 Car"/>
    <w:basedOn w:val="Fuentedeprrafopredeter"/>
    <w:link w:val="Ttulo2"/>
    <w:uiPriority w:val="9"/>
    <w:rsid w:val="002F2BCC"/>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rsid w:val="002F2BCC"/>
    <w:rPr>
      <w:rFonts w:asciiTheme="majorHAnsi" w:eastAsiaTheme="majorEastAsia" w:hAnsiTheme="majorHAnsi" w:cstheme="majorBidi"/>
      <w:color w:val="243F60" w:themeColor="accent1" w:themeShade="7F"/>
      <w:sz w:val="24"/>
      <w:szCs w:val="24"/>
      <w:lang w:val="es-ES" w:eastAsia="es-ES"/>
    </w:rPr>
  </w:style>
  <w:style w:type="character" w:styleId="Hipervnculovisitado">
    <w:name w:val="FollowedHyperlink"/>
    <w:basedOn w:val="Fuentedeprrafopredeter"/>
    <w:uiPriority w:val="99"/>
    <w:semiHidden/>
    <w:unhideWhenUsed/>
    <w:rsid w:val="002F2BCC"/>
    <w:rPr>
      <w:color w:val="800080" w:themeColor="followedHyperlink"/>
      <w:u w:val="single"/>
    </w:rPr>
  </w:style>
  <w:style w:type="character" w:customStyle="1" w:styleId="Ttulo1Car1">
    <w:name w:val="Título 1 Car1"/>
    <w:aliases w:val="TituloPrincipal Car1"/>
    <w:basedOn w:val="Fuentedeprrafopredeter"/>
    <w:uiPriority w:val="9"/>
    <w:rsid w:val="002F2BCC"/>
    <w:rPr>
      <w:rFonts w:asciiTheme="majorHAnsi" w:eastAsiaTheme="majorEastAsia" w:hAnsiTheme="majorHAnsi" w:cstheme="majorBidi"/>
      <w:color w:val="365F91" w:themeColor="accent1" w:themeShade="BF"/>
      <w:sz w:val="32"/>
      <w:szCs w:val="32"/>
      <w:lang w:val="es-ES" w:eastAsia="es-ES"/>
    </w:rPr>
  </w:style>
  <w:style w:type="paragraph" w:customStyle="1" w:styleId="msonormal0">
    <w:name w:val="msonormal"/>
    <w:basedOn w:val="Normal"/>
    <w:uiPriority w:val="99"/>
    <w:rsid w:val="002F2BCC"/>
    <w:pPr>
      <w:spacing w:before="100" w:beforeAutospacing="1" w:after="119"/>
    </w:pPr>
    <w:rPr>
      <w:rFonts w:eastAsia="Calibri"/>
    </w:rPr>
  </w:style>
  <w:style w:type="character" w:customStyle="1" w:styleId="TextonotapieCar">
    <w:name w:val="Texto nota pie Car"/>
    <w:aliases w:val="Ref. de nota al pie1 Car,Footnote Text Char Car,Footnote Text Char Char Char Char Car,Footnote Text Char Char Char Char Char Char Char Char Car,FA Fu Car,ft Car Car Car Car,texto de nota al pie Car,Nota a pie/Bibliog Car"/>
    <w:basedOn w:val="Fuentedeprrafopredeter"/>
    <w:link w:val="Textonotapie"/>
    <w:uiPriority w:val="99"/>
    <w:locked/>
    <w:rsid w:val="002F2BCC"/>
    <w:rPr>
      <w:sz w:val="20"/>
      <w:szCs w:val="20"/>
    </w:rPr>
  </w:style>
  <w:style w:type="paragraph" w:styleId="Textonotapie">
    <w:name w:val="footnote text"/>
    <w:aliases w:val="Ref. de nota al pie1,Footnote Text Char,Footnote Text Char Char Char Char,Footnote Text Char Char Char Char Char Char Char Char,FA Fu,ft Car Car Car,texto de nota al pie,Nota a pie/Bibliog,Texto nota pie Car Car"/>
    <w:basedOn w:val="Normal"/>
    <w:link w:val="TextonotapieCar"/>
    <w:uiPriority w:val="99"/>
    <w:unhideWhenUsed/>
    <w:qFormat/>
    <w:rsid w:val="002F2BCC"/>
    <w:rPr>
      <w:rFonts w:asciiTheme="minorHAnsi" w:eastAsiaTheme="minorHAnsi" w:hAnsiTheme="minorHAnsi" w:cstheme="minorBidi"/>
      <w:sz w:val="20"/>
      <w:szCs w:val="20"/>
      <w:lang w:val="es-CO" w:eastAsia="en-US"/>
    </w:rPr>
  </w:style>
  <w:style w:type="character" w:customStyle="1" w:styleId="TextonotapieCar1">
    <w:name w:val="Texto nota pie Car1"/>
    <w:aliases w:val="Ref. de nota al pie1 Car1,Footnote Text Char Car1,Footnote Text Char Char Char Char Car1,Footnote Text Char Char Char Char Char Char Char Char Car1,FA Fu Car1"/>
    <w:basedOn w:val="Fuentedeprrafopredeter"/>
    <w:uiPriority w:val="99"/>
    <w:semiHidden/>
    <w:rsid w:val="002F2BCC"/>
    <w:rPr>
      <w:rFonts w:ascii="Times New Roman" w:eastAsia="MS Mincho" w:hAnsi="Times New Roman" w:cs="Times New Roman"/>
      <w:sz w:val="20"/>
      <w:szCs w:val="20"/>
      <w:lang w:val="es-ES" w:eastAsia="es-ES"/>
    </w:rPr>
  </w:style>
  <w:style w:type="character" w:customStyle="1" w:styleId="SubttuloCar">
    <w:name w:val="Subtítulo Car"/>
    <w:aliases w:val="Tablas Car"/>
    <w:basedOn w:val="Fuentedeprrafopredeter"/>
    <w:link w:val="Subttulo"/>
    <w:uiPriority w:val="11"/>
    <w:locked/>
    <w:rsid w:val="002F2BCC"/>
    <w:rPr>
      <w:rFonts w:ascii="Arial" w:eastAsiaTheme="majorEastAsia" w:hAnsi="Arial" w:cstheme="majorBidi"/>
      <w:iCs/>
      <w:spacing w:val="15"/>
      <w:sz w:val="16"/>
      <w:szCs w:val="24"/>
      <w:lang w:val="es-ES" w:eastAsia="es-ES"/>
    </w:rPr>
  </w:style>
  <w:style w:type="paragraph" w:styleId="Subttulo">
    <w:name w:val="Subtitle"/>
    <w:aliases w:val="Tablas"/>
    <w:basedOn w:val="Normal"/>
    <w:next w:val="Normal"/>
    <w:link w:val="SubttuloCar"/>
    <w:uiPriority w:val="11"/>
    <w:qFormat/>
    <w:rsid w:val="002F2BCC"/>
    <w:pPr>
      <w:jc w:val="both"/>
    </w:pPr>
    <w:rPr>
      <w:rFonts w:ascii="Arial" w:eastAsiaTheme="majorEastAsia" w:hAnsi="Arial" w:cstheme="majorBidi"/>
      <w:iCs/>
      <w:spacing w:val="15"/>
      <w:sz w:val="16"/>
    </w:rPr>
  </w:style>
  <w:style w:type="character" w:customStyle="1" w:styleId="SubttuloCar1">
    <w:name w:val="Subtítulo Car1"/>
    <w:aliases w:val="Tablas Car1"/>
    <w:basedOn w:val="Fuentedeprrafopredeter"/>
    <w:uiPriority w:val="11"/>
    <w:rsid w:val="002F2BCC"/>
    <w:rPr>
      <w:rFonts w:eastAsiaTheme="minorEastAsia"/>
      <w:color w:val="5A5A5A" w:themeColor="text1" w:themeTint="A5"/>
      <w:spacing w:val="15"/>
      <w:lang w:val="es-ES" w:eastAsia="es-ES"/>
    </w:rPr>
  </w:style>
  <w:style w:type="paragraph" w:styleId="Textoindependiente2">
    <w:name w:val="Body Text 2"/>
    <w:basedOn w:val="Normal"/>
    <w:link w:val="Textoindependiente2Car"/>
    <w:uiPriority w:val="99"/>
    <w:semiHidden/>
    <w:unhideWhenUsed/>
    <w:rsid w:val="002F2BCC"/>
    <w:pPr>
      <w:jc w:val="both"/>
    </w:pPr>
    <w:rPr>
      <w:rFonts w:ascii="Arial" w:eastAsia="Times New Roman" w:hAnsi="Arial"/>
      <w:sz w:val="20"/>
      <w:szCs w:val="20"/>
      <w:lang w:val="es-ES_tradnl"/>
    </w:rPr>
  </w:style>
  <w:style w:type="character" w:customStyle="1" w:styleId="Textoindependiente2Car">
    <w:name w:val="Texto independiente 2 Car"/>
    <w:basedOn w:val="Fuentedeprrafopredeter"/>
    <w:link w:val="Textoindependiente2"/>
    <w:uiPriority w:val="99"/>
    <w:semiHidden/>
    <w:rsid w:val="002F2BCC"/>
    <w:rPr>
      <w:rFonts w:ascii="Arial" w:eastAsia="Times New Roman" w:hAnsi="Arial" w:cs="Times New Roman"/>
      <w:sz w:val="20"/>
      <w:szCs w:val="20"/>
      <w:lang w:val="es-ES_tradnl" w:eastAsia="es-ES"/>
    </w:rPr>
  </w:style>
  <w:style w:type="character" w:customStyle="1" w:styleId="SinespaciadoCar">
    <w:name w:val="Sin espaciado Car"/>
    <w:aliases w:val="Subtitulo Car"/>
    <w:basedOn w:val="Fuentedeprrafopredeter"/>
    <w:link w:val="Sinespaciado"/>
    <w:uiPriority w:val="1"/>
    <w:locked/>
    <w:rsid w:val="002F2BCC"/>
  </w:style>
  <w:style w:type="character" w:customStyle="1" w:styleId="PrrafodelistaCar">
    <w:name w:val="Párrafo de lista Car"/>
    <w:aliases w:val="List Car,Normal. Viñetas Car,titulo 3 Car,Ha Car,Bullets Car,Lista vistosa - Énfasis 11 Car,Cuadrícula clara - Énfasis 31 Car,List Paragraph_0 Car,List Paragraph_1 Car,List Paragraph Car"/>
    <w:link w:val="Prrafodelista"/>
    <w:uiPriority w:val="34"/>
    <w:locked/>
    <w:rsid w:val="002F2BCC"/>
    <w:rPr>
      <w:rFonts w:ascii="Times New Roman" w:eastAsia="MS Mincho" w:hAnsi="Times New Roman" w:cs="Times New Roman"/>
      <w:sz w:val="24"/>
      <w:szCs w:val="24"/>
      <w:lang w:val="es-ES" w:eastAsia="es-ES"/>
    </w:rPr>
  </w:style>
  <w:style w:type="paragraph" w:customStyle="1" w:styleId="Default">
    <w:name w:val="Default"/>
    <w:uiPriority w:val="99"/>
    <w:rsid w:val="002F2BCC"/>
    <w:pPr>
      <w:autoSpaceDE w:val="0"/>
      <w:autoSpaceDN w:val="0"/>
      <w:adjustRightInd w:val="0"/>
    </w:pPr>
    <w:rPr>
      <w:rFonts w:ascii="Arial" w:hAnsi="Arial" w:cs="Arial"/>
      <w:color w:val="000000"/>
      <w:sz w:val="24"/>
      <w:szCs w:val="24"/>
      <w:lang w:val="en-US"/>
    </w:rPr>
  </w:style>
  <w:style w:type="paragraph" w:customStyle="1" w:styleId="CONPESTexto">
    <w:name w:val="CONPES Texto"/>
    <w:basedOn w:val="Normal"/>
    <w:uiPriority w:val="99"/>
    <w:qFormat/>
    <w:rsid w:val="002F2BCC"/>
    <w:pPr>
      <w:spacing w:before="120" w:after="120" w:line="276" w:lineRule="auto"/>
      <w:ind w:firstLine="567"/>
      <w:jc w:val="both"/>
    </w:pPr>
    <w:rPr>
      <w:rFonts w:ascii="Futura Std Book" w:eastAsia="Calibri" w:hAnsi="Futura Std Book"/>
      <w:color w:val="000000"/>
      <w:sz w:val="22"/>
      <w:lang w:val="es-CO" w:eastAsia="en-US"/>
    </w:rPr>
  </w:style>
  <w:style w:type="paragraph" w:customStyle="1" w:styleId="xmsonormal">
    <w:name w:val="x_msonormal"/>
    <w:basedOn w:val="Normal"/>
    <w:uiPriority w:val="99"/>
    <w:rsid w:val="002F2BCC"/>
    <w:pPr>
      <w:spacing w:before="100" w:beforeAutospacing="1" w:after="100" w:afterAutospacing="1"/>
    </w:pPr>
    <w:rPr>
      <w:rFonts w:eastAsia="Times New Roman"/>
      <w:lang w:val="es-CO" w:eastAsia="es-CO"/>
    </w:rPr>
  </w:style>
  <w:style w:type="character" w:styleId="Refdenotaalpie">
    <w:name w:val="footnote reference"/>
    <w:aliases w:val="Ref. de nota al pie 2,Texto de nota al pie,Pie de Página,FC,Texto de nota al pi,Appel note de bas de page,Footnotes refss,Footnote number,referencia nota al pie,BVI fnr,f,4_G,16 Point,Superscript 6 Point,Texto nota al pie,F,Footnote"/>
    <w:basedOn w:val="Fuentedeprrafopredeter"/>
    <w:uiPriority w:val="99"/>
    <w:unhideWhenUsed/>
    <w:qFormat/>
    <w:rsid w:val="002F2BCC"/>
    <w:rPr>
      <w:vertAlign w:val="superscript"/>
    </w:rPr>
  </w:style>
  <w:style w:type="character" w:styleId="nfasissutil">
    <w:name w:val="Subtle Emphasis"/>
    <w:aliases w:val="Notas al pie"/>
    <w:basedOn w:val="Fuentedeprrafopredeter"/>
    <w:uiPriority w:val="19"/>
    <w:qFormat/>
    <w:rsid w:val="002F2BCC"/>
    <w:rPr>
      <w:rFonts w:ascii="Arial" w:hAnsi="Arial" w:cs="Arial" w:hint="default"/>
      <w:i w:val="0"/>
      <w:iCs/>
      <w:color w:val="auto"/>
      <w:sz w:val="16"/>
    </w:rPr>
  </w:style>
  <w:style w:type="table" w:styleId="Tabladecuadrcula4">
    <w:name w:val="Grid Table 4"/>
    <w:basedOn w:val="Tablanormal"/>
    <w:uiPriority w:val="49"/>
    <w:rsid w:val="002F2BCC"/>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2F2BCC"/>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4">
    <w:name w:val="Grid Table 4 Accent 4"/>
    <w:basedOn w:val="Tablanormal"/>
    <w:uiPriority w:val="49"/>
    <w:rsid w:val="002F2BCC"/>
    <w:tblPr>
      <w:tblStyleRowBandSize w:val="1"/>
      <w:tblStyleColBandSize w:val="1"/>
      <w:tblInd w:w="0" w:type="nil"/>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baj">
    <w:name w:val="b_aj"/>
    <w:basedOn w:val="Fuentedeprrafopredeter"/>
    <w:rsid w:val="00011854"/>
  </w:style>
  <w:style w:type="paragraph" w:customStyle="1" w:styleId="Cuerpo">
    <w:name w:val="Cuerpo"/>
    <w:uiPriority w:val="99"/>
    <w:rsid w:val="00A50365"/>
    <w:rPr>
      <w:rFonts w:ascii="Times New Roman" w:eastAsia="Arial Unicode MS" w:hAnsi="Arial Unicode MS" w:cs="Arial Unicode MS"/>
      <w:color w:val="000000"/>
      <w:sz w:val="24"/>
      <w:szCs w:val="24"/>
      <w:u w:color="000000"/>
      <w:lang w:eastAsia="es-CO"/>
    </w:rPr>
  </w:style>
  <w:style w:type="paragraph" w:styleId="Textoindependiente">
    <w:name w:val="Body Text"/>
    <w:basedOn w:val="Normal"/>
    <w:link w:val="TextoindependienteCar"/>
    <w:uiPriority w:val="99"/>
    <w:unhideWhenUsed/>
    <w:rsid w:val="00B53AC8"/>
    <w:pPr>
      <w:spacing w:after="120"/>
    </w:pPr>
  </w:style>
  <w:style w:type="character" w:customStyle="1" w:styleId="TextoindependienteCar">
    <w:name w:val="Texto independiente Car"/>
    <w:basedOn w:val="Fuentedeprrafopredeter"/>
    <w:link w:val="Textoindependiente"/>
    <w:uiPriority w:val="99"/>
    <w:rsid w:val="00B53AC8"/>
    <w:rPr>
      <w:rFonts w:ascii="Times New Roman" w:eastAsia="MS Mincho" w:hAnsi="Times New Roman" w:cs="Times New Roman"/>
      <w:sz w:val="24"/>
      <w:szCs w:val="24"/>
      <w:lang w:val="es-ES" w:eastAsia="es-ES"/>
    </w:rPr>
  </w:style>
  <w:style w:type="table" w:styleId="Tablanormal2">
    <w:name w:val="Plain Table 2"/>
    <w:basedOn w:val="Tablanormal"/>
    <w:uiPriority w:val="42"/>
    <w:rsid w:val="00B53AC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Paragraph">
    <w:name w:val="Table Paragraph"/>
    <w:basedOn w:val="Normal"/>
    <w:uiPriority w:val="1"/>
    <w:qFormat/>
    <w:rsid w:val="00B53AC8"/>
    <w:pPr>
      <w:widowControl w:val="0"/>
    </w:pPr>
    <w:rPr>
      <w:rFonts w:asciiTheme="minorHAnsi" w:eastAsiaTheme="minorHAnsi" w:hAnsiTheme="minorHAnsi" w:cstheme="minorBidi"/>
      <w:sz w:val="22"/>
      <w:szCs w:val="22"/>
      <w:lang w:val="en-US" w:eastAsia="en-US"/>
    </w:rPr>
  </w:style>
  <w:style w:type="table" w:styleId="Tablaconcuadrcula4-nfasis5">
    <w:name w:val="Grid Table 4 Accent 5"/>
    <w:basedOn w:val="Tablanormal"/>
    <w:uiPriority w:val="49"/>
    <w:rsid w:val="00B53AC8"/>
    <w:rPr>
      <w:rFonts w:eastAsiaTheme="minorEastAsia"/>
      <w:sz w:val="21"/>
      <w:szCs w:val="21"/>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contentpasted0">
    <w:name w:val="contentpasted0"/>
    <w:basedOn w:val="Fuentedeprrafopredeter"/>
    <w:rsid w:val="00B53AC8"/>
  </w:style>
  <w:style w:type="character" w:customStyle="1" w:styleId="vortaltextbox">
    <w:name w:val="vortaltextbox"/>
    <w:basedOn w:val="Fuentedeprrafopredeter"/>
    <w:rsid w:val="00B53AC8"/>
  </w:style>
  <w:style w:type="paragraph" w:styleId="Textosinformato">
    <w:name w:val="Plain Text"/>
    <w:basedOn w:val="Normal"/>
    <w:link w:val="TextosinformatoCar"/>
    <w:uiPriority w:val="99"/>
    <w:semiHidden/>
    <w:unhideWhenUsed/>
    <w:rsid w:val="00153ADC"/>
    <w:rPr>
      <w:rFonts w:ascii="Calibri" w:eastAsiaTheme="minorHAnsi" w:hAnsi="Calibri" w:cstheme="minorBidi"/>
      <w:sz w:val="22"/>
      <w:szCs w:val="21"/>
      <w:lang w:val="es-CO" w:eastAsia="en-US"/>
    </w:rPr>
  </w:style>
  <w:style w:type="character" w:customStyle="1" w:styleId="TextosinformatoCar">
    <w:name w:val="Texto sin formato Car"/>
    <w:basedOn w:val="Fuentedeprrafopredeter"/>
    <w:link w:val="Textosinformato"/>
    <w:uiPriority w:val="99"/>
    <w:semiHidden/>
    <w:rsid w:val="00153ADC"/>
    <w:rPr>
      <w:rFonts w:ascii="Calibri" w:hAnsi="Calibri"/>
      <w:szCs w:val="21"/>
    </w:rPr>
  </w:style>
  <w:style w:type="paragraph" w:styleId="Revisin">
    <w:name w:val="Revision"/>
    <w:hidden/>
    <w:uiPriority w:val="99"/>
    <w:semiHidden/>
    <w:rsid w:val="00C17977"/>
    <w:rPr>
      <w:rFonts w:ascii="Times New Roman" w:eastAsia="MS Mincho"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4011">
      <w:bodyDiv w:val="1"/>
      <w:marLeft w:val="0"/>
      <w:marRight w:val="0"/>
      <w:marTop w:val="0"/>
      <w:marBottom w:val="0"/>
      <w:divBdr>
        <w:top w:val="none" w:sz="0" w:space="0" w:color="auto"/>
        <w:left w:val="none" w:sz="0" w:space="0" w:color="auto"/>
        <w:bottom w:val="none" w:sz="0" w:space="0" w:color="auto"/>
        <w:right w:val="none" w:sz="0" w:space="0" w:color="auto"/>
      </w:divBdr>
    </w:div>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27298038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312295270">
      <w:bodyDiv w:val="1"/>
      <w:marLeft w:val="0"/>
      <w:marRight w:val="0"/>
      <w:marTop w:val="0"/>
      <w:marBottom w:val="0"/>
      <w:divBdr>
        <w:top w:val="none" w:sz="0" w:space="0" w:color="auto"/>
        <w:left w:val="none" w:sz="0" w:space="0" w:color="auto"/>
        <w:bottom w:val="none" w:sz="0" w:space="0" w:color="auto"/>
        <w:right w:val="none" w:sz="0" w:space="0" w:color="auto"/>
      </w:divBdr>
    </w:div>
    <w:div w:id="355229805">
      <w:bodyDiv w:val="1"/>
      <w:marLeft w:val="0"/>
      <w:marRight w:val="0"/>
      <w:marTop w:val="0"/>
      <w:marBottom w:val="0"/>
      <w:divBdr>
        <w:top w:val="none" w:sz="0" w:space="0" w:color="auto"/>
        <w:left w:val="none" w:sz="0" w:space="0" w:color="auto"/>
        <w:bottom w:val="none" w:sz="0" w:space="0" w:color="auto"/>
        <w:right w:val="none" w:sz="0" w:space="0" w:color="auto"/>
      </w:divBdr>
    </w:div>
    <w:div w:id="458768460">
      <w:bodyDiv w:val="1"/>
      <w:marLeft w:val="0"/>
      <w:marRight w:val="0"/>
      <w:marTop w:val="0"/>
      <w:marBottom w:val="0"/>
      <w:divBdr>
        <w:top w:val="none" w:sz="0" w:space="0" w:color="auto"/>
        <w:left w:val="none" w:sz="0" w:space="0" w:color="auto"/>
        <w:bottom w:val="none" w:sz="0" w:space="0" w:color="auto"/>
        <w:right w:val="none" w:sz="0" w:space="0" w:color="auto"/>
      </w:divBdr>
    </w:div>
    <w:div w:id="540433644">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770513170">
      <w:bodyDiv w:val="1"/>
      <w:marLeft w:val="0"/>
      <w:marRight w:val="0"/>
      <w:marTop w:val="0"/>
      <w:marBottom w:val="0"/>
      <w:divBdr>
        <w:top w:val="none" w:sz="0" w:space="0" w:color="auto"/>
        <w:left w:val="none" w:sz="0" w:space="0" w:color="auto"/>
        <w:bottom w:val="none" w:sz="0" w:space="0" w:color="auto"/>
        <w:right w:val="none" w:sz="0" w:space="0" w:color="auto"/>
      </w:divBdr>
      <w:divsChild>
        <w:div w:id="767576447">
          <w:marLeft w:val="0"/>
          <w:marRight w:val="0"/>
          <w:marTop w:val="0"/>
          <w:marBottom w:val="0"/>
          <w:divBdr>
            <w:top w:val="none" w:sz="0" w:space="0" w:color="auto"/>
            <w:left w:val="none" w:sz="0" w:space="0" w:color="auto"/>
            <w:bottom w:val="none" w:sz="0" w:space="0" w:color="auto"/>
            <w:right w:val="none" w:sz="0" w:space="0" w:color="auto"/>
          </w:divBdr>
          <w:divsChild>
            <w:div w:id="1829831655">
              <w:marLeft w:val="0"/>
              <w:marRight w:val="0"/>
              <w:marTop w:val="0"/>
              <w:marBottom w:val="0"/>
              <w:divBdr>
                <w:top w:val="none" w:sz="0" w:space="0" w:color="auto"/>
                <w:left w:val="none" w:sz="0" w:space="0" w:color="auto"/>
                <w:bottom w:val="none" w:sz="0" w:space="0" w:color="auto"/>
                <w:right w:val="none" w:sz="0" w:space="0" w:color="auto"/>
              </w:divBdr>
            </w:div>
          </w:divsChild>
        </w:div>
        <w:div w:id="2077123719">
          <w:marLeft w:val="0"/>
          <w:marRight w:val="0"/>
          <w:marTop w:val="0"/>
          <w:marBottom w:val="0"/>
          <w:divBdr>
            <w:top w:val="none" w:sz="0" w:space="0" w:color="auto"/>
            <w:left w:val="none" w:sz="0" w:space="0" w:color="auto"/>
            <w:bottom w:val="none" w:sz="0" w:space="0" w:color="auto"/>
            <w:right w:val="none" w:sz="0" w:space="0" w:color="auto"/>
          </w:divBdr>
          <w:divsChild>
            <w:div w:id="4333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473402">
      <w:bodyDiv w:val="1"/>
      <w:marLeft w:val="0"/>
      <w:marRight w:val="0"/>
      <w:marTop w:val="0"/>
      <w:marBottom w:val="0"/>
      <w:divBdr>
        <w:top w:val="none" w:sz="0" w:space="0" w:color="auto"/>
        <w:left w:val="none" w:sz="0" w:space="0" w:color="auto"/>
        <w:bottom w:val="none" w:sz="0" w:space="0" w:color="auto"/>
        <w:right w:val="none" w:sz="0" w:space="0" w:color="auto"/>
      </w:divBdr>
    </w:div>
    <w:div w:id="865295994">
      <w:bodyDiv w:val="1"/>
      <w:marLeft w:val="0"/>
      <w:marRight w:val="0"/>
      <w:marTop w:val="0"/>
      <w:marBottom w:val="0"/>
      <w:divBdr>
        <w:top w:val="none" w:sz="0" w:space="0" w:color="auto"/>
        <w:left w:val="none" w:sz="0" w:space="0" w:color="auto"/>
        <w:bottom w:val="none" w:sz="0" w:space="0" w:color="auto"/>
        <w:right w:val="none" w:sz="0" w:space="0" w:color="auto"/>
      </w:divBdr>
    </w:div>
    <w:div w:id="865412053">
      <w:bodyDiv w:val="1"/>
      <w:marLeft w:val="0"/>
      <w:marRight w:val="0"/>
      <w:marTop w:val="0"/>
      <w:marBottom w:val="0"/>
      <w:divBdr>
        <w:top w:val="none" w:sz="0" w:space="0" w:color="auto"/>
        <w:left w:val="none" w:sz="0" w:space="0" w:color="auto"/>
        <w:bottom w:val="none" w:sz="0" w:space="0" w:color="auto"/>
        <w:right w:val="none" w:sz="0" w:space="0" w:color="auto"/>
      </w:divBdr>
    </w:div>
    <w:div w:id="917325083">
      <w:bodyDiv w:val="1"/>
      <w:marLeft w:val="0"/>
      <w:marRight w:val="0"/>
      <w:marTop w:val="0"/>
      <w:marBottom w:val="0"/>
      <w:divBdr>
        <w:top w:val="none" w:sz="0" w:space="0" w:color="auto"/>
        <w:left w:val="none" w:sz="0" w:space="0" w:color="auto"/>
        <w:bottom w:val="none" w:sz="0" w:space="0" w:color="auto"/>
        <w:right w:val="none" w:sz="0" w:space="0" w:color="auto"/>
      </w:divBdr>
    </w:div>
    <w:div w:id="926690876">
      <w:bodyDiv w:val="1"/>
      <w:marLeft w:val="0"/>
      <w:marRight w:val="0"/>
      <w:marTop w:val="0"/>
      <w:marBottom w:val="0"/>
      <w:divBdr>
        <w:top w:val="none" w:sz="0" w:space="0" w:color="auto"/>
        <w:left w:val="none" w:sz="0" w:space="0" w:color="auto"/>
        <w:bottom w:val="none" w:sz="0" w:space="0" w:color="auto"/>
        <w:right w:val="none" w:sz="0" w:space="0" w:color="auto"/>
      </w:divBdr>
    </w:div>
    <w:div w:id="985279400">
      <w:bodyDiv w:val="1"/>
      <w:marLeft w:val="0"/>
      <w:marRight w:val="0"/>
      <w:marTop w:val="0"/>
      <w:marBottom w:val="0"/>
      <w:divBdr>
        <w:top w:val="none" w:sz="0" w:space="0" w:color="auto"/>
        <w:left w:val="none" w:sz="0" w:space="0" w:color="auto"/>
        <w:bottom w:val="none" w:sz="0" w:space="0" w:color="auto"/>
        <w:right w:val="none" w:sz="0" w:space="0" w:color="auto"/>
      </w:divBdr>
    </w:div>
    <w:div w:id="1155952985">
      <w:bodyDiv w:val="1"/>
      <w:marLeft w:val="0"/>
      <w:marRight w:val="0"/>
      <w:marTop w:val="0"/>
      <w:marBottom w:val="0"/>
      <w:divBdr>
        <w:top w:val="none" w:sz="0" w:space="0" w:color="auto"/>
        <w:left w:val="none" w:sz="0" w:space="0" w:color="auto"/>
        <w:bottom w:val="none" w:sz="0" w:space="0" w:color="auto"/>
        <w:right w:val="none" w:sz="0" w:space="0" w:color="auto"/>
      </w:divBdr>
      <w:divsChild>
        <w:div w:id="279145835">
          <w:marLeft w:val="0"/>
          <w:marRight w:val="0"/>
          <w:marTop w:val="0"/>
          <w:marBottom w:val="0"/>
          <w:divBdr>
            <w:top w:val="none" w:sz="0" w:space="0" w:color="auto"/>
            <w:left w:val="none" w:sz="0" w:space="0" w:color="auto"/>
            <w:bottom w:val="none" w:sz="0" w:space="0" w:color="auto"/>
            <w:right w:val="none" w:sz="0" w:space="0" w:color="auto"/>
          </w:divBdr>
        </w:div>
      </w:divsChild>
    </w:div>
    <w:div w:id="1269891187">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301881080">
      <w:bodyDiv w:val="1"/>
      <w:marLeft w:val="0"/>
      <w:marRight w:val="0"/>
      <w:marTop w:val="0"/>
      <w:marBottom w:val="0"/>
      <w:divBdr>
        <w:top w:val="none" w:sz="0" w:space="0" w:color="auto"/>
        <w:left w:val="none" w:sz="0" w:space="0" w:color="auto"/>
        <w:bottom w:val="none" w:sz="0" w:space="0" w:color="auto"/>
        <w:right w:val="none" w:sz="0" w:space="0" w:color="auto"/>
      </w:divBdr>
    </w:div>
    <w:div w:id="1532106521">
      <w:bodyDiv w:val="1"/>
      <w:marLeft w:val="0"/>
      <w:marRight w:val="0"/>
      <w:marTop w:val="0"/>
      <w:marBottom w:val="0"/>
      <w:divBdr>
        <w:top w:val="none" w:sz="0" w:space="0" w:color="auto"/>
        <w:left w:val="none" w:sz="0" w:space="0" w:color="auto"/>
        <w:bottom w:val="none" w:sz="0" w:space="0" w:color="auto"/>
        <w:right w:val="none" w:sz="0" w:space="0" w:color="auto"/>
      </w:divBdr>
    </w:div>
    <w:div w:id="1533150137">
      <w:bodyDiv w:val="1"/>
      <w:marLeft w:val="0"/>
      <w:marRight w:val="0"/>
      <w:marTop w:val="0"/>
      <w:marBottom w:val="0"/>
      <w:divBdr>
        <w:top w:val="none" w:sz="0" w:space="0" w:color="auto"/>
        <w:left w:val="none" w:sz="0" w:space="0" w:color="auto"/>
        <w:bottom w:val="none" w:sz="0" w:space="0" w:color="auto"/>
        <w:right w:val="none" w:sz="0" w:space="0" w:color="auto"/>
      </w:divBdr>
    </w:div>
    <w:div w:id="1552379147">
      <w:bodyDiv w:val="1"/>
      <w:marLeft w:val="0"/>
      <w:marRight w:val="0"/>
      <w:marTop w:val="0"/>
      <w:marBottom w:val="0"/>
      <w:divBdr>
        <w:top w:val="none" w:sz="0" w:space="0" w:color="auto"/>
        <w:left w:val="none" w:sz="0" w:space="0" w:color="auto"/>
        <w:bottom w:val="none" w:sz="0" w:space="0" w:color="auto"/>
        <w:right w:val="none" w:sz="0" w:space="0" w:color="auto"/>
      </w:divBdr>
    </w:div>
    <w:div w:id="1604730874">
      <w:bodyDiv w:val="1"/>
      <w:marLeft w:val="0"/>
      <w:marRight w:val="0"/>
      <w:marTop w:val="0"/>
      <w:marBottom w:val="0"/>
      <w:divBdr>
        <w:top w:val="none" w:sz="0" w:space="0" w:color="auto"/>
        <w:left w:val="none" w:sz="0" w:space="0" w:color="auto"/>
        <w:bottom w:val="none" w:sz="0" w:space="0" w:color="auto"/>
        <w:right w:val="none" w:sz="0" w:space="0" w:color="auto"/>
      </w:divBdr>
    </w:div>
    <w:div w:id="1617105026">
      <w:bodyDiv w:val="1"/>
      <w:marLeft w:val="0"/>
      <w:marRight w:val="0"/>
      <w:marTop w:val="0"/>
      <w:marBottom w:val="0"/>
      <w:divBdr>
        <w:top w:val="none" w:sz="0" w:space="0" w:color="auto"/>
        <w:left w:val="none" w:sz="0" w:space="0" w:color="auto"/>
        <w:bottom w:val="none" w:sz="0" w:space="0" w:color="auto"/>
        <w:right w:val="none" w:sz="0" w:space="0" w:color="auto"/>
      </w:divBdr>
    </w:div>
    <w:div w:id="1683435621">
      <w:bodyDiv w:val="1"/>
      <w:marLeft w:val="0"/>
      <w:marRight w:val="0"/>
      <w:marTop w:val="0"/>
      <w:marBottom w:val="0"/>
      <w:divBdr>
        <w:top w:val="none" w:sz="0" w:space="0" w:color="auto"/>
        <w:left w:val="none" w:sz="0" w:space="0" w:color="auto"/>
        <w:bottom w:val="none" w:sz="0" w:space="0" w:color="auto"/>
        <w:right w:val="none" w:sz="0" w:space="0" w:color="auto"/>
      </w:divBdr>
    </w:div>
    <w:div w:id="1709839905">
      <w:bodyDiv w:val="1"/>
      <w:marLeft w:val="0"/>
      <w:marRight w:val="0"/>
      <w:marTop w:val="0"/>
      <w:marBottom w:val="0"/>
      <w:divBdr>
        <w:top w:val="none" w:sz="0" w:space="0" w:color="auto"/>
        <w:left w:val="none" w:sz="0" w:space="0" w:color="auto"/>
        <w:bottom w:val="none" w:sz="0" w:space="0" w:color="auto"/>
        <w:right w:val="none" w:sz="0" w:space="0" w:color="auto"/>
      </w:divBdr>
    </w:div>
    <w:div w:id="1808351737">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1928221918">
      <w:bodyDiv w:val="1"/>
      <w:marLeft w:val="0"/>
      <w:marRight w:val="0"/>
      <w:marTop w:val="0"/>
      <w:marBottom w:val="0"/>
      <w:divBdr>
        <w:top w:val="none" w:sz="0" w:space="0" w:color="auto"/>
        <w:left w:val="none" w:sz="0" w:space="0" w:color="auto"/>
        <w:bottom w:val="none" w:sz="0" w:space="0" w:color="auto"/>
        <w:right w:val="none" w:sz="0" w:space="0" w:color="auto"/>
      </w:divBdr>
    </w:div>
    <w:div w:id="2073969081">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Clasificaci%C3%B3n_clim%C3%A1tica_de_K%C3%B6ppen" TargetMode="External"/><Relationship Id="rId18" Type="http://schemas.openxmlformats.org/officeDocument/2006/relationships/hyperlink" Target="https://es.wikipedia.org/wiki/%C3%81rbol_frutal" TargetMode="External"/><Relationship Id="rId26" Type="http://schemas.openxmlformats.org/officeDocument/2006/relationships/image" Target="media/image7.emf"/><Relationship Id="rId39" Type="http://schemas.openxmlformats.org/officeDocument/2006/relationships/hyperlink" Target="http://portalgestiondoc.minhacienda.red/PortalEmpleado/" TargetMode="External"/><Relationship Id="rId21" Type="http://schemas.openxmlformats.org/officeDocument/2006/relationships/chart" Target="charts/chart1.xml"/><Relationship Id="rId34" Type="http://schemas.openxmlformats.org/officeDocument/2006/relationships/image" Target="media/image15.emf"/><Relationship Id="rId42" Type="http://schemas.openxmlformats.org/officeDocument/2006/relationships/hyperlink" Target="http://portalgestiondoc.minhacienda.red/PortalEmpleado/"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s.wikipedia.org/wiki/Caf%C3%A9" TargetMode="External"/><Relationship Id="rId29" Type="http://schemas.openxmlformats.org/officeDocument/2006/relationships/image" Target="media/image10.png"/><Relationship Id="rId11" Type="http://schemas.openxmlformats.org/officeDocument/2006/relationships/hyperlink" Target="https://es.wikipedia.org/wiki/Departamentos_de_Colombia"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hyperlink" Target="http://portalgestiondoc.minhacienda.red/PortalEmpleado/" TargetMode="External"/><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s.wikipedia.org/wiki/Musa_%C3%97_paradisiaca"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es.wikipedia.org/wiki/Manihot_esculenta" TargetMode="External"/><Relationship Id="rId31" Type="http://schemas.openxmlformats.org/officeDocument/2006/relationships/image" Target="media/image12.emf"/><Relationship Id="rId44" Type="http://schemas.openxmlformats.org/officeDocument/2006/relationships/hyperlink" Target="http://portalgestiondoc.minhacienda.red/PortalEmplead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s.wikipedia.org/wiki/Pisos_t%C3%A9rmico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customXml" Target="../customXml/item4.xml"/><Relationship Id="rId3" Type="http://schemas.openxmlformats.org/officeDocument/2006/relationships/customXml" Target="../customXml/item3.xml"/><Relationship Id="rId12" Type="http://schemas.openxmlformats.org/officeDocument/2006/relationships/hyperlink" Target="https://es.wikipedia.org/wiki/Clima_semi%C3%A1rido_c%C3%A1lido" TargetMode="External"/><Relationship Id="rId17" Type="http://schemas.openxmlformats.org/officeDocument/2006/relationships/hyperlink" Target="https://es.wikipedia.org/wiki/Theobroma_cacao" TargetMode="Externa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hyperlink" Target="http://portalgestiondoc.minhacienda.red/PortalEmpleado/" TargetMode="External"/><Relationship Id="rId46" Type="http://schemas.openxmlformats.org/officeDocument/2006/relationships/footer" Target="footer1.xml"/><Relationship Id="rId20" Type="http://schemas.openxmlformats.org/officeDocument/2006/relationships/image" Target="media/image2.png"/><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es.wikipedia.org/wiki/Santa_Marta_(Colomb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BK%20Oscar\DECRETO_028\SANTA%20MARTA\INFOGRAFIA_SANTA_MAR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CO" sz="1100"/>
              <a:t>ESE CATEGORIZADAS EN RIESGO MEDIO - ALTO</a:t>
            </a:r>
            <a:endParaRPr lang="es-CO"/>
          </a:p>
          <a:p>
            <a:pPr>
              <a:defRPr/>
            </a:pPr>
            <a:r>
              <a:rPr lang="es-CO" sz="800"/>
              <a:t>NÚMERO DE ESE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CO"/>
        </a:p>
      </c:txPr>
    </c:title>
    <c:autoTitleDeleted val="0"/>
    <c:plotArea>
      <c:layout/>
      <c:barChart>
        <c:barDir val="col"/>
        <c:grouping val="clustered"/>
        <c:varyColors val="0"/>
        <c:ser>
          <c:idx val="0"/>
          <c:order val="0"/>
          <c:tx>
            <c:strRef>
              <c:f>Datos!$Q$60</c:f>
              <c:strCache>
                <c:ptCount val="1"/>
                <c:pt idx="0">
                  <c:v>RIESGO 
ALTO</c:v>
                </c:pt>
              </c:strCache>
            </c:strRef>
          </c:tx>
          <c:spPr>
            <a:solidFill>
              <a:schemeClr val="accent1"/>
            </a:solidFill>
            <a:ln>
              <a:noFill/>
            </a:ln>
            <a:effectLst/>
          </c:spPr>
          <c:invertIfNegative val="0"/>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Datos!$Q$61:$Q$69</c:f>
              <c:numCache>
                <c:formatCode>_(* #,##0_);_(* \(#,##0\);_(* "-"_);_(@_)</c:formatCode>
                <c:ptCount val="9"/>
                <c:pt idx="1">
                  <c:v>1</c:v>
                </c:pt>
                <c:pt idx="2">
                  <c:v>1</c:v>
                </c:pt>
                <c:pt idx="3">
                  <c:v>1</c:v>
                </c:pt>
                <c:pt idx="5">
                  <c:v>1</c:v>
                </c:pt>
                <c:pt idx="6">
                  <c:v>1</c:v>
                </c:pt>
                <c:pt idx="7">
                  <c:v>1</c:v>
                </c:pt>
                <c:pt idx="8">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A474-4F81-8390-724753DA8C8B}"/>
            </c:ext>
          </c:extLst>
        </c:ser>
        <c:ser>
          <c:idx val="1"/>
          <c:order val="1"/>
          <c:tx>
            <c:strRef>
              <c:f>Datos!$R$60</c:f>
              <c:strCache>
                <c:ptCount val="1"/>
                <c:pt idx="0">
                  <c:v>RIESGO 
MEDIO</c:v>
                </c:pt>
              </c:strCache>
            </c:strRef>
          </c:tx>
          <c:spPr>
            <a:solidFill>
              <a:schemeClr val="accent2"/>
            </a:solidFill>
            <a:ln>
              <a:noFill/>
            </a:ln>
            <a:effectLst/>
          </c:spPr>
          <c:invertIfNegative val="0"/>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Datos!$R$61:$R$69</c:f>
              <c:numCache>
                <c:formatCode>General</c:formatCode>
                <c:ptCount val="9"/>
                <c:pt idx="3" formatCode="_(* #,##0_);_(* \(#,##0\);_(* &quot;-&quot;_);_(@_)">
                  <c:v>1</c:v>
                </c:pt>
                <c:pt idx="5" formatCode="_(* #,##0_);_(* \(#,##0\);_(* &quot;-&quot;_);_(@_)">
                  <c:v>1</c:v>
                </c:pt>
                <c:pt idx="6" formatCode="_(* #,##0_);_(* \(#,##0\);_(* &quot;-&quot;_);_(@_)">
                  <c:v>1</c:v>
                </c:pt>
                <c:pt idx="7" formatCode="_(* #,##0_);_(* \(#,##0\);_(* &quot;-&quot;_);_(@_)">
                  <c:v>1</c:v>
                </c:pt>
                <c:pt idx="8" formatCode="_(* #,##0_);_(* \(#,##0\);_(* &quot;-&quot;_);_(@_)">
                  <c:v>0</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A474-4F81-8390-724753DA8C8B}"/>
            </c:ext>
          </c:extLst>
        </c:ser>
        <c:dLbls>
          <c:showLegendKey val="0"/>
          <c:showVal val="0"/>
          <c:showCatName val="0"/>
          <c:showSerName val="0"/>
          <c:showPercent val="0"/>
          <c:showBubbleSize val="0"/>
        </c:dLbls>
        <c:gapWidth val="219"/>
        <c:overlap val="-27"/>
        <c:axId val="1762039087"/>
        <c:axId val="1762042415"/>
      </c:barChart>
      <c:lineChart>
        <c:grouping val="standard"/>
        <c:varyColors val="0"/>
        <c:ser>
          <c:idx val="2"/>
          <c:order val="2"/>
          <c:tx>
            <c:strRef>
              <c:f>Datos!$S$60</c:f>
              <c:strCache>
                <c:ptCount val="1"/>
                <c:pt idx="0">
                  <c:v>TOTAL ESE EN RIESGO </c:v>
                </c:pt>
              </c:strCache>
            </c:strRef>
          </c:tx>
          <c:spPr>
            <a:ln w="28575" cap="rnd">
              <a:solidFill>
                <a:schemeClr val="accent3"/>
              </a:solidFill>
              <a:round/>
            </a:ln>
            <a:effectLst/>
          </c:spPr>
          <c:marker>
            <c:symbol val="none"/>
          </c:marker>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Datos!$S$61:$S$69</c:f>
              <c:numCache>
                <c:formatCode>_(* #,##0_);_(* \(#,##0\);_(* "-"_);_(@_)</c:formatCode>
                <c:ptCount val="9"/>
                <c:pt idx="0">
                  <c:v>0</c:v>
                </c:pt>
                <c:pt idx="1">
                  <c:v>1</c:v>
                </c:pt>
                <c:pt idx="2">
                  <c:v>1</c:v>
                </c:pt>
                <c:pt idx="3">
                  <c:v>2</c:v>
                </c:pt>
                <c:pt idx="4">
                  <c:v>0</c:v>
                </c:pt>
                <c:pt idx="5">
                  <c:v>1</c:v>
                </c:pt>
                <c:pt idx="6">
                  <c:v>1</c:v>
                </c:pt>
                <c:pt idx="7">
                  <c:v>2</c:v>
                </c:pt>
                <c:pt idx="8">
                  <c:v>0</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A474-4F81-8390-724753DA8C8B}"/>
            </c:ext>
          </c:extLst>
        </c:ser>
        <c:ser>
          <c:idx val="3"/>
          <c:order val="3"/>
          <c:tx>
            <c:strRef>
              <c:f>Datos!$T$60</c:f>
              <c:strCache>
                <c:ptCount val="1"/>
                <c:pt idx="0">
                  <c:v>TOTAL ESE
</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5="http://schemas.microsoft.com/office/drawing/2012/chart" uri="{CE6537A1-D6FC-4f65-9D91-7224C49458BB}">
                <c15:showLeaderLines val="0"/>
              </c:ext>
            </c:extLst>
          </c:dLbls>
          <c:cat>
            <c:strRef>
              <c:f>Datos!$P$61:$P$69</c:f>
              <c:strCache>
                <c:ptCount val="9"/>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pt idx="8">
                  <c:v>Año 2023
Resol.851</c:v>
                </c:pt>
              </c:strCache>
            </c:strRef>
          </c:cat>
          <c:val>
            <c:numRef>
              <c:f>Datos!$T$61:$T$69</c:f>
              <c:numCache>
                <c:formatCode>_(* #,##0_);_(* \(#,##0\);_(* "-"_);_(@_)</c:formatCode>
                <c:ptCount val="9"/>
                <c:pt idx="0">
                  <c:v>2</c:v>
                </c:pt>
                <c:pt idx="1">
                  <c:v>2</c:v>
                </c:pt>
                <c:pt idx="2">
                  <c:v>2</c:v>
                </c:pt>
                <c:pt idx="3">
                  <c:v>2</c:v>
                </c:pt>
                <c:pt idx="4">
                  <c:v>2</c:v>
                </c:pt>
                <c:pt idx="5">
                  <c:v>2</c:v>
                </c:pt>
                <c:pt idx="6">
                  <c:v>2</c:v>
                </c:pt>
                <c:pt idx="7">
                  <c:v>2</c:v>
                </c:pt>
                <c:pt idx="8">
                  <c:v>2</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A474-4F81-8390-724753DA8C8B}"/>
            </c:ext>
          </c:extLst>
        </c:ser>
        <c:dLbls>
          <c:showLegendKey val="0"/>
          <c:showVal val="0"/>
          <c:showCatName val="0"/>
          <c:showSerName val="0"/>
          <c:showPercent val="0"/>
          <c:showBubbleSize val="0"/>
        </c:dLbls>
        <c:marker val="1"/>
        <c:smooth val="0"/>
        <c:axId val="1762039087"/>
        <c:axId val="1762042415"/>
      </c:lineChart>
      <c:catAx>
        <c:axId val="176203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s-CO"/>
          </a:p>
        </c:txPr>
        <c:crossAx val="1762042415"/>
        <c:crosses val="autoZero"/>
        <c:auto val="1"/>
        <c:lblAlgn val="ctr"/>
        <c:lblOffset val="100"/>
        <c:noMultiLvlLbl val="0"/>
      </c:catAx>
      <c:valAx>
        <c:axId val="1762042415"/>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620390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00094C66-7C76-47D9-BE80-058D0B77F10B}"/>
</file>

<file path=customXml/itemProps2.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3.xml><?xml version="1.0" encoding="utf-8"?>
<ds:datastoreItem xmlns:ds="http://schemas.openxmlformats.org/officeDocument/2006/customXml" ds:itemID="{FBDF1EDE-7686-462F-8898-224DDF36C745}">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4.xml><?xml version="1.0" encoding="utf-8"?>
<ds:datastoreItem xmlns:ds="http://schemas.openxmlformats.org/officeDocument/2006/customXml" ds:itemID="{A2D25682-E375-4BF2-AA66-3C480B6B828B}"/>
</file>

<file path=docProps/app.xml><?xml version="1.0" encoding="utf-8"?>
<Properties xmlns="http://schemas.openxmlformats.org/officeDocument/2006/extended-properties" xmlns:vt="http://schemas.openxmlformats.org/officeDocument/2006/docPropsVTypes">
  <Template>Plantilla_Oficio_Comunicación_Oficial_Enviada</Template>
  <TotalTime>4</TotalTime>
  <Pages>33</Pages>
  <Words>10599</Words>
  <Characters>58296</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68758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keywords/>
  <dc:description/>
  <cp:lastModifiedBy>Pablo Andres Parra Cubides</cp:lastModifiedBy>
  <cp:revision>2</cp:revision>
  <cp:lastPrinted>2015-12-16T15:04:00Z</cp:lastPrinted>
  <dcterms:created xsi:type="dcterms:W3CDTF">2023-10-14T01:16:00Z</dcterms:created>
  <dcterms:modified xsi:type="dcterms:W3CDTF">2023-10-14T01:16:00Z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