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660B" w14:textId="77777777" w:rsidR="00081708" w:rsidRPr="008D2838" w:rsidRDefault="00081708" w:rsidP="00081708">
      <w:pPr>
        <w:jc w:val="center"/>
        <w:rPr>
          <w:rFonts w:ascii="Arial" w:eastAsia="Calibri" w:hAnsi="Arial" w:cs="Arial"/>
          <w:b/>
          <w:bCs/>
          <w:sz w:val="22"/>
          <w:szCs w:val="22"/>
          <w:lang w:val="es-CO" w:eastAsia="en-US"/>
        </w:rPr>
      </w:pPr>
      <w:r w:rsidRPr="008D2838">
        <w:rPr>
          <w:rFonts w:ascii="Arial" w:eastAsia="Calibri" w:hAnsi="Arial" w:cs="Arial"/>
          <w:b/>
          <w:bCs/>
          <w:sz w:val="22"/>
          <w:szCs w:val="22"/>
          <w:lang w:val="es-CO" w:eastAsia="en-US"/>
        </w:rPr>
        <w:t>INFORME DE DIAGNÓSTICO AL DISTRITO PORTUARIO, LOGÍSTICO, INDUSTRIAL, TURÍSTICO Y COMERCIAL DE TURBO - ANTIOQUIA EN APLICACIÓN DEL DECRETO 028 DE 2008 DE LA PARTICIPACIÓN PARA EDUCACIÓN DEL SISTEMA GENERAL DE PARTICIPACIONES.</w:t>
      </w:r>
    </w:p>
    <w:p w14:paraId="6EE48AD6" w14:textId="77777777" w:rsidR="00081708" w:rsidRPr="008D2838" w:rsidRDefault="00081708" w:rsidP="00081708">
      <w:pPr>
        <w:jc w:val="center"/>
        <w:rPr>
          <w:rFonts w:ascii="Arial" w:eastAsia="Calibri" w:hAnsi="Arial" w:cs="Arial"/>
          <w:b/>
          <w:bCs/>
          <w:sz w:val="22"/>
          <w:szCs w:val="22"/>
          <w:lang w:val="es-CO" w:eastAsia="en-US"/>
        </w:rPr>
      </w:pPr>
    </w:p>
    <w:tbl>
      <w:tblPr>
        <w:tblStyle w:val="Tablaconcuadrcula2"/>
        <w:tblW w:w="5000" w:type="pct"/>
        <w:tblInd w:w="0" w:type="dxa"/>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3374"/>
        <w:gridCol w:w="5454"/>
      </w:tblGrid>
      <w:tr w:rsidR="00081708" w:rsidRPr="008D2838" w14:paraId="7AEE6868" w14:textId="77777777" w:rsidTr="00081708">
        <w:tc>
          <w:tcPr>
            <w:tcW w:w="191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50AF2196" w14:textId="77777777" w:rsidR="00081708" w:rsidRPr="008D2838" w:rsidRDefault="00081708" w:rsidP="00081708">
            <w:pPr>
              <w:contextualSpacing/>
              <w:jc w:val="both"/>
              <w:rPr>
                <w:rFonts w:ascii="Arial" w:eastAsia="Calibri" w:hAnsi="Arial" w:cs="Arial"/>
                <w:i/>
                <w:iCs/>
                <w:sz w:val="22"/>
                <w:szCs w:val="22"/>
                <w:lang w:val="es-CO"/>
              </w:rPr>
            </w:pPr>
            <w:r w:rsidRPr="008D2838">
              <w:rPr>
                <w:rFonts w:ascii="Arial" w:eastAsia="Calibri" w:hAnsi="Arial" w:cs="Arial"/>
                <w:i/>
                <w:iCs/>
                <w:sz w:val="22"/>
                <w:szCs w:val="22"/>
                <w:lang w:val="es-CO"/>
              </w:rPr>
              <w:t>Número de Expediente</w:t>
            </w:r>
          </w:p>
        </w:tc>
        <w:tc>
          <w:tcPr>
            <w:tcW w:w="3089" w:type="pct"/>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14:paraId="69A85C6B" w14:textId="77777777" w:rsidR="00081708" w:rsidRPr="008D2838" w:rsidRDefault="00081708" w:rsidP="00081708">
            <w:pPr>
              <w:contextualSpacing/>
              <w:rPr>
                <w:rFonts w:ascii="Arial" w:eastAsia="Calibri" w:hAnsi="Arial" w:cs="Arial"/>
                <w:i/>
                <w:iCs/>
                <w:sz w:val="22"/>
                <w:szCs w:val="22"/>
                <w:lang w:val="es-CO"/>
              </w:rPr>
            </w:pPr>
            <w:r w:rsidRPr="008D2838">
              <w:rPr>
                <w:rFonts w:ascii="Arial" w:eastAsia="Calibri" w:hAnsi="Arial" w:cs="Arial"/>
                <w:i/>
                <w:iCs/>
                <w:sz w:val="22"/>
                <w:szCs w:val="22"/>
                <w:lang w:val="es-CO"/>
              </w:rPr>
              <w:t>No. 18/2020/D028-PREDI</w:t>
            </w:r>
          </w:p>
        </w:tc>
      </w:tr>
      <w:tr w:rsidR="00081708" w:rsidRPr="008D2838" w14:paraId="3D974A93" w14:textId="77777777" w:rsidTr="00081708">
        <w:tc>
          <w:tcPr>
            <w:tcW w:w="191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2728616F" w14:textId="77777777" w:rsidR="00081708" w:rsidRPr="008D2838" w:rsidRDefault="00081708" w:rsidP="00081708">
            <w:pPr>
              <w:contextualSpacing/>
              <w:jc w:val="both"/>
              <w:rPr>
                <w:rFonts w:ascii="Arial" w:eastAsia="Calibri" w:hAnsi="Arial" w:cs="Arial"/>
                <w:i/>
                <w:iCs/>
                <w:sz w:val="22"/>
                <w:szCs w:val="22"/>
                <w:lang w:val="es-CO"/>
              </w:rPr>
            </w:pPr>
            <w:r w:rsidRPr="008D2838">
              <w:rPr>
                <w:rFonts w:ascii="Arial" w:eastAsia="Calibri" w:hAnsi="Arial" w:cs="Arial"/>
                <w:i/>
                <w:iCs/>
                <w:sz w:val="22"/>
                <w:szCs w:val="22"/>
                <w:lang w:val="es-CO"/>
              </w:rPr>
              <w:t>Sector</w:t>
            </w:r>
          </w:p>
        </w:tc>
        <w:tc>
          <w:tcPr>
            <w:tcW w:w="308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532E9858" w14:textId="77777777" w:rsidR="00081708" w:rsidRPr="008D2838" w:rsidRDefault="00081708" w:rsidP="00081708">
            <w:pPr>
              <w:contextualSpacing/>
              <w:rPr>
                <w:rFonts w:ascii="Arial" w:eastAsia="Calibri" w:hAnsi="Arial" w:cs="Arial"/>
                <w:i/>
                <w:iCs/>
                <w:sz w:val="22"/>
                <w:szCs w:val="22"/>
                <w:lang w:val="es-CO"/>
              </w:rPr>
            </w:pPr>
            <w:r w:rsidRPr="008D2838">
              <w:rPr>
                <w:rFonts w:ascii="Arial" w:eastAsia="Calibri" w:hAnsi="Arial" w:cs="Arial"/>
                <w:i/>
                <w:iCs/>
                <w:sz w:val="22"/>
                <w:szCs w:val="22"/>
                <w:lang w:val="es-CO"/>
              </w:rPr>
              <w:t>Educación</w:t>
            </w:r>
          </w:p>
        </w:tc>
      </w:tr>
      <w:tr w:rsidR="00081708" w:rsidRPr="008D2838" w14:paraId="2908E485" w14:textId="77777777" w:rsidTr="00081708">
        <w:tc>
          <w:tcPr>
            <w:tcW w:w="191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7014C4BD" w14:textId="77777777" w:rsidR="00081708" w:rsidRPr="008D2838" w:rsidRDefault="00081708" w:rsidP="00081708">
            <w:pPr>
              <w:contextualSpacing/>
              <w:jc w:val="both"/>
              <w:rPr>
                <w:rFonts w:ascii="Arial" w:eastAsia="Calibri" w:hAnsi="Arial" w:cs="Arial"/>
                <w:i/>
                <w:iCs/>
                <w:sz w:val="22"/>
                <w:szCs w:val="22"/>
                <w:lang w:val="es-CO"/>
              </w:rPr>
            </w:pPr>
            <w:r w:rsidRPr="008D2838">
              <w:rPr>
                <w:rFonts w:ascii="Arial" w:eastAsia="Calibri" w:hAnsi="Arial" w:cs="Arial"/>
                <w:i/>
                <w:iCs/>
                <w:sz w:val="22"/>
                <w:szCs w:val="22"/>
                <w:lang w:val="es-CO"/>
              </w:rPr>
              <w:t>Tipo de Entidad</w:t>
            </w:r>
          </w:p>
        </w:tc>
        <w:tc>
          <w:tcPr>
            <w:tcW w:w="308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67CC709B" w14:textId="77777777" w:rsidR="00081708" w:rsidRPr="008D2838" w:rsidRDefault="00081708" w:rsidP="00081708">
            <w:pPr>
              <w:contextualSpacing/>
              <w:rPr>
                <w:rFonts w:ascii="Arial" w:eastAsia="Calibri" w:hAnsi="Arial" w:cs="Arial"/>
                <w:i/>
                <w:iCs/>
                <w:sz w:val="22"/>
                <w:szCs w:val="22"/>
                <w:lang w:val="es-CO"/>
              </w:rPr>
            </w:pPr>
            <w:bookmarkStart w:id="0" w:name="cmbtipoentidad"/>
            <w:bookmarkEnd w:id="0"/>
            <w:r w:rsidRPr="008D2838">
              <w:rPr>
                <w:rFonts w:ascii="Arial" w:eastAsia="Calibri" w:hAnsi="Arial" w:cs="Arial"/>
                <w:i/>
                <w:iCs/>
                <w:sz w:val="22"/>
                <w:szCs w:val="22"/>
                <w:lang w:val="es-CO"/>
              </w:rPr>
              <w:t>Distrito</w:t>
            </w:r>
          </w:p>
        </w:tc>
      </w:tr>
      <w:tr w:rsidR="00081708" w:rsidRPr="008D2838" w14:paraId="00B017F1" w14:textId="77777777" w:rsidTr="00081708">
        <w:tc>
          <w:tcPr>
            <w:tcW w:w="191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55337F9B" w14:textId="77777777" w:rsidR="00081708" w:rsidRPr="008D2838" w:rsidRDefault="00081708" w:rsidP="00081708">
            <w:pPr>
              <w:contextualSpacing/>
              <w:jc w:val="both"/>
              <w:rPr>
                <w:rFonts w:ascii="Arial" w:eastAsia="Calibri" w:hAnsi="Arial" w:cs="Arial"/>
                <w:i/>
                <w:iCs/>
                <w:sz w:val="22"/>
                <w:szCs w:val="22"/>
                <w:lang w:val="es-CO"/>
              </w:rPr>
            </w:pPr>
            <w:r w:rsidRPr="008D2838">
              <w:rPr>
                <w:rFonts w:ascii="Arial" w:eastAsia="Calibri" w:hAnsi="Arial" w:cs="Arial"/>
                <w:i/>
                <w:iCs/>
                <w:sz w:val="22"/>
                <w:szCs w:val="22"/>
                <w:lang w:val="es-CO"/>
              </w:rPr>
              <w:t>Entidad</w:t>
            </w:r>
          </w:p>
        </w:tc>
        <w:tc>
          <w:tcPr>
            <w:tcW w:w="3089" w:type="pct"/>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14:paraId="33B34D7A" w14:textId="77777777" w:rsidR="00081708" w:rsidRPr="008D2838" w:rsidRDefault="00081708" w:rsidP="00081708">
            <w:pPr>
              <w:contextualSpacing/>
              <w:rPr>
                <w:rFonts w:ascii="Arial" w:eastAsia="Calibri" w:hAnsi="Arial" w:cs="Arial"/>
                <w:i/>
                <w:iCs/>
                <w:sz w:val="22"/>
                <w:szCs w:val="22"/>
                <w:lang w:val="es-CO"/>
              </w:rPr>
            </w:pPr>
            <w:r w:rsidRPr="008D2838">
              <w:rPr>
                <w:rFonts w:ascii="Arial" w:eastAsia="Calibri" w:hAnsi="Arial" w:cs="Arial"/>
                <w:i/>
                <w:iCs/>
                <w:sz w:val="22"/>
                <w:szCs w:val="22"/>
                <w:lang w:val="es-CO"/>
              </w:rPr>
              <w:t>Turbo</w:t>
            </w:r>
          </w:p>
        </w:tc>
      </w:tr>
    </w:tbl>
    <w:p w14:paraId="7E932B20" w14:textId="77777777" w:rsidR="00081708" w:rsidRPr="008D2838" w:rsidRDefault="00081708" w:rsidP="00081708">
      <w:pPr>
        <w:rPr>
          <w:rFonts w:ascii="Arial" w:hAnsi="Arial" w:cs="Arial"/>
          <w:sz w:val="22"/>
          <w:szCs w:val="22"/>
          <w:lang w:val="es-CO"/>
        </w:rPr>
      </w:pPr>
    </w:p>
    <w:p w14:paraId="6EEA5BC4" w14:textId="77777777" w:rsidR="00081708" w:rsidRPr="008D2838" w:rsidRDefault="00081708" w:rsidP="00081708">
      <w:pPr>
        <w:keepNext/>
        <w:keepLines/>
        <w:numPr>
          <w:ilvl w:val="0"/>
          <w:numId w:val="1"/>
        </w:numPr>
        <w:ind w:left="426" w:hanging="426"/>
        <w:contextualSpacing/>
        <w:jc w:val="both"/>
        <w:outlineLvl w:val="0"/>
        <w:rPr>
          <w:rFonts w:ascii="Arial" w:eastAsia="MS Gothic" w:hAnsi="Arial" w:cs="Arial"/>
          <w:b/>
          <w:bCs/>
          <w:sz w:val="22"/>
          <w:szCs w:val="22"/>
          <w:lang w:val="es-CO"/>
        </w:rPr>
      </w:pPr>
      <w:r w:rsidRPr="008D2838">
        <w:rPr>
          <w:rFonts w:ascii="Arial" w:eastAsia="MS Gothic" w:hAnsi="Arial" w:cs="Arial"/>
          <w:b/>
          <w:bCs/>
          <w:sz w:val="22"/>
          <w:szCs w:val="22"/>
          <w:lang w:val="es-CO"/>
        </w:rPr>
        <w:t>ANTECEDENTES.</w:t>
      </w:r>
    </w:p>
    <w:p w14:paraId="2FCF5E39" w14:textId="77777777" w:rsidR="00081708" w:rsidRPr="008D2838" w:rsidRDefault="00081708" w:rsidP="00081708">
      <w:pPr>
        <w:jc w:val="both"/>
        <w:rPr>
          <w:rFonts w:ascii="Arial" w:eastAsia="Times New Roman" w:hAnsi="Arial" w:cs="Arial"/>
          <w:sz w:val="22"/>
          <w:szCs w:val="22"/>
          <w:highlight w:val="cyan"/>
          <w:lang w:val="es-CO"/>
        </w:rPr>
      </w:pPr>
    </w:p>
    <w:p w14:paraId="415E7976" w14:textId="77777777" w:rsidR="00081708" w:rsidRPr="008D2838" w:rsidRDefault="00081708" w:rsidP="00081708">
      <w:pPr>
        <w:jc w:val="both"/>
        <w:rPr>
          <w:rFonts w:ascii="Arial" w:eastAsia="Times New Roman" w:hAnsi="Arial" w:cs="Arial"/>
          <w:sz w:val="22"/>
          <w:szCs w:val="22"/>
          <w:lang w:val="es-CO"/>
        </w:rPr>
      </w:pPr>
      <w:r w:rsidRPr="008D2838">
        <w:rPr>
          <w:rFonts w:ascii="Arial" w:eastAsia="Times New Roman" w:hAnsi="Arial" w:cs="Arial"/>
          <w:sz w:val="22"/>
          <w:szCs w:val="22"/>
          <w:lang w:val="es-CO"/>
        </w:rPr>
        <w:t>El Distrito de Turbo – Antioquia fue priorizado para aplicar las actividades de seguimiento y control al uso de recursos del Sistema General de participaciones, incluidas en la estrategia a la que se refiere el Decreto 028 de 2008, por solicitud expresa de Ministerio de Educación Nacional, en atención al artículo 2.6.3.1.4 del Decreto 1068 de 2015, el cual indica que los ministerios sectoriales pueden poner en conocimiento del Ministerio de Hacienda y Crédito Público las situaciones en que se evidencien acciones u omisiones que puedan poner en riesgo la adecuada utilización de los recursos del Sistema General de Participaciones, cuando estos consideren la necesidad de adelantar labores de seguimiento o de adopción de medidas preventivas o correctivas.</w:t>
      </w:r>
    </w:p>
    <w:p w14:paraId="60668C04" w14:textId="77777777" w:rsidR="00081708" w:rsidRPr="008D2838" w:rsidRDefault="00081708" w:rsidP="00081708">
      <w:pPr>
        <w:jc w:val="both"/>
        <w:rPr>
          <w:rFonts w:ascii="Arial" w:eastAsia="Times New Roman" w:hAnsi="Arial" w:cs="Arial"/>
          <w:sz w:val="22"/>
          <w:szCs w:val="22"/>
          <w:lang w:val="es-CO"/>
        </w:rPr>
      </w:pPr>
    </w:p>
    <w:p w14:paraId="591661B9" w14:textId="77777777" w:rsidR="00081708" w:rsidRPr="008D2838" w:rsidRDefault="00081708" w:rsidP="00081708">
      <w:pPr>
        <w:jc w:val="both"/>
        <w:rPr>
          <w:rFonts w:ascii="Arial" w:eastAsia="Times New Roman" w:hAnsi="Arial" w:cs="Arial"/>
          <w:color w:val="000000" w:themeColor="text1"/>
          <w:sz w:val="22"/>
          <w:szCs w:val="22"/>
          <w:lang w:val="es-CO"/>
        </w:rPr>
      </w:pPr>
      <w:r w:rsidRPr="008D2838">
        <w:rPr>
          <w:rFonts w:ascii="Arial" w:eastAsia="Times New Roman" w:hAnsi="Arial" w:cs="Arial"/>
          <w:sz w:val="22"/>
          <w:szCs w:val="22"/>
          <w:lang w:val="es-CO"/>
        </w:rPr>
        <w:t xml:space="preserve">Las acciones de Seguimiento referidas en el Decreto 028 de </w:t>
      </w:r>
      <w:r w:rsidRPr="008D2838">
        <w:rPr>
          <w:rFonts w:ascii="Arial" w:eastAsia="Times New Roman" w:hAnsi="Arial" w:cs="Arial"/>
          <w:color w:val="000000" w:themeColor="text1"/>
          <w:sz w:val="22"/>
          <w:szCs w:val="22"/>
          <w:lang w:val="es-CO"/>
        </w:rPr>
        <w:t>2008 se activan para el caso del Distrito en el Sector Educación, siguiendo las recomendaciones contenidas en los oficios remitidos por el Ministerio de Educación Nacional a esta Dirección el 18 de julio de 2016 mediante el oficio con radicado No.1-2016-057625 y los días 12 de marzo y 9 de julio de 2018 mediante los oficios con radicado 1-2018-022545 y 1-2018-061043, respectivamente.</w:t>
      </w:r>
    </w:p>
    <w:p w14:paraId="4AAFE21A" w14:textId="77777777" w:rsidR="00081708" w:rsidRPr="008D2838" w:rsidRDefault="00081708" w:rsidP="00081708">
      <w:pPr>
        <w:autoSpaceDE w:val="0"/>
        <w:autoSpaceDN w:val="0"/>
        <w:adjustRightInd w:val="0"/>
        <w:jc w:val="both"/>
        <w:rPr>
          <w:rFonts w:ascii="Arial" w:hAnsi="Arial" w:cs="Arial"/>
          <w:color w:val="000000" w:themeColor="text1"/>
          <w:sz w:val="22"/>
          <w:szCs w:val="22"/>
          <w:lang w:val="es-CO" w:eastAsia="en-US"/>
        </w:rPr>
      </w:pPr>
    </w:p>
    <w:p w14:paraId="5881EEDD" w14:textId="77777777" w:rsidR="00081708" w:rsidRPr="008D2838" w:rsidRDefault="00081708" w:rsidP="00081708">
      <w:pPr>
        <w:jc w:val="both"/>
        <w:rPr>
          <w:rFonts w:ascii="Arial" w:eastAsia="Times New Roman" w:hAnsi="Arial" w:cs="Arial"/>
          <w:color w:val="000000" w:themeColor="text1"/>
          <w:sz w:val="22"/>
          <w:szCs w:val="22"/>
          <w:lang w:val="es-CO"/>
        </w:rPr>
      </w:pPr>
      <w:r w:rsidRPr="008D2838">
        <w:rPr>
          <w:rFonts w:ascii="Arial" w:eastAsia="Times New Roman" w:hAnsi="Arial" w:cs="Arial"/>
          <w:color w:val="000000" w:themeColor="text1"/>
          <w:sz w:val="22"/>
          <w:szCs w:val="22"/>
          <w:lang w:val="es-CO"/>
        </w:rPr>
        <w:t>De acuerdo con lo anterior, la Dirección General de Apoyo Fiscal, con base en sus criterios de priorización, determinó el inicio de las actividades de Seguimiento y Control a su cargo en dicho Distrito y solicitó la información básica para recolección de antecedentes de la Entidad Territorial conducente a verificar las situaciones informadas por el Ministerio de Educación Nacional.</w:t>
      </w:r>
    </w:p>
    <w:p w14:paraId="0BB571F3" w14:textId="77777777" w:rsidR="00081708" w:rsidRPr="008D2838" w:rsidRDefault="00081708" w:rsidP="00081708">
      <w:pPr>
        <w:jc w:val="both"/>
        <w:rPr>
          <w:rFonts w:ascii="Arial" w:eastAsia="Times New Roman" w:hAnsi="Arial" w:cs="Arial"/>
          <w:color w:val="000000" w:themeColor="text1"/>
          <w:sz w:val="22"/>
          <w:szCs w:val="22"/>
          <w:lang w:val="es-CO"/>
        </w:rPr>
      </w:pPr>
    </w:p>
    <w:p w14:paraId="4AE12CB3" w14:textId="77777777" w:rsidR="00081708" w:rsidRPr="008D2838" w:rsidRDefault="00081708" w:rsidP="00081708">
      <w:pPr>
        <w:jc w:val="both"/>
        <w:rPr>
          <w:rFonts w:ascii="Arial" w:eastAsia="Times New Roman" w:hAnsi="Arial" w:cs="Arial"/>
          <w:color w:val="000000" w:themeColor="text1"/>
          <w:sz w:val="22"/>
          <w:szCs w:val="22"/>
          <w:lang w:val="es-CO"/>
        </w:rPr>
      </w:pPr>
      <w:r w:rsidRPr="008D2838">
        <w:rPr>
          <w:rFonts w:ascii="Arial" w:eastAsia="Times New Roman" w:hAnsi="Arial" w:cs="Arial"/>
          <w:color w:val="000000" w:themeColor="text1"/>
          <w:sz w:val="22"/>
          <w:szCs w:val="22"/>
          <w:lang w:val="es-CO"/>
        </w:rPr>
        <w:t>De igual manera, en el reporte cualitativo de cierre fiscal de la vigencia 2021, incluido en el informe de monitoreo remitido por el Ministerio de Educación Nacional, se indicó que el Municipio no reporta información confiable en el Formulario Único Territorial (FUT); asimismo, se identificó un cambio en el uso de superávit e inconsistencias entre las áreas de tesorería y presupuesto.</w:t>
      </w:r>
    </w:p>
    <w:p w14:paraId="3B7CBC6C" w14:textId="77777777" w:rsidR="00081708" w:rsidRPr="008D2838" w:rsidRDefault="00081708" w:rsidP="00081708">
      <w:pPr>
        <w:jc w:val="both"/>
        <w:rPr>
          <w:rFonts w:ascii="Arial" w:eastAsia="Times New Roman" w:hAnsi="Arial" w:cs="Arial"/>
          <w:color w:val="000000" w:themeColor="text1"/>
          <w:sz w:val="22"/>
          <w:szCs w:val="22"/>
          <w:highlight w:val="cyan"/>
          <w:lang w:val="es-CO"/>
        </w:rPr>
      </w:pPr>
    </w:p>
    <w:p w14:paraId="3B555C91" w14:textId="77777777" w:rsidR="00081708" w:rsidRPr="008D2838" w:rsidRDefault="00081708" w:rsidP="00081708">
      <w:pPr>
        <w:keepNext/>
        <w:keepLines/>
        <w:numPr>
          <w:ilvl w:val="0"/>
          <w:numId w:val="1"/>
        </w:numPr>
        <w:ind w:left="426" w:hanging="426"/>
        <w:contextualSpacing/>
        <w:jc w:val="both"/>
        <w:outlineLvl w:val="0"/>
        <w:rPr>
          <w:rFonts w:ascii="Arial" w:eastAsia="MS Gothic" w:hAnsi="Arial" w:cs="Arial"/>
          <w:b/>
          <w:bCs/>
          <w:sz w:val="22"/>
          <w:szCs w:val="22"/>
          <w:lang w:val="es-CO"/>
        </w:rPr>
      </w:pPr>
      <w:r w:rsidRPr="008D2838">
        <w:rPr>
          <w:rFonts w:ascii="Arial" w:eastAsia="MS Gothic" w:hAnsi="Arial" w:cs="Arial"/>
          <w:b/>
          <w:bCs/>
          <w:sz w:val="22"/>
          <w:szCs w:val="22"/>
          <w:lang w:val="es-CO"/>
        </w:rPr>
        <w:t>CARACTERIZACIÓN.</w:t>
      </w:r>
    </w:p>
    <w:p w14:paraId="54CCFEA4" w14:textId="77777777" w:rsidR="00081708" w:rsidRPr="008D2838" w:rsidRDefault="00081708" w:rsidP="00081708">
      <w:pPr>
        <w:jc w:val="both"/>
        <w:rPr>
          <w:rFonts w:ascii="Arial" w:hAnsi="Arial" w:cs="Arial"/>
          <w:b/>
          <w:bCs/>
          <w:sz w:val="22"/>
          <w:szCs w:val="22"/>
          <w:lang w:val="es-CO"/>
        </w:rPr>
      </w:pPr>
    </w:p>
    <w:p w14:paraId="5751BCDB" w14:textId="77777777" w:rsidR="00081708" w:rsidRPr="008D2838" w:rsidRDefault="00081708" w:rsidP="00081708">
      <w:pPr>
        <w:keepNext/>
        <w:keepLines/>
        <w:numPr>
          <w:ilvl w:val="0"/>
          <w:numId w:val="2"/>
        </w:numPr>
        <w:ind w:left="426" w:hanging="426"/>
        <w:contextualSpacing/>
        <w:jc w:val="both"/>
        <w:outlineLvl w:val="1"/>
        <w:rPr>
          <w:rFonts w:ascii="Arial" w:eastAsia="MS Gothic" w:hAnsi="Arial" w:cs="Arial"/>
          <w:sz w:val="22"/>
          <w:szCs w:val="22"/>
          <w:lang w:val="es-CO"/>
        </w:rPr>
      </w:pPr>
      <w:r w:rsidRPr="008D2838">
        <w:rPr>
          <w:rFonts w:ascii="Arial" w:eastAsia="MS Gothic" w:hAnsi="Arial" w:cs="Arial"/>
          <w:sz w:val="22"/>
          <w:szCs w:val="22"/>
          <w:lang w:val="es-CO"/>
        </w:rPr>
        <w:t>Componentes Sectoriales.</w:t>
      </w:r>
    </w:p>
    <w:p w14:paraId="75C7113F" w14:textId="77777777" w:rsidR="00081708" w:rsidRPr="008D2838" w:rsidRDefault="00081708" w:rsidP="00081708">
      <w:pPr>
        <w:jc w:val="both"/>
        <w:rPr>
          <w:rFonts w:ascii="Arial" w:hAnsi="Arial" w:cs="Arial"/>
          <w:b/>
          <w:bCs/>
          <w:sz w:val="22"/>
          <w:szCs w:val="22"/>
          <w:lang w:val="es-CO"/>
        </w:rPr>
      </w:pPr>
    </w:p>
    <w:p w14:paraId="70ED891B" w14:textId="77777777" w:rsidR="00081708" w:rsidRPr="008D2838" w:rsidRDefault="00081708" w:rsidP="00081708">
      <w:pPr>
        <w:jc w:val="both"/>
        <w:rPr>
          <w:rFonts w:ascii="Arial" w:hAnsi="Arial" w:cs="Arial"/>
          <w:color w:val="000000" w:themeColor="text1"/>
          <w:sz w:val="22"/>
          <w:szCs w:val="22"/>
          <w:lang w:val="es-CO"/>
        </w:rPr>
      </w:pPr>
      <w:r w:rsidRPr="008D2838">
        <w:rPr>
          <w:rFonts w:ascii="Arial" w:hAnsi="Arial" w:cs="Arial"/>
          <w:sz w:val="22"/>
          <w:szCs w:val="22"/>
          <w:lang w:val="es-CO"/>
        </w:rPr>
        <w:t xml:space="preserve">El Distrito ha reportado en el Sistema de Matrícula SIMAT que con los recursos asignados atendió una matrícula </w:t>
      </w:r>
      <w:r w:rsidRPr="008D2838">
        <w:rPr>
          <w:rFonts w:ascii="Arial" w:hAnsi="Arial" w:cs="Arial"/>
          <w:color w:val="000000" w:themeColor="text1"/>
          <w:sz w:val="22"/>
          <w:szCs w:val="22"/>
          <w:lang w:val="es-CO"/>
        </w:rPr>
        <w:t>en los grados de 0 a 13 y aceleración del aprendizaje</w:t>
      </w:r>
      <w:r w:rsidRPr="008D2838">
        <w:rPr>
          <w:rFonts w:ascii="Arial" w:hAnsi="Arial" w:cs="Arial"/>
          <w:sz w:val="22"/>
          <w:szCs w:val="22"/>
          <w:lang w:val="es-CO"/>
        </w:rPr>
        <w:t xml:space="preserve"> para el Sector Oficial (oficial y contratada) de 35.353 estudiantes en </w:t>
      </w:r>
      <w:r w:rsidRPr="008D2838">
        <w:rPr>
          <w:rFonts w:ascii="Arial" w:hAnsi="Arial" w:cs="Arial"/>
          <w:color w:val="000000" w:themeColor="text1"/>
          <w:sz w:val="22"/>
          <w:szCs w:val="22"/>
          <w:lang w:val="es-CO"/>
        </w:rPr>
        <w:t xml:space="preserve">2021 (35.107 estudiantes atendidos con docentes oficiales y 1.246 a través de la Prestación del Servicio) y 35.685 (34.413 </w:t>
      </w:r>
      <w:r w:rsidRPr="008D2838">
        <w:rPr>
          <w:rFonts w:ascii="Arial" w:hAnsi="Arial" w:cs="Arial"/>
          <w:color w:val="000000" w:themeColor="text1"/>
          <w:sz w:val="22"/>
          <w:szCs w:val="22"/>
          <w:lang w:val="es-CO"/>
        </w:rPr>
        <w:lastRenderedPageBreak/>
        <w:t>estudiantes atendidos con docentes oficiales y 1.272 a través de la Prestación del Servicio a marzo de 2022, lo cual representa preliminarmente un aumento del 0,93 % entre dichas vigencias.</w:t>
      </w:r>
    </w:p>
    <w:p w14:paraId="63B1CE50" w14:textId="77777777" w:rsidR="00081708" w:rsidRPr="008D2838" w:rsidRDefault="00081708" w:rsidP="00081708">
      <w:pPr>
        <w:jc w:val="both"/>
        <w:rPr>
          <w:rFonts w:ascii="Arial" w:hAnsi="Arial" w:cs="Arial"/>
          <w:sz w:val="22"/>
          <w:szCs w:val="22"/>
          <w:lang w:val="es-CO"/>
        </w:rPr>
      </w:pPr>
    </w:p>
    <w:p w14:paraId="3744B67E" w14:textId="77777777" w:rsidR="00081708" w:rsidRPr="008D2838" w:rsidRDefault="00081708" w:rsidP="00081708">
      <w:pPr>
        <w:jc w:val="both"/>
        <w:rPr>
          <w:rFonts w:ascii="Arial" w:hAnsi="Arial" w:cs="Arial"/>
          <w:color w:val="000000" w:themeColor="text1"/>
          <w:sz w:val="22"/>
          <w:szCs w:val="22"/>
          <w:lang w:val="es-CO"/>
        </w:rPr>
      </w:pPr>
      <w:r w:rsidRPr="008D2838">
        <w:rPr>
          <w:rFonts w:ascii="Arial" w:hAnsi="Arial" w:cs="Arial"/>
          <w:sz w:val="22"/>
          <w:szCs w:val="22"/>
          <w:lang w:val="es-CO"/>
        </w:rPr>
        <w:t xml:space="preserve">En materia de recursos humanos, hasta diciembre de 2020, la planta del sector educación constaba de 1.575 cargos viabilizados por el Ministerio de Educación Nacional, distribuidos en 1.452 docentes, 107 directivos docentes y 16 administrativos; </w:t>
      </w:r>
      <w:r w:rsidRPr="008D2838">
        <w:rPr>
          <w:rFonts w:ascii="Arial" w:hAnsi="Arial" w:cs="Arial"/>
          <w:color w:val="000000" w:themeColor="text1"/>
          <w:sz w:val="22"/>
          <w:szCs w:val="22"/>
          <w:lang w:val="es-CO"/>
        </w:rPr>
        <w:t xml:space="preserve">con esta planta se debía atender una matrícula oficial (sin contratación) de </w:t>
      </w:r>
      <w:r w:rsidRPr="008D2838">
        <w:rPr>
          <w:rFonts w:ascii="Arial" w:hAnsi="Arial" w:cs="Arial"/>
          <w:sz w:val="22"/>
          <w:szCs w:val="22"/>
          <w:lang w:val="es-CO"/>
        </w:rPr>
        <w:t xml:space="preserve">37.616 </w:t>
      </w:r>
      <w:r w:rsidRPr="008D2838">
        <w:rPr>
          <w:rFonts w:ascii="Arial" w:hAnsi="Arial" w:cs="Arial"/>
          <w:color w:val="000000" w:themeColor="text1"/>
          <w:sz w:val="22"/>
          <w:szCs w:val="22"/>
          <w:lang w:val="es-CO"/>
        </w:rPr>
        <w:t>alumnos reportados entre grado 0 y 13, y aceleración del aprendizaje.</w:t>
      </w:r>
    </w:p>
    <w:p w14:paraId="6219DB09" w14:textId="77777777" w:rsidR="00081708" w:rsidRPr="008D2838" w:rsidRDefault="00081708" w:rsidP="00081708">
      <w:pPr>
        <w:jc w:val="both"/>
        <w:rPr>
          <w:rFonts w:ascii="Arial" w:hAnsi="Arial" w:cs="Arial"/>
          <w:color w:val="000000" w:themeColor="text1"/>
          <w:sz w:val="22"/>
          <w:szCs w:val="22"/>
          <w:lang w:val="es-CO"/>
        </w:rPr>
      </w:pPr>
    </w:p>
    <w:p w14:paraId="14F4CB41" w14:textId="77777777" w:rsidR="00081708" w:rsidRPr="008D2838" w:rsidRDefault="00081708" w:rsidP="00081708">
      <w:pPr>
        <w:jc w:val="both"/>
        <w:rPr>
          <w:rFonts w:ascii="Arial" w:hAnsi="Arial" w:cs="Arial"/>
          <w:color w:val="000000" w:themeColor="text1"/>
          <w:sz w:val="22"/>
          <w:szCs w:val="22"/>
          <w:lang w:val="es-CO"/>
        </w:rPr>
      </w:pPr>
      <w:r w:rsidRPr="008D2838">
        <w:rPr>
          <w:rFonts w:ascii="Arial" w:hAnsi="Arial" w:cs="Arial"/>
          <w:color w:val="000000" w:themeColor="text1"/>
          <w:sz w:val="22"/>
          <w:szCs w:val="22"/>
          <w:lang w:val="es-CO"/>
        </w:rPr>
        <w:t xml:space="preserve">Posteriormente, el Ministerio de Educación Nacional emitió el concepto No. 2021-EE-007088 del 19 de enero de 2021, en el cual se indica que </w:t>
      </w:r>
      <w:r w:rsidRPr="008D2838">
        <w:rPr>
          <w:rFonts w:ascii="Arial" w:hAnsi="Arial" w:cs="Arial"/>
          <w:i/>
          <w:iCs/>
          <w:color w:val="000000" w:themeColor="text1"/>
          <w:sz w:val="22"/>
          <w:szCs w:val="22"/>
          <w:lang w:val="es-CO"/>
        </w:rPr>
        <w:t>“El Distrito de Turbo atenderá́ una matrícula total de 33.829 estudiantes de grado 0 a 13, más aceleración del aprendizaje con una planta de 1.379 cargos docentes de aula. De esta manera la entidad territorial alcanza una relación técnica alumno docente para la zona urbana de 28,3 y de 23,2 para la rural, obteniendo una relación total de 24,7 estudiantes por docente […]”</w:t>
      </w:r>
      <w:r w:rsidRPr="008D2838">
        <w:rPr>
          <w:rFonts w:ascii="Arial" w:hAnsi="Arial" w:cs="Arial"/>
          <w:color w:val="000000" w:themeColor="text1"/>
          <w:sz w:val="22"/>
          <w:szCs w:val="22"/>
          <w:lang w:val="es-CO"/>
        </w:rPr>
        <w:t>.</w:t>
      </w:r>
    </w:p>
    <w:p w14:paraId="0E262E12" w14:textId="77777777" w:rsidR="00081708" w:rsidRPr="008D2838" w:rsidRDefault="00081708" w:rsidP="00081708">
      <w:pPr>
        <w:jc w:val="both"/>
        <w:rPr>
          <w:rFonts w:ascii="Arial" w:hAnsi="Arial" w:cs="Arial"/>
          <w:color w:val="000000" w:themeColor="text1"/>
          <w:sz w:val="22"/>
          <w:szCs w:val="22"/>
          <w:lang w:val="es-CO"/>
        </w:rPr>
      </w:pPr>
    </w:p>
    <w:p w14:paraId="69C21784" w14:textId="77777777" w:rsidR="00081708" w:rsidRPr="008D2838" w:rsidRDefault="00081708" w:rsidP="00081708">
      <w:pPr>
        <w:jc w:val="both"/>
        <w:rPr>
          <w:rFonts w:ascii="Arial" w:hAnsi="Arial" w:cs="Arial"/>
          <w:color w:val="000000" w:themeColor="text1"/>
          <w:sz w:val="22"/>
          <w:szCs w:val="22"/>
          <w:lang w:val="es-CO"/>
        </w:rPr>
      </w:pPr>
      <w:r w:rsidRPr="008D2838">
        <w:rPr>
          <w:rFonts w:ascii="Arial" w:hAnsi="Arial" w:cs="Arial"/>
          <w:color w:val="000000" w:themeColor="text1"/>
          <w:sz w:val="22"/>
          <w:szCs w:val="22"/>
          <w:lang w:val="es-CO"/>
        </w:rPr>
        <w:t>Por otra parte, es importante resaltar que, para prestar el Servicio Educativo, el Distrito de Turbo suscribió el Contrato de Concesión No. 002 del 17 de diciembre 2008 hasta la vigencia 2020 para atender 720 estudiantes en preescolar y primaria y 720 estudiantes en secundaria y media, por el valor de la tipología establecida por la Nación para cada vigencia. Este Contrato fue extendido por el Distrito de Turbo hasta diciembre de 2022.</w:t>
      </w:r>
    </w:p>
    <w:p w14:paraId="560D1EE2" w14:textId="77777777" w:rsidR="00081708" w:rsidRPr="008D2838" w:rsidRDefault="00081708" w:rsidP="00081708">
      <w:pPr>
        <w:jc w:val="both"/>
        <w:rPr>
          <w:rFonts w:ascii="Arial" w:hAnsi="Arial" w:cs="Arial"/>
          <w:sz w:val="22"/>
          <w:szCs w:val="22"/>
          <w:lang w:val="es-CO"/>
        </w:rPr>
      </w:pPr>
    </w:p>
    <w:p w14:paraId="5066AE93" w14:textId="77777777" w:rsidR="00081708" w:rsidRPr="008D2838" w:rsidRDefault="00081708" w:rsidP="00081708">
      <w:pPr>
        <w:rPr>
          <w:rFonts w:ascii="Arial" w:eastAsia="MS Gothic" w:hAnsi="Arial" w:cs="Arial"/>
          <w:sz w:val="22"/>
          <w:szCs w:val="22"/>
          <w:lang w:val="es-CO"/>
        </w:rPr>
      </w:pPr>
      <w:r w:rsidRPr="008D2838">
        <w:rPr>
          <w:rFonts w:ascii="Arial" w:hAnsi="Arial" w:cs="Arial"/>
          <w:sz w:val="22"/>
          <w:szCs w:val="22"/>
          <w:lang w:val="es-CO"/>
        </w:rPr>
        <w:br w:type="page"/>
      </w:r>
    </w:p>
    <w:p w14:paraId="0E441B84" w14:textId="77777777" w:rsidR="00081708" w:rsidRPr="008D2838" w:rsidRDefault="00081708" w:rsidP="00081708">
      <w:pPr>
        <w:keepNext/>
        <w:keepLines/>
        <w:numPr>
          <w:ilvl w:val="0"/>
          <w:numId w:val="2"/>
        </w:numPr>
        <w:ind w:left="426" w:hanging="426"/>
        <w:contextualSpacing/>
        <w:jc w:val="both"/>
        <w:outlineLvl w:val="1"/>
        <w:rPr>
          <w:rFonts w:ascii="Arial" w:eastAsia="ヒラギノ角ゴ Pro W3" w:hAnsi="Arial" w:cs="Arial"/>
          <w:color w:val="365F91" w:themeColor="accent1" w:themeShade="BF"/>
          <w:sz w:val="22"/>
          <w:szCs w:val="22"/>
          <w:lang w:val="es-CO" w:eastAsia="en-US"/>
        </w:rPr>
      </w:pPr>
      <w:r w:rsidRPr="008D2838">
        <w:rPr>
          <w:rFonts w:ascii="Arial" w:eastAsia="MS Gothic" w:hAnsi="Arial" w:cs="Arial"/>
          <w:sz w:val="22"/>
          <w:szCs w:val="22"/>
          <w:lang w:val="es-CO"/>
        </w:rPr>
        <w:lastRenderedPageBreak/>
        <w:t>Infografía.</w:t>
      </w:r>
    </w:p>
    <w:p w14:paraId="65E04FD2" w14:textId="77777777" w:rsidR="00081708" w:rsidRPr="008D2838" w:rsidRDefault="00081708" w:rsidP="00081708">
      <w:pPr>
        <w:rPr>
          <w:rFonts w:ascii="Arial" w:hAnsi="Arial" w:cs="Arial"/>
          <w:sz w:val="22"/>
          <w:szCs w:val="22"/>
          <w:highlight w:val="cyan"/>
          <w:lang w:val="es-CO" w:eastAsia="es-MX"/>
        </w:rPr>
      </w:pPr>
    </w:p>
    <w:p w14:paraId="69632652" w14:textId="77777777" w:rsidR="00081708" w:rsidRPr="008D2838" w:rsidRDefault="00081708" w:rsidP="00081708">
      <w:pPr>
        <w:rPr>
          <w:rFonts w:ascii="Arial" w:hAnsi="Arial" w:cs="Arial"/>
          <w:sz w:val="22"/>
          <w:szCs w:val="22"/>
          <w:highlight w:val="cyan"/>
          <w:lang w:val="es-CO" w:eastAsia="es-MX"/>
        </w:rPr>
      </w:pPr>
      <w:r w:rsidRPr="008D2838">
        <w:rPr>
          <w:rFonts w:ascii="Arial" w:hAnsi="Arial" w:cs="Arial"/>
          <w:noProof/>
          <w:sz w:val="22"/>
          <w:szCs w:val="22"/>
          <w:lang w:val="es-CO" w:eastAsia="es-CO"/>
        </w:rPr>
        <w:drawing>
          <wp:inline distT="0" distB="0" distL="0" distR="0" wp14:anchorId="7666731E" wp14:editId="535B431A">
            <wp:extent cx="5305425" cy="7191375"/>
            <wp:effectExtent l="0" t="0" r="9525" b="9525"/>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7191375"/>
                    </a:xfrm>
                    <a:prstGeom prst="rect">
                      <a:avLst/>
                    </a:prstGeom>
                    <a:noFill/>
                    <a:ln>
                      <a:noFill/>
                    </a:ln>
                  </pic:spPr>
                </pic:pic>
              </a:graphicData>
            </a:graphic>
          </wp:inline>
        </w:drawing>
      </w:r>
    </w:p>
    <w:p w14:paraId="1BC1FB5F" w14:textId="77777777" w:rsidR="00081708" w:rsidRPr="008D2838" w:rsidRDefault="00081708" w:rsidP="00081708">
      <w:pPr>
        <w:rPr>
          <w:rFonts w:ascii="Arial" w:eastAsia="ヒラギノ角ゴ Pro W3" w:hAnsi="Arial" w:cs="Arial"/>
          <w:sz w:val="22"/>
          <w:szCs w:val="22"/>
          <w:highlight w:val="cyan"/>
          <w:lang w:val="es-CO" w:eastAsia="en-US"/>
        </w:rPr>
      </w:pPr>
      <w:r w:rsidRPr="008D2838">
        <w:rPr>
          <w:rFonts w:ascii="Arial" w:eastAsia="ヒラギノ角ゴ Pro W3" w:hAnsi="Arial" w:cs="Arial"/>
          <w:sz w:val="22"/>
          <w:szCs w:val="22"/>
          <w:highlight w:val="cyan"/>
          <w:lang w:val="es-CO" w:eastAsia="en-US"/>
        </w:rPr>
        <w:br w:type="page"/>
      </w:r>
    </w:p>
    <w:p w14:paraId="7BD52E58" w14:textId="77777777" w:rsidR="00081708" w:rsidRPr="008D2838" w:rsidRDefault="00081708" w:rsidP="00081708">
      <w:pPr>
        <w:keepNext/>
        <w:keepLines/>
        <w:numPr>
          <w:ilvl w:val="0"/>
          <w:numId w:val="1"/>
        </w:numPr>
        <w:ind w:left="426" w:hanging="426"/>
        <w:contextualSpacing/>
        <w:jc w:val="both"/>
        <w:outlineLvl w:val="0"/>
        <w:rPr>
          <w:rFonts w:ascii="Arial" w:eastAsia="MS Gothic" w:hAnsi="Arial" w:cs="Arial"/>
          <w:b/>
          <w:bCs/>
          <w:sz w:val="22"/>
          <w:szCs w:val="22"/>
          <w:lang w:val="es-CO"/>
        </w:rPr>
      </w:pPr>
      <w:r w:rsidRPr="008D2838">
        <w:rPr>
          <w:rFonts w:ascii="Arial" w:eastAsia="MS Gothic" w:hAnsi="Arial" w:cs="Arial"/>
          <w:b/>
          <w:bCs/>
          <w:sz w:val="22"/>
          <w:szCs w:val="22"/>
          <w:lang w:val="es-CO"/>
        </w:rPr>
        <w:lastRenderedPageBreak/>
        <w:t>ANÁLISIS FINANCIERO</w:t>
      </w:r>
    </w:p>
    <w:p w14:paraId="3C5FE712" w14:textId="77777777" w:rsidR="00081708" w:rsidRPr="008D2838" w:rsidRDefault="00081708" w:rsidP="00081708">
      <w:pPr>
        <w:rPr>
          <w:rFonts w:ascii="Arial" w:hAnsi="Arial" w:cs="Arial"/>
          <w:sz w:val="22"/>
          <w:szCs w:val="22"/>
          <w:lang w:val="es-CO"/>
        </w:rPr>
      </w:pPr>
    </w:p>
    <w:p w14:paraId="4630762E" w14:textId="77777777" w:rsidR="00081708" w:rsidRPr="008D2838" w:rsidRDefault="00081708" w:rsidP="00081708">
      <w:pPr>
        <w:keepNext/>
        <w:keepLines/>
        <w:contextualSpacing/>
        <w:outlineLvl w:val="0"/>
        <w:rPr>
          <w:rFonts w:ascii="Arial" w:eastAsia="MS Gothic" w:hAnsi="Arial" w:cs="Arial"/>
          <w:color w:val="000000" w:themeColor="text1"/>
          <w:sz w:val="22"/>
          <w:szCs w:val="22"/>
          <w:lang w:val="es-CO"/>
        </w:rPr>
      </w:pPr>
      <w:r w:rsidRPr="008D2838">
        <w:rPr>
          <w:rFonts w:ascii="Arial" w:eastAsia="Arial" w:hAnsi="Arial" w:cs="Arial"/>
          <w:b/>
          <w:bCs/>
          <w:color w:val="000000" w:themeColor="text1"/>
          <w:sz w:val="22"/>
          <w:szCs w:val="22"/>
          <w:lang w:val="es-CO"/>
        </w:rPr>
        <w:t>Ingresos.</w:t>
      </w:r>
    </w:p>
    <w:p w14:paraId="4C3297FB" w14:textId="77777777" w:rsidR="00081708" w:rsidRPr="008D2838" w:rsidRDefault="00081708" w:rsidP="00081708">
      <w:pPr>
        <w:jc w:val="both"/>
        <w:rPr>
          <w:rFonts w:ascii="Arial" w:hAnsi="Arial" w:cs="Arial"/>
          <w:sz w:val="22"/>
          <w:szCs w:val="22"/>
          <w:lang w:val="es-CO"/>
        </w:rPr>
      </w:pPr>
    </w:p>
    <w:p w14:paraId="4BFD46C8" w14:textId="77777777" w:rsidR="00081708" w:rsidRPr="008D2838" w:rsidRDefault="00081708" w:rsidP="00081708">
      <w:pPr>
        <w:jc w:val="both"/>
        <w:rPr>
          <w:rFonts w:ascii="Arial" w:eastAsia="Arial" w:hAnsi="Arial" w:cs="Arial"/>
          <w:color w:val="000000" w:themeColor="text1"/>
          <w:sz w:val="22"/>
          <w:szCs w:val="22"/>
          <w:lang w:val="es-CO"/>
        </w:rPr>
      </w:pPr>
      <w:r w:rsidRPr="008D2838">
        <w:rPr>
          <w:rFonts w:ascii="Arial" w:hAnsi="Arial" w:cs="Arial"/>
          <w:sz w:val="22"/>
          <w:szCs w:val="22"/>
          <w:lang w:val="es-CO"/>
        </w:rPr>
        <w:t xml:space="preserve">En lo financiero, durante la vigencia 2021 se asignaron al Distrito de Turbo $121.095 millones del SGP – Educación mediante los Documentos de Distribución No. 53, 56, 58, 59 y 60 ($114.707 millones para Prestación del Servicio, $2.879 para Gratuidad y $3.509 millones para Calidad). Para la vigencia 2022, le asignaron $123.650 millones mediante los Documentos de Distribución No. 66, 69 y 71 ($117.331 millones para la Prestación del Servicio, $ 2.872 para Gratuidad y $3.446 millones para Calidad). </w:t>
      </w:r>
      <w:r w:rsidRPr="008D2838">
        <w:rPr>
          <w:rFonts w:ascii="Arial" w:eastAsia="Arial" w:hAnsi="Arial" w:cs="Arial"/>
          <w:color w:val="000000" w:themeColor="text1"/>
          <w:sz w:val="22"/>
          <w:szCs w:val="22"/>
          <w:lang w:val="es-CO"/>
        </w:rPr>
        <w:t>No se identificaron diferencias entre lo asignado, lo girado desde la Nación y lo recaudado por la Entidad Territorial en las vigencias 2019, 2020, 2021 y 2022.</w:t>
      </w:r>
    </w:p>
    <w:p w14:paraId="4E915540" w14:textId="77777777" w:rsidR="00081708" w:rsidRPr="008D2838" w:rsidRDefault="00081708" w:rsidP="00081708">
      <w:pPr>
        <w:jc w:val="both"/>
        <w:rPr>
          <w:rFonts w:ascii="Arial" w:hAnsi="Arial" w:cs="Arial"/>
          <w:sz w:val="22"/>
          <w:szCs w:val="22"/>
          <w:lang w:val="es-CO"/>
        </w:rPr>
      </w:pPr>
    </w:p>
    <w:tbl>
      <w:tblPr>
        <w:tblW w:w="8921" w:type="dxa"/>
        <w:tblInd w:w="5" w:type="dxa"/>
        <w:tblCellMar>
          <w:left w:w="70" w:type="dxa"/>
          <w:right w:w="70" w:type="dxa"/>
        </w:tblCellMar>
        <w:tblLook w:val="04A0" w:firstRow="1" w:lastRow="0" w:firstColumn="1" w:lastColumn="0" w:noHBand="0" w:noVBand="1"/>
      </w:tblPr>
      <w:tblGrid>
        <w:gridCol w:w="4265"/>
        <w:gridCol w:w="1121"/>
        <w:gridCol w:w="1121"/>
        <w:gridCol w:w="1134"/>
        <w:gridCol w:w="1134"/>
        <w:gridCol w:w="146"/>
      </w:tblGrid>
      <w:tr w:rsidR="00081708" w:rsidRPr="008D2838" w14:paraId="2E6F874E" w14:textId="77777777" w:rsidTr="00081708">
        <w:trPr>
          <w:gridAfter w:val="1"/>
          <w:trHeight w:val="283"/>
        </w:trPr>
        <w:tc>
          <w:tcPr>
            <w:tcW w:w="8921" w:type="dxa"/>
            <w:gridSpan w:val="5"/>
            <w:tcBorders>
              <w:top w:val="single" w:sz="4" w:space="0" w:color="auto"/>
              <w:left w:val="single" w:sz="4" w:space="0" w:color="auto"/>
              <w:bottom w:val="nil"/>
              <w:right w:val="single" w:sz="4" w:space="0" w:color="auto"/>
            </w:tcBorders>
            <w:shd w:val="clear" w:color="auto" w:fill="244061"/>
            <w:vAlign w:val="center"/>
            <w:hideMark/>
          </w:tcPr>
          <w:p w14:paraId="388055FC"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TABLA 1. INGRESOS SGP – EDUCACIÓN A DICIEMBRE DE 2019, 2020, 2021 Y 2022</w:t>
            </w:r>
          </w:p>
        </w:tc>
      </w:tr>
      <w:tr w:rsidR="00081708" w:rsidRPr="008D2838" w14:paraId="19461899" w14:textId="77777777" w:rsidTr="00081708">
        <w:trPr>
          <w:gridAfter w:val="1"/>
          <w:trHeight w:val="20"/>
        </w:trPr>
        <w:tc>
          <w:tcPr>
            <w:tcW w:w="8921" w:type="dxa"/>
            <w:gridSpan w:val="5"/>
            <w:tcBorders>
              <w:top w:val="nil"/>
              <w:left w:val="single" w:sz="4" w:space="0" w:color="auto"/>
              <w:bottom w:val="single" w:sz="4" w:space="0" w:color="auto"/>
              <w:right w:val="single" w:sz="4" w:space="0" w:color="auto"/>
            </w:tcBorders>
            <w:shd w:val="clear" w:color="auto" w:fill="244061"/>
            <w:vAlign w:val="center"/>
            <w:hideMark/>
          </w:tcPr>
          <w:p w14:paraId="07A67E40"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(EN MILLONES DE $)</w:t>
            </w:r>
          </w:p>
        </w:tc>
      </w:tr>
      <w:tr w:rsidR="00081708" w:rsidRPr="008D2838" w14:paraId="6D37C485" w14:textId="77777777" w:rsidTr="00081708">
        <w:trPr>
          <w:gridAfter w:val="1"/>
          <w:trHeight w:val="283"/>
        </w:trPr>
        <w:tc>
          <w:tcPr>
            <w:tcW w:w="4385" w:type="dxa"/>
            <w:vMerge w:val="restart"/>
            <w:tcBorders>
              <w:top w:val="single" w:sz="4" w:space="0" w:color="auto"/>
              <w:left w:val="single" w:sz="8" w:space="0" w:color="auto"/>
              <w:bottom w:val="single" w:sz="8" w:space="0" w:color="000000"/>
              <w:right w:val="single" w:sz="4" w:space="0" w:color="auto"/>
            </w:tcBorders>
            <w:shd w:val="clear" w:color="auto" w:fill="95B3D7"/>
            <w:vAlign w:val="center"/>
            <w:hideMark/>
          </w:tcPr>
          <w:p w14:paraId="312A53AA"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CONCEPTOS</w:t>
            </w:r>
          </w:p>
        </w:tc>
        <w:tc>
          <w:tcPr>
            <w:tcW w:w="4536" w:type="dxa"/>
            <w:gridSpan w:val="4"/>
            <w:tcBorders>
              <w:top w:val="single" w:sz="4" w:space="0" w:color="auto"/>
              <w:left w:val="single" w:sz="4" w:space="0" w:color="auto"/>
              <w:bottom w:val="single" w:sz="4" w:space="0" w:color="auto"/>
              <w:right w:val="single" w:sz="4" w:space="0" w:color="auto"/>
            </w:tcBorders>
            <w:shd w:val="clear" w:color="auto" w:fill="95B3D7"/>
            <w:vAlign w:val="center"/>
            <w:hideMark/>
          </w:tcPr>
          <w:p w14:paraId="3FD86F6F"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VIGENCIAS</w:t>
            </w:r>
          </w:p>
        </w:tc>
      </w:tr>
      <w:tr w:rsidR="00081708" w:rsidRPr="008D2838" w14:paraId="055A45CA" w14:textId="77777777" w:rsidTr="00E32F8D">
        <w:trPr>
          <w:gridAfter w:val="1"/>
          <w:trHeight w:val="276"/>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0F7B224C" w14:textId="77777777" w:rsidR="00081708" w:rsidRPr="008D2838" w:rsidRDefault="00081708" w:rsidP="00081708">
            <w:pPr>
              <w:rPr>
                <w:rFonts w:ascii="Arial" w:eastAsia="Times New Roman" w:hAnsi="Arial" w:cs="Arial"/>
                <w:b/>
                <w:bCs/>
                <w:color w:val="000000"/>
                <w:sz w:val="18"/>
                <w:szCs w:val="18"/>
                <w:lang w:val="es-CO" w:eastAsia="es-CO"/>
              </w:rPr>
            </w:pPr>
          </w:p>
        </w:tc>
        <w:tc>
          <w:tcPr>
            <w:tcW w:w="1134" w:type="dxa"/>
            <w:vMerge w:val="restart"/>
            <w:tcBorders>
              <w:top w:val="nil"/>
              <w:left w:val="single" w:sz="8" w:space="0" w:color="auto"/>
              <w:bottom w:val="single" w:sz="8" w:space="0" w:color="000000"/>
              <w:right w:val="single" w:sz="8" w:space="0" w:color="auto"/>
            </w:tcBorders>
            <w:shd w:val="clear" w:color="auto" w:fill="95B3D7"/>
            <w:vAlign w:val="center"/>
            <w:hideMark/>
          </w:tcPr>
          <w:p w14:paraId="01DF7A61"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2019</w:t>
            </w:r>
          </w:p>
        </w:tc>
        <w:tc>
          <w:tcPr>
            <w:tcW w:w="1134" w:type="dxa"/>
            <w:vMerge w:val="restart"/>
            <w:tcBorders>
              <w:top w:val="nil"/>
              <w:left w:val="single" w:sz="8" w:space="0" w:color="auto"/>
              <w:bottom w:val="single" w:sz="8" w:space="0" w:color="000000"/>
              <w:right w:val="single" w:sz="8" w:space="0" w:color="auto"/>
            </w:tcBorders>
            <w:shd w:val="clear" w:color="auto" w:fill="95B3D7"/>
            <w:vAlign w:val="center"/>
            <w:hideMark/>
          </w:tcPr>
          <w:p w14:paraId="75669AA0"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2020</w:t>
            </w:r>
          </w:p>
        </w:tc>
        <w:tc>
          <w:tcPr>
            <w:tcW w:w="1134" w:type="dxa"/>
            <w:vMerge w:val="restart"/>
            <w:tcBorders>
              <w:top w:val="nil"/>
              <w:left w:val="single" w:sz="8" w:space="0" w:color="auto"/>
              <w:bottom w:val="single" w:sz="8" w:space="0" w:color="000000"/>
              <w:right w:val="single" w:sz="8" w:space="0" w:color="auto"/>
            </w:tcBorders>
            <w:shd w:val="clear" w:color="auto" w:fill="95B3D7"/>
            <w:vAlign w:val="center"/>
            <w:hideMark/>
          </w:tcPr>
          <w:p w14:paraId="7C46DF97"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2021</w:t>
            </w:r>
          </w:p>
        </w:tc>
        <w:tc>
          <w:tcPr>
            <w:tcW w:w="1134" w:type="dxa"/>
            <w:vMerge w:val="restart"/>
            <w:tcBorders>
              <w:top w:val="nil"/>
              <w:left w:val="single" w:sz="8" w:space="0" w:color="auto"/>
              <w:bottom w:val="single" w:sz="8" w:space="0" w:color="000000"/>
              <w:right w:val="single" w:sz="8" w:space="0" w:color="auto"/>
            </w:tcBorders>
            <w:shd w:val="clear" w:color="auto" w:fill="95B3D7"/>
            <w:vAlign w:val="center"/>
            <w:hideMark/>
          </w:tcPr>
          <w:p w14:paraId="45FC912D"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2022</w:t>
            </w:r>
          </w:p>
        </w:tc>
      </w:tr>
      <w:tr w:rsidR="00081708" w:rsidRPr="008D2838" w14:paraId="4CCFE919" w14:textId="77777777" w:rsidTr="00E32F8D">
        <w:trPr>
          <w:trHeight w:val="276"/>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73341312" w14:textId="77777777" w:rsidR="00081708" w:rsidRPr="008D2838" w:rsidRDefault="00081708" w:rsidP="00081708">
            <w:pPr>
              <w:rPr>
                <w:rFonts w:ascii="Arial" w:eastAsia="Times New Roman" w:hAnsi="Arial" w:cs="Arial"/>
                <w:b/>
                <w:bCs/>
                <w:color w:val="000000"/>
                <w:sz w:val="18"/>
                <w:szCs w:val="18"/>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FCC9EB0" w14:textId="77777777" w:rsidR="00081708" w:rsidRPr="008D2838" w:rsidRDefault="00081708" w:rsidP="00081708">
            <w:pPr>
              <w:rPr>
                <w:rFonts w:ascii="Arial" w:eastAsia="Times New Roman" w:hAnsi="Arial" w:cs="Arial"/>
                <w:b/>
                <w:bCs/>
                <w:color w:val="000000"/>
                <w:sz w:val="18"/>
                <w:szCs w:val="18"/>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7F0973C" w14:textId="77777777" w:rsidR="00081708" w:rsidRPr="008D2838" w:rsidRDefault="00081708" w:rsidP="00081708">
            <w:pPr>
              <w:rPr>
                <w:rFonts w:ascii="Arial" w:eastAsia="Times New Roman" w:hAnsi="Arial" w:cs="Arial"/>
                <w:b/>
                <w:bCs/>
                <w:color w:val="000000"/>
                <w:sz w:val="18"/>
                <w:szCs w:val="18"/>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3E6B5B5" w14:textId="77777777" w:rsidR="00081708" w:rsidRPr="008D2838" w:rsidRDefault="00081708" w:rsidP="00081708">
            <w:pPr>
              <w:rPr>
                <w:rFonts w:ascii="Arial" w:eastAsia="Times New Roman" w:hAnsi="Arial" w:cs="Arial"/>
                <w:b/>
                <w:bCs/>
                <w:color w:val="000000"/>
                <w:sz w:val="18"/>
                <w:szCs w:val="18"/>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4D5C397" w14:textId="77777777" w:rsidR="00081708" w:rsidRPr="008D2838" w:rsidRDefault="00081708" w:rsidP="00081708">
            <w:pPr>
              <w:rPr>
                <w:rFonts w:ascii="Arial" w:eastAsia="Times New Roman" w:hAnsi="Arial" w:cs="Arial"/>
                <w:b/>
                <w:bCs/>
                <w:color w:val="000000"/>
                <w:sz w:val="18"/>
                <w:szCs w:val="18"/>
                <w:lang w:val="es-CO" w:eastAsia="es-CO"/>
              </w:rPr>
            </w:pPr>
          </w:p>
        </w:tc>
        <w:tc>
          <w:tcPr>
            <w:tcW w:w="0" w:type="auto"/>
            <w:vAlign w:val="center"/>
            <w:hideMark/>
          </w:tcPr>
          <w:p w14:paraId="17BD1B60" w14:textId="77777777" w:rsidR="00081708" w:rsidRPr="008D2838" w:rsidRDefault="00081708" w:rsidP="00081708">
            <w:pPr>
              <w:rPr>
                <w:rFonts w:ascii="Arial" w:eastAsia="Times New Roman" w:hAnsi="Arial" w:cs="Arial"/>
                <w:b/>
                <w:bCs/>
                <w:color w:val="000000"/>
                <w:sz w:val="18"/>
                <w:szCs w:val="18"/>
                <w:lang w:val="es-CO" w:eastAsia="es-CO"/>
              </w:rPr>
            </w:pPr>
          </w:p>
        </w:tc>
      </w:tr>
      <w:tr w:rsidR="00081708" w:rsidRPr="008D2838" w14:paraId="0ED489F2" w14:textId="77777777" w:rsidTr="00E32F8D">
        <w:trPr>
          <w:trHeight w:val="20"/>
        </w:trPr>
        <w:tc>
          <w:tcPr>
            <w:tcW w:w="4385" w:type="dxa"/>
            <w:tcBorders>
              <w:top w:val="nil"/>
              <w:left w:val="single" w:sz="8" w:space="0" w:color="auto"/>
              <w:bottom w:val="single" w:sz="8" w:space="0" w:color="auto"/>
              <w:right w:val="single" w:sz="8" w:space="0" w:color="auto"/>
            </w:tcBorders>
            <w:vAlign w:val="center"/>
            <w:hideMark/>
          </w:tcPr>
          <w:p w14:paraId="5F2E38E6" w14:textId="77777777" w:rsidR="00081708" w:rsidRPr="008D2838" w:rsidRDefault="00081708" w:rsidP="00E32F8D">
            <w:pP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Asignación SGP – Educación</w:t>
            </w:r>
          </w:p>
        </w:tc>
        <w:tc>
          <w:tcPr>
            <w:tcW w:w="1134" w:type="dxa"/>
            <w:tcBorders>
              <w:top w:val="nil"/>
              <w:left w:val="nil"/>
              <w:bottom w:val="single" w:sz="8" w:space="0" w:color="auto"/>
              <w:right w:val="single" w:sz="8" w:space="0" w:color="auto"/>
            </w:tcBorders>
            <w:vAlign w:val="center"/>
            <w:hideMark/>
          </w:tcPr>
          <w:p w14:paraId="0B49C113" w14:textId="77777777" w:rsidR="00081708" w:rsidRPr="008D2838" w:rsidRDefault="00081708" w:rsidP="00E32F8D">
            <w:pPr>
              <w:ind w:firstLineChars="40" w:firstLine="72"/>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110.634</w:t>
            </w:r>
          </w:p>
        </w:tc>
        <w:tc>
          <w:tcPr>
            <w:tcW w:w="1134" w:type="dxa"/>
            <w:tcBorders>
              <w:top w:val="nil"/>
              <w:left w:val="nil"/>
              <w:bottom w:val="single" w:sz="8" w:space="0" w:color="auto"/>
              <w:right w:val="single" w:sz="8" w:space="0" w:color="auto"/>
            </w:tcBorders>
            <w:vAlign w:val="center"/>
            <w:hideMark/>
          </w:tcPr>
          <w:p w14:paraId="2780B080" w14:textId="77777777" w:rsidR="00081708" w:rsidRPr="008D2838" w:rsidRDefault="00081708" w:rsidP="00E32F8D">
            <w:pPr>
              <w:ind w:firstLineChars="37" w:firstLine="67"/>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114.941</w:t>
            </w:r>
          </w:p>
        </w:tc>
        <w:tc>
          <w:tcPr>
            <w:tcW w:w="1134" w:type="dxa"/>
            <w:tcBorders>
              <w:top w:val="nil"/>
              <w:left w:val="nil"/>
              <w:bottom w:val="single" w:sz="8" w:space="0" w:color="auto"/>
              <w:right w:val="single" w:sz="8" w:space="0" w:color="auto"/>
            </w:tcBorders>
            <w:vAlign w:val="center"/>
            <w:hideMark/>
          </w:tcPr>
          <w:p w14:paraId="0EFFD3A1" w14:textId="77777777" w:rsidR="00081708" w:rsidRPr="008D2838" w:rsidRDefault="00081708" w:rsidP="00E32F8D">
            <w:pPr>
              <w:ind w:firstLineChars="41" w:firstLine="74"/>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121.095</w:t>
            </w:r>
          </w:p>
        </w:tc>
        <w:tc>
          <w:tcPr>
            <w:tcW w:w="1134" w:type="dxa"/>
            <w:tcBorders>
              <w:top w:val="nil"/>
              <w:left w:val="nil"/>
              <w:bottom w:val="single" w:sz="8" w:space="0" w:color="auto"/>
              <w:right w:val="single" w:sz="8" w:space="0" w:color="auto"/>
            </w:tcBorders>
            <w:vAlign w:val="center"/>
            <w:hideMark/>
          </w:tcPr>
          <w:p w14:paraId="076672A7" w14:textId="77777777" w:rsidR="00081708" w:rsidRPr="008D2838" w:rsidRDefault="00081708" w:rsidP="00E32F8D">
            <w:pPr>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123.650</w:t>
            </w:r>
          </w:p>
        </w:tc>
        <w:tc>
          <w:tcPr>
            <w:tcW w:w="0" w:type="auto"/>
            <w:vAlign w:val="center"/>
            <w:hideMark/>
          </w:tcPr>
          <w:p w14:paraId="004915C3" w14:textId="77777777" w:rsidR="00081708" w:rsidRPr="008D2838" w:rsidRDefault="00081708" w:rsidP="00081708">
            <w:pPr>
              <w:rPr>
                <w:rFonts w:ascii="Arial" w:eastAsia="Calibri" w:hAnsi="Arial" w:cs="Arial"/>
                <w:sz w:val="20"/>
                <w:szCs w:val="20"/>
                <w:lang w:val="es-CO" w:eastAsia="es-CO"/>
              </w:rPr>
            </w:pPr>
          </w:p>
        </w:tc>
      </w:tr>
      <w:tr w:rsidR="00081708" w:rsidRPr="008D2838" w14:paraId="2EE4965F" w14:textId="77777777" w:rsidTr="00E32F8D">
        <w:trPr>
          <w:trHeight w:val="20"/>
        </w:trPr>
        <w:tc>
          <w:tcPr>
            <w:tcW w:w="4385" w:type="dxa"/>
            <w:tcBorders>
              <w:top w:val="nil"/>
              <w:left w:val="single" w:sz="8" w:space="0" w:color="auto"/>
              <w:bottom w:val="single" w:sz="8" w:space="0" w:color="auto"/>
              <w:right w:val="single" w:sz="8" w:space="0" w:color="auto"/>
            </w:tcBorders>
            <w:vAlign w:val="center"/>
            <w:hideMark/>
          </w:tcPr>
          <w:p w14:paraId="0ABCD3EC" w14:textId="77777777" w:rsidR="00081708" w:rsidRPr="008D2838" w:rsidRDefault="00081708" w:rsidP="00E32F8D">
            <w:pP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Giro MEN</w:t>
            </w:r>
          </w:p>
        </w:tc>
        <w:tc>
          <w:tcPr>
            <w:tcW w:w="1134" w:type="dxa"/>
            <w:tcBorders>
              <w:top w:val="nil"/>
              <w:left w:val="nil"/>
              <w:bottom w:val="single" w:sz="8" w:space="0" w:color="auto"/>
              <w:right w:val="single" w:sz="8" w:space="0" w:color="auto"/>
            </w:tcBorders>
            <w:vAlign w:val="center"/>
            <w:hideMark/>
          </w:tcPr>
          <w:p w14:paraId="091ABFC3" w14:textId="77777777" w:rsidR="00081708" w:rsidRPr="008D2838" w:rsidRDefault="00081708" w:rsidP="00E32F8D">
            <w:pPr>
              <w:ind w:firstLineChars="40" w:firstLine="72"/>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110.634</w:t>
            </w:r>
          </w:p>
        </w:tc>
        <w:tc>
          <w:tcPr>
            <w:tcW w:w="1134" w:type="dxa"/>
            <w:tcBorders>
              <w:top w:val="nil"/>
              <w:left w:val="nil"/>
              <w:bottom w:val="single" w:sz="8" w:space="0" w:color="auto"/>
              <w:right w:val="single" w:sz="8" w:space="0" w:color="auto"/>
            </w:tcBorders>
            <w:vAlign w:val="center"/>
            <w:hideMark/>
          </w:tcPr>
          <w:p w14:paraId="623B5C42" w14:textId="77777777" w:rsidR="00081708" w:rsidRPr="008D2838" w:rsidRDefault="00081708" w:rsidP="00E32F8D">
            <w:pPr>
              <w:ind w:firstLineChars="37" w:firstLine="67"/>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114.941</w:t>
            </w:r>
          </w:p>
        </w:tc>
        <w:tc>
          <w:tcPr>
            <w:tcW w:w="1134" w:type="dxa"/>
            <w:tcBorders>
              <w:top w:val="nil"/>
              <w:left w:val="nil"/>
              <w:bottom w:val="single" w:sz="8" w:space="0" w:color="auto"/>
              <w:right w:val="single" w:sz="8" w:space="0" w:color="auto"/>
            </w:tcBorders>
            <w:vAlign w:val="center"/>
            <w:hideMark/>
          </w:tcPr>
          <w:p w14:paraId="1A4F39C2" w14:textId="77777777" w:rsidR="00081708" w:rsidRPr="008D2838" w:rsidRDefault="00081708" w:rsidP="00E32F8D">
            <w:pPr>
              <w:ind w:firstLineChars="41" w:firstLine="74"/>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121.095</w:t>
            </w:r>
          </w:p>
        </w:tc>
        <w:tc>
          <w:tcPr>
            <w:tcW w:w="1134" w:type="dxa"/>
            <w:tcBorders>
              <w:top w:val="nil"/>
              <w:left w:val="nil"/>
              <w:bottom w:val="single" w:sz="8" w:space="0" w:color="auto"/>
              <w:right w:val="single" w:sz="8" w:space="0" w:color="auto"/>
            </w:tcBorders>
            <w:vAlign w:val="center"/>
            <w:hideMark/>
          </w:tcPr>
          <w:p w14:paraId="6C67951A" w14:textId="77777777" w:rsidR="00081708" w:rsidRPr="008D2838" w:rsidRDefault="00081708" w:rsidP="00E32F8D">
            <w:pPr>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123.650</w:t>
            </w:r>
          </w:p>
        </w:tc>
        <w:tc>
          <w:tcPr>
            <w:tcW w:w="0" w:type="auto"/>
            <w:vAlign w:val="center"/>
            <w:hideMark/>
          </w:tcPr>
          <w:p w14:paraId="5CCFE72D" w14:textId="77777777" w:rsidR="00081708" w:rsidRPr="008D2838" w:rsidRDefault="00081708" w:rsidP="00081708">
            <w:pPr>
              <w:rPr>
                <w:rFonts w:ascii="Arial" w:eastAsia="Calibri" w:hAnsi="Arial" w:cs="Arial"/>
                <w:sz w:val="20"/>
                <w:szCs w:val="20"/>
                <w:lang w:val="es-CO" w:eastAsia="es-CO"/>
              </w:rPr>
            </w:pPr>
          </w:p>
        </w:tc>
      </w:tr>
      <w:tr w:rsidR="00081708" w:rsidRPr="008D2838" w14:paraId="7D20F66A" w14:textId="77777777" w:rsidTr="00E32F8D">
        <w:trPr>
          <w:trHeight w:val="20"/>
        </w:trPr>
        <w:tc>
          <w:tcPr>
            <w:tcW w:w="4385" w:type="dxa"/>
            <w:tcBorders>
              <w:top w:val="nil"/>
              <w:left w:val="single" w:sz="8" w:space="0" w:color="auto"/>
              <w:bottom w:val="single" w:sz="8" w:space="0" w:color="auto"/>
              <w:right w:val="single" w:sz="8" w:space="0" w:color="auto"/>
            </w:tcBorders>
            <w:shd w:val="clear" w:color="auto" w:fill="95B3D7"/>
            <w:vAlign w:val="center"/>
            <w:hideMark/>
          </w:tcPr>
          <w:p w14:paraId="12697901" w14:textId="77777777" w:rsidR="00081708" w:rsidRPr="008D2838" w:rsidRDefault="00081708" w:rsidP="00E32F8D">
            <w:pP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EJECUCIÓN PRESUPUESTAL</w:t>
            </w:r>
          </w:p>
        </w:tc>
        <w:tc>
          <w:tcPr>
            <w:tcW w:w="1134" w:type="dxa"/>
            <w:tcBorders>
              <w:top w:val="nil"/>
              <w:left w:val="nil"/>
              <w:bottom w:val="single" w:sz="8" w:space="0" w:color="auto"/>
              <w:right w:val="single" w:sz="8" w:space="0" w:color="auto"/>
            </w:tcBorders>
            <w:shd w:val="clear" w:color="auto" w:fill="95B3D7"/>
            <w:vAlign w:val="center"/>
            <w:hideMark/>
          </w:tcPr>
          <w:p w14:paraId="7353E191" w14:textId="77777777" w:rsidR="00081708" w:rsidRPr="008D2838" w:rsidRDefault="00081708" w:rsidP="00E32F8D">
            <w:pPr>
              <w:ind w:firstLineChars="40" w:firstLine="72"/>
              <w:rPr>
                <w:rFonts w:ascii="Arial" w:eastAsia="Times New Roman" w:hAnsi="Arial" w:cs="Arial"/>
                <w:sz w:val="18"/>
                <w:szCs w:val="18"/>
                <w:lang w:val="es-CO" w:eastAsia="es-CO"/>
              </w:rPr>
            </w:pPr>
            <w:r w:rsidRPr="008D2838">
              <w:rPr>
                <w:rFonts w:ascii="Arial" w:eastAsia="Times New Roman" w:hAnsi="Arial" w:cs="Arial"/>
                <w:sz w:val="18"/>
                <w:szCs w:val="18"/>
                <w:lang w:val="es-CO" w:eastAsia="es-CO"/>
              </w:rPr>
              <w:t> </w:t>
            </w:r>
          </w:p>
        </w:tc>
        <w:tc>
          <w:tcPr>
            <w:tcW w:w="1134" w:type="dxa"/>
            <w:tcBorders>
              <w:top w:val="nil"/>
              <w:left w:val="nil"/>
              <w:bottom w:val="single" w:sz="8" w:space="0" w:color="auto"/>
              <w:right w:val="single" w:sz="8" w:space="0" w:color="auto"/>
            </w:tcBorders>
            <w:shd w:val="clear" w:color="auto" w:fill="95B3D7"/>
            <w:vAlign w:val="center"/>
            <w:hideMark/>
          </w:tcPr>
          <w:p w14:paraId="74017F71" w14:textId="77777777" w:rsidR="00081708" w:rsidRPr="008D2838" w:rsidRDefault="00081708" w:rsidP="00E32F8D">
            <w:pPr>
              <w:ind w:firstLineChars="37" w:firstLine="67"/>
              <w:rPr>
                <w:rFonts w:ascii="Arial" w:eastAsia="Times New Roman" w:hAnsi="Arial" w:cs="Arial"/>
                <w:sz w:val="18"/>
                <w:szCs w:val="18"/>
                <w:lang w:val="es-CO" w:eastAsia="es-CO"/>
              </w:rPr>
            </w:pPr>
            <w:r w:rsidRPr="008D2838">
              <w:rPr>
                <w:rFonts w:ascii="Arial" w:eastAsia="Times New Roman" w:hAnsi="Arial" w:cs="Arial"/>
                <w:sz w:val="18"/>
                <w:szCs w:val="18"/>
                <w:lang w:val="es-CO" w:eastAsia="es-CO"/>
              </w:rPr>
              <w:t> </w:t>
            </w:r>
          </w:p>
        </w:tc>
        <w:tc>
          <w:tcPr>
            <w:tcW w:w="1134" w:type="dxa"/>
            <w:tcBorders>
              <w:top w:val="nil"/>
              <w:left w:val="nil"/>
              <w:bottom w:val="single" w:sz="8" w:space="0" w:color="auto"/>
              <w:right w:val="single" w:sz="8" w:space="0" w:color="auto"/>
            </w:tcBorders>
            <w:shd w:val="clear" w:color="auto" w:fill="95B3D7"/>
            <w:vAlign w:val="center"/>
            <w:hideMark/>
          </w:tcPr>
          <w:p w14:paraId="78831758" w14:textId="77777777" w:rsidR="00081708" w:rsidRPr="008D2838" w:rsidRDefault="00081708" w:rsidP="00E32F8D">
            <w:pPr>
              <w:ind w:firstLineChars="41" w:firstLine="74"/>
              <w:rPr>
                <w:rFonts w:ascii="Arial" w:eastAsia="Times New Roman" w:hAnsi="Arial" w:cs="Arial"/>
                <w:sz w:val="18"/>
                <w:szCs w:val="18"/>
                <w:lang w:val="es-CO" w:eastAsia="es-CO"/>
              </w:rPr>
            </w:pPr>
            <w:r w:rsidRPr="008D2838">
              <w:rPr>
                <w:rFonts w:ascii="Arial" w:eastAsia="Times New Roman" w:hAnsi="Arial" w:cs="Arial"/>
                <w:sz w:val="18"/>
                <w:szCs w:val="18"/>
                <w:lang w:val="es-CO" w:eastAsia="es-CO"/>
              </w:rPr>
              <w:t> </w:t>
            </w:r>
          </w:p>
        </w:tc>
        <w:tc>
          <w:tcPr>
            <w:tcW w:w="1134" w:type="dxa"/>
            <w:tcBorders>
              <w:top w:val="nil"/>
              <w:left w:val="nil"/>
              <w:bottom w:val="single" w:sz="8" w:space="0" w:color="auto"/>
              <w:right w:val="single" w:sz="8" w:space="0" w:color="auto"/>
            </w:tcBorders>
            <w:shd w:val="clear" w:color="auto" w:fill="95B3D7"/>
            <w:vAlign w:val="center"/>
            <w:hideMark/>
          </w:tcPr>
          <w:p w14:paraId="58239091" w14:textId="77777777" w:rsidR="00081708" w:rsidRPr="008D2838" w:rsidRDefault="00081708" w:rsidP="00E32F8D">
            <w:pPr>
              <w:jc w:val="right"/>
              <w:rPr>
                <w:rFonts w:ascii="Arial" w:eastAsia="Times New Roman" w:hAnsi="Arial" w:cs="Arial"/>
                <w:sz w:val="18"/>
                <w:szCs w:val="18"/>
                <w:lang w:val="es-CO" w:eastAsia="es-CO"/>
              </w:rPr>
            </w:pPr>
            <w:r w:rsidRPr="008D2838">
              <w:rPr>
                <w:rFonts w:ascii="Arial" w:eastAsia="Times New Roman" w:hAnsi="Arial" w:cs="Arial"/>
                <w:sz w:val="18"/>
                <w:szCs w:val="18"/>
                <w:lang w:val="es-CO" w:eastAsia="es-CO"/>
              </w:rPr>
              <w:t> </w:t>
            </w:r>
          </w:p>
        </w:tc>
        <w:tc>
          <w:tcPr>
            <w:tcW w:w="0" w:type="auto"/>
            <w:vAlign w:val="center"/>
            <w:hideMark/>
          </w:tcPr>
          <w:p w14:paraId="676DDF6B" w14:textId="77777777" w:rsidR="00081708" w:rsidRPr="008D2838" w:rsidRDefault="00081708" w:rsidP="00081708">
            <w:pPr>
              <w:rPr>
                <w:rFonts w:ascii="Arial" w:eastAsia="Calibri" w:hAnsi="Arial" w:cs="Arial"/>
                <w:sz w:val="20"/>
                <w:szCs w:val="20"/>
                <w:lang w:val="es-CO" w:eastAsia="es-CO"/>
              </w:rPr>
            </w:pPr>
          </w:p>
        </w:tc>
      </w:tr>
      <w:tr w:rsidR="00081708" w:rsidRPr="008D2838" w14:paraId="7734EB76" w14:textId="77777777" w:rsidTr="00E32F8D">
        <w:trPr>
          <w:trHeight w:val="20"/>
        </w:trPr>
        <w:tc>
          <w:tcPr>
            <w:tcW w:w="4385" w:type="dxa"/>
            <w:tcBorders>
              <w:top w:val="nil"/>
              <w:left w:val="single" w:sz="8" w:space="0" w:color="auto"/>
              <w:bottom w:val="single" w:sz="8" w:space="0" w:color="auto"/>
              <w:right w:val="single" w:sz="8" w:space="0" w:color="auto"/>
            </w:tcBorders>
            <w:shd w:val="clear" w:color="auto" w:fill="D9D9D9"/>
            <w:vAlign w:val="center"/>
            <w:hideMark/>
          </w:tcPr>
          <w:p w14:paraId="749A4BF2" w14:textId="77777777" w:rsidR="00081708" w:rsidRPr="008D2838" w:rsidRDefault="00081708" w:rsidP="00E32F8D">
            <w:pP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INGRESOS CORRIENTES</w:t>
            </w:r>
          </w:p>
        </w:tc>
        <w:tc>
          <w:tcPr>
            <w:tcW w:w="1134" w:type="dxa"/>
            <w:tcBorders>
              <w:top w:val="nil"/>
              <w:left w:val="nil"/>
              <w:bottom w:val="single" w:sz="8" w:space="0" w:color="auto"/>
              <w:right w:val="single" w:sz="8" w:space="0" w:color="auto"/>
            </w:tcBorders>
            <w:shd w:val="clear" w:color="auto" w:fill="D9D9D9"/>
            <w:vAlign w:val="center"/>
            <w:hideMark/>
          </w:tcPr>
          <w:p w14:paraId="5E608477" w14:textId="77777777" w:rsidR="00081708" w:rsidRPr="008D2838" w:rsidRDefault="00081708" w:rsidP="00E32F8D">
            <w:pPr>
              <w:ind w:firstLineChars="40" w:firstLine="72"/>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110.634</w:t>
            </w:r>
          </w:p>
        </w:tc>
        <w:tc>
          <w:tcPr>
            <w:tcW w:w="1134" w:type="dxa"/>
            <w:tcBorders>
              <w:top w:val="nil"/>
              <w:left w:val="nil"/>
              <w:bottom w:val="single" w:sz="8" w:space="0" w:color="auto"/>
              <w:right w:val="single" w:sz="8" w:space="0" w:color="auto"/>
            </w:tcBorders>
            <w:shd w:val="clear" w:color="auto" w:fill="D9D9D9"/>
            <w:vAlign w:val="center"/>
            <w:hideMark/>
          </w:tcPr>
          <w:p w14:paraId="37C6A551" w14:textId="77777777" w:rsidR="00081708" w:rsidRPr="008D2838" w:rsidRDefault="00081708" w:rsidP="00E32F8D">
            <w:pPr>
              <w:ind w:firstLineChars="37" w:firstLine="67"/>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114.941</w:t>
            </w:r>
          </w:p>
        </w:tc>
        <w:tc>
          <w:tcPr>
            <w:tcW w:w="1134" w:type="dxa"/>
            <w:tcBorders>
              <w:top w:val="nil"/>
              <w:left w:val="nil"/>
              <w:bottom w:val="single" w:sz="8" w:space="0" w:color="auto"/>
              <w:right w:val="single" w:sz="8" w:space="0" w:color="auto"/>
            </w:tcBorders>
            <w:shd w:val="clear" w:color="auto" w:fill="D9D9D9"/>
            <w:vAlign w:val="center"/>
            <w:hideMark/>
          </w:tcPr>
          <w:p w14:paraId="5AC0F754" w14:textId="77777777" w:rsidR="00081708" w:rsidRPr="008D2838" w:rsidRDefault="00081708" w:rsidP="00E32F8D">
            <w:pPr>
              <w:ind w:firstLineChars="41" w:firstLine="74"/>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121.095</w:t>
            </w:r>
          </w:p>
        </w:tc>
        <w:tc>
          <w:tcPr>
            <w:tcW w:w="1134" w:type="dxa"/>
            <w:tcBorders>
              <w:top w:val="nil"/>
              <w:left w:val="nil"/>
              <w:bottom w:val="single" w:sz="8" w:space="0" w:color="auto"/>
              <w:right w:val="single" w:sz="8" w:space="0" w:color="auto"/>
            </w:tcBorders>
            <w:shd w:val="clear" w:color="auto" w:fill="D9D9D9"/>
            <w:vAlign w:val="center"/>
            <w:hideMark/>
          </w:tcPr>
          <w:p w14:paraId="37DD48BA" w14:textId="77777777" w:rsidR="00081708" w:rsidRPr="008D2838" w:rsidRDefault="00081708" w:rsidP="00E32F8D">
            <w:pPr>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123.650</w:t>
            </w:r>
          </w:p>
        </w:tc>
        <w:tc>
          <w:tcPr>
            <w:tcW w:w="0" w:type="auto"/>
            <w:vAlign w:val="center"/>
            <w:hideMark/>
          </w:tcPr>
          <w:p w14:paraId="3F3BE109" w14:textId="77777777" w:rsidR="00081708" w:rsidRPr="008D2838" w:rsidRDefault="00081708" w:rsidP="00081708">
            <w:pPr>
              <w:rPr>
                <w:rFonts w:ascii="Arial" w:eastAsia="Calibri" w:hAnsi="Arial" w:cs="Arial"/>
                <w:sz w:val="20"/>
                <w:szCs w:val="20"/>
                <w:lang w:val="es-CO" w:eastAsia="es-CO"/>
              </w:rPr>
            </w:pPr>
          </w:p>
        </w:tc>
      </w:tr>
      <w:tr w:rsidR="00081708" w:rsidRPr="008D2838" w14:paraId="4873ACC4" w14:textId="77777777" w:rsidTr="00E32F8D">
        <w:trPr>
          <w:trHeight w:val="20"/>
        </w:trPr>
        <w:tc>
          <w:tcPr>
            <w:tcW w:w="4385" w:type="dxa"/>
            <w:tcBorders>
              <w:top w:val="nil"/>
              <w:left w:val="single" w:sz="8" w:space="0" w:color="auto"/>
              <w:bottom w:val="single" w:sz="8" w:space="0" w:color="auto"/>
              <w:right w:val="single" w:sz="8" w:space="0" w:color="auto"/>
            </w:tcBorders>
            <w:vAlign w:val="center"/>
            <w:hideMark/>
          </w:tcPr>
          <w:p w14:paraId="4439FBDD" w14:textId="77777777" w:rsidR="00081708" w:rsidRPr="008D2838" w:rsidRDefault="00081708" w:rsidP="00E32F8D">
            <w:pP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Sistema General de Participaciones -Educación</w:t>
            </w:r>
          </w:p>
        </w:tc>
        <w:tc>
          <w:tcPr>
            <w:tcW w:w="1134" w:type="dxa"/>
            <w:tcBorders>
              <w:top w:val="nil"/>
              <w:left w:val="nil"/>
              <w:bottom w:val="single" w:sz="8" w:space="0" w:color="auto"/>
              <w:right w:val="single" w:sz="8" w:space="0" w:color="auto"/>
            </w:tcBorders>
            <w:vAlign w:val="center"/>
            <w:hideMark/>
          </w:tcPr>
          <w:p w14:paraId="7F8019A2" w14:textId="77777777" w:rsidR="00081708" w:rsidRPr="008D2838" w:rsidRDefault="00081708" w:rsidP="00E32F8D">
            <w:pPr>
              <w:ind w:firstLineChars="40" w:firstLine="72"/>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110.634</w:t>
            </w:r>
          </w:p>
        </w:tc>
        <w:tc>
          <w:tcPr>
            <w:tcW w:w="1134" w:type="dxa"/>
            <w:tcBorders>
              <w:top w:val="nil"/>
              <w:left w:val="nil"/>
              <w:bottom w:val="single" w:sz="8" w:space="0" w:color="auto"/>
              <w:right w:val="single" w:sz="8" w:space="0" w:color="auto"/>
            </w:tcBorders>
            <w:vAlign w:val="center"/>
            <w:hideMark/>
          </w:tcPr>
          <w:p w14:paraId="70645F93" w14:textId="77777777" w:rsidR="00081708" w:rsidRPr="008D2838" w:rsidRDefault="00081708" w:rsidP="00E32F8D">
            <w:pPr>
              <w:ind w:firstLineChars="37" w:firstLine="67"/>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114.941</w:t>
            </w:r>
          </w:p>
        </w:tc>
        <w:tc>
          <w:tcPr>
            <w:tcW w:w="1134" w:type="dxa"/>
            <w:tcBorders>
              <w:top w:val="nil"/>
              <w:left w:val="nil"/>
              <w:bottom w:val="single" w:sz="8" w:space="0" w:color="auto"/>
              <w:right w:val="single" w:sz="8" w:space="0" w:color="auto"/>
            </w:tcBorders>
            <w:vAlign w:val="center"/>
            <w:hideMark/>
          </w:tcPr>
          <w:p w14:paraId="55B370D4" w14:textId="77777777" w:rsidR="00081708" w:rsidRPr="008D2838" w:rsidRDefault="00081708" w:rsidP="00E32F8D">
            <w:pPr>
              <w:ind w:firstLineChars="41" w:firstLine="74"/>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121.095</w:t>
            </w:r>
          </w:p>
        </w:tc>
        <w:tc>
          <w:tcPr>
            <w:tcW w:w="1134" w:type="dxa"/>
            <w:tcBorders>
              <w:top w:val="nil"/>
              <w:left w:val="nil"/>
              <w:bottom w:val="single" w:sz="8" w:space="0" w:color="auto"/>
              <w:right w:val="single" w:sz="8" w:space="0" w:color="auto"/>
            </w:tcBorders>
            <w:vAlign w:val="center"/>
            <w:hideMark/>
          </w:tcPr>
          <w:p w14:paraId="5FFC5A8B" w14:textId="77777777" w:rsidR="00081708" w:rsidRPr="008D2838" w:rsidRDefault="00081708" w:rsidP="00E32F8D">
            <w:pPr>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123.650</w:t>
            </w:r>
          </w:p>
        </w:tc>
        <w:tc>
          <w:tcPr>
            <w:tcW w:w="0" w:type="auto"/>
            <w:vAlign w:val="center"/>
            <w:hideMark/>
          </w:tcPr>
          <w:p w14:paraId="6F2A650E" w14:textId="77777777" w:rsidR="00081708" w:rsidRPr="008D2838" w:rsidRDefault="00081708" w:rsidP="00081708">
            <w:pPr>
              <w:rPr>
                <w:rFonts w:ascii="Arial" w:eastAsia="Calibri" w:hAnsi="Arial" w:cs="Arial"/>
                <w:sz w:val="20"/>
                <w:szCs w:val="20"/>
                <w:lang w:val="es-CO" w:eastAsia="es-CO"/>
              </w:rPr>
            </w:pPr>
          </w:p>
        </w:tc>
      </w:tr>
      <w:tr w:rsidR="00081708" w:rsidRPr="008D2838" w14:paraId="7AD137ED" w14:textId="77777777" w:rsidTr="00E32F8D">
        <w:trPr>
          <w:trHeight w:val="20"/>
        </w:trPr>
        <w:tc>
          <w:tcPr>
            <w:tcW w:w="4385" w:type="dxa"/>
            <w:tcBorders>
              <w:top w:val="nil"/>
              <w:left w:val="single" w:sz="8" w:space="0" w:color="auto"/>
              <w:bottom w:val="single" w:sz="8" w:space="0" w:color="auto"/>
              <w:right w:val="single" w:sz="8" w:space="0" w:color="auto"/>
            </w:tcBorders>
            <w:vAlign w:val="center"/>
            <w:hideMark/>
          </w:tcPr>
          <w:p w14:paraId="18B7BD96" w14:textId="77777777" w:rsidR="00081708" w:rsidRPr="008D2838" w:rsidRDefault="00081708" w:rsidP="00081708">
            <w:pPr>
              <w:ind w:firstLineChars="300" w:firstLine="542"/>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Prestación de Servicios</w:t>
            </w:r>
          </w:p>
        </w:tc>
        <w:tc>
          <w:tcPr>
            <w:tcW w:w="1134" w:type="dxa"/>
            <w:tcBorders>
              <w:top w:val="nil"/>
              <w:left w:val="nil"/>
              <w:bottom w:val="single" w:sz="8" w:space="0" w:color="auto"/>
              <w:right w:val="single" w:sz="8" w:space="0" w:color="auto"/>
            </w:tcBorders>
            <w:vAlign w:val="center"/>
            <w:hideMark/>
          </w:tcPr>
          <w:p w14:paraId="5BF0E9EC" w14:textId="77777777" w:rsidR="00081708" w:rsidRPr="008D2838" w:rsidRDefault="00081708" w:rsidP="00E32F8D">
            <w:pPr>
              <w:ind w:firstLineChars="40" w:firstLine="72"/>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103.858</w:t>
            </w:r>
          </w:p>
        </w:tc>
        <w:tc>
          <w:tcPr>
            <w:tcW w:w="1134" w:type="dxa"/>
            <w:tcBorders>
              <w:top w:val="nil"/>
              <w:left w:val="nil"/>
              <w:bottom w:val="single" w:sz="8" w:space="0" w:color="auto"/>
              <w:right w:val="single" w:sz="8" w:space="0" w:color="auto"/>
            </w:tcBorders>
            <w:vAlign w:val="center"/>
            <w:hideMark/>
          </w:tcPr>
          <w:p w14:paraId="444AF90C" w14:textId="77777777" w:rsidR="00081708" w:rsidRPr="008D2838" w:rsidRDefault="00081708" w:rsidP="00E32F8D">
            <w:pPr>
              <w:ind w:firstLineChars="37" w:firstLine="67"/>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108.323</w:t>
            </w:r>
          </w:p>
        </w:tc>
        <w:tc>
          <w:tcPr>
            <w:tcW w:w="1134" w:type="dxa"/>
            <w:tcBorders>
              <w:top w:val="nil"/>
              <w:left w:val="nil"/>
              <w:bottom w:val="single" w:sz="8" w:space="0" w:color="auto"/>
              <w:right w:val="single" w:sz="8" w:space="0" w:color="auto"/>
            </w:tcBorders>
            <w:vAlign w:val="center"/>
            <w:hideMark/>
          </w:tcPr>
          <w:p w14:paraId="0B4113EF" w14:textId="77777777" w:rsidR="00081708" w:rsidRPr="008D2838" w:rsidRDefault="00081708" w:rsidP="00E32F8D">
            <w:pPr>
              <w:ind w:firstLineChars="41" w:firstLine="74"/>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114.707</w:t>
            </w:r>
          </w:p>
        </w:tc>
        <w:tc>
          <w:tcPr>
            <w:tcW w:w="1134" w:type="dxa"/>
            <w:tcBorders>
              <w:top w:val="nil"/>
              <w:left w:val="nil"/>
              <w:bottom w:val="single" w:sz="8" w:space="0" w:color="auto"/>
              <w:right w:val="single" w:sz="8" w:space="0" w:color="auto"/>
            </w:tcBorders>
            <w:vAlign w:val="center"/>
            <w:hideMark/>
          </w:tcPr>
          <w:p w14:paraId="5AA671BE" w14:textId="77777777" w:rsidR="00081708" w:rsidRPr="008D2838" w:rsidRDefault="00081708" w:rsidP="00E32F8D">
            <w:pPr>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117.331</w:t>
            </w:r>
          </w:p>
        </w:tc>
        <w:tc>
          <w:tcPr>
            <w:tcW w:w="0" w:type="auto"/>
            <w:vAlign w:val="center"/>
            <w:hideMark/>
          </w:tcPr>
          <w:p w14:paraId="3E666F86" w14:textId="77777777" w:rsidR="00081708" w:rsidRPr="008D2838" w:rsidRDefault="00081708" w:rsidP="00081708">
            <w:pPr>
              <w:rPr>
                <w:rFonts w:ascii="Arial" w:eastAsia="Calibri" w:hAnsi="Arial" w:cs="Arial"/>
                <w:sz w:val="20"/>
                <w:szCs w:val="20"/>
                <w:lang w:val="es-CO" w:eastAsia="es-CO"/>
              </w:rPr>
            </w:pPr>
          </w:p>
        </w:tc>
      </w:tr>
      <w:tr w:rsidR="00081708" w:rsidRPr="008D2838" w14:paraId="18C8A7F9" w14:textId="77777777" w:rsidTr="00E32F8D">
        <w:trPr>
          <w:trHeight w:val="20"/>
        </w:trPr>
        <w:tc>
          <w:tcPr>
            <w:tcW w:w="4385" w:type="dxa"/>
            <w:tcBorders>
              <w:top w:val="nil"/>
              <w:left w:val="single" w:sz="8" w:space="0" w:color="auto"/>
              <w:bottom w:val="single" w:sz="8" w:space="0" w:color="auto"/>
              <w:right w:val="single" w:sz="8" w:space="0" w:color="auto"/>
            </w:tcBorders>
            <w:vAlign w:val="center"/>
            <w:hideMark/>
          </w:tcPr>
          <w:p w14:paraId="475B6D8B" w14:textId="77777777" w:rsidR="00081708" w:rsidRPr="008D2838" w:rsidRDefault="00081708" w:rsidP="00E32F8D">
            <w:pPr>
              <w:ind w:left="709" w:firstLineChars="116" w:firstLine="209"/>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Con Situación de Fondos</w:t>
            </w:r>
          </w:p>
        </w:tc>
        <w:tc>
          <w:tcPr>
            <w:tcW w:w="1134" w:type="dxa"/>
            <w:tcBorders>
              <w:top w:val="nil"/>
              <w:left w:val="nil"/>
              <w:bottom w:val="single" w:sz="8" w:space="0" w:color="auto"/>
              <w:right w:val="single" w:sz="8" w:space="0" w:color="auto"/>
            </w:tcBorders>
            <w:vAlign w:val="center"/>
            <w:hideMark/>
          </w:tcPr>
          <w:p w14:paraId="19863D72" w14:textId="77777777" w:rsidR="00081708" w:rsidRPr="008D2838" w:rsidRDefault="00081708" w:rsidP="00E32F8D">
            <w:pPr>
              <w:ind w:firstLineChars="40" w:firstLine="72"/>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88.069</w:t>
            </w:r>
          </w:p>
        </w:tc>
        <w:tc>
          <w:tcPr>
            <w:tcW w:w="1134" w:type="dxa"/>
            <w:tcBorders>
              <w:top w:val="nil"/>
              <w:left w:val="nil"/>
              <w:bottom w:val="single" w:sz="8" w:space="0" w:color="auto"/>
              <w:right w:val="single" w:sz="8" w:space="0" w:color="auto"/>
            </w:tcBorders>
            <w:vAlign w:val="center"/>
            <w:hideMark/>
          </w:tcPr>
          <w:p w14:paraId="4DF010FC" w14:textId="77777777" w:rsidR="00081708" w:rsidRPr="008D2838" w:rsidRDefault="00081708" w:rsidP="00E32F8D">
            <w:pPr>
              <w:ind w:firstLineChars="37" w:firstLine="67"/>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91.364</w:t>
            </w:r>
          </w:p>
        </w:tc>
        <w:tc>
          <w:tcPr>
            <w:tcW w:w="1134" w:type="dxa"/>
            <w:tcBorders>
              <w:top w:val="nil"/>
              <w:left w:val="nil"/>
              <w:bottom w:val="single" w:sz="8" w:space="0" w:color="auto"/>
              <w:right w:val="single" w:sz="8" w:space="0" w:color="auto"/>
            </w:tcBorders>
            <w:vAlign w:val="center"/>
            <w:hideMark/>
          </w:tcPr>
          <w:p w14:paraId="0DC873D5" w14:textId="77777777" w:rsidR="00081708" w:rsidRPr="008D2838" w:rsidRDefault="00081708" w:rsidP="00E32F8D">
            <w:pPr>
              <w:ind w:firstLineChars="41" w:firstLine="74"/>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95.490</w:t>
            </w:r>
          </w:p>
        </w:tc>
        <w:tc>
          <w:tcPr>
            <w:tcW w:w="1134" w:type="dxa"/>
            <w:tcBorders>
              <w:top w:val="nil"/>
              <w:left w:val="nil"/>
              <w:bottom w:val="single" w:sz="8" w:space="0" w:color="auto"/>
              <w:right w:val="single" w:sz="8" w:space="0" w:color="auto"/>
            </w:tcBorders>
            <w:vAlign w:val="center"/>
            <w:hideMark/>
          </w:tcPr>
          <w:p w14:paraId="5E107583" w14:textId="77777777" w:rsidR="00081708" w:rsidRPr="008D2838" w:rsidRDefault="00081708" w:rsidP="00E32F8D">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104.569</w:t>
            </w:r>
          </w:p>
        </w:tc>
        <w:tc>
          <w:tcPr>
            <w:tcW w:w="0" w:type="auto"/>
            <w:vAlign w:val="center"/>
            <w:hideMark/>
          </w:tcPr>
          <w:p w14:paraId="38791934" w14:textId="77777777" w:rsidR="00081708" w:rsidRPr="008D2838" w:rsidRDefault="00081708" w:rsidP="00081708">
            <w:pPr>
              <w:rPr>
                <w:rFonts w:ascii="Arial" w:eastAsia="Calibri" w:hAnsi="Arial" w:cs="Arial"/>
                <w:sz w:val="20"/>
                <w:szCs w:val="20"/>
                <w:lang w:val="es-CO" w:eastAsia="es-CO"/>
              </w:rPr>
            </w:pPr>
          </w:p>
        </w:tc>
      </w:tr>
      <w:tr w:rsidR="00081708" w:rsidRPr="008D2838" w14:paraId="0341DBC1" w14:textId="77777777" w:rsidTr="00E32F8D">
        <w:trPr>
          <w:trHeight w:val="20"/>
        </w:trPr>
        <w:tc>
          <w:tcPr>
            <w:tcW w:w="4385" w:type="dxa"/>
            <w:tcBorders>
              <w:top w:val="nil"/>
              <w:left w:val="single" w:sz="8" w:space="0" w:color="auto"/>
              <w:bottom w:val="single" w:sz="8" w:space="0" w:color="auto"/>
              <w:right w:val="single" w:sz="8" w:space="0" w:color="auto"/>
            </w:tcBorders>
            <w:vAlign w:val="center"/>
            <w:hideMark/>
          </w:tcPr>
          <w:p w14:paraId="64E0CB41" w14:textId="77777777" w:rsidR="00081708" w:rsidRPr="008D2838" w:rsidRDefault="00081708" w:rsidP="00E32F8D">
            <w:pPr>
              <w:ind w:left="709" w:firstLineChars="116" w:firstLine="209"/>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Sin Situación de Fondos</w:t>
            </w:r>
          </w:p>
        </w:tc>
        <w:tc>
          <w:tcPr>
            <w:tcW w:w="1134" w:type="dxa"/>
            <w:tcBorders>
              <w:top w:val="nil"/>
              <w:left w:val="nil"/>
              <w:bottom w:val="single" w:sz="8" w:space="0" w:color="auto"/>
              <w:right w:val="single" w:sz="8" w:space="0" w:color="auto"/>
            </w:tcBorders>
            <w:vAlign w:val="center"/>
            <w:hideMark/>
          </w:tcPr>
          <w:p w14:paraId="1EE2679D" w14:textId="77777777" w:rsidR="00081708" w:rsidRPr="008D2838" w:rsidRDefault="00081708" w:rsidP="00E32F8D">
            <w:pPr>
              <w:ind w:firstLineChars="40" w:firstLine="72"/>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15.789</w:t>
            </w:r>
          </w:p>
        </w:tc>
        <w:tc>
          <w:tcPr>
            <w:tcW w:w="1134" w:type="dxa"/>
            <w:tcBorders>
              <w:top w:val="nil"/>
              <w:left w:val="nil"/>
              <w:bottom w:val="single" w:sz="8" w:space="0" w:color="auto"/>
              <w:right w:val="single" w:sz="8" w:space="0" w:color="auto"/>
            </w:tcBorders>
            <w:vAlign w:val="center"/>
            <w:hideMark/>
          </w:tcPr>
          <w:p w14:paraId="6EADB432" w14:textId="77777777" w:rsidR="00081708" w:rsidRPr="008D2838" w:rsidRDefault="00081708" w:rsidP="00E32F8D">
            <w:pPr>
              <w:ind w:firstLineChars="37" w:firstLine="67"/>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16.958</w:t>
            </w:r>
          </w:p>
        </w:tc>
        <w:tc>
          <w:tcPr>
            <w:tcW w:w="1134" w:type="dxa"/>
            <w:tcBorders>
              <w:top w:val="nil"/>
              <w:left w:val="nil"/>
              <w:bottom w:val="single" w:sz="8" w:space="0" w:color="auto"/>
              <w:right w:val="single" w:sz="8" w:space="0" w:color="auto"/>
            </w:tcBorders>
            <w:vAlign w:val="center"/>
            <w:hideMark/>
          </w:tcPr>
          <w:p w14:paraId="18E6CAEB" w14:textId="77777777" w:rsidR="00081708" w:rsidRPr="008D2838" w:rsidRDefault="00081708" w:rsidP="00E32F8D">
            <w:pPr>
              <w:ind w:firstLineChars="41" w:firstLine="74"/>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19.217</w:t>
            </w:r>
          </w:p>
        </w:tc>
        <w:tc>
          <w:tcPr>
            <w:tcW w:w="1134" w:type="dxa"/>
            <w:tcBorders>
              <w:top w:val="nil"/>
              <w:left w:val="nil"/>
              <w:bottom w:val="single" w:sz="8" w:space="0" w:color="auto"/>
              <w:right w:val="single" w:sz="8" w:space="0" w:color="auto"/>
            </w:tcBorders>
            <w:vAlign w:val="center"/>
            <w:hideMark/>
          </w:tcPr>
          <w:p w14:paraId="69034A72" w14:textId="77777777" w:rsidR="00081708" w:rsidRPr="008D2838" w:rsidRDefault="00081708" w:rsidP="00E32F8D">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12.762</w:t>
            </w:r>
          </w:p>
        </w:tc>
        <w:tc>
          <w:tcPr>
            <w:tcW w:w="0" w:type="auto"/>
            <w:vAlign w:val="center"/>
            <w:hideMark/>
          </w:tcPr>
          <w:p w14:paraId="3E4BF6A5" w14:textId="77777777" w:rsidR="00081708" w:rsidRPr="008D2838" w:rsidRDefault="00081708" w:rsidP="00081708">
            <w:pPr>
              <w:rPr>
                <w:rFonts w:ascii="Arial" w:eastAsia="Calibri" w:hAnsi="Arial" w:cs="Arial"/>
                <w:sz w:val="20"/>
                <w:szCs w:val="20"/>
                <w:lang w:val="es-CO" w:eastAsia="es-CO"/>
              </w:rPr>
            </w:pPr>
          </w:p>
        </w:tc>
      </w:tr>
      <w:tr w:rsidR="00081708" w:rsidRPr="008D2838" w14:paraId="22D769B4" w14:textId="77777777" w:rsidTr="00E32F8D">
        <w:trPr>
          <w:trHeight w:val="20"/>
        </w:trPr>
        <w:tc>
          <w:tcPr>
            <w:tcW w:w="4385" w:type="dxa"/>
            <w:tcBorders>
              <w:top w:val="nil"/>
              <w:left w:val="single" w:sz="8" w:space="0" w:color="auto"/>
              <w:bottom w:val="single" w:sz="8" w:space="0" w:color="auto"/>
              <w:right w:val="single" w:sz="8" w:space="0" w:color="auto"/>
            </w:tcBorders>
            <w:vAlign w:val="center"/>
            <w:hideMark/>
          </w:tcPr>
          <w:p w14:paraId="10983D5A" w14:textId="77777777" w:rsidR="00081708" w:rsidRPr="008D2838" w:rsidRDefault="00081708" w:rsidP="00081708">
            <w:pPr>
              <w:ind w:firstLineChars="300" w:firstLine="542"/>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Calidad</w:t>
            </w:r>
          </w:p>
        </w:tc>
        <w:tc>
          <w:tcPr>
            <w:tcW w:w="1134" w:type="dxa"/>
            <w:tcBorders>
              <w:top w:val="nil"/>
              <w:left w:val="nil"/>
              <w:bottom w:val="single" w:sz="8" w:space="0" w:color="auto"/>
              <w:right w:val="single" w:sz="8" w:space="0" w:color="auto"/>
            </w:tcBorders>
            <w:vAlign w:val="center"/>
            <w:hideMark/>
          </w:tcPr>
          <w:p w14:paraId="3B766F0E" w14:textId="77777777" w:rsidR="00081708" w:rsidRPr="008D2838" w:rsidRDefault="00081708" w:rsidP="00E32F8D">
            <w:pPr>
              <w:ind w:firstLineChars="40" w:firstLine="72"/>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6.776</w:t>
            </w:r>
          </w:p>
        </w:tc>
        <w:tc>
          <w:tcPr>
            <w:tcW w:w="1134" w:type="dxa"/>
            <w:tcBorders>
              <w:top w:val="nil"/>
              <w:left w:val="nil"/>
              <w:bottom w:val="single" w:sz="8" w:space="0" w:color="auto"/>
              <w:right w:val="single" w:sz="8" w:space="0" w:color="auto"/>
            </w:tcBorders>
            <w:vAlign w:val="center"/>
            <w:hideMark/>
          </w:tcPr>
          <w:p w14:paraId="498F2FE5" w14:textId="77777777" w:rsidR="00081708" w:rsidRPr="008D2838" w:rsidRDefault="00081708" w:rsidP="00E32F8D">
            <w:pPr>
              <w:ind w:firstLineChars="37" w:firstLine="67"/>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6.618</w:t>
            </w:r>
          </w:p>
        </w:tc>
        <w:tc>
          <w:tcPr>
            <w:tcW w:w="1134" w:type="dxa"/>
            <w:tcBorders>
              <w:top w:val="nil"/>
              <w:left w:val="nil"/>
              <w:bottom w:val="single" w:sz="8" w:space="0" w:color="auto"/>
              <w:right w:val="single" w:sz="8" w:space="0" w:color="auto"/>
            </w:tcBorders>
            <w:vAlign w:val="center"/>
            <w:hideMark/>
          </w:tcPr>
          <w:p w14:paraId="152D4CCB" w14:textId="77777777" w:rsidR="00081708" w:rsidRPr="008D2838" w:rsidRDefault="00081708" w:rsidP="00E32F8D">
            <w:pPr>
              <w:ind w:firstLineChars="41" w:firstLine="74"/>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6.388</w:t>
            </w:r>
          </w:p>
        </w:tc>
        <w:tc>
          <w:tcPr>
            <w:tcW w:w="1134" w:type="dxa"/>
            <w:tcBorders>
              <w:top w:val="nil"/>
              <w:left w:val="nil"/>
              <w:bottom w:val="single" w:sz="8" w:space="0" w:color="auto"/>
              <w:right w:val="single" w:sz="8" w:space="0" w:color="auto"/>
            </w:tcBorders>
            <w:vAlign w:val="center"/>
            <w:hideMark/>
          </w:tcPr>
          <w:p w14:paraId="05E7D11B" w14:textId="77777777" w:rsidR="00081708" w:rsidRPr="008D2838" w:rsidRDefault="00081708" w:rsidP="00E32F8D">
            <w:pPr>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6.319</w:t>
            </w:r>
          </w:p>
        </w:tc>
        <w:tc>
          <w:tcPr>
            <w:tcW w:w="0" w:type="auto"/>
            <w:vAlign w:val="center"/>
            <w:hideMark/>
          </w:tcPr>
          <w:p w14:paraId="294DA59E" w14:textId="77777777" w:rsidR="00081708" w:rsidRPr="008D2838" w:rsidRDefault="00081708" w:rsidP="00081708">
            <w:pPr>
              <w:rPr>
                <w:rFonts w:ascii="Arial" w:eastAsia="Calibri" w:hAnsi="Arial" w:cs="Arial"/>
                <w:sz w:val="20"/>
                <w:szCs w:val="20"/>
                <w:lang w:val="es-CO" w:eastAsia="es-CO"/>
              </w:rPr>
            </w:pPr>
          </w:p>
        </w:tc>
      </w:tr>
      <w:tr w:rsidR="00081708" w:rsidRPr="008D2838" w14:paraId="3556D254" w14:textId="77777777" w:rsidTr="00E32F8D">
        <w:trPr>
          <w:trHeight w:val="20"/>
        </w:trPr>
        <w:tc>
          <w:tcPr>
            <w:tcW w:w="4385" w:type="dxa"/>
            <w:tcBorders>
              <w:top w:val="nil"/>
              <w:left w:val="single" w:sz="8" w:space="0" w:color="auto"/>
              <w:bottom w:val="single" w:sz="8" w:space="0" w:color="auto"/>
              <w:right w:val="single" w:sz="8" w:space="0" w:color="auto"/>
            </w:tcBorders>
            <w:vAlign w:val="center"/>
            <w:hideMark/>
          </w:tcPr>
          <w:p w14:paraId="3CFEE6EC" w14:textId="77777777" w:rsidR="00081708" w:rsidRPr="008D2838" w:rsidRDefault="00081708" w:rsidP="00E32F8D">
            <w:pPr>
              <w:ind w:left="709" w:firstLineChars="116" w:firstLine="209"/>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Calidad Ordinaria</w:t>
            </w:r>
          </w:p>
        </w:tc>
        <w:tc>
          <w:tcPr>
            <w:tcW w:w="1134" w:type="dxa"/>
            <w:tcBorders>
              <w:top w:val="nil"/>
              <w:left w:val="nil"/>
              <w:bottom w:val="single" w:sz="8" w:space="0" w:color="auto"/>
              <w:right w:val="single" w:sz="8" w:space="0" w:color="auto"/>
            </w:tcBorders>
            <w:vAlign w:val="center"/>
            <w:hideMark/>
          </w:tcPr>
          <w:p w14:paraId="19EDBEFB" w14:textId="77777777" w:rsidR="00081708" w:rsidRPr="008D2838" w:rsidRDefault="00081708" w:rsidP="00E32F8D">
            <w:pPr>
              <w:ind w:firstLineChars="40" w:firstLine="72"/>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3.906</w:t>
            </w:r>
          </w:p>
        </w:tc>
        <w:tc>
          <w:tcPr>
            <w:tcW w:w="1134" w:type="dxa"/>
            <w:tcBorders>
              <w:top w:val="nil"/>
              <w:left w:val="nil"/>
              <w:bottom w:val="single" w:sz="8" w:space="0" w:color="auto"/>
              <w:right w:val="single" w:sz="8" w:space="0" w:color="auto"/>
            </w:tcBorders>
            <w:vAlign w:val="center"/>
            <w:hideMark/>
          </w:tcPr>
          <w:p w14:paraId="50C47574" w14:textId="77777777" w:rsidR="00081708" w:rsidRPr="008D2838" w:rsidRDefault="00081708" w:rsidP="00E32F8D">
            <w:pPr>
              <w:ind w:firstLineChars="37" w:firstLine="67"/>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2.645</w:t>
            </w:r>
          </w:p>
        </w:tc>
        <w:tc>
          <w:tcPr>
            <w:tcW w:w="1134" w:type="dxa"/>
            <w:tcBorders>
              <w:top w:val="nil"/>
              <w:left w:val="nil"/>
              <w:bottom w:val="single" w:sz="8" w:space="0" w:color="auto"/>
              <w:right w:val="single" w:sz="8" w:space="0" w:color="auto"/>
            </w:tcBorders>
            <w:noWrap/>
            <w:vAlign w:val="center"/>
            <w:hideMark/>
          </w:tcPr>
          <w:p w14:paraId="1BDACDEA" w14:textId="77777777" w:rsidR="00081708" w:rsidRPr="008D2838" w:rsidRDefault="00081708" w:rsidP="00E32F8D">
            <w:pPr>
              <w:ind w:firstLineChars="41" w:firstLine="74"/>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3.509</w:t>
            </w:r>
          </w:p>
        </w:tc>
        <w:tc>
          <w:tcPr>
            <w:tcW w:w="1134" w:type="dxa"/>
            <w:tcBorders>
              <w:top w:val="nil"/>
              <w:left w:val="nil"/>
              <w:bottom w:val="single" w:sz="8" w:space="0" w:color="auto"/>
              <w:right w:val="single" w:sz="8" w:space="0" w:color="auto"/>
            </w:tcBorders>
            <w:vAlign w:val="center"/>
            <w:hideMark/>
          </w:tcPr>
          <w:p w14:paraId="341A5DA1" w14:textId="77777777" w:rsidR="00081708" w:rsidRPr="008D2838" w:rsidRDefault="00081708" w:rsidP="00E32F8D">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3.446</w:t>
            </w:r>
          </w:p>
        </w:tc>
        <w:tc>
          <w:tcPr>
            <w:tcW w:w="0" w:type="auto"/>
            <w:vAlign w:val="center"/>
            <w:hideMark/>
          </w:tcPr>
          <w:p w14:paraId="7286B83C" w14:textId="77777777" w:rsidR="00081708" w:rsidRPr="008D2838" w:rsidRDefault="00081708" w:rsidP="00081708">
            <w:pPr>
              <w:rPr>
                <w:rFonts w:ascii="Arial" w:eastAsia="Calibri" w:hAnsi="Arial" w:cs="Arial"/>
                <w:sz w:val="20"/>
                <w:szCs w:val="20"/>
                <w:lang w:val="es-CO" w:eastAsia="es-CO"/>
              </w:rPr>
            </w:pPr>
          </w:p>
        </w:tc>
      </w:tr>
      <w:tr w:rsidR="00081708" w:rsidRPr="008D2838" w14:paraId="1E43227C" w14:textId="77777777" w:rsidTr="00E32F8D">
        <w:trPr>
          <w:trHeight w:val="20"/>
        </w:trPr>
        <w:tc>
          <w:tcPr>
            <w:tcW w:w="4385" w:type="dxa"/>
            <w:tcBorders>
              <w:top w:val="nil"/>
              <w:left w:val="single" w:sz="8" w:space="0" w:color="auto"/>
              <w:bottom w:val="single" w:sz="8" w:space="0" w:color="auto"/>
              <w:right w:val="single" w:sz="8" w:space="0" w:color="auto"/>
            </w:tcBorders>
            <w:vAlign w:val="center"/>
            <w:hideMark/>
          </w:tcPr>
          <w:p w14:paraId="5ECFB628" w14:textId="77777777" w:rsidR="00081708" w:rsidRPr="008D2838" w:rsidRDefault="00081708" w:rsidP="00E32F8D">
            <w:pPr>
              <w:ind w:left="709" w:firstLineChars="116" w:firstLine="209"/>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Gratuidad</w:t>
            </w:r>
          </w:p>
        </w:tc>
        <w:tc>
          <w:tcPr>
            <w:tcW w:w="1134" w:type="dxa"/>
            <w:tcBorders>
              <w:top w:val="nil"/>
              <w:left w:val="nil"/>
              <w:bottom w:val="single" w:sz="8" w:space="0" w:color="auto"/>
              <w:right w:val="single" w:sz="8" w:space="0" w:color="auto"/>
            </w:tcBorders>
            <w:vAlign w:val="center"/>
            <w:hideMark/>
          </w:tcPr>
          <w:p w14:paraId="618C0DF9" w14:textId="77777777" w:rsidR="00081708" w:rsidRPr="008D2838" w:rsidRDefault="00081708" w:rsidP="00E32F8D">
            <w:pPr>
              <w:ind w:firstLineChars="40" w:firstLine="72"/>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2.870</w:t>
            </w:r>
          </w:p>
        </w:tc>
        <w:tc>
          <w:tcPr>
            <w:tcW w:w="1134" w:type="dxa"/>
            <w:tcBorders>
              <w:top w:val="nil"/>
              <w:left w:val="nil"/>
              <w:bottom w:val="single" w:sz="8" w:space="0" w:color="auto"/>
              <w:right w:val="single" w:sz="8" w:space="0" w:color="auto"/>
            </w:tcBorders>
            <w:vAlign w:val="center"/>
            <w:hideMark/>
          </w:tcPr>
          <w:p w14:paraId="5500E372" w14:textId="77777777" w:rsidR="00081708" w:rsidRPr="008D2838" w:rsidRDefault="00081708" w:rsidP="00E32F8D">
            <w:pPr>
              <w:ind w:firstLineChars="37" w:firstLine="67"/>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3.973</w:t>
            </w:r>
          </w:p>
        </w:tc>
        <w:tc>
          <w:tcPr>
            <w:tcW w:w="1134" w:type="dxa"/>
            <w:tcBorders>
              <w:top w:val="nil"/>
              <w:left w:val="nil"/>
              <w:bottom w:val="single" w:sz="8" w:space="0" w:color="auto"/>
              <w:right w:val="single" w:sz="8" w:space="0" w:color="auto"/>
            </w:tcBorders>
            <w:noWrap/>
            <w:vAlign w:val="center"/>
            <w:hideMark/>
          </w:tcPr>
          <w:p w14:paraId="1E226C06" w14:textId="77777777" w:rsidR="00081708" w:rsidRPr="008D2838" w:rsidRDefault="00081708" w:rsidP="00E32F8D">
            <w:pPr>
              <w:ind w:firstLineChars="41" w:firstLine="74"/>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2.879</w:t>
            </w:r>
          </w:p>
        </w:tc>
        <w:tc>
          <w:tcPr>
            <w:tcW w:w="1134" w:type="dxa"/>
            <w:tcBorders>
              <w:top w:val="nil"/>
              <w:left w:val="nil"/>
              <w:bottom w:val="single" w:sz="8" w:space="0" w:color="auto"/>
              <w:right w:val="single" w:sz="8" w:space="0" w:color="auto"/>
            </w:tcBorders>
            <w:vAlign w:val="center"/>
            <w:hideMark/>
          </w:tcPr>
          <w:p w14:paraId="2996F354" w14:textId="77777777" w:rsidR="00081708" w:rsidRPr="008D2838" w:rsidRDefault="00081708" w:rsidP="00E32F8D">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2.872</w:t>
            </w:r>
          </w:p>
        </w:tc>
        <w:tc>
          <w:tcPr>
            <w:tcW w:w="0" w:type="auto"/>
            <w:vAlign w:val="center"/>
            <w:hideMark/>
          </w:tcPr>
          <w:p w14:paraId="1F01AC7E" w14:textId="77777777" w:rsidR="00081708" w:rsidRPr="008D2838" w:rsidRDefault="00081708" w:rsidP="00081708">
            <w:pPr>
              <w:rPr>
                <w:rFonts w:ascii="Arial" w:eastAsia="Calibri" w:hAnsi="Arial" w:cs="Arial"/>
                <w:sz w:val="20"/>
                <w:szCs w:val="20"/>
                <w:lang w:val="es-CO" w:eastAsia="es-CO"/>
              </w:rPr>
            </w:pPr>
          </w:p>
        </w:tc>
      </w:tr>
      <w:tr w:rsidR="00081708" w:rsidRPr="008D2838" w14:paraId="5991F01E" w14:textId="77777777" w:rsidTr="00E32F8D">
        <w:trPr>
          <w:trHeight w:val="20"/>
        </w:trPr>
        <w:tc>
          <w:tcPr>
            <w:tcW w:w="4385" w:type="dxa"/>
            <w:tcBorders>
              <w:top w:val="nil"/>
              <w:left w:val="single" w:sz="8" w:space="0" w:color="auto"/>
              <w:bottom w:val="single" w:sz="8" w:space="0" w:color="auto"/>
              <w:right w:val="single" w:sz="8" w:space="0" w:color="auto"/>
            </w:tcBorders>
            <w:shd w:val="clear" w:color="auto" w:fill="D9D9D9"/>
            <w:vAlign w:val="center"/>
            <w:hideMark/>
          </w:tcPr>
          <w:p w14:paraId="108EB82E" w14:textId="77777777" w:rsidR="00081708" w:rsidRPr="008D2838" w:rsidRDefault="00081708" w:rsidP="00E32F8D">
            <w:pP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INGRESOS DE CAPITAL</w:t>
            </w:r>
          </w:p>
        </w:tc>
        <w:tc>
          <w:tcPr>
            <w:tcW w:w="1134" w:type="dxa"/>
            <w:tcBorders>
              <w:top w:val="nil"/>
              <w:left w:val="nil"/>
              <w:bottom w:val="single" w:sz="8" w:space="0" w:color="auto"/>
              <w:right w:val="single" w:sz="8" w:space="0" w:color="auto"/>
            </w:tcBorders>
            <w:shd w:val="clear" w:color="auto" w:fill="D9D9D9"/>
            <w:vAlign w:val="center"/>
            <w:hideMark/>
          </w:tcPr>
          <w:p w14:paraId="4E3C7AFA" w14:textId="77777777" w:rsidR="00081708" w:rsidRPr="008D2838" w:rsidRDefault="00081708" w:rsidP="00E32F8D">
            <w:pPr>
              <w:ind w:firstLineChars="40" w:firstLine="72"/>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1.089</w:t>
            </w:r>
          </w:p>
        </w:tc>
        <w:tc>
          <w:tcPr>
            <w:tcW w:w="1134" w:type="dxa"/>
            <w:tcBorders>
              <w:top w:val="nil"/>
              <w:left w:val="nil"/>
              <w:bottom w:val="single" w:sz="8" w:space="0" w:color="auto"/>
              <w:right w:val="single" w:sz="8" w:space="0" w:color="auto"/>
            </w:tcBorders>
            <w:shd w:val="clear" w:color="auto" w:fill="D9D9D9"/>
            <w:vAlign w:val="center"/>
            <w:hideMark/>
          </w:tcPr>
          <w:p w14:paraId="0146A07E" w14:textId="77777777" w:rsidR="00081708" w:rsidRPr="008D2838" w:rsidRDefault="00081708" w:rsidP="00E32F8D">
            <w:pPr>
              <w:ind w:firstLineChars="37" w:firstLine="67"/>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1.660</w:t>
            </w:r>
          </w:p>
        </w:tc>
        <w:tc>
          <w:tcPr>
            <w:tcW w:w="1134" w:type="dxa"/>
            <w:tcBorders>
              <w:top w:val="nil"/>
              <w:left w:val="nil"/>
              <w:bottom w:val="single" w:sz="8" w:space="0" w:color="auto"/>
              <w:right w:val="single" w:sz="8" w:space="0" w:color="auto"/>
            </w:tcBorders>
            <w:shd w:val="clear" w:color="auto" w:fill="D9D9D9"/>
            <w:vAlign w:val="center"/>
            <w:hideMark/>
          </w:tcPr>
          <w:p w14:paraId="0D87A2D2" w14:textId="77777777" w:rsidR="00081708" w:rsidRPr="008D2838" w:rsidRDefault="00081708" w:rsidP="00E32F8D">
            <w:pPr>
              <w:ind w:firstLineChars="41" w:firstLine="74"/>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3.187</w:t>
            </w:r>
          </w:p>
        </w:tc>
        <w:tc>
          <w:tcPr>
            <w:tcW w:w="1134" w:type="dxa"/>
            <w:tcBorders>
              <w:top w:val="nil"/>
              <w:left w:val="nil"/>
              <w:bottom w:val="single" w:sz="8" w:space="0" w:color="auto"/>
              <w:right w:val="single" w:sz="8" w:space="0" w:color="auto"/>
            </w:tcBorders>
            <w:shd w:val="clear" w:color="auto" w:fill="D9D9D9"/>
            <w:vAlign w:val="center"/>
            <w:hideMark/>
          </w:tcPr>
          <w:p w14:paraId="277E09BD" w14:textId="77777777" w:rsidR="00081708" w:rsidRPr="008D2838" w:rsidRDefault="00081708" w:rsidP="00E32F8D">
            <w:pPr>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2.924</w:t>
            </w:r>
          </w:p>
        </w:tc>
        <w:tc>
          <w:tcPr>
            <w:tcW w:w="0" w:type="auto"/>
            <w:vAlign w:val="center"/>
            <w:hideMark/>
          </w:tcPr>
          <w:p w14:paraId="29486686" w14:textId="77777777" w:rsidR="00081708" w:rsidRPr="008D2838" w:rsidRDefault="00081708" w:rsidP="00081708">
            <w:pPr>
              <w:rPr>
                <w:rFonts w:ascii="Arial" w:eastAsia="Calibri" w:hAnsi="Arial" w:cs="Arial"/>
                <w:sz w:val="20"/>
                <w:szCs w:val="20"/>
                <w:lang w:val="es-CO" w:eastAsia="es-CO"/>
              </w:rPr>
            </w:pPr>
          </w:p>
        </w:tc>
      </w:tr>
      <w:tr w:rsidR="00081708" w:rsidRPr="008D2838" w14:paraId="2CE7C5FF" w14:textId="77777777" w:rsidTr="00E32F8D">
        <w:trPr>
          <w:trHeight w:val="20"/>
        </w:trPr>
        <w:tc>
          <w:tcPr>
            <w:tcW w:w="4385" w:type="dxa"/>
            <w:tcBorders>
              <w:top w:val="nil"/>
              <w:left w:val="single" w:sz="8" w:space="0" w:color="auto"/>
              <w:bottom w:val="single" w:sz="8" w:space="0" w:color="auto"/>
              <w:right w:val="single" w:sz="8" w:space="0" w:color="auto"/>
            </w:tcBorders>
            <w:vAlign w:val="center"/>
            <w:hideMark/>
          </w:tcPr>
          <w:p w14:paraId="4EB59164" w14:textId="77777777" w:rsidR="00081708" w:rsidRPr="008D2838" w:rsidRDefault="00081708" w:rsidP="00081708">
            <w:pPr>
              <w:ind w:firstLineChars="300" w:firstLine="542"/>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Rendimientos financieros</w:t>
            </w:r>
          </w:p>
        </w:tc>
        <w:tc>
          <w:tcPr>
            <w:tcW w:w="1134" w:type="dxa"/>
            <w:tcBorders>
              <w:top w:val="nil"/>
              <w:left w:val="nil"/>
              <w:bottom w:val="single" w:sz="8" w:space="0" w:color="auto"/>
              <w:right w:val="single" w:sz="8" w:space="0" w:color="auto"/>
            </w:tcBorders>
            <w:vAlign w:val="center"/>
            <w:hideMark/>
          </w:tcPr>
          <w:p w14:paraId="26978D6F" w14:textId="77777777" w:rsidR="00081708" w:rsidRPr="008D2838" w:rsidRDefault="00081708" w:rsidP="00E32F8D">
            <w:pPr>
              <w:ind w:firstLineChars="40" w:firstLine="72"/>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54</w:t>
            </w:r>
          </w:p>
        </w:tc>
        <w:tc>
          <w:tcPr>
            <w:tcW w:w="1134" w:type="dxa"/>
            <w:tcBorders>
              <w:top w:val="nil"/>
              <w:left w:val="nil"/>
              <w:bottom w:val="single" w:sz="8" w:space="0" w:color="auto"/>
              <w:right w:val="single" w:sz="8" w:space="0" w:color="auto"/>
            </w:tcBorders>
            <w:vAlign w:val="center"/>
            <w:hideMark/>
          </w:tcPr>
          <w:p w14:paraId="1F19A894" w14:textId="77777777" w:rsidR="00081708" w:rsidRPr="008D2838" w:rsidRDefault="00081708" w:rsidP="00E32F8D">
            <w:pPr>
              <w:ind w:firstLineChars="37" w:firstLine="67"/>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72</w:t>
            </w:r>
          </w:p>
        </w:tc>
        <w:tc>
          <w:tcPr>
            <w:tcW w:w="1134" w:type="dxa"/>
            <w:tcBorders>
              <w:top w:val="nil"/>
              <w:left w:val="nil"/>
              <w:bottom w:val="single" w:sz="8" w:space="0" w:color="auto"/>
              <w:right w:val="single" w:sz="8" w:space="0" w:color="auto"/>
            </w:tcBorders>
            <w:vAlign w:val="center"/>
            <w:hideMark/>
          </w:tcPr>
          <w:p w14:paraId="3664F3A8" w14:textId="77777777" w:rsidR="00081708" w:rsidRPr="008D2838" w:rsidRDefault="00081708" w:rsidP="00E32F8D">
            <w:pPr>
              <w:ind w:firstLineChars="41" w:firstLine="74"/>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24</w:t>
            </w:r>
          </w:p>
        </w:tc>
        <w:tc>
          <w:tcPr>
            <w:tcW w:w="1134" w:type="dxa"/>
            <w:tcBorders>
              <w:top w:val="nil"/>
              <w:left w:val="nil"/>
              <w:bottom w:val="single" w:sz="8" w:space="0" w:color="auto"/>
              <w:right w:val="single" w:sz="8" w:space="0" w:color="auto"/>
            </w:tcBorders>
            <w:vAlign w:val="center"/>
            <w:hideMark/>
          </w:tcPr>
          <w:p w14:paraId="59E44F38" w14:textId="77777777" w:rsidR="00081708" w:rsidRPr="008D2838" w:rsidRDefault="00081708" w:rsidP="00E32F8D">
            <w:pPr>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34</w:t>
            </w:r>
          </w:p>
        </w:tc>
        <w:tc>
          <w:tcPr>
            <w:tcW w:w="0" w:type="auto"/>
            <w:vAlign w:val="center"/>
            <w:hideMark/>
          </w:tcPr>
          <w:p w14:paraId="26BFF35C" w14:textId="77777777" w:rsidR="00081708" w:rsidRPr="008D2838" w:rsidRDefault="00081708" w:rsidP="00081708">
            <w:pPr>
              <w:rPr>
                <w:rFonts w:ascii="Arial" w:eastAsia="Calibri" w:hAnsi="Arial" w:cs="Arial"/>
                <w:sz w:val="20"/>
                <w:szCs w:val="20"/>
                <w:lang w:val="es-CO" w:eastAsia="es-CO"/>
              </w:rPr>
            </w:pPr>
          </w:p>
        </w:tc>
      </w:tr>
      <w:tr w:rsidR="00081708" w:rsidRPr="008D2838" w14:paraId="0D1E2320" w14:textId="77777777" w:rsidTr="00E32F8D">
        <w:trPr>
          <w:trHeight w:val="20"/>
        </w:trPr>
        <w:tc>
          <w:tcPr>
            <w:tcW w:w="4385" w:type="dxa"/>
            <w:tcBorders>
              <w:top w:val="nil"/>
              <w:left w:val="single" w:sz="8" w:space="0" w:color="auto"/>
              <w:bottom w:val="single" w:sz="8" w:space="0" w:color="auto"/>
              <w:right w:val="single" w:sz="8" w:space="0" w:color="auto"/>
            </w:tcBorders>
            <w:vAlign w:val="center"/>
            <w:hideMark/>
          </w:tcPr>
          <w:p w14:paraId="52A39C9B" w14:textId="77777777" w:rsidR="00081708" w:rsidRPr="008D2838" w:rsidRDefault="00081708" w:rsidP="00081708">
            <w:pPr>
              <w:ind w:firstLineChars="300" w:firstLine="542"/>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Recursos del balance</w:t>
            </w:r>
          </w:p>
        </w:tc>
        <w:tc>
          <w:tcPr>
            <w:tcW w:w="1134" w:type="dxa"/>
            <w:tcBorders>
              <w:top w:val="nil"/>
              <w:left w:val="nil"/>
              <w:bottom w:val="single" w:sz="8" w:space="0" w:color="auto"/>
              <w:right w:val="single" w:sz="8" w:space="0" w:color="auto"/>
            </w:tcBorders>
            <w:vAlign w:val="center"/>
            <w:hideMark/>
          </w:tcPr>
          <w:p w14:paraId="69BBBF65" w14:textId="77777777" w:rsidR="00081708" w:rsidRPr="008D2838" w:rsidRDefault="00081708" w:rsidP="00E32F8D">
            <w:pPr>
              <w:ind w:firstLineChars="40" w:firstLine="72"/>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987</w:t>
            </w:r>
          </w:p>
        </w:tc>
        <w:tc>
          <w:tcPr>
            <w:tcW w:w="1134" w:type="dxa"/>
            <w:tcBorders>
              <w:top w:val="nil"/>
              <w:left w:val="nil"/>
              <w:bottom w:val="single" w:sz="8" w:space="0" w:color="auto"/>
              <w:right w:val="single" w:sz="8" w:space="0" w:color="auto"/>
            </w:tcBorders>
            <w:vAlign w:val="center"/>
            <w:hideMark/>
          </w:tcPr>
          <w:p w14:paraId="62AA84C5" w14:textId="77777777" w:rsidR="00081708" w:rsidRPr="008D2838" w:rsidRDefault="00081708" w:rsidP="00E32F8D">
            <w:pPr>
              <w:ind w:firstLineChars="37" w:firstLine="67"/>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 xml:space="preserve"> 1.300</w:t>
            </w:r>
          </w:p>
        </w:tc>
        <w:tc>
          <w:tcPr>
            <w:tcW w:w="1134" w:type="dxa"/>
            <w:tcBorders>
              <w:top w:val="nil"/>
              <w:left w:val="nil"/>
              <w:bottom w:val="single" w:sz="8" w:space="0" w:color="auto"/>
              <w:right w:val="single" w:sz="8" w:space="0" w:color="auto"/>
            </w:tcBorders>
            <w:noWrap/>
            <w:vAlign w:val="center"/>
            <w:hideMark/>
          </w:tcPr>
          <w:p w14:paraId="42B455CE" w14:textId="77777777" w:rsidR="00081708" w:rsidRPr="008D2838" w:rsidRDefault="00081708" w:rsidP="00E32F8D">
            <w:pPr>
              <w:ind w:firstLineChars="41" w:firstLine="74"/>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2.774</w:t>
            </w:r>
          </w:p>
        </w:tc>
        <w:tc>
          <w:tcPr>
            <w:tcW w:w="1134" w:type="dxa"/>
            <w:tcBorders>
              <w:top w:val="nil"/>
              <w:left w:val="nil"/>
              <w:bottom w:val="single" w:sz="8" w:space="0" w:color="auto"/>
              <w:right w:val="single" w:sz="8" w:space="0" w:color="auto"/>
            </w:tcBorders>
            <w:vAlign w:val="center"/>
            <w:hideMark/>
          </w:tcPr>
          <w:p w14:paraId="1B4C8A51" w14:textId="77777777" w:rsidR="00081708" w:rsidRPr="008D2838" w:rsidRDefault="00081708" w:rsidP="00E32F8D">
            <w:pPr>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2.629</w:t>
            </w:r>
          </w:p>
        </w:tc>
        <w:tc>
          <w:tcPr>
            <w:tcW w:w="0" w:type="auto"/>
            <w:vAlign w:val="center"/>
            <w:hideMark/>
          </w:tcPr>
          <w:p w14:paraId="62630E08" w14:textId="77777777" w:rsidR="00081708" w:rsidRPr="008D2838" w:rsidRDefault="00081708" w:rsidP="00081708">
            <w:pPr>
              <w:rPr>
                <w:rFonts w:ascii="Arial" w:eastAsia="Calibri" w:hAnsi="Arial" w:cs="Arial"/>
                <w:sz w:val="20"/>
                <w:szCs w:val="20"/>
                <w:lang w:val="es-CO" w:eastAsia="es-CO"/>
              </w:rPr>
            </w:pPr>
          </w:p>
        </w:tc>
      </w:tr>
      <w:tr w:rsidR="00081708" w:rsidRPr="008D2838" w14:paraId="27F058B1" w14:textId="77777777" w:rsidTr="00E32F8D">
        <w:trPr>
          <w:trHeight w:val="20"/>
        </w:trPr>
        <w:tc>
          <w:tcPr>
            <w:tcW w:w="4385" w:type="dxa"/>
            <w:tcBorders>
              <w:top w:val="nil"/>
              <w:left w:val="single" w:sz="8" w:space="0" w:color="auto"/>
              <w:bottom w:val="single" w:sz="8" w:space="0" w:color="auto"/>
              <w:right w:val="single" w:sz="8" w:space="0" w:color="auto"/>
            </w:tcBorders>
            <w:vAlign w:val="center"/>
            <w:hideMark/>
          </w:tcPr>
          <w:p w14:paraId="58362A69" w14:textId="77777777" w:rsidR="00081708" w:rsidRPr="008D2838" w:rsidRDefault="00081708" w:rsidP="00E32F8D">
            <w:pPr>
              <w:ind w:left="709" w:firstLineChars="116" w:firstLine="209"/>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Superávit fiscal</w:t>
            </w:r>
          </w:p>
        </w:tc>
        <w:tc>
          <w:tcPr>
            <w:tcW w:w="1134" w:type="dxa"/>
            <w:tcBorders>
              <w:top w:val="nil"/>
              <w:left w:val="nil"/>
              <w:bottom w:val="single" w:sz="8" w:space="0" w:color="auto"/>
              <w:right w:val="single" w:sz="8" w:space="0" w:color="auto"/>
            </w:tcBorders>
            <w:vAlign w:val="center"/>
            <w:hideMark/>
          </w:tcPr>
          <w:p w14:paraId="3105E94B" w14:textId="77777777" w:rsidR="00081708" w:rsidRPr="008D2838" w:rsidRDefault="00081708" w:rsidP="00E32F8D">
            <w:pPr>
              <w:ind w:firstLineChars="40" w:firstLine="72"/>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987</w:t>
            </w:r>
          </w:p>
        </w:tc>
        <w:tc>
          <w:tcPr>
            <w:tcW w:w="1134" w:type="dxa"/>
            <w:tcBorders>
              <w:top w:val="nil"/>
              <w:left w:val="nil"/>
              <w:bottom w:val="single" w:sz="8" w:space="0" w:color="auto"/>
              <w:right w:val="single" w:sz="8" w:space="0" w:color="auto"/>
            </w:tcBorders>
            <w:vAlign w:val="center"/>
            <w:hideMark/>
          </w:tcPr>
          <w:p w14:paraId="4AD3B258" w14:textId="77777777" w:rsidR="00081708" w:rsidRPr="008D2838" w:rsidRDefault="00081708" w:rsidP="00E32F8D">
            <w:pPr>
              <w:ind w:firstLineChars="37" w:firstLine="67"/>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1.300</w:t>
            </w:r>
          </w:p>
        </w:tc>
        <w:tc>
          <w:tcPr>
            <w:tcW w:w="1134" w:type="dxa"/>
            <w:tcBorders>
              <w:top w:val="nil"/>
              <w:left w:val="nil"/>
              <w:bottom w:val="single" w:sz="8" w:space="0" w:color="auto"/>
              <w:right w:val="single" w:sz="8" w:space="0" w:color="auto"/>
            </w:tcBorders>
            <w:noWrap/>
            <w:vAlign w:val="center"/>
            <w:hideMark/>
          </w:tcPr>
          <w:p w14:paraId="366DBA7A" w14:textId="77777777" w:rsidR="00081708" w:rsidRPr="008D2838" w:rsidRDefault="00081708" w:rsidP="00E32F8D">
            <w:pPr>
              <w:ind w:firstLineChars="41" w:firstLine="74"/>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2.774</w:t>
            </w:r>
          </w:p>
        </w:tc>
        <w:tc>
          <w:tcPr>
            <w:tcW w:w="1134" w:type="dxa"/>
            <w:tcBorders>
              <w:top w:val="nil"/>
              <w:left w:val="nil"/>
              <w:bottom w:val="single" w:sz="8" w:space="0" w:color="auto"/>
              <w:right w:val="single" w:sz="8" w:space="0" w:color="auto"/>
            </w:tcBorders>
            <w:noWrap/>
            <w:vAlign w:val="center"/>
            <w:hideMark/>
          </w:tcPr>
          <w:p w14:paraId="2A97B25D" w14:textId="77777777" w:rsidR="00081708" w:rsidRPr="008D2838" w:rsidRDefault="00081708" w:rsidP="00E32F8D">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2.629</w:t>
            </w:r>
          </w:p>
        </w:tc>
        <w:tc>
          <w:tcPr>
            <w:tcW w:w="0" w:type="auto"/>
            <w:vAlign w:val="center"/>
            <w:hideMark/>
          </w:tcPr>
          <w:p w14:paraId="18A25DAC" w14:textId="77777777" w:rsidR="00081708" w:rsidRPr="008D2838" w:rsidRDefault="00081708" w:rsidP="00081708">
            <w:pPr>
              <w:rPr>
                <w:rFonts w:ascii="Arial" w:eastAsia="Calibri" w:hAnsi="Arial" w:cs="Arial"/>
                <w:sz w:val="20"/>
                <w:szCs w:val="20"/>
                <w:lang w:val="es-CO" w:eastAsia="es-CO"/>
              </w:rPr>
            </w:pPr>
          </w:p>
        </w:tc>
      </w:tr>
      <w:tr w:rsidR="00081708" w:rsidRPr="008D2838" w14:paraId="2E117949" w14:textId="77777777" w:rsidTr="00E32F8D">
        <w:trPr>
          <w:trHeight w:val="20"/>
        </w:trPr>
        <w:tc>
          <w:tcPr>
            <w:tcW w:w="4385" w:type="dxa"/>
            <w:tcBorders>
              <w:top w:val="nil"/>
              <w:left w:val="single" w:sz="8" w:space="0" w:color="auto"/>
              <w:bottom w:val="single" w:sz="8" w:space="0" w:color="auto"/>
              <w:right w:val="single" w:sz="8" w:space="0" w:color="auto"/>
            </w:tcBorders>
            <w:vAlign w:val="center"/>
            <w:hideMark/>
          </w:tcPr>
          <w:p w14:paraId="4A874389" w14:textId="77777777" w:rsidR="00081708" w:rsidRPr="008D2838" w:rsidRDefault="00081708" w:rsidP="00081708">
            <w:pPr>
              <w:ind w:firstLineChars="300" w:firstLine="542"/>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Reintegros</w:t>
            </w:r>
          </w:p>
        </w:tc>
        <w:tc>
          <w:tcPr>
            <w:tcW w:w="1134" w:type="dxa"/>
            <w:tcBorders>
              <w:top w:val="nil"/>
              <w:left w:val="nil"/>
              <w:bottom w:val="single" w:sz="8" w:space="0" w:color="auto"/>
              <w:right w:val="single" w:sz="8" w:space="0" w:color="auto"/>
            </w:tcBorders>
            <w:vAlign w:val="center"/>
            <w:hideMark/>
          </w:tcPr>
          <w:p w14:paraId="4236B251" w14:textId="77777777" w:rsidR="00081708" w:rsidRPr="008D2838" w:rsidRDefault="00081708" w:rsidP="00E32F8D">
            <w:pPr>
              <w:ind w:firstLineChars="40" w:firstLine="72"/>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48</w:t>
            </w:r>
          </w:p>
        </w:tc>
        <w:tc>
          <w:tcPr>
            <w:tcW w:w="1134" w:type="dxa"/>
            <w:tcBorders>
              <w:top w:val="nil"/>
              <w:left w:val="nil"/>
              <w:bottom w:val="single" w:sz="8" w:space="0" w:color="auto"/>
              <w:right w:val="single" w:sz="8" w:space="0" w:color="auto"/>
            </w:tcBorders>
            <w:vAlign w:val="center"/>
            <w:hideMark/>
          </w:tcPr>
          <w:p w14:paraId="47639535" w14:textId="77777777" w:rsidR="00081708" w:rsidRPr="008D2838" w:rsidRDefault="00081708" w:rsidP="00E32F8D">
            <w:pPr>
              <w:ind w:firstLineChars="37" w:firstLine="67"/>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287</w:t>
            </w:r>
          </w:p>
        </w:tc>
        <w:tc>
          <w:tcPr>
            <w:tcW w:w="1134" w:type="dxa"/>
            <w:tcBorders>
              <w:top w:val="nil"/>
              <w:left w:val="nil"/>
              <w:bottom w:val="single" w:sz="8" w:space="0" w:color="auto"/>
              <w:right w:val="single" w:sz="8" w:space="0" w:color="auto"/>
            </w:tcBorders>
            <w:vAlign w:val="center"/>
            <w:hideMark/>
          </w:tcPr>
          <w:p w14:paraId="525FEC8B" w14:textId="77777777" w:rsidR="00081708" w:rsidRPr="008D2838" w:rsidRDefault="00081708" w:rsidP="00E32F8D">
            <w:pPr>
              <w:ind w:firstLineChars="41" w:firstLine="74"/>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388</w:t>
            </w:r>
          </w:p>
        </w:tc>
        <w:tc>
          <w:tcPr>
            <w:tcW w:w="1134" w:type="dxa"/>
            <w:tcBorders>
              <w:top w:val="nil"/>
              <w:left w:val="nil"/>
              <w:bottom w:val="single" w:sz="8" w:space="0" w:color="auto"/>
              <w:right w:val="single" w:sz="8" w:space="0" w:color="auto"/>
            </w:tcBorders>
            <w:vAlign w:val="center"/>
            <w:hideMark/>
          </w:tcPr>
          <w:p w14:paraId="4502659D" w14:textId="77777777" w:rsidR="00081708" w:rsidRPr="008D2838" w:rsidRDefault="00081708" w:rsidP="00E32F8D">
            <w:pPr>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261</w:t>
            </w:r>
          </w:p>
        </w:tc>
        <w:tc>
          <w:tcPr>
            <w:tcW w:w="0" w:type="auto"/>
            <w:vAlign w:val="center"/>
            <w:hideMark/>
          </w:tcPr>
          <w:p w14:paraId="08011F11" w14:textId="77777777" w:rsidR="00081708" w:rsidRPr="008D2838" w:rsidRDefault="00081708" w:rsidP="00081708">
            <w:pPr>
              <w:rPr>
                <w:rFonts w:ascii="Arial" w:eastAsia="Calibri" w:hAnsi="Arial" w:cs="Arial"/>
                <w:sz w:val="20"/>
                <w:szCs w:val="20"/>
                <w:lang w:val="es-CO" w:eastAsia="es-CO"/>
              </w:rPr>
            </w:pPr>
          </w:p>
        </w:tc>
      </w:tr>
      <w:tr w:rsidR="00081708" w:rsidRPr="008D2838" w14:paraId="7489FEB7" w14:textId="77777777" w:rsidTr="00E32F8D">
        <w:trPr>
          <w:trHeight w:val="20"/>
        </w:trPr>
        <w:tc>
          <w:tcPr>
            <w:tcW w:w="4385" w:type="dxa"/>
            <w:tcBorders>
              <w:top w:val="nil"/>
              <w:left w:val="single" w:sz="8" w:space="0" w:color="auto"/>
              <w:bottom w:val="single" w:sz="8" w:space="0" w:color="auto"/>
              <w:right w:val="single" w:sz="8" w:space="0" w:color="auto"/>
            </w:tcBorders>
            <w:shd w:val="clear" w:color="auto" w:fill="244061"/>
            <w:vAlign w:val="center"/>
            <w:hideMark/>
          </w:tcPr>
          <w:p w14:paraId="6F66C281" w14:textId="77777777" w:rsidR="00081708" w:rsidRPr="008D2838" w:rsidRDefault="00081708" w:rsidP="00081708">
            <w:pPr>
              <w:ind w:firstLineChars="300" w:firstLine="542"/>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INGRESOS TOTALES</w:t>
            </w:r>
          </w:p>
        </w:tc>
        <w:tc>
          <w:tcPr>
            <w:tcW w:w="1134" w:type="dxa"/>
            <w:tcBorders>
              <w:top w:val="nil"/>
              <w:left w:val="nil"/>
              <w:bottom w:val="single" w:sz="8" w:space="0" w:color="auto"/>
              <w:right w:val="single" w:sz="8" w:space="0" w:color="auto"/>
            </w:tcBorders>
            <w:shd w:val="clear" w:color="auto" w:fill="244061"/>
            <w:vAlign w:val="center"/>
            <w:hideMark/>
          </w:tcPr>
          <w:p w14:paraId="5440B8A9" w14:textId="77777777" w:rsidR="00081708" w:rsidRPr="008D2838" w:rsidRDefault="00081708" w:rsidP="00E32F8D">
            <w:pPr>
              <w:ind w:firstLineChars="40" w:firstLine="72"/>
              <w:jc w:val="right"/>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111.723</w:t>
            </w:r>
          </w:p>
        </w:tc>
        <w:tc>
          <w:tcPr>
            <w:tcW w:w="1134" w:type="dxa"/>
            <w:tcBorders>
              <w:top w:val="nil"/>
              <w:left w:val="nil"/>
              <w:bottom w:val="single" w:sz="8" w:space="0" w:color="auto"/>
              <w:right w:val="single" w:sz="8" w:space="0" w:color="auto"/>
            </w:tcBorders>
            <w:shd w:val="clear" w:color="auto" w:fill="244061"/>
            <w:vAlign w:val="center"/>
            <w:hideMark/>
          </w:tcPr>
          <w:p w14:paraId="51F91784" w14:textId="77777777" w:rsidR="00081708" w:rsidRPr="008D2838" w:rsidRDefault="00081708" w:rsidP="00E32F8D">
            <w:pPr>
              <w:ind w:firstLineChars="40" w:firstLine="72"/>
              <w:jc w:val="right"/>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116.600</w:t>
            </w:r>
          </w:p>
        </w:tc>
        <w:tc>
          <w:tcPr>
            <w:tcW w:w="1134" w:type="dxa"/>
            <w:tcBorders>
              <w:top w:val="nil"/>
              <w:left w:val="nil"/>
              <w:bottom w:val="single" w:sz="8" w:space="0" w:color="auto"/>
              <w:right w:val="single" w:sz="8" w:space="0" w:color="auto"/>
            </w:tcBorders>
            <w:shd w:val="clear" w:color="auto" w:fill="244061"/>
            <w:vAlign w:val="center"/>
            <w:hideMark/>
          </w:tcPr>
          <w:p w14:paraId="5C0800E9" w14:textId="77777777" w:rsidR="00081708" w:rsidRPr="008D2838" w:rsidRDefault="00081708" w:rsidP="00E32F8D">
            <w:pPr>
              <w:ind w:firstLineChars="40" w:firstLine="72"/>
              <w:jc w:val="right"/>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124.282</w:t>
            </w:r>
          </w:p>
        </w:tc>
        <w:tc>
          <w:tcPr>
            <w:tcW w:w="1134" w:type="dxa"/>
            <w:tcBorders>
              <w:top w:val="nil"/>
              <w:left w:val="nil"/>
              <w:bottom w:val="single" w:sz="8" w:space="0" w:color="auto"/>
              <w:right w:val="single" w:sz="8" w:space="0" w:color="auto"/>
            </w:tcBorders>
            <w:shd w:val="clear" w:color="auto" w:fill="244061"/>
            <w:vAlign w:val="center"/>
            <w:hideMark/>
          </w:tcPr>
          <w:p w14:paraId="3A17E24E" w14:textId="77777777" w:rsidR="00081708" w:rsidRPr="008D2838" w:rsidRDefault="00081708" w:rsidP="00E32F8D">
            <w:pPr>
              <w:jc w:val="right"/>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126.574</w:t>
            </w:r>
          </w:p>
        </w:tc>
        <w:tc>
          <w:tcPr>
            <w:tcW w:w="0" w:type="auto"/>
            <w:vAlign w:val="center"/>
            <w:hideMark/>
          </w:tcPr>
          <w:p w14:paraId="4151A73F" w14:textId="77777777" w:rsidR="00081708" w:rsidRPr="008D2838" w:rsidRDefault="00081708" w:rsidP="00081708">
            <w:pPr>
              <w:rPr>
                <w:rFonts w:ascii="Arial" w:eastAsia="Calibri" w:hAnsi="Arial" w:cs="Arial"/>
                <w:sz w:val="20"/>
                <w:szCs w:val="20"/>
                <w:lang w:val="es-CO" w:eastAsia="es-CO"/>
              </w:rPr>
            </w:pPr>
          </w:p>
        </w:tc>
      </w:tr>
    </w:tbl>
    <w:p w14:paraId="6CFDA2B8" w14:textId="77777777" w:rsidR="00081708" w:rsidRPr="008D2838" w:rsidRDefault="00081708" w:rsidP="00081708">
      <w:pPr>
        <w:jc w:val="center"/>
        <w:rPr>
          <w:rFonts w:ascii="Arial" w:hAnsi="Arial" w:cs="Arial"/>
          <w:lang w:val="es-CO"/>
        </w:rPr>
      </w:pPr>
      <w:r w:rsidRPr="008D2838">
        <w:rPr>
          <w:rFonts w:ascii="Arial" w:eastAsia="Arial" w:hAnsi="Arial" w:cs="Arial"/>
          <w:sz w:val="16"/>
          <w:szCs w:val="16"/>
          <w:lang w:val="es-CO"/>
        </w:rPr>
        <w:t>Fuente: Cálculos DAF con Ejecución presupuestal de ingresos.</w:t>
      </w:r>
    </w:p>
    <w:p w14:paraId="595870F1" w14:textId="77777777" w:rsidR="00081708" w:rsidRPr="008D2838" w:rsidRDefault="00081708" w:rsidP="00081708">
      <w:pPr>
        <w:jc w:val="both"/>
        <w:rPr>
          <w:rFonts w:ascii="Arial" w:hAnsi="Arial" w:cs="Arial"/>
          <w:sz w:val="22"/>
          <w:szCs w:val="22"/>
          <w:lang w:val="es-CO"/>
        </w:rPr>
      </w:pPr>
    </w:p>
    <w:p w14:paraId="30F1B062" w14:textId="77777777" w:rsidR="00081708" w:rsidRPr="008D2838" w:rsidRDefault="00081708" w:rsidP="00081708">
      <w:pPr>
        <w:jc w:val="both"/>
        <w:rPr>
          <w:rFonts w:ascii="Arial" w:eastAsia="Arial" w:hAnsi="Arial" w:cs="Arial"/>
          <w:color w:val="000000" w:themeColor="text1"/>
          <w:sz w:val="22"/>
          <w:szCs w:val="22"/>
          <w:lang w:val="es-CO"/>
        </w:rPr>
      </w:pPr>
      <w:r w:rsidRPr="008D2838">
        <w:rPr>
          <w:rFonts w:ascii="Arial" w:eastAsia="Arial" w:hAnsi="Arial" w:cs="Arial"/>
          <w:color w:val="000000" w:themeColor="text1"/>
          <w:sz w:val="22"/>
          <w:szCs w:val="22"/>
          <w:lang w:val="es-CO"/>
        </w:rPr>
        <w:t>En relación con los recursos del balance, mediante los Decretos No. 002 del 2 de enero de 2019 y No. 808 del 30 de julio de 2019 se realizó la incorporación de los $987 millones generados al cierre de 2018 ($152,9 millones de Calidad mediante el Decreto No. 002 de 2019 y $834,1 millones mediante el Decreto No. 808 del 2019).</w:t>
      </w:r>
    </w:p>
    <w:p w14:paraId="4308697B" w14:textId="77777777" w:rsidR="00081708" w:rsidRPr="008D2838" w:rsidRDefault="00081708" w:rsidP="00081708">
      <w:pPr>
        <w:jc w:val="both"/>
        <w:rPr>
          <w:rFonts w:ascii="Arial" w:eastAsia="Arial" w:hAnsi="Arial" w:cs="Arial"/>
          <w:color w:val="000000" w:themeColor="text1"/>
          <w:sz w:val="22"/>
          <w:szCs w:val="22"/>
          <w:lang w:val="es-CO"/>
        </w:rPr>
      </w:pPr>
    </w:p>
    <w:p w14:paraId="34C37145" w14:textId="77777777" w:rsidR="00081708" w:rsidRPr="008D2838" w:rsidRDefault="00081708" w:rsidP="00081708">
      <w:pPr>
        <w:jc w:val="both"/>
        <w:rPr>
          <w:rFonts w:ascii="Arial" w:eastAsia="Arial" w:hAnsi="Arial" w:cs="Arial"/>
          <w:color w:val="000000" w:themeColor="text1"/>
          <w:sz w:val="22"/>
          <w:szCs w:val="22"/>
          <w:lang w:val="es-CO"/>
        </w:rPr>
      </w:pPr>
      <w:r w:rsidRPr="008D2838">
        <w:rPr>
          <w:rFonts w:ascii="Arial" w:eastAsia="Arial" w:hAnsi="Arial" w:cs="Arial"/>
          <w:color w:val="000000" w:themeColor="text1"/>
          <w:sz w:val="22"/>
          <w:szCs w:val="22"/>
          <w:lang w:val="es-CO"/>
        </w:rPr>
        <w:t>En la vigencia 2020, mediante los Decretos No. 317, 006 y 900 del 2020 se incorporaron los recursos del balance de la vigencia 2019 por valor de 1.299,9 millones de acuerdo con el siguiente detalle: $</w:t>
      </w:r>
      <w:r w:rsidR="0023074E" w:rsidRPr="008D2838">
        <w:rPr>
          <w:rFonts w:ascii="Arial" w:eastAsia="Arial" w:hAnsi="Arial" w:cs="Arial"/>
          <w:color w:val="000000" w:themeColor="text1"/>
          <w:sz w:val="22"/>
          <w:szCs w:val="22"/>
          <w:lang w:val="es-CO"/>
        </w:rPr>
        <w:t>1.249,9</w:t>
      </w:r>
      <w:r w:rsidRPr="008D2838">
        <w:rPr>
          <w:rFonts w:ascii="Arial" w:eastAsia="Arial" w:hAnsi="Arial" w:cs="Arial"/>
          <w:color w:val="000000" w:themeColor="text1"/>
          <w:sz w:val="22"/>
          <w:szCs w:val="22"/>
          <w:lang w:val="es-CO"/>
        </w:rPr>
        <w:t xml:space="preserve"> millones de Prestación de</w:t>
      </w:r>
      <w:r w:rsidR="0023074E" w:rsidRPr="008D2838">
        <w:rPr>
          <w:rFonts w:ascii="Arial" w:eastAsia="Arial" w:hAnsi="Arial" w:cs="Arial"/>
          <w:color w:val="000000" w:themeColor="text1"/>
          <w:sz w:val="22"/>
          <w:szCs w:val="22"/>
          <w:lang w:val="es-CO"/>
        </w:rPr>
        <w:t>l</w:t>
      </w:r>
      <w:r w:rsidRPr="008D2838">
        <w:rPr>
          <w:rFonts w:ascii="Arial" w:eastAsia="Arial" w:hAnsi="Arial" w:cs="Arial"/>
          <w:color w:val="000000" w:themeColor="text1"/>
          <w:sz w:val="22"/>
          <w:szCs w:val="22"/>
          <w:lang w:val="es-CO"/>
        </w:rPr>
        <w:t xml:space="preserve"> Servicio</w:t>
      </w:r>
      <w:r w:rsidR="0023074E" w:rsidRPr="008D2838">
        <w:rPr>
          <w:rFonts w:ascii="Arial" w:eastAsia="Arial" w:hAnsi="Arial" w:cs="Arial"/>
          <w:color w:val="000000" w:themeColor="text1"/>
          <w:sz w:val="22"/>
          <w:szCs w:val="22"/>
          <w:lang w:val="es-CO"/>
        </w:rPr>
        <w:t xml:space="preserve"> y </w:t>
      </w:r>
      <w:r w:rsidRPr="008D2838">
        <w:rPr>
          <w:rFonts w:ascii="Arial" w:eastAsia="Arial" w:hAnsi="Arial" w:cs="Arial"/>
          <w:color w:val="000000" w:themeColor="text1"/>
          <w:sz w:val="22"/>
          <w:szCs w:val="22"/>
          <w:lang w:val="es-CO"/>
        </w:rPr>
        <w:t>$50 millones de Calidad.</w:t>
      </w:r>
    </w:p>
    <w:p w14:paraId="48DD38E3" w14:textId="77777777" w:rsidR="00081708" w:rsidRPr="008D2838" w:rsidRDefault="00081708" w:rsidP="00081708">
      <w:pPr>
        <w:jc w:val="both"/>
        <w:rPr>
          <w:rFonts w:ascii="Arial" w:eastAsia="Arial" w:hAnsi="Arial" w:cs="Arial"/>
          <w:color w:val="000000" w:themeColor="text1"/>
          <w:sz w:val="22"/>
          <w:szCs w:val="22"/>
          <w:lang w:val="es-CO"/>
        </w:rPr>
      </w:pPr>
    </w:p>
    <w:p w14:paraId="69DC279E" w14:textId="77777777" w:rsidR="00081708" w:rsidRPr="008D2838" w:rsidRDefault="00081708" w:rsidP="00081708">
      <w:pPr>
        <w:jc w:val="both"/>
        <w:rPr>
          <w:rFonts w:ascii="Arial" w:eastAsia="Arial" w:hAnsi="Arial" w:cs="Arial"/>
          <w:color w:val="000000" w:themeColor="text1"/>
          <w:sz w:val="22"/>
          <w:szCs w:val="22"/>
          <w:lang w:val="es-CO"/>
        </w:rPr>
      </w:pPr>
      <w:r w:rsidRPr="008D2838">
        <w:rPr>
          <w:rFonts w:ascii="Arial" w:eastAsia="Arial" w:hAnsi="Arial" w:cs="Arial"/>
          <w:color w:val="000000" w:themeColor="text1"/>
          <w:sz w:val="22"/>
          <w:szCs w:val="22"/>
          <w:lang w:val="es-CO"/>
        </w:rPr>
        <w:t>En cuanto a la vigencia 2021, mediante el Decreto No. 003 del 01 de enero de 2021 se realizó la incorporación de recursos del balance de la vigencia 2020, en Prestación del Servicio por $1.881,9 millones y de Calidad por $892,3 millones, para un total de $2.774,2 millones.</w:t>
      </w:r>
    </w:p>
    <w:p w14:paraId="3DE8B95B" w14:textId="77777777" w:rsidR="00081708" w:rsidRPr="008D2838" w:rsidRDefault="00081708" w:rsidP="00081708">
      <w:pPr>
        <w:jc w:val="both"/>
        <w:rPr>
          <w:rFonts w:ascii="Arial" w:eastAsia="Arial" w:hAnsi="Arial" w:cs="Arial"/>
          <w:color w:val="000000" w:themeColor="text1"/>
          <w:sz w:val="22"/>
          <w:szCs w:val="22"/>
          <w:lang w:val="es-CO"/>
        </w:rPr>
      </w:pPr>
    </w:p>
    <w:p w14:paraId="241BB38C" w14:textId="77777777" w:rsidR="00081708" w:rsidRPr="008D2838" w:rsidRDefault="00081708" w:rsidP="00081708">
      <w:pPr>
        <w:keepNext/>
        <w:keepLines/>
        <w:contextualSpacing/>
        <w:outlineLvl w:val="0"/>
        <w:rPr>
          <w:rFonts w:ascii="Arial" w:eastAsia="MS Gothic" w:hAnsi="Arial" w:cs="Arial"/>
          <w:color w:val="000000" w:themeColor="text1"/>
          <w:sz w:val="22"/>
          <w:szCs w:val="22"/>
          <w:lang w:val="es-CO"/>
        </w:rPr>
      </w:pPr>
      <w:r w:rsidRPr="008D2838">
        <w:rPr>
          <w:rFonts w:ascii="Arial" w:eastAsia="Arial" w:hAnsi="Arial" w:cs="Arial"/>
          <w:b/>
          <w:bCs/>
          <w:color w:val="000000" w:themeColor="text1"/>
          <w:sz w:val="22"/>
          <w:szCs w:val="22"/>
          <w:lang w:val="es-CO"/>
        </w:rPr>
        <w:lastRenderedPageBreak/>
        <w:t>Gastos.</w:t>
      </w:r>
    </w:p>
    <w:p w14:paraId="55C3D361" w14:textId="77777777" w:rsidR="00081708" w:rsidRPr="008D2838" w:rsidRDefault="00081708" w:rsidP="00081708">
      <w:pPr>
        <w:jc w:val="both"/>
        <w:rPr>
          <w:rFonts w:ascii="Arial" w:hAnsi="Arial" w:cs="Arial"/>
          <w:sz w:val="22"/>
          <w:szCs w:val="22"/>
          <w:lang w:val="es-CO"/>
        </w:rPr>
      </w:pPr>
    </w:p>
    <w:p w14:paraId="5491220E" w14:textId="77777777" w:rsidR="00081708" w:rsidRPr="008D2838" w:rsidRDefault="00081708" w:rsidP="00E32F8D">
      <w:pPr>
        <w:jc w:val="both"/>
        <w:rPr>
          <w:rFonts w:ascii="Arial" w:eastAsia="Arial" w:hAnsi="Arial" w:cs="Arial"/>
          <w:sz w:val="22"/>
          <w:szCs w:val="22"/>
          <w:lang w:val="es-CO"/>
        </w:rPr>
      </w:pPr>
      <w:r w:rsidRPr="008D2838">
        <w:rPr>
          <w:rFonts w:ascii="Arial" w:eastAsia="Arial" w:hAnsi="Arial" w:cs="Arial"/>
          <w:sz w:val="22"/>
          <w:szCs w:val="22"/>
          <w:lang w:val="es-CO"/>
        </w:rPr>
        <w:t xml:space="preserve">De acuerdo con las ejecuciones presupuestales de gastos de las vigencias 2019 a 2022, con cargo a los recursos del SGP – Educación el Distrito de Turbo comprometió en promedio: 92.9% del gasto en Cobertura, 3.5% en Calidad, 2.7% en Gratuidad y 0.9% en gastos de eficiencia y necesidades educativas especiales. Una vez analizada la información remitida por el Distrito de Turbo, se encontraron diferencias entre la ejecución presupuestal de gastos, el listado de compromisos según los registros presupuestales y los gastos reportados en FUT y CUIPO para la vigencia 2021 y 2022 respectivamente. </w:t>
      </w:r>
    </w:p>
    <w:p w14:paraId="5ED4498D" w14:textId="77777777" w:rsidR="00E32F8D" w:rsidRPr="008D2838" w:rsidRDefault="00E32F8D" w:rsidP="00E32F8D">
      <w:pPr>
        <w:jc w:val="both"/>
        <w:rPr>
          <w:rFonts w:ascii="Arial" w:eastAsia="Arial" w:hAnsi="Arial" w:cs="Arial"/>
          <w:sz w:val="22"/>
          <w:szCs w:val="22"/>
        </w:rPr>
      </w:pPr>
    </w:p>
    <w:tbl>
      <w:tblPr>
        <w:tblW w:w="8779" w:type="dxa"/>
        <w:tblCellMar>
          <w:left w:w="70" w:type="dxa"/>
          <w:right w:w="70" w:type="dxa"/>
        </w:tblCellMar>
        <w:tblLook w:val="04A0" w:firstRow="1" w:lastRow="0" w:firstColumn="1" w:lastColumn="0" w:noHBand="0" w:noVBand="1"/>
      </w:tblPr>
      <w:tblGrid>
        <w:gridCol w:w="5093"/>
        <w:gridCol w:w="851"/>
        <w:gridCol w:w="992"/>
        <w:gridCol w:w="851"/>
        <w:gridCol w:w="992"/>
      </w:tblGrid>
      <w:tr w:rsidR="00081708" w:rsidRPr="008D2838" w14:paraId="7B58CB1A" w14:textId="77777777" w:rsidTr="00081708">
        <w:trPr>
          <w:trHeight w:val="20"/>
        </w:trPr>
        <w:tc>
          <w:tcPr>
            <w:tcW w:w="8779" w:type="dxa"/>
            <w:gridSpan w:val="5"/>
            <w:tcBorders>
              <w:top w:val="single" w:sz="8" w:space="0" w:color="auto"/>
              <w:left w:val="single" w:sz="8" w:space="0" w:color="auto"/>
              <w:bottom w:val="single" w:sz="8" w:space="0" w:color="auto"/>
              <w:right w:val="single" w:sz="8" w:space="0" w:color="000000" w:themeColor="text1"/>
            </w:tcBorders>
            <w:shd w:val="clear" w:color="auto" w:fill="244061" w:themeFill="accent1" w:themeFillShade="80"/>
            <w:vAlign w:val="center"/>
            <w:hideMark/>
          </w:tcPr>
          <w:p w14:paraId="11169798"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TABLA 2. GASTOS SGP – EDUCACIÓN A DICIEMBRE DE 2019, 2020, 2021 Y 2022</w:t>
            </w:r>
          </w:p>
          <w:p w14:paraId="2AC24EE1"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(EN MILLONES DE $)</w:t>
            </w:r>
            <w:r w:rsidRPr="008D2838">
              <w:rPr>
                <w:rFonts w:ascii="Arial" w:eastAsia="Times New Roman" w:hAnsi="Arial" w:cs="Arial"/>
                <w:color w:val="FFFFFF"/>
                <w:sz w:val="18"/>
                <w:szCs w:val="18"/>
                <w:lang w:val="es-CO" w:eastAsia="es-CO"/>
              </w:rPr>
              <w:t xml:space="preserve"> </w:t>
            </w:r>
          </w:p>
        </w:tc>
      </w:tr>
      <w:tr w:rsidR="00081708" w:rsidRPr="008D2838" w14:paraId="0E0259BF" w14:textId="77777777" w:rsidTr="00081708">
        <w:trPr>
          <w:trHeight w:val="20"/>
        </w:trPr>
        <w:tc>
          <w:tcPr>
            <w:tcW w:w="5093"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14:paraId="18749B96"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RUBRO</w:t>
            </w:r>
            <w:r w:rsidRPr="008D2838">
              <w:rPr>
                <w:rFonts w:ascii="Arial" w:eastAsia="Times New Roman" w:hAnsi="Arial" w:cs="Arial"/>
                <w:color w:val="000000"/>
                <w:sz w:val="16"/>
                <w:szCs w:val="16"/>
                <w:lang w:val="es-CO" w:eastAsia="es-CO"/>
              </w:rPr>
              <w:t xml:space="preserve"> </w:t>
            </w:r>
          </w:p>
        </w:tc>
        <w:tc>
          <w:tcPr>
            <w:tcW w:w="851" w:type="dxa"/>
            <w:tcBorders>
              <w:top w:val="nil"/>
              <w:left w:val="nil"/>
              <w:bottom w:val="single" w:sz="8" w:space="0" w:color="auto"/>
              <w:right w:val="single" w:sz="8" w:space="0" w:color="auto"/>
            </w:tcBorders>
            <w:shd w:val="clear" w:color="auto" w:fill="95B3D7" w:themeFill="accent1" w:themeFillTint="99"/>
            <w:vAlign w:val="center"/>
            <w:hideMark/>
          </w:tcPr>
          <w:p w14:paraId="4C8175C6"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2019</w:t>
            </w:r>
          </w:p>
        </w:tc>
        <w:tc>
          <w:tcPr>
            <w:tcW w:w="992" w:type="dxa"/>
            <w:tcBorders>
              <w:top w:val="nil"/>
              <w:left w:val="nil"/>
              <w:bottom w:val="single" w:sz="8" w:space="0" w:color="auto"/>
              <w:right w:val="single" w:sz="8" w:space="0" w:color="auto"/>
            </w:tcBorders>
            <w:shd w:val="clear" w:color="auto" w:fill="95B3D7" w:themeFill="accent1" w:themeFillTint="99"/>
            <w:vAlign w:val="center"/>
            <w:hideMark/>
          </w:tcPr>
          <w:p w14:paraId="1D90142F"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2020</w:t>
            </w:r>
          </w:p>
        </w:tc>
        <w:tc>
          <w:tcPr>
            <w:tcW w:w="851" w:type="dxa"/>
            <w:tcBorders>
              <w:top w:val="nil"/>
              <w:left w:val="nil"/>
              <w:bottom w:val="single" w:sz="8" w:space="0" w:color="auto"/>
              <w:right w:val="single" w:sz="8" w:space="0" w:color="auto"/>
            </w:tcBorders>
            <w:shd w:val="clear" w:color="auto" w:fill="95B3D7" w:themeFill="accent1" w:themeFillTint="99"/>
            <w:vAlign w:val="center"/>
            <w:hideMark/>
          </w:tcPr>
          <w:p w14:paraId="3B630E17"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2021</w:t>
            </w:r>
          </w:p>
        </w:tc>
        <w:tc>
          <w:tcPr>
            <w:tcW w:w="992" w:type="dxa"/>
            <w:tcBorders>
              <w:top w:val="nil"/>
              <w:left w:val="nil"/>
              <w:bottom w:val="single" w:sz="8" w:space="0" w:color="auto"/>
              <w:right w:val="single" w:sz="8" w:space="0" w:color="auto"/>
            </w:tcBorders>
            <w:shd w:val="clear" w:color="auto" w:fill="95B3D7" w:themeFill="accent1" w:themeFillTint="99"/>
            <w:vAlign w:val="center"/>
            <w:hideMark/>
          </w:tcPr>
          <w:p w14:paraId="622058FA"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2022</w:t>
            </w:r>
          </w:p>
        </w:tc>
      </w:tr>
      <w:tr w:rsidR="00081708" w:rsidRPr="008D2838" w14:paraId="6F5D93F7" w14:textId="77777777" w:rsidTr="00081708">
        <w:trPr>
          <w:trHeight w:val="20"/>
        </w:trPr>
        <w:tc>
          <w:tcPr>
            <w:tcW w:w="5093"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B39AF95" w14:textId="77777777" w:rsidR="00081708" w:rsidRPr="008D2838" w:rsidRDefault="00081708" w:rsidP="00081708">
            <w:pPr>
              <w:jc w:val="both"/>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GASTOS COBERTURA</w:t>
            </w:r>
          </w:p>
        </w:tc>
        <w:tc>
          <w:tcPr>
            <w:tcW w:w="851" w:type="dxa"/>
            <w:tcBorders>
              <w:top w:val="nil"/>
              <w:left w:val="nil"/>
              <w:bottom w:val="single" w:sz="8" w:space="0" w:color="auto"/>
              <w:right w:val="single" w:sz="8" w:space="0" w:color="auto"/>
            </w:tcBorders>
            <w:shd w:val="clear" w:color="auto" w:fill="D9D9D9" w:themeFill="background1" w:themeFillShade="D9"/>
            <w:vAlign w:val="center"/>
            <w:hideMark/>
          </w:tcPr>
          <w:p w14:paraId="3F11ADA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102.224</w:t>
            </w:r>
          </w:p>
        </w:tc>
        <w:tc>
          <w:tcPr>
            <w:tcW w:w="992" w:type="dxa"/>
            <w:tcBorders>
              <w:top w:val="nil"/>
              <w:left w:val="nil"/>
              <w:bottom w:val="single" w:sz="8" w:space="0" w:color="auto"/>
              <w:right w:val="single" w:sz="8" w:space="0" w:color="auto"/>
            </w:tcBorders>
            <w:shd w:val="clear" w:color="auto" w:fill="D9D9D9" w:themeFill="background1" w:themeFillShade="D9"/>
            <w:vAlign w:val="center"/>
            <w:hideMark/>
          </w:tcPr>
          <w:p w14:paraId="243F1D2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106.460</w:t>
            </w:r>
          </w:p>
        </w:tc>
        <w:tc>
          <w:tcPr>
            <w:tcW w:w="851" w:type="dxa"/>
            <w:tcBorders>
              <w:top w:val="nil"/>
              <w:left w:val="nil"/>
              <w:bottom w:val="single" w:sz="8" w:space="0" w:color="auto"/>
              <w:right w:val="single" w:sz="8" w:space="0" w:color="auto"/>
            </w:tcBorders>
            <w:shd w:val="clear" w:color="auto" w:fill="D9D9D9" w:themeFill="background1" w:themeFillShade="D9"/>
            <w:vAlign w:val="center"/>
            <w:hideMark/>
          </w:tcPr>
          <w:p w14:paraId="244D6FCE"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113.700</w:t>
            </w:r>
          </w:p>
        </w:tc>
        <w:tc>
          <w:tcPr>
            <w:tcW w:w="992" w:type="dxa"/>
            <w:tcBorders>
              <w:top w:val="nil"/>
              <w:left w:val="nil"/>
              <w:bottom w:val="single" w:sz="8" w:space="0" w:color="auto"/>
              <w:right w:val="single" w:sz="8" w:space="0" w:color="auto"/>
            </w:tcBorders>
            <w:shd w:val="clear" w:color="auto" w:fill="D9D9D9" w:themeFill="background1" w:themeFillShade="D9"/>
            <w:vAlign w:val="center"/>
            <w:hideMark/>
          </w:tcPr>
          <w:p w14:paraId="49C6EC21"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116.806</w:t>
            </w:r>
          </w:p>
        </w:tc>
      </w:tr>
      <w:tr w:rsidR="00081708" w:rsidRPr="008D2838" w14:paraId="71E3752C"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74024CBC" w14:textId="77777777" w:rsidR="00081708" w:rsidRPr="008D2838" w:rsidRDefault="00081708" w:rsidP="00081708">
            <w:pPr>
              <w:jc w:val="both"/>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Gastos de personal </w:t>
            </w:r>
          </w:p>
        </w:tc>
        <w:tc>
          <w:tcPr>
            <w:tcW w:w="851" w:type="dxa"/>
            <w:tcBorders>
              <w:top w:val="nil"/>
              <w:left w:val="nil"/>
              <w:bottom w:val="single" w:sz="8" w:space="0" w:color="auto"/>
              <w:right w:val="single" w:sz="8" w:space="0" w:color="auto"/>
            </w:tcBorders>
            <w:vAlign w:val="center"/>
            <w:hideMark/>
          </w:tcPr>
          <w:p w14:paraId="1746B89E"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71.260</w:t>
            </w:r>
          </w:p>
        </w:tc>
        <w:tc>
          <w:tcPr>
            <w:tcW w:w="992" w:type="dxa"/>
            <w:tcBorders>
              <w:top w:val="nil"/>
              <w:left w:val="nil"/>
              <w:bottom w:val="single" w:sz="8" w:space="0" w:color="auto"/>
              <w:right w:val="single" w:sz="8" w:space="0" w:color="auto"/>
            </w:tcBorders>
            <w:vAlign w:val="center"/>
            <w:hideMark/>
          </w:tcPr>
          <w:p w14:paraId="0F2543AB"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76.947</w:t>
            </w:r>
          </w:p>
        </w:tc>
        <w:tc>
          <w:tcPr>
            <w:tcW w:w="851" w:type="dxa"/>
            <w:tcBorders>
              <w:top w:val="nil"/>
              <w:left w:val="nil"/>
              <w:bottom w:val="single" w:sz="8" w:space="0" w:color="auto"/>
              <w:right w:val="single" w:sz="8" w:space="0" w:color="auto"/>
            </w:tcBorders>
            <w:noWrap/>
            <w:vAlign w:val="center"/>
            <w:hideMark/>
          </w:tcPr>
          <w:p w14:paraId="23A1A86D"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81.453</w:t>
            </w:r>
          </w:p>
        </w:tc>
        <w:tc>
          <w:tcPr>
            <w:tcW w:w="992" w:type="dxa"/>
            <w:tcBorders>
              <w:top w:val="nil"/>
              <w:left w:val="nil"/>
              <w:bottom w:val="single" w:sz="8" w:space="0" w:color="auto"/>
              <w:right w:val="single" w:sz="8" w:space="0" w:color="auto"/>
            </w:tcBorders>
            <w:noWrap/>
            <w:vAlign w:val="center"/>
            <w:hideMark/>
          </w:tcPr>
          <w:p w14:paraId="0BC7250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85.735</w:t>
            </w:r>
          </w:p>
        </w:tc>
      </w:tr>
      <w:tr w:rsidR="00081708" w:rsidRPr="008D2838" w14:paraId="3580C9A9"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3E1302B5"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xml:space="preserve">Personal docente </w:t>
            </w:r>
          </w:p>
        </w:tc>
        <w:tc>
          <w:tcPr>
            <w:tcW w:w="851" w:type="dxa"/>
            <w:tcBorders>
              <w:top w:val="nil"/>
              <w:left w:val="nil"/>
              <w:bottom w:val="single" w:sz="8" w:space="0" w:color="auto"/>
              <w:right w:val="single" w:sz="8" w:space="0" w:color="auto"/>
            </w:tcBorders>
            <w:vAlign w:val="center"/>
            <w:hideMark/>
          </w:tcPr>
          <w:p w14:paraId="7A5BBEFB"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62.091</w:t>
            </w:r>
          </w:p>
        </w:tc>
        <w:tc>
          <w:tcPr>
            <w:tcW w:w="992" w:type="dxa"/>
            <w:tcBorders>
              <w:top w:val="nil"/>
              <w:left w:val="nil"/>
              <w:bottom w:val="single" w:sz="8" w:space="0" w:color="auto"/>
              <w:right w:val="single" w:sz="8" w:space="0" w:color="auto"/>
            </w:tcBorders>
            <w:noWrap/>
            <w:vAlign w:val="center"/>
            <w:hideMark/>
          </w:tcPr>
          <w:p w14:paraId="2CBA8C3C"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67.305</w:t>
            </w:r>
          </w:p>
        </w:tc>
        <w:tc>
          <w:tcPr>
            <w:tcW w:w="851" w:type="dxa"/>
            <w:vMerge w:val="restart"/>
            <w:tcBorders>
              <w:top w:val="nil"/>
              <w:left w:val="nil"/>
              <w:bottom w:val="single" w:sz="8" w:space="0" w:color="auto"/>
              <w:right w:val="single" w:sz="8" w:space="0" w:color="auto"/>
            </w:tcBorders>
            <w:noWrap/>
            <w:vAlign w:val="center"/>
            <w:hideMark/>
          </w:tcPr>
          <w:p w14:paraId="0BA2A6C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79.260</w:t>
            </w:r>
          </w:p>
        </w:tc>
        <w:tc>
          <w:tcPr>
            <w:tcW w:w="992" w:type="dxa"/>
            <w:vMerge w:val="restart"/>
            <w:tcBorders>
              <w:top w:val="single" w:sz="8" w:space="0" w:color="auto"/>
              <w:left w:val="single" w:sz="8" w:space="0" w:color="auto"/>
              <w:bottom w:val="single" w:sz="4" w:space="0" w:color="auto"/>
              <w:right w:val="single" w:sz="4" w:space="0" w:color="auto"/>
            </w:tcBorders>
            <w:noWrap/>
            <w:vAlign w:val="center"/>
            <w:hideMark/>
          </w:tcPr>
          <w:p w14:paraId="79E3DC21"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83.311</w:t>
            </w:r>
          </w:p>
        </w:tc>
      </w:tr>
      <w:tr w:rsidR="00081708" w:rsidRPr="008D2838" w14:paraId="2196239E"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28C532FC"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xml:space="preserve">Personal directivo - docente </w:t>
            </w:r>
          </w:p>
        </w:tc>
        <w:tc>
          <w:tcPr>
            <w:tcW w:w="851" w:type="dxa"/>
            <w:tcBorders>
              <w:top w:val="nil"/>
              <w:left w:val="nil"/>
              <w:bottom w:val="single" w:sz="8" w:space="0" w:color="auto"/>
              <w:right w:val="single" w:sz="8" w:space="0" w:color="auto"/>
            </w:tcBorders>
            <w:vAlign w:val="center"/>
            <w:hideMark/>
          </w:tcPr>
          <w:p w14:paraId="3041B82D"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7.114</w:t>
            </w:r>
          </w:p>
        </w:tc>
        <w:tc>
          <w:tcPr>
            <w:tcW w:w="992" w:type="dxa"/>
            <w:tcBorders>
              <w:top w:val="nil"/>
              <w:left w:val="nil"/>
              <w:bottom w:val="single" w:sz="8" w:space="0" w:color="auto"/>
              <w:right w:val="single" w:sz="8" w:space="0" w:color="auto"/>
            </w:tcBorders>
            <w:noWrap/>
            <w:vAlign w:val="center"/>
            <w:hideMark/>
          </w:tcPr>
          <w:p w14:paraId="64436CE3"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7.503</w:t>
            </w:r>
          </w:p>
        </w:tc>
        <w:tc>
          <w:tcPr>
            <w:tcW w:w="0" w:type="auto"/>
            <w:vMerge/>
            <w:tcBorders>
              <w:top w:val="nil"/>
              <w:left w:val="nil"/>
              <w:bottom w:val="single" w:sz="8" w:space="0" w:color="auto"/>
              <w:right w:val="single" w:sz="8" w:space="0" w:color="auto"/>
            </w:tcBorders>
            <w:vAlign w:val="center"/>
            <w:hideMark/>
          </w:tcPr>
          <w:p w14:paraId="09B538CE" w14:textId="77777777" w:rsidR="00081708" w:rsidRPr="008D2838" w:rsidRDefault="00081708" w:rsidP="00081708">
            <w:pPr>
              <w:rPr>
                <w:rFonts w:ascii="Arial" w:eastAsia="Times New Roman" w:hAnsi="Arial" w:cs="Arial"/>
                <w:color w:val="000000"/>
                <w:sz w:val="16"/>
                <w:szCs w:val="16"/>
                <w:lang w:val="es-CO" w:eastAsia="es-CO"/>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0850DF60" w14:textId="77777777" w:rsidR="00081708" w:rsidRPr="008D2838" w:rsidRDefault="00081708" w:rsidP="00081708">
            <w:pPr>
              <w:rPr>
                <w:rFonts w:ascii="Arial" w:eastAsia="Times New Roman" w:hAnsi="Arial" w:cs="Arial"/>
                <w:color w:val="000000"/>
                <w:sz w:val="16"/>
                <w:szCs w:val="16"/>
                <w:lang w:val="es-CO" w:eastAsia="es-CO"/>
              </w:rPr>
            </w:pPr>
          </w:p>
        </w:tc>
      </w:tr>
      <w:tr w:rsidR="00081708" w:rsidRPr="008D2838" w14:paraId="29F17732" w14:textId="77777777" w:rsidTr="00E32F8D">
        <w:trPr>
          <w:trHeight w:val="20"/>
        </w:trPr>
        <w:tc>
          <w:tcPr>
            <w:tcW w:w="5093" w:type="dxa"/>
            <w:tcBorders>
              <w:top w:val="nil"/>
              <w:left w:val="single" w:sz="8" w:space="0" w:color="auto"/>
              <w:bottom w:val="single" w:sz="4" w:space="0" w:color="auto"/>
              <w:right w:val="single" w:sz="8" w:space="0" w:color="auto"/>
            </w:tcBorders>
            <w:vAlign w:val="center"/>
            <w:hideMark/>
          </w:tcPr>
          <w:p w14:paraId="17E131A7"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Personal administrativo de instituciones educativas</w:t>
            </w:r>
          </w:p>
        </w:tc>
        <w:tc>
          <w:tcPr>
            <w:tcW w:w="851" w:type="dxa"/>
            <w:tcBorders>
              <w:top w:val="nil"/>
              <w:left w:val="nil"/>
              <w:bottom w:val="single" w:sz="4" w:space="0" w:color="auto"/>
              <w:right w:val="single" w:sz="8" w:space="0" w:color="auto"/>
            </w:tcBorders>
            <w:vAlign w:val="center"/>
            <w:hideMark/>
          </w:tcPr>
          <w:p w14:paraId="353A918F"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522</w:t>
            </w:r>
          </w:p>
        </w:tc>
        <w:tc>
          <w:tcPr>
            <w:tcW w:w="992" w:type="dxa"/>
            <w:tcBorders>
              <w:top w:val="nil"/>
              <w:left w:val="nil"/>
              <w:bottom w:val="single" w:sz="4" w:space="0" w:color="auto"/>
              <w:right w:val="single" w:sz="8" w:space="0" w:color="auto"/>
            </w:tcBorders>
            <w:noWrap/>
            <w:vAlign w:val="center"/>
            <w:hideMark/>
          </w:tcPr>
          <w:p w14:paraId="22EEF624"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553</w:t>
            </w:r>
          </w:p>
        </w:tc>
        <w:tc>
          <w:tcPr>
            <w:tcW w:w="851" w:type="dxa"/>
            <w:tcBorders>
              <w:top w:val="nil"/>
              <w:left w:val="nil"/>
              <w:bottom w:val="single" w:sz="4" w:space="0" w:color="auto"/>
              <w:right w:val="single" w:sz="8" w:space="0" w:color="auto"/>
            </w:tcBorders>
            <w:noWrap/>
            <w:vAlign w:val="center"/>
            <w:hideMark/>
          </w:tcPr>
          <w:p w14:paraId="446578BA"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860</w:t>
            </w:r>
          </w:p>
        </w:tc>
        <w:tc>
          <w:tcPr>
            <w:tcW w:w="992" w:type="dxa"/>
            <w:vMerge w:val="restart"/>
            <w:tcBorders>
              <w:top w:val="single" w:sz="4" w:space="0" w:color="auto"/>
              <w:left w:val="single" w:sz="8" w:space="0" w:color="auto"/>
              <w:bottom w:val="single" w:sz="4" w:space="0" w:color="auto"/>
              <w:right w:val="single" w:sz="8" w:space="0" w:color="auto"/>
            </w:tcBorders>
            <w:noWrap/>
            <w:vAlign w:val="center"/>
            <w:hideMark/>
          </w:tcPr>
          <w:p w14:paraId="03D55383"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2.340</w:t>
            </w:r>
          </w:p>
        </w:tc>
      </w:tr>
      <w:tr w:rsidR="00081708" w:rsidRPr="008D2838" w14:paraId="280C95E9" w14:textId="77777777" w:rsidTr="00E32F8D">
        <w:trPr>
          <w:trHeight w:val="20"/>
        </w:trPr>
        <w:tc>
          <w:tcPr>
            <w:tcW w:w="5093" w:type="dxa"/>
            <w:tcBorders>
              <w:top w:val="single" w:sz="4" w:space="0" w:color="auto"/>
              <w:left w:val="single" w:sz="4" w:space="0" w:color="auto"/>
              <w:bottom w:val="single" w:sz="4" w:space="0" w:color="auto"/>
              <w:right w:val="single" w:sz="4" w:space="0" w:color="auto"/>
            </w:tcBorders>
            <w:vAlign w:val="center"/>
            <w:hideMark/>
          </w:tcPr>
          <w:p w14:paraId="2F769241"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Personal administrativo Secretaría de Educación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D5A053"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1.502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7492C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1.585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B2EC0AA"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1.306</w:t>
            </w:r>
          </w:p>
        </w:tc>
        <w:tc>
          <w:tcPr>
            <w:tcW w:w="0" w:type="auto"/>
            <w:vMerge/>
            <w:tcBorders>
              <w:top w:val="single" w:sz="4" w:space="0" w:color="auto"/>
              <w:left w:val="single" w:sz="8" w:space="0" w:color="auto"/>
              <w:bottom w:val="single" w:sz="4" w:space="0" w:color="auto"/>
              <w:right w:val="single" w:sz="8" w:space="0" w:color="auto"/>
            </w:tcBorders>
            <w:vAlign w:val="center"/>
            <w:hideMark/>
          </w:tcPr>
          <w:p w14:paraId="4BA22FB2" w14:textId="77777777" w:rsidR="00081708" w:rsidRPr="008D2838" w:rsidRDefault="00081708" w:rsidP="00081708">
            <w:pPr>
              <w:rPr>
                <w:rFonts w:ascii="Arial" w:eastAsia="Times New Roman" w:hAnsi="Arial" w:cs="Arial"/>
                <w:color w:val="000000"/>
                <w:sz w:val="16"/>
                <w:szCs w:val="16"/>
                <w:lang w:val="es-CO" w:eastAsia="es-CO"/>
              </w:rPr>
            </w:pPr>
          </w:p>
        </w:tc>
      </w:tr>
      <w:tr w:rsidR="00081708" w:rsidRPr="008D2838" w14:paraId="49E7CE6E" w14:textId="77777777" w:rsidTr="00E32F8D">
        <w:trPr>
          <w:trHeight w:val="20"/>
        </w:trPr>
        <w:tc>
          <w:tcPr>
            <w:tcW w:w="5093" w:type="dxa"/>
            <w:tcBorders>
              <w:top w:val="single" w:sz="4" w:space="0" w:color="auto"/>
              <w:left w:val="single" w:sz="4" w:space="0" w:color="auto"/>
              <w:bottom w:val="single" w:sz="4" w:space="0" w:color="auto"/>
              <w:right w:val="single" w:sz="4" w:space="0" w:color="auto"/>
            </w:tcBorders>
            <w:vAlign w:val="center"/>
            <w:hideMark/>
          </w:tcPr>
          <w:p w14:paraId="05DFC1BF"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Viáticos y gastos de viaje personal docente y directivo docente</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187568"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95CF96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ED8264E"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54241EC"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84</w:t>
            </w:r>
          </w:p>
        </w:tc>
      </w:tr>
      <w:tr w:rsidR="00081708" w:rsidRPr="008D2838" w14:paraId="67EA8DCE" w14:textId="77777777" w:rsidTr="00E32F8D">
        <w:trPr>
          <w:trHeight w:val="20"/>
        </w:trPr>
        <w:tc>
          <w:tcPr>
            <w:tcW w:w="5093" w:type="dxa"/>
            <w:tcBorders>
              <w:top w:val="single" w:sz="4" w:space="0" w:color="auto"/>
              <w:left w:val="single" w:sz="8" w:space="0" w:color="auto"/>
              <w:bottom w:val="single" w:sz="8" w:space="0" w:color="auto"/>
              <w:right w:val="single" w:sz="8" w:space="0" w:color="auto"/>
            </w:tcBorders>
            <w:vAlign w:val="center"/>
            <w:hideMark/>
          </w:tcPr>
          <w:p w14:paraId="5CE727AD" w14:textId="77777777" w:rsidR="00081708" w:rsidRPr="008D2838" w:rsidRDefault="00081708" w:rsidP="00081708">
            <w:pPr>
              <w:jc w:val="both"/>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Aportes patronales </w:t>
            </w:r>
          </w:p>
        </w:tc>
        <w:tc>
          <w:tcPr>
            <w:tcW w:w="851" w:type="dxa"/>
            <w:tcBorders>
              <w:top w:val="single" w:sz="4" w:space="0" w:color="auto"/>
              <w:left w:val="nil"/>
              <w:bottom w:val="single" w:sz="8" w:space="0" w:color="auto"/>
              <w:right w:val="single" w:sz="8" w:space="0" w:color="auto"/>
            </w:tcBorders>
            <w:vAlign w:val="center"/>
            <w:hideMark/>
          </w:tcPr>
          <w:p w14:paraId="2AEA104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19.675</w:t>
            </w:r>
          </w:p>
        </w:tc>
        <w:tc>
          <w:tcPr>
            <w:tcW w:w="992" w:type="dxa"/>
            <w:tcBorders>
              <w:top w:val="single" w:sz="4" w:space="0" w:color="auto"/>
              <w:left w:val="nil"/>
              <w:bottom w:val="single" w:sz="8" w:space="0" w:color="auto"/>
              <w:right w:val="single" w:sz="8" w:space="0" w:color="auto"/>
            </w:tcBorders>
            <w:vAlign w:val="center"/>
            <w:hideMark/>
          </w:tcPr>
          <w:p w14:paraId="707E89D7"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21.411</w:t>
            </w:r>
          </w:p>
        </w:tc>
        <w:tc>
          <w:tcPr>
            <w:tcW w:w="851" w:type="dxa"/>
            <w:tcBorders>
              <w:top w:val="single" w:sz="4" w:space="0" w:color="auto"/>
              <w:left w:val="nil"/>
              <w:bottom w:val="single" w:sz="8" w:space="0" w:color="auto"/>
              <w:right w:val="single" w:sz="8" w:space="0" w:color="auto"/>
            </w:tcBorders>
            <w:noWrap/>
            <w:vAlign w:val="center"/>
            <w:hideMark/>
          </w:tcPr>
          <w:p w14:paraId="417B0374"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21.056</w:t>
            </w:r>
          </w:p>
        </w:tc>
        <w:tc>
          <w:tcPr>
            <w:tcW w:w="992" w:type="dxa"/>
            <w:tcBorders>
              <w:top w:val="single" w:sz="4" w:space="0" w:color="auto"/>
              <w:left w:val="nil"/>
              <w:bottom w:val="single" w:sz="8" w:space="0" w:color="auto"/>
              <w:right w:val="single" w:sz="8" w:space="0" w:color="auto"/>
            </w:tcBorders>
            <w:noWrap/>
            <w:vAlign w:val="center"/>
            <w:hideMark/>
          </w:tcPr>
          <w:p w14:paraId="274046D8"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20.560</w:t>
            </w:r>
          </w:p>
        </w:tc>
      </w:tr>
      <w:tr w:rsidR="00081708" w:rsidRPr="008D2838" w14:paraId="0AAD6D59"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2C4F00AA"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Sin Situación de Fondos (docentes y directivos docentes)</w:t>
            </w:r>
          </w:p>
        </w:tc>
        <w:tc>
          <w:tcPr>
            <w:tcW w:w="851" w:type="dxa"/>
            <w:tcBorders>
              <w:top w:val="nil"/>
              <w:left w:val="nil"/>
              <w:bottom w:val="single" w:sz="8" w:space="0" w:color="auto"/>
              <w:right w:val="single" w:sz="8" w:space="0" w:color="auto"/>
            </w:tcBorders>
            <w:vAlign w:val="center"/>
            <w:hideMark/>
          </w:tcPr>
          <w:p w14:paraId="6DD931A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15.789</w:t>
            </w:r>
          </w:p>
        </w:tc>
        <w:tc>
          <w:tcPr>
            <w:tcW w:w="992" w:type="dxa"/>
            <w:tcBorders>
              <w:top w:val="nil"/>
              <w:left w:val="nil"/>
              <w:bottom w:val="single" w:sz="8" w:space="0" w:color="auto"/>
              <w:right w:val="single" w:sz="8" w:space="0" w:color="auto"/>
            </w:tcBorders>
            <w:noWrap/>
            <w:vAlign w:val="center"/>
            <w:hideMark/>
          </w:tcPr>
          <w:p w14:paraId="4052C0D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16.959</w:t>
            </w:r>
          </w:p>
        </w:tc>
        <w:tc>
          <w:tcPr>
            <w:tcW w:w="851" w:type="dxa"/>
            <w:tcBorders>
              <w:top w:val="nil"/>
              <w:left w:val="nil"/>
              <w:bottom w:val="single" w:sz="8" w:space="0" w:color="auto"/>
              <w:right w:val="single" w:sz="8" w:space="0" w:color="auto"/>
            </w:tcBorders>
            <w:noWrap/>
            <w:vAlign w:val="center"/>
            <w:hideMark/>
          </w:tcPr>
          <w:p w14:paraId="41BCC49C"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14.020</w:t>
            </w:r>
          </w:p>
        </w:tc>
        <w:tc>
          <w:tcPr>
            <w:tcW w:w="992" w:type="dxa"/>
            <w:tcBorders>
              <w:top w:val="nil"/>
              <w:left w:val="nil"/>
              <w:bottom w:val="single" w:sz="8" w:space="0" w:color="auto"/>
              <w:right w:val="single" w:sz="8" w:space="0" w:color="auto"/>
            </w:tcBorders>
            <w:noWrap/>
            <w:vAlign w:val="center"/>
            <w:hideMark/>
          </w:tcPr>
          <w:p w14:paraId="01CF599C"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12.762</w:t>
            </w:r>
          </w:p>
        </w:tc>
      </w:tr>
      <w:tr w:rsidR="00081708" w:rsidRPr="008D2838" w14:paraId="124AC2E5"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3A48A13D"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Con Situación de Fondos (docentes y directivos docentes)</w:t>
            </w:r>
          </w:p>
        </w:tc>
        <w:tc>
          <w:tcPr>
            <w:tcW w:w="851" w:type="dxa"/>
            <w:tcBorders>
              <w:top w:val="nil"/>
              <w:left w:val="nil"/>
              <w:bottom w:val="single" w:sz="8" w:space="0" w:color="auto"/>
              <w:right w:val="single" w:sz="8" w:space="0" w:color="auto"/>
            </w:tcBorders>
            <w:vAlign w:val="center"/>
            <w:hideMark/>
          </w:tcPr>
          <w:p w14:paraId="0F5E6A9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3.209</w:t>
            </w:r>
          </w:p>
        </w:tc>
        <w:tc>
          <w:tcPr>
            <w:tcW w:w="992" w:type="dxa"/>
            <w:tcBorders>
              <w:top w:val="nil"/>
              <w:left w:val="nil"/>
              <w:bottom w:val="single" w:sz="8" w:space="0" w:color="auto"/>
              <w:right w:val="single" w:sz="8" w:space="0" w:color="auto"/>
            </w:tcBorders>
            <w:noWrap/>
            <w:vAlign w:val="center"/>
            <w:hideMark/>
          </w:tcPr>
          <w:p w14:paraId="342BA0FC"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3.756</w:t>
            </w:r>
          </w:p>
        </w:tc>
        <w:tc>
          <w:tcPr>
            <w:tcW w:w="851" w:type="dxa"/>
            <w:tcBorders>
              <w:top w:val="nil"/>
              <w:left w:val="nil"/>
              <w:bottom w:val="single" w:sz="8" w:space="0" w:color="auto"/>
              <w:right w:val="single" w:sz="8" w:space="0" w:color="auto"/>
            </w:tcBorders>
            <w:noWrap/>
            <w:vAlign w:val="center"/>
            <w:hideMark/>
          </w:tcPr>
          <w:p w14:paraId="08CBA8A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6.305</w:t>
            </w:r>
          </w:p>
        </w:tc>
        <w:tc>
          <w:tcPr>
            <w:tcW w:w="992" w:type="dxa"/>
            <w:tcBorders>
              <w:top w:val="nil"/>
              <w:left w:val="nil"/>
              <w:bottom w:val="single" w:sz="8" w:space="0" w:color="auto"/>
              <w:right w:val="single" w:sz="8" w:space="0" w:color="auto"/>
            </w:tcBorders>
            <w:noWrap/>
            <w:vAlign w:val="center"/>
            <w:hideMark/>
          </w:tcPr>
          <w:p w14:paraId="0811147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6.947</w:t>
            </w:r>
          </w:p>
        </w:tc>
      </w:tr>
      <w:tr w:rsidR="00081708" w:rsidRPr="008D2838" w14:paraId="55DEC1B0"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59237E5E"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Personal Administrativo de Instituciones Educativas (A.P)</w:t>
            </w:r>
          </w:p>
        </w:tc>
        <w:tc>
          <w:tcPr>
            <w:tcW w:w="851" w:type="dxa"/>
            <w:tcBorders>
              <w:top w:val="nil"/>
              <w:left w:val="nil"/>
              <w:bottom w:val="single" w:sz="8" w:space="0" w:color="auto"/>
              <w:right w:val="single" w:sz="8" w:space="0" w:color="auto"/>
            </w:tcBorders>
            <w:vAlign w:val="center"/>
            <w:hideMark/>
          </w:tcPr>
          <w:p w14:paraId="41B3B84F"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189</w:t>
            </w:r>
          </w:p>
        </w:tc>
        <w:tc>
          <w:tcPr>
            <w:tcW w:w="992" w:type="dxa"/>
            <w:tcBorders>
              <w:top w:val="nil"/>
              <w:left w:val="nil"/>
              <w:bottom w:val="single" w:sz="8" w:space="0" w:color="auto"/>
              <w:right w:val="single" w:sz="8" w:space="0" w:color="auto"/>
            </w:tcBorders>
            <w:noWrap/>
            <w:vAlign w:val="center"/>
            <w:hideMark/>
          </w:tcPr>
          <w:p w14:paraId="26B29893"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188</w:t>
            </w:r>
          </w:p>
        </w:tc>
        <w:tc>
          <w:tcPr>
            <w:tcW w:w="851" w:type="dxa"/>
            <w:tcBorders>
              <w:top w:val="nil"/>
              <w:left w:val="nil"/>
              <w:bottom w:val="single" w:sz="8" w:space="0" w:color="auto"/>
              <w:right w:val="single" w:sz="8" w:space="0" w:color="auto"/>
            </w:tcBorders>
            <w:noWrap/>
            <w:vAlign w:val="center"/>
            <w:hideMark/>
          </w:tcPr>
          <w:p w14:paraId="2C940C21"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484</w:t>
            </w:r>
          </w:p>
        </w:tc>
        <w:tc>
          <w:tcPr>
            <w:tcW w:w="992" w:type="dxa"/>
            <w:tcBorders>
              <w:top w:val="nil"/>
              <w:left w:val="nil"/>
              <w:bottom w:val="single" w:sz="8" w:space="0" w:color="auto"/>
              <w:right w:val="single" w:sz="8" w:space="0" w:color="auto"/>
            </w:tcBorders>
            <w:noWrap/>
            <w:vAlign w:val="center"/>
            <w:hideMark/>
          </w:tcPr>
          <w:p w14:paraId="46A227D4"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451</w:t>
            </w:r>
          </w:p>
        </w:tc>
      </w:tr>
      <w:tr w:rsidR="00081708" w:rsidRPr="008D2838" w14:paraId="0D87DDCD"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5DB95653"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Personal Administrativo Secretaría de Educación (A.P)</w:t>
            </w:r>
          </w:p>
        </w:tc>
        <w:tc>
          <w:tcPr>
            <w:tcW w:w="851" w:type="dxa"/>
            <w:tcBorders>
              <w:top w:val="nil"/>
              <w:left w:val="nil"/>
              <w:bottom w:val="single" w:sz="8" w:space="0" w:color="auto"/>
              <w:right w:val="single" w:sz="8" w:space="0" w:color="auto"/>
            </w:tcBorders>
            <w:vAlign w:val="center"/>
            <w:hideMark/>
          </w:tcPr>
          <w:p w14:paraId="2A31A2BE"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487</w:t>
            </w:r>
          </w:p>
        </w:tc>
        <w:tc>
          <w:tcPr>
            <w:tcW w:w="992" w:type="dxa"/>
            <w:tcBorders>
              <w:top w:val="nil"/>
              <w:left w:val="nil"/>
              <w:bottom w:val="single" w:sz="8" w:space="0" w:color="auto"/>
              <w:right w:val="single" w:sz="8" w:space="0" w:color="auto"/>
            </w:tcBorders>
            <w:noWrap/>
            <w:vAlign w:val="center"/>
            <w:hideMark/>
          </w:tcPr>
          <w:p w14:paraId="4D3D1EC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508,2</w:t>
            </w:r>
          </w:p>
        </w:tc>
        <w:tc>
          <w:tcPr>
            <w:tcW w:w="851" w:type="dxa"/>
            <w:tcBorders>
              <w:top w:val="nil"/>
              <w:left w:val="nil"/>
              <w:bottom w:val="single" w:sz="8" w:space="0" w:color="auto"/>
              <w:right w:val="single" w:sz="8" w:space="0" w:color="auto"/>
            </w:tcBorders>
            <w:vAlign w:val="center"/>
            <w:hideMark/>
          </w:tcPr>
          <w:p w14:paraId="3CD2844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247</w:t>
            </w:r>
          </w:p>
        </w:tc>
        <w:tc>
          <w:tcPr>
            <w:tcW w:w="992" w:type="dxa"/>
            <w:tcBorders>
              <w:top w:val="nil"/>
              <w:left w:val="nil"/>
              <w:bottom w:val="single" w:sz="8" w:space="0" w:color="auto"/>
              <w:right w:val="single" w:sz="8" w:space="0" w:color="auto"/>
            </w:tcBorders>
            <w:noWrap/>
            <w:vAlign w:val="center"/>
            <w:hideMark/>
          </w:tcPr>
          <w:p w14:paraId="73292BF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400</w:t>
            </w:r>
          </w:p>
        </w:tc>
      </w:tr>
      <w:tr w:rsidR="00081708" w:rsidRPr="008D2838" w14:paraId="2A754B36"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3054B0C1" w14:textId="77777777" w:rsidR="00081708" w:rsidRPr="008D2838" w:rsidRDefault="00081708" w:rsidP="00081708">
            <w:pPr>
              <w:jc w:val="both"/>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Gastos generales</w:t>
            </w:r>
          </w:p>
        </w:tc>
        <w:tc>
          <w:tcPr>
            <w:tcW w:w="851" w:type="dxa"/>
            <w:tcBorders>
              <w:top w:val="nil"/>
              <w:left w:val="nil"/>
              <w:bottom w:val="single" w:sz="8" w:space="0" w:color="auto"/>
              <w:right w:val="single" w:sz="8" w:space="0" w:color="auto"/>
            </w:tcBorders>
            <w:vAlign w:val="center"/>
            <w:hideMark/>
          </w:tcPr>
          <w:p w14:paraId="3C0DA731"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291</w:t>
            </w:r>
          </w:p>
        </w:tc>
        <w:tc>
          <w:tcPr>
            <w:tcW w:w="992" w:type="dxa"/>
            <w:tcBorders>
              <w:top w:val="nil"/>
              <w:left w:val="nil"/>
              <w:bottom w:val="single" w:sz="8" w:space="0" w:color="auto"/>
              <w:right w:val="single" w:sz="8" w:space="0" w:color="auto"/>
            </w:tcBorders>
            <w:noWrap/>
            <w:vAlign w:val="center"/>
            <w:hideMark/>
          </w:tcPr>
          <w:p w14:paraId="72D3DCC9"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325</w:t>
            </w:r>
          </w:p>
        </w:tc>
        <w:tc>
          <w:tcPr>
            <w:tcW w:w="851" w:type="dxa"/>
            <w:tcBorders>
              <w:top w:val="nil"/>
              <w:left w:val="nil"/>
              <w:bottom w:val="single" w:sz="8" w:space="0" w:color="auto"/>
              <w:right w:val="single" w:sz="8" w:space="0" w:color="auto"/>
            </w:tcBorders>
            <w:vAlign w:val="center"/>
            <w:hideMark/>
          </w:tcPr>
          <w:p w14:paraId="44CA10FE"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888</w:t>
            </w:r>
          </w:p>
        </w:tc>
        <w:tc>
          <w:tcPr>
            <w:tcW w:w="992" w:type="dxa"/>
            <w:tcBorders>
              <w:top w:val="nil"/>
              <w:left w:val="nil"/>
              <w:bottom w:val="single" w:sz="8" w:space="0" w:color="auto"/>
              <w:right w:val="single" w:sz="8" w:space="0" w:color="auto"/>
            </w:tcBorders>
            <w:vAlign w:val="center"/>
            <w:hideMark/>
          </w:tcPr>
          <w:p w14:paraId="16FAB16C"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152</w:t>
            </w:r>
          </w:p>
        </w:tc>
      </w:tr>
      <w:tr w:rsidR="00081708" w:rsidRPr="008D2838" w14:paraId="3A9C7399"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70D31B53" w14:textId="77777777" w:rsidR="00081708" w:rsidRPr="008D2838" w:rsidRDefault="00081708" w:rsidP="00081708">
            <w:pPr>
              <w:jc w:val="both"/>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Contratos servicios administrativos instituciones educativas y SEM</w:t>
            </w:r>
          </w:p>
        </w:tc>
        <w:tc>
          <w:tcPr>
            <w:tcW w:w="851" w:type="dxa"/>
            <w:tcBorders>
              <w:top w:val="nil"/>
              <w:left w:val="nil"/>
              <w:bottom w:val="single" w:sz="8" w:space="0" w:color="auto"/>
              <w:right w:val="single" w:sz="8" w:space="0" w:color="auto"/>
            </w:tcBorders>
            <w:vAlign w:val="center"/>
            <w:hideMark/>
          </w:tcPr>
          <w:p w14:paraId="6DCC2EA5"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1.886</w:t>
            </w:r>
          </w:p>
        </w:tc>
        <w:tc>
          <w:tcPr>
            <w:tcW w:w="992" w:type="dxa"/>
            <w:tcBorders>
              <w:top w:val="nil"/>
              <w:left w:val="nil"/>
              <w:bottom w:val="single" w:sz="8" w:space="0" w:color="auto"/>
              <w:right w:val="single" w:sz="8" w:space="0" w:color="auto"/>
            </w:tcBorders>
            <w:vAlign w:val="center"/>
            <w:hideMark/>
          </w:tcPr>
          <w:p w14:paraId="4D26549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1.432</w:t>
            </w:r>
          </w:p>
        </w:tc>
        <w:tc>
          <w:tcPr>
            <w:tcW w:w="851" w:type="dxa"/>
            <w:tcBorders>
              <w:top w:val="nil"/>
              <w:left w:val="nil"/>
              <w:bottom w:val="single" w:sz="8" w:space="0" w:color="auto"/>
              <w:right w:val="single" w:sz="8" w:space="0" w:color="auto"/>
            </w:tcBorders>
            <w:vAlign w:val="center"/>
            <w:hideMark/>
          </w:tcPr>
          <w:p w14:paraId="52873CC7"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7.162</w:t>
            </w:r>
          </w:p>
        </w:tc>
        <w:tc>
          <w:tcPr>
            <w:tcW w:w="992" w:type="dxa"/>
            <w:tcBorders>
              <w:top w:val="nil"/>
              <w:left w:val="nil"/>
              <w:bottom w:val="single" w:sz="8" w:space="0" w:color="auto"/>
              <w:right w:val="single" w:sz="8" w:space="0" w:color="auto"/>
            </w:tcBorders>
            <w:vAlign w:val="center"/>
            <w:hideMark/>
          </w:tcPr>
          <w:p w14:paraId="29339308"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7.145</w:t>
            </w:r>
          </w:p>
        </w:tc>
      </w:tr>
      <w:tr w:rsidR="00081708" w:rsidRPr="008D2838" w14:paraId="63370596"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1F0B7852" w14:textId="77777777" w:rsidR="00081708" w:rsidRPr="008D2838" w:rsidRDefault="00081708" w:rsidP="00081708">
            <w:pPr>
              <w:jc w:val="both"/>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Contratos para la prestación del Servicio Educativo</w:t>
            </w:r>
          </w:p>
        </w:tc>
        <w:tc>
          <w:tcPr>
            <w:tcW w:w="851" w:type="dxa"/>
            <w:tcBorders>
              <w:top w:val="nil"/>
              <w:left w:val="nil"/>
              <w:bottom w:val="single" w:sz="8" w:space="0" w:color="auto"/>
              <w:right w:val="single" w:sz="8" w:space="0" w:color="auto"/>
            </w:tcBorders>
            <w:vAlign w:val="center"/>
            <w:hideMark/>
          </w:tcPr>
          <w:p w14:paraId="16139D0F"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3.178</w:t>
            </w:r>
          </w:p>
        </w:tc>
        <w:tc>
          <w:tcPr>
            <w:tcW w:w="992" w:type="dxa"/>
            <w:tcBorders>
              <w:top w:val="nil"/>
              <w:left w:val="nil"/>
              <w:bottom w:val="single" w:sz="8" w:space="0" w:color="auto"/>
              <w:right w:val="single" w:sz="8" w:space="0" w:color="auto"/>
            </w:tcBorders>
            <w:noWrap/>
            <w:vAlign w:val="center"/>
            <w:hideMark/>
          </w:tcPr>
          <w:p w14:paraId="097D15EE"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3.184</w:t>
            </w:r>
          </w:p>
        </w:tc>
        <w:tc>
          <w:tcPr>
            <w:tcW w:w="851" w:type="dxa"/>
            <w:tcBorders>
              <w:top w:val="nil"/>
              <w:left w:val="nil"/>
              <w:bottom w:val="single" w:sz="8" w:space="0" w:color="auto"/>
              <w:right w:val="single" w:sz="8" w:space="0" w:color="auto"/>
            </w:tcBorders>
            <w:vAlign w:val="center"/>
            <w:hideMark/>
          </w:tcPr>
          <w:p w14:paraId="1EBEF7E5"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C00000"/>
                <w:sz w:val="16"/>
                <w:szCs w:val="16"/>
                <w:lang w:val="es-CO" w:eastAsia="es-CO"/>
              </w:rPr>
              <w:t xml:space="preserve">(1) </w:t>
            </w:r>
            <w:r w:rsidRPr="008D2838">
              <w:rPr>
                <w:rFonts w:ascii="Arial" w:eastAsia="Times New Roman" w:hAnsi="Arial" w:cs="Arial"/>
                <w:b/>
                <w:bCs/>
                <w:color w:val="000000"/>
                <w:sz w:val="16"/>
                <w:szCs w:val="16"/>
                <w:lang w:val="es-CO" w:eastAsia="es-CO"/>
              </w:rPr>
              <w:t>3.140</w:t>
            </w:r>
          </w:p>
        </w:tc>
        <w:tc>
          <w:tcPr>
            <w:tcW w:w="992" w:type="dxa"/>
            <w:tcBorders>
              <w:top w:val="nil"/>
              <w:left w:val="nil"/>
              <w:bottom w:val="single" w:sz="8" w:space="0" w:color="auto"/>
              <w:right w:val="single" w:sz="8" w:space="0" w:color="auto"/>
            </w:tcBorders>
            <w:vAlign w:val="center"/>
            <w:hideMark/>
          </w:tcPr>
          <w:p w14:paraId="1F38DB05"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3.214</w:t>
            </w:r>
          </w:p>
        </w:tc>
      </w:tr>
      <w:tr w:rsidR="00081708" w:rsidRPr="008D2838" w14:paraId="2A97385E"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50DE433A" w14:textId="77777777" w:rsidR="00081708" w:rsidRPr="008D2838" w:rsidRDefault="00081708" w:rsidP="00081708">
            <w:pPr>
              <w:jc w:val="both"/>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Contratos aseo y vigilancia</w:t>
            </w:r>
          </w:p>
        </w:tc>
        <w:tc>
          <w:tcPr>
            <w:tcW w:w="851" w:type="dxa"/>
            <w:tcBorders>
              <w:top w:val="nil"/>
              <w:left w:val="nil"/>
              <w:bottom w:val="single" w:sz="8" w:space="0" w:color="auto"/>
              <w:right w:val="single" w:sz="8" w:space="0" w:color="auto"/>
            </w:tcBorders>
            <w:vAlign w:val="center"/>
            <w:hideMark/>
          </w:tcPr>
          <w:p w14:paraId="79C5EBF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5.724</w:t>
            </w:r>
          </w:p>
        </w:tc>
        <w:tc>
          <w:tcPr>
            <w:tcW w:w="992" w:type="dxa"/>
            <w:tcBorders>
              <w:top w:val="nil"/>
              <w:left w:val="nil"/>
              <w:bottom w:val="single" w:sz="8" w:space="0" w:color="auto"/>
              <w:right w:val="single" w:sz="8" w:space="0" w:color="auto"/>
            </w:tcBorders>
            <w:noWrap/>
            <w:vAlign w:val="center"/>
            <w:hideMark/>
          </w:tcPr>
          <w:p w14:paraId="38F9A7FD"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3.160</w:t>
            </w:r>
          </w:p>
        </w:tc>
        <w:tc>
          <w:tcPr>
            <w:tcW w:w="851" w:type="dxa"/>
            <w:tcBorders>
              <w:top w:val="nil"/>
              <w:left w:val="nil"/>
              <w:bottom w:val="single" w:sz="8" w:space="0" w:color="auto"/>
              <w:right w:val="single" w:sz="8" w:space="0" w:color="auto"/>
            </w:tcBorders>
            <w:vAlign w:val="center"/>
            <w:hideMark/>
          </w:tcPr>
          <w:p w14:paraId="5CAE5F2A"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c>
          <w:tcPr>
            <w:tcW w:w="992" w:type="dxa"/>
            <w:tcBorders>
              <w:top w:val="nil"/>
              <w:left w:val="nil"/>
              <w:bottom w:val="single" w:sz="8" w:space="0" w:color="auto"/>
              <w:right w:val="single" w:sz="8" w:space="0" w:color="auto"/>
            </w:tcBorders>
            <w:vAlign w:val="center"/>
            <w:hideMark/>
          </w:tcPr>
          <w:p w14:paraId="2885A85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r>
      <w:tr w:rsidR="00081708" w:rsidRPr="008D2838" w14:paraId="5A78952C" w14:textId="77777777" w:rsidTr="00081708">
        <w:trPr>
          <w:trHeight w:val="20"/>
        </w:trPr>
        <w:tc>
          <w:tcPr>
            <w:tcW w:w="5093"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65A3B2E" w14:textId="77777777" w:rsidR="00081708" w:rsidRPr="008D2838" w:rsidRDefault="00081708" w:rsidP="00081708">
            <w:pPr>
              <w:jc w:val="both"/>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GASTOS CALIDAD</w:t>
            </w:r>
          </w:p>
        </w:tc>
        <w:tc>
          <w:tcPr>
            <w:tcW w:w="851" w:type="dxa"/>
            <w:tcBorders>
              <w:top w:val="nil"/>
              <w:left w:val="nil"/>
              <w:bottom w:val="single" w:sz="8" w:space="0" w:color="auto"/>
              <w:right w:val="single" w:sz="8" w:space="0" w:color="auto"/>
            </w:tcBorders>
            <w:shd w:val="clear" w:color="auto" w:fill="D9D9D9" w:themeFill="background1" w:themeFillShade="D9"/>
            <w:vAlign w:val="center"/>
            <w:hideMark/>
          </w:tcPr>
          <w:p w14:paraId="4E9CFCB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4.719</w:t>
            </w:r>
          </w:p>
        </w:tc>
        <w:tc>
          <w:tcPr>
            <w:tcW w:w="992" w:type="dxa"/>
            <w:tcBorders>
              <w:top w:val="nil"/>
              <w:left w:val="nil"/>
              <w:bottom w:val="single" w:sz="8" w:space="0" w:color="auto"/>
              <w:right w:val="single" w:sz="8" w:space="0" w:color="auto"/>
            </w:tcBorders>
            <w:shd w:val="clear" w:color="auto" w:fill="D9D9D9" w:themeFill="background1" w:themeFillShade="D9"/>
            <w:vAlign w:val="center"/>
            <w:hideMark/>
          </w:tcPr>
          <w:p w14:paraId="77972036"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2.442</w:t>
            </w:r>
          </w:p>
        </w:tc>
        <w:tc>
          <w:tcPr>
            <w:tcW w:w="851" w:type="dxa"/>
            <w:tcBorders>
              <w:top w:val="nil"/>
              <w:left w:val="nil"/>
              <w:bottom w:val="single" w:sz="8" w:space="0" w:color="auto"/>
              <w:right w:val="single" w:sz="8" w:space="0" w:color="auto"/>
            </w:tcBorders>
            <w:shd w:val="clear" w:color="auto" w:fill="D9D9D9" w:themeFill="background1" w:themeFillShade="D9"/>
            <w:vAlign w:val="center"/>
            <w:hideMark/>
          </w:tcPr>
          <w:p w14:paraId="7BBBB8DD"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3.969</w:t>
            </w:r>
          </w:p>
        </w:tc>
        <w:tc>
          <w:tcPr>
            <w:tcW w:w="992" w:type="dxa"/>
            <w:tcBorders>
              <w:top w:val="nil"/>
              <w:left w:val="nil"/>
              <w:bottom w:val="single" w:sz="8" w:space="0" w:color="auto"/>
              <w:right w:val="single" w:sz="8" w:space="0" w:color="auto"/>
            </w:tcBorders>
            <w:shd w:val="clear" w:color="auto" w:fill="D9D9D9" w:themeFill="background1" w:themeFillShade="D9"/>
            <w:vAlign w:val="center"/>
            <w:hideMark/>
          </w:tcPr>
          <w:p w14:paraId="6BB00339"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5.755</w:t>
            </w:r>
          </w:p>
        </w:tc>
      </w:tr>
      <w:tr w:rsidR="00081708" w:rsidRPr="008D2838" w14:paraId="5BD99063"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5EFF8F60"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Construcción ampliación y adecuación de infraestructura educativa</w:t>
            </w:r>
          </w:p>
        </w:tc>
        <w:tc>
          <w:tcPr>
            <w:tcW w:w="851" w:type="dxa"/>
            <w:tcBorders>
              <w:top w:val="nil"/>
              <w:left w:val="nil"/>
              <w:bottom w:val="single" w:sz="8" w:space="0" w:color="auto"/>
              <w:right w:val="single" w:sz="8" w:space="0" w:color="auto"/>
            </w:tcBorders>
            <w:vAlign w:val="center"/>
            <w:hideMark/>
          </w:tcPr>
          <w:p w14:paraId="0D2C404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23</w:t>
            </w:r>
          </w:p>
        </w:tc>
        <w:tc>
          <w:tcPr>
            <w:tcW w:w="992" w:type="dxa"/>
            <w:tcBorders>
              <w:top w:val="nil"/>
              <w:left w:val="nil"/>
              <w:bottom w:val="single" w:sz="8" w:space="0" w:color="auto"/>
              <w:right w:val="single" w:sz="8" w:space="0" w:color="auto"/>
            </w:tcBorders>
            <w:vAlign w:val="center"/>
            <w:hideMark/>
          </w:tcPr>
          <w:p w14:paraId="75AA9491"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851" w:type="dxa"/>
            <w:tcBorders>
              <w:top w:val="nil"/>
              <w:left w:val="nil"/>
              <w:bottom w:val="single" w:sz="8" w:space="0" w:color="auto"/>
              <w:right w:val="single" w:sz="8" w:space="0" w:color="auto"/>
            </w:tcBorders>
            <w:vAlign w:val="center"/>
            <w:hideMark/>
          </w:tcPr>
          <w:p w14:paraId="2C12886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1.646</w:t>
            </w:r>
          </w:p>
        </w:tc>
        <w:tc>
          <w:tcPr>
            <w:tcW w:w="992" w:type="dxa"/>
            <w:tcBorders>
              <w:top w:val="nil"/>
              <w:left w:val="nil"/>
              <w:bottom w:val="single" w:sz="8" w:space="0" w:color="auto"/>
              <w:right w:val="single" w:sz="8" w:space="0" w:color="auto"/>
            </w:tcBorders>
            <w:vAlign w:val="center"/>
            <w:hideMark/>
          </w:tcPr>
          <w:p w14:paraId="5E075F2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1.709</w:t>
            </w:r>
          </w:p>
        </w:tc>
      </w:tr>
      <w:tr w:rsidR="00081708" w:rsidRPr="008D2838" w14:paraId="4828C219"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44851B87"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Reinversión: Estudios, diseños, consultorías, asesorías e interventorías.</w:t>
            </w:r>
          </w:p>
        </w:tc>
        <w:tc>
          <w:tcPr>
            <w:tcW w:w="851" w:type="dxa"/>
            <w:tcBorders>
              <w:top w:val="nil"/>
              <w:left w:val="nil"/>
              <w:bottom w:val="single" w:sz="8" w:space="0" w:color="auto"/>
              <w:right w:val="single" w:sz="8" w:space="0" w:color="auto"/>
            </w:tcBorders>
            <w:vAlign w:val="center"/>
            <w:hideMark/>
          </w:tcPr>
          <w:p w14:paraId="417DE3A8"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92" w:type="dxa"/>
            <w:tcBorders>
              <w:top w:val="nil"/>
              <w:left w:val="nil"/>
              <w:bottom w:val="single" w:sz="8" w:space="0" w:color="auto"/>
              <w:right w:val="single" w:sz="8" w:space="0" w:color="auto"/>
            </w:tcBorders>
            <w:noWrap/>
            <w:vAlign w:val="center"/>
            <w:hideMark/>
          </w:tcPr>
          <w:p w14:paraId="1593872A"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851" w:type="dxa"/>
            <w:tcBorders>
              <w:top w:val="nil"/>
              <w:left w:val="nil"/>
              <w:bottom w:val="single" w:sz="8" w:space="0" w:color="auto"/>
              <w:right w:val="single" w:sz="8" w:space="0" w:color="auto"/>
            </w:tcBorders>
            <w:vAlign w:val="center"/>
            <w:hideMark/>
          </w:tcPr>
          <w:p w14:paraId="57B515A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227</w:t>
            </w:r>
          </w:p>
        </w:tc>
        <w:tc>
          <w:tcPr>
            <w:tcW w:w="992" w:type="dxa"/>
            <w:tcBorders>
              <w:top w:val="nil"/>
              <w:left w:val="nil"/>
              <w:bottom w:val="single" w:sz="8" w:space="0" w:color="auto"/>
              <w:right w:val="single" w:sz="8" w:space="0" w:color="auto"/>
            </w:tcBorders>
            <w:vAlign w:val="center"/>
            <w:hideMark/>
          </w:tcPr>
          <w:p w14:paraId="590C4E68"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r>
      <w:tr w:rsidR="00081708" w:rsidRPr="008D2838" w14:paraId="1F2B3D84"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5EAB1C83"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Mantenimiento de infraestructura educativa</w:t>
            </w:r>
          </w:p>
        </w:tc>
        <w:tc>
          <w:tcPr>
            <w:tcW w:w="851" w:type="dxa"/>
            <w:tcBorders>
              <w:top w:val="nil"/>
              <w:left w:val="nil"/>
              <w:bottom w:val="single" w:sz="8" w:space="0" w:color="auto"/>
              <w:right w:val="single" w:sz="8" w:space="0" w:color="auto"/>
            </w:tcBorders>
            <w:vAlign w:val="center"/>
            <w:hideMark/>
          </w:tcPr>
          <w:p w14:paraId="6571A8DA"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564</w:t>
            </w:r>
          </w:p>
        </w:tc>
        <w:tc>
          <w:tcPr>
            <w:tcW w:w="992" w:type="dxa"/>
            <w:tcBorders>
              <w:top w:val="nil"/>
              <w:left w:val="nil"/>
              <w:bottom w:val="single" w:sz="8" w:space="0" w:color="auto"/>
              <w:right w:val="single" w:sz="8" w:space="0" w:color="auto"/>
            </w:tcBorders>
            <w:noWrap/>
            <w:vAlign w:val="center"/>
            <w:hideMark/>
          </w:tcPr>
          <w:p w14:paraId="5467962D"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39</w:t>
            </w:r>
          </w:p>
        </w:tc>
        <w:tc>
          <w:tcPr>
            <w:tcW w:w="851" w:type="dxa"/>
            <w:tcBorders>
              <w:top w:val="nil"/>
              <w:left w:val="nil"/>
              <w:bottom w:val="single" w:sz="8" w:space="0" w:color="auto"/>
              <w:right w:val="single" w:sz="8" w:space="0" w:color="auto"/>
            </w:tcBorders>
            <w:vAlign w:val="center"/>
            <w:hideMark/>
          </w:tcPr>
          <w:p w14:paraId="24F9142A"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92" w:type="dxa"/>
            <w:tcBorders>
              <w:top w:val="nil"/>
              <w:left w:val="nil"/>
              <w:bottom w:val="single" w:sz="8" w:space="0" w:color="auto"/>
              <w:right w:val="single" w:sz="8" w:space="0" w:color="auto"/>
            </w:tcBorders>
            <w:vAlign w:val="center"/>
            <w:hideMark/>
          </w:tcPr>
          <w:p w14:paraId="0287649B"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r>
      <w:tr w:rsidR="00081708" w:rsidRPr="008D2838" w14:paraId="4130425A"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58E3B510"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Transporte Escolar</w:t>
            </w:r>
          </w:p>
        </w:tc>
        <w:tc>
          <w:tcPr>
            <w:tcW w:w="851" w:type="dxa"/>
            <w:tcBorders>
              <w:top w:val="nil"/>
              <w:left w:val="nil"/>
              <w:bottom w:val="single" w:sz="8" w:space="0" w:color="auto"/>
              <w:right w:val="single" w:sz="8" w:space="0" w:color="auto"/>
            </w:tcBorders>
            <w:vAlign w:val="center"/>
            <w:hideMark/>
          </w:tcPr>
          <w:p w14:paraId="32A61BED"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2.665</w:t>
            </w:r>
          </w:p>
        </w:tc>
        <w:tc>
          <w:tcPr>
            <w:tcW w:w="992" w:type="dxa"/>
            <w:tcBorders>
              <w:top w:val="nil"/>
              <w:left w:val="nil"/>
              <w:bottom w:val="single" w:sz="8" w:space="0" w:color="auto"/>
              <w:right w:val="single" w:sz="8" w:space="0" w:color="auto"/>
            </w:tcBorders>
            <w:noWrap/>
            <w:vAlign w:val="center"/>
            <w:hideMark/>
          </w:tcPr>
          <w:p w14:paraId="298A2944"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1.023</w:t>
            </w:r>
          </w:p>
        </w:tc>
        <w:tc>
          <w:tcPr>
            <w:tcW w:w="851" w:type="dxa"/>
            <w:tcBorders>
              <w:top w:val="nil"/>
              <w:left w:val="nil"/>
              <w:bottom w:val="single" w:sz="8" w:space="0" w:color="auto"/>
              <w:right w:val="single" w:sz="8" w:space="0" w:color="auto"/>
            </w:tcBorders>
            <w:vAlign w:val="center"/>
            <w:hideMark/>
          </w:tcPr>
          <w:p w14:paraId="345DEB3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C00000"/>
                <w:sz w:val="16"/>
                <w:szCs w:val="16"/>
                <w:lang w:val="es-CO" w:eastAsia="es-CO"/>
              </w:rPr>
              <w:t xml:space="preserve">(2) </w:t>
            </w:r>
            <w:r w:rsidRPr="008D2838">
              <w:rPr>
                <w:rFonts w:ascii="Arial" w:eastAsia="Times New Roman" w:hAnsi="Arial" w:cs="Arial"/>
                <w:color w:val="000000"/>
                <w:sz w:val="16"/>
                <w:szCs w:val="16"/>
                <w:lang w:val="es-CO" w:eastAsia="es-CO"/>
              </w:rPr>
              <w:t>1.690</w:t>
            </w:r>
          </w:p>
        </w:tc>
        <w:tc>
          <w:tcPr>
            <w:tcW w:w="992" w:type="dxa"/>
            <w:tcBorders>
              <w:top w:val="nil"/>
              <w:left w:val="nil"/>
              <w:bottom w:val="single" w:sz="8" w:space="0" w:color="auto"/>
              <w:right w:val="single" w:sz="8" w:space="0" w:color="auto"/>
            </w:tcBorders>
            <w:vAlign w:val="center"/>
            <w:hideMark/>
          </w:tcPr>
          <w:p w14:paraId="1214C0AC"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2.692</w:t>
            </w:r>
          </w:p>
        </w:tc>
      </w:tr>
      <w:tr w:rsidR="00081708" w:rsidRPr="008D2838" w14:paraId="28155CAA"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736E558D"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Capacitación a docentes y directivos docentes</w:t>
            </w:r>
          </w:p>
        </w:tc>
        <w:tc>
          <w:tcPr>
            <w:tcW w:w="851" w:type="dxa"/>
            <w:tcBorders>
              <w:top w:val="nil"/>
              <w:left w:val="nil"/>
              <w:bottom w:val="single" w:sz="8" w:space="0" w:color="auto"/>
              <w:right w:val="single" w:sz="8" w:space="0" w:color="auto"/>
            </w:tcBorders>
            <w:vAlign w:val="center"/>
            <w:hideMark/>
          </w:tcPr>
          <w:p w14:paraId="6AD500C6"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500</w:t>
            </w:r>
          </w:p>
        </w:tc>
        <w:tc>
          <w:tcPr>
            <w:tcW w:w="992" w:type="dxa"/>
            <w:tcBorders>
              <w:top w:val="nil"/>
              <w:left w:val="nil"/>
              <w:bottom w:val="single" w:sz="8" w:space="0" w:color="auto"/>
              <w:right w:val="single" w:sz="8" w:space="0" w:color="auto"/>
            </w:tcBorders>
            <w:noWrap/>
            <w:vAlign w:val="center"/>
            <w:hideMark/>
          </w:tcPr>
          <w:p w14:paraId="088BA431"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100</w:t>
            </w:r>
          </w:p>
        </w:tc>
        <w:tc>
          <w:tcPr>
            <w:tcW w:w="851" w:type="dxa"/>
            <w:tcBorders>
              <w:top w:val="nil"/>
              <w:left w:val="nil"/>
              <w:bottom w:val="single" w:sz="8" w:space="0" w:color="auto"/>
              <w:right w:val="single" w:sz="8" w:space="0" w:color="auto"/>
            </w:tcBorders>
            <w:vAlign w:val="center"/>
            <w:hideMark/>
          </w:tcPr>
          <w:p w14:paraId="7026B3CE"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200</w:t>
            </w:r>
          </w:p>
        </w:tc>
        <w:tc>
          <w:tcPr>
            <w:tcW w:w="992" w:type="dxa"/>
            <w:tcBorders>
              <w:top w:val="nil"/>
              <w:left w:val="nil"/>
              <w:bottom w:val="single" w:sz="8" w:space="0" w:color="auto"/>
              <w:right w:val="single" w:sz="8" w:space="0" w:color="auto"/>
            </w:tcBorders>
            <w:vAlign w:val="center"/>
            <w:hideMark/>
          </w:tcPr>
          <w:p w14:paraId="17CCD508"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761</w:t>
            </w:r>
          </w:p>
        </w:tc>
      </w:tr>
      <w:tr w:rsidR="00081708" w:rsidRPr="008D2838" w14:paraId="18D5CCAF"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5690A78B"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Funcionamiento básico de los establecimientos educativos</w:t>
            </w:r>
          </w:p>
        </w:tc>
        <w:tc>
          <w:tcPr>
            <w:tcW w:w="851" w:type="dxa"/>
            <w:tcBorders>
              <w:top w:val="nil"/>
              <w:left w:val="nil"/>
              <w:bottom w:val="single" w:sz="8" w:space="0" w:color="auto"/>
              <w:right w:val="single" w:sz="8" w:space="0" w:color="auto"/>
            </w:tcBorders>
            <w:vAlign w:val="center"/>
            <w:hideMark/>
          </w:tcPr>
          <w:p w14:paraId="06786BC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50</w:t>
            </w:r>
          </w:p>
        </w:tc>
        <w:tc>
          <w:tcPr>
            <w:tcW w:w="992" w:type="dxa"/>
            <w:tcBorders>
              <w:top w:val="nil"/>
              <w:left w:val="nil"/>
              <w:bottom w:val="single" w:sz="8" w:space="0" w:color="auto"/>
              <w:right w:val="single" w:sz="8" w:space="0" w:color="auto"/>
            </w:tcBorders>
            <w:noWrap/>
            <w:vAlign w:val="center"/>
            <w:hideMark/>
          </w:tcPr>
          <w:p w14:paraId="54CB2A19"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51</w:t>
            </w:r>
          </w:p>
        </w:tc>
        <w:tc>
          <w:tcPr>
            <w:tcW w:w="851" w:type="dxa"/>
            <w:tcBorders>
              <w:top w:val="nil"/>
              <w:left w:val="nil"/>
              <w:bottom w:val="single" w:sz="8" w:space="0" w:color="auto"/>
              <w:right w:val="single" w:sz="8" w:space="0" w:color="auto"/>
            </w:tcBorders>
            <w:vAlign w:val="center"/>
            <w:hideMark/>
          </w:tcPr>
          <w:p w14:paraId="111AF081"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44</w:t>
            </w:r>
          </w:p>
        </w:tc>
        <w:tc>
          <w:tcPr>
            <w:tcW w:w="992" w:type="dxa"/>
            <w:tcBorders>
              <w:top w:val="nil"/>
              <w:left w:val="nil"/>
              <w:bottom w:val="single" w:sz="8" w:space="0" w:color="auto"/>
              <w:right w:val="single" w:sz="8" w:space="0" w:color="auto"/>
            </w:tcBorders>
            <w:vAlign w:val="center"/>
            <w:hideMark/>
          </w:tcPr>
          <w:p w14:paraId="51893C29"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290</w:t>
            </w:r>
          </w:p>
        </w:tc>
      </w:tr>
      <w:tr w:rsidR="00081708" w:rsidRPr="008D2838" w14:paraId="7134189E"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5D1A1C9B"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xml:space="preserve">Alimentación Escolar </w:t>
            </w:r>
          </w:p>
        </w:tc>
        <w:tc>
          <w:tcPr>
            <w:tcW w:w="851" w:type="dxa"/>
            <w:tcBorders>
              <w:top w:val="nil"/>
              <w:left w:val="nil"/>
              <w:bottom w:val="single" w:sz="8" w:space="0" w:color="auto"/>
              <w:right w:val="single" w:sz="8" w:space="0" w:color="auto"/>
            </w:tcBorders>
            <w:vAlign w:val="center"/>
            <w:hideMark/>
          </w:tcPr>
          <w:p w14:paraId="4DC847A4"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917</w:t>
            </w:r>
          </w:p>
        </w:tc>
        <w:tc>
          <w:tcPr>
            <w:tcW w:w="992" w:type="dxa"/>
            <w:tcBorders>
              <w:top w:val="nil"/>
              <w:left w:val="nil"/>
              <w:bottom w:val="single" w:sz="8" w:space="0" w:color="auto"/>
              <w:right w:val="single" w:sz="8" w:space="0" w:color="auto"/>
            </w:tcBorders>
            <w:noWrap/>
            <w:vAlign w:val="center"/>
            <w:hideMark/>
          </w:tcPr>
          <w:p w14:paraId="1771368C"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701</w:t>
            </w:r>
          </w:p>
        </w:tc>
        <w:tc>
          <w:tcPr>
            <w:tcW w:w="851" w:type="dxa"/>
            <w:tcBorders>
              <w:top w:val="nil"/>
              <w:left w:val="nil"/>
              <w:bottom w:val="single" w:sz="8" w:space="0" w:color="auto"/>
              <w:right w:val="single" w:sz="8" w:space="0" w:color="auto"/>
            </w:tcBorders>
            <w:noWrap/>
            <w:vAlign w:val="center"/>
            <w:hideMark/>
          </w:tcPr>
          <w:p w14:paraId="6D4655C6"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C00000"/>
                <w:sz w:val="16"/>
                <w:szCs w:val="16"/>
                <w:lang w:val="es-CO" w:eastAsia="es-CO"/>
              </w:rPr>
              <w:t>(3)</w:t>
            </w:r>
          </w:p>
        </w:tc>
        <w:tc>
          <w:tcPr>
            <w:tcW w:w="992" w:type="dxa"/>
            <w:tcBorders>
              <w:top w:val="nil"/>
              <w:left w:val="nil"/>
              <w:bottom w:val="single" w:sz="8" w:space="0" w:color="auto"/>
              <w:right w:val="single" w:sz="8" w:space="0" w:color="auto"/>
            </w:tcBorders>
            <w:noWrap/>
            <w:vAlign w:val="center"/>
            <w:hideMark/>
          </w:tcPr>
          <w:p w14:paraId="3E55809F"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r>
      <w:tr w:rsidR="00081708" w:rsidRPr="008D2838" w14:paraId="79D686FA" w14:textId="77777777" w:rsidTr="00E32F8D">
        <w:trPr>
          <w:trHeight w:val="20"/>
        </w:trPr>
        <w:tc>
          <w:tcPr>
            <w:tcW w:w="5093" w:type="dxa"/>
            <w:tcBorders>
              <w:top w:val="nil"/>
              <w:left w:val="single" w:sz="8" w:space="0" w:color="auto"/>
              <w:bottom w:val="single" w:sz="8" w:space="0" w:color="auto"/>
              <w:right w:val="single" w:sz="8" w:space="0" w:color="auto"/>
            </w:tcBorders>
            <w:noWrap/>
            <w:vAlign w:val="center"/>
            <w:hideMark/>
          </w:tcPr>
          <w:p w14:paraId="76A162D3"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Materiales y dotación institucional</w:t>
            </w:r>
          </w:p>
        </w:tc>
        <w:tc>
          <w:tcPr>
            <w:tcW w:w="851" w:type="dxa"/>
            <w:tcBorders>
              <w:top w:val="nil"/>
              <w:left w:val="nil"/>
              <w:bottom w:val="single" w:sz="8" w:space="0" w:color="auto"/>
              <w:right w:val="single" w:sz="8" w:space="0" w:color="auto"/>
            </w:tcBorders>
            <w:vAlign w:val="center"/>
            <w:hideMark/>
          </w:tcPr>
          <w:p w14:paraId="28593B8E"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92" w:type="dxa"/>
            <w:tcBorders>
              <w:top w:val="nil"/>
              <w:left w:val="nil"/>
              <w:bottom w:val="single" w:sz="8" w:space="0" w:color="auto"/>
              <w:right w:val="single" w:sz="8" w:space="0" w:color="auto"/>
            </w:tcBorders>
            <w:noWrap/>
            <w:vAlign w:val="center"/>
            <w:hideMark/>
          </w:tcPr>
          <w:p w14:paraId="024E76A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851" w:type="dxa"/>
            <w:tcBorders>
              <w:top w:val="nil"/>
              <w:left w:val="nil"/>
              <w:bottom w:val="single" w:sz="8" w:space="0" w:color="auto"/>
              <w:right w:val="single" w:sz="8" w:space="0" w:color="auto"/>
            </w:tcBorders>
            <w:vAlign w:val="center"/>
            <w:hideMark/>
          </w:tcPr>
          <w:p w14:paraId="172AA3C3"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126</w:t>
            </w:r>
          </w:p>
        </w:tc>
        <w:tc>
          <w:tcPr>
            <w:tcW w:w="992" w:type="dxa"/>
            <w:tcBorders>
              <w:top w:val="nil"/>
              <w:left w:val="nil"/>
              <w:bottom w:val="single" w:sz="8" w:space="0" w:color="auto"/>
              <w:right w:val="single" w:sz="8" w:space="0" w:color="auto"/>
            </w:tcBorders>
            <w:vAlign w:val="center"/>
            <w:hideMark/>
          </w:tcPr>
          <w:p w14:paraId="59D9211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r>
      <w:tr w:rsidR="00081708" w:rsidRPr="008D2838" w14:paraId="1400C04C" w14:textId="77777777" w:rsidTr="00E32F8D">
        <w:trPr>
          <w:trHeight w:val="20"/>
        </w:trPr>
        <w:tc>
          <w:tcPr>
            <w:tcW w:w="5093" w:type="dxa"/>
            <w:tcBorders>
              <w:top w:val="nil"/>
              <w:left w:val="single" w:sz="8" w:space="0" w:color="auto"/>
              <w:bottom w:val="single" w:sz="8" w:space="0" w:color="auto"/>
              <w:right w:val="single" w:sz="8" w:space="0" w:color="auto"/>
            </w:tcBorders>
            <w:noWrap/>
            <w:vAlign w:val="center"/>
            <w:hideMark/>
          </w:tcPr>
          <w:p w14:paraId="3605240D" w14:textId="77777777" w:rsidR="00081708" w:rsidRPr="008D2838" w:rsidRDefault="00081708" w:rsidP="00081708">
            <w:pPr>
              <w:ind w:firstLineChars="100" w:firstLine="160"/>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Pago servicios públicos de las instituciones educativas</w:t>
            </w:r>
          </w:p>
        </w:tc>
        <w:tc>
          <w:tcPr>
            <w:tcW w:w="851" w:type="dxa"/>
            <w:tcBorders>
              <w:top w:val="nil"/>
              <w:left w:val="nil"/>
              <w:bottom w:val="single" w:sz="8" w:space="0" w:color="auto"/>
              <w:right w:val="single" w:sz="8" w:space="0" w:color="auto"/>
            </w:tcBorders>
            <w:vAlign w:val="center"/>
            <w:hideMark/>
          </w:tcPr>
          <w:p w14:paraId="7E44CAAE"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992" w:type="dxa"/>
            <w:tcBorders>
              <w:top w:val="nil"/>
              <w:left w:val="nil"/>
              <w:bottom w:val="single" w:sz="8" w:space="0" w:color="auto"/>
              <w:right w:val="single" w:sz="8" w:space="0" w:color="auto"/>
            </w:tcBorders>
            <w:noWrap/>
            <w:vAlign w:val="center"/>
            <w:hideMark/>
          </w:tcPr>
          <w:p w14:paraId="30206BC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528</w:t>
            </w:r>
          </w:p>
        </w:tc>
        <w:tc>
          <w:tcPr>
            <w:tcW w:w="851" w:type="dxa"/>
            <w:tcBorders>
              <w:top w:val="nil"/>
              <w:left w:val="nil"/>
              <w:bottom w:val="single" w:sz="8" w:space="0" w:color="auto"/>
              <w:right w:val="single" w:sz="8" w:space="0" w:color="auto"/>
            </w:tcBorders>
            <w:vAlign w:val="center"/>
            <w:hideMark/>
          </w:tcPr>
          <w:p w14:paraId="66D26603"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36</w:t>
            </w:r>
          </w:p>
        </w:tc>
        <w:tc>
          <w:tcPr>
            <w:tcW w:w="992" w:type="dxa"/>
            <w:tcBorders>
              <w:top w:val="nil"/>
              <w:left w:val="nil"/>
              <w:bottom w:val="single" w:sz="8" w:space="0" w:color="auto"/>
              <w:right w:val="single" w:sz="8" w:space="0" w:color="auto"/>
            </w:tcBorders>
            <w:vAlign w:val="center"/>
            <w:hideMark/>
          </w:tcPr>
          <w:p w14:paraId="30A062F3"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91</w:t>
            </w:r>
          </w:p>
        </w:tc>
      </w:tr>
      <w:tr w:rsidR="00081708" w:rsidRPr="008D2838" w14:paraId="4B00ABE7" w14:textId="77777777" w:rsidTr="00E32F8D">
        <w:trPr>
          <w:trHeight w:val="20"/>
        </w:trPr>
        <w:tc>
          <w:tcPr>
            <w:tcW w:w="5093" w:type="dxa"/>
            <w:tcBorders>
              <w:top w:val="nil"/>
              <w:left w:val="single" w:sz="8" w:space="0" w:color="auto"/>
              <w:bottom w:val="single" w:sz="8" w:space="0" w:color="auto"/>
              <w:right w:val="single" w:sz="8" w:space="0" w:color="auto"/>
            </w:tcBorders>
            <w:vAlign w:val="center"/>
            <w:hideMark/>
          </w:tcPr>
          <w:p w14:paraId="7BDDEA0A" w14:textId="77777777" w:rsidR="00081708" w:rsidRPr="008D2838" w:rsidRDefault="00081708" w:rsidP="00081708">
            <w:pPr>
              <w:ind w:firstLineChars="100" w:firstLine="160"/>
              <w:rPr>
                <w:rFonts w:ascii="Arial" w:eastAsia="Times New Roman" w:hAnsi="Arial" w:cs="Arial"/>
                <w:sz w:val="16"/>
                <w:szCs w:val="16"/>
                <w:lang w:val="es-CO" w:eastAsia="es-CO"/>
              </w:rPr>
            </w:pPr>
            <w:r w:rsidRPr="008D2838">
              <w:rPr>
                <w:rFonts w:ascii="Arial" w:eastAsia="Times New Roman" w:hAnsi="Arial" w:cs="Arial"/>
                <w:sz w:val="16"/>
                <w:szCs w:val="16"/>
                <w:lang w:val="es-CO" w:eastAsia="es-CO"/>
              </w:rPr>
              <w:t xml:space="preserve">No identificable: </w:t>
            </w:r>
            <w:r w:rsidRPr="008D2838">
              <w:rPr>
                <w:rFonts w:ascii="Arial" w:eastAsia="Times New Roman" w:hAnsi="Arial" w:cs="Arial"/>
                <w:i/>
                <w:iCs/>
                <w:sz w:val="16"/>
                <w:szCs w:val="16"/>
                <w:lang w:val="es-CO" w:eastAsia="es-CO"/>
              </w:rPr>
              <w:t>Servicios para la comunidad, sociales y personales</w:t>
            </w:r>
          </w:p>
        </w:tc>
        <w:tc>
          <w:tcPr>
            <w:tcW w:w="851" w:type="dxa"/>
            <w:tcBorders>
              <w:top w:val="nil"/>
              <w:left w:val="nil"/>
              <w:bottom w:val="single" w:sz="8" w:space="0" w:color="auto"/>
              <w:right w:val="single" w:sz="8" w:space="0" w:color="auto"/>
            </w:tcBorders>
            <w:vAlign w:val="center"/>
            <w:hideMark/>
          </w:tcPr>
          <w:p w14:paraId="0B6877F3"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92" w:type="dxa"/>
            <w:tcBorders>
              <w:top w:val="nil"/>
              <w:left w:val="nil"/>
              <w:bottom w:val="single" w:sz="8" w:space="0" w:color="auto"/>
              <w:right w:val="single" w:sz="8" w:space="0" w:color="auto"/>
            </w:tcBorders>
            <w:noWrap/>
            <w:vAlign w:val="center"/>
            <w:hideMark/>
          </w:tcPr>
          <w:p w14:paraId="41CE518F"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851" w:type="dxa"/>
            <w:tcBorders>
              <w:top w:val="nil"/>
              <w:left w:val="nil"/>
              <w:bottom w:val="single" w:sz="8" w:space="0" w:color="auto"/>
              <w:right w:val="single" w:sz="8" w:space="0" w:color="auto"/>
            </w:tcBorders>
            <w:vAlign w:val="center"/>
            <w:hideMark/>
          </w:tcPr>
          <w:p w14:paraId="231BC234"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92" w:type="dxa"/>
            <w:tcBorders>
              <w:top w:val="nil"/>
              <w:left w:val="nil"/>
              <w:bottom w:val="single" w:sz="8" w:space="0" w:color="auto"/>
              <w:right w:val="single" w:sz="8" w:space="0" w:color="auto"/>
            </w:tcBorders>
            <w:vAlign w:val="center"/>
            <w:hideMark/>
          </w:tcPr>
          <w:p w14:paraId="7AF603E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b/>
                <w:bCs/>
                <w:color w:val="C00000"/>
                <w:sz w:val="16"/>
                <w:szCs w:val="16"/>
                <w:lang w:val="es-CO" w:eastAsia="es-CO"/>
              </w:rPr>
              <w:t xml:space="preserve">(4) </w:t>
            </w:r>
            <w:r w:rsidRPr="008D2838">
              <w:rPr>
                <w:rFonts w:ascii="Arial" w:eastAsia="Times New Roman" w:hAnsi="Arial" w:cs="Arial"/>
                <w:color w:val="000000"/>
                <w:sz w:val="16"/>
                <w:szCs w:val="16"/>
                <w:lang w:val="es-CO" w:eastAsia="es-CO"/>
              </w:rPr>
              <w:t>213</w:t>
            </w:r>
          </w:p>
        </w:tc>
      </w:tr>
      <w:tr w:rsidR="00081708" w:rsidRPr="008D2838" w14:paraId="44F09E5F" w14:textId="77777777" w:rsidTr="00E32F8D">
        <w:trPr>
          <w:trHeight w:val="20"/>
        </w:trPr>
        <w:tc>
          <w:tcPr>
            <w:tcW w:w="5093"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3CFA7D6" w14:textId="77777777" w:rsidR="00081708" w:rsidRPr="008D2838" w:rsidRDefault="00081708" w:rsidP="00081708">
            <w:pPr>
              <w:jc w:val="both"/>
              <w:rPr>
                <w:rFonts w:ascii="Arial" w:eastAsia="Times New Roman" w:hAnsi="Arial" w:cs="Arial"/>
                <w:b/>
                <w:bCs/>
                <w:color w:val="000000"/>
                <w:sz w:val="16"/>
                <w:szCs w:val="16"/>
                <w:lang w:val="es-CO" w:eastAsia="es-CO"/>
              </w:rPr>
            </w:pPr>
            <w:r w:rsidRPr="008D2838">
              <w:rPr>
                <w:rFonts w:ascii="Arial" w:eastAsia="Times New Roman" w:hAnsi="Arial" w:cs="Arial"/>
                <w:b/>
                <w:color w:val="000000" w:themeColor="text1"/>
                <w:sz w:val="16"/>
                <w:szCs w:val="16"/>
                <w:lang w:val="es-CO" w:eastAsia="es-CO"/>
              </w:rPr>
              <w:t>GASTOS GRATUIDAD</w:t>
            </w:r>
          </w:p>
        </w:tc>
        <w:tc>
          <w:tcPr>
            <w:tcW w:w="851" w:type="dxa"/>
            <w:tcBorders>
              <w:top w:val="nil"/>
              <w:left w:val="nil"/>
              <w:bottom w:val="single" w:sz="8" w:space="0" w:color="auto"/>
              <w:right w:val="single" w:sz="8" w:space="0" w:color="auto"/>
            </w:tcBorders>
            <w:shd w:val="clear" w:color="auto" w:fill="D9D9D9" w:themeFill="background1" w:themeFillShade="D9"/>
            <w:vAlign w:val="center"/>
            <w:hideMark/>
          </w:tcPr>
          <w:p w14:paraId="0066C4AB"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2.870</w:t>
            </w:r>
          </w:p>
        </w:tc>
        <w:tc>
          <w:tcPr>
            <w:tcW w:w="992" w:type="dxa"/>
            <w:tcBorders>
              <w:top w:val="nil"/>
              <w:left w:val="nil"/>
              <w:bottom w:val="single" w:sz="8" w:space="0" w:color="auto"/>
              <w:right w:val="single" w:sz="8" w:space="0" w:color="auto"/>
            </w:tcBorders>
            <w:shd w:val="clear" w:color="auto" w:fill="D9D9D9" w:themeFill="background1" w:themeFillShade="D9"/>
            <w:vAlign w:val="center"/>
            <w:hideMark/>
          </w:tcPr>
          <w:p w14:paraId="0193746B"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3.973</w:t>
            </w:r>
          </w:p>
        </w:tc>
        <w:tc>
          <w:tcPr>
            <w:tcW w:w="851" w:type="dxa"/>
            <w:tcBorders>
              <w:top w:val="nil"/>
              <w:left w:val="nil"/>
              <w:bottom w:val="single" w:sz="8" w:space="0" w:color="auto"/>
              <w:right w:val="single" w:sz="8" w:space="0" w:color="auto"/>
            </w:tcBorders>
            <w:shd w:val="clear" w:color="auto" w:fill="D9D9D9" w:themeFill="background1" w:themeFillShade="D9"/>
            <w:vAlign w:val="center"/>
            <w:hideMark/>
          </w:tcPr>
          <w:p w14:paraId="10E5EB5E"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2.879</w:t>
            </w:r>
          </w:p>
        </w:tc>
        <w:tc>
          <w:tcPr>
            <w:tcW w:w="992" w:type="dxa"/>
            <w:tcBorders>
              <w:top w:val="nil"/>
              <w:left w:val="nil"/>
              <w:bottom w:val="single" w:sz="8" w:space="0" w:color="auto"/>
              <w:right w:val="single" w:sz="8" w:space="0" w:color="auto"/>
            </w:tcBorders>
            <w:shd w:val="clear" w:color="auto" w:fill="D9D9D9" w:themeFill="background1" w:themeFillShade="D9"/>
            <w:vAlign w:val="center"/>
            <w:hideMark/>
          </w:tcPr>
          <w:p w14:paraId="5F83235D"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2.872</w:t>
            </w:r>
          </w:p>
        </w:tc>
      </w:tr>
      <w:tr w:rsidR="00081708" w:rsidRPr="008D2838" w14:paraId="021F9532" w14:textId="77777777" w:rsidTr="00E32F8D">
        <w:trPr>
          <w:trHeight w:val="20"/>
        </w:trPr>
        <w:tc>
          <w:tcPr>
            <w:tcW w:w="5093"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DF87874" w14:textId="77777777" w:rsidR="00081708" w:rsidRPr="008D2838" w:rsidRDefault="00081708" w:rsidP="00081708">
            <w:pPr>
              <w:jc w:val="both"/>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GASTOS EFICIENCIA (CONECTIVIDAD)</w:t>
            </w:r>
          </w:p>
        </w:tc>
        <w:tc>
          <w:tcPr>
            <w:tcW w:w="851" w:type="dxa"/>
            <w:tcBorders>
              <w:top w:val="nil"/>
              <w:left w:val="nil"/>
              <w:bottom w:val="single" w:sz="8" w:space="0" w:color="auto"/>
              <w:right w:val="single" w:sz="8" w:space="0" w:color="auto"/>
            </w:tcBorders>
            <w:shd w:val="clear" w:color="auto" w:fill="D9D9D9" w:themeFill="background1" w:themeFillShade="D9"/>
            <w:vAlign w:val="center"/>
            <w:hideMark/>
          </w:tcPr>
          <w:p w14:paraId="2031E118"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896</w:t>
            </w:r>
          </w:p>
        </w:tc>
        <w:tc>
          <w:tcPr>
            <w:tcW w:w="992" w:type="dxa"/>
            <w:tcBorders>
              <w:top w:val="nil"/>
              <w:left w:val="nil"/>
              <w:bottom w:val="single" w:sz="8" w:space="0" w:color="auto"/>
              <w:right w:val="single" w:sz="8" w:space="0" w:color="auto"/>
            </w:tcBorders>
            <w:shd w:val="clear" w:color="auto" w:fill="D9D9D9" w:themeFill="background1" w:themeFillShade="D9"/>
            <w:vAlign w:val="center"/>
            <w:hideMark/>
          </w:tcPr>
          <w:p w14:paraId="34951F39"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794</w:t>
            </w:r>
          </w:p>
        </w:tc>
        <w:tc>
          <w:tcPr>
            <w:tcW w:w="851" w:type="dxa"/>
            <w:tcBorders>
              <w:top w:val="nil"/>
              <w:left w:val="nil"/>
              <w:bottom w:val="single" w:sz="8" w:space="0" w:color="auto"/>
              <w:right w:val="single" w:sz="8" w:space="0" w:color="auto"/>
            </w:tcBorders>
            <w:shd w:val="clear" w:color="auto" w:fill="D9D9D9" w:themeFill="background1" w:themeFillShade="D9"/>
            <w:vAlign w:val="center"/>
            <w:hideMark/>
          </w:tcPr>
          <w:p w14:paraId="57DBAED0"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855</w:t>
            </w:r>
          </w:p>
        </w:tc>
        <w:tc>
          <w:tcPr>
            <w:tcW w:w="992" w:type="dxa"/>
            <w:tcBorders>
              <w:top w:val="nil"/>
              <w:left w:val="nil"/>
              <w:bottom w:val="single" w:sz="8" w:space="0" w:color="auto"/>
              <w:right w:val="single" w:sz="8" w:space="0" w:color="auto"/>
            </w:tcBorders>
            <w:shd w:val="clear" w:color="auto" w:fill="D9D9D9" w:themeFill="background1" w:themeFillShade="D9"/>
            <w:vAlign w:val="center"/>
            <w:hideMark/>
          </w:tcPr>
          <w:p w14:paraId="21CE4AFD"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829</w:t>
            </w:r>
          </w:p>
        </w:tc>
      </w:tr>
      <w:tr w:rsidR="00081708" w:rsidRPr="008D2838" w14:paraId="67F0841C" w14:textId="77777777" w:rsidTr="00E32F8D">
        <w:trPr>
          <w:trHeight w:val="20"/>
        </w:trPr>
        <w:tc>
          <w:tcPr>
            <w:tcW w:w="5093"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0AB4502" w14:textId="77777777" w:rsidR="00081708" w:rsidRPr="008D2838" w:rsidRDefault="00081708" w:rsidP="00081708">
            <w:pPr>
              <w:jc w:val="both"/>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GASTOS NECESIDADES EDUCATIVAS ESPECIALES – NEE</w:t>
            </w:r>
          </w:p>
        </w:tc>
        <w:tc>
          <w:tcPr>
            <w:tcW w:w="851" w:type="dxa"/>
            <w:tcBorders>
              <w:top w:val="nil"/>
              <w:left w:val="nil"/>
              <w:bottom w:val="single" w:sz="8" w:space="0" w:color="auto"/>
              <w:right w:val="single" w:sz="8" w:space="0" w:color="auto"/>
            </w:tcBorders>
            <w:shd w:val="clear" w:color="auto" w:fill="D9D9D9" w:themeFill="background1" w:themeFillShade="D9"/>
            <w:vAlign w:val="center"/>
            <w:hideMark/>
          </w:tcPr>
          <w:p w14:paraId="158306CB"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211</w:t>
            </w:r>
          </w:p>
        </w:tc>
        <w:tc>
          <w:tcPr>
            <w:tcW w:w="992" w:type="dxa"/>
            <w:tcBorders>
              <w:top w:val="nil"/>
              <w:left w:val="nil"/>
              <w:bottom w:val="single" w:sz="8" w:space="0" w:color="auto"/>
              <w:right w:val="single" w:sz="8" w:space="0" w:color="auto"/>
            </w:tcBorders>
            <w:shd w:val="clear" w:color="auto" w:fill="D9D9D9" w:themeFill="background1" w:themeFillShade="D9"/>
            <w:vAlign w:val="center"/>
            <w:hideMark/>
          </w:tcPr>
          <w:p w14:paraId="5EA8528A"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222</w:t>
            </w:r>
          </w:p>
        </w:tc>
        <w:tc>
          <w:tcPr>
            <w:tcW w:w="851" w:type="dxa"/>
            <w:tcBorders>
              <w:top w:val="nil"/>
              <w:left w:val="nil"/>
              <w:bottom w:val="single" w:sz="8" w:space="0" w:color="auto"/>
              <w:right w:val="single" w:sz="8" w:space="0" w:color="auto"/>
            </w:tcBorders>
            <w:shd w:val="clear" w:color="auto" w:fill="D9D9D9" w:themeFill="background1" w:themeFillShade="D9"/>
            <w:vAlign w:val="center"/>
            <w:hideMark/>
          </w:tcPr>
          <w:p w14:paraId="7A736C3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249</w:t>
            </w:r>
          </w:p>
        </w:tc>
        <w:tc>
          <w:tcPr>
            <w:tcW w:w="992" w:type="dxa"/>
            <w:tcBorders>
              <w:top w:val="nil"/>
              <w:left w:val="nil"/>
              <w:bottom w:val="single" w:sz="8" w:space="0" w:color="auto"/>
              <w:right w:val="single" w:sz="8" w:space="0" w:color="auto"/>
            </w:tcBorders>
            <w:shd w:val="clear" w:color="auto" w:fill="D9D9D9" w:themeFill="background1" w:themeFillShade="D9"/>
            <w:vAlign w:val="center"/>
            <w:hideMark/>
          </w:tcPr>
          <w:p w14:paraId="390AA1DE"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300</w:t>
            </w:r>
          </w:p>
        </w:tc>
      </w:tr>
      <w:tr w:rsidR="00081708" w:rsidRPr="008D2838" w14:paraId="334E9743" w14:textId="77777777" w:rsidTr="00E32F8D">
        <w:trPr>
          <w:trHeight w:val="20"/>
        </w:trPr>
        <w:tc>
          <w:tcPr>
            <w:tcW w:w="5093" w:type="dxa"/>
            <w:tcBorders>
              <w:top w:val="nil"/>
              <w:left w:val="single" w:sz="8" w:space="0" w:color="auto"/>
              <w:bottom w:val="single" w:sz="8" w:space="0" w:color="auto"/>
              <w:right w:val="single" w:sz="8" w:space="0" w:color="auto"/>
            </w:tcBorders>
            <w:shd w:val="clear" w:color="auto" w:fill="17365D" w:themeFill="text2" w:themeFillShade="BF"/>
            <w:vAlign w:val="center"/>
            <w:hideMark/>
          </w:tcPr>
          <w:p w14:paraId="1109046F" w14:textId="77777777" w:rsidR="00081708" w:rsidRPr="008D2838" w:rsidRDefault="00081708" w:rsidP="00081708">
            <w:pPr>
              <w:jc w:val="both"/>
              <w:rPr>
                <w:rFonts w:ascii="Arial" w:eastAsia="Times New Roman" w:hAnsi="Arial" w:cs="Arial"/>
                <w:b/>
                <w:bCs/>
                <w:color w:val="FFFFFF"/>
                <w:sz w:val="16"/>
                <w:szCs w:val="16"/>
                <w:lang w:val="es-CO" w:eastAsia="es-CO"/>
              </w:rPr>
            </w:pPr>
            <w:r w:rsidRPr="008D2838">
              <w:rPr>
                <w:rFonts w:ascii="Arial" w:eastAsia="Times New Roman" w:hAnsi="Arial" w:cs="Arial"/>
                <w:b/>
                <w:color w:val="FFFFFF" w:themeColor="background1"/>
                <w:sz w:val="16"/>
                <w:szCs w:val="16"/>
                <w:lang w:val="es-CO" w:eastAsia="es-CO"/>
              </w:rPr>
              <w:t>COMPROMISOS SGP – Educación</w:t>
            </w:r>
            <w:r w:rsidRPr="008D2838">
              <w:rPr>
                <w:rFonts w:ascii="Arial" w:eastAsia="Times New Roman" w:hAnsi="Arial" w:cs="Arial"/>
                <w:color w:val="FFFFFF" w:themeColor="background1"/>
                <w:sz w:val="16"/>
                <w:szCs w:val="16"/>
                <w:lang w:val="es-CO" w:eastAsia="es-CO"/>
              </w:rPr>
              <w:t xml:space="preserve"> </w:t>
            </w:r>
          </w:p>
        </w:tc>
        <w:tc>
          <w:tcPr>
            <w:tcW w:w="851" w:type="dxa"/>
            <w:tcBorders>
              <w:top w:val="nil"/>
              <w:left w:val="nil"/>
              <w:bottom w:val="single" w:sz="8" w:space="0" w:color="auto"/>
              <w:right w:val="single" w:sz="8" w:space="0" w:color="auto"/>
            </w:tcBorders>
            <w:shd w:val="clear" w:color="auto" w:fill="17365D" w:themeFill="text2" w:themeFillShade="BF"/>
            <w:vAlign w:val="center"/>
            <w:hideMark/>
          </w:tcPr>
          <w:p w14:paraId="21FBDD22" w14:textId="77777777" w:rsidR="00081708" w:rsidRPr="008D2838" w:rsidRDefault="00081708" w:rsidP="00081708">
            <w:pPr>
              <w:jc w:val="right"/>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110.709</w:t>
            </w:r>
          </w:p>
        </w:tc>
        <w:tc>
          <w:tcPr>
            <w:tcW w:w="992" w:type="dxa"/>
            <w:tcBorders>
              <w:top w:val="nil"/>
              <w:left w:val="nil"/>
              <w:bottom w:val="single" w:sz="8" w:space="0" w:color="auto"/>
              <w:right w:val="single" w:sz="8" w:space="0" w:color="auto"/>
            </w:tcBorders>
            <w:shd w:val="clear" w:color="auto" w:fill="17365D" w:themeFill="text2" w:themeFillShade="BF"/>
            <w:vAlign w:val="center"/>
            <w:hideMark/>
          </w:tcPr>
          <w:p w14:paraId="565F2DC7" w14:textId="77777777" w:rsidR="00081708" w:rsidRPr="008D2838" w:rsidRDefault="00081708" w:rsidP="00081708">
            <w:pPr>
              <w:jc w:val="right"/>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113.891</w:t>
            </w:r>
          </w:p>
        </w:tc>
        <w:tc>
          <w:tcPr>
            <w:tcW w:w="851" w:type="dxa"/>
            <w:tcBorders>
              <w:top w:val="nil"/>
              <w:left w:val="nil"/>
              <w:bottom w:val="single" w:sz="8" w:space="0" w:color="auto"/>
              <w:right w:val="single" w:sz="8" w:space="0" w:color="auto"/>
            </w:tcBorders>
            <w:shd w:val="clear" w:color="auto" w:fill="17365D" w:themeFill="text2" w:themeFillShade="BF"/>
            <w:vAlign w:val="center"/>
            <w:hideMark/>
          </w:tcPr>
          <w:p w14:paraId="1C6C0FA0" w14:textId="77777777" w:rsidR="00081708" w:rsidRPr="008D2838" w:rsidRDefault="00081708" w:rsidP="00081708">
            <w:pPr>
              <w:jc w:val="right"/>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121.652</w:t>
            </w:r>
          </w:p>
        </w:tc>
        <w:tc>
          <w:tcPr>
            <w:tcW w:w="992" w:type="dxa"/>
            <w:tcBorders>
              <w:top w:val="nil"/>
              <w:left w:val="nil"/>
              <w:bottom w:val="single" w:sz="8" w:space="0" w:color="auto"/>
              <w:right w:val="single" w:sz="8" w:space="0" w:color="auto"/>
            </w:tcBorders>
            <w:shd w:val="clear" w:color="auto" w:fill="17365D" w:themeFill="text2" w:themeFillShade="BF"/>
            <w:vAlign w:val="center"/>
            <w:hideMark/>
          </w:tcPr>
          <w:p w14:paraId="78A028EA" w14:textId="77777777" w:rsidR="00081708" w:rsidRPr="008D2838" w:rsidRDefault="00081708" w:rsidP="00081708">
            <w:pPr>
              <w:jc w:val="right"/>
              <w:rPr>
                <w:rFonts w:ascii="Arial" w:eastAsia="Times New Roman" w:hAnsi="Arial" w:cs="Arial"/>
                <w:b/>
                <w:bCs/>
                <w:color w:val="FFFFFF"/>
                <w:sz w:val="16"/>
                <w:szCs w:val="16"/>
                <w:lang w:val="es-CO" w:eastAsia="es-CO"/>
              </w:rPr>
            </w:pPr>
            <w:r w:rsidRPr="008D2838">
              <w:rPr>
                <w:rFonts w:ascii="Arial" w:eastAsia="Times New Roman" w:hAnsi="Arial" w:cs="Arial"/>
                <w:b/>
                <w:bCs/>
                <w:color w:val="FF0000"/>
                <w:sz w:val="16"/>
                <w:szCs w:val="16"/>
                <w:lang w:val="es-CO" w:eastAsia="es-CO"/>
              </w:rPr>
              <w:t xml:space="preserve">(5) </w:t>
            </w:r>
            <w:r w:rsidRPr="008D2838">
              <w:rPr>
                <w:rFonts w:ascii="Arial" w:eastAsia="Times New Roman" w:hAnsi="Arial" w:cs="Arial"/>
                <w:b/>
                <w:bCs/>
                <w:color w:val="FFFFFF"/>
                <w:sz w:val="16"/>
                <w:szCs w:val="16"/>
                <w:lang w:val="es-CO" w:eastAsia="es-CO"/>
              </w:rPr>
              <w:t>126.563</w:t>
            </w:r>
          </w:p>
        </w:tc>
      </w:tr>
    </w:tbl>
    <w:p w14:paraId="690DC1B9" w14:textId="77777777" w:rsidR="00081708" w:rsidRPr="008D2838" w:rsidRDefault="00081708" w:rsidP="00081708">
      <w:pPr>
        <w:jc w:val="center"/>
        <w:rPr>
          <w:rFonts w:ascii="Arial" w:eastAsia="Arial" w:hAnsi="Arial" w:cs="Arial"/>
          <w:sz w:val="16"/>
          <w:szCs w:val="16"/>
          <w:lang w:val="es-CO"/>
        </w:rPr>
      </w:pPr>
      <w:r w:rsidRPr="008D2838">
        <w:rPr>
          <w:rFonts w:ascii="Arial" w:eastAsia="Arial" w:hAnsi="Arial" w:cs="Arial"/>
          <w:sz w:val="16"/>
          <w:szCs w:val="16"/>
          <w:lang w:val="es-CO"/>
        </w:rPr>
        <w:t>Fuente: Ejecución presupuestal entregada por la Entidad Territorial a 31 de diciembre de 2019, 2020, 2021 y 2022, para 2022 se hizo un cruce de información con las órdenes de pago para la clasificación del gasto.</w:t>
      </w:r>
    </w:p>
    <w:p w14:paraId="4FCDD4FC" w14:textId="77777777" w:rsidR="00081708" w:rsidRPr="008D2838" w:rsidRDefault="00081708" w:rsidP="00E32F8D">
      <w:pPr>
        <w:rPr>
          <w:rFonts w:ascii="Arial" w:eastAsia="Arial" w:hAnsi="Arial" w:cs="Arial"/>
          <w:sz w:val="22"/>
          <w:szCs w:val="22"/>
        </w:rPr>
      </w:pPr>
    </w:p>
    <w:p w14:paraId="2670AE47" w14:textId="77777777" w:rsidR="00081708" w:rsidRPr="008D2838" w:rsidRDefault="00081708" w:rsidP="00081708">
      <w:pPr>
        <w:jc w:val="both"/>
        <w:rPr>
          <w:rFonts w:ascii="Arial" w:eastAsia="Arial" w:hAnsi="Arial" w:cs="Arial"/>
          <w:sz w:val="22"/>
          <w:szCs w:val="22"/>
          <w:lang w:val="es-CO"/>
        </w:rPr>
      </w:pPr>
      <w:r w:rsidRPr="008D2838">
        <w:rPr>
          <w:rFonts w:ascii="Arial" w:eastAsia="Arial" w:hAnsi="Arial" w:cs="Arial"/>
          <w:sz w:val="22"/>
          <w:szCs w:val="22"/>
          <w:lang w:val="es-CO"/>
        </w:rPr>
        <w:t>Para la vigencia 2021, de acuerdo con el reporte realizado en el FUT, el Distrito de Turbo comprometió $119.730 millones con cargo a los recursos del SGP asignados al Sector Educación, de los cuales se obligaron $117.688 millones y se pagaron $105.416 millones. No obstante, la ejecución presupuestal y el listado de registros presupuestales enviados por la Entidad Territorial indican que</w:t>
      </w:r>
      <w:r w:rsidR="0023074E" w:rsidRPr="008D2838">
        <w:rPr>
          <w:rFonts w:ascii="Arial" w:eastAsia="Arial" w:hAnsi="Arial" w:cs="Arial"/>
          <w:sz w:val="22"/>
          <w:szCs w:val="22"/>
          <w:lang w:val="es-CO"/>
        </w:rPr>
        <w:t xml:space="preserve"> al mismo corte </w:t>
      </w:r>
      <w:r w:rsidRPr="008D2838">
        <w:rPr>
          <w:rFonts w:ascii="Arial" w:eastAsia="Arial" w:hAnsi="Arial" w:cs="Arial"/>
          <w:sz w:val="22"/>
          <w:szCs w:val="22"/>
          <w:lang w:val="es-CO"/>
        </w:rPr>
        <w:t>la Entidad comprometió en total $121.652 millones</w:t>
      </w:r>
      <w:r w:rsidR="0023074E" w:rsidRPr="008D2838">
        <w:rPr>
          <w:rFonts w:ascii="Arial" w:eastAsia="Arial" w:hAnsi="Arial" w:cs="Arial"/>
          <w:sz w:val="22"/>
          <w:szCs w:val="22"/>
          <w:lang w:val="es-CO"/>
        </w:rPr>
        <w:t>,</w:t>
      </w:r>
      <w:r w:rsidRPr="008D2838">
        <w:rPr>
          <w:rFonts w:ascii="Arial" w:eastAsia="Arial" w:hAnsi="Arial" w:cs="Arial"/>
          <w:sz w:val="22"/>
          <w:szCs w:val="22"/>
          <w:lang w:val="es-CO"/>
        </w:rPr>
        <w:t xml:space="preserve"> de los cuales se obligaron $120.558 millones y se pagaron $119.832 millones.</w:t>
      </w:r>
    </w:p>
    <w:p w14:paraId="4BDA8E64" w14:textId="77777777" w:rsidR="00081708" w:rsidRPr="008D2838" w:rsidRDefault="00081708" w:rsidP="00081708">
      <w:pPr>
        <w:jc w:val="both"/>
        <w:rPr>
          <w:rFonts w:ascii="Arial" w:eastAsia="Arial" w:hAnsi="Arial" w:cs="Arial"/>
          <w:sz w:val="22"/>
          <w:szCs w:val="22"/>
          <w:lang w:val="es-CO"/>
        </w:rPr>
      </w:pPr>
    </w:p>
    <w:p w14:paraId="1A957FCD" w14:textId="77777777" w:rsidR="00081708" w:rsidRPr="008D2838" w:rsidRDefault="00081708" w:rsidP="00081708">
      <w:pPr>
        <w:jc w:val="both"/>
        <w:rPr>
          <w:rFonts w:ascii="Arial" w:eastAsia="Arial" w:hAnsi="Arial" w:cs="Arial"/>
          <w:sz w:val="22"/>
          <w:szCs w:val="22"/>
          <w:lang w:val="es-CO"/>
        </w:rPr>
      </w:pPr>
      <w:r w:rsidRPr="008D2838">
        <w:rPr>
          <w:rFonts w:ascii="Arial" w:eastAsia="Arial" w:hAnsi="Arial" w:cs="Arial"/>
          <w:sz w:val="22"/>
          <w:szCs w:val="22"/>
          <w:lang w:val="es-CO"/>
        </w:rPr>
        <w:t>De manera similar, para la vigencia 2022 se hallaron diferencias entre el total de gastos con recursos del SGP – Educación entre el reporte CUIPO y las ejecuciones presupuestales</w:t>
      </w:r>
      <w:r w:rsidR="00E32F8D" w:rsidRPr="008D2838">
        <w:rPr>
          <w:rFonts w:ascii="Arial" w:eastAsia="Arial" w:hAnsi="Arial" w:cs="Arial"/>
          <w:sz w:val="22"/>
          <w:szCs w:val="22"/>
          <w:lang w:val="es-CO"/>
        </w:rPr>
        <w:t>, así:</w:t>
      </w:r>
      <w:r w:rsidRPr="008D2838">
        <w:rPr>
          <w:rFonts w:ascii="Arial" w:eastAsia="Arial" w:hAnsi="Arial" w:cs="Arial"/>
          <w:sz w:val="22"/>
          <w:szCs w:val="22"/>
          <w:lang w:val="es-CO"/>
        </w:rPr>
        <w:t xml:space="preserve"> </w:t>
      </w:r>
    </w:p>
    <w:p w14:paraId="74549D68" w14:textId="77777777" w:rsidR="00081708" w:rsidRPr="008D2838" w:rsidRDefault="00081708" w:rsidP="00E32F8D">
      <w:pPr>
        <w:jc w:val="both"/>
        <w:rPr>
          <w:rFonts w:ascii="Arial" w:eastAsia="Arial" w:hAnsi="Arial" w:cs="Arial"/>
          <w:sz w:val="22"/>
          <w:szCs w:val="22"/>
        </w:rPr>
      </w:pPr>
    </w:p>
    <w:tbl>
      <w:tblPr>
        <w:tblW w:w="8779" w:type="dxa"/>
        <w:tblInd w:w="5" w:type="dxa"/>
        <w:tblCellMar>
          <w:left w:w="70" w:type="dxa"/>
          <w:right w:w="70" w:type="dxa"/>
        </w:tblCellMar>
        <w:tblLook w:val="04A0" w:firstRow="1" w:lastRow="0" w:firstColumn="1" w:lastColumn="0" w:noHBand="0" w:noVBand="1"/>
      </w:tblPr>
      <w:tblGrid>
        <w:gridCol w:w="1550"/>
        <w:gridCol w:w="1701"/>
        <w:gridCol w:w="1701"/>
        <w:gridCol w:w="1417"/>
        <w:gridCol w:w="1134"/>
        <w:gridCol w:w="1276"/>
      </w:tblGrid>
      <w:tr w:rsidR="00081708" w:rsidRPr="008D2838" w14:paraId="5E56356D" w14:textId="77777777" w:rsidTr="00081708">
        <w:trPr>
          <w:trHeight w:val="20"/>
        </w:trPr>
        <w:tc>
          <w:tcPr>
            <w:tcW w:w="8779" w:type="dxa"/>
            <w:gridSpan w:val="6"/>
            <w:tcBorders>
              <w:top w:val="single" w:sz="4" w:space="0" w:color="auto"/>
              <w:left w:val="single" w:sz="4" w:space="0" w:color="auto"/>
              <w:bottom w:val="single" w:sz="4" w:space="0" w:color="auto"/>
              <w:right w:val="single" w:sz="4" w:space="0" w:color="auto"/>
            </w:tcBorders>
            <w:shd w:val="clear" w:color="auto" w:fill="244061"/>
            <w:vAlign w:val="center"/>
            <w:hideMark/>
          </w:tcPr>
          <w:p w14:paraId="6D2798FD"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 xml:space="preserve">TABLA 3. DIFERENCIA EN COMPROMISOS VIGENCIA 2021 Y 2022 </w:t>
            </w:r>
          </w:p>
          <w:p w14:paraId="232505A4"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(EN MILLONES DE $)</w:t>
            </w:r>
            <w:r w:rsidRPr="008D2838">
              <w:rPr>
                <w:rFonts w:ascii="Arial" w:eastAsia="Times New Roman" w:hAnsi="Arial" w:cs="Arial"/>
                <w:color w:val="FFFFFF"/>
                <w:sz w:val="18"/>
                <w:szCs w:val="18"/>
                <w:lang w:val="es-CO" w:eastAsia="es-CO"/>
              </w:rPr>
              <w:t xml:space="preserve"> </w:t>
            </w:r>
          </w:p>
        </w:tc>
      </w:tr>
      <w:tr w:rsidR="00081708" w:rsidRPr="008D2838" w14:paraId="7CBF351C" w14:textId="77777777" w:rsidTr="00081708">
        <w:trPr>
          <w:trHeight w:val="20"/>
        </w:trPr>
        <w:tc>
          <w:tcPr>
            <w:tcW w:w="1550" w:type="dxa"/>
            <w:tcBorders>
              <w:top w:val="single" w:sz="4" w:space="0" w:color="auto"/>
              <w:left w:val="single" w:sz="8" w:space="0" w:color="auto"/>
              <w:bottom w:val="nil"/>
              <w:right w:val="single" w:sz="8" w:space="0" w:color="auto"/>
            </w:tcBorders>
            <w:shd w:val="clear" w:color="auto" w:fill="95B3D7"/>
            <w:vAlign w:val="center"/>
            <w:hideMark/>
          </w:tcPr>
          <w:p w14:paraId="2C4C7010"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Vigencia</w:t>
            </w:r>
          </w:p>
        </w:tc>
        <w:tc>
          <w:tcPr>
            <w:tcW w:w="1701" w:type="dxa"/>
            <w:tcBorders>
              <w:top w:val="single" w:sz="4" w:space="0" w:color="auto"/>
              <w:left w:val="nil"/>
              <w:bottom w:val="single" w:sz="8" w:space="0" w:color="auto"/>
              <w:right w:val="single" w:sz="8" w:space="0" w:color="auto"/>
            </w:tcBorders>
            <w:shd w:val="clear" w:color="auto" w:fill="95B3D7"/>
            <w:vAlign w:val="center"/>
            <w:hideMark/>
          </w:tcPr>
          <w:p w14:paraId="0B73EB02"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Ejecución Presupuestal (1)</w:t>
            </w:r>
          </w:p>
        </w:tc>
        <w:tc>
          <w:tcPr>
            <w:tcW w:w="1701" w:type="dxa"/>
            <w:tcBorders>
              <w:top w:val="single" w:sz="4" w:space="0" w:color="auto"/>
              <w:left w:val="nil"/>
              <w:bottom w:val="single" w:sz="8" w:space="0" w:color="auto"/>
              <w:right w:val="single" w:sz="8" w:space="0" w:color="auto"/>
            </w:tcBorders>
            <w:shd w:val="clear" w:color="auto" w:fill="95B3D7"/>
            <w:vAlign w:val="center"/>
            <w:hideMark/>
          </w:tcPr>
          <w:p w14:paraId="790B735B"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Registros Presupuestales (2)</w:t>
            </w:r>
          </w:p>
        </w:tc>
        <w:tc>
          <w:tcPr>
            <w:tcW w:w="1417" w:type="dxa"/>
            <w:tcBorders>
              <w:top w:val="single" w:sz="4" w:space="0" w:color="auto"/>
              <w:left w:val="nil"/>
              <w:bottom w:val="single" w:sz="8" w:space="0" w:color="auto"/>
              <w:right w:val="single" w:sz="8" w:space="0" w:color="auto"/>
            </w:tcBorders>
            <w:shd w:val="clear" w:color="auto" w:fill="95B3D7"/>
            <w:vAlign w:val="center"/>
            <w:hideMark/>
          </w:tcPr>
          <w:p w14:paraId="47555CC6"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Reporte FUT / CUIPO (3)</w:t>
            </w:r>
          </w:p>
        </w:tc>
        <w:tc>
          <w:tcPr>
            <w:tcW w:w="1134" w:type="dxa"/>
            <w:tcBorders>
              <w:top w:val="single" w:sz="4" w:space="0" w:color="auto"/>
              <w:left w:val="nil"/>
              <w:bottom w:val="single" w:sz="8" w:space="0" w:color="auto"/>
              <w:right w:val="single" w:sz="8" w:space="0" w:color="auto"/>
            </w:tcBorders>
            <w:shd w:val="clear" w:color="auto" w:fill="95B3D7"/>
            <w:vAlign w:val="center"/>
            <w:hideMark/>
          </w:tcPr>
          <w:p w14:paraId="30D4F55E"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Diferencia</w:t>
            </w:r>
          </w:p>
          <w:p w14:paraId="74D5DE07"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(1 - 2)</w:t>
            </w:r>
          </w:p>
        </w:tc>
        <w:tc>
          <w:tcPr>
            <w:tcW w:w="1276" w:type="dxa"/>
            <w:tcBorders>
              <w:top w:val="single" w:sz="4" w:space="0" w:color="auto"/>
              <w:left w:val="nil"/>
              <w:bottom w:val="single" w:sz="8" w:space="0" w:color="auto"/>
              <w:right w:val="single" w:sz="8" w:space="0" w:color="auto"/>
            </w:tcBorders>
            <w:shd w:val="clear" w:color="auto" w:fill="95B3D7"/>
            <w:vAlign w:val="center"/>
            <w:hideMark/>
          </w:tcPr>
          <w:p w14:paraId="4BB3AC4D"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Diferencia</w:t>
            </w:r>
          </w:p>
          <w:p w14:paraId="46E5E641"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(1 - 3)</w:t>
            </w:r>
          </w:p>
        </w:tc>
      </w:tr>
      <w:tr w:rsidR="00081708" w:rsidRPr="008D2838" w14:paraId="705F8738" w14:textId="77777777" w:rsidTr="00E32F8D">
        <w:trPr>
          <w:trHeight w:val="20"/>
        </w:trPr>
        <w:tc>
          <w:tcPr>
            <w:tcW w:w="1550" w:type="dxa"/>
            <w:tcBorders>
              <w:top w:val="single" w:sz="8" w:space="0" w:color="auto"/>
              <w:left w:val="single" w:sz="8" w:space="0" w:color="auto"/>
              <w:bottom w:val="single" w:sz="8" w:space="0" w:color="auto"/>
              <w:right w:val="single" w:sz="8" w:space="0" w:color="auto"/>
            </w:tcBorders>
            <w:shd w:val="clear" w:color="auto" w:fill="95B3D7"/>
            <w:vAlign w:val="center"/>
            <w:hideMark/>
          </w:tcPr>
          <w:p w14:paraId="4E6569C8"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2021</w:t>
            </w:r>
          </w:p>
        </w:tc>
        <w:tc>
          <w:tcPr>
            <w:tcW w:w="1701" w:type="dxa"/>
            <w:tcBorders>
              <w:top w:val="nil"/>
              <w:left w:val="nil"/>
              <w:bottom w:val="single" w:sz="8" w:space="0" w:color="auto"/>
              <w:right w:val="single" w:sz="8" w:space="0" w:color="auto"/>
            </w:tcBorders>
            <w:vAlign w:val="center"/>
            <w:hideMark/>
          </w:tcPr>
          <w:p w14:paraId="23980C2D" w14:textId="77777777" w:rsidR="00081708" w:rsidRPr="008D2838" w:rsidRDefault="00081708" w:rsidP="00081708">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121.652</w:t>
            </w:r>
          </w:p>
        </w:tc>
        <w:tc>
          <w:tcPr>
            <w:tcW w:w="1701" w:type="dxa"/>
            <w:tcBorders>
              <w:top w:val="nil"/>
              <w:left w:val="nil"/>
              <w:bottom w:val="single" w:sz="8" w:space="0" w:color="auto"/>
              <w:right w:val="single" w:sz="8" w:space="0" w:color="auto"/>
            </w:tcBorders>
            <w:vAlign w:val="center"/>
            <w:hideMark/>
          </w:tcPr>
          <w:p w14:paraId="1B17F11E" w14:textId="77777777" w:rsidR="00081708" w:rsidRPr="008D2838" w:rsidRDefault="00081708" w:rsidP="00081708">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121.652</w:t>
            </w:r>
          </w:p>
        </w:tc>
        <w:tc>
          <w:tcPr>
            <w:tcW w:w="1417" w:type="dxa"/>
            <w:tcBorders>
              <w:top w:val="nil"/>
              <w:left w:val="nil"/>
              <w:bottom w:val="single" w:sz="8" w:space="0" w:color="auto"/>
              <w:right w:val="single" w:sz="8" w:space="0" w:color="auto"/>
            </w:tcBorders>
            <w:vAlign w:val="center"/>
            <w:hideMark/>
          </w:tcPr>
          <w:p w14:paraId="0089CC6A" w14:textId="77777777" w:rsidR="00081708" w:rsidRPr="008D2838" w:rsidRDefault="00081708" w:rsidP="00081708">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119.731</w:t>
            </w:r>
          </w:p>
        </w:tc>
        <w:tc>
          <w:tcPr>
            <w:tcW w:w="1134" w:type="dxa"/>
            <w:tcBorders>
              <w:top w:val="nil"/>
              <w:left w:val="nil"/>
              <w:bottom w:val="single" w:sz="8" w:space="0" w:color="auto"/>
              <w:right w:val="single" w:sz="8" w:space="0" w:color="auto"/>
            </w:tcBorders>
            <w:shd w:val="clear" w:color="auto" w:fill="D9D9D9"/>
            <w:vAlign w:val="center"/>
            <w:hideMark/>
          </w:tcPr>
          <w:p w14:paraId="4173C10B"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0</w:t>
            </w:r>
          </w:p>
        </w:tc>
        <w:tc>
          <w:tcPr>
            <w:tcW w:w="1276" w:type="dxa"/>
            <w:tcBorders>
              <w:top w:val="nil"/>
              <w:left w:val="nil"/>
              <w:bottom w:val="single" w:sz="8" w:space="0" w:color="auto"/>
              <w:right w:val="single" w:sz="8" w:space="0" w:color="auto"/>
            </w:tcBorders>
            <w:shd w:val="clear" w:color="auto" w:fill="D9D9D9"/>
            <w:vAlign w:val="center"/>
            <w:hideMark/>
          </w:tcPr>
          <w:p w14:paraId="10C1A83B"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1.921</w:t>
            </w:r>
          </w:p>
        </w:tc>
      </w:tr>
      <w:tr w:rsidR="00081708" w:rsidRPr="008D2838" w14:paraId="28DC4755" w14:textId="77777777" w:rsidTr="00E32F8D">
        <w:trPr>
          <w:trHeight w:val="20"/>
        </w:trPr>
        <w:tc>
          <w:tcPr>
            <w:tcW w:w="1550" w:type="dxa"/>
            <w:tcBorders>
              <w:top w:val="nil"/>
              <w:left w:val="single" w:sz="8" w:space="0" w:color="auto"/>
              <w:bottom w:val="single" w:sz="8" w:space="0" w:color="auto"/>
              <w:right w:val="single" w:sz="8" w:space="0" w:color="auto"/>
            </w:tcBorders>
            <w:shd w:val="clear" w:color="auto" w:fill="95B3D7"/>
            <w:vAlign w:val="center"/>
            <w:hideMark/>
          </w:tcPr>
          <w:p w14:paraId="1BD35A7E"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2022</w:t>
            </w:r>
          </w:p>
        </w:tc>
        <w:tc>
          <w:tcPr>
            <w:tcW w:w="1701" w:type="dxa"/>
            <w:tcBorders>
              <w:top w:val="nil"/>
              <w:left w:val="nil"/>
              <w:bottom w:val="single" w:sz="8" w:space="0" w:color="auto"/>
              <w:right w:val="single" w:sz="8" w:space="0" w:color="auto"/>
            </w:tcBorders>
            <w:vAlign w:val="center"/>
            <w:hideMark/>
          </w:tcPr>
          <w:p w14:paraId="16436406" w14:textId="77777777" w:rsidR="00081708" w:rsidRPr="008D2838" w:rsidRDefault="00081708" w:rsidP="00081708">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126.563</w:t>
            </w:r>
          </w:p>
        </w:tc>
        <w:tc>
          <w:tcPr>
            <w:tcW w:w="1701" w:type="dxa"/>
            <w:tcBorders>
              <w:top w:val="nil"/>
              <w:left w:val="nil"/>
              <w:bottom w:val="single" w:sz="8" w:space="0" w:color="auto"/>
              <w:right w:val="single" w:sz="8" w:space="0" w:color="auto"/>
            </w:tcBorders>
            <w:vAlign w:val="center"/>
            <w:hideMark/>
          </w:tcPr>
          <w:p w14:paraId="32610243" w14:textId="77777777" w:rsidR="00081708" w:rsidRPr="008D2838" w:rsidRDefault="00081708" w:rsidP="00081708">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128.734</w:t>
            </w:r>
          </w:p>
        </w:tc>
        <w:tc>
          <w:tcPr>
            <w:tcW w:w="1417" w:type="dxa"/>
            <w:tcBorders>
              <w:top w:val="nil"/>
              <w:left w:val="nil"/>
              <w:bottom w:val="single" w:sz="8" w:space="0" w:color="auto"/>
              <w:right w:val="single" w:sz="8" w:space="0" w:color="auto"/>
            </w:tcBorders>
            <w:vAlign w:val="center"/>
            <w:hideMark/>
          </w:tcPr>
          <w:p w14:paraId="4EA09423" w14:textId="77777777" w:rsidR="00081708" w:rsidRPr="008D2838" w:rsidRDefault="00081708" w:rsidP="00081708">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123.553</w:t>
            </w:r>
          </w:p>
        </w:tc>
        <w:tc>
          <w:tcPr>
            <w:tcW w:w="1134" w:type="dxa"/>
            <w:tcBorders>
              <w:top w:val="nil"/>
              <w:left w:val="nil"/>
              <w:bottom w:val="single" w:sz="8" w:space="0" w:color="auto"/>
              <w:right w:val="single" w:sz="8" w:space="0" w:color="auto"/>
            </w:tcBorders>
            <w:shd w:val="clear" w:color="auto" w:fill="D9D9D9"/>
            <w:vAlign w:val="center"/>
            <w:hideMark/>
          </w:tcPr>
          <w:p w14:paraId="015FEDB7"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C00000"/>
                <w:sz w:val="16"/>
                <w:szCs w:val="16"/>
                <w:lang w:val="es-CO" w:eastAsia="es-CO"/>
              </w:rPr>
              <w:t>-2.171</w:t>
            </w:r>
          </w:p>
        </w:tc>
        <w:tc>
          <w:tcPr>
            <w:tcW w:w="1276" w:type="dxa"/>
            <w:tcBorders>
              <w:top w:val="nil"/>
              <w:left w:val="nil"/>
              <w:bottom w:val="single" w:sz="8" w:space="0" w:color="auto"/>
              <w:right w:val="single" w:sz="8" w:space="0" w:color="auto"/>
            </w:tcBorders>
            <w:shd w:val="clear" w:color="auto" w:fill="D9D9D9"/>
            <w:vAlign w:val="center"/>
            <w:hideMark/>
          </w:tcPr>
          <w:p w14:paraId="582F47A4"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3.010</w:t>
            </w:r>
          </w:p>
        </w:tc>
      </w:tr>
    </w:tbl>
    <w:p w14:paraId="25A94446" w14:textId="77777777" w:rsidR="00081708" w:rsidRPr="008D2838" w:rsidRDefault="00081708" w:rsidP="00081708">
      <w:pPr>
        <w:jc w:val="center"/>
        <w:rPr>
          <w:rFonts w:ascii="Arial" w:eastAsia="Arial" w:hAnsi="Arial" w:cs="Arial"/>
          <w:sz w:val="16"/>
          <w:szCs w:val="16"/>
        </w:rPr>
      </w:pPr>
      <w:r w:rsidRPr="008D2838">
        <w:rPr>
          <w:rFonts w:ascii="Arial" w:eastAsia="Arial" w:hAnsi="Arial" w:cs="Arial"/>
          <w:sz w:val="16"/>
          <w:szCs w:val="16"/>
        </w:rPr>
        <w:t>Fuente: Ejecución Presupuestal y registros presupuestales entregadas por la Entidad Territorial a 31 de diciembre de 2021 y 2022, reporte FUT a diciembre de 2021 y reporte CUIPO a diciembre de 2022.</w:t>
      </w:r>
    </w:p>
    <w:p w14:paraId="69ACF457" w14:textId="77777777" w:rsidR="00E32F8D" w:rsidRPr="008D2838" w:rsidRDefault="00E32F8D" w:rsidP="00081708">
      <w:pPr>
        <w:jc w:val="both"/>
        <w:rPr>
          <w:rFonts w:ascii="Arial" w:eastAsia="Arial" w:hAnsi="Arial" w:cs="Arial"/>
          <w:sz w:val="22"/>
          <w:szCs w:val="22"/>
          <w:lang w:val="es-CO"/>
        </w:rPr>
      </w:pPr>
    </w:p>
    <w:p w14:paraId="2B268F50" w14:textId="77777777" w:rsidR="00081708" w:rsidRPr="008D2838" w:rsidRDefault="00081708" w:rsidP="00081708">
      <w:pPr>
        <w:jc w:val="both"/>
        <w:rPr>
          <w:rFonts w:ascii="Arial" w:eastAsia="Arial" w:hAnsi="Arial" w:cs="Arial"/>
          <w:sz w:val="22"/>
          <w:szCs w:val="22"/>
          <w:lang w:val="es-CO"/>
        </w:rPr>
      </w:pPr>
      <w:r w:rsidRPr="008D2838">
        <w:rPr>
          <w:rFonts w:ascii="Arial" w:eastAsia="Arial" w:hAnsi="Arial" w:cs="Arial"/>
          <w:sz w:val="22"/>
          <w:szCs w:val="22"/>
          <w:lang w:val="es-CO"/>
        </w:rPr>
        <w:t>Al revisar la información reportada en el FUT para la</w:t>
      </w:r>
      <w:r w:rsidR="0023074E" w:rsidRPr="008D2838">
        <w:rPr>
          <w:rFonts w:ascii="Arial" w:eastAsia="Arial" w:hAnsi="Arial" w:cs="Arial"/>
          <w:sz w:val="22"/>
          <w:szCs w:val="22"/>
          <w:lang w:val="es-CO"/>
        </w:rPr>
        <w:t>s</w:t>
      </w:r>
      <w:r w:rsidRPr="008D2838">
        <w:rPr>
          <w:rFonts w:ascii="Arial" w:eastAsia="Arial" w:hAnsi="Arial" w:cs="Arial"/>
          <w:sz w:val="22"/>
          <w:szCs w:val="22"/>
          <w:lang w:val="es-CO"/>
        </w:rPr>
        <w:t xml:space="preserve"> categoría</w:t>
      </w:r>
      <w:r w:rsidR="0023074E" w:rsidRPr="008D2838">
        <w:rPr>
          <w:rFonts w:ascii="Arial" w:eastAsia="Arial" w:hAnsi="Arial" w:cs="Arial"/>
          <w:sz w:val="22"/>
          <w:szCs w:val="22"/>
          <w:lang w:val="es-CO"/>
        </w:rPr>
        <w:t>s</w:t>
      </w:r>
      <w:r w:rsidRPr="008D2838">
        <w:rPr>
          <w:rFonts w:ascii="Arial" w:eastAsia="Arial" w:hAnsi="Arial" w:cs="Arial"/>
          <w:sz w:val="22"/>
          <w:szCs w:val="22"/>
          <w:lang w:val="es-CO"/>
        </w:rPr>
        <w:t xml:space="preserve"> de gastos de inversión y de funcionamiento del sector Educativo de la vigencia 2021, se encontró que el Distrito de Turbo reportó $1.921 millones menos en comparación con el total de gastos que se reflejan en la ejecución presupuestal. Adicionalmente, La Entidad Territorial remitió un listado de registros presupuestales con valores duplicados, anulados y liberados parcialmente. Al respecto, desde la Oficina de Presupuesto indicaron que esto se debe a que el sistema está presentando errores en la generación de la información financiera del sector.</w:t>
      </w:r>
    </w:p>
    <w:p w14:paraId="0154C483" w14:textId="77777777" w:rsidR="00081708" w:rsidRPr="008D2838" w:rsidRDefault="00081708" w:rsidP="00081708">
      <w:pPr>
        <w:jc w:val="both"/>
        <w:rPr>
          <w:rFonts w:ascii="Arial" w:eastAsia="Arial" w:hAnsi="Arial" w:cs="Arial"/>
          <w:sz w:val="22"/>
          <w:szCs w:val="22"/>
          <w:lang w:val="es-CO"/>
        </w:rPr>
      </w:pPr>
    </w:p>
    <w:p w14:paraId="2C037DE7" w14:textId="77777777" w:rsidR="00081708" w:rsidRPr="008D2838" w:rsidRDefault="00081708" w:rsidP="00081708">
      <w:pPr>
        <w:jc w:val="both"/>
        <w:rPr>
          <w:rFonts w:ascii="Arial" w:eastAsia="Arial" w:hAnsi="Arial" w:cs="Arial"/>
          <w:sz w:val="22"/>
          <w:szCs w:val="22"/>
          <w:lang w:val="es-CO"/>
        </w:rPr>
      </w:pPr>
      <w:r w:rsidRPr="008D2838">
        <w:rPr>
          <w:rFonts w:ascii="Arial" w:eastAsia="Arial" w:hAnsi="Arial" w:cs="Arial"/>
          <w:sz w:val="22"/>
          <w:szCs w:val="22"/>
          <w:lang w:val="es-CO"/>
        </w:rPr>
        <w:t>Por otro lado, al revisar la información reportada en CUIPO para la</w:t>
      </w:r>
      <w:r w:rsidR="0023074E" w:rsidRPr="008D2838">
        <w:rPr>
          <w:rFonts w:ascii="Arial" w:eastAsia="Arial" w:hAnsi="Arial" w:cs="Arial"/>
          <w:sz w:val="22"/>
          <w:szCs w:val="22"/>
          <w:lang w:val="es-CO"/>
        </w:rPr>
        <w:t>s</w:t>
      </w:r>
      <w:r w:rsidRPr="008D2838">
        <w:rPr>
          <w:rFonts w:ascii="Arial" w:eastAsia="Arial" w:hAnsi="Arial" w:cs="Arial"/>
          <w:sz w:val="22"/>
          <w:szCs w:val="22"/>
          <w:lang w:val="es-CO"/>
        </w:rPr>
        <w:t xml:space="preserve"> categoría</w:t>
      </w:r>
      <w:r w:rsidR="0023074E" w:rsidRPr="008D2838">
        <w:rPr>
          <w:rFonts w:ascii="Arial" w:eastAsia="Arial" w:hAnsi="Arial" w:cs="Arial"/>
          <w:sz w:val="22"/>
          <w:szCs w:val="22"/>
          <w:lang w:val="es-CO"/>
        </w:rPr>
        <w:t>s</w:t>
      </w:r>
      <w:r w:rsidRPr="008D2838">
        <w:rPr>
          <w:rFonts w:ascii="Arial" w:eastAsia="Arial" w:hAnsi="Arial" w:cs="Arial"/>
          <w:sz w:val="22"/>
          <w:szCs w:val="22"/>
          <w:lang w:val="es-CO"/>
        </w:rPr>
        <w:t xml:space="preserve"> de gastos de inversión y de funcionamiento del sector Educativo</w:t>
      </w:r>
      <w:r w:rsidR="00E32F8D" w:rsidRPr="008D2838">
        <w:rPr>
          <w:rFonts w:ascii="Arial" w:eastAsia="Arial" w:hAnsi="Arial" w:cs="Arial"/>
          <w:sz w:val="22"/>
          <w:szCs w:val="22"/>
          <w:lang w:val="es-CO"/>
        </w:rPr>
        <w:t xml:space="preserve"> </w:t>
      </w:r>
      <w:r w:rsidR="0023074E" w:rsidRPr="008D2838">
        <w:rPr>
          <w:rFonts w:ascii="Arial" w:eastAsia="Arial" w:hAnsi="Arial" w:cs="Arial"/>
          <w:sz w:val="22"/>
          <w:szCs w:val="22"/>
          <w:lang w:val="es-CO"/>
        </w:rPr>
        <w:t>en</w:t>
      </w:r>
      <w:r w:rsidR="00E32F8D" w:rsidRPr="008D2838">
        <w:rPr>
          <w:rFonts w:ascii="Arial" w:eastAsia="Arial" w:hAnsi="Arial" w:cs="Arial"/>
          <w:sz w:val="22"/>
          <w:szCs w:val="22"/>
          <w:lang w:val="es-CO"/>
        </w:rPr>
        <w:t xml:space="preserve"> la vigencia 2022</w:t>
      </w:r>
      <w:r w:rsidRPr="008D2838">
        <w:rPr>
          <w:rFonts w:ascii="Arial" w:eastAsia="Arial" w:hAnsi="Arial" w:cs="Arial"/>
          <w:sz w:val="22"/>
          <w:szCs w:val="22"/>
          <w:lang w:val="es-CO"/>
        </w:rPr>
        <w:t>, se encontró que el Distrito de Turbo reportó $3,010 millones menos en comparación con el total de compromisos que se reflejaron en la ejecución presupuestal.</w:t>
      </w:r>
    </w:p>
    <w:p w14:paraId="1D01D61F" w14:textId="77777777" w:rsidR="00081708" w:rsidRPr="008D2838" w:rsidRDefault="00081708" w:rsidP="00081708">
      <w:pPr>
        <w:jc w:val="both"/>
        <w:rPr>
          <w:rFonts w:ascii="Arial" w:eastAsia="Arial" w:hAnsi="Arial" w:cs="Arial"/>
          <w:sz w:val="22"/>
          <w:szCs w:val="22"/>
          <w:lang w:val="es-CO"/>
        </w:rPr>
      </w:pPr>
    </w:p>
    <w:p w14:paraId="6A802203" w14:textId="77777777" w:rsidR="00081708" w:rsidRPr="008D2838" w:rsidRDefault="00081708" w:rsidP="00081708">
      <w:pPr>
        <w:jc w:val="both"/>
        <w:rPr>
          <w:rFonts w:ascii="Arial" w:eastAsia="Arial" w:hAnsi="Arial" w:cs="Arial"/>
          <w:sz w:val="22"/>
          <w:szCs w:val="22"/>
          <w:lang w:val="es-CO"/>
        </w:rPr>
      </w:pPr>
      <w:r w:rsidRPr="008D2838">
        <w:rPr>
          <w:rFonts w:ascii="Arial" w:eastAsia="Arial" w:hAnsi="Arial" w:cs="Arial"/>
          <w:sz w:val="22"/>
          <w:szCs w:val="22"/>
          <w:lang w:val="es-CO"/>
        </w:rPr>
        <w:t xml:space="preserve">De igual manera, el listado de registros presupuestales y la ejecución presupuestal fueron presentados con los conceptos del CCPET, y no </w:t>
      </w:r>
      <w:r w:rsidR="0023074E" w:rsidRPr="008D2838">
        <w:rPr>
          <w:rFonts w:ascii="Arial" w:eastAsia="Arial" w:hAnsi="Arial" w:cs="Arial"/>
          <w:sz w:val="22"/>
          <w:szCs w:val="22"/>
          <w:lang w:val="es-CO"/>
        </w:rPr>
        <w:t xml:space="preserve">se remitió </w:t>
      </w:r>
      <w:r w:rsidRPr="008D2838">
        <w:rPr>
          <w:rFonts w:ascii="Arial" w:eastAsia="Arial" w:hAnsi="Arial" w:cs="Arial"/>
          <w:sz w:val="22"/>
          <w:szCs w:val="22"/>
          <w:lang w:val="es-CO"/>
        </w:rPr>
        <w:t xml:space="preserve">la homologación de rubros para identificar y contrastar los conceptos de gasto de la ejecución presupuestal con el reporte realizado en el </w:t>
      </w:r>
      <w:r w:rsidR="0023074E" w:rsidRPr="008D2838">
        <w:rPr>
          <w:rFonts w:ascii="Arial" w:eastAsia="Arial" w:hAnsi="Arial" w:cs="Arial"/>
          <w:sz w:val="22"/>
          <w:szCs w:val="22"/>
          <w:lang w:val="es-CO"/>
        </w:rPr>
        <w:t>CUIPO</w:t>
      </w:r>
      <w:r w:rsidRPr="008D2838">
        <w:rPr>
          <w:rFonts w:ascii="Arial" w:eastAsia="Arial" w:hAnsi="Arial" w:cs="Arial"/>
          <w:sz w:val="22"/>
          <w:szCs w:val="22"/>
          <w:lang w:val="es-CO"/>
        </w:rPr>
        <w:t xml:space="preserve">. </w:t>
      </w:r>
    </w:p>
    <w:p w14:paraId="50A5BEDE" w14:textId="77777777" w:rsidR="00081708" w:rsidRPr="008D2838" w:rsidRDefault="00081708" w:rsidP="00081708">
      <w:pPr>
        <w:jc w:val="both"/>
        <w:rPr>
          <w:rFonts w:ascii="Arial" w:eastAsia="Arial" w:hAnsi="Arial" w:cs="Arial"/>
          <w:sz w:val="22"/>
          <w:szCs w:val="22"/>
          <w:lang w:val="es-CO"/>
        </w:rPr>
      </w:pPr>
    </w:p>
    <w:p w14:paraId="019830DB" w14:textId="77777777" w:rsidR="00081708" w:rsidRPr="008D2838" w:rsidRDefault="00081708" w:rsidP="00081708">
      <w:pPr>
        <w:jc w:val="both"/>
        <w:rPr>
          <w:rFonts w:ascii="Arial" w:eastAsia="Arial" w:hAnsi="Arial" w:cs="Arial"/>
          <w:sz w:val="22"/>
          <w:szCs w:val="22"/>
          <w:lang w:val="es-CO"/>
        </w:rPr>
      </w:pPr>
      <w:r w:rsidRPr="008D2838">
        <w:rPr>
          <w:rFonts w:ascii="Arial" w:eastAsia="Arial" w:hAnsi="Arial" w:cs="Arial"/>
          <w:sz w:val="22"/>
          <w:szCs w:val="22"/>
          <w:lang w:val="es-CO"/>
        </w:rPr>
        <w:t>Algunas de las diferencias encontradas entre ambos reportes son las siguientes:</w:t>
      </w:r>
    </w:p>
    <w:p w14:paraId="4696EBBE" w14:textId="77777777" w:rsidR="00081708" w:rsidRPr="008D2838" w:rsidRDefault="00081708" w:rsidP="00081708">
      <w:pPr>
        <w:jc w:val="both"/>
        <w:rPr>
          <w:rFonts w:ascii="Arial" w:hAnsi="Arial" w:cs="Arial"/>
          <w:sz w:val="22"/>
          <w:szCs w:val="22"/>
          <w:lang w:val="es-CO"/>
        </w:rPr>
      </w:pPr>
    </w:p>
    <w:p w14:paraId="26DEBBFB" w14:textId="77777777" w:rsidR="00081708" w:rsidRPr="008D2838" w:rsidRDefault="00081708" w:rsidP="00081708">
      <w:pPr>
        <w:numPr>
          <w:ilvl w:val="0"/>
          <w:numId w:val="31"/>
        </w:numPr>
        <w:ind w:left="426" w:hanging="426"/>
        <w:contextualSpacing/>
        <w:jc w:val="both"/>
        <w:rPr>
          <w:rFonts w:ascii="Arial" w:eastAsia="Arial" w:hAnsi="Arial" w:cs="Arial"/>
          <w:sz w:val="22"/>
          <w:szCs w:val="22"/>
          <w:lang w:val="es-CO"/>
        </w:rPr>
      </w:pPr>
      <w:r w:rsidRPr="008D2838">
        <w:rPr>
          <w:rFonts w:ascii="Arial" w:eastAsia="Arial" w:hAnsi="Arial" w:cs="Arial"/>
          <w:sz w:val="22"/>
          <w:szCs w:val="22"/>
          <w:lang w:val="es-CO"/>
        </w:rPr>
        <w:t>La Entidad territorial reportó en el FUT compromisos por $3.643 millones en contratos de prestación de servicios, que para este caso corresponde</w:t>
      </w:r>
      <w:r w:rsidR="00341DF3" w:rsidRPr="008D2838">
        <w:rPr>
          <w:rFonts w:ascii="Arial" w:eastAsia="Arial" w:hAnsi="Arial" w:cs="Arial"/>
          <w:sz w:val="22"/>
          <w:szCs w:val="22"/>
          <w:lang w:val="es-CO"/>
        </w:rPr>
        <w:t>n</w:t>
      </w:r>
      <w:r w:rsidRPr="008D2838">
        <w:rPr>
          <w:rFonts w:ascii="Arial" w:eastAsia="Arial" w:hAnsi="Arial" w:cs="Arial"/>
          <w:sz w:val="22"/>
          <w:szCs w:val="22"/>
          <w:lang w:val="es-CO"/>
        </w:rPr>
        <w:t xml:space="preserve"> al contrato de concesión. Sin embargo, la ejecución presupuestal y los registros presupuestales indicaban que dicho compromiso finalmente se pactó en $3.140 millones. La diferencia por $503 millones corresponde a uno de los valores liberados cuyo reporte fue incorrecto.</w:t>
      </w:r>
    </w:p>
    <w:p w14:paraId="49DE56F6" w14:textId="77777777" w:rsidR="00081708" w:rsidRPr="008D2838" w:rsidRDefault="00081708" w:rsidP="00081708">
      <w:pPr>
        <w:ind w:left="426" w:hanging="426"/>
        <w:jc w:val="both"/>
        <w:rPr>
          <w:rFonts w:ascii="Arial" w:eastAsia="Arial" w:hAnsi="Arial" w:cs="Arial"/>
          <w:sz w:val="22"/>
          <w:szCs w:val="22"/>
          <w:lang w:val="es-CO"/>
        </w:rPr>
      </w:pPr>
    </w:p>
    <w:p w14:paraId="71BAFFD8" w14:textId="77777777" w:rsidR="00081708" w:rsidRPr="008D2838" w:rsidRDefault="00081708" w:rsidP="00081708">
      <w:pPr>
        <w:numPr>
          <w:ilvl w:val="0"/>
          <w:numId w:val="31"/>
        </w:numPr>
        <w:ind w:left="426" w:hanging="426"/>
        <w:contextualSpacing/>
        <w:jc w:val="both"/>
        <w:rPr>
          <w:rFonts w:ascii="Arial" w:eastAsia="Arial" w:hAnsi="Arial" w:cs="Arial"/>
          <w:sz w:val="22"/>
          <w:szCs w:val="22"/>
          <w:lang w:val="es-CO"/>
        </w:rPr>
      </w:pPr>
      <w:r w:rsidRPr="008D2838">
        <w:rPr>
          <w:rFonts w:ascii="Arial" w:eastAsia="Arial" w:hAnsi="Arial" w:cs="Arial"/>
          <w:sz w:val="22"/>
          <w:szCs w:val="22"/>
          <w:lang w:val="es-CO"/>
        </w:rPr>
        <w:t xml:space="preserve">Se reportaron en el FUT compromisos asociados a transporte escolar por $1.780 millones para la vigencia 2021, que corresponden al valor inicial del Contrato No. 211 del 28 de abril de 2021 con UT TRANSPORTES TURBO. No obstante, dicho valor fue liberado parcialmente en $1.429 millones de acuerdo con el listado de registros presupuestales remitido por el Distrito de Turbo. Adicionalmente, la Entidad Territorial realizó el 27 de octubre una adición al Contrato No. 213 del 2021 con UT TRANSPORTES TURBO por valor de $261 millones, los cuales no se incluyeron en el reporte </w:t>
      </w:r>
      <w:r w:rsidR="00341DF3" w:rsidRPr="008D2838">
        <w:rPr>
          <w:rFonts w:ascii="Arial" w:eastAsia="Arial" w:hAnsi="Arial" w:cs="Arial"/>
          <w:sz w:val="22"/>
          <w:szCs w:val="22"/>
          <w:lang w:val="es-CO"/>
        </w:rPr>
        <w:t>a</w:t>
      </w:r>
      <w:r w:rsidRPr="008D2838">
        <w:rPr>
          <w:rFonts w:ascii="Arial" w:eastAsia="Arial" w:hAnsi="Arial" w:cs="Arial"/>
          <w:sz w:val="22"/>
          <w:szCs w:val="22"/>
          <w:lang w:val="es-CO"/>
        </w:rPr>
        <w:t>l FUT.</w:t>
      </w:r>
    </w:p>
    <w:p w14:paraId="2DF5F190" w14:textId="77777777" w:rsidR="00081708" w:rsidRPr="008D2838" w:rsidRDefault="00081708" w:rsidP="00081708">
      <w:pPr>
        <w:ind w:left="426" w:hanging="426"/>
        <w:contextualSpacing/>
        <w:rPr>
          <w:rFonts w:ascii="Arial" w:eastAsia="Arial" w:hAnsi="Arial" w:cs="Arial"/>
          <w:sz w:val="22"/>
          <w:szCs w:val="22"/>
          <w:lang w:val="es-CO"/>
        </w:rPr>
      </w:pPr>
    </w:p>
    <w:p w14:paraId="4F40F0F6" w14:textId="77777777" w:rsidR="00081708" w:rsidRPr="008D2838" w:rsidRDefault="00081708" w:rsidP="00081708">
      <w:pPr>
        <w:numPr>
          <w:ilvl w:val="0"/>
          <w:numId w:val="31"/>
        </w:numPr>
        <w:ind w:left="426" w:hanging="426"/>
        <w:contextualSpacing/>
        <w:jc w:val="both"/>
        <w:rPr>
          <w:rFonts w:ascii="Arial" w:eastAsia="Arial" w:hAnsi="Arial" w:cs="Arial"/>
          <w:sz w:val="22"/>
          <w:szCs w:val="22"/>
          <w:lang w:val="es-CO"/>
        </w:rPr>
      </w:pPr>
      <w:r w:rsidRPr="008D2838">
        <w:rPr>
          <w:rFonts w:ascii="Arial" w:eastAsia="Arial" w:hAnsi="Arial" w:cs="Arial"/>
          <w:sz w:val="22"/>
          <w:szCs w:val="22"/>
          <w:lang w:val="es-CO"/>
        </w:rPr>
        <w:t xml:space="preserve">El Distrito de Turbo reportó en el FUT compromisos de $6.289 millones por concepto de Alimentación Escolar. Sin embargo, en la ejecución presupuestal y el listado de </w:t>
      </w:r>
      <w:r w:rsidRPr="008D2838">
        <w:rPr>
          <w:rFonts w:ascii="Arial" w:eastAsia="Arial" w:hAnsi="Arial" w:cs="Arial"/>
          <w:sz w:val="22"/>
          <w:szCs w:val="22"/>
          <w:lang w:val="es-CO"/>
        </w:rPr>
        <w:lastRenderedPageBreak/>
        <w:t xml:space="preserve">registros presupuestales remitido por la Entidad Territorial no </w:t>
      </w:r>
      <w:r w:rsidR="00341DF3" w:rsidRPr="008D2838">
        <w:rPr>
          <w:rFonts w:ascii="Arial" w:eastAsia="Arial" w:hAnsi="Arial" w:cs="Arial"/>
          <w:sz w:val="22"/>
          <w:szCs w:val="22"/>
          <w:lang w:val="es-CO"/>
        </w:rPr>
        <w:t>fue</w:t>
      </w:r>
      <w:r w:rsidRPr="008D2838">
        <w:rPr>
          <w:rFonts w:ascii="Arial" w:eastAsia="Arial" w:hAnsi="Arial" w:cs="Arial"/>
          <w:sz w:val="22"/>
          <w:szCs w:val="22"/>
          <w:lang w:val="es-CO"/>
        </w:rPr>
        <w:t xml:space="preserve"> posible identificar compromisos por dicho concepto.</w:t>
      </w:r>
    </w:p>
    <w:p w14:paraId="0968EA6F" w14:textId="77777777" w:rsidR="00081708" w:rsidRPr="008D2838" w:rsidRDefault="00081708" w:rsidP="00E32F8D">
      <w:pPr>
        <w:ind w:left="426"/>
        <w:contextualSpacing/>
        <w:jc w:val="both"/>
        <w:rPr>
          <w:rFonts w:ascii="Arial" w:eastAsia="Arial" w:hAnsi="Arial" w:cs="Arial"/>
          <w:sz w:val="22"/>
          <w:szCs w:val="22"/>
          <w:lang w:val="es-CO"/>
        </w:rPr>
      </w:pPr>
    </w:p>
    <w:p w14:paraId="18F6485E" w14:textId="77777777" w:rsidR="00081708" w:rsidRPr="008D2838" w:rsidRDefault="00081708" w:rsidP="00E32F8D">
      <w:pPr>
        <w:numPr>
          <w:ilvl w:val="0"/>
          <w:numId w:val="31"/>
        </w:numPr>
        <w:ind w:left="426" w:hanging="426"/>
        <w:contextualSpacing/>
        <w:jc w:val="both"/>
        <w:rPr>
          <w:rFonts w:ascii="Arial" w:eastAsia="Arial" w:hAnsi="Arial" w:cs="Arial"/>
          <w:i/>
          <w:iCs/>
          <w:sz w:val="22"/>
          <w:szCs w:val="22"/>
          <w:lang w:val="es-CO"/>
        </w:rPr>
      </w:pPr>
      <w:r w:rsidRPr="008D2838">
        <w:rPr>
          <w:rFonts w:ascii="Arial" w:eastAsia="Arial" w:hAnsi="Arial" w:cs="Arial"/>
          <w:sz w:val="22"/>
          <w:szCs w:val="22"/>
          <w:lang w:val="es-CO"/>
        </w:rPr>
        <w:t xml:space="preserve">Para 2022, la ejecución presupuestal del Distrito carece de un detalle sectorial que diera cuenta de los gastos de inversión en el sector educación, por ende, se hizo un cruce de información con el listado de RP y Órdenes de Pago entregados por la entidad territorial con el fin de identificar los gastos de cobertura, calidad, gratuidad, conectividad y las NEE. Ahora bien, con la información entregada no fue posible identificar </w:t>
      </w:r>
      <w:r w:rsidR="00E32F8D" w:rsidRPr="008D2838">
        <w:rPr>
          <w:rFonts w:ascii="Arial" w:eastAsia="Arial" w:hAnsi="Arial" w:cs="Arial"/>
          <w:sz w:val="22"/>
          <w:szCs w:val="22"/>
          <w:lang w:val="es-CO"/>
        </w:rPr>
        <w:t xml:space="preserve">el detalle del gasto de inversión </w:t>
      </w:r>
      <w:r w:rsidRPr="008D2838">
        <w:rPr>
          <w:rFonts w:ascii="Arial" w:eastAsia="Arial" w:hAnsi="Arial" w:cs="Arial"/>
          <w:sz w:val="22"/>
          <w:szCs w:val="22"/>
          <w:lang w:val="es-CO"/>
        </w:rPr>
        <w:t xml:space="preserve">para $213 millones clasificados en el rubro </w:t>
      </w:r>
      <w:r w:rsidRPr="008D2838">
        <w:rPr>
          <w:rFonts w:ascii="Arial" w:eastAsia="Arial" w:hAnsi="Arial" w:cs="Arial"/>
          <w:i/>
          <w:iCs/>
          <w:sz w:val="22"/>
          <w:szCs w:val="22"/>
          <w:lang w:val="es-CO"/>
        </w:rPr>
        <w:t>“Servicios para la Comunidad, Sociales y Personales”</w:t>
      </w:r>
      <w:r w:rsidRPr="008D2838">
        <w:rPr>
          <w:rFonts w:ascii="Arial" w:eastAsia="Arial" w:hAnsi="Arial" w:cs="Arial"/>
          <w:sz w:val="22"/>
          <w:szCs w:val="22"/>
          <w:lang w:val="es-CO"/>
        </w:rPr>
        <w:t>. Por otro lado, el reporte de la Categoría CUIPO clasific</w:t>
      </w:r>
      <w:r w:rsidR="00E32F8D" w:rsidRPr="008D2838">
        <w:rPr>
          <w:rFonts w:ascii="Arial" w:eastAsia="Arial" w:hAnsi="Arial" w:cs="Arial"/>
          <w:sz w:val="22"/>
          <w:szCs w:val="22"/>
          <w:lang w:val="es-CO"/>
        </w:rPr>
        <w:t xml:space="preserve">ó </w:t>
      </w:r>
      <w:r w:rsidRPr="008D2838">
        <w:rPr>
          <w:rFonts w:ascii="Arial" w:eastAsia="Arial" w:hAnsi="Arial" w:cs="Arial"/>
          <w:sz w:val="22"/>
          <w:szCs w:val="22"/>
          <w:lang w:val="es-CO"/>
        </w:rPr>
        <w:t xml:space="preserve">el rubro de Servicios para la Comunidad, Sociales y Personales como </w:t>
      </w:r>
      <w:r w:rsidRPr="008D2838">
        <w:rPr>
          <w:rFonts w:ascii="Arial" w:eastAsia="Arial" w:hAnsi="Arial" w:cs="Arial"/>
          <w:i/>
          <w:iCs/>
          <w:sz w:val="22"/>
          <w:szCs w:val="22"/>
          <w:lang w:val="es-CO"/>
        </w:rPr>
        <w:t>“dotación institucional”</w:t>
      </w:r>
      <w:r w:rsidRPr="008D2838">
        <w:rPr>
          <w:rFonts w:ascii="Arial" w:eastAsia="Arial" w:hAnsi="Arial" w:cs="Arial"/>
          <w:sz w:val="22"/>
          <w:szCs w:val="22"/>
          <w:lang w:val="es-CO"/>
        </w:rPr>
        <w:t xml:space="preserve"> por $17.559 millones. Lo cual no coincide con la información de la entidad, dado que de </w:t>
      </w:r>
      <w:r w:rsidR="00341DF3" w:rsidRPr="008D2838">
        <w:rPr>
          <w:rFonts w:ascii="Arial" w:eastAsia="Arial" w:hAnsi="Arial" w:cs="Arial"/>
          <w:sz w:val="22"/>
          <w:szCs w:val="22"/>
          <w:lang w:val="es-CO"/>
        </w:rPr>
        <w:t>é</w:t>
      </w:r>
      <w:r w:rsidRPr="008D2838">
        <w:rPr>
          <w:rFonts w:ascii="Arial" w:eastAsia="Arial" w:hAnsi="Arial" w:cs="Arial"/>
          <w:sz w:val="22"/>
          <w:szCs w:val="22"/>
          <w:lang w:val="es-CO"/>
        </w:rPr>
        <w:t>stos</w:t>
      </w:r>
      <w:r w:rsidR="00341DF3" w:rsidRPr="008D2838">
        <w:rPr>
          <w:rFonts w:ascii="Arial" w:eastAsia="Arial" w:hAnsi="Arial" w:cs="Arial"/>
          <w:sz w:val="22"/>
          <w:szCs w:val="22"/>
          <w:lang w:val="es-CO"/>
        </w:rPr>
        <w:t>,</w:t>
      </w:r>
      <w:r w:rsidRPr="008D2838">
        <w:rPr>
          <w:rFonts w:ascii="Arial" w:eastAsia="Arial" w:hAnsi="Arial" w:cs="Arial"/>
          <w:sz w:val="22"/>
          <w:szCs w:val="22"/>
          <w:lang w:val="es-CO"/>
        </w:rPr>
        <w:t xml:space="preserve"> $2.872 millones corresponden a gastos de gratuidad.</w:t>
      </w:r>
    </w:p>
    <w:p w14:paraId="3B42FFC9" w14:textId="77777777" w:rsidR="00081708" w:rsidRPr="008D2838" w:rsidRDefault="00081708" w:rsidP="00E32F8D">
      <w:pPr>
        <w:ind w:left="426"/>
        <w:contextualSpacing/>
        <w:jc w:val="both"/>
        <w:rPr>
          <w:rFonts w:ascii="Arial" w:eastAsia="Arial" w:hAnsi="Arial" w:cs="Arial"/>
          <w:sz w:val="22"/>
          <w:szCs w:val="22"/>
          <w:lang w:val="es-CO"/>
        </w:rPr>
      </w:pPr>
    </w:p>
    <w:p w14:paraId="145BA05B" w14:textId="77777777" w:rsidR="00081708" w:rsidRPr="008D2838" w:rsidRDefault="00081708" w:rsidP="00081708">
      <w:pPr>
        <w:numPr>
          <w:ilvl w:val="0"/>
          <w:numId w:val="31"/>
        </w:numPr>
        <w:ind w:left="426" w:hanging="426"/>
        <w:contextualSpacing/>
        <w:jc w:val="both"/>
        <w:rPr>
          <w:rFonts w:ascii="Arial" w:eastAsia="Arial" w:hAnsi="Arial" w:cs="Arial"/>
          <w:i/>
          <w:iCs/>
          <w:sz w:val="22"/>
          <w:szCs w:val="22"/>
          <w:lang w:val="es-CO"/>
        </w:rPr>
      </w:pPr>
      <w:r w:rsidRPr="008D2838">
        <w:rPr>
          <w:rFonts w:ascii="Arial" w:eastAsia="Arial" w:hAnsi="Arial" w:cs="Arial"/>
          <w:sz w:val="22"/>
          <w:szCs w:val="22"/>
          <w:lang w:val="es-CO"/>
        </w:rPr>
        <w:t>En la vigencia 2022, se identificó que la ejecución presupuestal presentó compromisos por $126.563 millones con cargo a los recursos del SGP – Educación</w:t>
      </w:r>
      <w:r w:rsidR="00341DF3" w:rsidRPr="008D2838">
        <w:rPr>
          <w:rFonts w:ascii="Arial" w:eastAsia="Arial" w:hAnsi="Arial" w:cs="Arial"/>
          <w:sz w:val="22"/>
          <w:szCs w:val="22"/>
          <w:lang w:val="es-CO"/>
        </w:rPr>
        <w:t>. N</w:t>
      </w:r>
      <w:r w:rsidRPr="008D2838">
        <w:rPr>
          <w:rFonts w:ascii="Arial" w:eastAsia="Arial" w:hAnsi="Arial" w:cs="Arial"/>
          <w:sz w:val="22"/>
          <w:szCs w:val="22"/>
          <w:lang w:val="es-CO"/>
        </w:rPr>
        <w:t>o obstante, est</w:t>
      </w:r>
      <w:r w:rsidR="00341DF3" w:rsidRPr="008D2838">
        <w:rPr>
          <w:rFonts w:ascii="Arial" w:eastAsia="Arial" w:hAnsi="Arial" w:cs="Arial"/>
          <w:sz w:val="22"/>
          <w:szCs w:val="22"/>
          <w:lang w:val="es-CO"/>
        </w:rPr>
        <w:t xml:space="preserve">a cifra </w:t>
      </w:r>
      <w:r w:rsidRPr="008D2838">
        <w:rPr>
          <w:rFonts w:ascii="Arial" w:eastAsia="Arial" w:hAnsi="Arial" w:cs="Arial"/>
          <w:sz w:val="22"/>
          <w:szCs w:val="22"/>
          <w:lang w:val="es-CO"/>
        </w:rPr>
        <w:t xml:space="preserve">difiere </w:t>
      </w:r>
      <w:r w:rsidR="00341DF3" w:rsidRPr="008D2838">
        <w:rPr>
          <w:rFonts w:ascii="Arial" w:eastAsia="Arial" w:hAnsi="Arial" w:cs="Arial"/>
          <w:sz w:val="22"/>
          <w:szCs w:val="22"/>
          <w:lang w:val="es-CO"/>
        </w:rPr>
        <w:t>d</w:t>
      </w:r>
      <w:r w:rsidRPr="008D2838">
        <w:rPr>
          <w:rFonts w:ascii="Arial" w:eastAsia="Arial" w:hAnsi="Arial" w:cs="Arial"/>
          <w:sz w:val="22"/>
          <w:szCs w:val="22"/>
          <w:lang w:val="es-CO"/>
        </w:rPr>
        <w:t xml:space="preserve">el listado de Registros Presupuestales y el reporte de la Categoría CUIPO. Con esta fuente de financiación, los RP </w:t>
      </w:r>
      <w:r w:rsidR="00E32F8D" w:rsidRPr="008D2838">
        <w:rPr>
          <w:rFonts w:ascii="Arial" w:eastAsia="Arial" w:hAnsi="Arial" w:cs="Arial"/>
          <w:sz w:val="22"/>
          <w:szCs w:val="22"/>
          <w:lang w:val="es-CO"/>
        </w:rPr>
        <w:t xml:space="preserve">superan </w:t>
      </w:r>
      <w:r w:rsidRPr="008D2838">
        <w:rPr>
          <w:rFonts w:ascii="Arial" w:eastAsia="Arial" w:hAnsi="Arial" w:cs="Arial"/>
          <w:sz w:val="22"/>
          <w:szCs w:val="22"/>
          <w:lang w:val="es-CO"/>
        </w:rPr>
        <w:t>en $2.</w:t>
      </w:r>
      <w:r w:rsidR="00341DF3" w:rsidRPr="008D2838">
        <w:rPr>
          <w:rFonts w:ascii="Arial" w:eastAsia="Arial" w:hAnsi="Arial" w:cs="Arial"/>
          <w:sz w:val="22"/>
          <w:szCs w:val="22"/>
          <w:lang w:val="es-CO"/>
        </w:rPr>
        <w:t>171</w:t>
      </w:r>
      <w:r w:rsidRPr="008D2838">
        <w:rPr>
          <w:rFonts w:ascii="Arial" w:eastAsia="Arial" w:hAnsi="Arial" w:cs="Arial"/>
          <w:sz w:val="22"/>
          <w:szCs w:val="22"/>
          <w:lang w:val="es-CO"/>
        </w:rPr>
        <w:t xml:space="preserve"> millones </w:t>
      </w:r>
      <w:r w:rsidR="00E32F8D" w:rsidRPr="008D2838">
        <w:rPr>
          <w:rFonts w:ascii="Arial" w:eastAsia="Arial" w:hAnsi="Arial" w:cs="Arial"/>
          <w:sz w:val="22"/>
          <w:szCs w:val="22"/>
          <w:lang w:val="es-CO"/>
        </w:rPr>
        <w:t xml:space="preserve">a la ejecución presupuestal </w:t>
      </w:r>
      <w:r w:rsidRPr="008D2838">
        <w:rPr>
          <w:rFonts w:ascii="Arial" w:eastAsia="Arial" w:hAnsi="Arial" w:cs="Arial"/>
          <w:sz w:val="22"/>
          <w:szCs w:val="22"/>
          <w:lang w:val="es-CO"/>
        </w:rPr>
        <w:t xml:space="preserve">y los compromisos reportados en CUIPO </w:t>
      </w:r>
      <w:r w:rsidR="00E32F8D" w:rsidRPr="008D2838">
        <w:rPr>
          <w:rFonts w:ascii="Arial" w:eastAsia="Arial" w:hAnsi="Arial" w:cs="Arial"/>
          <w:sz w:val="22"/>
          <w:szCs w:val="22"/>
          <w:lang w:val="es-CO"/>
        </w:rPr>
        <w:t xml:space="preserve">son inferiores </w:t>
      </w:r>
      <w:r w:rsidRPr="008D2838">
        <w:rPr>
          <w:rFonts w:ascii="Arial" w:eastAsia="Arial" w:hAnsi="Arial" w:cs="Arial"/>
          <w:sz w:val="22"/>
          <w:szCs w:val="22"/>
          <w:lang w:val="es-CO"/>
        </w:rPr>
        <w:t>en $3.010 millones en relación con la ejecución presupuestal.</w:t>
      </w:r>
    </w:p>
    <w:p w14:paraId="1A2390D6" w14:textId="77777777" w:rsidR="00081708" w:rsidRPr="008D2838" w:rsidRDefault="00081708" w:rsidP="00081708">
      <w:pPr>
        <w:jc w:val="both"/>
        <w:rPr>
          <w:rFonts w:ascii="Arial" w:eastAsia="Arial" w:hAnsi="Arial" w:cs="Arial"/>
          <w:color w:val="000000" w:themeColor="text1"/>
          <w:sz w:val="22"/>
          <w:szCs w:val="22"/>
          <w:lang w:val="es-CO"/>
        </w:rPr>
      </w:pPr>
    </w:p>
    <w:p w14:paraId="61782A0C" w14:textId="77777777" w:rsidR="00081708" w:rsidRPr="008D2838" w:rsidRDefault="00081708" w:rsidP="00081708">
      <w:pPr>
        <w:jc w:val="both"/>
        <w:rPr>
          <w:rFonts w:ascii="Arial" w:eastAsia="Times New Roman" w:hAnsi="Arial" w:cs="Arial"/>
          <w:sz w:val="22"/>
          <w:szCs w:val="22"/>
          <w:lang w:val="es-CO"/>
        </w:rPr>
      </w:pPr>
      <w:r w:rsidRPr="008D2838">
        <w:rPr>
          <w:rFonts w:ascii="Arial" w:eastAsia="Arial" w:hAnsi="Arial" w:cs="Arial"/>
          <w:b/>
          <w:bCs/>
          <w:sz w:val="22"/>
          <w:szCs w:val="22"/>
          <w:lang w:val="es-CO"/>
        </w:rPr>
        <w:t>Gastos administrativos.</w:t>
      </w:r>
    </w:p>
    <w:p w14:paraId="59F1F310" w14:textId="77777777" w:rsidR="00081708" w:rsidRPr="008D2838" w:rsidRDefault="00081708" w:rsidP="00081708">
      <w:pPr>
        <w:rPr>
          <w:rFonts w:ascii="Arial" w:hAnsi="Arial" w:cs="Arial"/>
          <w:sz w:val="22"/>
          <w:szCs w:val="22"/>
          <w:lang w:val="es-CO"/>
        </w:rPr>
      </w:pPr>
    </w:p>
    <w:p w14:paraId="32068B73" w14:textId="77777777" w:rsidR="00081708" w:rsidRPr="008D2838" w:rsidRDefault="00081708" w:rsidP="00081708">
      <w:pPr>
        <w:jc w:val="both"/>
        <w:rPr>
          <w:rFonts w:ascii="Arial" w:hAnsi="Arial" w:cs="Arial"/>
          <w:sz w:val="22"/>
          <w:szCs w:val="22"/>
          <w:lang w:val="es-CO"/>
        </w:rPr>
      </w:pPr>
      <w:r w:rsidRPr="008D2838">
        <w:rPr>
          <w:rFonts w:ascii="Arial" w:eastAsia="Arial" w:hAnsi="Arial" w:cs="Arial"/>
          <w:sz w:val="22"/>
          <w:szCs w:val="22"/>
          <w:lang w:val="es-CO"/>
        </w:rPr>
        <w:t xml:space="preserve">El Documento de Distribución DD-SGP-50-2020 estableció el límite de gasto administrativo para el Distrito de Turbo - Antioquia en 2020, que correspondió a $9.175,5 millones. Por su parte, para 2021 y 2022 de acuerdo con </w:t>
      </w:r>
      <w:r w:rsidR="00341DF3" w:rsidRPr="008D2838">
        <w:rPr>
          <w:rFonts w:ascii="Arial" w:eastAsia="Arial" w:hAnsi="Arial" w:cs="Arial"/>
          <w:sz w:val="22"/>
          <w:szCs w:val="22"/>
          <w:lang w:val="es-CO"/>
        </w:rPr>
        <w:t xml:space="preserve">los </w:t>
      </w:r>
      <w:r w:rsidRPr="008D2838">
        <w:rPr>
          <w:rFonts w:ascii="Arial" w:eastAsia="Arial" w:hAnsi="Arial" w:cs="Arial"/>
          <w:sz w:val="22"/>
          <w:szCs w:val="22"/>
          <w:lang w:val="es-CO"/>
        </w:rPr>
        <w:t>Documento de Distribución DD-SGP-59-2021 y DD_SGP-71-2022, el límite autorizado por la Nación fue de $11.176 y $11.987 millones respectivamente. Del análisis de las ejecuciones presupuestales, se concluy</w:t>
      </w:r>
      <w:r w:rsidR="00341DF3" w:rsidRPr="008D2838">
        <w:rPr>
          <w:rFonts w:ascii="Arial" w:eastAsia="Arial" w:hAnsi="Arial" w:cs="Arial"/>
          <w:sz w:val="22"/>
          <w:szCs w:val="22"/>
          <w:lang w:val="es-CO"/>
        </w:rPr>
        <w:t>ó</w:t>
      </w:r>
      <w:r w:rsidRPr="008D2838">
        <w:rPr>
          <w:rFonts w:ascii="Arial" w:eastAsia="Arial" w:hAnsi="Arial" w:cs="Arial"/>
          <w:sz w:val="22"/>
          <w:szCs w:val="22"/>
          <w:lang w:val="es-CO"/>
        </w:rPr>
        <w:t xml:space="preserve"> que entre 2019 y 2022 la Entidad Territorial no superó el límite establecido, de acuerdo con el siguiente detalle:</w:t>
      </w:r>
    </w:p>
    <w:p w14:paraId="40207E10" w14:textId="77777777" w:rsidR="00081708" w:rsidRPr="008D2838" w:rsidRDefault="00081708" w:rsidP="00081708">
      <w:pPr>
        <w:jc w:val="both"/>
        <w:rPr>
          <w:rFonts w:ascii="Arial" w:eastAsia="Arial" w:hAnsi="Arial" w:cs="Arial"/>
          <w:sz w:val="22"/>
          <w:szCs w:val="22"/>
          <w:lang w:val="es-CO"/>
        </w:rPr>
      </w:pPr>
    </w:p>
    <w:p w14:paraId="39910A00" w14:textId="77777777" w:rsidR="00081708" w:rsidRPr="008D2838" w:rsidRDefault="00081708" w:rsidP="00081708">
      <w:pPr>
        <w:rPr>
          <w:rFonts w:ascii="Arial" w:eastAsia="Calibri" w:hAnsi="Arial" w:cs="Arial"/>
          <w:vanish/>
          <w:lang w:val="es-CO" w:eastAsia="es-CO"/>
        </w:rPr>
      </w:pPr>
    </w:p>
    <w:tbl>
      <w:tblPr>
        <w:tblW w:w="8828" w:type="dxa"/>
        <w:tblCellMar>
          <w:left w:w="70" w:type="dxa"/>
          <w:right w:w="70" w:type="dxa"/>
        </w:tblCellMar>
        <w:tblLook w:val="04A0" w:firstRow="1" w:lastRow="0" w:firstColumn="1" w:lastColumn="0" w:noHBand="0" w:noVBand="1"/>
      </w:tblPr>
      <w:tblGrid>
        <w:gridCol w:w="2400"/>
        <w:gridCol w:w="1319"/>
        <w:gridCol w:w="1703"/>
        <w:gridCol w:w="1703"/>
        <w:gridCol w:w="1703"/>
      </w:tblGrid>
      <w:tr w:rsidR="00081708" w:rsidRPr="008D2838" w14:paraId="7E5BFB9E" w14:textId="77777777" w:rsidTr="00081708">
        <w:trPr>
          <w:trHeight w:val="20"/>
        </w:trPr>
        <w:tc>
          <w:tcPr>
            <w:tcW w:w="6220" w:type="dxa"/>
            <w:gridSpan w:val="5"/>
            <w:tcBorders>
              <w:top w:val="single" w:sz="8" w:space="0" w:color="auto"/>
              <w:left w:val="single" w:sz="8" w:space="0" w:color="auto"/>
              <w:bottom w:val="single" w:sz="8" w:space="0" w:color="auto"/>
              <w:right w:val="single" w:sz="8" w:space="0" w:color="000000"/>
            </w:tcBorders>
            <w:shd w:val="clear" w:color="auto" w:fill="244061"/>
            <w:vAlign w:val="center"/>
            <w:hideMark/>
          </w:tcPr>
          <w:p w14:paraId="0C3961D8"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 xml:space="preserve">TABLA 4. GASTOS ADMINISTRATIVOS </w:t>
            </w:r>
          </w:p>
          <w:p w14:paraId="106B45A8"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(EN MILLONES DE $)</w:t>
            </w:r>
          </w:p>
        </w:tc>
      </w:tr>
      <w:tr w:rsidR="00081708" w:rsidRPr="008D2838" w14:paraId="36236A2A" w14:textId="77777777" w:rsidTr="00E32F8D">
        <w:trPr>
          <w:trHeight w:val="20"/>
        </w:trPr>
        <w:tc>
          <w:tcPr>
            <w:tcW w:w="1691" w:type="dxa"/>
            <w:tcBorders>
              <w:top w:val="nil"/>
              <w:left w:val="single" w:sz="8" w:space="0" w:color="auto"/>
              <w:bottom w:val="single" w:sz="8" w:space="0" w:color="auto"/>
              <w:right w:val="single" w:sz="8" w:space="0" w:color="auto"/>
            </w:tcBorders>
            <w:shd w:val="clear" w:color="auto" w:fill="95B3D7"/>
            <w:vAlign w:val="center"/>
            <w:hideMark/>
          </w:tcPr>
          <w:p w14:paraId="29D0E871"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Vigencia</w:t>
            </w:r>
          </w:p>
        </w:tc>
        <w:tc>
          <w:tcPr>
            <w:tcW w:w="929" w:type="dxa"/>
            <w:tcBorders>
              <w:top w:val="nil"/>
              <w:left w:val="nil"/>
              <w:bottom w:val="single" w:sz="8" w:space="0" w:color="auto"/>
              <w:right w:val="single" w:sz="8" w:space="0" w:color="auto"/>
            </w:tcBorders>
            <w:shd w:val="clear" w:color="auto" w:fill="95B3D7"/>
            <w:vAlign w:val="center"/>
            <w:hideMark/>
          </w:tcPr>
          <w:p w14:paraId="4E71FD42"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2019</w:t>
            </w:r>
          </w:p>
        </w:tc>
        <w:tc>
          <w:tcPr>
            <w:tcW w:w="1200" w:type="dxa"/>
            <w:tcBorders>
              <w:top w:val="nil"/>
              <w:left w:val="nil"/>
              <w:bottom w:val="single" w:sz="8" w:space="0" w:color="auto"/>
              <w:right w:val="single" w:sz="8" w:space="0" w:color="auto"/>
            </w:tcBorders>
            <w:shd w:val="clear" w:color="auto" w:fill="95B3D7"/>
            <w:vAlign w:val="center"/>
            <w:hideMark/>
          </w:tcPr>
          <w:p w14:paraId="060DAE63"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2020</w:t>
            </w:r>
          </w:p>
        </w:tc>
        <w:tc>
          <w:tcPr>
            <w:tcW w:w="1200" w:type="dxa"/>
            <w:tcBorders>
              <w:top w:val="nil"/>
              <w:left w:val="nil"/>
              <w:bottom w:val="single" w:sz="8" w:space="0" w:color="auto"/>
              <w:right w:val="single" w:sz="8" w:space="0" w:color="auto"/>
            </w:tcBorders>
            <w:shd w:val="clear" w:color="auto" w:fill="95B3D7"/>
            <w:vAlign w:val="center"/>
            <w:hideMark/>
          </w:tcPr>
          <w:p w14:paraId="55E7C489"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2021</w:t>
            </w:r>
          </w:p>
        </w:tc>
        <w:tc>
          <w:tcPr>
            <w:tcW w:w="1200" w:type="dxa"/>
            <w:tcBorders>
              <w:top w:val="nil"/>
              <w:left w:val="nil"/>
              <w:bottom w:val="single" w:sz="8" w:space="0" w:color="auto"/>
              <w:right w:val="single" w:sz="8" w:space="0" w:color="auto"/>
            </w:tcBorders>
            <w:shd w:val="clear" w:color="auto" w:fill="95B3D7"/>
            <w:vAlign w:val="center"/>
            <w:hideMark/>
          </w:tcPr>
          <w:p w14:paraId="376B9AEE"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2022</w:t>
            </w:r>
          </w:p>
        </w:tc>
      </w:tr>
      <w:tr w:rsidR="00081708" w:rsidRPr="008D2838" w14:paraId="37BA050A" w14:textId="77777777" w:rsidTr="00E32F8D">
        <w:trPr>
          <w:trHeight w:val="20"/>
        </w:trPr>
        <w:tc>
          <w:tcPr>
            <w:tcW w:w="1691" w:type="dxa"/>
            <w:tcBorders>
              <w:top w:val="nil"/>
              <w:left w:val="single" w:sz="8" w:space="0" w:color="auto"/>
              <w:bottom w:val="single" w:sz="8" w:space="0" w:color="auto"/>
              <w:right w:val="single" w:sz="8" w:space="0" w:color="auto"/>
            </w:tcBorders>
            <w:vAlign w:val="center"/>
            <w:hideMark/>
          </w:tcPr>
          <w:p w14:paraId="07AC8E99" w14:textId="77777777" w:rsidR="00081708" w:rsidRPr="008D2838" w:rsidRDefault="00081708" w:rsidP="00081708">
            <w:pPr>
              <w:jc w:val="center"/>
              <w:rPr>
                <w:rFonts w:ascii="Arial" w:eastAsia="Times New Roman" w:hAnsi="Arial" w:cs="Arial"/>
                <w:i/>
                <w:iCs/>
                <w:color w:val="000000"/>
                <w:sz w:val="18"/>
                <w:szCs w:val="18"/>
                <w:lang w:val="es-CO" w:eastAsia="es-CO"/>
              </w:rPr>
            </w:pPr>
            <w:r w:rsidRPr="008D2838">
              <w:rPr>
                <w:rFonts w:ascii="Arial" w:eastAsia="Times New Roman" w:hAnsi="Arial" w:cs="Arial"/>
                <w:i/>
                <w:iCs/>
                <w:color w:val="000000"/>
                <w:sz w:val="18"/>
                <w:szCs w:val="18"/>
                <w:lang w:val="es-CO" w:eastAsia="es-CO"/>
              </w:rPr>
              <w:t xml:space="preserve">Autorizado </w:t>
            </w:r>
          </w:p>
        </w:tc>
        <w:tc>
          <w:tcPr>
            <w:tcW w:w="929" w:type="dxa"/>
            <w:tcBorders>
              <w:top w:val="nil"/>
              <w:left w:val="nil"/>
              <w:bottom w:val="single" w:sz="8" w:space="0" w:color="auto"/>
              <w:right w:val="single" w:sz="8" w:space="0" w:color="auto"/>
            </w:tcBorders>
            <w:vAlign w:val="center"/>
            <w:hideMark/>
          </w:tcPr>
          <w:p w14:paraId="01E7460C" w14:textId="77777777" w:rsidR="00081708" w:rsidRPr="008D2838" w:rsidRDefault="00081708" w:rsidP="00081708">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10.998</w:t>
            </w:r>
          </w:p>
        </w:tc>
        <w:tc>
          <w:tcPr>
            <w:tcW w:w="1200" w:type="dxa"/>
            <w:tcBorders>
              <w:top w:val="nil"/>
              <w:left w:val="nil"/>
              <w:bottom w:val="single" w:sz="8" w:space="0" w:color="auto"/>
              <w:right w:val="single" w:sz="8" w:space="0" w:color="auto"/>
            </w:tcBorders>
            <w:vAlign w:val="center"/>
            <w:hideMark/>
          </w:tcPr>
          <w:p w14:paraId="2076F242" w14:textId="77777777" w:rsidR="00081708" w:rsidRPr="008D2838" w:rsidRDefault="00081708" w:rsidP="00081708">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9.175</w:t>
            </w:r>
          </w:p>
        </w:tc>
        <w:tc>
          <w:tcPr>
            <w:tcW w:w="1200" w:type="dxa"/>
            <w:tcBorders>
              <w:top w:val="nil"/>
              <w:left w:val="nil"/>
              <w:bottom w:val="single" w:sz="8" w:space="0" w:color="auto"/>
              <w:right w:val="single" w:sz="8" w:space="0" w:color="auto"/>
            </w:tcBorders>
            <w:vAlign w:val="center"/>
            <w:hideMark/>
          </w:tcPr>
          <w:p w14:paraId="0E3894CA" w14:textId="77777777" w:rsidR="00081708" w:rsidRPr="008D2838" w:rsidRDefault="00081708" w:rsidP="00081708">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11.176</w:t>
            </w:r>
          </w:p>
        </w:tc>
        <w:tc>
          <w:tcPr>
            <w:tcW w:w="1200" w:type="dxa"/>
            <w:tcBorders>
              <w:top w:val="nil"/>
              <w:left w:val="nil"/>
              <w:bottom w:val="single" w:sz="8" w:space="0" w:color="auto"/>
              <w:right w:val="single" w:sz="8" w:space="0" w:color="auto"/>
            </w:tcBorders>
            <w:vAlign w:val="center"/>
            <w:hideMark/>
          </w:tcPr>
          <w:p w14:paraId="2BB0C673" w14:textId="77777777" w:rsidR="00081708" w:rsidRPr="008D2838" w:rsidRDefault="00081708" w:rsidP="00081708">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11.987</w:t>
            </w:r>
          </w:p>
        </w:tc>
      </w:tr>
      <w:tr w:rsidR="00081708" w:rsidRPr="008D2838" w14:paraId="2B8E059D" w14:textId="77777777" w:rsidTr="00E32F8D">
        <w:trPr>
          <w:trHeight w:val="20"/>
        </w:trPr>
        <w:tc>
          <w:tcPr>
            <w:tcW w:w="1691" w:type="dxa"/>
            <w:tcBorders>
              <w:top w:val="nil"/>
              <w:left w:val="single" w:sz="8" w:space="0" w:color="auto"/>
              <w:bottom w:val="single" w:sz="8" w:space="0" w:color="auto"/>
              <w:right w:val="single" w:sz="8" w:space="0" w:color="auto"/>
            </w:tcBorders>
            <w:vAlign w:val="center"/>
            <w:hideMark/>
          </w:tcPr>
          <w:p w14:paraId="7660339C" w14:textId="77777777" w:rsidR="00081708" w:rsidRPr="008D2838" w:rsidRDefault="00081708" w:rsidP="00081708">
            <w:pPr>
              <w:jc w:val="center"/>
              <w:rPr>
                <w:rFonts w:ascii="Arial" w:eastAsia="Times New Roman" w:hAnsi="Arial" w:cs="Arial"/>
                <w:i/>
                <w:iCs/>
                <w:color w:val="000000"/>
                <w:sz w:val="18"/>
                <w:szCs w:val="18"/>
                <w:lang w:val="es-CO" w:eastAsia="es-CO"/>
              </w:rPr>
            </w:pPr>
            <w:r w:rsidRPr="008D2838">
              <w:rPr>
                <w:rFonts w:ascii="Arial" w:eastAsia="Times New Roman" w:hAnsi="Arial" w:cs="Arial"/>
                <w:i/>
                <w:iCs/>
                <w:color w:val="000000"/>
                <w:sz w:val="18"/>
                <w:szCs w:val="18"/>
                <w:lang w:val="es-CO" w:eastAsia="es-CO"/>
              </w:rPr>
              <w:t>Ejecutado</w:t>
            </w:r>
          </w:p>
        </w:tc>
        <w:tc>
          <w:tcPr>
            <w:tcW w:w="929" w:type="dxa"/>
            <w:tcBorders>
              <w:top w:val="nil"/>
              <w:left w:val="nil"/>
              <w:bottom w:val="single" w:sz="8" w:space="0" w:color="auto"/>
              <w:right w:val="single" w:sz="8" w:space="0" w:color="auto"/>
            </w:tcBorders>
            <w:vAlign w:val="center"/>
            <w:hideMark/>
          </w:tcPr>
          <w:p w14:paraId="63A8E5D9" w14:textId="77777777" w:rsidR="00081708" w:rsidRPr="008D2838" w:rsidRDefault="00081708" w:rsidP="00081708">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10.857</w:t>
            </w:r>
          </w:p>
        </w:tc>
        <w:tc>
          <w:tcPr>
            <w:tcW w:w="1200" w:type="dxa"/>
            <w:tcBorders>
              <w:top w:val="nil"/>
              <w:left w:val="nil"/>
              <w:bottom w:val="single" w:sz="8" w:space="0" w:color="auto"/>
              <w:right w:val="single" w:sz="8" w:space="0" w:color="auto"/>
            </w:tcBorders>
            <w:vAlign w:val="center"/>
            <w:hideMark/>
          </w:tcPr>
          <w:p w14:paraId="6186B189" w14:textId="77777777" w:rsidR="00081708" w:rsidRPr="008D2838" w:rsidRDefault="00081708" w:rsidP="00081708">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7.752</w:t>
            </w:r>
          </w:p>
        </w:tc>
        <w:tc>
          <w:tcPr>
            <w:tcW w:w="1200" w:type="dxa"/>
            <w:tcBorders>
              <w:top w:val="nil"/>
              <w:left w:val="nil"/>
              <w:bottom w:val="single" w:sz="8" w:space="0" w:color="auto"/>
              <w:right w:val="single" w:sz="8" w:space="0" w:color="auto"/>
            </w:tcBorders>
            <w:vAlign w:val="center"/>
            <w:hideMark/>
          </w:tcPr>
          <w:p w14:paraId="0755D0B4" w14:textId="77777777" w:rsidR="00081708" w:rsidRPr="008D2838" w:rsidRDefault="00081708" w:rsidP="00081708">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10.975</w:t>
            </w:r>
          </w:p>
        </w:tc>
        <w:tc>
          <w:tcPr>
            <w:tcW w:w="1200" w:type="dxa"/>
            <w:tcBorders>
              <w:top w:val="nil"/>
              <w:left w:val="nil"/>
              <w:bottom w:val="single" w:sz="8" w:space="0" w:color="auto"/>
              <w:right w:val="single" w:sz="8" w:space="0" w:color="auto"/>
            </w:tcBorders>
            <w:vAlign w:val="center"/>
            <w:hideMark/>
          </w:tcPr>
          <w:p w14:paraId="02344D81" w14:textId="77777777" w:rsidR="00081708" w:rsidRPr="008D2838" w:rsidRDefault="00081708" w:rsidP="00081708">
            <w:pPr>
              <w:jc w:val="right"/>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10.488</w:t>
            </w:r>
          </w:p>
        </w:tc>
      </w:tr>
      <w:tr w:rsidR="00081708" w:rsidRPr="008D2838" w14:paraId="6CECE542" w14:textId="77777777" w:rsidTr="00E32F8D">
        <w:trPr>
          <w:trHeight w:val="20"/>
        </w:trPr>
        <w:tc>
          <w:tcPr>
            <w:tcW w:w="1691" w:type="dxa"/>
            <w:tcBorders>
              <w:top w:val="nil"/>
              <w:left w:val="single" w:sz="8" w:space="0" w:color="auto"/>
              <w:bottom w:val="single" w:sz="8" w:space="0" w:color="auto"/>
              <w:right w:val="single" w:sz="8" w:space="0" w:color="auto"/>
            </w:tcBorders>
            <w:shd w:val="clear" w:color="auto" w:fill="95B3D7"/>
            <w:vAlign w:val="center"/>
            <w:hideMark/>
          </w:tcPr>
          <w:p w14:paraId="027A10EA"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DIFERENCIA</w:t>
            </w:r>
          </w:p>
        </w:tc>
        <w:tc>
          <w:tcPr>
            <w:tcW w:w="929" w:type="dxa"/>
            <w:tcBorders>
              <w:top w:val="nil"/>
              <w:left w:val="nil"/>
              <w:bottom w:val="single" w:sz="8" w:space="0" w:color="auto"/>
              <w:right w:val="single" w:sz="8" w:space="0" w:color="auto"/>
            </w:tcBorders>
            <w:shd w:val="clear" w:color="auto" w:fill="95B3D7"/>
            <w:vAlign w:val="center"/>
            <w:hideMark/>
          </w:tcPr>
          <w:p w14:paraId="1FE77FF5" w14:textId="77777777" w:rsidR="00081708" w:rsidRPr="008D2838" w:rsidRDefault="00081708" w:rsidP="00081708">
            <w:pPr>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141</w:t>
            </w:r>
          </w:p>
        </w:tc>
        <w:tc>
          <w:tcPr>
            <w:tcW w:w="1200" w:type="dxa"/>
            <w:tcBorders>
              <w:top w:val="nil"/>
              <w:left w:val="nil"/>
              <w:bottom w:val="single" w:sz="8" w:space="0" w:color="auto"/>
              <w:right w:val="single" w:sz="8" w:space="0" w:color="auto"/>
            </w:tcBorders>
            <w:shd w:val="clear" w:color="auto" w:fill="95B3D7"/>
            <w:vAlign w:val="center"/>
            <w:hideMark/>
          </w:tcPr>
          <w:p w14:paraId="0F248E29" w14:textId="77777777" w:rsidR="00081708" w:rsidRPr="008D2838" w:rsidRDefault="00081708" w:rsidP="00081708">
            <w:pPr>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1.423</w:t>
            </w:r>
          </w:p>
        </w:tc>
        <w:tc>
          <w:tcPr>
            <w:tcW w:w="1200" w:type="dxa"/>
            <w:tcBorders>
              <w:top w:val="nil"/>
              <w:left w:val="nil"/>
              <w:bottom w:val="single" w:sz="8" w:space="0" w:color="auto"/>
              <w:right w:val="single" w:sz="8" w:space="0" w:color="auto"/>
            </w:tcBorders>
            <w:shd w:val="clear" w:color="auto" w:fill="95B3D7"/>
            <w:vAlign w:val="center"/>
            <w:hideMark/>
          </w:tcPr>
          <w:p w14:paraId="086E6F33" w14:textId="77777777" w:rsidR="00081708" w:rsidRPr="008D2838" w:rsidRDefault="00081708" w:rsidP="00081708">
            <w:pPr>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201</w:t>
            </w:r>
          </w:p>
        </w:tc>
        <w:tc>
          <w:tcPr>
            <w:tcW w:w="1200" w:type="dxa"/>
            <w:tcBorders>
              <w:top w:val="nil"/>
              <w:left w:val="nil"/>
              <w:bottom w:val="single" w:sz="8" w:space="0" w:color="auto"/>
              <w:right w:val="single" w:sz="8" w:space="0" w:color="auto"/>
            </w:tcBorders>
            <w:shd w:val="clear" w:color="auto" w:fill="95B3D7"/>
            <w:vAlign w:val="center"/>
            <w:hideMark/>
          </w:tcPr>
          <w:p w14:paraId="0FACA2C4" w14:textId="77777777" w:rsidR="00081708" w:rsidRPr="008D2838" w:rsidRDefault="00081708" w:rsidP="00081708">
            <w:pPr>
              <w:jc w:val="right"/>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1.498</w:t>
            </w:r>
          </w:p>
        </w:tc>
      </w:tr>
    </w:tbl>
    <w:p w14:paraId="57240DAF" w14:textId="77777777" w:rsidR="00081708" w:rsidRPr="008D2838" w:rsidRDefault="00081708" w:rsidP="00E32F8D">
      <w:pPr>
        <w:jc w:val="center"/>
        <w:rPr>
          <w:rFonts w:ascii="Arial" w:eastAsia="Arial" w:hAnsi="Arial" w:cs="Arial"/>
          <w:sz w:val="16"/>
          <w:szCs w:val="16"/>
          <w:lang w:val="es-CO"/>
        </w:rPr>
      </w:pPr>
      <w:r w:rsidRPr="008D2838">
        <w:rPr>
          <w:rFonts w:ascii="Arial" w:eastAsia="Arial" w:hAnsi="Arial" w:cs="Arial"/>
          <w:sz w:val="16"/>
          <w:szCs w:val="16"/>
          <w:lang w:val="es-CO"/>
        </w:rPr>
        <w:t>Fuente: cálculo DAF con las ejecuciones presupuestales de gastos a diciembre 31 de 2019, 2020 y 2021, y órdenes de pago de 2022.</w:t>
      </w:r>
    </w:p>
    <w:p w14:paraId="1D2DE465" w14:textId="77777777" w:rsidR="00081708" w:rsidRPr="008D2838" w:rsidRDefault="00081708" w:rsidP="00081708">
      <w:pPr>
        <w:keepNext/>
        <w:keepLines/>
        <w:contextualSpacing/>
        <w:outlineLvl w:val="0"/>
        <w:rPr>
          <w:rFonts w:ascii="Arial" w:eastAsia="Arial" w:hAnsi="Arial" w:cs="Arial"/>
          <w:b/>
          <w:bCs/>
          <w:color w:val="000000" w:themeColor="text1"/>
          <w:sz w:val="22"/>
          <w:szCs w:val="22"/>
          <w:lang w:val="es-CO"/>
        </w:rPr>
      </w:pPr>
    </w:p>
    <w:p w14:paraId="049FA6CD" w14:textId="77777777" w:rsidR="00081708" w:rsidRPr="008D2838" w:rsidRDefault="00081708" w:rsidP="00081708">
      <w:pPr>
        <w:keepNext/>
        <w:keepLines/>
        <w:contextualSpacing/>
        <w:outlineLvl w:val="0"/>
        <w:rPr>
          <w:rFonts w:ascii="Arial" w:eastAsia="Arial" w:hAnsi="Arial" w:cs="Arial"/>
          <w:b/>
          <w:bCs/>
          <w:color w:val="000000" w:themeColor="text1"/>
          <w:sz w:val="22"/>
          <w:szCs w:val="22"/>
          <w:lang w:val="es-CO"/>
        </w:rPr>
      </w:pPr>
      <w:r w:rsidRPr="008D2838">
        <w:rPr>
          <w:rFonts w:ascii="Arial" w:eastAsia="Arial" w:hAnsi="Arial" w:cs="Arial"/>
          <w:b/>
          <w:bCs/>
          <w:color w:val="000000" w:themeColor="text1"/>
          <w:sz w:val="22"/>
          <w:szCs w:val="22"/>
          <w:lang w:val="es-CO"/>
        </w:rPr>
        <w:t>Cierre de tesorería.</w:t>
      </w:r>
    </w:p>
    <w:p w14:paraId="7BCEAB1C" w14:textId="77777777" w:rsidR="00081708" w:rsidRPr="008D2838" w:rsidRDefault="00081708" w:rsidP="00081708">
      <w:pPr>
        <w:jc w:val="both"/>
        <w:rPr>
          <w:rFonts w:ascii="Arial" w:hAnsi="Arial" w:cs="Arial"/>
          <w:sz w:val="22"/>
          <w:szCs w:val="22"/>
          <w:lang w:val="es-CO"/>
        </w:rPr>
      </w:pPr>
      <w:r w:rsidRPr="008D2838">
        <w:rPr>
          <w:rFonts w:ascii="Arial" w:eastAsia="Arial" w:hAnsi="Arial" w:cs="Arial"/>
          <w:sz w:val="22"/>
          <w:szCs w:val="22"/>
          <w:lang w:val="es-CO"/>
        </w:rPr>
        <w:t xml:space="preserve"> </w:t>
      </w:r>
    </w:p>
    <w:p w14:paraId="42874A8E" w14:textId="77777777" w:rsidR="00081708" w:rsidRPr="008D2838" w:rsidRDefault="00081708" w:rsidP="00081708">
      <w:pPr>
        <w:jc w:val="both"/>
        <w:rPr>
          <w:rFonts w:ascii="Arial" w:hAnsi="Arial" w:cs="Arial"/>
          <w:sz w:val="22"/>
          <w:szCs w:val="22"/>
          <w:lang w:val="es-CO"/>
        </w:rPr>
      </w:pPr>
      <w:r w:rsidRPr="008D2838">
        <w:rPr>
          <w:rFonts w:ascii="Arial" w:eastAsia="Arial" w:hAnsi="Arial" w:cs="Arial"/>
          <w:sz w:val="22"/>
          <w:szCs w:val="22"/>
          <w:lang w:val="es-CO"/>
        </w:rPr>
        <w:t>Sobre el cierre del 2021, la ejecución presupuestal de ingresos y gastos arrojó un resultado presupuestal superavitario para el Sector Educativo de $2.797 millones ($2.207 millones de Prestación del Servicio y $589,5 millones de Calidad) y evidenció que la Entidad debió constituir cuentas por pagar por un total de $725,8 millones, reservas por $1.094,6 millones y tener un mínimo disponible en caja y bancos de $4.617 millones.</w:t>
      </w:r>
    </w:p>
    <w:p w14:paraId="5B440D50" w14:textId="77777777" w:rsidR="00081708" w:rsidRPr="008D2838" w:rsidRDefault="00081708" w:rsidP="00081708">
      <w:pPr>
        <w:jc w:val="both"/>
        <w:rPr>
          <w:rFonts w:ascii="Arial" w:hAnsi="Arial" w:cs="Arial"/>
          <w:sz w:val="22"/>
          <w:szCs w:val="22"/>
          <w:lang w:val="es-CO"/>
        </w:rPr>
      </w:pPr>
    </w:p>
    <w:p w14:paraId="5CBFAD32" w14:textId="77777777" w:rsidR="00081708" w:rsidRPr="008D2838" w:rsidRDefault="00081708" w:rsidP="00081708">
      <w:pPr>
        <w:jc w:val="both"/>
        <w:rPr>
          <w:rFonts w:ascii="Arial" w:hAnsi="Arial" w:cs="Arial"/>
          <w:sz w:val="22"/>
          <w:szCs w:val="22"/>
          <w:lang w:val="es-CO"/>
        </w:rPr>
      </w:pPr>
      <w:r w:rsidRPr="008D2838">
        <w:rPr>
          <w:rFonts w:ascii="Arial" w:eastAsia="Arial" w:hAnsi="Arial" w:cs="Arial"/>
          <w:sz w:val="22"/>
          <w:szCs w:val="22"/>
          <w:lang w:val="es-CO"/>
        </w:rPr>
        <w:t xml:space="preserve">Al comparar la información de tesorería contra la presupuestal, se encontró que ésta es inconsistente entre sí. Los valores de superávit que debió constituir la Entidad en 2021, </w:t>
      </w:r>
      <w:r w:rsidRPr="008D2838">
        <w:rPr>
          <w:rFonts w:ascii="Arial" w:eastAsia="Arial" w:hAnsi="Arial" w:cs="Arial"/>
          <w:sz w:val="22"/>
          <w:szCs w:val="22"/>
          <w:lang w:val="es-CO"/>
        </w:rPr>
        <w:lastRenderedPageBreak/>
        <w:t>según el ejercicio presupuestal no coinciden con los resultados de tesorería, como se muestra en la siguiente tabla:</w:t>
      </w:r>
    </w:p>
    <w:p w14:paraId="40645006" w14:textId="77777777" w:rsidR="00081708" w:rsidRPr="008D2838" w:rsidRDefault="00081708" w:rsidP="00081708">
      <w:pPr>
        <w:jc w:val="both"/>
        <w:rPr>
          <w:rFonts w:ascii="Arial" w:hAnsi="Arial" w:cs="Arial"/>
          <w:sz w:val="22"/>
          <w:szCs w:val="22"/>
          <w:lang w:val="es-CO"/>
        </w:rPr>
      </w:pPr>
    </w:p>
    <w:p w14:paraId="635ECF7E" w14:textId="77777777" w:rsidR="00081708" w:rsidRPr="008D2838" w:rsidRDefault="00081708" w:rsidP="00081708">
      <w:pPr>
        <w:jc w:val="center"/>
        <w:rPr>
          <w:rFonts w:ascii="Arial" w:eastAsia="Arial" w:hAnsi="Arial" w:cs="Arial"/>
          <w:b/>
          <w:bCs/>
          <w:sz w:val="20"/>
          <w:szCs w:val="18"/>
          <w:lang w:val="es-CO"/>
        </w:rPr>
      </w:pPr>
      <w:r w:rsidRPr="008D2838">
        <w:rPr>
          <w:rFonts w:ascii="Arial" w:eastAsia="Arial" w:hAnsi="Arial" w:cs="Arial"/>
          <w:b/>
          <w:bCs/>
          <w:sz w:val="20"/>
          <w:szCs w:val="18"/>
          <w:lang w:val="es-CO"/>
        </w:rPr>
        <w:t>Tabla 5. Cierre Fiscal vigencia 2019 – 2022 (En millones de $)</w:t>
      </w:r>
    </w:p>
    <w:tbl>
      <w:tblPr>
        <w:tblW w:w="9782" w:type="dxa"/>
        <w:tblInd w:w="-436" w:type="dxa"/>
        <w:tblCellMar>
          <w:left w:w="70" w:type="dxa"/>
          <w:right w:w="70" w:type="dxa"/>
        </w:tblCellMar>
        <w:tblLook w:val="04A0" w:firstRow="1" w:lastRow="0" w:firstColumn="1" w:lastColumn="0" w:noHBand="0" w:noVBand="1"/>
      </w:tblPr>
      <w:tblGrid>
        <w:gridCol w:w="848"/>
        <w:gridCol w:w="1300"/>
        <w:gridCol w:w="985"/>
        <w:gridCol w:w="838"/>
        <w:gridCol w:w="985"/>
        <w:gridCol w:w="1074"/>
        <w:gridCol w:w="985"/>
        <w:gridCol w:w="818"/>
        <w:gridCol w:w="985"/>
        <w:gridCol w:w="964"/>
      </w:tblGrid>
      <w:tr w:rsidR="00081708" w:rsidRPr="008D2838" w14:paraId="2A80614A" w14:textId="77777777" w:rsidTr="00081708">
        <w:trPr>
          <w:trHeight w:val="283"/>
        </w:trPr>
        <w:tc>
          <w:tcPr>
            <w:tcW w:w="848" w:type="dxa"/>
            <w:vMerge w:val="restart"/>
            <w:tcBorders>
              <w:top w:val="single" w:sz="8" w:space="0" w:color="auto"/>
              <w:left w:val="single" w:sz="8" w:space="0" w:color="auto"/>
              <w:bottom w:val="single" w:sz="8" w:space="0" w:color="000000"/>
              <w:right w:val="single" w:sz="8" w:space="0" w:color="auto"/>
            </w:tcBorders>
            <w:shd w:val="clear" w:color="auto" w:fill="244061"/>
            <w:vAlign w:val="center"/>
            <w:hideMark/>
          </w:tcPr>
          <w:p w14:paraId="474B0265" w14:textId="77777777" w:rsidR="00081708" w:rsidRPr="008D2838" w:rsidRDefault="00081708" w:rsidP="00E32F8D">
            <w:pPr>
              <w:ind w:right="-81" w:hanging="66"/>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 xml:space="preserve">VIGENCIA </w:t>
            </w:r>
          </w:p>
        </w:tc>
        <w:tc>
          <w:tcPr>
            <w:tcW w:w="1314" w:type="dxa"/>
            <w:vMerge w:val="restart"/>
            <w:tcBorders>
              <w:top w:val="single" w:sz="8" w:space="0" w:color="auto"/>
              <w:left w:val="single" w:sz="8" w:space="0" w:color="auto"/>
              <w:bottom w:val="single" w:sz="8" w:space="0" w:color="000000"/>
              <w:right w:val="single" w:sz="8" w:space="0" w:color="auto"/>
            </w:tcBorders>
            <w:shd w:val="clear" w:color="auto" w:fill="244061"/>
            <w:vAlign w:val="center"/>
            <w:hideMark/>
          </w:tcPr>
          <w:p w14:paraId="23A7AC91"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 xml:space="preserve">CONCEPTO </w:t>
            </w:r>
          </w:p>
        </w:tc>
        <w:tc>
          <w:tcPr>
            <w:tcW w:w="3882" w:type="dxa"/>
            <w:gridSpan w:val="4"/>
            <w:tcBorders>
              <w:top w:val="single" w:sz="8" w:space="0" w:color="auto"/>
              <w:left w:val="nil"/>
              <w:bottom w:val="single" w:sz="8" w:space="0" w:color="auto"/>
              <w:right w:val="single" w:sz="8" w:space="0" w:color="000000"/>
            </w:tcBorders>
            <w:shd w:val="clear" w:color="auto" w:fill="244061"/>
            <w:vAlign w:val="center"/>
            <w:hideMark/>
          </w:tcPr>
          <w:p w14:paraId="72940247"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PRESTACIÓN DE SERVICIO</w:t>
            </w:r>
          </w:p>
        </w:tc>
        <w:tc>
          <w:tcPr>
            <w:tcW w:w="3738" w:type="dxa"/>
            <w:gridSpan w:val="4"/>
            <w:tcBorders>
              <w:top w:val="single" w:sz="8" w:space="0" w:color="auto"/>
              <w:left w:val="nil"/>
              <w:bottom w:val="single" w:sz="8" w:space="0" w:color="auto"/>
              <w:right w:val="single" w:sz="8" w:space="0" w:color="000000"/>
            </w:tcBorders>
            <w:shd w:val="clear" w:color="auto" w:fill="244061"/>
            <w:vAlign w:val="center"/>
            <w:hideMark/>
          </w:tcPr>
          <w:p w14:paraId="33284233"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CALIDAD</w:t>
            </w:r>
          </w:p>
        </w:tc>
      </w:tr>
      <w:tr w:rsidR="00E32F8D" w:rsidRPr="008D2838" w14:paraId="10443D0A" w14:textId="77777777" w:rsidTr="00E32F8D">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A2127A8" w14:textId="77777777" w:rsidR="00081708" w:rsidRPr="008D2838" w:rsidRDefault="00081708" w:rsidP="00081708">
            <w:pPr>
              <w:rPr>
                <w:rFonts w:ascii="Arial" w:eastAsia="Times New Roman" w:hAnsi="Arial" w:cs="Arial"/>
                <w:b/>
                <w:bCs/>
                <w:color w:val="FFFFFF"/>
                <w:sz w:val="16"/>
                <w:szCs w:val="16"/>
                <w:lang w:val="es-CO"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4FB0E5C" w14:textId="77777777" w:rsidR="00081708" w:rsidRPr="008D2838" w:rsidRDefault="00081708" w:rsidP="00081708">
            <w:pPr>
              <w:rPr>
                <w:rFonts w:ascii="Arial" w:eastAsia="Times New Roman" w:hAnsi="Arial" w:cs="Arial"/>
                <w:b/>
                <w:bCs/>
                <w:color w:val="FFFFFF"/>
                <w:sz w:val="16"/>
                <w:szCs w:val="16"/>
                <w:lang w:val="es-CO" w:eastAsia="es-CO"/>
              </w:rPr>
            </w:pPr>
          </w:p>
        </w:tc>
        <w:tc>
          <w:tcPr>
            <w:tcW w:w="985" w:type="dxa"/>
            <w:tcBorders>
              <w:top w:val="nil"/>
              <w:left w:val="nil"/>
              <w:bottom w:val="single" w:sz="8" w:space="0" w:color="auto"/>
              <w:right w:val="single" w:sz="8" w:space="0" w:color="auto"/>
            </w:tcBorders>
            <w:shd w:val="clear" w:color="auto" w:fill="244061"/>
            <w:vAlign w:val="center"/>
            <w:hideMark/>
          </w:tcPr>
          <w:p w14:paraId="2E6286FC"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INGRESOS</w:t>
            </w:r>
          </w:p>
        </w:tc>
        <w:tc>
          <w:tcPr>
            <w:tcW w:w="838" w:type="dxa"/>
            <w:tcBorders>
              <w:top w:val="nil"/>
              <w:left w:val="nil"/>
              <w:bottom w:val="single" w:sz="8" w:space="0" w:color="auto"/>
              <w:right w:val="single" w:sz="8" w:space="0" w:color="auto"/>
            </w:tcBorders>
            <w:shd w:val="clear" w:color="auto" w:fill="244061"/>
            <w:vAlign w:val="center"/>
            <w:hideMark/>
          </w:tcPr>
          <w:p w14:paraId="14E147CB"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GASTOS</w:t>
            </w:r>
          </w:p>
        </w:tc>
        <w:tc>
          <w:tcPr>
            <w:tcW w:w="985" w:type="dxa"/>
            <w:tcBorders>
              <w:top w:val="nil"/>
              <w:left w:val="nil"/>
              <w:bottom w:val="single" w:sz="8" w:space="0" w:color="auto"/>
              <w:right w:val="single" w:sz="8" w:space="0" w:color="auto"/>
            </w:tcBorders>
            <w:shd w:val="clear" w:color="auto" w:fill="244061"/>
            <w:vAlign w:val="center"/>
            <w:hideMark/>
          </w:tcPr>
          <w:p w14:paraId="218BECD9"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SUPE/DÉFI</w:t>
            </w:r>
          </w:p>
        </w:tc>
        <w:tc>
          <w:tcPr>
            <w:tcW w:w="1074" w:type="dxa"/>
            <w:tcBorders>
              <w:top w:val="nil"/>
              <w:left w:val="nil"/>
              <w:bottom w:val="single" w:sz="8" w:space="0" w:color="auto"/>
              <w:right w:val="single" w:sz="8" w:space="0" w:color="auto"/>
            </w:tcBorders>
            <w:shd w:val="clear" w:color="auto" w:fill="244061"/>
            <w:vAlign w:val="center"/>
            <w:hideMark/>
          </w:tcPr>
          <w:p w14:paraId="1009F9DB"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TESORERÍA</w:t>
            </w:r>
          </w:p>
        </w:tc>
        <w:tc>
          <w:tcPr>
            <w:tcW w:w="985" w:type="dxa"/>
            <w:tcBorders>
              <w:top w:val="nil"/>
              <w:left w:val="nil"/>
              <w:bottom w:val="single" w:sz="8" w:space="0" w:color="auto"/>
              <w:right w:val="single" w:sz="8" w:space="0" w:color="auto"/>
            </w:tcBorders>
            <w:shd w:val="clear" w:color="auto" w:fill="244061"/>
            <w:vAlign w:val="center"/>
            <w:hideMark/>
          </w:tcPr>
          <w:p w14:paraId="69C302CC"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INGRESOS</w:t>
            </w:r>
          </w:p>
        </w:tc>
        <w:tc>
          <w:tcPr>
            <w:tcW w:w="818" w:type="dxa"/>
            <w:tcBorders>
              <w:top w:val="nil"/>
              <w:left w:val="nil"/>
              <w:bottom w:val="single" w:sz="8" w:space="0" w:color="auto"/>
              <w:right w:val="single" w:sz="8" w:space="0" w:color="auto"/>
            </w:tcBorders>
            <w:shd w:val="clear" w:color="auto" w:fill="244061"/>
            <w:vAlign w:val="center"/>
            <w:hideMark/>
          </w:tcPr>
          <w:p w14:paraId="794F4DCF"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GASTOS</w:t>
            </w:r>
          </w:p>
        </w:tc>
        <w:tc>
          <w:tcPr>
            <w:tcW w:w="985" w:type="dxa"/>
            <w:tcBorders>
              <w:top w:val="nil"/>
              <w:left w:val="nil"/>
              <w:bottom w:val="single" w:sz="8" w:space="0" w:color="auto"/>
              <w:right w:val="single" w:sz="8" w:space="0" w:color="auto"/>
            </w:tcBorders>
            <w:shd w:val="clear" w:color="auto" w:fill="244061"/>
            <w:vAlign w:val="center"/>
            <w:hideMark/>
          </w:tcPr>
          <w:p w14:paraId="7268E825"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SUPE/DÉFI</w:t>
            </w:r>
          </w:p>
        </w:tc>
        <w:tc>
          <w:tcPr>
            <w:tcW w:w="950" w:type="dxa"/>
            <w:tcBorders>
              <w:top w:val="nil"/>
              <w:left w:val="nil"/>
              <w:bottom w:val="single" w:sz="8" w:space="0" w:color="auto"/>
              <w:right w:val="single" w:sz="8" w:space="0" w:color="auto"/>
            </w:tcBorders>
            <w:shd w:val="clear" w:color="auto" w:fill="244061"/>
            <w:vAlign w:val="center"/>
            <w:hideMark/>
          </w:tcPr>
          <w:p w14:paraId="3D9ECDA6" w14:textId="77777777" w:rsidR="00081708" w:rsidRPr="008D2838" w:rsidRDefault="00081708" w:rsidP="00E32F8D">
            <w:pPr>
              <w:ind w:right="-92" w:hanging="110"/>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TESORERÍA</w:t>
            </w:r>
          </w:p>
        </w:tc>
      </w:tr>
      <w:tr w:rsidR="00E32F8D" w:rsidRPr="008D2838" w14:paraId="5C896BF2" w14:textId="77777777" w:rsidTr="00E32F8D">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4E6530B" w14:textId="77777777" w:rsidR="00081708" w:rsidRPr="008D2838" w:rsidRDefault="00081708" w:rsidP="00081708">
            <w:pPr>
              <w:rPr>
                <w:rFonts w:ascii="Arial" w:eastAsia="Times New Roman" w:hAnsi="Arial" w:cs="Arial"/>
                <w:b/>
                <w:bCs/>
                <w:color w:val="FFFFFF"/>
                <w:sz w:val="16"/>
                <w:szCs w:val="16"/>
                <w:lang w:val="es-CO"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30C9F7E" w14:textId="77777777" w:rsidR="00081708" w:rsidRPr="008D2838" w:rsidRDefault="00081708" w:rsidP="00081708">
            <w:pPr>
              <w:rPr>
                <w:rFonts w:ascii="Arial" w:eastAsia="Times New Roman" w:hAnsi="Arial" w:cs="Arial"/>
                <w:b/>
                <w:bCs/>
                <w:color w:val="FFFFFF"/>
                <w:sz w:val="16"/>
                <w:szCs w:val="16"/>
                <w:lang w:val="es-CO" w:eastAsia="es-CO"/>
              </w:rPr>
            </w:pPr>
          </w:p>
        </w:tc>
        <w:tc>
          <w:tcPr>
            <w:tcW w:w="985" w:type="dxa"/>
            <w:tcBorders>
              <w:top w:val="nil"/>
              <w:left w:val="nil"/>
              <w:bottom w:val="single" w:sz="8" w:space="0" w:color="auto"/>
              <w:right w:val="single" w:sz="8" w:space="0" w:color="auto"/>
            </w:tcBorders>
            <w:shd w:val="clear" w:color="auto" w:fill="244061"/>
            <w:vAlign w:val="center"/>
            <w:hideMark/>
          </w:tcPr>
          <w:p w14:paraId="064F7E18"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1</w:t>
            </w:r>
          </w:p>
        </w:tc>
        <w:tc>
          <w:tcPr>
            <w:tcW w:w="838" w:type="dxa"/>
            <w:tcBorders>
              <w:top w:val="nil"/>
              <w:left w:val="nil"/>
              <w:bottom w:val="single" w:sz="8" w:space="0" w:color="auto"/>
              <w:right w:val="single" w:sz="8" w:space="0" w:color="auto"/>
            </w:tcBorders>
            <w:shd w:val="clear" w:color="auto" w:fill="244061"/>
            <w:vAlign w:val="center"/>
            <w:hideMark/>
          </w:tcPr>
          <w:p w14:paraId="32A4FF9D"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2</w:t>
            </w:r>
          </w:p>
        </w:tc>
        <w:tc>
          <w:tcPr>
            <w:tcW w:w="985" w:type="dxa"/>
            <w:tcBorders>
              <w:top w:val="nil"/>
              <w:left w:val="nil"/>
              <w:bottom w:val="single" w:sz="8" w:space="0" w:color="auto"/>
              <w:right w:val="single" w:sz="8" w:space="0" w:color="auto"/>
            </w:tcBorders>
            <w:shd w:val="clear" w:color="auto" w:fill="244061"/>
            <w:vAlign w:val="center"/>
            <w:hideMark/>
          </w:tcPr>
          <w:p w14:paraId="7EEEF9E8"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3 (1 – 2)</w:t>
            </w:r>
          </w:p>
        </w:tc>
        <w:tc>
          <w:tcPr>
            <w:tcW w:w="1074" w:type="dxa"/>
            <w:tcBorders>
              <w:top w:val="nil"/>
              <w:left w:val="nil"/>
              <w:bottom w:val="single" w:sz="8" w:space="0" w:color="auto"/>
              <w:right w:val="single" w:sz="8" w:space="0" w:color="auto"/>
            </w:tcBorders>
            <w:shd w:val="clear" w:color="auto" w:fill="244061"/>
            <w:vAlign w:val="center"/>
            <w:hideMark/>
          </w:tcPr>
          <w:p w14:paraId="30F62B40"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4</w:t>
            </w:r>
          </w:p>
        </w:tc>
        <w:tc>
          <w:tcPr>
            <w:tcW w:w="985" w:type="dxa"/>
            <w:tcBorders>
              <w:top w:val="nil"/>
              <w:left w:val="nil"/>
              <w:bottom w:val="single" w:sz="8" w:space="0" w:color="auto"/>
              <w:right w:val="single" w:sz="8" w:space="0" w:color="auto"/>
            </w:tcBorders>
            <w:shd w:val="clear" w:color="auto" w:fill="244061"/>
            <w:vAlign w:val="center"/>
            <w:hideMark/>
          </w:tcPr>
          <w:p w14:paraId="6EE5F45D"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1</w:t>
            </w:r>
          </w:p>
        </w:tc>
        <w:tc>
          <w:tcPr>
            <w:tcW w:w="818" w:type="dxa"/>
            <w:tcBorders>
              <w:top w:val="nil"/>
              <w:left w:val="nil"/>
              <w:bottom w:val="single" w:sz="8" w:space="0" w:color="auto"/>
              <w:right w:val="single" w:sz="8" w:space="0" w:color="auto"/>
            </w:tcBorders>
            <w:shd w:val="clear" w:color="auto" w:fill="244061"/>
            <w:vAlign w:val="center"/>
            <w:hideMark/>
          </w:tcPr>
          <w:p w14:paraId="06DC83E2"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2</w:t>
            </w:r>
          </w:p>
        </w:tc>
        <w:tc>
          <w:tcPr>
            <w:tcW w:w="985" w:type="dxa"/>
            <w:tcBorders>
              <w:top w:val="nil"/>
              <w:left w:val="nil"/>
              <w:bottom w:val="single" w:sz="8" w:space="0" w:color="auto"/>
              <w:right w:val="single" w:sz="8" w:space="0" w:color="auto"/>
            </w:tcBorders>
            <w:shd w:val="clear" w:color="auto" w:fill="244061"/>
            <w:vAlign w:val="center"/>
            <w:hideMark/>
          </w:tcPr>
          <w:p w14:paraId="54BC1E63"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3 (1 – 2)</w:t>
            </w:r>
          </w:p>
        </w:tc>
        <w:tc>
          <w:tcPr>
            <w:tcW w:w="950" w:type="dxa"/>
            <w:tcBorders>
              <w:top w:val="nil"/>
              <w:left w:val="nil"/>
              <w:bottom w:val="single" w:sz="8" w:space="0" w:color="auto"/>
              <w:right w:val="single" w:sz="8" w:space="0" w:color="auto"/>
            </w:tcBorders>
            <w:shd w:val="clear" w:color="auto" w:fill="244061"/>
            <w:vAlign w:val="center"/>
            <w:hideMark/>
          </w:tcPr>
          <w:p w14:paraId="4FE69906"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4</w:t>
            </w:r>
          </w:p>
        </w:tc>
      </w:tr>
      <w:tr w:rsidR="00081708" w:rsidRPr="008D2838" w14:paraId="1E45B687" w14:textId="77777777" w:rsidTr="00E32F8D">
        <w:trPr>
          <w:trHeight w:val="20"/>
        </w:trPr>
        <w:tc>
          <w:tcPr>
            <w:tcW w:w="848" w:type="dxa"/>
            <w:vMerge w:val="restart"/>
            <w:tcBorders>
              <w:top w:val="nil"/>
              <w:left w:val="single" w:sz="8" w:space="0" w:color="auto"/>
              <w:bottom w:val="single" w:sz="8" w:space="0" w:color="000000"/>
              <w:right w:val="single" w:sz="8" w:space="0" w:color="auto"/>
            </w:tcBorders>
            <w:vAlign w:val="center"/>
            <w:hideMark/>
          </w:tcPr>
          <w:p w14:paraId="1EFF0AEB"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2019</w:t>
            </w:r>
          </w:p>
        </w:tc>
        <w:tc>
          <w:tcPr>
            <w:tcW w:w="1314" w:type="dxa"/>
            <w:tcBorders>
              <w:top w:val="nil"/>
              <w:left w:val="nil"/>
              <w:bottom w:val="single" w:sz="8" w:space="0" w:color="auto"/>
              <w:right w:val="single" w:sz="8" w:space="0" w:color="auto"/>
            </w:tcBorders>
            <w:shd w:val="clear" w:color="auto" w:fill="95B3D7"/>
            <w:vAlign w:val="center"/>
            <w:hideMark/>
          </w:tcPr>
          <w:p w14:paraId="39529158"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CORRIENTE </w:t>
            </w:r>
          </w:p>
        </w:tc>
        <w:tc>
          <w:tcPr>
            <w:tcW w:w="985" w:type="dxa"/>
            <w:tcBorders>
              <w:top w:val="nil"/>
              <w:left w:val="nil"/>
              <w:bottom w:val="single" w:sz="8" w:space="0" w:color="auto"/>
              <w:right w:val="single" w:sz="8" w:space="0" w:color="auto"/>
            </w:tcBorders>
            <w:vAlign w:val="center"/>
            <w:hideMark/>
          </w:tcPr>
          <w:p w14:paraId="2F9EAABF"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103.858</w:t>
            </w:r>
          </w:p>
        </w:tc>
        <w:tc>
          <w:tcPr>
            <w:tcW w:w="838" w:type="dxa"/>
            <w:tcBorders>
              <w:top w:val="nil"/>
              <w:left w:val="nil"/>
              <w:bottom w:val="single" w:sz="8" w:space="0" w:color="auto"/>
              <w:right w:val="single" w:sz="8" w:space="0" w:color="auto"/>
            </w:tcBorders>
            <w:vAlign w:val="center"/>
            <w:hideMark/>
          </w:tcPr>
          <w:p w14:paraId="750929B1"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103.756</w:t>
            </w:r>
          </w:p>
        </w:tc>
        <w:tc>
          <w:tcPr>
            <w:tcW w:w="985" w:type="dxa"/>
            <w:tcBorders>
              <w:top w:val="nil"/>
              <w:left w:val="nil"/>
              <w:bottom w:val="single" w:sz="8" w:space="0" w:color="auto"/>
              <w:right w:val="single" w:sz="8" w:space="0" w:color="auto"/>
            </w:tcBorders>
            <w:vAlign w:val="center"/>
            <w:hideMark/>
          </w:tcPr>
          <w:p w14:paraId="7B915000"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102</w:t>
            </w:r>
          </w:p>
        </w:tc>
        <w:tc>
          <w:tcPr>
            <w:tcW w:w="1074" w:type="dxa"/>
            <w:tcBorders>
              <w:top w:val="nil"/>
              <w:left w:val="nil"/>
              <w:bottom w:val="single" w:sz="8" w:space="0" w:color="auto"/>
              <w:right w:val="single" w:sz="8" w:space="0" w:color="auto"/>
            </w:tcBorders>
            <w:vAlign w:val="center"/>
            <w:hideMark/>
          </w:tcPr>
          <w:p w14:paraId="10B71500"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841</w:t>
            </w:r>
          </w:p>
        </w:tc>
        <w:tc>
          <w:tcPr>
            <w:tcW w:w="985" w:type="dxa"/>
            <w:tcBorders>
              <w:top w:val="nil"/>
              <w:left w:val="nil"/>
              <w:bottom w:val="single" w:sz="8" w:space="0" w:color="auto"/>
              <w:right w:val="single" w:sz="8" w:space="0" w:color="auto"/>
            </w:tcBorders>
            <w:vAlign w:val="center"/>
            <w:hideMark/>
          </w:tcPr>
          <w:p w14:paraId="5AAD645C"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6.776</w:t>
            </w:r>
          </w:p>
        </w:tc>
        <w:tc>
          <w:tcPr>
            <w:tcW w:w="818" w:type="dxa"/>
            <w:tcBorders>
              <w:top w:val="nil"/>
              <w:left w:val="nil"/>
              <w:bottom w:val="single" w:sz="8" w:space="0" w:color="auto"/>
              <w:right w:val="single" w:sz="8" w:space="0" w:color="auto"/>
            </w:tcBorders>
            <w:vAlign w:val="center"/>
            <w:hideMark/>
          </w:tcPr>
          <w:p w14:paraId="48F0029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6.726</w:t>
            </w:r>
          </w:p>
        </w:tc>
        <w:tc>
          <w:tcPr>
            <w:tcW w:w="985" w:type="dxa"/>
            <w:tcBorders>
              <w:top w:val="nil"/>
              <w:left w:val="nil"/>
              <w:bottom w:val="single" w:sz="8" w:space="0" w:color="auto"/>
              <w:right w:val="single" w:sz="8" w:space="0" w:color="auto"/>
            </w:tcBorders>
            <w:vAlign w:val="center"/>
            <w:hideMark/>
          </w:tcPr>
          <w:p w14:paraId="3A9FA37C"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50</w:t>
            </w:r>
          </w:p>
        </w:tc>
        <w:tc>
          <w:tcPr>
            <w:tcW w:w="950" w:type="dxa"/>
            <w:tcBorders>
              <w:top w:val="nil"/>
              <w:left w:val="nil"/>
              <w:bottom w:val="single" w:sz="8" w:space="0" w:color="auto"/>
              <w:right w:val="single" w:sz="8" w:space="0" w:color="auto"/>
            </w:tcBorders>
            <w:vAlign w:val="center"/>
            <w:hideMark/>
          </w:tcPr>
          <w:p w14:paraId="194F9CF9"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115,1</w:t>
            </w:r>
          </w:p>
        </w:tc>
      </w:tr>
      <w:tr w:rsidR="00081708" w:rsidRPr="008D2838" w14:paraId="469E37D0"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73782A1D"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D9D9D9"/>
            <w:vAlign w:val="center"/>
            <w:hideMark/>
          </w:tcPr>
          <w:p w14:paraId="63F488E7"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 xml:space="preserve"> SSF/Gratuidad </w:t>
            </w:r>
          </w:p>
        </w:tc>
        <w:tc>
          <w:tcPr>
            <w:tcW w:w="985" w:type="dxa"/>
            <w:tcBorders>
              <w:top w:val="nil"/>
              <w:left w:val="nil"/>
              <w:bottom w:val="single" w:sz="8" w:space="0" w:color="auto"/>
              <w:right w:val="single" w:sz="8" w:space="0" w:color="auto"/>
            </w:tcBorders>
            <w:vAlign w:val="center"/>
            <w:hideMark/>
          </w:tcPr>
          <w:p w14:paraId="3734F530"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15.789</w:t>
            </w:r>
          </w:p>
        </w:tc>
        <w:tc>
          <w:tcPr>
            <w:tcW w:w="838" w:type="dxa"/>
            <w:tcBorders>
              <w:top w:val="nil"/>
              <w:left w:val="nil"/>
              <w:bottom w:val="single" w:sz="8" w:space="0" w:color="auto"/>
              <w:right w:val="single" w:sz="8" w:space="0" w:color="auto"/>
            </w:tcBorders>
            <w:vAlign w:val="center"/>
            <w:hideMark/>
          </w:tcPr>
          <w:p w14:paraId="05AF022A"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15.789</w:t>
            </w:r>
          </w:p>
        </w:tc>
        <w:tc>
          <w:tcPr>
            <w:tcW w:w="985" w:type="dxa"/>
            <w:tcBorders>
              <w:top w:val="nil"/>
              <w:left w:val="nil"/>
              <w:bottom w:val="single" w:sz="8" w:space="0" w:color="auto"/>
              <w:right w:val="single" w:sz="8" w:space="0" w:color="auto"/>
            </w:tcBorders>
            <w:vAlign w:val="center"/>
            <w:hideMark/>
          </w:tcPr>
          <w:p w14:paraId="25F2C2ED"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0</w:t>
            </w:r>
          </w:p>
        </w:tc>
        <w:tc>
          <w:tcPr>
            <w:tcW w:w="1074" w:type="dxa"/>
            <w:tcBorders>
              <w:top w:val="nil"/>
              <w:left w:val="nil"/>
              <w:bottom w:val="single" w:sz="8" w:space="0" w:color="auto"/>
              <w:right w:val="single" w:sz="8" w:space="0" w:color="auto"/>
            </w:tcBorders>
            <w:vAlign w:val="center"/>
            <w:hideMark/>
          </w:tcPr>
          <w:p w14:paraId="6D2CC461"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No aplica</w:t>
            </w:r>
          </w:p>
        </w:tc>
        <w:tc>
          <w:tcPr>
            <w:tcW w:w="985" w:type="dxa"/>
            <w:tcBorders>
              <w:top w:val="nil"/>
              <w:left w:val="nil"/>
              <w:bottom w:val="single" w:sz="8" w:space="0" w:color="auto"/>
              <w:right w:val="single" w:sz="8" w:space="0" w:color="auto"/>
            </w:tcBorders>
            <w:vAlign w:val="center"/>
            <w:hideMark/>
          </w:tcPr>
          <w:p w14:paraId="6976A59C"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2.870</w:t>
            </w:r>
          </w:p>
        </w:tc>
        <w:tc>
          <w:tcPr>
            <w:tcW w:w="818" w:type="dxa"/>
            <w:tcBorders>
              <w:top w:val="nil"/>
              <w:left w:val="nil"/>
              <w:bottom w:val="single" w:sz="8" w:space="0" w:color="auto"/>
              <w:right w:val="single" w:sz="8" w:space="0" w:color="auto"/>
            </w:tcBorders>
            <w:vAlign w:val="center"/>
            <w:hideMark/>
          </w:tcPr>
          <w:p w14:paraId="07BC52ED"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2.870</w:t>
            </w:r>
          </w:p>
        </w:tc>
        <w:tc>
          <w:tcPr>
            <w:tcW w:w="985" w:type="dxa"/>
            <w:tcBorders>
              <w:top w:val="nil"/>
              <w:left w:val="nil"/>
              <w:bottom w:val="single" w:sz="8" w:space="0" w:color="auto"/>
              <w:right w:val="single" w:sz="8" w:space="0" w:color="auto"/>
            </w:tcBorders>
            <w:vAlign w:val="center"/>
            <w:hideMark/>
          </w:tcPr>
          <w:p w14:paraId="5EC60E3C"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0</w:t>
            </w:r>
          </w:p>
        </w:tc>
        <w:tc>
          <w:tcPr>
            <w:tcW w:w="950" w:type="dxa"/>
            <w:tcBorders>
              <w:top w:val="nil"/>
              <w:left w:val="nil"/>
              <w:bottom w:val="single" w:sz="8" w:space="0" w:color="auto"/>
              <w:right w:val="single" w:sz="8" w:space="0" w:color="auto"/>
            </w:tcBorders>
            <w:vAlign w:val="center"/>
            <w:hideMark/>
          </w:tcPr>
          <w:p w14:paraId="6F1D0037"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No aplica</w:t>
            </w:r>
          </w:p>
        </w:tc>
      </w:tr>
      <w:tr w:rsidR="00081708" w:rsidRPr="008D2838" w14:paraId="7E97CF2F"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3ED00DE4"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D9D9D9"/>
            <w:vAlign w:val="center"/>
            <w:hideMark/>
          </w:tcPr>
          <w:p w14:paraId="4EB1A9D0"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 xml:space="preserve"> CSF/Matrícula </w:t>
            </w:r>
          </w:p>
        </w:tc>
        <w:tc>
          <w:tcPr>
            <w:tcW w:w="985" w:type="dxa"/>
            <w:tcBorders>
              <w:top w:val="nil"/>
              <w:left w:val="nil"/>
              <w:bottom w:val="single" w:sz="8" w:space="0" w:color="auto"/>
              <w:right w:val="single" w:sz="8" w:space="0" w:color="auto"/>
            </w:tcBorders>
            <w:vAlign w:val="center"/>
            <w:hideMark/>
          </w:tcPr>
          <w:p w14:paraId="10CC5D11"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88.069</w:t>
            </w:r>
          </w:p>
        </w:tc>
        <w:tc>
          <w:tcPr>
            <w:tcW w:w="838" w:type="dxa"/>
            <w:tcBorders>
              <w:top w:val="nil"/>
              <w:left w:val="nil"/>
              <w:bottom w:val="single" w:sz="8" w:space="0" w:color="auto"/>
              <w:right w:val="single" w:sz="8" w:space="0" w:color="auto"/>
            </w:tcBorders>
            <w:vAlign w:val="center"/>
            <w:hideMark/>
          </w:tcPr>
          <w:p w14:paraId="0B1B1A1D"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87.967</w:t>
            </w:r>
          </w:p>
        </w:tc>
        <w:tc>
          <w:tcPr>
            <w:tcW w:w="985" w:type="dxa"/>
            <w:tcBorders>
              <w:top w:val="nil"/>
              <w:left w:val="nil"/>
              <w:bottom w:val="single" w:sz="8" w:space="0" w:color="auto"/>
              <w:right w:val="single" w:sz="8" w:space="0" w:color="auto"/>
            </w:tcBorders>
            <w:vAlign w:val="center"/>
            <w:hideMark/>
          </w:tcPr>
          <w:p w14:paraId="29C5823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102</w:t>
            </w:r>
          </w:p>
        </w:tc>
        <w:tc>
          <w:tcPr>
            <w:tcW w:w="1074" w:type="dxa"/>
            <w:tcBorders>
              <w:top w:val="nil"/>
              <w:left w:val="nil"/>
              <w:bottom w:val="single" w:sz="8" w:space="0" w:color="auto"/>
              <w:right w:val="single" w:sz="8" w:space="0" w:color="auto"/>
            </w:tcBorders>
            <w:vAlign w:val="center"/>
            <w:hideMark/>
          </w:tcPr>
          <w:p w14:paraId="19210386"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841</w:t>
            </w:r>
          </w:p>
        </w:tc>
        <w:tc>
          <w:tcPr>
            <w:tcW w:w="985" w:type="dxa"/>
            <w:tcBorders>
              <w:top w:val="nil"/>
              <w:left w:val="nil"/>
              <w:bottom w:val="single" w:sz="8" w:space="0" w:color="auto"/>
              <w:right w:val="single" w:sz="8" w:space="0" w:color="auto"/>
            </w:tcBorders>
            <w:vAlign w:val="center"/>
            <w:hideMark/>
          </w:tcPr>
          <w:p w14:paraId="2290DE1C"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3.906</w:t>
            </w:r>
          </w:p>
        </w:tc>
        <w:tc>
          <w:tcPr>
            <w:tcW w:w="818" w:type="dxa"/>
            <w:tcBorders>
              <w:top w:val="nil"/>
              <w:left w:val="nil"/>
              <w:bottom w:val="single" w:sz="8" w:space="0" w:color="auto"/>
              <w:right w:val="single" w:sz="8" w:space="0" w:color="auto"/>
            </w:tcBorders>
            <w:vAlign w:val="center"/>
            <w:hideMark/>
          </w:tcPr>
          <w:p w14:paraId="2AA59504"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3.857</w:t>
            </w:r>
          </w:p>
        </w:tc>
        <w:tc>
          <w:tcPr>
            <w:tcW w:w="985" w:type="dxa"/>
            <w:tcBorders>
              <w:top w:val="nil"/>
              <w:left w:val="nil"/>
              <w:bottom w:val="single" w:sz="8" w:space="0" w:color="auto"/>
              <w:right w:val="single" w:sz="8" w:space="0" w:color="auto"/>
            </w:tcBorders>
            <w:vAlign w:val="center"/>
            <w:hideMark/>
          </w:tcPr>
          <w:p w14:paraId="2D5280D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49</w:t>
            </w:r>
          </w:p>
        </w:tc>
        <w:tc>
          <w:tcPr>
            <w:tcW w:w="950" w:type="dxa"/>
            <w:tcBorders>
              <w:top w:val="nil"/>
              <w:left w:val="nil"/>
              <w:bottom w:val="single" w:sz="8" w:space="0" w:color="auto"/>
              <w:right w:val="single" w:sz="8" w:space="0" w:color="auto"/>
            </w:tcBorders>
            <w:vAlign w:val="center"/>
            <w:hideMark/>
          </w:tcPr>
          <w:p w14:paraId="5124748B"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115,1</w:t>
            </w:r>
          </w:p>
        </w:tc>
      </w:tr>
      <w:tr w:rsidR="00081708" w:rsidRPr="008D2838" w14:paraId="490B8518"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20F44459"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55EED0FD"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BALANCE </w:t>
            </w:r>
          </w:p>
        </w:tc>
        <w:tc>
          <w:tcPr>
            <w:tcW w:w="985" w:type="dxa"/>
            <w:tcBorders>
              <w:top w:val="nil"/>
              <w:left w:val="nil"/>
              <w:bottom w:val="single" w:sz="8" w:space="0" w:color="auto"/>
              <w:right w:val="single" w:sz="8" w:space="0" w:color="auto"/>
            </w:tcBorders>
            <w:vAlign w:val="center"/>
            <w:hideMark/>
          </w:tcPr>
          <w:p w14:paraId="45D45EC3"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764</w:t>
            </w:r>
          </w:p>
        </w:tc>
        <w:tc>
          <w:tcPr>
            <w:tcW w:w="838" w:type="dxa"/>
            <w:tcBorders>
              <w:top w:val="nil"/>
              <w:left w:val="nil"/>
              <w:bottom w:val="single" w:sz="8" w:space="0" w:color="auto"/>
              <w:right w:val="single" w:sz="8" w:space="0" w:color="auto"/>
            </w:tcBorders>
            <w:vAlign w:val="center"/>
            <w:hideMark/>
          </w:tcPr>
          <w:p w14:paraId="7F444B68"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85" w:type="dxa"/>
            <w:tcBorders>
              <w:top w:val="nil"/>
              <w:left w:val="nil"/>
              <w:bottom w:val="single" w:sz="8" w:space="0" w:color="auto"/>
              <w:right w:val="single" w:sz="8" w:space="0" w:color="auto"/>
            </w:tcBorders>
            <w:vAlign w:val="center"/>
            <w:hideMark/>
          </w:tcPr>
          <w:p w14:paraId="7A0DDC8C"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764</w:t>
            </w:r>
          </w:p>
        </w:tc>
        <w:tc>
          <w:tcPr>
            <w:tcW w:w="1074" w:type="dxa"/>
            <w:tcBorders>
              <w:top w:val="nil"/>
              <w:left w:val="nil"/>
              <w:bottom w:val="single" w:sz="8" w:space="0" w:color="auto"/>
              <w:right w:val="single" w:sz="8" w:space="0" w:color="auto"/>
            </w:tcBorders>
            <w:vAlign w:val="center"/>
            <w:hideMark/>
          </w:tcPr>
          <w:p w14:paraId="00D2EC29"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c>
          <w:tcPr>
            <w:tcW w:w="985" w:type="dxa"/>
            <w:tcBorders>
              <w:top w:val="nil"/>
              <w:left w:val="nil"/>
              <w:bottom w:val="single" w:sz="8" w:space="0" w:color="auto"/>
              <w:right w:val="single" w:sz="8" w:space="0" w:color="auto"/>
            </w:tcBorders>
            <w:vAlign w:val="center"/>
            <w:hideMark/>
          </w:tcPr>
          <w:p w14:paraId="36BA99C4"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223</w:t>
            </w:r>
          </w:p>
        </w:tc>
        <w:tc>
          <w:tcPr>
            <w:tcW w:w="818" w:type="dxa"/>
            <w:tcBorders>
              <w:top w:val="nil"/>
              <w:left w:val="nil"/>
              <w:bottom w:val="single" w:sz="8" w:space="0" w:color="auto"/>
              <w:right w:val="single" w:sz="8" w:space="0" w:color="auto"/>
            </w:tcBorders>
            <w:vAlign w:val="center"/>
            <w:hideMark/>
          </w:tcPr>
          <w:p w14:paraId="2FA9C8E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223</w:t>
            </w:r>
          </w:p>
        </w:tc>
        <w:tc>
          <w:tcPr>
            <w:tcW w:w="985" w:type="dxa"/>
            <w:tcBorders>
              <w:top w:val="nil"/>
              <w:left w:val="nil"/>
              <w:bottom w:val="single" w:sz="8" w:space="0" w:color="auto"/>
              <w:right w:val="single" w:sz="8" w:space="0" w:color="auto"/>
            </w:tcBorders>
            <w:vAlign w:val="center"/>
            <w:hideMark/>
          </w:tcPr>
          <w:p w14:paraId="1F8C020F"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950" w:type="dxa"/>
            <w:tcBorders>
              <w:top w:val="nil"/>
              <w:left w:val="nil"/>
              <w:bottom w:val="single" w:sz="8" w:space="0" w:color="auto"/>
              <w:right w:val="single" w:sz="8" w:space="0" w:color="auto"/>
            </w:tcBorders>
            <w:vAlign w:val="center"/>
            <w:hideMark/>
          </w:tcPr>
          <w:p w14:paraId="5937B444"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r>
      <w:tr w:rsidR="00081708" w:rsidRPr="008D2838" w14:paraId="7499DF2C"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59FDD53D"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79EA7819"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REINTEGROS </w:t>
            </w:r>
          </w:p>
        </w:tc>
        <w:tc>
          <w:tcPr>
            <w:tcW w:w="985" w:type="dxa"/>
            <w:tcBorders>
              <w:top w:val="nil"/>
              <w:left w:val="nil"/>
              <w:bottom w:val="single" w:sz="8" w:space="0" w:color="auto"/>
              <w:right w:val="single" w:sz="8" w:space="0" w:color="auto"/>
            </w:tcBorders>
            <w:vAlign w:val="center"/>
            <w:hideMark/>
          </w:tcPr>
          <w:p w14:paraId="330E4959"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48</w:t>
            </w:r>
          </w:p>
        </w:tc>
        <w:tc>
          <w:tcPr>
            <w:tcW w:w="838" w:type="dxa"/>
            <w:tcBorders>
              <w:top w:val="nil"/>
              <w:left w:val="nil"/>
              <w:bottom w:val="single" w:sz="8" w:space="0" w:color="auto"/>
              <w:right w:val="single" w:sz="8" w:space="0" w:color="auto"/>
            </w:tcBorders>
            <w:vAlign w:val="center"/>
            <w:hideMark/>
          </w:tcPr>
          <w:p w14:paraId="4620B55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85" w:type="dxa"/>
            <w:tcBorders>
              <w:top w:val="nil"/>
              <w:left w:val="nil"/>
              <w:bottom w:val="single" w:sz="8" w:space="0" w:color="auto"/>
              <w:right w:val="single" w:sz="8" w:space="0" w:color="auto"/>
            </w:tcBorders>
            <w:vAlign w:val="center"/>
            <w:hideMark/>
          </w:tcPr>
          <w:p w14:paraId="6FD8EA6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48</w:t>
            </w:r>
          </w:p>
        </w:tc>
        <w:tc>
          <w:tcPr>
            <w:tcW w:w="1074" w:type="dxa"/>
            <w:tcBorders>
              <w:top w:val="nil"/>
              <w:left w:val="nil"/>
              <w:bottom w:val="single" w:sz="8" w:space="0" w:color="auto"/>
              <w:right w:val="single" w:sz="8" w:space="0" w:color="auto"/>
            </w:tcBorders>
            <w:vAlign w:val="center"/>
            <w:hideMark/>
          </w:tcPr>
          <w:p w14:paraId="6FA51C3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c>
          <w:tcPr>
            <w:tcW w:w="985" w:type="dxa"/>
            <w:tcBorders>
              <w:top w:val="nil"/>
              <w:left w:val="nil"/>
              <w:bottom w:val="single" w:sz="8" w:space="0" w:color="auto"/>
              <w:right w:val="single" w:sz="8" w:space="0" w:color="auto"/>
            </w:tcBorders>
            <w:vAlign w:val="center"/>
            <w:hideMark/>
          </w:tcPr>
          <w:p w14:paraId="2C37C5F1"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818" w:type="dxa"/>
            <w:tcBorders>
              <w:top w:val="nil"/>
              <w:left w:val="nil"/>
              <w:bottom w:val="single" w:sz="8" w:space="0" w:color="auto"/>
              <w:right w:val="single" w:sz="8" w:space="0" w:color="auto"/>
            </w:tcBorders>
            <w:vAlign w:val="center"/>
            <w:hideMark/>
          </w:tcPr>
          <w:p w14:paraId="72B17A4D"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985" w:type="dxa"/>
            <w:tcBorders>
              <w:top w:val="nil"/>
              <w:left w:val="nil"/>
              <w:bottom w:val="single" w:sz="8" w:space="0" w:color="auto"/>
              <w:right w:val="single" w:sz="8" w:space="0" w:color="auto"/>
            </w:tcBorders>
            <w:vAlign w:val="center"/>
            <w:hideMark/>
          </w:tcPr>
          <w:p w14:paraId="1DADCE51"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950" w:type="dxa"/>
            <w:tcBorders>
              <w:top w:val="nil"/>
              <w:left w:val="nil"/>
              <w:bottom w:val="single" w:sz="8" w:space="0" w:color="auto"/>
              <w:right w:val="single" w:sz="8" w:space="0" w:color="auto"/>
            </w:tcBorders>
            <w:vAlign w:val="center"/>
            <w:hideMark/>
          </w:tcPr>
          <w:p w14:paraId="2FD0B419"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r>
      <w:tr w:rsidR="00081708" w:rsidRPr="008D2838" w14:paraId="32AD6E5A"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4E138EC0"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5F5827A7"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REN. FINANCROS </w:t>
            </w:r>
          </w:p>
        </w:tc>
        <w:tc>
          <w:tcPr>
            <w:tcW w:w="985" w:type="dxa"/>
            <w:tcBorders>
              <w:top w:val="nil"/>
              <w:left w:val="nil"/>
              <w:bottom w:val="single" w:sz="8" w:space="0" w:color="auto"/>
              <w:right w:val="single" w:sz="8" w:space="0" w:color="auto"/>
            </w:tcBorders>
            <w:vAlign w:val="center"/>
            <w:hideMark/>
          </w:tcPr>
          <w:p w14:paraId="53F60B9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49</w:t>
            </w:r>
          </w:p>
        </w:tc>
        <w:tc>
          <w:tcPr>
            <w:tcW w:w="838" w:type="dxa"/>
            <w:tcBorders>
              <w:top w:val="nil"/>
              <w:left w:val="nil"/>
              <w:bottom w:val="single" w:sz="8" w:space="0" w:color="auto"/>
              <w:right w:val="single" w:sz="8" w:space="0" w:color="auto"/>
            </w:tcBorders>
            <w:vAlign w:val="center"/>
            <w:hideMark/>
          </w:tcPr>
          <w:p w14:paraId="21272BC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85" w:type="dxa"/>
            <w:tcBorders>
              <w:top w:val="nil"/>
              <w:left w:val="nil"/>
              <w:bottom w:val="single" w:sz="8" w:space="0" w:color="auto"/>
              <w:right w:val="single" w:sz="8" w:space="0" w:color="auto"/>
            </w:tcBorders>
            <w:vAlign w:val="center"/>
            <w:hideMark/>
          </w:tcPr>
          <w:p w14:paraId="76C6F9D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49</w:t>
            </w:r>
          </w:p>
        </w:tc>
        <w:tc>
          <w:tcPr>
            <w:tcW w:w="1074" w:type="dxa"/>
            <w:tcBorders>
              <w:top w:val="nil"/>
              <w:left w:val="nil"/>
              <w:bottom w:val="single" w:sz="8" w:space="0" w:color="auto"/>
              <w:right w:val="single" w:sz="8" w:space="0" w:color="auto"/>
            </w:tcBorders>
            <w:vAlign w:val="center"/>
            <w:hideMark/>
          </w:tcPr>
          <w:p w14:paraId="4A6B5557"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c>
          <w:tcPr>
            <w:tcW w:w="985" w:type="dxa"/>
            <w:tcBorders>
              <w:top w:val="nil"/>
              <w:left w:val="nil"/>
              <w:bottom w:val="single" w:sz="8" w:space="0" w:color="auto"/>
              <w:right w:val="single" w:sz="8" w:space="0" w:color="auto"/>
            </w:tcBorders>
            <w:vAlign w:val="center"/>
            <w:hideMark/>
          </w:tcPr>
          <w:p w14:paraId="12B5D94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4</w:t>
            </w:r>
          </w:p>
        </w:tc>
        <w:tc>
          <w:tcPr>
            <w:tcW w:w="818" w:type="dxa"/>
            <w:tcBorders>
              <w:top w:val="nil"/>
              <w:left w:val="nil"/>
              <w:bottom w:val="single" w:sz="8" w:space="0" w:color="auto"/>
              <w:right w:val="single" w:sz="8" w:space="0" w:color="auto"/>
            </w:tcBorders>
            <w:vAlign w:val="center"/>
            <w:hideMark/>
          </w:tcPr>
          <w:p w14:paraId="655D372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4</w:t>
            </w:r>
          </w:p>
        </w:tc>
        <w:tc>
          <w:tcPr>
            <w:tcW w:w="985" w:type="dxa"/>
            <w:tcBorders>
              <w:top w:val="nil"/>
              <w:left w:val="nil"/>
              <w:bottom w:val="single" w:sz="8" w:space="0" w:color="auto"/>
              <w:right w:val="single" w:sz="8" w:space="0" w:color="auto"/>
            </w:tcBorders>
            <w:vAlign w:val="center"/>
            <w:hideMark/>
          </w:tcPr>
          <w:p w14:paraId="4418F1FC"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950" w:type="dxa"/>
            <w:tcBorders>
              <w:top w:val="nil"/>
              <w:left w:val="nil"/>
              <w:bottom w:val="single" w:sz="8" w:space="0" w:color="auto"/>
              <w:right w:val="single" w:sz="8" w:space="0" w:color="auto"/>
            </w:tcBorders>
            <w:vAlign w:val="center"/>
            <w:hideMark/>
          </w:tcPr>
          <w:p w14:paraId="0C083A3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r>
      <w:tr w:rsidR="00081708" w:rsidRPr="008D2838" w14:paraId="7AC2D50C"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426F3289"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3EF28251"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TOTAL </w:t>
            </w:r>
          </w:p>
        </w:tc>
        <w:tc>
          <w:tcPr>
            <w:tcW w:w="985" w:type="dxa"/>
            <w:tcBorders>
              <w:top w:val="nil"/>
              <w:left w:val="nil"/>
              <w:bottom w:val="single" w:sz="8" w:space="0" w:color="auto"/>
              <w:right w:val="single" w:sz="8" w:space="0" w:color="auto"/>
            </w:tcBorders>
            <w:vAlign w:val="center"/>
            <w:hideMark/>
          </w:tcPr>
          <w:p w14:paraId="787E4161"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104.719</w:t>
            </w:r>
          </w:p>
        </w:tc>
        <w:tc>
          <w:tcPr>
            <w:tcW w:w="838" w:type="dxa"/>
            <w:tcBorders>
              <w:top w:val="nil"/>
              <w:left w:val="nil"/>
              <w:bottom w:val="single" w:sz="8" w:space="0" w:color="auto"/>
              <w:right w:val="single" w:sz="8" w:space="0" w:color="auto"/>
            </w:tcBorders>
            <w:vAlign w:val="center"/>
            <w:hideMark/>
          </w:tcPr>
          <w:p w14:paraId="1E9F0BEB"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103.756</w:t>
            </w:r>
          </w:p>
        </w:tc>
        <w:tc>
          <w:tcPr>
            <w:tcW w:w="985" w:type="dxa"/>
            <w:tcBorders>
              <w:top w:val="nil"/>
              <w:left w:val="nil"/>
              <w:bottom w:val="single" w:sz="8" w:space="0" w:color="auto"/>
              <w:right w:val="single" w:sz="8" w:space="0" w:color="auto"/>
            </w:tcBorders>
            <w:vAlign w:val="center"/>
            <w:hideMark/>
          </w:tcPr>
          <w:p w14:paraId="5698FC94" w14:textId="77777777" w:rsidR="00081708" w:rsidRPr="008D2838" w:rsidRDefault="00081708" w:rsidP="00081708">
            <w:pPr>
              <w:jc w:val="right"/>
              <w:rPr>
                <w:rFonts w:ascii="Arial" w:eastAsia="Times New Roman" w:hAnsi="Arial" w:cs="Arial"/>
                <w:b/>
                <w:bCs/>
                <w:sz w:val="16"/>
                <w:szCs w:val="16"/>
                <w:lang w:val="es-CO" w:eastAsia="es-CO"/>
              </w:rPr>
            </w:pPr>
            <w:r w:rsidRPr="008D2838">
              <w:rPr>
                <w:rFonts w:ascii="Arial" w:eastAsia="Times New Roman" w:hAnsi="Arial" w:cs="Arial"/>
                <w:b/>
                <w:bCs/>
                <w:sz w:val="16"/>
                <w:szCs w:val="16"/>
                <w:lang w:val="es-CO" w:eastAsia="es-CO"/>
              </w:rPr>
              <w:t>964</w:t>
            </w:r>
          </w:p>
        </w:tc>
        <w:tc>
          <w:tcPr>
            <w:tcW w:w="1074" w:type="dxa"/>
            <w:tcBorders>
              <w:top w:val="nil"/>
              <w:left w:val="nil"/>
              <w:bottom w:val="single" w:sz="8" w:space="0" w:color="auto"/>
              <w:right w:val="single" w:sz="8" w:space="0" w:color="auto"/>
            </w:tcBorders>
            <w:vAlign w:val="center"/>
            <w:hideMark/>
          </w:tcPr>
          <w:p w14:paraId="461E9B2C"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841</w:t>
            </w:r>
          </w:p>
        </w:tc>
        <w:tc>
          <w:tcPr>
            <w:tcW w:w="985" w:type="dxa"/>
            <w:tcBorders>
              <w:top w:val="nil"/>
              <w:left w:val="nil"/>
              <w:bottom w:val="single" w:sz="8" w:space="0" w:color="auto"/>
              <w:right w:val="single" w:sz="8" w:space="0" w:color="auto"/>
            </w:tcBorders>
            <w:vAlign w:val="center"/>
            <w:hideMark/>
          </w:tcPr>
          <w:p w14:paraId="1F33C5EC"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7.003</w:t>
            </w:r>
          </w:p>
        </w:tc>
        <w:tc>
          <w:tcPr>
            <w:tcW w:w="818" w:type="dxa"/>
            <w:tcBorders>
              <w:top w:val="nil"/>
              <w:left w:val="nil"/>
              <w:bottom w:val="single" w:sz="8" w:space="0" w:color="auto"/>
              <w:right w:val="single" w:sz="8" w:space="0" w:color="auto"/>
            </w:tcBorders>
            <w:vAlign w:val="center"/>
            <w:hideMark/>
          </w:tcPr>
          <w:p w14:paraId="203CA788"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6.953</w:t>
            </w:r>
          </w:p>
        </w:tc>
        <w:tc>
          <w:tcPr>
            <w:tcW w:w="985" w:type="dxa"/>
            <w:tcBorders>
              <w:top w:val="nil"/>
              <w:left w:val="nil"/>
              <w:bottom w:val="single" w:sz="8" w:space="0" w:color="auto"/>
              <w:right w:val="single" w:sz="8" w:space="0" w:color="auto"/>
            </w:tcBorders>
            <w:vAlign w:val="center"/>
            <w:hideMark/>
          </w:tcPr>
          <w:p w14:paraId="51F3DA1B"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50</w:t>
            </w:r>
          </w:p>
        </w:tc>
        <w:tc>
          <w:tcPr>
            <w:tcW w:w="950" w:type="dxa"/>
            <w:tcBorders>
              <w:top w:val="nil"/>
              <w:left w:val="nil"/>
              <w:bottom w:val="single" w:sz="8" w:space="0" w:color="auto"/>
              <w:right w:val="single" w:sz="8" w:space="0" w:color="auto"/>
            </w:tcBorders>
            <w:vAlign w:val="center"/>
            <w:hideMark/>
          </w:tcPr>
          <w:p w14:paraId="1303258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115,1</w:t>
            </w:r>
          </w:p>
        </w:tc>
      </w:tr>
      <w:tr w:rsidR="00081708" w:rsidRPr="008D2838" w14:paraId="142CB471" w14:textId="77777777" w:rsidTr="00081708">
        <w:trPr>
          <w:trHeight w:val="20"/>
        </w:trPr>
        <w:tc>
          <w:tcPr>
            <w:tcW w:w="0" w:type="auto"/>
            <w:vMerge/>
            <w:tcBorders>
              <w:top w:val="nil"/>
              <w:left w:val="single" w:sz="8" w:space="0" w:color="auto"/>
              <w:bottom w:val="single" w:sz="8" w:space="0" w:color="000000"/>
              <w:right w:val="single" w:sz="8" w:space="0" w:color="auto"/>
            </w:tcBorders>
            <w:vAlign w:val="center"/>
            <w:hideMark/>
          </w:tcPr>
          <w:p w14:paraId="1F7431FC" w14:textId="77777777" w:rsidR="00081708" w:rsidRPr="008D2838" w:rsidRDefault="00081708" w:rsidP="00081708">
            <w:pPr>
              <w:rPr>
                <w:rFonts w:ascii="Arial" w:eastAsia="Times New Roman" w:hAnsi="Arial" w:cs="Arial"/>
                <w:b/>
                <w:bCs/>
                <w:color w:val="000000"/>
                <w:sz w:val="16"/>
                <w:szCs w:val="16"/>
                <w:lang w:val="es-CO" w:eastAsia="es-CO"/>
              </w:rPr>
            </w:pPr>
          </w:p>
        </w:tc>
        <w:tc>
          <w:tcPr>
            <w:tcW w:w="3137" w:type="dxa"/>
            <w:gridSpan w:val="3"/>
            <w:tcBorders>
              <w:top w:val="single" w:sz="8" w:space="0" w:color="auto"/>
              <w:left w:val="nil"/>
              <w:bottom w:val="single" w:sz="8" w:space="0" w:color="auto"/>
              <w:right w:val="single" w:sz="8" w:space="0" w:color="000000"/>
            </w:tcBorders>
            <w:shd w:val="clear" w:color="auto" w:fill="95B3D7"/>
            <w:vAlign w:val="center"/>
            <w:hideMark/>
          </w:tcPr>
          <w:p w14:paraId="47AE5781" w14:textId="77777777" w:rsidR="00081708" w:rsidRPr="008D2838" w:rsidRDefault="00081708" w:rsidP="00081708">
            <w:pPr>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xml:space="preserve"> TESORERÍA VS EJECUCIÓN PRESUPUESTAL </w:t>
            </w:r>
          </w:p>
        </w:tc>
        <w:tc>
          <w:tcPr>
            <w:tcW w:w="2059" w:type="dxa"/>
            <w:gridSpan w:val="2"/>
            <w:tcBorders>
              <w:top w:val="single" w:sz="8" w:space="0" w:color="auto"/>
              <w:left w:val="nil"/>
              <w:bottom w:val="single" w:sz="8" w:space="0" w:color="auto"/>
              <w:right w:val="single" w:sz="8" w:space="0" w:color="000000"/>
            </w:tcBorders>
            <w:shd w:val="clear" w:color="auto" w:fill="95B3D7"/>
            <w:vAlign w:val="center"/>
            <w:hideMark/>
          </w:tcPr>
          <w:p w14:paraId="065FCA3B"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-123</w:t>
            </w:r>
          </w:p>
        </w:tc>
        <w:tc>
          <w:tcPr>
            <w:tcW w:w="3738" w:type="dxa"/>
            <w:gridSpan w:val="4"/>
            <w:tcBorders>
              <w:top w:val="single" w:sz="8" w:space="0" w:color="auto"/>
              <w:left w:val="nil"/>
              <w:bottom w:val="single" w:sz="8" w:space="0" w:color="auto"/>
              <w:right w:val="single" w:sz="8" w:space="0" w:color="000000"/>
            </w:tcBorders>
            <w:shd w:val="clear" w:color="auto" w:fill="95B3D7"/>
            <w:vAlign w:val="center"/>
            <w:hideMark/>
          </w:tcPr>
          <w:p w14:paraId="23DDEF29" w14:textId="77777777" w:rsidR="00081708" w:rsidRPr="008D2838" w:rsidRDefault="00341DF3"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6</w:t>
            </w:r>
            <w:r w:rsidR="00081708" w:rsidRPr="008D2838">
              <w:rPr>
                <w:rFonts w:ascii="Arial" w:eastAsia="Times New Roman" w:hAnsi="Arial" w:cs="Arial"/>
                <w:color w:val="000000"/>
                <w:sz w:val="16"/>
                <w:szCs w:val="16"/>
                <w:lang w:val="es-CO" w:eastAsia="es-CO"/>
              </w:rPr>
              <w:t>5,1</w:t>
            </w:r>
          </w:p>
        </w:tc>
      </w:tr>
      <w:tr w:rsidR="00081708" w:rsidRPr="008D2838" w14:paraId="21C91165" w14:textId="77777777" w:rsidTr="00E32F8D">
        <w:trPr>
          <w:trHeight w:val="20"/>
        </w:trPr>
        <w:tc>
          <w:tcPr>
            <w:tcW w:w="848" w:type="dxa"/>
            <w:vMerge w:val="restart"/>
            <w:tcBorders>
              <w:top w:val="nil"/>
              <w:left w:val="single" w:sz="8" w:space="0" w:color="auto"/>
              <w:bottom w:val="single" w:sz="8" w:space="0" w:color="000000"/>
              <w:right w:val="single" w:sz="8" w:space="0" w:color="auto"/>
            </w:tcBorders>
            <w:vAlign w:val="center"/>
            <w:hideMark/>
          </w:tcPr>
          <w:p w14:paraId="1212FD8A"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2020</w:t>
            </w:r>
          </w:p>
        </w:tc>
        <w:tc>
          <w:tcPr>
            <w:tcW w:w="1314" w:type="dxa"/>
            <w:tcBorders>
              <w:top w:val="nil"/>
              <w:left w:val="nil"/>
              <w:bottom w:val="single" w:sz="8" w:space="0" w:color="auto"/>
              <w:right w:val="single" w:sz="8" w:space="0" w:color="auto"/>
            </w:tcBorders>
            <w:shd w:val="clear" w:color="auto" w:fill="95B3D7"/>
            <w:vAlign w:val="center"/>
            <w:hideMark/>
          </w:tcPr>
          <w:p w14:paraId="7D954A3B"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CORRIENTE </w:t>
            </w:r>
          </w:p>
        </w:tc>
        <w:tc>
          <w:tcPr>
            <w:tcW w:w="985" w:type="dxa"/>
            <w:tcBorders>
              <w:top w:val="nil"/>
              <w:left w:val="nil"/>
              <w:bottom w:val="single" w:sz="8" w:space="0" w:color="auto"/>
              <w:right w:val="single" w:sz="8" w:space="0" w:color="auto"/>
            </w:tcBorders>
            <w:vAlign w:val="center"/>
            <w:hideMark/>
          </w:tcPr>
          <w:p w14:paraId="634DB4FD"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108.322</w:t>
            </w:r>
          </w:p>
        </w:tc>
        <w:tc>
          <w:tcPr>
            <w:tcW w:w="838" w:type="dxa"/>
            <w:tcBorders>
              <w:top w:val="nil"/>
              <w:left w:val="nil"/>
              <w:bottom w:val="single" w:sz="8" w:space="0" w:color="auto"/>
              <w:right w:val="single" w:sz="8" w:space="0" w:color="auto"/>
            </w:tcBorders>
            <w:vAlign w:val="center"/>
            <w:hideMark/>
          </w:tcPr>
          <w:p w14:paraId="37253BFB"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106.540</w:t>
            </w:r>
          </w:p>
        </w:tc>
        <w:tc>
          <w:tcPr>
            <w:tcW w:w="985" w:type="dxa"/>
            <w:tcBorders>
              <w:top w:val="nil"/>
              <w:left w:val="nil"/>
              <w:bottom w:val="single" w:sz="8" w:space="0" w:color="auto"/>
              <w:right w:val="single" w:sz="8" w:space="0" w:color="auto"/>
            </w:tcBorders>
            <w:vAlign w:val="center"/>
            <w:hideMark/>
          </w:tcPr>
          <w:p w14:paraId="2A7ADF81"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1.782</w:t>
            </w:r>
          </w:p>
        </w:tc>
        <w:tc>
          <w:tcPr>
            <w:tcW w:w="1074" w:type="dxa"/>
            <w:tcBorders>
              <w:top w:val="nil"/>
              <w:left w:val="nil"/>
              <w:bottom w:val="single" w:sz="8" w:space="0" w:color="auto"/>
              <w:right w:val="single" w:sz="8" w:space="0" w:color="auto"/>
            </w:tcBorders>
            <w:vAlign w:val="center"/>
            <w:hideMark/>
          </w:tcPr>
          <w:p w14:paraId="46DD311A"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1.695</w:t>
            </w:r>
          </w:p>
        </w:tc>
        <w:tc>
          <w:tcPr>
            <w:tcW w:w="985" w:type="dxa"/>
            <w:tcBorders>
              <w:top w:val="nil"/>
              <w:left w:val="nil"/>
              <w:bottom w:val="single" w:sz="8" w:space="0" w:color="auto"/>
              <w:right w:val="single" w:sz="8" w:space="0" w:color="auto"/>
            </w:tcBorders>
            <w:vAlign w:val="center"/>
            <w:hideMark/>
          </w:tcPr>
          <w:p w14:paraId="2EB19919"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6.618</w:t>
            </w:r>
          </w:p>
        </w:tc>
        <w:tc>
          <w:tcPr>
            <w:tcW w:w="818" w:type="dxa"/>
            <w:tcBorders>
              <w:top w:val="nil"/>
              <w:left w:val="nil"/>
              <w:bottom w:val="single" w:sz="8" w:space="0" w:color="auto"/>
              <w:right w:val="single" w:sz="8" w:space="0" w:color="auto"/>
            </w:tcBorders>
            <w:vAlign w:val="center"/>
            <w:hideMark/>
          </w:tcPr>
          <w:p w14:paraId="6E4B281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5.805</w:t>
            </w:r>
          </w:p>
        </w:tc>
        <w:tc>
          <w:tcPr>
            <w:tcW w:w="985" w:type="dxa"/>
            <w:tcBorders>
              <w:top w:val="nil"/>
              <w:left w:val="nil"/>
              <w:bottom w:val="single" w:sz="8" w:space="0" w:color="auto"/>
              <w:right w:val="single" w:sz="8" w:space="0" w:color="auto"/>
            </w:tcBorders>
            <w:vAlign w:val="center"/>
            <w:hideMark/>
          </w:tcPr>
          <w:p w14:paraId="544D527E"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813</w:t>
            </w:r>
          </w:p>
        </w:tc>
        <w:tc>
          <w:tcPr>
            <w:tcW w:w="950" w:type="dxa"/>
            <w:tcBorders>
              <w:top w:val="nil"/>
              <w:left w:val="nil"/>
              <w:bottom w:val="single" w:sz="8" w:space="0" w:color="auto"/>
              <w:right w:val="single" w:sz="8" w:space="0" w:color="auto"/>
            </w:tcBorders>
            <w:vAlign w:val="center"/>
            <w:hideMark/>
          </w:tcPr>
          <w:p w14:paraId="356293B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892</w:t>
            </w:r>
          </w:p>
        </w:tc>
      </w:tr>
      <w:tr w:rsidR="00081708" w:rsidRPr="008D2838" w14:paraId="4722542F"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39AD2197"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D9D9D9"/>
            <w:vAlign w:val="center"/>
            <w:hideMark/>
          </w:tcPr>
          <w:p w14:paraId="41EE65C9"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 xml:space="preserve"> SSF/Gratuidad </w:t>
            </w:r>
          </w:p>
        </w:tc>
        <w:tc>
          <w:tcPr>
            <w:tcW w:w="985" w:type="dxa"/>
            <w:tcBorders>
              <w:top w:val="nil"/>
              <w:left w:val="nil"/>
              <w:bottom w:val="single" w:sz="8" w:space="0" w:color="auto"/>
              <w:right w:val="single" w:sz="8" w:space="0" w:color="auto"/>
            </w:tcBorders>
            <w:vAlign w:val="center"/>
            <w:hideMark/>
          </w:tcPr>
          <w:p w14:paraId="71C3B83E"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16.958</w:t>
            </w:r>
          </w:p>
        </w:tc>
        <w:tc>
          <w:tcPr>
            <w:tcW w:w="838" w:type="dxa"/>
            <w:tcBorders>
              <w:top w:val="nil"/>
              <w:left w:val="nil"/>
              <w:bottom w:val="single" w:sz="8" w:space="0" w:color="auto"/>
              <w:right w:val="single" w:sz="8" w:space="0" w:color="auto"/>
            </w:tcBorders>
            <w:vAlign w:val="center"/>
            <w:hideMark/>
          </w:tcPr>
          <w:p w14:paraId="7C8015C3"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16.958</w:t>
            </w:r>
          </w:p>
        </w:tc>
        <w:tc>
          <w:tcPr>
            <w:tcW w:w="985" w:type="dxa"/>
            <w:tcBorders>
              <w:top w:val="nil"/>
              <w:left w:val="nil"/>
              <w:bottom w:val="single" w:sz="8" w:space="0" w:color="auto"/>
              <w:right w:val="single" w:sz="8" w:space="0" w:color="auto"/>
            </w:tcBorders>
            <w:vAlign w:val="center"/>
            <w:hideMark/>
          </w:tcPr>
          <w:p w14:paraId="58CFC1C4"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0</w:t>
            </w:r>
          </w:p>
        </w:tc>
        <w:tc>
          <w:tcPr>
            <w:tcW w:w="1074" w:type="dxa"/>
            <w:tcBorders>
              <w:top w:val="nil"/>
              <w:left w:val="nil"/>
              <w:bottom w:val="single" w:sz="8" w:space="0" w:color="auto"/>
              <w:right w:val="single" w:sz="8" w:space="0" w:color="auto"/>
            </w:tcBorders>
            <w:vAlign w:val="center"/>
            <w:hideMark/>
          </w:tcPr>
          <w:p w14:paraId="354953A5"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No aplica</w:t>
            </w:r>
          </w:p>
        </w:tc>
        <w:tc>
          <w:tcPr>
            <w:tcW w:w="985" w:type="dxa"/>
            <w:tcBorders>
              <w:top w:val="nil"/>
              <w:left w:val="nil"/>
              <w:bottom w:val="single" w:sz="8" w:space="0" w:color="auto"/>
              <w:right w:val="single" w:sz="8" w:space="0" w:color="auto"/>
            </w:tcBorders>
            <w:vAlign w:val="center"/>
            <w:hideMark/>
          </w:tcPr>
          <w:p w14:paraId="591AB9CE"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3.973</w:t>
            </w:r>
          </w:p>
        </w:tc>
        <w:tc>
          <w:tcPr>
            <w:tcW w:w="818" w:type="dxa"/>
            <w:tcBorders>
              <w:top w:val="nil"/>
              <w:left w:val="nil"/>
              <w:bottom w:val="single" w:sz="8" w:space="0" w:color="auto"/>
              <w:right w:val="single" w:sz="8" w:space="0" w:color="auto"/>
            </w:tcBorders>
            <w:vAlign w:val="center"/>
            <w:hideMark/>
          </w:tcPr>
          <w:p w14:paraId="7156FE02"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3.973</w:t>
            </w:r>
          </w:p>
        </w:tc>
        <w:tc>
          <w:tcPr>
            <w:tcW w:w="985" w:type="dxa"/>
            <w:tcBorders>
              <w:top w:val="nil"/>
              <w:left w:val="nil"/>
              <w:bottom w:val="single" w:sz="8" w:space="0" w:color="auto"/>
              <w:right w:val="single" w:sz="8" w:space="0" w:color="auto"/>
            </w:tcBorders>
            <w:vAlign w:val="center"/>
            <w:hideMark/>
          </w:tcPr>
          <w:p w14:paraId="315B7B54"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0</w:t>
            </w:r>
          </w:p>
        </w:tc>
        <w:tc>
          <w:tcPr>
            <w:tcW w:w="950" w:type="dxa"/>
            <w:tcBorders>
              <w:top w:val="nil"/>
              <w:left w:val="nil"/>
              <w:bottom w:val="single" w:sz="8" w:space="0" w:color="auto"/>
              <w:right w:val="single" w:sz="8" w:space="0" w:color="auto"/>
            </w:tcBorders>
            <w:vAlign w:val="center"/>
            <w:hideMark/>
          </w:tcPr>
          <w:p w14:paraId="1D970EDF"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No aplica</w:t>
            </w:r>
          </w:p>
        </w:tc>
      </w:tr>
      <w:tr w:rsidR="00081708" w:rsidRPr="008D2838" w14:paraId="3575409B"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0B045A61"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D9D9D9"/>
            <w:vAlign w:val="center"/>
            <w:hideMark/>
          </w:tcPr>
          <w:p w14:paraId="410C03C5"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 xml:space="preserve">CSF/Matrícula </w:t>
            </w:r>
          </w:p>
        </w:tc>
        <w:tc>
          <w:tcPr>
            <w:tcW w:w="985" w:type="dxa"/>
            <w:tcBorders>
              <w:top w:val="nil"/>
              <w:left w:val="nil"/>
              <w:bottom w:val="single" w:sz="8" w:space="0" w:color="auto"/>
              <w:right w:val="single" w:sz="8" w:space="0" w:color="auto"/>
            </w:tcBorders>
            <w:vAlign w:val="center"/>
            <w:hideMark/>
          </w:tcPr>
          <w:p w14:paraId="04F96FD1"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91.364</w:t>
            </w:r>
          </w:p>
        </w:tc>
        <w:tc>
          <w:tcPr>
            <w:tcW w:w="838" w:type="dxa"/>
            <w:tcBorders>
              <w:top w:val="nil"/>
              <w:left w:val="nil"/>
              <w:bottom w:val="single" w:sz="8" w:space="0" w:color="auto"/>
              <w:right w:val="single" w:sz="8" w:space="0" w:color="auto"/>
            </w:tcBorders>
            <w:vAlign w:val="center"/>
            <w:hideMark/>
          </w:tcPr>
          <w:p w14:paraId="704350D5"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89.582</w:t>
            </w:r>
          </w:p>
        </w:tc>
        <w:tc>
          <w:tcPr>
            <w:tcW w:w="985" w:type="dxa"/>
            <w:tcBorders>
              <w:top w:val="nil"/>
              <w:left w:val="nil"/>
              <w:bottom w:val="single" w:sz="8" w:space="0" w:color="auto"/>
              <w:right w:val="single" w:sz="8" w:space="0" w:color="auto"/>
            </w:tcBorders>
            <w:vAlign w:val="center"/>
            <w:hideMark/>
          </w:tcPr>
          <w:p w14:paraId="6180E626"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1.782</w:t>
            </w:r>
          </w:p>
        </w:tc>
        <w:tc>
          <w:tcPr>
            <w:tcW w:w="1074" w:type="dxa"/>
            <w:tcBorders>
              <w:top w:val="nil"/>
              <w:left w:val="nil"/>
              <w:bottom w:val="single" w:sz="8" w:space="0" w:color="auto"/>
              <w:right w:val="single" w:sz="8" w:space="0" w:color="auto"/>
            </w:tcBorders>
            <w:vAlign w:val="center"/>
            <w:hideMark/>
          </w:tcPr>
          <w:p w14:paraId="290A39DD"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1.695</w:t>
            </w:r>
          </w:p>
        </w:tc>
        <w:tc>
          <w:tcPr>
            <w:tcW w:w="985" w:type="dxa"/>
            <w:tcBorders>
              <w:top w:val="nil"/>
              <w:left w:val="nil"/>
              <w:bottom w:val="single" w:sz="8" w:space="0" w:color="auto"/>
              <w:right w:val="single" w:sz="8" w:space="0" w:color="auto"/>
            </w:tcBorders>
            <w:vAlign w:val="center"/>
            <w:hideMark/>
          </w:tcPr>
          <w:p w14:paraId="085AA902"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2.645</w:t>
            </w:r>
          </w:p>
        </w:tc>
        <w:tc>
          <w:tcPr>
            <w:tcW w:w="818" w:type="dxa"/>
            <w:tcBorders>
              <w:top w:val="nil"/>
              <w:left w:val="nil"/>
              <w:bottom w:val="single" w:sz="8" w:space="0" w:color="auto"/>
              <w:right w:val="single" w:sz="8" w:space="0" w:color="auto"/>
            </w:tcBorders>
            <w:vAlign w:val="center"/>
            <w:hideMark/>
          </w:tcPr>
          <w:p w14:paraId="19125D6A"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1.832</w:t>
            </w:r>
          </w:p>
        </w:tc>
        <w:tc>
          <w:tcPr>
            <w:tcW w:w="985" w:type="dxa"/>
            <w:tcBorders>
              <w:top w:val="nil"/>
              <w:left w:val="nil"/>
              <w:bottom w:val="single" w:sz="8" w:space="0" w:color="auto"/>
              <w:right w:val="single" w:sz="8" w:space="0" w:color="auto"/>
            </w:tcBorders>
            <w:vAlign w:val="center"/>
            <w:hideMark/>
          </w:tcPr>
          <w:p w14:paraId="70965B0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813</w:t>
            </w:r>
          </w:p>
        </w:tc>
        <w:tc>
          <w:tcPr>
            <w:tcW w:w="950" w:type="dxa"/>
            <w:tcBorders>
              <w:top w:val="nil"/>
              <w:left w:val="nil"/>
              <w:bottom w:val="single" w:sz="8" w:space="0" w:color="auto"/>
              <w:right w:val="single" w:sz="8" w:space="0" w:color="auto"/>
            </w:tcBorders>
            <w:vAlign w:val="center"/>
            <w:hideMark/>
          </w:tcPr>
          <w:p w14:paraId="532E621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892</w:t>
            </w:r>
          </w:p>
        </w:tc>
      </w:tr>
      <w:tr w:rsidR="00081708" w:rsidRPr="008D2838" w14:paraId="7D981535"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6E3C3BA5"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17C911C5"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BALANCE </w:t>
            </w:r>
          </w:p>
        </w:tc>
        <w:tc>
          <w:tcPr>
            <w:tcW w:w="985" w:type="dxa"/>
            <w:tcBorders>
              <w:top w:val="nil"/>
              <w:left w:val="nil"/>
              <w:bottom w:val="single" w:sz="8" w:space="0" w:color="auto"/>
              <w:right w:val="single" w:sz="8" w:space="0" w:color="auto"/>
            </w:tcBorders>
            <w:vAlign w:val="center"/>
            <w:hideMark/>
          </w:tcPr>
          <w:p w14:paraId="17BB6A8A" w14:textId="77777777" w:rsidR="00081708" w:rsidRPr="008D2838" w:rsidRDefault="00081708" w:rsidP="00081708">
            <w:pPr>
              <w:jc w:val="right"/>
              <w:rPr>
                <w:rFonts w:ascii="Arial" w:eastAsia="Times New Roman" w:hAnsi="Arial" w:cs="Arial"/>
                <w:color w:val="C00000"/>
                <w:sz w:val="16"/>
                <w:szCs w:val="16"/>
                <w:lang w:val="es-CO" w:eastAsia="es-CO"/>
              </w:rPr>
            </w:pPr>
            <w:r w:rsidRPr="008D2838">
              <w:rPr>
                <w:rFonts w:ascii="Arial" w:eastAsia="Times New Roman" w:hAnsi="Arial" w:cs="Arial"/>
                <w:color w:val="C00000"/>
                <w:sz w:val="16"/>
                <w:szCs w:val="16"/>
                <w:lang w:val="es-CO" w:eastAsia="es-CO"/>
              </w:rPr>
              <w:t>1.250</w:t>
            </w:r>
          </w:p>
        </w:tc>
        <w:tc>
          <w:tcPr>
            <w:tcW w:w="838" w:type="dxa"/>
            <w:tcBorders>
              <w:top w:val="nil"/>
              <w:left w:val="nil"/>
              <w:bottom w:val="single" w:sz="8" w:space="0" w:color="auto"/>
              <w:right w:val="single" w:sz="8" w:space="0" w:color="auto"/>
            </w:tcBorders>
            <w:vAlign w:val="center"/>
            <w:hideMark/>
          </w:tcPr>
          <w:p w14:paraId="0BF2FDE9"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1.220</w:t>
            </w:r>
          </w:p>
        </w:tc>
        <w:tc>
          <w:tcPr>
            <w:tcW w:w="985" w:type="dxa"/>
            <w:tcBorders>
              <w:top w:val="nil"/>
              <w:left w:val="nil"/>
              <w:bottom w:val="single" w:sz="8" w:space="0" w:color="auto"/>
              <w:right w:val="single" w:sz="8" w:space="0" w:color="auto"/>
            </w:tcBorders>
            <w:vAlign w:val="center"/>
            <w:hideMark/>
          </w:tcPr>
          <w:p w14:paraId="04039BF4"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30</w:t>
            </w:r>
          </w:p>
        </w:tc>
        <w:tc>
          <w:tcPr>
            <w:tcW w:w="1074" w:type="dxa"/>
            <w:tcBorders>
              <w:top w:val="nil"/>
              <w:left w:val="nil"/>
              <w:bottom w:val="single" w:sz="8" w:space="0" w:color="auto"/>
              <w:right w:val="single" w:sz="8" w:space="0" w:color="auto"/>
            </w:tcBorders>
            <w:vAlign w:val="center"/>
            <w:hideMark/>
          </w:tcPr>
          <w:p w14:paraId="19829DFC"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85" w:type="dxa"/>
            <w:tcBorders>
              <w:top w:val="nil"/>
              <w:left w:val="nil"/>
              <w:bottom w:val="single" w:sz="8" w:space="0" w:color="auto"/>
              <w:right w:val="single" w:sz="8" w:space="0" w:color="auto"/>
            </w:tcBorders>
            <w:vAlign w:val="center"/>
            <w:hideMark/>
          </w:tcPr>
          <w:p w14:paraId="42F384D1"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50</w:t>
            </w:r>
          </w:p>
        </w:tc>
        <w:tc>
          <w:tcPr>
            <w:tcW w:w="818" w:type="dxa"/>
            <w:tcBorders>
              <w:top w:val="nil"/>
              <w:left w:val="nil"/>
              <w:bottom w:val="single" w:sz="8" w:space="0" w:color="auto"/>
              <w:right w:val="single" w:sz="8" w:space="0" w:color="auto"/>
            </w:tcBorders>
            <w:vAlign w:val="center"/>
            <w:hideMark/>
          </w:tcPr>
          <w:p w14:paraId="133B2F94"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39</w:t>
            </w:r>
          </w:p>
        </w:tc>
        <w:tc>
          <w:tcPr>
            <w:tcW w:w="985" w:type="dxa"/>
            <w:tcBorders>
              <w:top w:val="nil"/>
              <w:left w:val="nil"/>
              <w:bottom w:val="single" w:sz="8" w:space="0" w:color="auto"/>
              <w:right w:val="single" w:sz="8" w:space="0" w:color="auto"/>
            </w:tcBorders>
            <w:vAlign w:val="center"/>
            <w:hideMark/>
          </w:tcPr>
          <w:p w14:paraId="609CF896"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11</w:t>
            </w:r>
          </w:p>
        </w:tc>
        <w:tc>
          <w:tcPr>
            <w:tcW w:w="950" w:type="dxa"/>
            <w:tcBorders>
              <w:top w:val="nil"/>
              <w:left w:val="nil"/>
              <w:bottom w:val="single" w:sz="8" w:space="0" w:color="auto"/>
              <w:right w:val="single" w:sz="8" w:space="0" w:color="auto"/>
            </w:tcBorders>
            <w:vAlign w:val="center"/>
            <w:hideMark/>
          </w:tcPr>
          <w:p w14:paraId="00F978B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r>
      <w:tr w:rsidR="00081708" w:rsidRPr="008D2838" w14:paraId="216B5CDF"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4E729C92"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1DED7E42"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REINTEGROS </w:t>
            </w:r>
          </w:p>
        </w:tc>
        <w:tc>
          <w:tcPr>
            <w:tcW w:w="985" w:type="dxa"/>
            <w:tcBorders>
              <w:top w:val="nil"/>
              <w:left w:val="nil"/>
              <w:bottom w:val="single" w:sz="8" w:space="0" w:color="auto"/>
              <w:right w:val="single" w:sz="8" w:space="0" w:color="auto"/>
            </w:tcBorders>
            <w:vAlign w:val="center"/>
            <w:hideMark/>
          </w:tcPr>
          <w:p w14:paraId="3B116F1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287</w:t>
            </w:r>
          </w:p>
        </w:tc>
        <w:tc>
          <w:tcPr>
            <w:tcW w:w="838" w:type="dxa"/>
            <w:tcBorders>
              <w:top w:val="nil"/>
              <w:left w:val="nil"/>
              <w:bottom w:val="single" w:sz="8" w:space="0" w:color="auto"/>
              <w:right w:val="single" w:sz="8" w:space="0" w:color="auto"/>
            </w:tcBorders>
            <w:vAlign w:val="center"/>
            <w:hideMark/>
          </w:tcPr>
          <w:p w14:paraId="26DE7E6C"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287</w:t>
            </w:r>
          </w:p>
        </w:tc>
        <w:tc>
          <w:tcPr>
            <w:tcW w:w="985" w:type="dxa"/>
            <w:tcBorders>
              <w:top w:val="nil"/>
              <w:left w:val="nil"/>
              <w:bottom w:val="single" w:sz="8" w:space="0" w:color="auto"/>
              <w:right w:val="single" w:sz="8" w:space="0" w:color="auto"/>
            </w:tcBorders>
            <w:vAlign w:val="center"/>
            <w:hideMark/>
          </w:tcPr>
          <w:p w14:paraId="40A4C54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xml:space="preserve"> - </w:t>
            </w:r>
          </w:p>
        </w:tc>
        <w:tc>
          <w:tcPr>
            <w:tcW w:w="1074" w:type="dxa"/>
            <w:tcBorders>
              <w:top w:val="nil"/>
              <w:left w:val="nil"/>
              <w:bottom w:val="single" w:sz="8" w:space="0" w:color="auto"/>
              <w:right w:val="single" w:sz="8" w:space="0" w:color="auto"/>
            </w:tcBorders>
            <w:vAlign w:val="center"/>
            <w:hideMark/>
          </w:tcPr>
          <w:p w14:paraId="0C304E8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85" w:type="dxa"/>
            <w:tcBorders>
              <w:top w:val="nil"/>
              <w:left w:val="nil"/>
              <w:bottom w:val="single" w:sz="8" w:space="0" w:color="auto"/>
              <w:right w:val="single" w:sz="8" w:space="0" w:color="auto"/>
            </w:tcBorders>
            <w:vAlign w:val="center"/>
            <w:hideMark/>
          </w:tcPr>
          <w:p w14:paraId="3440FA1E"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818" w:type="dxa"/>
            <w:tcBorders>
              <w:top w:val="nil"/>
              <w:left w:val="nil"/>
              <w:bottom w:val="single" w:sz="8" w:space="0" w:color="auto"/>
              <w:right w:val="single" w:sz="8" w:space="0" w:color="auto"/>
            </w:tcBorders>
            <w:vAlign w:val="center"/>
            <w:hideMark/>
          </w:tcPr>
          <w:p w14:paraId="3BC81469"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85" w:type="dxa"/>
            <w:tcBorders>
              <w:top w:val="nil"/>
              <w:left w:val="nil"/>
              <w:bottom w:val="single" w:sz="8" w:space="0" w:color="auto"/>
              <w:right w:val="single" w:sz="8" w:space="0" w:color="auto"/>
            </w:tcBorders>
            <w:vAlign w:val="center"/>
            <w:hideMark/>
          </w:tcPr>
          <w:p w14:paraId="05C3CCE0"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 </w:t>
            </w:r>
          </w:p>
        </w:tc>
        <w:tc>
          <w:tcPr>
            <w:tcW w:w="950" w:type="dxa"/>
            <w:tcBorders>
              <w:top w:val="nil"/>
              <w:left w:val="nil"/>
              <w:bottom w:val="single" w:sz="8" w:space="0" w:color="auto"/>
              <w:right w:val="single" w:sz="8" w:space="0" w:color="auto"/>
            </w:tcBorders>
            <w:vAlign w:val="center"/>
            <w:hideMark/>
          </w:tcPr>
          <w:p w14:paraId="439760DA"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r>
      <w:tr w:rsidR="00081708" w:rsidRPr="008D2838" w14:paraId="2D3015BC"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2ED68A0A"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777A6FDB"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REN. FINANCROS</w:t>
            </w:r>
          </w:p>
        </w:tc>
        <w:tc>
          <w:tcPr>
            <w:tcW w:w="985" w:type="dxa"/>
            <w:tcBorders>
              <w:top w:val="nil"/>
              <w:left w:val="nil"/>
              <w:bottom w:val="single" w:sz="8" w:space="0" w:color="auto"/>
              <w:right w:val="single" w:sz="8" w:space="0" w:color="auto"/>
            </w:tcBorders>
            <w:vAlign w:val="center"/>
            <w:hideMark/>
          </w:tcPr>
          <w:p w14:paraId="2F2216AD"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70</w:t>
            </w:r>
          </w:p>
        </w:tc>
        <w:tc>
          <w:tcPr>
            <w:tcW w:w="838" w:type="dxa"/>
            <w:tcBorders>
              <w:top w:val="nil"/>
              <w:left w:val="nil"/>
              <w:bottom w:val="single" w:sz="8" w:space="0" w:color="auto"/>
              <w:right w:val="single" w:sz="8" w:space="0" w:color="auto"/>
            </w:tcBorders>
            <w:vAlign w:val="center"/>
            <w:hideMark/>
          </w:tcPr>
          <w:p w14:paraId="49CCB6E6"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 </w:t>
            </w:r>
          </w:p>
        </w:tc>
        <w:tc>
          <w:tcPr>
            <w:tcW w:w="985" w:type="dxa"/>
            <w:tcBorders>
              <w:top w:val="nil"/>
              <w:left w:val="nil"/>
              <w:bottom w:val="single" w:sz="8" w:space="0" w:color="auto"/>
              <w:right w:val="single" w:sz="8" w:space="0" w:color="auto"/>
            </w:tcBorders>
            <w:vAlign w:val="center"/>
            <w:hideMark/>
          </w:tcPr>
          <w:p w14:paraId="4D917D68"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70</w:t>
            </w:r>
          </w:p>
        </w:tc>
        <w:tc>
          <w:tcPr>
            <w:tcW w:w="1074" w:type="dxa"/>
            <w:tcBorders>
              <w:top w:val="nil"/>
              <w:left w:val="nil"/>
              <w:bottom w:val="single" w:sz="8" w:space="0" w:color="auto"/>
              <w:right w:val="single" w:sz="8" w:space="0" w:color="auto"/>
            </w:tcBorders>
            <w:vAlign w:val="center"/>
            <w:hideMark/>
          </w:tcPr>
          <w:p w14:paraId="6184CF2D"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c>
          <w:tcPr>
            <w:tcW w:w="985" w:type="dxa"/>
            <w:tcBorders>
              <w:top w:val="nil"/>
              <w:left w:val="nil"/>
              <w:bottom w:val="single" w:sz="8" w:space="0" w:color="auto"/>
              <w:right w:val="single" w:sz="8" w:space="0" w:color="auto"/>
            </w:tcBorders>
            <w:vAlign w:val="center"/>
            <w:hideMark/>
          </w:tcPr>
          <w:p w14:paraId="3F0CEDBB"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w:t>
            </w:r>
          </w:p>
        </w:tc>
        <w:tc>
          <w:tcPr>
            <w:tcW w:w="818" w:type="dxa"/>
            <w:tcBorders>
              <w:top w:val="nil"/>
              <w:left w:val="nil"/>
              <w:bottom w:val="single" w:sz="8" w:space="0" w:color="auto"/>
              <w:right w:val="single" w:sz="8" w:space="0" w:color="auto"/>
            </w:tcBorders>
            <w:vAlign w:val="center"/>
            <w:hideMark/>
          </w:tcPr>
          <w:p w14:paraId="6E08E67D"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 </w:t>
            </w:r>
          </w:p>
        </w:tc>
        <w:tc>
          <w:tcPr>
            <w:tcW w:w="985" w:type="dxa"/>
            <w:tcBorders>
              <w:top w:val="nil"/>
              <w:left w:val="nil"/>
              <w:bottom w:val="single" w:sz="8" w:space="0" w:color="auto"/>
              <w:right w:val="single" w:sz="8" w:space="0" w:color="auto"/>
            </w:tcBorders>
            <w:vAlign w:val="center"/>
            <w:hideMark/>
          </w:tcPr>
          <w:p w14:paraId="667F3528"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3</w:t>
            </w:r>
          </w:p>
        </w:tc>
        <w:tc>
          <w:tcPr>
            <w:tcW w:w="950" w:type="dxa"/>
            <w:tcBorders>
              <w:top w:val="nil"/>
              <w:left w:val="nil"/>
              <w:bottom w:val="single" w:sz="8" w:space="0" w:color="auto"/>
              <w:right w:val="single" w:sz="8" w:space="0" w:color="auto"/>
            </w:tcBorders>
            <w:vAlign w:val="center"/>
            <w:hideMark/>
          </w:tcPr>
          <w:p w14:paraId="3927212A"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r>
      <w:tr w:rsidR="00081708" w:rsidRPr="008D2838" w14:paraId="50259D04"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28BEA018"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3410878B"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TOTAL </w:t>
            </w:r>
          </w:p>
        </w:tc>
        <w:tc>
          <w:tcPr>
            <w:tcW w:w="985" w:type="dxa"/>
            <w:tcBorders>
              <w:top w:val="nil"/>
              <w:left w:val="nil"/>
              <w:bottom w:val="single" w:sz="8" w:space="0" w:color="auto"/>
              <w:right w:val="single" w:sz="8" w:space="0" w:color="auto"/>
            </w:tcBorders>
            <w:vAlign w:val="center"/>
            <w:hideMark/>
          </w:tcPr>
          <w:p w14:paraId="792CBCA1"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109.928</w:t>
            </w:r>
          </w:p>
        </w:tc>
        <w:tc>
          <w:tcPr>
            <w:tcW w:w="838" w:type="dxa"/>
            <w:tcBorders>
              <w:top w:val="nil"/>
              <w:left w:val="nil"/>
              <w:bottom w:val="single" w:sz="8" w:space="0" w:color="auto"/>
              <w:right w:val="single" w:sz="8" w:space="0" w:color="auto"/>
            </w:tcBorders>
            <w:vAlign w:val="center"/>
            <w:hideMark/>
          </w:tcPr>
          <w:p w14:paraId="444D6439"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108.047</w:t>
            </w:r>
          </w:p>
        </w:tc>
        <w:tc>
          <w:tcPr>
            <w:tcW w:w="985" w:type="dxa"/>
            <w:tcBorders>
              <w:top w:val="nil"/>
              <w:left w:val="nil"/>
              <w:bottom w:val="single" w:sz="8" w:space="0" w:color="auto"/>
              <w:right w:val="single" w:sz="8" w:space="0" w:color="auto"/>
            </w:tcBorders>
            <w:vAlign w:val="center"/>
            <w:hideMark/>
          </w:tcPr>
          <w:p w14:paraId="680AC2BC"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1.882</w:t>
            </w:r>
          </w:p>
        </w:tc>
        <w:tc>
          <w:tcPr>
            <w:tcW w:w="1074" w:type="dxa"/>
            <w:tcBorders>
              <w:top w:val="nil"/>
              <w:left w:val="nil"/>
              <w:bottom w:val="single" w:sz="8" w:space="0" w:color="auto"/>
              <w:right w:val="single" w:sz="8" w:space="0" w:color="auto"/>
            </w:tcBorders>
            <w:vAlign w:val="center"/>
            <w:hideMark/>
          </w:tcPr>
          <w:p w14:paraId="7FDD92F0"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1.695</w:t>
            </w:r>
          </w:p>
        </w:tc>
        <w:tc>
          <w:tcPr>
            <w:tcW w:w="985" w:type="dxa"/>
            <w:tcBorders>
              <w:top w:val="nil"/>
              <w:left w:val="nil"/>
              <w:bottom w:val="single" w:sz="8" w:space="0" w:color="auto"/>
              <w:right w:val="single" w:sz="8" w:space="0" w:color="auto"/>
            </w:tcBorders>
            <w:vAlign w:val="center"/>
            <w:hideMark/>
          </w:tcPr>
          <w:p w14:paraId="725B0FEC"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6.671</w:t>
            </w:r>
          </w:p>
        </w:tc>
        <w:tc>
          <w:tcPr>
            <w:tcW w:w="818" w:type="dxa"/>
            <w:tcBorders>
              <w:top w:val="nil"/>
              <w:left w:val="nil"/>
              <w:bottom w:val="single" w:sz="8" w:space="0" w:color="auto"/>
              <w:right w:val="single" w:sz="8" w:space="0" w:color="auto"/>
            </w:tcBorders>
            <w:vAlign w:val="center"/>
            <w:hideMark/>
          </w:tcPr>
          <w:p w14:paraId="2A7ED1FD"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5.844</w:t>
            </w:r>
          </w:p>
        </w:tc>
        <w:tc>
          <w:tcPr>
            <w:tcW w:w="985" w:type="dxa"/>
            <w:tcBorders>
              <w:top w:val="nil"/>
              <w:left w:val="nil"/>
              <w:bottom w:val="single" w:sz="8" w:space="0" w:color="auto"/>
              <w:right w:val="single" w:sz="8" w:space="0" w:color="auto"/>
            </w:tcBorders>
            <w:vAlign w:val="center"/>
            <w:hideMark/>
          </w:tcPr>
          <w:p w14:paraId="5E4A971F"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828</w:t>
            </w:r>
          </w:p>
        </w:tc>
        <w:tc>
          <w:tcPr>
            <w:tcW w:w="950" w:type="dxa"/>
            <w:tcBorders>
              <w:top w:val="nil"/>
              <w:left w:val="nil"/>
              <w:bottom w:val="single" w:sz="8" w:space="0" w:color="auto"/>
              <w:right w:val="single" w:sz="8" w:space="0" w:color="auto"/>
            </w:tcBorders>
            <w:vAlign w:val="center"/>
            <w:hideMark/>
          </w:tcPr>
          <w:p w14:paraId="6E9473A6"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892</w:t>
            </w:r>
          </w:p>
        </w:tc>
      </w:tr>
      <w:tr w:rsidR="00081708" w:rsidRPr="008D2838" w14:paraId="024BC0D4" w14:textId="77777777" w:rsidTr="00081708">
        <w:trPr>
          <w:trHeight w:val="20"/>
        </w:trPr>
        <w:tc>
          <w:tcPr>
            <w:tcW w:w="0" w:type="auto"/>
            <w:vMerge/>
            <w:tcBorders>
              <w:top w:val="nil"/>
              <w:left w:val="single" w:sz="8" w:space="0" w:color="auto"/>
              <w:bottom w:val="single" w:sz="8" w:space="0" w:color="000000"/>
              <w:right w:val="single" w:sz="8" w:space="0" w:color="auto"/>
            </w:tcBorders>
            <w:vAlign w:val="center"/>
            <w:hideMark/>
          </w:tcPr>
          <w:p w14:paraId="4E058A14" w14:textId="77777777" w:rsidR="00081708" w:rsidRPr="008D2838" w:rsidRDefault="00081708" w:rsidP="00081708">
            <w:pPr>
              <w:rPr>
                <w:rFonts w:ascii="Arial" w:eastAsia="Times New Roman" w:hAnsi="Arial" w:cs="Arial"/>
                <w:b/>
                <w:bCs/>
                <w:color w:val="000000"/>
                <w:sz w:val="16"/>
                <w:szCs w:val="16"/>
                <w:lang w:val="es-CO" w:eastAsia="es-CO"/>
              </w:rPr>
            </w:pPr>
          </w:p>
        </w:tc>
        <w:tc>
          <w:tcPr>
            <w:tcW w:w="3137" w:type="dxa"/>
            <w:gridSpan w:val="3"/>
            <w:tcBorders>
              <w:top w:val="single" w:sz="8" w:space="0" w:color="auto"/>
              <w:left w:val="nil"/>
              <w:bottom w:val="single" w:sz="8" w:space="0" w:color="auto"/>
              <w:right w:val="single" w:sz="8" w:space="0" w:color="000000"/>
            </w:tcBorders>
            <w:shd w:val="clear" w:color="auto" w:fill="95B3D7"/>
            <w:vAlign w:val="center"/>
            <w:hideMark/>
          </w:tcPr>
          <w:p w14:paraId="458F031F" w14:textId="77777777" w:rsidR="00081708" w:rsidRPr="008D2838" w:rsidRDefault="00081708" w:rsidP="00081708">
            <w:pPr>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xml:space="preserve"> TESORERÍA VS EJECUCIÓN PRESUPUESTAL</w:t>
            </w:r>
          </w:p>
        </w:tc>
        <w:tc>
          <w:tcPr>
            <w:tcW w:w="2059" w:type="dxa"/>
            <w:gridSpan w:val="2"/>
            <w:tcBorders>
              <w:top w:val="single" w:sz="8" w:space="0" w:color="auto"/>
              <w:left w:val="nil"/>
              <w:bottom w:val="single" w:sz="8" w:space="0" w:color="auto"/>
              <w:right w:val="single" w:sz="8" w:space="0" w:color="000000"/>
            </w:tcBorders>
            <w:shd w:val="clear" w:color="auto" w:fill="95B3D7"/>
            <w:vAlign w:val="center"/>
            <w:hideMark/>
          </w:tcPr>
          <w:p w14:paraId="1A779EA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-186</w:t>
            </w:r>
          </w:p>
        </w:tc>
        <w:tc>
          <w:tcPr>
            <w:tcW w:w="3738" w:type="dxa"/>
            <w:gridSpan w:val="4"/>
            <w:tcBorders>
              <w:top w:val="single" w:sz="8" w:space="0" w:color="auto"/>
              <w:left w:val="nil"/>
              <w:bottom w:val="single" w:sz="8" w:space="0" w:color="auto"/>
              <w:right w:val="single" w:sz="8" w:space="0" w:color="000000"/>
            </w:tcBorders>
            <w:shd w:val="clear" w:color="auto" w:fill="95B3D7"/>
            <w:vAlign w:val="center"/>
            <w:hideMark/>
          </w:tcPr>
          <w:p w14:paraId="7A0DE65F"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65</w:t>
            </w:r>
          </w:p>
        </w:tc>
      </w:tr>
      <w:tr w:rsidR="00081708" w:rsidRPr="008D2838" w14:paraId="54E446EC" w14:textId="77777777" w:rsidTr="00E32F8D">
        <w:trPr>
          <w:trHeight w:val="20"/>
        </w:trPr>
        <w:tc>
          <w:tcPr>
            <w:tcW w:w="848" w:type="dxa"/>
            <w:vMerge w:val="restart"/>
            <w:tcBorders>
              <w:top w:val="nil"/>
              <w:left w:val="single" w:sz="8" w:space="0" w:color="auto"/>
              <w:bottom w:val="single" w:sz="8" w:space="0" w:color="000000"/>
              <w:right w:val="single" w:sz="8" w:space="0" w:color="auto"/>
            </w:tcBorders>
            <w:vAlign w:val="center"/>
            <w:hideMark/>
          </w:tcPr>
          <w:p w14:paraId="2F31314D"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2021</w:t>
            </w:r>
          </w:p>
        </w:tc>
        <w:tc>
          <w:tcPr>
            <w:tcW w:w="1314" w:type="dxa"/>
            <w:tcBorders>
              <w:top w:val="nil"/>
              <w:left w:val="nil"/>
              <w:bottom w:val="single" w:sz="8" w:space="0" w:color="auto"/>
              <w:right w:val="single" w:sz="8" w:space="0" w:color="auto"/>
            </w:tcBorders>
            <w:shd w:val="clear" w:color="auto" w:fill="95B3D7"/>
            <w:vAlign w:val="center"/>
            <w:hideMark/>
          </w:tcPr>
          <w:p w14:paraId="0D3D17DE"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CORRIENTE </w:t>
            </w:r>
          </w:p>
        </w:tc>
        <w:tc>
          <w:tcPr>
            <w:tcW w:w="985" w:type="dxa"/>
            <w:tcBorders>
              <w:top w:val="nil"/>
              <w:left w:val="nil"/>
              <w:bottom w:val="single" w:sz="8" w:space="0" w:color="auto"/>
              <w:right w:val="single" w:sz="8" w:space="0" w:color="auto"/>
            </w:tcBorders>
            <w:vAlign w:val="center"/>
            <w:hideMark/>
          </w:tcPr>
          <w:p w14:paraId="7BC94F4D"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114.707</w:t>
            </w:r>
          </w:p>
        </w:tc>
        <w:tc>
          <w:tcPr>
            <w:tcW w:w="838" w:type="dxa"/>
            <w:tcBorders>
              <w:top w:val="nil"/>
              <w:left w:val="nil"/>
              <w:bottom w:val="single" w:sz="8" w:space="0" w:color="auto"/>
              <w:right w:val="single" w:sz="8" w:space="0" w:color="auto"/>
            </w:tcBorders>
            <w:vAlign w:val="center"/>
            <w:hideMark/>
          </w:tcPr>
          <w:p w14:paraId="74F42AE4"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114.961</w:t>
            </w:r>
          </w:p>
        </w:tc>
        <w:tc>
          <w:tcPr>
            <w:tcW w:w="985" w:type="dxa"/>
            <w:tcBorders>
              <w:top w:val="nil"/>
              <w:left w:val="nil"/>
              <w:bottom w:val="single" w:sz="8" w:space="0" w:color="auto"/>
              <w:right w:val="single" w:sz="8" w:space="0" w:color="auto"/>
            </w:tcBorders>
            <w:vAlign w:val="center"/>
            <w:hideMark/>
          </w:tcPr>
          <w:p w14:paraId="561E58A6"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c>
          <w:tcPr>
            <w:tcW w:w="1074" w:type="dxa"/>
            <w:tcBorders>
              <w:top w:val="nil"/>
              <w:left w:val="nil"/>
              <w:bottom w:val="single" w:sz="8" w:space="0" w:color="auto"/>
              <w:right w:val="single" w:sz="8" w:space="0" w:color="auto"/>
            </w:tcBorders>
            <w:vAlign w:val="center"/>
            <w:hideMark/>
          </w:tcPr>
          <w:p w14:paraId="653BC0D4"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c>
          <w:tcPr>
            <w:tcW w:w="985" w:type="dxa"/>
            <w:tcBorders>
              <w:top w:val="nil"/>
              <w:left w:val="nil"/>
              <w:bottom w:val="single" w:sz="8" w:space="0" w:color="auto"/>
              <w:right w:val="single" w:sz="8" w:space="0" w:color="auto"/>
            </w:tcBorders>
            <w:vAlign w:val="center"/>
            <w:hideMark/>
          </w:tcPr>
          <w:p w14:paraId="40616DC4"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6.388</w:t>
            </w:r>
          </w:p>
        </w:tc>
        <w:tc>
          <w:tcPr>
            <w:tcW w:w="818" w:type="dxa"/>
            <w:tcBorders>
              <w:top w:val="nil"/>
              <w:left w:val="nil"/>
              <w:bottom w:val="single" w:sz="8" w:space="0" w:color="auto"/>
              <w:right w:val="single" w:sz="8" w:space="0" w:color="auto"/>
            </w:tcBorders>
            <w:vAlign w:val="center"/>
            <w:hideMark/>
          </w:tcPr>
          <w:p w14:paraId="74BCCF7E"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6.695</w:t>
            </w:r>
          </w:p>
        </w:tc>
        <w:tc>
          <w:tcPr>
            <w:tcW w:w="985" w:type="dxa"/>
            <w:tcBorders>
              <w:top w:val="nil"/>
              <w:left w:val="nil"/>
              <w:bottom w:val="single" w:sz="8" w:space="0" w:color="auto"/>
              <w:right w:val="single" w:sz="8" w:space="0" w:color="auto"/>
            </w:tcBorders>
            <w:vAlign w:val="center"/>
            <w:hideMark/>
          </w:tcPr>
          <w:p w14:paraId="0A71061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590</w:t>
            </w:r>
          </w:p>
        </w:tc>
        <w:tc>
          <w:tcPr>
            <w:tcW w:w="950" w:type="dxa"/>
            <w:tcBorders>
              <w:top w:val="nil"/>
              <w:left w:val="nil"/>
              <w:bottom w:val="single" w:sz="8" w:space="0" w:color="auto"/>
              <w:right w:val="single" w:sz="8" w:space="0" w:color="auto"/>
            </w:tcBorders>
            <w:vAlign w:val="center"/>
            <w:hideMark/>
          </w:tcPr>
          <w:p w14:paraId="2D02863B"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590</w:t>
            </w:r>
          </w:p>
        </w:tc>
      </w:tr>
      <w:tr w:rsidR="00081708" w:rsidRPr="008D2838" w14:paraId="21DF34A4"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54819C22"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D9D9D9"/>
            <w:vAlign w:val="center"/>
            <w:hideMark/>
          </w:tcPr>
          <w:p w14:paraId="0B4F9A5F"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 xml:space="preserve"> SSF/Gratuidad </w:t>
            </w:r>
          </w:p>
        </w:tc>
        <w:tc>
          <w:tcPr>
            <w:tcW w:w="985" w:type="dxa"/>
            <w:tcBorders>
              <w:top w:val="nil"/>
              <w:left w:val="nil"/>
              <w:bottom w:val="single" w:sz="8" w:space="0" w:color="auto"/>
              <w:right w:val="single" w:sz="8" w:space="0" w:color="auto"/>
            </w:tcBorders>
            <w:vAlign w:val="center"/>
            <w:hideMark/>
          </w:tcPr>
          <w:p w14:paraId="07E1F61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19.217</w:t>
            </w:r>
          </w:p>
        </w:tc>
        <w:tc>
          <w:tcPr>
            <w:tcW w:w="838" w:type="dxa"/>
            <w:tcBorders>
              <w:top w:val="nil"/>
              <w:left w:val="nil"/>
              <w:bottom w:val="single" w:sz="8" w:space="0" w:color="auto"/>
              <w:right w:val="single" w:sz="8" w:space="0" w:color="auto"/>
            </w:tcBorders>
            <w:vAlign w:val="center"/>
            <w:hideMark/>
          </w:tcPr>
          <w:p w14:paraId="02A9D5ED"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19.388</w:t>
            </w:r>
          </w:p>
        </w:tc>
        <w:tc>
          <w:tcPr>
            <w:tcW w:w="985" w:type="dxa"/>
            <w:tcBorders>
              <w:top w:val="nil"/>
              <w:left w:val="nil"/>
              <w:bottom w:val="single" w:sz="8" w:space="0" w:color="auto"/>
              <w:right w:val="single" w:sz="8" w:space="0" w:color="auto"/>
            </w:tcBorders>
            <w:vAlign w:val="center"/>
            <w:hideMark/>
          </w:tcPr>
          <w:p w14:paraId="4880A037"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-172</w:t>
            </w:r>
          </w:p>
        </w:tc>
        <w:tc>
          <w:tcPr>
            <w:tcW w:w="1074" w:type="dxa"/>
            <w:tcBorders>
              <w:top w:val="nil"/>
              <w:left w:val="nil"/>
              <w:bottom w:val="single" w:sz="8" w:space="0" w:color="auto"/>
              <w:right w:val="single" w:sz="8" w:space="0" w:color="auto"/>
            </w:tcBorders>
            <w:vAlign w:val="center"/>
            <w:hideMark/>
          </w:tcPr>
          <w:p w14:paraId="098F43E4"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No aplica</w:t>
            </w:r>
          </w:p>
        </w:tc>
        <w:tc>
          <w:tcPr>
            <w:tcW w:w="985" w:type="dxa"/>
            <w:tcBorders>
              <w:top w:val="nil"/>
              <w:left w:val="nil"/>
              <w:bottom w:val="single" w:sz="8" w:space="0" w:color="auto"/>
              <w:right w:val="single" w:sz="8" w:space="0" w:color="auto"/>
            </w:tcBorders>
            <w:noWrap/>
            <w:vAlign w:val="center"/>
            <w:hideMark/>
          </w:tcPr>
          <w:p w14:paraId="582C2724"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2.879</w:t>
            </w:r>
          </w:p>
        </w:tc>
        <w:tc>
          <w:tcPr>
            <w:tcW w:w="818" w:type="dxa"/>
            <w:tcBorders>
              <w:top w:val="nil"/>
              <w:left w:val="nil"/>
              <w:bottom w:val="single" w:sz="8" w:space="0" w:color="auto"/>
              <w:right w:val="single" w:sz="8" w:space="0" w:color="auto"/>
            </w:tcBorders>
            <w:vAlign w:val="center"/>
            <w:hideMark/>
          </w:tcPr>
          <w:p w14:paraId="30E67B74"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2.879</w:t>
            </w:r>
          </w:p>
        </w:tc>
        <w:tc>
          <w:tcPr>
            <w:tcW w:w="985" w:type="dxa"/>
            <w:tcBorders>
              <w:top w:val="nil"/>
              <w:left w:val="nil"/>
              <w:bottom w:val="single" w:sz="8" w:space="0" w:color="auto"/>
              <w:right w:val="single" w:sz="8" w:space="0" w:color="auto"/>
            </w:tcBorders>
            <w:vAlign w:val="center"/>
            <w:hideMark/>
          </w:tcPr>
          <w:p w14:paraId="151ACFC9"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950" w:type="dxa"/>
            <w:tcBorders>
              <w:top w:val="nil"/>
              <w:left w:val="nil"/>
              <w:bottom w:val="single" w:sz="8" w:space="0" w:color="auto"/>
              <w:right w:val="single" w:sz="8" w:space="0" w:color="auto"/>
            </w:tcBorders>
            <w:vAlign w:val="center"/>
            <w:hideMark/>
          </w:tcPr>
          <w:p w14:paraId="40A1FFCD"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No aplica</w:t>
            </w:r>
          </w:p>
        </w:tc>
      </w:tr>
      <w:tr w:rsidR="00E32F8D" w:rsidRPr="008D2838" w14:paraId="29A92C92"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0AF330E7"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D9D9D9"/>
            <w:vAlign w:val="center"/>
            <w:hideMark/>
          </w:tcPr>
          <w:p w14:paraId="2EA7BFAC"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 xml:space="preserve"> CSF/Matrícula </w:t>
            </w:r>
          </w:p>
        </w:tc>
        <w:tc>
          <w:tcPr>
            <w:tcW w:w="985" w:type="dxa"/>
            <w:tcBorders>
              <w:top w:val="nil"/>
              <w:left w:val="nil"/>
              <w:bottom w:val="single" w:sz="8" w:space="0" w:color="auto"/>
              <w:right w:val="single" w:sz="8" w:space="0" w:color="auto"/>
            </w:tcBorders>
            <w:vAlign w:val="center"/>
            <w:hideMark/>
          </w:tcPr>
          <w:p w14:paraId="7470F456"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95.490</w:t>
            </w:r>
          </w:p>
        </w:tc>
        <w:tc>
          <w:tcPr>
            <w:tcW w:w="838" w:type="dxa"/>
            <w:vMerge w:val="restart"/>
            <w:tcBorders>
              <w:top w:val="nil"/>
              <w:left w:val="single" w:sz="8" w:space="0" w:color="auto"/>
              <w:bottom w:val="single" w:sz="8" w:space="0" w:color="000000"/>
              <w:right w:val="single" w:sz="8" w:space="0" w:color="auto"/>
            </w:tcBorders>
            <w:vAlign w:val="center"/>
            <w:hideMark/>
          </w:tcPr>
          <w:p w14:paraId="2C5A72B1"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95.573</w:t>
            </w:r>
          </w:p>
        </w:tc>
        <w:tc>
          <w:tcPr>
            <w:tcW w:w="985" w:type="dxa"/>
            <w:vMerge w:val="restart"/>
            <w:tcBorders>
              <w:top w:val="nil"/>
              <w:left w:val="single" w:sz="8" w:space="0" w:color="auto"/>
              <w:bottom w:val="single" w:sz="8" w:space="0" w:color="000000"/>
              <w:right w:val="single" w:sz="8" w:space="0" w:color="auto"/>
            </w:tcBorders>
            <w:vAlign w:val="center"/>
            <w:hideMark/>
          </w:tcPr>
          <w:p w14:paraId="24EEB61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2.207</w:t>
            </w:r>
          </w:p>
        </w:tc>
        <w:tc>
          <w:tcPr>
            <w:tcW w:w="1074" w:type="dxa"/>
            <w:vMerge w:val="restart"/>
            <w:tcBorders>
              <w:top w:val="nil"/>
              <w:left w:val="single" w:sz="8" w:space="0" w:color="auto"/>
              <w:bottom w:val="single" w:sz="8" w:space="0" w:color="000000"/>
              <w:right w:val="single" w:sz="8" w:space="0" w:color="auto"/>
            </w:tcBorders>
            <w:vAlign w:val="center"/>
            <w:hideMark/>
          </w:tcPr>
          <w:p w14:paraId="74CB3B68"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1.833</w:t>
            </w:r>
          </w:p>
        </w:tc>
        <w:tc>
          <w:tcPr>
            <w:tcW w:w="985" w:type="dxa"/>
            <w:tcBorders>
              <w:top w:val="nil"/>
              <w:left w:val="nil"/>
              <w:bottom w:val="single" w:sz="8" w:space="0" w:color="auto"/>
              <w:right w:val="single" w:sz="8" w:space="0" w:color="auto"/>
            </w:tcBorders>
            <w:noWrap/>
            <w:vAlign w:val="center"/>
            <w:hideMark/>
          </w:tcPr>
          <w:p w14:paraId="33B2FC71"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3.509</w:t>
            </w:r>
          </w:p>
        </w:tc>
        <w:tc>
          <w:tcPr>
            <w:tcW w:w="818" w:type="dxa"/>
            <w:vMerge w:val="restart"/>
            <w:tcBorders>
              <w:top w:val="nil"/>
              <w:left w:val="single" w:sz="8" w:space="0" w:color="auto"/>
              <w:bottom w:val="single" w:sz="8" w:space="0" w:color="000000"/>
              <w:right w:val="single" w:sz="8" w:space="0" w:color="auto"/>
            </w:tcBorders>
            <w:vAlign w:val="center"/>
            <w:hideMark/>
          </w:tcPr>
          <w:p w14:paraId="748B5809"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3.816</w:t>
            </w:r>
          </w:p>
        </w:tc>
        <w:tc>
          <w:tcPr>
            <w:tcW w:w="985" w:type="dxa"/>
            <w:vMerge w:val="restart"/>
            <w:tcBorders>
              <w:top w:val="nil"/>
              <w:left w:val="single" w:sz="8" w:space="0" w:color="auto"/>
              <w:bottom w:val="single" w:sz="8" w:space="0" w:color="000000"/>
              <w:right w:val="single" w:sz="8" w:space="0" w:color="auto"/>
            </w:tcBorders>
            <w:vAlign w:val="center"/>
            <w:hideMark/>
          </w:tcPr>
          <w:p w14:paraId="20BD3B1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590</w:t>
            </w:r>
          </w:p>
        </w:tc>
        <w:tc>
          <w:tcPr>
            <w:tcW w:w="950" w:type="dxa"/>
            <w:vMerge w:val="restart"/>
            <w:tcBorders>
              <w:top w:val="nil"/>
              <w:left w:val="single" w:sz="8" w:space="0" w:color="auto"/>
              <w:bottom w:val="single" w:sz="8" w:space="0" w:color="000000"/>
              <w:right w:val="single" w:sz="8" w:space="0" w:color="auto"/>
            </w:tcBorders>
            <w:vAlign w:val="center"/>
            <w:hideMark/>
          </w:tcPr>
          <w:p w14:paraId="168FE74D"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590</w:t>
            </w:r>
          </w:p>
        </w:tc>
      </w:tr>
      <w:tr w:rsidR="00E32F8D" w:rsidRPr="008D2838" w14:paraId="65F73D6B"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5A1FAE56"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0C6FF628"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BALANCE </w:t>
            </w:r>
          </w:p>
        </w:tc>
        <w:tc>
          <w:tcPr>
            <w:tcW w:w="985" w:type="dxa"/>
            <w:tcBorders>
              <w:top w:val="nil"/>
              <w:left w:val="nil"/>
              <w:bottom w:val="single" w:sz="8" w:space="0" w:color="auto"/>
              <w:right w:val="single" w:sz="8" w:space="0" w:color="auto"/>
            </w:tcBorders>
            <w:noWrap/>
            <w:vAlign w:val="center"/>
            <w:hideMark/>
          </w:tcPr>
          <w:p w14:paraId="3E43190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1.882</w:t>
            </w:r>
          </w:p>
        </w:tc>
        <w:tc>
          <w:tcPr>
            <w:tcW w:w="0" w:type="auto"/>
            <w:vMerge/>
            <w:tcBorders>
              <w:top w:val="nil"/>
              <w:left w:val="single" w:sz="8" w:space="0" w:color="auto"/>
              <w:bottom w:val="single" w:sz="8" w:space="0" w:color="000000"/>
              <w:right w:val="single" w:sz="8" w:space="0" w:color="auto"/>
            </w:tcBorders>
            <w:vAlign w:val="center"/>
            <w:hideMark/>
          </w:tcPr>
          <w:p w14:paraId="2F22DEE1" w14:textId="77777777" w:rsidR="00081708" w:rsidRPr="008D2838" w:rsidRDefault="00081708" w:rsidP="00081708">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7CD3B52" w14:textId="77777777" w:rsidR="00081708" w:rsidRPr="008D2838" w:rsidRDefault="00081708" w:rsidP="00081708">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769B3F9" w14:textId="77777777" w:rsidR="00081708" w:rsidRPr="008D2838" w:rsidRDefault="00081708" w:rsidP="00081708">
            <w:pPr>
              <w:rPr>
                <w:rFonts w:ascii="Arial" w:eastAsia="Times New Roman" w:hAnsi="Arial" w:cs="Arial"/>
                <w:color w:val="000000"/>
                <w:sz w:val="16"/>
                <w:szCs w:val="16"/>
                <w:lang w:val="es-CO" w:eastAsia="es-CO"/>
              </w:rPr>
            </w:pPr>
          </w:p>
        </w:tc>
        <w:tc>
          <w:tcPr>
            <w:tcW w:w="985" w:type="dxa"/>
            <w:tcBorders>
              <w:top w:val="nil"/>
              <w:left w:val="nil"/>
              <w:bottom w:val="single" w:sz="8" w:space="0" w:color="auto"/>
              <w:right w:val="single" w:sz="8" w:space="0" w:color="auto"/>
            </w:tcBorders>
            <w:vAlign w:val="center"/>
            <w:hideMark/>
          </w:tcPr>
          <w:p w14:paraId="3D2A229C" w14:textId="77777777" w:rsidR="00081708" w:rsidRPr="008D2838" w:rsidRDefault="00081708" w:rsidP="00081708">
            <w:pPr>
              <w:jc w:val="right"/>
              <w:rPr>
                <w:rFonts w:ascii="Arial" w:eastAsia="Times New Roman" w:hAnsi="Arial" w:cs="Arial"/>
                <w:color w:val="C00000"/>
                <w:sz w:val="16"/>
                <w:szCs w:val="16"/>
                <w:lang w:val="es-CO" w:eastAsia="es-CO"/>
              </w:rPr>
            </w:pPr>
            <w:r w:rsidRPr="008D2838">
              <w:rPr>
                <w:rFonts w:ascii="Arial" w:eastAsia="Times New Roman" w:hAnsi="Arial" w:cs="Arial"/>
                <w:color w:val="000000" w:themeColor="text1"/>
                <w:sz w:val="16"/>
                <w:szCs w:val="16"/>
                <w:lang w:val="es-CO" w:eastAsia="es-CO"/>
              </w:rPr>
              <w:t>892</w:t>
            </w:r>
          </w:p>
        </w:tc>
        <w:tc>
          <w:tcPr>
            <w:tcW w:w="0" w:type="auto"/>
            <w:vMerge/>
            <w:tcBorders>
              <w:top w:val="nil"/>
              <w:left w:val="single" w:sz="8" w:space="0" w:color="auto"/>
              <w:bottom w:val="single" w:sz="8" w:space="0" w:color="000000"/>
              <w:right w:val="single" w:sz="8" w:space="0" w:color="auto"/>
            </w:tcBorders>
            <w:vAlign w:val="center"/>
            <w:hideMark/>
          </w:tcPr>
          <w:p w14:paraId="147E9BA2" w14:textId="77777777" w:rsidR="00081708" w:rsidRPr="008D2838" w:rsidRDefault="00081708" w:rsidP="00081708">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8254AF9" w14:textId="77777777" w:rsidR="00081708" w:rsidRPr="008D2838" w:rsidRDefault="00081708" w:rsidP="00081708">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9BA2A58" w14:textId="77777777" w:rsidR="00081708" w:rsidRPr="008D2838" w:rsidRDefault="00081708" w:rsidP="00081708">
            <w:pPr>
              <w:rPr>
                <w:rFonts w:ascii="Arial" w:eastAsia="Times New Roman" w:hAnsi="Arial" w:cs="Arial"/>
                <w:color w:val="000000"/>
                <w:sz w:val="16"/>
                <w:szCs w:val="16"/>
                <w:lang w:val="es-CO" w:eastAsia="es-CO"/>
              </w:rPr>
            </w:pPr>
          </w:p>
        </w:tc>
      </w:tr>
      <w:tr w:rsidR="00E32F8D" w:rsidRPr="008D2838" w14:paraId="2BDD385B"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58FC2EB3"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5D987A64"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REINTEGROS </w:t>
            </w:r>
          </w:p>
        </w:tc>
        <w:tc>
          <w:tcPr>
            <w:tcW w:w="985" w:type="dxa"/>
            <w:tcBorders>
              <w:top w:val="nil"/>
              <w:left w:val="nil"/>
              <w:bottom w:val="single" w:sz="8" w:space="0" w:color="auto"/>
              <w:right w:val="single" w:sz="8" w:space="0" w:color="auto"/>
            </w:tcBorders>
            <w:vAlign w:val="center"/>
            <w:hideMark/>
          </w:tcPr>
          <w:p w14:paraId="3D9C47B6"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388</w:t>
            </w:r>
          </w:p>
        </w:tc>
        <w:tc>
          <w:tcPr>
            <w:tcW w:w="0" w:type="auto"/>
            <w:vMerge/>
            <w:tcBorders>
              <w:top w:val="nil"/>
              <w:left w:val="single" w:sz="8" w:space="0" w:color="auto"/>
              <w:bottom w:val="single" w:sz="8" w:space="0" w:color="000000"/>
              <w:right w:val="single" w:sz="8" w:space="0" w:color="auto"/>
            </w:tcBorders>
            <w:vAlign w:val="center"/>
            <w:hideMark/>
          </w:tcPr>
          <w:p w14:paraId="2F77F4D9" w14:textId="77777777" w:rsidR="00081708" w:rsidRPr="008D2838" w:rsidRDefault="00081708" w:rsidP="00081708">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7F8F99B" w14:textId="77777777" w:rsidR="00081708" w:rsidRPr="008D2838" w:rsidRDefault="00081708" w:rsidP="00081708">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158C81CF" w14:textId="77777777" w:rsidR="00081708" w:rsidRPr="008D2838" w:rsidRDefault="00081708" w:rsidP="00081708">
            <w:pPr>
              <w:rPr>
                <w:rFonts w:ascii="Arial" w:eastAsia="Times New Roman" w:hAnsi="Arial" w:cs="Arial"/>
                <w:color w:val="000000"/>
                <w:sz w:val="16"/>
                <w:szCs w:val="16"/>
                <w:lang w:val="es-CO" w:eastAsia="es-CO"/>
              </w:rPr>
            </w:pPr>
          </w:p>
        </w:tc>
        <w:tc>
          <w:tcPr>
            <w:tcW w:w="985" w:type="dxa"/>
            <w:tcBorders>
              <w:top w:val="nil"/>
              <w:left w:val="nil"/>
              <w:bottom w:val="single" w:sz="8" w:space="0" w:color="auto"/>
              <w:right w:val="single" w:sz="8" w:space="0" w:color="auto"/>
            </w:tcBorders>
            <w:vAlign w:val="center"/>
            <w:hideMark/>
          </w:tcPr>
          <w:p w14:paraId="4A5C9526"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0" w:type="auto"/>
            <w:vMerge/>
            <w:tcBorders>
              <w:top w:val="nil"/>
              <w:left w:val="single" w:sz="8" w:space="0" w:color="auto"/>
              <w:bottom w:val="single" w:sz="8" w:space="0" w:color="000000"/>
              <w:right w:val="single" w:sz="8" w:space="0" w:color="auto"/>
            </w:tcBorders>
            <w:vAlign w:val="center"/>
            <w:hideMark/>
          </w:tcPr>
          <w:p w14:paraId="5CD2C06C" w14:textId="77777777" w:rsidR="00081708" w:rsidRPr="008D2838" w:rsidRDefault="00081708" w:rsidP="00081708">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1C2CE579" w14:textId="77777777" w:rsidR="00081708" w:rsidRPr="008D2838" w:rsidRDefault="00081708" w:rsidP="00081708">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16C1E90" w14:textId="77777777" w:rsidR="00081708" w:rsidRPr="008D2838" w:rsidRDefault="00081708" w:rsidP="00081708">
            <w:pPr>
              <w:rPr>
                <w:rFonts w:ascii="Arial" w:eastAsia="Times New Roman" w:hAnsi="Arial" w:cs="Arial"/>
                <w:color w:val="000000"/>
                <w:sz w:val="16"/>
                <w:szCs w:val="16"/>
                <w:lang w:val="es-CO" w:eastAsia="es-CO"/>
              </w:rPr>
            </w:pPr>
          </w:p>
        </w:tc>
      </w:tr>
      <w:tr w:rsidR="00E32F8D" w:rsidRPr="008D2838" w14:paraId="1A95816F"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60C7BDD2"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69CA008F"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REN. FINANCROS</w:t>
            </w:r>
          </w:p>
        </w:tc>
        <w:tc>
          <w:tcPr>
            <w:tcW w:w="985" w:type="dxa"/>
            <w:tcBorders>
              <w:top w:val="nil"/>
              <w:left w:val="nil"/>
              <w:bottom w:val="single" w:sz="8" w:space="0" w:color="auto"/>
              <w:right w:val="single" w:sz="8" w:space="0" w:color="auto"/>
            </w:tcBorders>
            <w:vAlign w:val="center"/>
            <w:hideMark/>
          </w:tcPr>
          <w:p w14:paraId="0584594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19,8</w:t>
            </w:r>
          </w:p>
        </w:tc>
        <w:tc>
          <w:tcPr>
            <w:tcW w:w="0" w:type="auto"/>
            <w:vMerge/>
            <w:tcBorders>
              <w:top w:val="nil"/>
              <w:left w:val="single" w:sz="8" w:space="0" w:color="auto"/>
              <w:bottom w:val="single" w:sz="8" w:space="0" w:color="000000"/>
              <w:right w:val="single" w:sz="8" w:space="0" w:color="auto"/>
            </w:tcBorders>
            <w:vAlign w:val="center"/>
            <w:hideMark/>
          </w:tcPr>
          <w:p w14:paraId="4160A3EC" w14:textId="77777777" w:rsidR="00081708" w:rsidRPr="008D2838" w:rsidRDefault="00081708" w:rsidP="00081708">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37D6D00" w14:textId="77777777" w:rsidR="00081708" w:rsidRPr="008D2838" w:rsidRDefault="00081708" w:rsidP="00081708">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DCB71CA" w14:textId="77777777" w:rsidR="00081708" w:rsidRPr="008D2838" w:rsidRDefault="00081708" w:rsidP="00081708">
            <w:pPr>
              <w:rPr>
                <w:rFonts w:ascii="Arial" w:eastAsia="Times New Roman" w:hAnsi="Arial" w:cs="Arial"/>
                <w:color w:val="000000"/>
                <w:sz w:val="16"/>
                <w:szCs w:val="16"/>
                <w:lang w:val="es-CO" w:eastAsia="es-CO"/>
              </w:rPr>
            </w:pPr>
          </w:p>
        </w:tc>
        <w:tc>
          <w:tcPr>
            <w:tcW w:w="985" w:type="dxa"/>
            <w:tcBorders>
              <w:top w:val="nil"/>
              <w:left w:val="nil"/>
              <w:bottom w:val="single" w:sz="8" w:space="0" w:color="auto"/>
              <w:right w:val="single" w:sz="8" w:space="0" w:color="auto"/>
            </w:tcBorders>
            <w:vAlign w:val="center"/>
            <w:hideMark/>
          </w:tcPr>
          <w:p w14:paraId="30D9359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4,5</w:t>
            </w:r>
          </w:p>
        </w:tc>
        <w:tc>
          <w:tcPr>
            <w:tcW w:w="0" w:type="auto"/>
            <w:vMerge/>
            <w:tcBorders>
              <w:top w:val="nil"/>
              <w:left w:val="single" w:sz="8" w:space="0" w:color="auto"/>
              <w:bottom w:val="single" w:sz="8" w:space="0" w:color="000000"/>
              <w:right w:val="single" w:sz="8" w:space="0" w:color="auto"/>
            </w:tcBorders>
            <w:vAlign w:val="center"/>
            <w:hideMark/>
          </w:tcPr>
          <w:p w14:paraId="17E9A837" w14:textId="77777777" w:rsidR="00081708" w:rsidRPr="008D2838" w:rsidRDefault="00081708" w:rsidP="00081708">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9E70EF5" w14:textId="77777777" w:rsidR="00081708" w:rsidRPr="008D2838" w:rsidRDefault="00081708" w:rsidP="00081708">
            <w:pPr>
              <w:rPr>
                <w:rFonts w:ascii="Arial" w:eastAsia="Times New Roman" w:hAnsi="Arial" w:cs="Arial"/>
                <w:color w:val="000000"/>
                <w:sz w:val="16"/>
                <w:szCs w:val="16"/>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035CA0F" w14:textId="77777777" w:rsidR="00081708" w:rsidRPr="008D2838" w:rsidRDefault="00081708" w:rsidP="00081708">
            <w:pPr>
              <w:rPr>
                <w:rFonts w:ascii="Arial" w:eastAsia="Times New Roman" w:hAnsi="Arial" w:cs="Arial"/>
                <w:color w:val="000000"/>
                <w:sz w:val="16"/>
                <w:szCs w:val="16"/>
                <w:lang w:val="es-CO" w:eastAsia="es-CO"/>
              </w:rPr>
            </w:pPr>
          </w:p>
        </w:tc>
      </w:tr>
      <w:tr w:rsidR="00081708" w:rsidRPr="008D2838" w14:paraId="2450F4DD"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74934CF2"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51FBE702"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TOTAL </w:t>
            </w:r>
          </w:p>
        </w:tc>
        <w:tc>
          <w:tcPr>
            <w:tcW w:w="985" w:type="dxa"/>
            <w:tcBorders>
              <w:top w:val="nil"/>
              <w:left w:val="nil"/>
              <w:bottom w:val="single" w:sz="8" w:space="0" w:color="auto"/>
              <w:right w:val="single" w:sz="8" w:space="0" w:color="auto"/>
            </w:tcBorders>
            <w:vAlign w:val="center"/>
            <w:hideMark/>
          </w:tcPr>
          <w:p w14:paraId="47DA24BF"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116.997</w:t>
            </w:r>
          </w:p>
        </w:tc>
        <w:tc>
          <w:tcPr>
            <w:tcW w:w="838" w:type="dxa"/>
            <w:tcBorders>
              <w:top w:val="nil"/>
              <w:left w:val="nil"/>
              <w:bottom w:val="single" w:sz="8" w:space="0" w:color="auto"/>
              <w:right w:val="single" w:sz="8" w:space="0" w:color="auto"/>
            </w:tcBorders>
            <w:vAlign w:val="center"/>
            <w:hideMark/>
          </w:tcPr>
          <w:p w14:paraId="16C0983E"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114.961</w:t>
            </w:r>
          </w:p>
        </w:tc>
        <w:tc>
          <w:tcPr>
            <w:tcW w:w="985" w:type="dxa"/>
            <w:tcBorders>
              <w:top w:val="nil"/>
              <w:left w:val="nil"/>
              <w:bottom w:val="single" w:sz="8" w:space="0" w:color="auto"/>
              <w:right w:val="single" w:sz="8" w:space="0" w:color="auto"/>
            </w:tcBorders>
            <w:vAlign w:val="center"/>
            <w:hideMark/>
          </w:tcPr>
          <w:p w14:paraId="759D48BA"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2.207</w:t>
            </w:r>
          </w:p>
        </w:tc>
        <w:tc>
          <w:tcPr>
            <w:tcW w:w="1074" w:type="dxa"/>
            <w:tcBorders>
              <w:top w:val="nil"/>
              <w:left w:val="nil"/>
              <w:bottom w:val="single" w:sz="8" w:space="0" w:color="auto"/>
              <w:right w:val="single" w:sz="8" w:space="0" w:color="auto"/>
            </w:tcBorders>
            <w:vAlign w:val="center"/>
            <w:hideMark/>
          </w:tcPr>
          <w:p w14:paraId="2DFC0F58"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1.833</w:t>
            </w:r>
          </w:p>
        </w:tc>
        <w:tc>
          <w:tcPr>
            <w:tcW w:w="985" w:type="dxa"/>
            <w:tcBorders>
              <w:top w:val="nil"/>
              <w:left w:val="nil"/>
              <w:bottom w:val="single" w:sz="8" w:space="0" w:color="auto"/>
              <w:right w:val="single" w:sz="8" w:space="0" w:color="auto"/>
            </w:tcBorders>
            <w:vAlign w:val="center"/>
            <w:hideMark/>
          </w:tcPr>
          <w:p w14:paraId="39E55B8A"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7.285</w:t>
            </w:r>
          </w:p>
        </w:tc>
        <w:tc>
          <w:tcPr>
            <w:tcW w:w="818" w:type="dxa"/>
            <w:tcBorders>
              <w:top w:val="nil"/>
              <w:left w:val="nil"/>
              <w:bottom w:val="single" w:sz="8" w:space="0" w:color="auto"/>
              <w:right w:val="single" w:sz="8" w:space="0" w:color="auto"/>
            </w:tcBorders>
            <w:vAlign w:val="center"/>
            <w:hideMark/>
          </w:tcPr>
          <w:p w14:paraId="2EF59C4B"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6.695</w:t>
            </w:r>
          </w:p>
        </w:tc>
        <w:tc>
          <w:tcPr>
            <w:tcW w:w="985" w:type="dxa"/>
            <w:tcBorders>
              <w:top w:val="nil"/>
              <w:left w:val="nil"/>
              <w:bottom w:val="single" w:sz="8" w:space="0" w:color="auto"/>
              <w:right w:val="single" w:sz="8" w:space="0" w:color="auto"/>
            </w:tcBorders>
            <w:vAlign w:val="center"/>
            <w:hideMark/>
          </w:tcPr>
          <w:p w14:paraId="1F79B6F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590</w:t>
            </w:r>
          </w:p>
        </w:tc>
        <w:tc>
          <w:tcPr>
            <w:tcW w:w="950" w:type="dxa"/>
            <w:tcBorders>
              <w:top w:val="nil"/>
              <w:left w:val="nil"/>
              <w:bottom w:val="single" w:sz="8" w:space="0" w:color="auto"/>
              <w:right w:val="single" w:sz="8" w:space="0" w:color="auto"/>
            </w:tcBorders>
            <w:vAlign w:val="center"/>
            <w:hideMark/>
          </w:tcPr>
          <w:p w14:paraId="1B6C499E"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590</w:t>
            </w:r>
          </w:p>
        </w:tc>
      </w:tr>
      <w:tr w:rsidR="00081708" w:rsidRPr="008D2838" w14:paraId="13358AAC" w14:textId="77777777" w:rsidTr="00081708">
        <w:trPr>
          <w:trHeight w:val="20"/>
        </w:trPr>
        <w:tc>
          <w:tcPr>
            <w:tcW w:w="0" w:type="auto"/>
            <w:vMerge/>
            <w:tcBorders>
              <w:top w:val="nil"/>
              <w:left w:val="single" w:sz="8" w:space="0" w:color="auto"/>
              <w:bottom w:val="single" w:sz="8" w:space="0" w:color="000000"/>
              <w:right w:val="single" w:sz="8" w:space="0" w:color="auto"/>
            </w:tcBorders>
            <w:vAlign w:val="center"/>
            <w:hideMark/>
          </w:tcPr>
          <w:p w14:paraId="50CE7A2E" w14:textId="77777777" w:rsidR="00081708" w:rsidRPr="008D2838" w:rsidRDefault="00081708" w:rsidP="00081708">
            <w:pPr>
              <w:rPr>
                <w:rFonts w:ascii="Arial" w:eastAsia="Times New Roman" w:hAnsi="Arial" w:cs="Arial"/>
                <w:b/>
                <w:bCs/>
                <w:color w:val="000000"/>
                <w:sz w:val="16"/>
                <w:szCs w:val="16"/>
                <w:lang w:val="es-CO" w:eastAsia="es-CO"/>
              </w:rPr>
            </w:pPr>
          </w:p>
        </w:tc>
        <w:tc>
          <w:tcPr>
            <w:tcW w:w="3137" w:type="dxa"/>
            <w:gridSpan w:val="3"/>
            <w:tcBorders>
              <w:top w:val="single" w:sz="8" w:space="0" w:color="auto"/>
              <w:left w:val="nil"/>
              <w:bottom w:val="single" w:sz="8" w:space="0" w:color="auto"/>
              <w:right w:val="single" w:sz="8" w:space="0" w:color="000000"/>
            </w:tcBorders>
            <w:shd w:val="clear" w:color="auto" w:fill="95B3D7"/>
            <w:vAlign w:val="center"/>
            <w:hideMark/>
          </w:tcPr>
          <w:p w14:paraId="1C3223E2" w14:textId="77777777" w:rsidR="00081708" w:rsidRPr="008D2838" w:rsidRDefault="00081708" w:rsidP="00081708">
            <w:pPr>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xml:space="preserve"> TESORERÍA VS EJECUCIÓN PRESUPUESTAL (SALDO FALTANTE EN TESORERIA)</w:t>
            </w:r>
          </w:p>
        </w:tc>
        <w:tc>
          <w:tcPr>
            <w:tcW w:w="2059" w:type="dxa"/>
            <w:gridSpan w:val="2"/>
            <w:tcBorders>
              <w:top w:val="single" w:sz="8" w:space="0" w:color="auto"/>
              <w:left w:val="nil"/>
              <w:bottom w:val="single" w:sz="8" w:space="0" w:color="auto"/>
              <w:right w:val="single" w:sz="8" w:space="0" w:color="000000"/>
            </w:tcBorders>
            <w:shd w:val="clear" w:color="auto" w:fill="95B3D7"/>
            <w:vAlign w:val="center"/>
            <w:hideMark/>
          </w:tcPr>
          <w:p w14:paraId="4A97618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374</w:t>
            </w:r>
          </w:p>
        </w:tc>
        <w:tc>
          <w:tcPr>
            <w:tcW w:w="3738" w:type="dxa"/>
            <w:gridSpan w:val="4"/>
            <w:tcBorders>
              <w:top w:val="single" w:sz="8" w:space="0" w:color="auto"/>
              <w:left w:val="nil"/>
              <w:bottom w:val="single" w:sz="8" w:space="0" w:color="auto"/>
              <w:right w:val="single" w:sz="8" w:space="0" w:color="000000"/>
            </w:tcBorders>
            <w:shd w:val="clear" w:color="auto" w:fill="95B3D7"/>
            <w:vAlign w:val="center"/>
            <w:hideMark/>
          </w:tcPr>
          <w:p w14:paraId="2C855C6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r>
      <w:tr w:rsidR="00081708" w:rsidRPr="008D2838" w14:paraId="29669A73" w14:textId="77777777" w:rsidTr="00E32F8D">
        <w:trPr>
          <w:trHeight w:val="20"/>
        </w:trPr>
        <w:tc>
          <w:tcPr>
            <w:tcW w:w="848" w:type="dxa"/>
            <w:vMerge w:val="restart"/>
            <w:tcBorders>
              <w:top w:val="nil"/>
              <w:left w:val="single" w:sz="8" w:space="0" w:color="auto"/>
              <w:bottom w:val="single" w:sz="8" w:space="0" w:color="000000"/>
              <w:right w:val="single" w:sz="8" w:space="0" w:color="auto"/>
            </w:tcBorders>
            <w:vAlign w:val="center"/>
            <w:hideMark/>
          </w:tcPr>
          <w:p w14:paraId="08159A04"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2022</w:t>
            </w:r>
          </w:p>
        </w:tc>
        <w:tc>
          <w:tcPr>
            <w:tcW w:w="1314" w:type="dxa"/>
            <w:tcBorders>
              <w:top w:val="nil"/>
              <w:left w:val="nil"/>
              <w:bottom w:val="single" w:sz="8" w:space="0" w:color="auto"/>
              <w:right w:val="single" w:sz="8" w:space="0" w:color="auto"/>
            </w:tcBorders>
            <w:shd w:val="clear" w:color="auto" w:fill="95B3D7"/>
            <w:vAlign w:val="center"/>
            <w:hideMark/>
          </w:tcPr>
          <w:p w14:paraId="3FC24167"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CORRIENTE </w:t>
            </w:r>
          </w:p>
        </w:tc>
        <w:tc>
          <w:tcPr>
            <w:tcW w:w="985" w:type="dxa"/>
            <w:tcBorders>
              <w:top w:val="nil"/>
              <w:left w:val="nil"/>
              <w:bottom w:val="single" w:sz="8" w:space="0" w:color="auto"/>
              <w:right w:val="single" w:sz="8" w:space="0" w:color="auto"/>
            </w:tcBorders>
            <w:vAlign w:val="center"/>
            <w:hideMark/>
          </w:tcPr>
          <w:p w14:paraId="1A53DDDE"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117.331</w:t>
            </w:r>
          </w:p>
        </w:tc>
        <w:tc>
          <w:tcPr>
            <w:tcW w:w="838" w:type="dxa"/>
            <w:tcBorders>
              <w:top w:val="nil"/>
              <w:left w:val="nil"/>
              <w:bottom w:val="single" w:sz="8" w:space="0" w:color="auto"/>
              <w:right w:val="single" w:sz="8" w:space="0" w:color="auto"/>
            </w:tcBorders>
            <w:vAlign w:val="center"/>
            <w:hideMark/>
          </w:tcPr>
          <w:p w14:paraId="1E73522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117.331</w:t>
            </w:r>
          </w:p>
        </w:tc>
        <w:tc>
          <w:tcPr>
            <w:tcW w:w="985" w:type="dxa"/>
            <w:tcBorders>
              <w:top w:val="nil"/>
              <w:left w:val="nil"/>
              <w:bottom w:val="single" w:sz="8" w:space="0" w:color="auto"/>
              <w:right w:val="single" w:sz="8" w:space="0" w:color="auto"/>
            </w:tcBorders>
            <w:vAlign w:val="center"/>
            <w:hideMark/>
          </w:tcPr>
          <w:p w14:paraId="4922BCF1"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0</w:t>
            </w:r>
          </w:p>
        </w:tc>
        <w:tc>
          <w:tcPr>
            <w:tcW w:w="1074" w:type="dxa"/>
            <w:tcBorders>
              <w:top w:val="nil"/>
              <w:left w:val="nil"/>
              <w:bottom w:val="single" w:sz="8" w:space="0" w:color="auto"/>
              <w:right w:val="single" w:sz="8" w:space="0" w:color="auto"/>
            </w:tcBorders>
            <w:vAlign w:val="center"/>
            <w:hideMark/>
          </w:tcPr>
          <w:p w14:paraId="54B7342E"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1.149</w:t>
            </w:r>
          </w:p>
        </w:tc>
        <w:tc>
          <w:tcPr>
            <w:tcW w:w="985" w:type="dxa"/>
            <w:tcBorders>
              <w:top w:val="nil"/>
              <w:left w:val="nil"/>
              <w:bottom w:val="single" w:sz="8" w:space="0" w:color="auto"/>
              <w:right w:val="single" w:sz="8" w:space="0" w:color="auto"/>
            </w:tcBorders>
            <w:vAlign w:val="center"/>
            <w:hideMark/>
          </w:tcPr>
          <w:p w14:paraId="13599F4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6.319</w:t>
            </w:r>
          </w:p>
        </w:tc>
        <w:tc>
          <w:tcPr>
            <w:tcW w:w="818" w:type="dxa"/>
            <w:tcBorders>
              <w:top w:val="nil"/>
              <w:left w:val="nil"/>
              <w:bottom w:val="single" w:sz="8" w:space="0" w:color="auto"/>
              <w:right w:val="single" w:sz="8" w:space="0" w:color="auto"/>
            </w:tcBorders>
            <w:vAlign w:val="center"/>
            <w:hideMark/>
          </w:tcPr>
          <w:p w14:paraId="703F5295"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6.319</w:t>
            </w:r>
          </w:p>
        </w:tc>
        <w:tc>
          <w:tcPr>
            <w:tcW w:w="985" w:type="dxa"/>
            <w:tcBorders>
              <w:top w:val="nil"/>
              <w:left w:val="nil"/>
              <w:bottom w:val="single" w:sz="8" w:space="0" w:color="auto"/>
              <w:right w:val="single" w:sz="8" w:space="0" w:color="auto"/>
            </w:tcBorders>
            <w:vAlign w:val="center"/>
            <w:hideMark/>
          </w:tcPr>
          <w:p w14:paraId="48501364"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0</w:t>
            </w:r>
          </w:p>
        </w:tc>
        <w:tc>
          <w:tcPr>
            <w:tcW w:w="950" w:type="dxa"/>
            <w:tcBorders>
              <w:top w:val="nil"/>
              <w:left w:val="nil"/>
              <w:bottom w:val="single" w:sz="8" w:space="0" w:color="auto"/>
              <w:right w:val="single" w:sz="8" w:space="0" w:color="auto"/>
            </w:tcBorders>
            <w:vAlign w:val="center"/>
            <w:hideMark/>
          </w:tcPr>
          <w:p w14:paraId="4304C78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w:t>
            </w:r>
          </w:p>
        </w:tc>
      </w:tr>
      <w:tr w:rsidR="00081708" w:rsidRPr="008D2838" w14:paraId="195A44C1"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603FE78C"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D9D9D9"/>
            <w:vAlign w:val="center"/>
            <w:hideMark/>
          </w:tcPr>
          <w:p w14:paraId="0EA2C16D"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 xml:space="preserve"> SSF/Gratuidad </w:t>
            </w:r>
          </w:p>
        </w:tc>
        <w:tc>
          <w:tcPr>
            <w:tcW w:w="985" w:type="dxa"/>
            <w:tcBorders>
              <w:top w:val="nil"/>
              <w:left w:val="nil"/>
              <w:bottom w:val="single" w:sz="8" w:space="0" w:color="auto"/>
              <w:right w:val="single" w:sz="8" w:space="0" w:color="auto"/>
            </w:tcBorders>
            <w:vAlign w:val="center"/>
            <w:hideMark/>
          </w:tcPr>
          <w:p w14:paraId="14E324BA"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12.762</w:t>
            </w:r>
          </w:p>
        </w:tc>
        <w:tc>
          <w:tcPr>
            <w:tcW w:w="838" w:type="dxa"/>
            <w:tcBorders>
              <w:top w:val="nil"/>
              <w:left w:val="nil"/>
              <w:bottom w:val="single" w:sz="8" w:space="0" w:color="auto"/>
              <w:right w:val="single" w:sz="8" w:space="0" w:color="auto"/>
            </w:tcBorders>
            <w:vAlign w:val="center"/>
            <w:hideMark/>
          </w:tcPr>
          <w:p w14:paraId="6904BAE6"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12.762</w:t>
            </w:r>
          </w:p>
        </w:tc>
        <w:tc>
          <w:tcPr>
            <w:tcW w:w="985" w:type="dxa"/>
            <w:tcBorders>
              <w:top w:val="nil"/>
              <w:left w:val="nil"/>
              <w:bottom w:val="single" w:sz="8" w:space="0" w:color="auto"/>
              <w:right w:val="single" w:sz="8" w:space="0" w:color="auto"/>
            </w:tcBorders>
            <w:vAlign w:val="center"/>
            <w:hideMark/>
          </w:tcPr>
          <w:p w14:paraId="758306C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1074" w:type="dxa"/>
            <w:tcBorders>
              <w:top w:val="nil"/>
              <w:left w:val="nil"/>
              <w:bottom w:val="single" w:sz="8" w:space="0" w:color="auto"/>
              <w:right w:val="single" w:sz="8" w:space="0" w:color="auto"/>
            </w:tcBorders>
            <w:vAlign w:val="center"/>
            <w:hideMark/>
          </w:tcPr>
          <w:p w14:paraId="3EA72E52"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No aplica</w:t>
            </w:r>
          </w:p>
        </w:tc>
        <w:tc>
          <w:tcPr>
            <w:tcW w:w="985" w:type="dxa"/>
            <w:tcBorders>
              <w:top w:val="nil"/>
              <w:left w:val="nil"/>
              <w:bottom w:val="single" w:sz="8" w:space="0" w:color="auto"/>
              <w:right w:val="single" w:sz="8" w:space="0" w:color="auto"/>
            </w:tcBorders>
            <w:noWrap/>
            <w:vAlign w:val="center"/>
            <w:hideMark/>
          </w:tcPr>
          <w:p w14:paraId="2EA8E4B8"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2.872</w:t>
            </w:r>
          </w:p>
        </w:tc>
        <w:tc>
          <w:tcPr>
            <w:tcW w:w="818" w:type="dxa"/>
            <w:tcBorders>
              <w:top w:val="nil"/>
              <w:left w:val="nil"/>
              <w:bottom w:val="single" w:sz="8" w:space="0" w:color="auto"/>
              <w:right w:val="single" w:sz="8" w:space="0" w:color="auto"/>
            </w:tcBorders>
            <w:vAlign w:val="center"/>
            <w:hideMark/>
          </w:tcPr>
          <w:p w14:paraId="205B3406"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2.872</w:t>
            </w:r>
          </w:p>
        </w:tc>
        <w:tc>
          <w:tcPr>
            <w:tcW w:w="985" w:type="dxa"/>
            <w:tcBorders>
              <w:top w:val="nil"/>
              <w:left w:val="nil"/>
              <w:bottom w:val="single" w:sz="8" w:space="0" w:color="auto"/>
              <w:right w:val="single" w:sz="8" w:space="0" w:color="auto"/>
            </w:tcBorders>
            <w:vAlign w:val="center"/>
            <w:hideMark/>
          </w:tcPr>
          <w:p w14:paraId="65E7811A"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950" w:type="dxa"/>
            <w:tcBorders>
              <w:top w:val="nil"/>
              <w:left w:val="nil"/>
              <w:bottom w:val="single" w:sz="8" w:space="0" w:color="auto"/>
              <w:right w:val="single" w:sz="8" w:space="0" w:color="auto"/>
            </w:tcBorders>
            <w:vAlign w:val="center"/>
            <w:hideMark/>
          </w:tcPr>
          <w:p w14:paraId="7D50A1C0"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No aplica</w:t>
            </w:r>
          </w:p>
        </w:tc>
      </w:tr>
      <w:tr w:rsidR="00081708" w:rsidRPr="008D2838" w14:paraId="2B9E624F"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370C5949"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D9D9D9"/>
            <w:vAlign w:val="center"/>
            <w:hideMark/>
          </w:tcPr>
          <w:p w14:paraId="6FCA0FB2"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 xml:space="preserve"> CSF/Matrícula </w:t>
            </w:r>
          </w:p>
        </w:tc>
        <w:tc>
          <w:tcPr>
            <w:tcW w:w="985" w:type="dxa"/>
            <w:tcBorders>
              <w:top w:val="nil"/>
              <w:left w:val="nil"/>
              <w:bottom w:val="single" w:sz="8" w:space="0" w:color="auto"/>
              <w:right w:val="single" w:sz="8" w:space="0" w:color="auto"/>
            </w:tcBorders>
            <w:vAlign w:val="center"/>
            <w:hideMark/>
          </w:tcPr>
          <w:p w14:paraId="35C9192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104.569</w:t>
            </w:r>
          </w:p>
        </w:tc>
        <w:tc>
          <w:tcPr>
            <w:tcW w:w="838" w:type="dxa"/>
            <w:tcBorders>
              <w:top w:val="nil"/>
              <w:left w:val="nil"/>
              <w:bottom w:val="single" w:sz="8" w:space="0" w:color="auto"/>
              <w:right w:val="single" w:sz="8" w:space="0" w:color="auto"/>
            </w:tcBorders>
            <w:vAlign w:val="center"/>
            <w:hideMark/>
          </w:tcPr>
          <w:p w14:paraId="7ED5A508"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104.569</w:t>
            </w:r>
          </w:p>
        </w:tc>
        <w:tc>
          <w:tcPr>
            <w:tcW w:w="985" w:type="dxa"/>
            <w:tcBorders>
              <w:top w:val="nil"/>
              <w:left w:val="nil"/>
              <w:bottom w:val="single" w:sz="8" w:space="0" w:color="auto"/>
              <w:right w:val="single" w:sz="8" w:space="0" w:color="auto"/>
            </w:tcBorders>
            <w:vAlign w:val="center"/>
            <w:hideMark/>
          </w:tcPr>
          <w:p w14:paraId="65291DE3"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1074" w:type="dxa"/>
            <w:tcBorders>
              <w:top w:val="nil"/>
              <w:left w:val="nil"/>
              <w:bottom w:val="single" w:sz="8" w:space="0" w:color="auto"/>
              <w:right w:val="single" w:sz="8" w:space="0" w:color="auto"/>
            </w:tcBorders>
            <w:vAlign w:val="center"/>
            <w:hideMark/>
          </w:tcPr>
          <w:p w14:paraId="756C8293"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85" w:type="dxa"/>
            <w:tcBorders>
              <w:top w:val="nil"/>
              <w:left w:val="nil"/>
              <w:bottom w:val="single" w:sz="8" w:space="0" w:color="auto"/>
              <w:right w:val="single" w:sz="8" w:space="0" w:color="auto"/>
            </w:tcBorders>
            <w:noWrap/>
            <w:vAlign w:val="center"/>
            <w:hideMark/>
          </w:tcPr>
          <w:p w14:paraId="5EDA3DEE"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3.446</w:t>
            </w:r>
          </w:p>
        </w:tc>
        <w:tc>
          <w:tcPr>
            <w:tcW w:w="818" w:type="dxa"/>
            <w:tcBorders>
              <w:top w:val="nil"/>
              <w:left w:val="nil"/>
              <w:bottom w:val="single" w:sz="8" w:space="0" w:color="auto"/>
              <w:right w:val="single" w:sz="8" w:space="0" w:color="auto"/>
            </w:tcBorders>
            <w:vAlign w:val="center"/>
            <w:hideMark/>
          </w:tcPr>
          <w:p w14:paraId="7586CF7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3.446</w:t>
            </w:r>
          </w:p>
        </w:tc>
        <w:tc>
          <w:tcPr>
            <w:tcW w:w="985" w:type="dxa"/>
            <w:tcBorders>
              <w:top w:val="nil"/>
              <w:left w:val="nil"/>
              <w:bottom w:val="single" w:sz="8" w:space="0" w:color="auto"/>
              <w:right w:val="single" w:sz="8" w:space="0" w:color="auto"/>
            </w:tcBorders>
            <w:vAlign w:val="center"/>
            <w:hideMark/>
          </w:tcPr>
          <w:p w14:paraId="4FD1F9AC"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950" w:type="dxa"/>
            <w:tcBorders>
              <w:top w:val="nil"/>
              <w:left w:val="nil"/>
              <w:bottom w:val="single" w:sz="8" w:space="0" w:color="auto"/>
              <w:right w:val="single" w:sz="8" w:space="0" w:color="auto"/>
            </w:tcBorders>
            <w:vAlign w:val="center"/>
            <w:hideMark/>
          </w:tcPr>
          <w:p w14:paraId="456415A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r>
      <w:tr w:rsidR="00081708" w:rsidRPr="008D2838" w14:paraId="12FF2800"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762E399A"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6664BF08"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BALANCE </w:t>
            </w:r>
          </w:p>
        </w:tc>
        <w:tc>
          <w:tcPr>
            <w:tcW w:w="985" w:type="dxa"/>
            <w:tcBorders>
              <w:top w:val="nil"/>
              <w:left w:val="nil"/>
              <w:bottom w:val="single" w:sz="8" w:space="0" w:color="auto"/>
              <w:right w:val="single" w:sz="8" w:space="0" w:color="auto"/>
            </w:tcBorders>
            <w:noWrap/>
            <w:vAlign w:val="center"/>
            <w:hideMark/>
          </w:tcPr>
          <w:p w14:paraId="420179F0" w14:textId="77777777" w:rsidR="00081708" w:rsidRPr="008D2838" w:rsidRDefault="00081708" w:rsidP="00081708">
            <w:pPr>
              <w:jc w:val="right"/>
              <w:rPr>
                <w:rFonts w:ascii="Arial" w:eastAsia="Times New Roman" w:hAnsi="Arial" w:cs="Arial"/>
                <w:color w:val="C00000"/>
                <w:sz w:val="16"/>
                <w:szCs w:val="16"/>
                <w:lang w:val="es-CO" w:eastAsia="es-CO"/>
              </w:rPr>
            </w:pPr>
            <w:r w:rsidRPr="008D2838">
              <w:rPr>
                <w:rFonts w:ascii="Arial" w:eastAsia="Times New Roman" w:hAnsi="Arial" w:cs="Arial"/>
                <w:color w:val="C00000"/>
                <w:sz w:val="16"/>
                <w:szCs w:val="16"/>
                <w:lang w:val="es-CO" w:eastAsia="es-CO"/>
              </w:rPr>
              <w:t>2.040</w:t>
            </w:r>
          </w:p>
        </w:tc>
        <w:tc>
          <w:tcPr>
            <w:tcW w:w="838" w:type="dxa"/>
            <w:tcBorders>
              <w:top w:val="nil"/>
              <w:left w:val="nil"/>
              <w:bottom w:val="single" w:sz="8" w:space="0" w:color="auto"/>
              <w:right w:val="single" w:sz="8" w:space="0" w:color="auto"/>
            </w:tcBorders>
            <w:noWrap/>
            <w:vAlign w:val="center"/>
            <w:hideMark/>
          </w:tcPr>
          <w:p w14:paraId="4DAFB278"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2.040</w:t>
            </w:r>
          </w:p>
        </w:tc>
        <w:tc>
          <w:tcPr>
            <w:tcW w:w="985" w:type="dxa"/>
            <w:tcBorders>
              <w:top w:val="nil"/>
              <w:left w:val="nil"/>
              <w:bottom w:val="single" w:sz="8" w:space="0" w:color="auto"/>
              <w:right w:val="single" w:sz="8" w:space="0" w:color="auto"/>
            </w:tcBorders>
            <w:noWrap/>
            <w:vAlign w:val="center"/>
            <w:hideMark/>
          </w:tcPr>
          <w:p w14:paraId="685E8DF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1074" w:type="dxa"/>
            <w:tcBorders>
              <w:top w:val="nil"/>
              <w:left w:val="nil"/>
              <w:bottom w:val="single" w:sz="8" w:space="0" w:color="auto"/>
              <w:right w:val="single" w:sz="8" w:space="0" w:color="auto"/>
            </w:tcBorders>
            <w:noWrap/>
            <w:vAlign w:val="center"/>
            <w:hideMark/>
          </w:tcPr>
          <w:p w14:paraId="0E793DE9"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85" w:type="dxa"/>
            <w:tcBorders>
              <w:top w:val="nil"/>
              <w:left w:val="nil"/>
              <w:bottom w:val="single" w:sz="8" w:space="0" w:color="auto"/>
              <w:right w:val="single" w:sz="8" w:space="0" w:color="auto"/>
            </w:tcBorders>
            <w:vAlign w:val="center"/>
            <w:hideMark/>
          </w:tcPr>
          <w:p w14:paraId="5C48CCD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590</w:t>
            </w:r>
          </w:p>
        </w:tc>
        <w:tc>
          <w:tcPr>
            <w:tcW w:w="818" w:type="dxa"/>
            <w:tcBorders>
              <w:top w:val="nil"/>
              <w:left w:val="nil"/>
              <w:bottom w:val="single" w:sz="8" w:space="0" w:color="auto"/>
              <w:right w:val="single" w:sz="8" w:space="0" w:color="auto"/>
            </w:tcBorders>
            <w:noWrap/>
            <w:vAlign w:val="center"/>
            <w:hideMark/>
          </w:tcPr>
          <w:p w14:paraId="6FE6381A"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578</w:t>
            </w:r>
          </w:p>
        </w:tc>
        <w:tc>
          <w:tcPr>
            <w:tcW w:w="985" w:type="dxa"/>
            <w:tcBorders>
              <w:top w:val="nil"/>
              <w:left w:val="nil"/>
              <w:bottom w:val="single" w:sz="8" w:space="0" w:color="auto"/>
              <w:right w:val="single" w:sz="8" w:space="0" w:color="auto"/>
            </w:tcBorders>
            <w:noWrap/>
            <w:vAlign w:val="center"/>
            <w:hideMark/>
          </w:tcPr>
          <w:p w14:paraId="6E0336E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11</w:t>
            </w:r>
          </w:p>
        </w:tc>
        <w:tc>
          <w:tcPr>
            <w:tcW w:w="950" w:type="dxa"/>
            <w:tcBorders>
              <w:top w:val="nil"/>
              <w:left w:val="nil"/>
              <w:bottom w:val="single" w:sz="8" w:space="0" w:color="auto"/>
              <w:right w:val="single" w:sz="8" w:space="0" w:color="auto"/>
            </w:tcBorders>
            <w:noWrap/>
            <w:vAlign w:val="center"/>
            <w:hideMark/>
          </w:tcPr>
          <w:p w14:paraId="0C5E26B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r>
      <w:tr w:rsidR="00081708" w:rsidRPr="008D2838" w14:paraId="6E5C2246"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61AE375A"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738E701A"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REINTEGROS </w:t>
            </w:r>
          </w:p>
        </w:tc>
        <w:tc>
          <w:tcPr>
            <w:tcW w:w="985" w:type="dxa"/>
            <w:tcBorders>
              <w:top w:val="nil"/>
              <w:left w:val="nil"/>
              <w:bottom w:val="single" w:sz="8" w:space="0" w:color="auto"/>
              <w:right w:val="single" w:sz="8" w:space="0" w:color="auto"/>
            </w:tcBorders>
            <w:vAlign w:val="center"/>
            <w:hideMark/>
          </w:tcPr>
          <w:p w14:paraId="3A6F91AD"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239</w:t>
            </w:r>
          </w:p>
        </w:tc>
        <w:tc>
          <w:tcPr>
            <w:tcW w:w="838" w:type="dxa"/>
            <w:tcBorders>
              <w:top w:val="nil"/>
              <w:left w:val="nil"/>
              <w:bottom w:val="single" w:sz="8" w:space="0" w:color="auto"/>
              <w:right w:val="single" w:sz="8" w:space="0" w:color="auto"/>
            </w:tcBorders>
            <w:vAlign w:val="center"/>
            <w:hideMark/>
          </w:tcPr>
          <w:p w14:paraId="653479FB"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239</w:t>
            </w:r>
          </w:p>
        </w:tc>
        <w:tc>
          <w:tcPr>
            <w:tcW w:w="985" w:type="dxa"/>
            <w:tcBorders>
              <w:top w:val="nil"/>
              <w:left w:val="nil"/>
              <w:bottom w:val="single" w:sz="8" w:space="0" w:color="auto"/>
              <w:right w:val="single" w:sz="8" w:space="0" w:color="auto"/>
            </w:tcBorders>
            <w:noWrap/>
            <w:vAlign w:val="center"/>
            <w:hideMark/>
          </w:tcPr>
          <w:p w14:paraId="29386DBF"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1074" w:type="dxa"/>
            <w:tcBorders>
              <w:top w:val="nil"/>
              <w:left w:val="nil"/>
              <w:bottom w:val="single" w:sz="8" w:space="0" w:color="auto"/>
              <w:right w:val="single" w:sz="8" w:space="0" w:color="auto"/>
            </w:tcBorders>
            <w:noWrap/>
            <w:vAlign w:val="center"/>
            <w:hideMark/>
          </w:tcPr>
          <w:p w14:paraId="74D710E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85" w:type="dxa"/>
            <w:tcBorders>
              <w:top w:val="nil"/>
              <w:left w:val="nil"/>
              <w:bottom w:val="single" w:sz="8" w:space="0" w:color="auto"/>
              <w:right w:val="single" w:sz="8" w:space="0" w:color="auto"/>
            </w:tcBorders>
            <w:vAlign w:val="center"/>
            <w:hideMark/>
          </w:tcPr>
          <w:p w14:paraId="79AF4F11"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21</w:t>
            </w:r>
          </w:p>
        </w:tc>
        <w:tc>
          <w:tcPr>
            <w:tcW w:w="818" w:type="dxa"/>
            <w:tcBorders>
              <w:top w:val="nil"/>
              <w:left w:val="nil"/>
              <w:bottom w:val="single" w:sz="8" w:space="0" w:color="auto"/>
              <w:right w:val="single" w:sz="8" w:space="0" w:color="auto"/>
            </w:tcBorders>
            <w:vAlign w:val="center"/>
            <w:hideMark/>
          </w:tcPr>
          <w:p w14:paraId="55793C61"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21</w:t>
            </w:r>
          </w:p>
        </w:tc>
        <w:tc>
          <w:tcPr>
            <w:tcW w:w="985" w:type="dxa"/>
            <w:tcBorders>
              <w:top w:val="nil"/>
              <w:left w:val="nil"/>
              <w:bottom w:val="single" w:sz="8" w:space="0" w:color="auto"/>
              <w:right w:val="single" w:sz="8" w:space="0" w:color="auto"/>
            </w:tcBorders>
            <w:noWrap/>
            <w:vAlign w:val="center"/>
            <w:hideMark/>
          </w:tcPr>
          <w:p w14:paraId="270E4329"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950" w:type="dxa"/>
            <w:tcBorders>
              <w:top w:val="nil"/>
              <w:left w:val="nil"/>
              <w:bottom w:val="single" w:sz="8" w:space="0" w:color="auto"/>
              <w:right w:val="single" w:sz="8" w:space="0" w:color="auto"/>
            </w:tcBorders>
            <w:noWrap/>
            <w:vAlign w:val="center"/>
            <w:hideMark/>
          </w:tcPr>
          <w:p w14:paraId="69334147"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r>
      <w:tr w:rsidR="00081708" w:rsidRPr="008D2838" w14:paraId="2E25D2F9"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5F9BBD55"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74BB40EA"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REN. FINANCROS </w:t>
            </w:r>
          </w:p>
        </w:tc>
        <w:tc>
          <w:tcPr>
            <w:tcW w:w="985" w:type="dxa"/>
            <w:tcBorders>
              <w:top w:val="nil"/>
              <w:left w:val="nil"/>
              <w:bottom w:val="single" w:sz="8" w:space="0" w:color="auto"/>
              <w:right w:val="single" w:sz="8" w:space="0" w:color="auto"/>
            </w:tcBorders>
            <w:vAlign w:val="center"/>
            <w:hideMark/>
          </w:tcPr>
          <w:p w14:paraId="4EB6457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31</w:t>
            </w:r>
          </w:p>
        </w:tc>
        <w:tc>
          <w:tcPr>
            <w:tcW w:w="838" w:type="dxa"/>
            <w:tcBorders>
              <w:top w:val="nil"/>
              <w:left w:val="nil"/>
              <w:bottom w:val="single" w:sz="8" w:space="0" w:color="auto"/>
              <w:right w:val="single" w:sz="8" w:space="0" w:color="auto"/>
            </w:tcBorders>
            <w:vAlign w:val="center"/>
            <w:hideMark/>
          </w:tcPr>
          <w:p w14:paraId="41930ABE"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31</w:t>
            </w:r>
          </w:p>
        </w:tc>
        <w:tc>
          <w:tcPr>
            <w:tcW w:w="985" w:type="dxa"/>
            <w:tcBorders>
              <w:top w:val="nil"/>
              <w:left w:val="nil"/>
              <w:bottom w:val="single" w:sz="8" w:space="0" w:color="auto"/>
              <w:right w:val="single" w:sz="8" w:space="0" w:color="auto"/>
            </w:tcBorders>
            <w:noWrap/>
            <w:vAlign w:val="center"/>
            <w:hideMark/>
          </w:tcPr>
          <w:p w14:paraId="410FFD2E"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1074" w:type="dxa"/>
            <w:tcBorders>
              <w:top w:val="nil"/>
              <w:left w:val="nil"/>
              <w:bottom w:val="single" w:sz="8" w:space="0" w:color="auto"/>
              <w:right w:val="single" w:sz="8" w:space="0" w:color="auto"/>
            </w:tcBorders>
            <w:noWrap/>
            <w:vAlign w:val="center"/>
            <w:hideMark/>
          </w:tcPr>
          <w:p w14:paraId="1D70A59B"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985" w:type="dxa"/>
            <w:tcBorders>
              <w:top w:val="nil"/>
              <w:left w:val="nil"/>
              <w:bottom w:val="single" w:sz="8" w:space="0" w:color="auto"/>
              <w:right w:val="single" w:sz="8" w:space="0" w:color="auto"/>
            </w:tcBorders>
            <w:vAlign w:val="center"/>
            <w:hideMark/>
          </w:tcPr>
          <w:p w14:paraId="058DE143"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3,5</w:t>
            </w:r>
          </w:p>
        </w:tc>
        <w:tc>
          <w:tcPr>
            <w:tcW w:w="818" w:type="dxa"/>
            <w:tcBorders>
              <w:top w:val="nil"/>
              <w:left w:val="nil"/>
              <w:bottom w:val="single" w:sz="8" w:space="0" w:color="auto"/>
              <w:right w:val="single" w:sz="8" w:space="0" w:color="auto"/>
            </w:tcBorders>
            <w:vAlign w:val="center"/>
            <w:hideMark/>
          </w:tcPr>
          <w:p w14:paraId="2F07726D"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3,5</w:t>
            </w:r>
          </w:p>
        </w:tc>
        <w:tc>
          <w:tcPr>
            <w:tcW w:w="985" w:type="dxa"/>
            <w:tcBorders>
              <w:top w:val="nil"/>
              <w:left w:val="nil"/>
              <w:bottom w:val="single" w:sz="8" w:space="0" w:color="auto"/>
              <w:right w:val="single" w:sz="8" w:space="0" w:color="auto"/>
            </w:tcBorders>
            <w:noWrap/>
            <w:vAlign w:val="center"/>
            <w:hideMark/>
          </w:tcPr>
          <w:p w14:paraId="4BBD841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c>
          <w:tcPr>
            <w:tcW w:w="950" w:type="dxa"/>
            <w:tcBorders>
              <w:top w:val="nil"/>
              <w:left w:val="nil"/>
              <w:bottom w:val="single" w:sz="8" w:space="0" w:color="auto"/>
              <w:right w:val="single" w:sz="8" w:space="0" w:color="auto"/>
            </w:tcBorders>
            <w:noWrap/>
            <w:vAlign w:val="center"/>
            <w:hideMark/>
          </w:tcPr>
          <w:p w14:paraId="4080F438"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r>
      <w:tr w:rsidR="00081708" w:rsidRPr="008D2838" w14:paraId="04E054FD"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7C1B70FF" w14:textId="77777777" w:rsidR="00081708" w:rsidRPr="008D2838" w:rsidRDefault="00081708" w:rsidP="00081708">
            <w:pPr>
              <w:rPr>
                <w:rFonts w:ascii="Arial" w:eastAsia="Times New Roman" w:hAnsi="Arial" w:cs="Arial"/>
                <w:b/>
                <w:bCs/>
                <w:color w:val="000000"/>
                <w:sz w:val="16"/>
                <w:szCs w:val="16"/>
                <w:lang w:val="es-CO" w:eastAsia="es-CO"/>
              </w:rPr>
            </w:pPr>
          </w:p>
        </w:tc>
        <w:tc>
          <w:tcPr>
            <w:tcW w:w="1314" w:type="dxa"/>
            <w:tcBorders>
              <w:top w:val="nil"/>
              <w:left w:val="nil"/>
              <w:bottom w:val="single" w:sz="8" w:space="0" w:color="auto"/>
              <w:right w:val="single" w:sz="8" w:space="0" w:color="auto"/>
            </w:tcBorders>
            <w:shd w:val="clear" w:color="auto" w:fill="95B3D7"/>
            <w:vAlign w:val="center"/>
            <w:hideMark/>
          </w:tcPr>
          <w:p w14:paraId="43CADEF9"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TOTAL </w:t>
            </w:r>
          </w:p>
        </w:tc>
        <w:tc>
          <w:tcPr>
            <w:tcW w:w="985" w:type="dxa"/>
            <w:tcBorders>
              <w:top w:val="nil"/>
              <w:left w:val="nil"/>
              <w:bottom w:val="single" w:sz="8" w:space="0" w:color="auto"/>
              <w:right w:val="single" w:sz="8" w:space="0" w:color="auto"/>
            </w:tcBorders>
            <w:vAlign w:val="center"/>
            <w:hideMark/>
          </w:tcPr>
          <w:p w14:paraId="58D8C581"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119.641</w:t>
            </w:r>
          </w:p>
        </w:tc>
        <w:tc>
          <w:tcPr>
            <w:tcW w:w="838" w:type="dxa"/>
            <w:tcBorders>
              <w:top w:val="nil"/>
              <w:left w:val="nil"/>
              <w:bottom w:val="single" w:sz="8" w:space="0" w:color="auto"/>
              <w:right w:val="single" w:sz="8" w:space="0" w:color="auto"/>
            </w:tcBorders>
            <w:vAlign w:val="center"/>
            <w:hideMark/>
          </w:tcPr>
          <w:p w14:paraId="0F1DD7E8"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119.641</w:t>
            </w:r>
          </w:p>
        </w:tc>
        <w:tc>
          <w:tcPr>
            <w:tcW w:w="985" w:type="dxa"/>
            <w:tcBorders>
              <w:top w:val="nil"/>
              <w:left w:val="nil"/>
              <w:bottom w:val="single" w:sz="8" w:space="0" w:color="auto"/>
              <w:right w:val="single" w:sz="8" w:space="0" w:color="auto"/>
            </w:tcBorders>
            <w:vAlign w:val="center"/>
            <w:hideMark/>
          </w:tcPr>
          <w:p w14:paraId="06F0A44B"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0</w:t>
            </w:r>
          </w:p>
        </w:tc>
        <w:tc>
          <w:tcPr>
            <w:tcW w:w="1074" w:type="dxa"/>
            <w:tcBorders>
              <w:top w:val="nil"/>
              <w:left w:val="nil"/>
              <w:bottom w:val="single" w:sz="8" w:space="0" w:color="auto"/>
              <w:right w:val="single" w:sz="8" w:space="0" w:color="auto"/>
            </w:tcBorders>
            <w:vAlign w:val="center"/>
            <w:hideMark/>
          </w:tcPr>
          <w:p w14:paraId="58DB8FE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1.149</w:t>
            </w:r>
          </w:p>
        </w:tc>
        <w:tc>
          <w:tcPr>
            <w:tcW w:w="985" w:type="dxa"/>
            <w:tcBorders>
              <w:top w:val="nil"/>
              <w:left w:val="nil"/>
              <w:bottom w:val="single" w:sz="8" w:space="0" w:color="auto"/>
              <w:right w:val="single" w:sz="8" w:space="0" w:color="auto"/>
            </w:tcBorders>
            <w:vAlign w:val="center"/>
            <w:hideMark/>
          </w:tcPr>
          <w:p w14:paraId="7A2BCB9B"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6.933</w:t>
            </w:r>
          </w:p>
        </w:tc>
        <w:tc>
          <w:tcPr>
            <w:tcW w:w="818" w:type="dxa"/>
            <w:tcBorders>
              <w:top w:val="nil"/>
              <w:left w:val="nil"/>
              <w:bottom w:val="single" w:sz="8" w:space="0" w:color="auto"/>
              <w:right w:val="single" w:sz="8" w:space="0" w:color="auto"/>
            </w:tcBorders>
            <w:vAlign w:val="center"/>
            <w:hideMark/>
          </w:tcPr>
          <w:p w14:paraId="7D2EF8D5"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6.922</w:t>
            </w:r>
          </w:p>
        </w:tc>
        <w:tc>
          <w:tcPr>
            <w:tcW w:w="985" w:type="dxa"/>
            <w:tcBorders>
              <w:top w:val="nil"/>
              <w:left w:val="nil"/>
              <w:bottom w:val="single" w:sz="8" w:space="0" w:color="auto"/>
              <w:right w:val="single" w:sz="8" w:space="0" w:color="auto"/>
            </w:tcBorders>
            <w:vAlign w:val="center"/>
            <w:hideMark/>
          </w:tcPr>
          <w:p w14:paraId="0E0D0994"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w:t>
            </w:r>
          </w:p>
        </w:tc>
        <w:tc>
          <w:tcPr>
            <w:tcW w:w="950" w:type="dxa"/>
            <w:tcBorders>
              <w:top w:val="nil"/>
              <w:left w:val="nil"/>
              <w:bottom w:val="single" w:sz="8" w:space="0" w:color="auto"/>
              <w:right w:val="single" w:sz="8" w:space="0" w:color="auto"/>
            </w:tcBorders>
            <w:vAlign w:val="center"/>
            <w:hideMark/>
          </w:tcPr>
          <w:p w14:paraId="25353288"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w:t>
            </w:r>
          </w:p>
        </w:tc>
      </w:tr>
      <w:tr w:rsidR="00081708" w:rsidRPr="008D2838" w14:paraId="1C973DA2" w14:textId="77777777" w:rsidTr="00081708">
        <w:trPr>
          <w:trHeight w:val="20"/>
        </w:trPr>
        <w:tc>
          <w:tcPr>
            <w:tcW w:w="0" w:type="auto"/>
            <w:vMerge/>
            <w:tcBorders>
              <w:top w:val="nil"/>
              <w:left w:val="single" w:sz="8" w:space="0" w:color="auto"/>
              <w:bottom w:val="single" w:sz="8" w:space="0" w:color="000000"/>
              <w:right w:val="single" w:sz="8" w:space="0" w:color="auto"/>
            </w:tcBorders>
            <w:vAlign w:val="center"/>
            <w:hideMark/>
          </w:tcPr>
          <w:p w14:paraId="2D292FA0" w14:textId="77777777" w:rsidR="00081708" w:rsidRPr="008D2838" w:rsidRDefault="00081708" w:rsidP="00081708">
            <w:pPr>
              <w:rPr>
                <w:rFonts w:ascii="Arial" w:eastAsia="Times New Roman" w:hAnsi="Arial" w:cs="Arial"/>
                <w:b/>
                <w:bCs/>
                <w:color w:val="000000"/>
                <w:sz w:val="16"/>
                <w:szCs w:val="16"/>
                <w:lang w:val="es-CO" w:eastAsia="es-CO"/>
              </w:rPr>
            </w:pPr>
          </w:p>
        </w:tc>
        <w:tc>
          <w:tcPr>
            <w:tcW w:w="3137" w:type="dxa"/>
            <w:gridSpan w:val="3"/>
            <w:tcBorders>
              <w:top w:val="single" w:sz="8" w:space="0" w:color="auto"/>
              <w:left w:val="nil"/>
              <w:bottom w:val="single" w:sz="8" w:space="0" w:color="auto"/>
              <w:right w:val="single" w:sz="8" w:space="0" w:color="000000"/>
            </w:tcBorders>
            <w:shd w:val="clear" w:color="auto" w:fill="95B3D7"/>
            <w:vAlign w:val="center"/>
            <w:hideMark/>
          </w:tcPr>
          <w:p w14:paraId="2014CC11" w14:textId="77777777" w:rsidR="00081708" w:rsidRPr="008D2838" w:rsidRDefault="00081708" w:rsidP="00081708">
            <w:pPr>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xml:space="preserve"> TESORERÍA VS EJECUCIÓN PRESUPUESTAL</w:t>
            </w:r>
          </w:p>
        </w:tc>
        <w:tc>
          <w:tcPr>
            <w:tcW w:w="2059" w:type="dxa"/>
            <w:gridSpan w:val="2"/>
            <w:tcBorders>
              <w:top w:val="single" w:sz="8" w:space="0" w:color="auto"/>
              <w:left w:val="nil"/>
              <w:bottom w:val="single" w:sz="8" w:space="0" w:color="auto"/>
              <w:right w:val="single" w:sz="8" w:space="0" w:color="000000"/>
            </w:tcBorders>
            <w:shd w:val="clear" w:color="auto" w:fill="95B3D7"/>
            <w:vAlign w:val="center"/>
            <w:hideMark/>
          </w:tcPr>
          <w:p w14:paraId="58E571D4"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-1.149</w:t>
            </w:r>
          </w:p>
        </w:tc>
        <w:tc>
          <w:tcPr>
            <w:tcW w:w="3738" w:type="dxa"/>
            <w:gridSpan w:val="4"/>
            <w:tcBorders>
              <w:top w:val="single" w:sz="8" w:space="0" w:color="auto"/>
              <w:left w:val="nil"/>
              <w:bottom w:val="single" w:sz="8" w:space="0" w:color="auto"/>
              <w:right w:val="single" w:sz="8" w:space="0" w:color="000000"/>
            </w:tcBorders>
            <w:shd w:val="clear" w:color="auto" w:fill="95B3D7"/>
            <w:vAlign w:val="center"/>
            <w:hideMark/>
          </w:tcPr>
          <w:p w14:paraId="754CC10E"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r>
    </w:tbl>
    <w:p w14:paraId="712439F4" w14:textId="77777777" w:rsidR="00081708" w:rsidRPr="008D2838" w:rsidRDefault="00081708" w:rsidP="00081708">
      <w:pPr>
        <w:jc w:val="center"/>
        <w:rPr>
          <w:rFonts w:ascii="Arial" w:eastAsia="Times New Roman" w:hAnsi="Arial" w:cs="Arial"/>
          <w:lang w:val="es-CO" w:eastAsia="es-MX"/>
        </w:rPr>
      </w:pPr>
      <w:r w:rsidRPr="008D2838">
        <w:rPr>
          <w:rFonts w:ascii="Arial" w:eastAsia="Arial" w:hAnsi="Arial" w:cs="Arial"/>
          <w:sz w:val="16"/>
          <w:szCs w:val="16"/>
          <w:lang w:val="es-CO"/>
        </w:rPr>
        <w:t>Fuente: Cálculos DAF con base en la información presupuestal y tesorería a diciembre 31 de 2019, 2020, 2021 y 2022.</w:t>
      </w:r>
    </w:p>
    <w:p w14:paraId="15D03822" w14:textId="77777777" w:rsidR="00081708" w:rsidRPr="008D2838" w:rsidRDefault="00081708" w:rsidP="00081708">
      <w:pPr>
        <w:rPr>
          <w:rFonts w:ascii="Arial" w:eastAsia="Arial" w:hAnsi="Arial" w:cs="Arial"/>
          <w:b/>
          <w:bCs/>
          <w:sz w:val="22"/>
          <w:szCs w:val="22"/>
          <w:lang w:val="es-CO"/>
        </w:rPr>
      </w:pPr>
    </w:p>
    <w:p w14:paraId="700638CE" w14:textId="77777777" w:rsidR="00081708" w:rsidRPr="008D2838" w:rsidRDefault="00081708" w:rsidP="00081708">
      <w:pPr>
        <w:jc w:val="both"/>
        <w:rPr>
          <w:rFonts w:ascii="Arial" w:eastAsia="Times New Roman" w:hAnsi="Arial" w:cs="Arial"/>
          <w:sz w:val="22"/>
          <w:szCs w:val="22"/>
          <w:lang w:val="es-CO"/>
        </w:rPr>
      </w:pPr>
      <w:r w:rsidRPr="008D2838">
        <w:rPr>
          <w:rFonts w:ascii="Arial" w:eastAsia="Arial" w:hAnsi="Arial" w:cs="Arial"/>
          <w:color w:val="000000" w:themeColor="text1"/>
          <w:sz w:val="22"/>
          <w:szCs w:val="22"/>
          <w:lang w:val="es-CO"/>
        </w:rPr>
        <w:t>En el cierre de la vigencia 2020, se evidenciaron diferencias en relación con los recursos del balance de las asignaciones de Calidad y Prestación del Servicio y los saldos que los respaldan en tesorería. De acuerdo con el análisis realizado, el superávit de Prestación del Servicio ascendió a $1.882 millones y en caja existían recursos disponibles por $1.695 millones; es decir, se presentó un faltante en tesorería de $186 millones de acuerdo con lo ejecutado. En relación con los recursos de Calidad, se presentó la situación contraria debido a que se tenían saldos presupuestales sin ejecutar de $828 millones y en tesorería hubo un saldo en caja de $892 millones.</w:t>
      </w:r>
    </w:p>
    <w:p w14:paraId="39BE297A" w14:textId="77777777" w:rsidR="00081708" w:rsidRPr="008D2838" w:rsidRDefault="00081708" w:rsidP="00081708">
      <w:pPr>
        <w:jc w:val="both"/>
        <w:rPr>
          <w:rFonts w:ascii="Arial" w:hAnsi="Arial" w:cs="Arial"/>
          <w:sz w:val="22"/>
          <w:szCs w:val="22"/>
          <w:lang w:val="es-CO"/>
        </w:rPr>
      </w:pPr>
    </w:p>
    <w:p w14:paraId="4F4A03DD" w14:textId="77777777" w:rsidR="00081708" w:rsidRPr="008D2838" w:rsidRDefault="00081708" w:rsidP="00081708">
      <w:pPr>
        <w:jc w:val="both"/>
        <w:rPr>
          <w:rFonts w:ascii="Arial" w:hAnsi="Arial" w:cs="Arial"/>
          <w:sz w:val="22"/>
          <w:szCs w:val="22"/>
          <w:lang w:val="es-CO"/>
        </w:rPr>
      </w:pPr>
      <w:r w:rsidRPr="008D2838">
        <w:rPr>
          <w:rFonts w:ascii="Arial" w:eastAsia="Arial" w:hAnsi="Arial" w:cs="Arial"/>
          <w:color w:val="000000" w:themeColor="text1"/>
          <w:sz w:val="22"/>
          <w:szCs w:val="22"/>
          <w:lang w:val="es-CO"/>
        </w:rPr>
        <w:lastRenderedPageBreak/>
        <w:t>Por otra parte, en relación con el reporte del FUT, en la Categoría de Cierre Fiscal a diciembre de 2020 se reportó un superávit de $2.587,7 millones ($1.595,6 millones de Prestación del Servicio y $992,1 millones de Calidad). En 2021 se incorporaron en el ingreso $992,1 millones de Calidad, lo cual corresponde a los $892 millones de recursos del balance de Calidad a diciembre de 2020 y a $100 millones de rendimientos financieros, que fueron incorporados directamente en el presupuesto como recursos de Calidad.</w:t>
      </w:r>
    </w:p>
    <w:p w14:paraId="65830741" w14:textId="77777777" w:rsidR="00081708" w:rsidRPr="008D2838" w:rsidRDefault="00081708" w:rsidP="00081708">
      <w:pPr>
        <w:jc w:val="both"/>
        <w:rPr>
          <w:rFonts w:ascii="Arial" w:eastAsia="Arial" w:hAnsi="Arial" w:cs="Arial"/>
          <w:color w:val="000000" w:themeColor="text1"/>
          <w:sz w:val="22"/>
          <w:szCs w:val="22"/>
          <w:highlight w:val="cyan"/>
          <w:lang w:val="es-CO"/>
        </w:rPr>
      </w:pPr>
    </w:p>
    <w:p w14:paraId="6EBA3DE0" w14:textId="77777777" w:rsidR="00081708" w:rsidRPr="008D2838" w:rsidRDefault="00081708" w:rsidP="00081708">
      <w:pPr>
        <w:jc w:val="both"/>
        <w:rPr>
          <w:rFonts w:ascii="Arial" w:hAnsi="Arial" w:cs="Arial"/>
          <w:b/>
          <w:bCs/>
          <w:sz w:val="18"/>
          <w:szCs w:val="18"/>
          <w:lang w:val="es-CO"/>
        </w:rPr>
      </w:pPr>
      <w:r w:rsidRPr="008D2838">
        <w:rPr>
          <w:rFonts w:ascii="Arial" w:eastAsia="Arial" w:hAnsi="Arial" w:cs="Arial"/>
          <w:color w:val="000000" w:themeColor="text1"/>
          <w:sz w:val="22"/>
          <w:szCs w:val="22"/>
          <w:lang w:val="es-CO"/>
        </w:rPr>
        <w:t xml:space="preserve">Ahora, frente a la incorporación de estos recursos, en la ejecución presupuestal de ingresos a diciembre de 2021 se identificaron recursos del balance por valor de $2.774 millones, de los cuales $1.882 millones corresponden a Prestación del Servicio y de $892 millones a </w:t>
      </w:r>
      <w:r w:rsidRPr="008D2838">
        <w:rPr>
          <w:rFonts w:ascii="Arial" w:eastAsia="Arial" w:hAnsi="Arial" w:cs="Arial"/>
          <w:sz w:val="22"/>
          <w:szCs w:val="22"/>
          <w:lang w:val="es-CO"/>
        </w:rPr>
        <w:t>Calidad, lo cual es coherente con el resultado tesoral.</w:t>
      </w:r>
    </w:p>
    <w:p w14:paraId="79E49E7A" w14:textId="77777777" w:rsidR="00081708" w:rsidRPr="008D2838" w:rsidRDefault="00081708" w:rsidP="00081708">
      <w:pPr>
        <w:jc w:val="both"/>
        <w:rPr>
          <w:rFonts w:ascii="Arial" w:hAnsi="Arial" w:cs="Arial"/>
          <w:b/>
          <w:bCs/>
          <w:sz w:val="18"/>
          <w:szCs w:val="18"/>
          <w:lang w:val="es-CO"/>
        </w:rPr>
      </w:pPr>
    </w:p>
    <w:p w14:paraId="52A0A1EF" w14:textId="77777777" w:rsidR="00081708" w:rsidRPr="008D2838" w:rsidRDefault="00081708" w:rsidP="00081708">
      <w:pPr>
        <w:jc w:val="both"/>
        <w:rPr>
          <w:rFonts w:ascii="Arial" w:eastAsia="Arial" w:hAnsi="Arial" w:cs="Arial"/>
          <w:color w:val="000000" w:themeColor="text1"/>
          <w:sz w:val="22"/>
          <w:szCs w:val="22"/>
          <w:lang w:val="es-CO"/>
        </w:rPr>
      </w:pPr>
      <w:r w:rsidRPr="008D2838">
        <w:rPr>
          <w:rFonts w:ascii="Arial" w:eastAsia="Arial" w:hAnsi="Arial" w:cs="Arial"/>
          <w:color w:val="000000" w:themeColor="text1"/>
          <w:sz w:val="22"/>
          <w:szCs w:val="22"/>
          <w:lang w:val="es-CO"/>
        </w:rPr>
        <w:t xml:space="preserve">En cuanto a la vigencia 2022, el resultado fiscal arrojó un superávit de $11 millones con recursos de Calidad, mientras que, con recursos de Prestación de Servicio fue de $0, lo cual difiere con el Estado de Tesorería que reflejó un superávit fiscal por $1.149 millones. De esta vigencia se resalta que, desde tesorería </w:t>
      </w:r>
      <w:r w:rsidR="006E6A31" w:rsidRPr="008D2838">
        <w:rPr>
          <w:rFonts w:ascii="Arial" w:eastAsia="Arial" w:hAnsi="Arial" w:cs="Arial"/>
          <w:color w:val="000000" w:themeColor="text1"/>
          <w:sz w:val="22"/>
          <w:szCs w:val="22"/>
          <w:lang w:val="es-CO"/>
        </w:rPr>
        <w:t xml:space="preserve">se </w:t>
      </w:r>
      <w:r w:rsidRPr="008D2838">
        <w:rPr>
          <w:rFonts w:ascii="Arial" w:eastAsia="Arial" w:hAnsi="Arial" w:cs="Arial"/>
          <w:color w:val="000000" w:themeColor="text1"/>
          <w:sz w:val="22"/>
          <w:szCs w:val="22"/>
          <w:lang w:val="es-CO"/>
        </w:rPr>
        <w:t>reconoc</w:t>
      </w:r>
      <w:r w:rsidR="006E6A31" w:rsidRPr="008D2838">
        <w:rPr>
          <w:rFonts w:ascii="Arial" w:eastAsia="Arial" w:hAnsi="Arial" w:cs="Arial"/>
          <w:color w:val="000000" w:themeColor="text1"/>
          <w:sz w:val="22"/>
          <w:szCs w:val="22"/>
          <w:lang w:val="es-CO"/>
        </w:rPr>
        <w:t>ieron</w:t>
      </w:r>
      <w:r w:rsidRPr="008D2838">
        <w:rPr>
          <w:rFonts w:ascii="Arial" w:eastAsia="Arial" w:hAnsi="Arial" w:cs="Arial"/>
          <w:color w:val="000000" w:themeColor="text1"/>
          <w:sz w:val="22"/>
          <w:szCs w:val="22"/>
          <w:lang w:val="es-CO"/>
        </w:rPr>
        <w:t xml:space="preserve"> </w:t>
      </w:r>
      <w:r w:rsidR="006E6A31" w:rsidRPr="008D2838">
        <w:rPr>
          <w:rFonts w:ascii="Arial" w:eastAsia="Arial" w:hAnsi="Arial" w:cs="Arial"/>
          <w:color w:val="000000" w:themeColor="text1"/>
          <w:sz w:val="22"/>
          <w:szCs w:val="22"/>
          <w:lang w:val="es-CO"/>
        </w:rPr>
        <w:t xml:space="preserve">$206,7 millones de </w:t>
      </w:r>
      <w:r w:rsidRPr="008D2838">
        <w:rPr>
          <w:rFonts w:ascii="Arial" w:eastAsia="Arial" w:hAnsi="Arial" w:cs="Arial"/>
          <w:color w:val="000000" w:themeColor="text1"/>
          <w:sz w:val="22"/>
          <w:szCs w:val="22"/>
          <w:lang w:val="es-CO"/>
        </w:rPr>
        <w:t>Prestación de Servicio</w:t>
      </w:r>
      <w:r w:rsidR="006E6A31" w:rsidRPr="008D2838">
        <w:rPr>
          <w:rFonts w:ascii="Arial" w:eastAsia="Arial" w:hAnsi="Arial" w:cs="Arial"/>
          <w:color w:val="000000" w:themeColor="text1"/>
          <w:sz w:val="22"/>
          <w:szCs w:val="22"/>
          <w:lang w:val="es-CO"/>
        </w:rPr>
        <w:t xml:space="preserve"> en </w:t>
      </w:r>
      <w:r w:rsidRPr="008D2838">
        <w:rPr>
          <w:rFonts w:ascii="Arial" w:eastAsia="Arial" w:hAnsi="Arial" w:cs="Arial"/>
          <w:color w:val="000000" w:themeColor="text1"/>
          <w:sz w:val="22"/>
          <w:szCs w:val="22"/>
          <w:lang w:val="es-CO"/>
        </w:rPr>
        <w:t xml:space="preserve">cuentas por cobrar al Distrito de Turbo por déficit al cierre de la vigencia 2021. </w:t>
      </w:r>
      <w:r w:rsidR="006E6A31" w:rsidRPr="008D2838">
        <w:rPr>
          <w:rFonts w:ascii="Arial" w:eastAsia="Arial" w:hAnsi="Arial" w:cs="Arial"/>
          <w:color w:val="000000" w:themeColor="text1"/>
          <w:sz w:val="22"/>
          <w:szCs w:val="22"/>
          <w:lang w:val="es-CO"/>
        </w:rPr>
        <w:t>Este r</w:t>
      </w:r>
      <w:r w:rsidRPr="008D2838">
        <w:rPr>
          <w:rFonts w:ascii="Arial" w:eastAsia="Arial" w:hAnsi="Arial" w:cs="Arial"/>
          <w:color w:val="000000" w:themeColor="text1"/>
          <w:sz w:val="22"/>
          <w:szCs w:val="22"/>
          <w:lang w:val="es-CO"/>
        </w:rPr>
        <w:t>econocimiento debe evaluarse por parte de la entidad territorial. En cuanto al reporte FUT, el resultado fiscal para la vigencia 2022 fue de $2.595 millones con cargo a los recursos del SGP Educación, siendo un mayor valor al superávit obtenido según las ejecuciones presupuestales de la entidad y el cierre de tesorería.</w:t>
      </w:r>
    </w:p>
    <w:p w14:paraId="77713226" w14:textId="77777777" w:rsidR="00081708" w:rsidRPr="008D2838" w:rsidRDefault="00081708" w:rsidP="00081708">
      <w:pPr>
        <w:jc w:val="both"/>
        <w:rPr>
          <w:rFonts w:ascii="Arial" w:eastAsia="Arial" w:hAnsi="Arial" w:cs="Arial"/>
          <w:color w:val="000000" w:themeColor="text1"/>
          <w:sz w:val="22"/>
          <w:szCs w:val="22"/>
          <w:lang w:val="es-CO"/>
        </w:rPr>
      </w:pPr>
    </w:p>
    <w:p w14:paraId="4C9DE453" w14:textId="77777777" w:rsidR="00081708" w:rsidRPr="008D2838" w:rsidRDefault="00081708" w:rsidP="00081708">
      <w:pPr>
        <w:jc w:val="both"/>
        <w:rPr>
          <w:rFonts w:ascii="Arial" w:eastAsia="Arial" w:hAnsi="Arial" w:cs="Arial"/>
          <w:color w:val="000000" w:themeColor="text1"/>
          <w:sz w:val="22"/>
          <w:szCs w:val="22"/>
          <w:lang w:val="es-CO"/>
        </w:rPr>
      </w:pPr>
      <w:r w:rsidRPr="008D2838">
        <w:rPr>
          <w:rFonts w:ascii="Arial" w:eastAsia="Arial" w:hAnsi="Arial" w:cs="Arial"/>
          <w:color w:val="000000" w:themeColor="text1"/>
          <w:sz w:val="22"/>
          <w:szCs w:val="22"/>
          <w:lang w:val="es-CO"/>
        </w:rPr>
        <w:t xml:space="preserve">Se </w:t>
      </w:r>
      <w:r w:rsidR="006E6A31" w:rsidRPr="008D2838">
        <w:rPr>
          <w:rFonts w:ascii="Arial" w:eastAsia="Arial" w:hAnsi="Arial" w:cs="Arial"/>
          <w:color w:val="000000" w:themeColor="text1"/>
          <w:sz w:val="22"/>
          <w:szCs w:val="22"/>
          <w:lang w:val="es-CO"/>
        </w:rPr>
        <w:t xml:space="preserve">evidencia </w:t>
      </w:r>
      <w:r w:rsidRPr="008D2838">
        <w:rPr>
          <w:rFonts w:ascii="Arial" w:eastAsia="Arial" w:hAnsi="Arial" w:cs="Arial"/>
          <w:color w:val="000000" w:themeColor="text1"/>
          <w:sz w:val="22"/>
          <w:szCs w:val="22"/>
          <w:lang w:val="es-CO"/>
        </w:rPr>
        <w:t>que la entidad territorial venía presentando Déficit Fiscal con recursos del SGP – Educación al cierre de la vigencia 2021, el cual fue tomado como un recurso disponible en el estado de tesorería de 2022, aumentando los recursos en caja y bancos para la vigencia. Lo anterior, ha repercutido en el resultado del ejercicio de las vigencias analizadas. El resultado fiscal de 2021 y 2022 presenta disparidad entre la información presupuestal, tesoral y la reportada por la entidad en FUT_Cierre_Fiscal.</w:t>
      </w:r>
    </w:p>
    <w:p w14:paraId="604D1C31" w14:textId="77777777" w:rsidR="00081708" w:rsidRPr="008D2838" w:rsidRDefault="00081708" w:rsidP="00E32F8D">
      <w:pPr>
        <w:jc w:val="both"/>
        <w:rPr>
          <w:rFonts w:ascii="Arial" w:eastAsia="Arial" w:hAnsi="Arial" w:cs="Arial"/>
          <w:color w:val="000000" w:themeColor="text1"/>
          <w:sz w:val="22"/>
          <w:szCs w:val="22"/>
          <w:lang w:val="es-CO"/>
        </w:rPr>
      </w:pPr>
    </w:p>
    <w:tbl>
      <w:tblPr>
        <w:tblW w:w="3879" w:type="pct"/>
        <w:tblInd w:w="1087" w:type="dxa"/>
        <w:tblCellMar>
          <w:left w:w="70" w:type="dxa"/>
          <w:right w:w="70" w:type="dxa"/>
        </w:tblCellMar>
        <w:tblLook w:val="04A0" w:firstRow="1" w:lastRow="0" w:firstColumn="1" w:lastColumn="0" w:noHBand="0" w:noVBand="1"/>
      </w:tblPr>
      <w:tblGrid>
        <w:gridCol w:w="1420"/>
        <w:gridCol w:w="1547"/>
        <w:gridCol w:w="1277"/>
        <w:gridCol w:w="1323"/>
        <w:gridCol w:w="1274"/>
      </w:tblGrid>
      <w:tr w:rsidR="00081708" w:rsidRPr="008D2838" w14:paraId="616DB1ED" w14:textId="77777777" w:rsidTr="00081708">
        <w:trPr>
          <w:trHeight w:val="20"/>
        </w:trPr>
        <w:tc>
          <w:tcPr>
            <w:tcW w:w="5000" w:type="pct"/>
            <w:gridSpan w:val="5"/>
            <w:tcBorders>
              <w:top w:val="single" w:sz="8" w:space="0" w:color="auto"/>
              <w:left w:val="single" w:sz="8" w:space="0" w:color="auto"/>
              <w:bottom w:val="single" w:sz="8" w:space="0" w:color="auto"/>
              <w:right w:val="single" w:sz="8" w:space="0" w:color="000000"/>
            </w:tcBorders>
            <w:shd w:val="clear" w:color="auto" w:fill="244061"/>
            <w:vAlign w:val="center"/>
            <w:hideMark/>
          </w:tcPr>
          <w:p w14:paraId="093F6E0E"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TABLA 6. ANÁLISIS RESULTADO DEL EJERCICIO DE 2019 – 2022</w:t>
            </w:r>
            <w:r w:rsidRPr="008D2838">
              <w:rPr>
                <w:rFonts w:ascii="Arial" w:eastAsia="Times New Roman" w:hAnsi="Arial" w:cs="Arial"/>
                <w:b/>
                <w:bCs/>
                <w:color w:val="FFFFFF"/>
                <w:sz w:val="18"/>
                <w:szCs w:val="18"/>
                <w:lang w:val="es-CO" w:eastAsia="es-CO"/>
              </w:rPr>
              <w:br/>
              <w:t>(EN MILLONES DE $)</w:t>
            </w:r>
          </w:p>
        </w:tc>
      </w:tr>
      <w:tr w:rsidR="00081708" w:rsidRPr="008D2838" w14:paraId="76716604" w14:textId="77777777" w:rsidTr="00E32F8D">
        <w:trPr>
          <w:trHeight w:val="283"/>
        </w:trPr>
        <w:tc>
          <w:tcPr>
            <w:tcW w:w="1038" w:type="pct"/>
            <w:tcBorders>
              <w:top w:val="nil"/>
              <w:left w:val="single" w:sz="8" w:space="0" w:color="auto"/>
              <w:bottom w:val="single" w:sz="8" w:space="0" w:color="auto"/>
              <w:right w:val="single" w:sz="8" w:space="0" w:color="auto"/>
            </w:tcBorders>
            <w:shd w:val="clear" w:color="auto" w:fill="95B3D7"/>
            <w:vAlign w:val="center"/>
            <w:hideMark/>
          </w:tcPr>
          <w:p w14:paraId="484FBCB2"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Vigencia</w:t>
            </w:r>
          </w:p>
        </w:tc>
        <w:tc>
          <w:tcPr>
            <w:tcW w:w="1131" w:type="pct"/>
            <w:tcBorders>
              <w:top w:val="nil"/>
              <w:left w:val="nil"/>
              <w:bottom w:val="single" w:sz="8" w:space="0" w:color="auto"/>
              <w:right w:val="single" w:sz="8" w:space="0" w:color="auto"/>
            </w:tcBorders>
            <w:shd w:val="clear" w:color="auto" w:fill="95B3D7"/>
            <w:vAlign w:val="center"/>
            <w:hideMark/>
          </w:tcPr>
          <w:p w14:paraId="3606CC36"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Fuente SGP</w:t>
            </w:r>
          </w:p>
        </w:tc>
        <w:tc>
          <w:tcPr>
            <w:tcW w:w="933" w:type="pct"/>
            <w:tcBorders>
              <w:top w:val="nil"/>
              <w:left w:val="nil"/>
              <w:bottom w:val="single" w:sz="8" w:space="0" w:color="auto"/>
              <w:right w:val="single" w:sz="8" w:space="0" w:color="auto"/>
            </w:tcBorders>
            <w:shd w:val="clear" w:color="auto" w:fill="95B3D7"/>
            <w:vAlign w:val="center"/>
            <w:hideMark/>
          </w:tcPr>
          <w:p w14:paraId="3DD4FB66"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 xml:space="preserve">Presupuesto </w:t>
            </w:r>
          </w:p>
        </w:tc>
        <w:tc>
          <w:tcPr>
            <w:tcW w:w="967" w:type="pct"/>
            <w:tcBorders>
              <w:top w:val="nil"/>
              <w:left w:val="nil"/>
              <w:bottom w:val="single" w:sz="8" w:space="0" w:color="auto"/>
              <w:right w:val="single" w:sz="8" w:space="0" w:color="auto"/>
            </w:tcBorders>
            <w:shd w:val="clear" w:color="auto" w:fill="95B3D7"/>
            <w:vAlign w:val="center"/>
            <w:hideMark/>
          </w:tcPr>
          <w:p w14:paraId="2EBD5258"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 xml:space="preserve"> Tesorería</w:t>
            </w:r>
          </w:p>
        </w:tc>
        <w:tc>
          <w:tcPr>
            <w:tcW w:w="932" w:type="pct"/>
            <w:tcBorders>
              <w:top w:val="nil"/>
              <w:left w:val="nil"/>
              <w:bottom w:val="single" w:sz="8" w:space="0" w:color="auto"/>
              <w:right w:val="single" w:sz="8" w:space="0" w:color="auto"/>
            </w:tcBorders>
            <w:shd w:val="clear" w:color="auto" w:fill="95B3D7"/>
            <w:vAlign w:val="center"/>
            <w:hideMark/>
          </w:tcPr>
          <w:p w14:paraId="300CCF17"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 xml:space="preserve"> FUT</w:t>
            </w:r>
          </w:p>
        </w:tc>
      </w:tr>
      <w:tr w:rsidR="00081708" w:rsidRPr="008D2838" w14:paraId="668CDF2B" w14:textId="77777777" w:rsidTr="00E32F8D">
        <w:trPr>
          <w:trHeight w:val="20"/>
        </w:trPr>
        <w:tc>
          <w:tcPr>
            <w:tcW w:w="1038" w:type="pct"/>
            <w:vMerge w:val="restart"/>
            <w:tcBorders>
              <w:top w:val="nil"/>
              <w:left w:val="single" w:sz="8" w:space="0" w:color="auto"/>
              <w:bottom w:val="single" w:sz="8" w:space="0" w:color="000000"/>
              <w:right w:val="single" w:sz="8" w:space="0" w:color="auto"/>
            </w:tcBorders>
            <w:shd w:val="clear" w:color="auto" w:fill="244061"/>
            <w:vAlign w:val="center"/>
            <w:hideMark/>
          </w:tcPr>
          <w:p w14:paraId="77639E49"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2019</w:t>
            </w:r>
          </w:p>
        </w:tc>
        <w:tc>
          <w:tcPr>
            <w:tcW w:w="1131" w:type="pct"/>
            <w:tcBorders>
              <w:top w:val="nil"/>
              <w:left w:val="nil"/>
              <w:bottom w:val="single" w:sz="8" w:space="0" w:color="auto"/>
              <w:right w:val="nil"/>
            </w:tcBorders>
            <w:shd w:val="clear" w:color="auto" w:fill="D9D9D9"/>
            <w:vAlign w:val="center"/>
            <w:hideMark/>
          </w:tcPr>
          <w:p w14:paraId="43BC5A05"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 xml:space="preserve"> Prestación </w:t>
            </w:r>
          </w:p>
        </w:tc>
        <w:tc>
          <w:tcPr>
            <w:tcW w:w="933" w:type="pct"/>
            <w:tcBorders>
              <w:top w:val="nil"/>
              <w:left w:val="single" w:sz="8" w:space="0" w:color="auto"/>
              <w:bottom w:val="single" w:sz="8" w:space="0" w:color="auto"/>
              <w:right w:val="single" w:sz="8" w:space="0" w:color="auto"/>
            </w:tcBorders>
            <w:noWrap/>
            <w:vAlign w:val="center"/>
            <w:hideMark/>
          </w:tcPr>
          <w:p w14:paraId="2BD64344"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964</w:t>
            </w:r>
          </w:p>
        </w:tc>
        <w:tc>
          <w:tcPr>
            <w:tcW w:w="967" w:type="pct"/>
            <w:tcBorders>
              <w:top w:val="nil"/>
              <w:left w:val="nil"/>
              <w:bottom w:val="single" w:sz="8" w:space="0" w:color="auto"/>
              <w:right w:val="single" w:sz="8" w:space="0" w:color="auto"/>
            </w:tcBorders>
            <w:noWrap/>
            <w:vAlign w:val="center"/>
            <w:hideMark/>
          </w:tcPr>
          <w:p w14:paraId="55DF4C30"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841</w:t>
            </w:r>
          </w:p>
        </w:tc>
        <w:tc>
          <w:tcPr>
            <w:tcW w:w="932" w:type="pct"/>
            <w:tcBorders>
              <w:top w:val="nil"/>
              <w:left w:val="nil"/>
              <w:bottom w:val="single" w:sz="8" w:space="0" w:color="auto"/>
              <w:right w:val="single" w:sz="8" w:space="0" w:color="auto"/>
            </w:tcBorders>
            <w:noWrap/>
            <w:vAlign w:val="center"/>
            <w:hideMark/>
          </w:tcPr>
          <w:p w14:paraId="727AA806"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772</w:t>
            </w:r>
          </w:p>
        </w:tc>
      </w:tr>
      <w:tr w:rsidR="00081708" w:rsidRPr="008D2838" w14:paraId="08BB908A"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455A7187" w14:textId="77777777" w:rsidR="00081708" w:rsidRPr="008D2838" w:rsidRDefault="00081708" w:rsidP="00081708">
            <w:pPr>
              <w:rPr>
                <w:rFonts w:ascii="Arial" w:eastAsia="Times New Roman" w:hAnsi="Arial" w:cs="Arial"/>
                <w:b/>
                <w:bCs/>
                <w:color w:val="FFFFFF"/>
                <w:sz w:val="18"/>
                <w:szCs w:val="18"/>
                <w:lang w:val="es-CO" w:eastAsia="es-CO"/>
              </w:rPr>
            </w:pPr>
          </w:p>
        </w:tc>
        <w:tc>
          <w:tcPr>
            <w:tcW w:w="1131" w:type="pct"/>
            <w:tcBorders>
              <w:top w:val="nil"/>
              <w:left w:val="nil"/>
              <w:bottom w:val="single" w:sz="8" w:space="0" w:color="auto"/>
              <w:right w:val="single" w:sz="8" w:space="0" w:color="auto"/>
            </w:tcBorders>
            <w:shd w:val="clear" w:color="auto" w:fill="D9D9D9"/>
            <w:vAlign w:val="center"/>
            <w:hideMark/>
          </w:tcPr>
          <w:p w14:paraId="39C21A04"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 xml:space="preserve"> Calidad </w:t>
            </w:r>
          </w:p>
        </w:tc>
        <w:tc>
          <w:tcPr>
            <w:tcW w:w="933" w:type="pct"/>
            <w:tcBorders>
              <w:top w:val="nil"/>
              <w:left w:val="nil"/>
              <w:bottom w:val="single" w:sz="8" w:space="0" w:color="auto"/>
              <w:right w:val="single" w:sz="8" w:space="0" w:color="auto"/>
            </w:tcBorders>
            <w:noWrap/>
            <w:vAlign w:val="center"/>
            <w:hideMark/>
          </w:tcPr>
          <w:p w14:paraId="666CDA5A"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50</w:t>
            </w:r>
          </w:p>
        </w:tc>
        <w:tc>
          <w:tcPr>
            <w:tcW w:w="967" w:type="pct"/>
            <w:tcBorders>
              <w:top w:val="nil"/>
              <w:left w:val="nil"/>
              <w:bottom w:val="single" w:sz="8" w:space="0" w:color="auto"/>
              <w:right w:val="single" w:sz="8" w:space="0" w:color="auto"/>
            </w:tcBorders>
            <w:noWrap/>
            <w:vAlign w:val="center"/>
            <w:hideMark/>
          </w:tcPr>
          <w:p w14:paraId="790192CC"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115</w:t>
            </w:r>
          </w:p>
        </w:tc>
        <w:tc>
          <w:tcPr>
            <w:tcW w:w="932" w:type="pct"/>
            <w:tcBorders>
              <w:top w:val="nil"/>
              <w:left w:val="nil"/>
              <w:bottom w:val="single" w:sz="8" w:space="0" w:color="auto"/>
              <w:right w:val="single" w:sz="8" w:space="0" w:color="auto"/>
            </w:tcBorders>
            <w:noWrap/>
            <w:vAlign w:val="center"/>
            <w:hideMark/>
          </w:tcPr>
          <w:p w14:paraId="4C698FB9"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86</w:t>
            </w:r>
          </w:p>
        </w:tc>
      </w:tr>
      <w:tr w:rsidR="00081708" w:rsidRPr="008D2838" w14:paraId="697C7503" w14:textId="77777777" w:rsidTr="00081708">
        <w:trPr>
          <w:trHeight w:val="20"/>
        </w:trPr>
        <w:tc>
          <w:tcPr>
            <w:tcW w:w="2169" w:type="pct"/>
            <w:gridSpan w:val="2"/>
            <w:tcBorders>
              <w:top w:val="single" w:sz="8" w:space="0" w:color="auto"/>
              <w:left w:val="single" w:sz="8" w:space="0" w:color="auto"/>
              <w:bottom w:val="single" w:sz="8" w:space="0" w:color="auto"/>
              <w:right w:val="single" w:sz="8" w:space="0" w:color="000000"/>
            </w:tcBorders>
            <w:shd w:val="clear" w:color="auto" w:fill="244061"/>
            <w:noWrap/>
            <w:vAlign w:val="center"/>
            <w:hideMark/>
          </w:tcPr>
          <w:p w14:paraId="1EA4B9EE" w14:textId="77777777" w:rsidR="00081708" w:rsidRPr="008D2838" w:rsidRDefault="00081708" w:rsidP="00E32F8D">
            <w:pP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Total Superávit / Déficit</w:t>
            </w:r>
          </w:p>
        </w:tc>
        <w:tc>
          <w:tcPr>
            <w:tcW w:w="933" w:type="pct"/>
            <w:tcBorders>
              <w:top w:val="nil"/>
              <w:left w:val="nil"/>
              <w:bottom w:val="single" w:sz="8" w:space="0" w:color="auto"/>
              <w:right w:val="single" w:sz="8" w:space="0" w:color="auto"/>
            </w:tcBorders>
            <w:shd w:val="clear" w:color="auto" w:fill="244061"/>
            <w:vAlign w:val="center"/>
            <w:hideMark/>
          </w:tcPr>
          <w:p w14:paraId="307D90FD"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1.014</w:t>
            </w:r>
          </w:p>
        </w:tc>
        <w:tc>
          <w:tcPr>
            <w:tcW w:w="967" w:type="pct"/>
            <w:tcBorders>
              <w:top w:val="nil"/>
              <w:left w:val="nil"/>
              <w:bottom w:val="single" w:sz="8" w:space="0" w:color="auto"/>
              <w:right w:val="single" w:sz="8" w:space="0" w:color="auto"/>
            </w:tcBorders>
            <w:shd w:val="clear" w:color="auto" w:fill="244061"/>
            <w:vAlign w:val="center"/>
            <w:hideMark/>
          </w:tcPr>
          <w:p w14:paraId="5C301638"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956</w:t>
            </w:r>
          </w:p>
        </w:tc>
        <w:tc>
          <w:tcPr>
            <w:tcW w:w="932" w:type="pct"/>
            <w:tcBorders>
              <w:top w:val="nil"/>
              <w:left w:val="nil"/>
              <w:bottom w:val="single" w:sz="8" w:space="0" w:color="auto"/>
              <w:right w:val="single" w:sz="8" w:space="0" w:color="auto"/>
            </w:tcBorders>
            <w:shd w:val="clear" w:color="auto" w:fill="244061"/>
            <w:vAlign w:val="center"/>
            <w:hideMark/>
          </w:tcPr>
          <w:p w14:paraId="3BD15A28"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858</w:t>
            </w:r>
          </w:p>
        </w:tc>
      </w:tr>
      <w:tr w:rsidR="00081708" w:rsidRPr="008D2838" w14:paraId="28F13965" w14:textId="77777777" w:rsidTr="00E32F8D">
        <w:trPr>
          <w:trHeight w:val="20"/>
        </w:trPr>
        <w:tc>
          <w:tcPr>
            <w:tcW w:w="1038" w:type="pct"/>
            <w:vMerge w:val="restart"/>
            <w:tcBorders>
              <w:top w:val="nil"/>
              <w:left w:val="single" w:sz="8" w:space="0" w:color="auto"/>
              <w:bottom w:val="single" w:sz="8" w:space="0" w:color="000000"/>
              <w:right w:val="single" w:sz="8" w:space="0" w:color="auto"/>
            </w:tcBorders>
            <w:shd w:val="clear" w:color="auto" w:fill="244061"/>
            <w:vAlign w:val="center"/>
            <w:hideMark/>
          </w:tcPr>
          <w:p w14:paraId="66A1F50A"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2020</w:t>
            </w:r>
          </w:p>
        </w:tc>
        <w:tc>
          <w:tcPr>
            <w:tcW w:w="1131" w:type="pct"/>
            <w:tcBorders>
              <w:top w:val="nil"/>
              <w:left w:val="nil"/>
              <w:bottom w:val="single" w:sz="8" w:space="0" w:color="auto"/>
              <w:right w:val="nil"/>
            </w:tcBorders>
            <w:shd w:val="clear" w:color="auto" w:fill="D9D9D9"/>
            <w:vAlign w:val="center"/>
            <w:hideMark/>
          </w:tcPr>
          <w:p w14:paraId="6E42719F"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 xml:space="preserve"> Prestación </w:t>
            </w:r>
          </w:p>
        </w:tc>
        <w:tc>
          <w:tcPr>
            <w:tcW w:w="933" w:type="pct"/>
            <w:tcBorders>
              <w:top w:val="nil"/>
              <w:left w:val="single" w:sz="8" w:space="0" w:color="auto"/>
              <w:bottom w:val="single" w:sz="8" w:space="0" w:color="auto"/>
              <w:right w:val="single" w:sz="8" w:space="0" w:color="auto"/>
            </w:tcBorders>
            <w:noWrap/>
            <w:vAlign w:val="center"/>
            <w:hideMark/>
          </w:tcPr>
          <w:p w14:paraId="060DDDAC"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1.882</w:t>
            </w:r>
          </w:p>
        </w:tc>
        <w:tc>
          <w:tcPr>
            <w:tcW w:w="967" w:type="pct"/>
            <w:tcBorders>
              <w:top w:val="nil"/>
              <w:left w:val="nil"/>
              <w:bottom w:val="single" w:sz="8" w:space="0" w:color="auto"/>
              <w:right w:val="single" w:sz="8" w:space="0" w:color="auto"/>
            </w:tcBorders>
            <w:noWrap/>
            <w:vAlign w:val="center"/>
            <w:hideMark/>
          </w:tcPr>
          <w:p w14:paraId="5CFDBB2B"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1.695</w:t>
            </w:r>
          </w:p>
        </w:tc>
        <w:tc>
          <w:tcPr>
            <w:tcW w:w="932" w:type="pct"/>
            <w:tcBorders>
              <w:top w:val="nil"/>
              <w:left w:val="nil"/>
              <w:bottom w:val="single" w:sz="8" w:space="0" w:color="auto"/>
              <w:right w:val="single" w:sz="8" w:space="0" w:color="auto"/>
            </w:tcBorders>
            <w:noWrap/>
            <w:vAlign w:val="center"/>
            <w:hideMark/>
          </w:tcPr>
          <w:p w14:paraId="0D02367E"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1.596</w:t>
            </w:r>
          </w:p>
        </w:tc>
      </w:tr>
      <w:tr w:rsidR="00081708" w:rsidRPr="008D2838" w14:paraId="31EA962A"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4933A551" w14:textId="77777777" w:rsidR="00081708" w:rsidRPr="008D2838" w:rsidRDefault="00081708" w:rsidP="00081708">
            <w:pPr>
              <w:rPr>
                <w:rFonts w:ascii="Arial" w:eastAsia="Times New Roman" w:hAnsi="Arial" w:cs="Arial"/>
                <w:b/>
                <w:bCs/>
                <w:color w:val="FFFFFF"/>
                <w:sz w:val="18"/>
                <w:szCs w:val="18"/>
                <w:lang w:val="es-CO" w:eastAsia="es-CO"/>
              </w:rPr>
            </w:pPr>
          </w:p>
        </w:tc>
        <w:tc>
          <w:tcPr>
            <w:tcW w:w="1131" w:type="pct"/>
            <w:tcBorders>
              <w:top w:val="nil"/>
              <w:left w:val="nil"/>
              <w:bottom w:val="single" w:sz="8" w:space="0" w:color="auto"/>
              <w:right w:val="single" w:sz="8" w:space="0" w:color="auto"/>
            </w:tcBorders>
            <w:shd w:val="clear" w:color="auto" w:fill="D9D9D9"/>
            <w:vAlign w:val="center"/>
            <w:hideMark/>
          </w:tcPr>
          <w:p w14:paraId="5D59F528"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 xml:space="preserve"> Calidad </w:t>
            </w:r>
          </w:p>
        </w:tc>
        <w:tc>
          <w:tcPr>
            <w:tcW w:w="933" w:type="pct"/>
            <w:tcBorders>
              <w:top w:val="nil"/>
              <w:left w:val="nil"/>
              <w:bottom w:val="single" w:sz="8" w:space="0" w:color="auto"/>
              <w:right w:val="single" w:sz="8" w:space="0" w:color="auto"/>
            </w:tcBorders>
            <w:noWrap/>
            <w:vAlign w:val="center"/>
            <w:hideMark/>
          </w:tcPr>
          <w:p w14:paraId="5F1EEC7A"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892</w:t>
            </w:r>
          </w:p>
        </w:tc>
        <w:tc>
          <w:tcPr>
            <w:tcW w:w="967" w:type="pct"/>
            <w:tcBorders>
              <w:top w:val="nil"/>
              <w:left w:val="nil"/>
              <w:bottom w:val="single" w:sz="8" w:space="0" w:color="auto"/>
              <w:right w:val="single" w:sz="8" w:space="0" w:color="auto"/>
            </w:tcBorders>
            <w:noWrap/>
            <w:vAlign w:val="center"/>
            <w:hideMark/>
          </w:tcPr>
          <w:p w14:paraId="4062E235"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892</w:t>
            </w:r>
          </w:p>
        </w:tc>
        <w:tc>
          <w:tcPr>
            <w:tcW w:w="932" w:type="pct"/>
            <w:tcBorders>
              <w:top w:val="nil"/>
              <w:left w:val="nil"/>
              <w:bottom w:val="single" w:sz="8" w:space="0" w:color="auto"/>
              <w:right w:val="single" w:sz="8" w:space="0" w:color="auto"/>
            </w:tcBorders>
            <w:noWrap/>
            <w:vAlign w:val="center"/>
            <w:hideMark/>
          </w:tcPr>
          <w:p w14:paraId="2C8CD596"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992</w:t>
            </w:r>
          </w:p>
        </w:tc>
      </w:tr>
      <w:tr w:rsidR="00081708" w:rsidRPr="008D2838" w14:paraId="1F69879E" w14:textId="77777777" w:rsidTr="00081708">
        <w:trPr>
          <w:trHeight w:val="20"/>
        </w:trPr>
        <w:tc>
          <w:tcPr>
            <w:tcW w:w="2169" w:type="pct"/>
            <w:gridSpan w:val="2"/>
            <w:tcBorders>
              <w:top w:val="single" w:sz="8" w:space="0" w:color="auto"/>
              <w:left w:val="single" w:sz="8" w:space="0" w:color="auto"/>
              <w:bottom w:val="single" w:sz="8" w:space="0" w:color="auto"/>
              <w:right w:val="single" w:sz="8" w:space="0" w:color="000000"/>
            </w:tcBorders>
            <w:shd w:val="clear" w:color="auto" w:fill="244061"/>
            <w:noWrap/>
            <w:vAlign w:val="center"/>
            <w:hideMark/>
          </w:tcPr>
          <w:p w14:paraId="0F8F855B" w14:textId="77777777" w:rsidR="00081708" w:rsidRPr="008D2838" w:rsidRDefault="00081708" w:rsidP="00E32F8D">
            <w:pP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Total Superávit / Déficit</w:t>
            </w:r>
          </w:p>
        </w:tc>
        <w:tc>
          <w:tcPr>
            <w:tcW w:w="933" w:type="pct"/>
            <w:tcBorders>
              <w:top w:val="nil"/>
              <w:left w:val="nil"/>
              <w:bottom w:val="single" w:sz="8" w:space="0" w:color="auto"/>
              <w:right w:val="single" w:sz="8" w:space="0" w:color="auto"/>
            </w:tcBorders>
            <w:shd w:val="clear" w:color="auto" w:fill="244061"/>
            <w:vAlign w:val="center"/>
            <w:hideMark/>
          </w:tcPr>
          <w:p w14:paraId="0FFB9B19"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2.774</w:t>
            </w:r>
          </w:p>
        </w:tc>
        <w:tc>
          <w:tcPr>
            <w:tcW w:w="967" w:type="pct"/>
            <w:tcBorders>
              <w:top w:val="nil"/>
              <w:left w:val="nil"/>
              <w:bottom w:val="single" w:sz="8" w:space="0" w:color="auto"/>
              <w:right w:val="single" w:sz="8" w:space="0" w:color="auto"/>
            </w:tcBorders>
            <w:shd w:val="clear" w:color="auto" w:fill="244061"/>
            <w:vAlign w:val="center"/>
            <w:hideMark/>
          </w:tcPr>
          <w:p w14:paraId="4279D9E9"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2.588</w:t>
            </w:r>
          </w:p>
        </w:tc>
        <w:tc>
          <w:tcPr>
            <w:tcW w:w="932" w:type="pct"/>
            <w:tcBorders>
              <w:top w:val="nil"/>
              <w:left w:val="nil"/>
              <w:bottom w:val="single" w:sz="8" w:space="0" w:color="auto"/>
              <w:right w:val="single" w:sz="8" w:space="0" w:color="auto"/>
            </w:tcBorders>
            <w:shd w:val="clear" w:color="auto" w:fill="244061"/>
            <w:vAlign w:val="center"/>
            <w:hideMark/>
          </w:tcPr>
          <w:p w14:paraId="57A99297"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2.588</w:t>
            </w:r>
          </w:p>
        </w:tc>
      </w:tr>
      <w:tr w:rsidR="00081708" w:rsidRPr="008D2838" w14:paraId="0194E3A8" w14:textId="77777777" w:rsidTr="00E32F8D">
        <w:trPr>
          <w:trHeight w:val="20"/>
        </w:trPr>
        <w:tc>
          <w:tcPr>
            <w:tcW w:w="1038" w:type="pct"/>
            <w:vMerge w:val="restart"/>
            <w:tcBorders>
              <w:top w:val="nil"/>
              <w:left w:val="single" w:sz="8" w:space="0" w:color="auto"/>
              <w:bottom w:val="single" w:sz="8" w:space="0" w:color="000000"/>
              <w:right w:val="single" w:sz="8" w:space="0" w:color="auto"/>
            </w:tcBorders>
            <w:shd w:val="clear" w:color="auto" w:fill="244061"/>
            <w:vAlign w:val="center"/>
            <w:hideMark/>
          </w:tcPr>
          <w:p w14:paraId="2E848D4B"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2021</w:t>
            </w:r>
          </w:p>
        </w:tc>
        <w:tc>
          <w:tcPr>
            <w:tcW w:w="1131" w:type="pct"/>
            <w:tcBorders>
              <w:top w:val="nil"/>
              <w:left w:val="nil"/>
              <w:bottom w:val="single" w:sz="8" w:space="0" w:color="auto"/>
              <w:right w:val="single" w:sz="8" w:space="0" w:color="auto"/>
            </w:tcBorders>
            <w:shd w:val="clear" w:color="auto" w:fill="D9D9D9"/>
            <w:vAlign w:val="center"/>
            <w:hideMark/>
          </w:tcPr>
          <w:p w14:paraId="2E2D485E"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 xml:space="preserve"> Prestación </w:t>
            </w:r>
          </w:p>
        </w:tc>
        <w:tc>
          <w:tcPr>
            <w:tcW w:w="933" w:type="pct"/>
            <w:tcBorders>
              <w:top w:val="nil"/>
              <w:left w:val="nil"/>
              <w:bottom w:val="single" w:sz="8" w:space="0" w:color="auto"/>
              <w:right w:val="single" w:sz="8" w:space="0" w:color="auto"/>
            </w:tcBorders>
            <w:shd w:val="clear" w:color="auto" w:fill="FFFFFF"/>
            <w:vAlign w:val="center"/>
            <w:hideMark/>
          </w:tcPr>
          <w:p w14:paraId="1A3E1AFD"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2.036</w:t>
            </w:r>
          </w:p>
        </w:tc>
        <w:tc>
          <w:tcPr>
            <w:tcW w:w="967" w:type="pct"/>
            <w:tcBorders>
              <w:top w:val="nil"/>
              <w:left w:val="nil"/>
              <w:bottom w:val="single" w:sz="8" w:space="0" w:color="auto"/>
              <w:right w:val="single" w:sz="8" w:space="0" w:color="auto"/>
            </w:tcBorders>
            <w:shd w:val="clear" w:color="auto" w:fill="FFFFFF"/>
            <w:vAlign w:val="center"/>
            <w:hideMark/>
          </w:tcPr>
          <w:p w14:paraId="5B9E1168"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1.833</w:t>
            </w:r>
          </w:p>
        </w:tc>
        <w:tc>
          <w:tcPr>
            <w:tcW w:w="932" w:type="pct"/>
            <w:tcBorders>
              <w:top w:val="nil"/>
              <w:left w:val="nil"/>
              <w:bottom w:val="single" w:sz="8" w:space="0" w:color="auto"/>
              <w:right w:val="single" w:sz="8" w:space="0" w:color="auto"/>
            </w:tcBorders>
            <w:shd w:val="clear" w:color="auto" w:fill="FFFFFF"/>
            <w:vAlign w:val="center"/>
            <w:hideMark/>
          </w:tcPr>
          <w:p w14:paraId="5A0EB725"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1.843</w:t>
            </w:r>
          </w:p>
        </w:tc>
      </w:tr>
      <w:tr w:rsidR="00081708" w:rsidRPr="008D2838" w14:paraId="4A44051F"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47EE5602" w14:textId="77777777" w:rsidR="00081708" w:rsidRPr="008D2838" w:rsidRDefault="00081708" w:rsidP="00081708">
            <w:pPr>
              <w:rPr>
                <w:rFonts w:ascii="Arial" w:eastAsia="Times New Roman" w:hAnsi="Arial" w:cs="Arial"/>
                <w:b/>
                <w:bCs/>
                <w:color w:val="FFFFFF"/>
                <w:sz w:val="18"/>
                <w:szCs w:val="18"/>
                <w:lang w:val="es-CO" w:eastAsia="es-CO"/>
              </w:rPr>
            </w:pPr>
          </w:p>
        </w:tc>
        <w:tc>
          <w:tcPr>
            <w:tcW w:w="1131" w:type="pct"/>
            <w:tcBorders>
              <w:top w:val="nil"/>
              <w:left w:val="nil"/>
              <w:bottom w:val="single" w:sz="8" w:space="0" w:color="auto"/>
              <w:right w:val="single" w:sz="8" w:space="0" w:color="auto"/>
            </w:tcBorders>
            <w:shd w:val="clear" w:color="auto" w:fill="D9D9D9"/>
            <w:vAlign w:val="center"/>
            <w:hideMark/>
          </w:tcPr>
          <w:p w14:paraId="1D666A7D"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 xml:space="preserve"> Calidad </w:t>
            </w:r>
          </w:p>
        </w:tc>
        <w:tc>
          <w:tcPr>
            <w:tcW w:w="933" w:type="pct"/>
            <w:tcBorders>
              <w:top w:val="nil"/>
              <w:left w:val="nil"/>
              <w:bottom w:val="single" w:sz="8" w:space="0" w:color="auto"/>
              <w:right w:val="single" w:sz="8" w:space="0" w:color="auto"/>
            </w:tcBorders>
            <w:shd w:val="clear" w:color="auto" w:fill="FFFFFF"/>
            <w:vAlign w:val="center"/>
            <w:hideMark/>
          </w:tcPr>
          <w:p w14:paraId="7D100197"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590</w:t>
            </w:r>
          </w:p>
        </w:tc>
        <w:tc>
          <w:tcPr>
            <w:tcW w:w="967" w:type="pct"/>
            <w:tcBorders>
              <w:top w:val="nil"/>
              <w:left w:val="nil"/>
              <w:bottom w:val="single" w:sz="8" w:space="0" w:color="auto"/>
              <w:right w:val="single" w:sz="8" w:space="0" w:color="auto"/>
            </w:tcBorders>
            <w:shd w:val="clear" w:color="auto" w:fill="FFFFFF"/>
            <w:vAlign w:val="center"/>
            <w:hideMark/>
          </w:tcPr>
          <w:p w14:paraId="6A1A094B"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590</w:t>
            </w:r>
          </w:p>
        </w:tc>
        <w:tc>
          <w:tcPr>
            <w:tcW w:w="932" w:type="pct"/>
            <w:tcBorders>
              <w:top w:val="nil"/>
              <w:left w:val="nil"/>
              <w:bottom w:val="single" w:sz="8" w:space="0" w:color="auto"/>
              <w:right w:val="single" w:sz="8" w:space="0" w:color="auto"/>
            </w:tcBorders>
            <w:shd w:val="clear" w:color="auto" w:fill="FFFFFF"/>
            <w:vAlign w:val="center"/>
            <w:hideMark/>
          </w:tcPr>
          <w:p w14:paraId="03E383CD"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589</w:t>
            </w:r>
          </w:p>
        </w:tc>
      </w:tr>
      <w:tr w:rsidR="00081708" w:rsidRPr="008D2838" w14:paraId="783CB841" w14:textId="77777777" w:rsidTr="00081708">
        <w:trPr>
          <w:trHeight w:val="20"/>
        </w:trPr>
        <w:tc>
          <w:tcPr>
            <w:tcW w:w="2169" w:type="pct"/>
            <w:gridSpan w:val="2"/>
            <w:tcBorders>
              <w:top w:val="single" w:sz="8" w:space="0" w:color="auto"/>
              <w:left w:val="single" w:sz="8" w:space="0" w:color="auto"/>
              <w:bottom w:val="single" w:sz="8" w:space="0" w:color="auto"/>
              <w:right w:val="single" w:sz="8" w:space="0" w:color="000000"/>
            </w:tcBorders>
            <w:shd w:val="clear" w:color="auto" w:fill="244061"/>
            <w:noWrap/>
            <w:vAlign w:val="center"/>
            <w:hideMark/>
          </w:tcPr>
          <w:p w14:paraId="2E855233" w14:textId="77777777" w:rsidR="00081708" w:rsidRPr="008D2838" w:rsidRDefault="00081708" w:rsidP="00E32F8D">
            <w:pP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Total Superávit / Déficit</w:t>
            </w:r>
          </w:p>
        </w:tc>
        <w:tc>
          <w:tcPr>
            <w:tcW w:w="933" w:type="pct"/>
            <w:tcBorders>
              <w:top w:val="nil"/>
              <w:left w:val="nil"/>
              <w:bottom w:val="single" w:sz="8" w:space="0" w:color="auto"/>
              <w:right w:val="single" w:sz="8" w:space="0" w:color="auto"/>
            </w:tcBorders>
            <w:shd w:val="clear" w:color="auto" w:fill="244061"/>
            <w:vAlign w:val="center"/>
            <w:hideMark/>
          </w:tcPr>
          <w:p w14:paraId="4BAF437F"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2.626</w:t>
            </w:r>
          </w:p>
        </w:tc>
        <w:tc>
          <w:tcPr>
            <w:tcW w:w="967" w:type="pct"/>
            <w:tcBorders>
              <w:top w:val="nil"/>
              <w:left w:val="nil"/>
              <w:bottom w:val="single" w:sz="8" w:space="0" w:color="auto"/>
              <w:right w:val="single" w:sz="8" w:space="0" w:color="auto"/>
            </w:tcBorders>
            <w:shd w:val="clear" w:color="auto" w:fill="244061"/>
            <w:vAlign w:val="center"/>
            <w:hideMark/>
          </w:tcPr>
          <w:p w14:paraId="1DBD383B"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2.423</w:t>
            </w:r>
          </w:p>
        </w:tc>
        <w:tc>
          <w:tcPr>
            <w:tcW w:w="932" w:type="pct"/>
            <w:tcBorders>
              <w:top w:val="nil"/>
              <w:left w:val="nil"/>
              <w:bottom w:val="single" w:sz="8" w:space="0" w:color="auto"/>
              <w:right w:val="single" w:sz="8" w:space="0" w:color="auto"/>
            </w:tcBorders>
            <w:shd w:val="clear" w:color="auto" w:fill="244061"/>
            <w:vAlign w:val="center"/>
            <w:hideMark/>
          </w:tcPr>
          <w:p w14:paraId="7F22E1C8"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2.432</w:t>
            </w:r>
          </w:p>
        </w:tc>
      </w:tr>
      <w:tr w:rsidR="00081708" w:rsidRPr="008D2838" w14:paraId="3A6EA9F3" w14:textId="77777777" w:rsidTr="00E32F8D">
        <w:trPr>
          <w:trHeight w:val="20"/>
        </w:trPr>
        <w:tc>
          <w:tcPr>
            <w:tcW w:w="1038" w:type="pct"/>
            <w:vMerge w:val="restart"/>
            <w:tcBorders>
              <w:top w:val="nil"/>
              <w:left w:val="single" w:sz="8" w:space="0" w:color="auto"/>
              <w:bottom w:val="single" w:sz="8" w:space="0" w:color="000000"/>
              <w:right w:val="single" w:sz="8" w:space="0" w:color="auto"/>
            </w:tcBorders>
            <w:shd w:val="clear" w:color="auto" w:fill="244061"/>
            <w:vAlign w:val="center"/>
            <w:hideMark/>
          </w:tcPr>
          <w:p w14:paraId="4C758688"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2022</w:t>
            </w:r>
          </w:p>
        </w:tc>
        <w:tc>
          <w:tcPr>
            <w:tcW w:w="1131" w:type="pct"/>
            <w:tcBorders>
              <w:top w:val="nil"/>
              <w:left w:val="nil"/>
              <w:bottom w:val="single" w:sz="8" w:space="0" w:color="auto"/>
              <w:right w:val="single" w:sz="8" w:space="0" w:color="auto"/>
            </w:tcBorders>
            <w:shd w:val="clear" w:color="auto" w:fill="D9D9D9"/>
            <w:vAlign w:val="center"/>
            <w:hideMark/>
          </w:tcPr>
          <w:p w14:paraId="53B6DF0E"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 xml:space="preserve"> Prestación </w:t>
            </w:r>
          </w:p>
        </w:tc>
        <w:tc>
          <w:tcPr>
            <w:tcW w:w="933" w:type="pct"/>
            <w:tcBorders>
              <w:top w:val="nil"/>
              <w:left w:val="nil"/>
              <w:bottom w:val="single" w:sz="8" w:space="0" w:color="auto"/>
              <w:right w:val="single" w:sz="8" w:space="0" w:color="auto"/>
            </w:tcBorders>
            <w:shd w:val="clear" w:color="auto" w:fill="FFFFFF"/>
            <w:vAlign w:val="center"/>
            <w:hideMark/>
          </w:tcPr>
          <w:p w14:paraId="2997F926"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0</w:t>
            </w:r>
          </w:p>
        </w:tc>
        <w:tc>
          <w:tcPr>
            <w:tcW w:w="967" w:type="pct"/>
            <w:tcBorders>
              <w:top w:val="nil"/>
              <w:left w:val="nil"/>
              <w:bottom w:val="single" w:sz="8" w:space="0" w:color="auto"/>
              <w:right w:val="single" w:sz="8" w:space="0" w:color="auto"/>
            </w:tcBorders>
            <w:shd w:val="clear" w:color="auto" w:fill="FFFFFF"/>
            <w:vAlign w:val="center"/>
            <w:hideMark/>
          </w:tcPr>
          <w:p w14:paraId="463DF135"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1.149</w:t>
            </w:r>
          </w:p>
        </w:tc>
        <w:tc>
          <w:tcPr>
            <w:tcW w:w="932" w:type="pct"/>
            <w:tcBorders>
              <w:top w:val="nil"/>
              <w:left w:val="nil"/>
              <w:bottom w:val="single" w:sz="8" w:space="0" w:color="auto"/>
              <w:right w:val="single" w:sz="8" w:space="0" w:color="auto"/>
            </w:tcBorders>
            <w:shd w:val="clear" w:color="auto" w:fill="FFFFFF"/>
            <w:vAlign w:val="center"/>
            <w:hideMark/>
          </w:tcPr>
          <w:p w14:paraId="515B6641"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1.890</w:t>
            </w:r>
          </w:p>
        </w:tc>
      </w:tr>
      <w:tr w:rsidR="00081708" w:rsidRPr="008D2838" w14:paraId="0530877B" w14:textId="77777777" w:rsidTr="00E32F8D">
        <w:trPr>
          <w:trHeight w:val="20"/>
        </w:trPr>
        <w:tc>
          <w:tcPr>
            <w:tcW w:w="0" w:type="auto"/>
            <w:vMerge/>
            <w:tcBorders>
              <w:top w:val="nil"/>
              <w:left w:val="single" w:sz="8" w:space="0" w:color="auto"/>
              <w:bottom w:val="single" w:sz="8" w:space="0" w:color="000000"/>
              <w:right w:val="single" w:sz="8" w:space="0" w:color="auto"/>
            </w:tcBorders>
            <w:vAlign w:val="center"/>
            <w:hideMark/>
          </w:tcPr>
          <w:p w14:paraId="427A9D0E" w14:textId="77777777" w:rsidR="00081708" w:rsidRPr="008D2838" w:rsidRDefault="00081708" w:rsidP="00081708">
            <w:pPr>
              <w:rPr>
                <w:rFonts w:ascii="Arial" w:eastAsia="Times New Roman" w:hAnsi="Arial" w:cs="Arial"/>
                <w:b/>
                <w:bCs/>
                <w:color w:val="FFFFFF"/>
                <w:sz w:val="18"/>
                <w:szCs w:val="18"/>
                <w:lang w:val="es-CO" w:eastAsia="es-CO"/>
              </w:rPr>
            </w:pPr>
          </w:p>
        </w:tc>
        <w:tc>
          <w:tcPr>
            <w:tcW w:w="1131" w:type="pct"/>
            <w:tcBorders>
              <w:top w:val="nil"/>
              <w:left w:val="nil"/>
              <w:bottom w:val="single" w:sz="8" w:space="0" w:color="auto"/>
              <w:right w:val="single" w:sz="8" w:space="0" w:color="auto"/>
            </w:tcBorders>
            <w:shd w:val="clear" w:color="auto" w:fill="D9D9D9"/>
            <w:vAlign w:val="center"/>
            <w:hideMark/>
          </w:tcPr>
          <w:p w14:paraId="74E7EA64" w14:textId="77777777" w:rsidR="00081708" w:rsidRPr="008D2838" w:rsidRDefault="00081708" w:rsidP="00081708">
            <w:pPr>
              <w:jc w:val="center"/>
              <w:rPr>
                <w:rFonts w:ascii="Arial" w:eastAsia="Times New Roman" w:hAnsi="Arial" w:cs="Arial"/>
                <w:b/>
                <w:bCs/>
                <w:color w:val="000000"/>
                <w:sz w:val="18"/>
                <w:szCs w:val="18"/>
                <w:lang w:val="es-CO" w:eastAsia="es-CO"/>
              </w:rPr>
            </w:pPr>
            <w:r w:rsidRPr="008D2838">
              <w:rPr>
                <w:rFonts w:ascii="Arial" w:eastAsia="Times New Roman" w:hAnsi="Arial" w:cs="Arial"/>
                <w:b/>
                <w:bCs/>
                <w:color w:val="000000"/>
                <w:sz w:val="18"/>
                <w:szCs w:val="18"/>
                <w:lang w:val="es-CO" w:eastAsia="es-CO"/>
              </w:rPr>
              <w:t xml:space="preserve"> Calidad </w:t>
            </w:r>
          </w:p>
        </w:tc>
        <w:tc>
          <w:tcPr>
            <w:tcW w:w="933" w:type="pct"/>
            <w:tcBorders>
              <w:top w:val="nil"/>
              <w:left w:val="nil"/>
              <w:bottom w:val="single" w:sz="8" w:space="0" w:color="auto"/>
              <w:right w:val="single" w:sz="8" w:space="0" w:color="auto"/>
            </w:tcBorders>
            <w:shd w:val="clear" w:color="auto" w:fill="FFFFFF"/>
            <w:vAlign w:val="center"/>
            <w:hideMark/>
          </w:tcPr>
          <w:p w14:paraId="0017E309"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11</w:t>
            </w:r>
          </w:p>
        </w:tc>
        <w:tc>
          <w:tcPr>
            <w:tcW w:w="967" w:type="pct"/>
            <w:tcBorders>
              <w:top w:val="nil"/>
              <w:left w:val="nil"/>
              <w:bottom w:val="single" w:sz="8" w:space="0" w:color="auto"/>
              <w:right w:val="single" w:sz="8" w:space="0" w:color="auto"/>
            </w:tcBorders>
            <w:shd w:val="clear" w:color="auto" w:fill="FFFFFF"/>
            <w:vAlign w:val="center"/>
            <w:hideMark/>
          </w:tcPr>
          <w:p w14:paraId="2F6D888B"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11</w:t>
            </w:r>
          </w:p>
        </w:tc>
        <w:tc>
          <w:tcPr>
            <w:tcW w:w="932" w:type="pct"/>
            <w:tcBorders>
              <w:top w:val="nil"/>
              <w:left w:val="nil"/>
              <w:bottom w:val="single" w:sz="8" w:space="0" w:color="auto"/>
              <w:right w:val="single" w:sz="8" w:space="0" w:color="auto"/>
            </w:tcBorders>
            <w:shd w:val="clear" w:color="auto" w:fill="FFFFFF"/>
            <w:vAlign w:val="center"/>
            <w:hideMark/>
          </w:tcPr>
          <w:p w14:paraId="181BFFC9" w14:textId="77777777" w:rsidR="00081708" w:rsidRPr="008D2838" w:rsidRDefault="00081708" w:rsidP="00081708">
            <w:pPr>
              <w:jc w:val="center"/>
              <w:rPr>
                <w:rFonts w:ascii="Arial" w:eastAsia="Times New Roman" w:hAnsi="Arial" w:cs="Arial"/>
                <w:color w:val="000000"/>
                <w:sz w:val="18"/>
                <w:szCs w:val="18"/>
                <w:lang w:val="es-CO" w:eastAsia="es-CO"/>
              </w:rPr>
            </w:pPr>
            <w:r w:rsidRPr="008D2838">
              <w:rPr>
                <w:rFonts w:ascii="Arial" w:eastAsia="Times New Roman" w:hAnsi="Arial" w:cs="Arial"/>
                <w:color w:val="000000"/>
                <w:sz w:val="18"/>
                <w:szCs w:val="18"/>
                <w:lang w:val="es-CO" w:eastAsia="es-CO"/>
              </w:rPr>
              <w:t>705</w:t>
            </w:r>
          </w:p>
        </w:tc>
      </w:tr>
      <w:tr w:rsidR="00081708" w:rsidRPr="008D2838" w14:paraId="3CB2B920" w14:textId="77777777" w:rsidTr="00081708">
        <w:trPr>
          <w:trHeight w:val="20"/>
        </w:trPr>
        <w:tc>
          <w:tcPr>
            <w:tcW w:w="2169" w:type="pct"/>
            <w:gridSpan w:val="2"/>
            <w:tcBorders>
              <w:top w:val="single" w:sz="8" w:space="0" w:color="auto"/>
              <w:left w:val="single" w:sz="8" w:space="0" w:color="auto"/>
              <w:bottom w:val="single" w:sz="8" w:space="0" w:color="auto"/>
              <w:right w:val="single" w:sz="8" w:space="0" w:color="000000"/>
            </w:tcBorders>
            <w:shd w:val="clear" w:color="auto" w:fill="244061"/>
            <w:noWrap/>
            <w:vAlign w:val="center"/>
            <w:hideMark/>
          </w:tcPr>
          <w:p w14:paraId="31CA3BC6" w14:textId="77777777" w:rsidR="00081708" w:rsidRPr="008D2838" w:rsidRDefault="00081708" w:rsidP="00E32F8D">
            <w:pP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Total Superávit / Déficit</w:t>
            </w:r>
          </w:p>
        </w:tc>
        <w:tc>
          <w:tcPr>
            <w:tcW w:w="933" w:type="pct"/>
            <w:tcBorders>
              <w:top w:val="nil"/>
              <w:left w:val="nil"/>
              <w:bottom w:val="single" w:sz="8" w:space="0" w:color="auto"/>
              <w:right w:val="single" w:sz="8" w:space="0" w:color="auto"/>
            </w:tcBorders>
            <w:shd w:val="clear" w:color="auto" w:fill="244061"/>
            <w:vAlign w:val="center"/>
            <w:hideMark/>
          </w:tcPr>
          <w:p w14:paraId="3663D659"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11</w:t>
            </w:r>
          </w:p>
        </w:tc>
        <w:tc>
          <w:tcPr>
            <w:tcW w:w="967" w:type="pct"/>
            <w:tcBorders>
              <w:top w:val="nil"/>
              <w:left w:val="nil"/>
              <w:bottom w:val="single" w:sz="8" w:space="0" w:color="auto"/>
              <w:right w:val="single" w:sz="8" w:space="0" w:color="auto"/>
            </w:tcBorders>
            <w:shd w:val="clear" w:color="auto" w:fill="244061"/>
            <w:vAlign w:val="center"/>
            <w:hideMark/>
          </w:tcPr>
          <w:p w14:paraId="2F22EFBF"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1.160</w:t>
            </w:r>
          </w:p>
        </w:tc>
        <w:tc>
          <w:tcPr>
            <w:tcW w:w="932" w:type="pct"/>
            <w:tcBorders>
              <w:top w:val="nil"/>
              <w:left w:val="nil"/>
              <w:bottom w:val="single" w:sz="8" w:space="0" w:color="auto"/>
              <w:right w:val="single" w:sz="8" w:space="0" w:color="auto"/>
            </w:tcBorders>
            <w:shd w:val="clear" w:color="auto" w:fill="244061"/>
            <w:vAlign w:val="center"/>
            <w:hideMark/>
          </w:tcPr>
          <w:p w14:paraId="6A543CF0"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2.595</w:t>
            </w:r>
          </w:p>
        </w:tc>
      </w:tr>
    </w:tbl>
    <w:p w14:paraId="2F74D6B8" w14:textId="77777777" w:rsidR="00081708" w:rsidRPr="008D2838" w:rsidRDefault="00081708" w:rsidP="00081708">
      <w:pPr>
        <w:jc w:val="center"/>
        <w:rPr>
          <w:rFonts w:ascii="Arial" w:eastAsia="Arial" w:hAnsi="Arial" w:cs="Arial"/>
          <w:color w:val="000000" w:themeColor="text1"/>
          <w:sz w:val="16"/>
          <w:szCs w:val="16"/>
          <w:lang w:val="es-CO" w:eastAsia="es-MX"/>
        </w:rPr>
      </w:pPr>
      <w:r w:rsidRPr="008D2838">
        <w:rPr>
          <w:rFonts w:ascii="Arial" w:eastAsia="Arial" w:hAnsi="Arial" w:cs="Arial"/>
          <w:color w:val="000000" w:themeColor="text1"/>
          <w:sz w:val="16"/>
          <w:szCs w:val="16"/>
          <w:lang w:val="es-CO"/>
        </w:rPr>
        <w:t>Fuente: Cálculos DAF con información presupuestal y de tesorería suministrada por la ET y reportada en el FUT.</w:t>
      </w:r>
    </w:p>
    <w:p w14:paraId="305E1F5F" w14:textId="77777777" w:rsidR="00081708" w:rsidRPr="008D2838" w:rsidRDefault="00081708" w:rsidP="00081708">
      <w:pPr>
        <w:rPr>
          <w:rFonts w:ascii="Arial" w:eastAsia="Arial" w:hAnsi="Arial" w:cs="Arial"/>
          <w:b/>
          <w:bCs/>
          <w:color w:val="FF0000"/>
          <w:sz w:val="22"/>
          <w:szCs w:val="22"/>
          <w:lang w:val="es-CO"/>
        </w:rPr>
      </w:pPr>
    </w:p>
    <w:p w14:paraId="25E640C7" w14:textId="77777777" w:rsidR="00081708" w:rsidRPr="008D2838" w:rsidRDefault="00081708" w:rsidP="00081708">
      <w:pPr>
        <w:jc w:val="both"/>
        <w:rPr>
          <w:rFonts w:ascii="Arial" w:eastAsia="Arial" w:hAnsi="Arial" w:cs="Arial"/>
          <w:color w:val="000000" w:themeColor="text1"/>
          <w:sz w:val="22"/>
          <w:szCs w:val="22"/>
          <w:lang w:val="es-CO"/>
        </w:rPr>
      </w:pPr>
      <w:r w:rsidRPr="008D2838">
        <w:rPr>
          <w:rFonts w:ascii="Arial" w:eastAsia="Arial" w:hAnsi="Arial" w:cs="Arial"/>
          <w:color w:val="000000" w:themeColor="text1"/>
          <w:sz w:val="22"/>
          <w:szCs w:val="22"/>
          <w:lang w:val="es-CO"/>
        </w:rPr>
        <w:t>Ahora bien, como se mencionó en el apartado de gasto</w:t>
      </w:r>
      <w:r w:rsidR="008D2838" w:rsidRPr="008D2838">
        <w:rPr>
          <w:rFonts w:ascii="Arial" w:eastAsia="Arial" w:hAnsi="Arial" w:cs="Arial"/>
          <w:color w:val="000000" w:themeColor="text1"/>
          <w:sz w:val="22"/>
          <w:szCs w:val="22"/>
          <w:lang w:val="es-CO"/>
        </w:rPr>
        <w:t>s</w:t>
      </w:r>
      <w:r w:rsidRPr="008D2838">
        <w:rPr>
          <w:rFonts w:ascii="Arial" w:eastAsia="Arial" w:hAnsi="Arial" w:cs="Arial"/>
          <w:color w:val="000000" w:themeColor="text1"/>
          <w:sz w:val="22"/>
          <w:szCs w:val="22"/>
          <w:lang w:val="es-CO"/>
        </w:rPr>
        <w:t xml:space="preserve">, para 2022 la ejecución presupuestal difirió en los compromisos con el listado de Registros Presupuestales con fuente del SGP Educación. Este sentido, se proyectó el resultado fiscal a partir de la ejecución presupuestal de ingresos y los gastos comprometidos de acuerdo con los RP. De esta manera, se visualiza un déficit fiscal de $822 millones, puesto que, los compromisos </w:t>
      </w:r>
      <w:r w:rsidRPr="008D2838">
        <w:rPr>
          <w:rFonts w:ascii="Arial" w:eastAsia="Arial" w:hAnsi="Arial" w:cs="Arial"/>
          <w:color w:val="000000" w:themeColor="text1"/>
          <w:sz w:val="22"/>
          <w:szCs w:val="22"/>
          <w:lang w:val="es-CO"/>
        </w:rPr>
        <w:lastRenderedPageBreak/>
        <w:t xml:space="preserve">con recursos del SGP Educación con situación de fondos ascendieron a $111.761 millones, mientras que los ingresos sumaron $110.940 millones. Situación que </w:t>
      </w:r>
      <w:r w:rsidR="006E6A31" w:rsidRPr="008D2838">
        <w:rPr>
          <w:rFonts w:ascii="Arial" w:eastAsia="Arial" w:hAnsi="Arial" w:cs="Arial"/>
          <w:color w:val="000000" w:themeColor="text1"/>
          <w:sz w:val="22"/>
          <w:szCs w:val="22"/>
          <w:lang w:val="es-CO"/>
        </w:rPr>
        <w:t>pone</w:t>
      </w:r>
      <w:r w:rsidRPr="008D2838">
        <w:rPr>
          <w:rFonts w:ascii="Arial" w:eastAsia="Arial" w:hAnsi="Arial" w:cs="Arial"/>
          <w:color w:val="000000" w:themeColor="text1"/>
          <w:sz w:val="22"/>
          <w:szCs w:val="22"/>
          <w:lang w:val="es-CO"/>
        </w:rPr>
        <w:t xml:space="preserve"> en riesgo la prestación del servicio educativo en el Distrito.</w:t>
      </w:r>
    </w:p>
    <w:p w14:paraId="0D4FCDCA" w14:textId="77777777" w:rsidR="006E6A31" w:rsidRPr="008D2838" w:rsidRDefault="006E6A31" w:rsidP="00081708">
      <w:pPr>
        <w:jc w:val="both"/>
        <w:rPr>
          <w:rFonts w:ascii="Arial" w:eastAsia="Arial" w:hAnsi="Arial" w:cs="Arial"/>
          <w:color w:val="000000" w:themeColor="text1"/>
          <w:sz w:val="22"/>
          <w:szCs w:val="22"/>
          <w:lang w:val="es-CO"/>
        </w:rPr>
      </w:pPr>
    </w:p>
    <w:tbl>
      <w:tblPr>
        <w:tblW w:w="8760" w:type="dxa"/>
        <w:tblCellMar>
          <w:left w:w="70" w:type="dxa"/>
          <w:right w:w="70" w:type="dxa"/>
        </w:tblCellMar>
        <w:tblLook w:val="04A0" w:firstRow="1" w:lastRow="0" w:firstColumn="1" w:lastColumn="0" w:noHBand="0" w:noVBand="1"/>
      </w:tblPr>
      <w:tblGrid>
        <w:gridCol w:w="1937"/>
        <w:gridCol w:w="992"/>
        <w:gridCol w:w="1302"/>
        <w:gridCol w:w="992"/>
        <w:gridCol w:w="1001"/>
        <w:gridCol w:w="1376"/>
        <w:gridCol w:w="1160"/>
      </w:tblGrid>
      <w:tr w:rsidR="00081708" w:rsidRPr="008D2838" w14:paraId="2CE287DA" w14:textId="77777777" w:rsidTr="00081708">
        <w:trPr>
          <w:trHeight w:val="270"/>
        </w:trPr>
        <w:tc>
          <w:tcPr>
            <w:tcW w:w="8760" w:type="dxa"/>
            <w:gridSpan w:val="7"/>
            <w:tcBorders>
              <w:top w:val="single" w:sz="4" w:space="0" w:color="auto"/>
              <w:left w:val="single" w:sz="4" w:space="0" w:color="auto"/>
              <w:bottom w:val="single" w:sz="4" w:space="0" w:color="auto"/>
              <w:right w:val="single" w:sz="4" w:space="0" w:color="auto"/>
            </w:tcBorders>
            <w:shd w:val="clear" w:color="auto" w:fill="244061"/>
            <w:vAlign w:val="center"/>
            <w:hideMark/>
          </w:tcPr>
          <w:p w14:paraId="49967A66" w14:textId="77777777" w:rsidR="00081708" w:rsidRPr="008D2838" w:rsidRDefault="00081708" w:rsidP="00081708">
            <w:pPr>
              <w:jc w:val="center"/>
              <w:rPr>
                <w:rFonts w:ascii="Arial" w:eastAsia="Times New Roman" w:hAnsi="Arial" w:cs="Arial"/>
                <w:b/>
                <w:bCs/>
                <w:color w:val="FFFFFF"/>
                <w:sz w:val="18"/>
                <w:szCs w:val="18"/>
                <w:lang w:val="es-CO" w:eastAsia="es-CO"/>
              </w:rPr>
            </w:pPr>
            <w:r w:rsidRPr="008D2838">
              <w:rPr>
                <w:rFonts w:ascii="Arial" w:eastAsia="Times New Roman" w:hAnsi="Arial" w:cs="Arial"/>
                <w:b/>
                <w:bCs/>
                <w:color w:val="FFFFFF"/>
                <w:sz w:val="18"/>
                <w:szCs w:val="18"/>
                <w:lang w:val="es-CO" w:eastAsia="es-CO"/>
              </w:rPr>
              <w:t>Tabla 7. Cierre Fiscal con Registros Presupuestales – Vigencia 2022</w:t>
            </w:r>
          </w:p>
        </w:tc>
      </w:tr>
      <w:tr w:rsidR="00081708" w:rsidRPr="008D2838" w14:paraId="7652B915" w14:textId="77777777" w:rsidTr="00081708">
        <w:trPr>
          <w:trHeight w:val="270"/>
        </w:trPr>
        <w:tc>
          <w:tcPr>
            <w:tcW w:w="2117" w:type="dxa"/>
            <w:vMerge w:val="restart"/>
            <w:tcBorders>
              <w:top w:val="single" w:sz="4" w:space="0" w:color="auto"/>
              <w:left w:val="single" w:sz="8" w:space="0" w:color="auto"/>
              <w:bottom w:val="single" w:sz="4" w:space="0" w:color="auto"/>
              <w:right w:val="single" w:sz="8" w:space="0" w:color="auto"/>
            </w:tcBorders>
            <w:shd w:val="clear" w:color="auto" w:fill="244061"/>
            <w:vAlign w:val="center"/>
            <w:hideMark/>
          </w:tcPr>
          <w:p w14:paraId="09828626" w14:textId="77777777" w:rsidR="00081708" w:rsidRPr="008D2838" w:rsidRDefault="00081708" w:rsidP="00081708">
            <w:pPr>
              <w:jc w:val="center"/>
              <w:rPr>
                <w:rFonts w:ascii="Arial" w:eastAsia="Times New Roman" w:hAnsi="Arial" w:cs="Arial"/>
                <w:b/>
                <w:bCs/>
                <w:color w:val="FFFFFF"/>
                <w:sz w:val="14"/>
                <w:szCs w:val="14"/>
                <w:lang w:val="es-CO" w:eastAsia="es-CO"/>
              </w:rPr>
            </w:pPr>
            <w:r w:rsidRPr="008D2838">
              <w:rPr>
                <w:rFonts w:ascii="Arial" w:eastAsia="Times New Roman" w:hAnsi="Arial" w:cs="Arial"/>
                <w:b/>
                <w:bCs/>
                <w:color w:val="FFFFFF"/>
                <w:sz w:val="18"/>
                <w:szCs w:val="18"/>
                <w:lang w:val="es-CO" w:eastAsia="es-CO"/>
              </w:rPr>
              <w:t xml:space="preserve">CONCEPTO </w:t>
            </w:r>
          </w:p>
        </w:tc>
        <w:tc>
          <w:tcPr>
            <w:tcW w:w="3260" w:type="dxa"/>
            <w:gridSpan w:val="3"/>
            <w:tcBorders>
              <w:top w:val="single" w:sz="4" w:space="0" w:color="auto"/>
              <w:left w:val="nil"/>
              <w:bottom w:val="single" w:sz="8" w:space="0" w:color="auto"/>
              <w:right w:val="single" w:sz="4" w:space="0" w:color="auto"/>
            </w:tcBorders>
            <w:shd w:val="clear" w:color="auto" w:fill="244061"/>
            <w:noWrap/>
            <w:vAlign w:val="center"/>
            <w:hideMark/>
          </w:tcPr>
          <w:p w14:paraId="6F610C03"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PRESTACIÓN DE SERVICIO</w:t>
            </w:r>
          </w:p>
        </w:tc>
        <w:tc>
          <w:tcPr>
            <w:tcW w:w="3383" w:type="dxa"/>
            <w:gridSpan w:val="3"/>
            <w:tcBorders>
              <w:top w:val="single" w:sz="4" w:space="0" w:color="auto"/>
              <w:left w:val="single" w:sz="4" w:space="0" w:color="auto"/>
              <w:bottom w:val="single" w:sz="4" w:space="0" w:color="auto"/>
              <w:right w:val="single" w:sz="4" w:space="0" w:color="auto"/>
            </w:tcBorders>
            <w:shd w:val="clear" w:color="auto" w:fill="244061"/>
            <w:vAlign w:val="center"/>
            <w:hideMark/>
          </w:tcPr>
          <w:p w14:paraId="7916AF5F"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CALIDAD</w:t>
            </w:r>
          </w:p>
        </w:tc>
      </w:tr>
      <w:tr w:rsidR="00081708" w:rsidRPr="008D2838" w14:paraId="1F910485" w14:textId="77777777" w:rsidTr="00E32F8D">
        <w:trPr>
          <w:trHeight w:val="375"/>
        </w:trPr>
        <w:tc>
          <w:tcPr>
            <w:tcW w:w="0" w:type="auto"/>
            <w:vMerge/>
            <w:tcBorders>
              <w:top w:val="single" w:sz="4" w:space="0" w:color="auto"/>
              <w:left w:val="single" w:sz="8" w:space="0" w:color="auto"/>
              <w:bottom w:val="single" w:sz="4" w:space="0" w:color="auto"/>
              <w:right w:val="single" w:sz="8" w:space="0" w:color="auto"/>
            </w:tcBorders>
            <w:vAlign w:val="center"/>
            <w:hideMark/>
          </w:tcPr>
          <w:p w14:paraId="5E935848" w14:textId="77777777" w:rsidR="00081708" w:rsidRPr="008D2838" w:rsidRDefault="00081708" w:rsidP="00081708">
            <w:pPr>
              <w:rPr>
                <w:rFonts w:ascii="Arial" w:eastAsia="Times New Roman" w:hAnsi="Arial" w:cs="Arial"/>
                <w:b/>
                <w:bCs/>
                <w:color w:val="FFFFFF"/>
                <w:sz w:val="14"/>
                <w:szCs w:val="14"/>
                <w:lang w:val="es-CO" w:eastAsia="es-CO"/>
              </w:rPr>
            </w:pPr>
          </w:p>
        </w:tc>
        <w:tc>
          <w:tcPr>
            <w:tcW w:w="992" w:type="dxa"/>
            <w:tcBorders>
              <w:top w:val="nil"/>
              <w:left w:val="nil"/>
              <w:bottom w:val="single" w:sz="8" w:space="0" w:color="auto"/>
              <w:right w:val="single" w:sz="8" w:space="0" w:color="auto"/>
            </w:tcBorders>
            <w:shd w:val="clear" w:color="auto" w:fill="244061"/>
            <w:vAlign w:val="center"/>
            <w:hideMark/>
          </w:tcPr>
          <w:p w14:paraId="55AEB386"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INGRESOS</w:t>
            </w:r>
          </w:p>
        </w:tc>
        <w:tc>
          <w:tcPr>
            <w:tcW w:w="1276" w:type="dxa"/>
            <w:tcBorders>
              <w:top w:val="nil"/>
              <w:left w:val="nil"/>
              <w:bottom w:val="single" w:sz="8" w:space="0" w:color="auto"/>
              <w:right w:val="single" w:sz="8" w:space="0" w:color="auto"/>
            </w:tcBorders>
            <w:shd w:val="clear" w:color="auto" w:fill="244061"/>
            <w:vAlign w:val="center"/>
            <w:hideMark/>
          </w:tcPr>
          <w:p w14:paraId="2A29EEB4" w14:textId="77777777" w:rsidR="00081708" w:rsidRPr="008D2838" w:rsidRDefault="00081708" w:rsidP="00E32F8D">
            <w:pPr>
              <w:ind w:left="-74" w:right="-75"/>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COMPROMISOS – RP</w:t>
            </w:r>
          </w:p>
        </w:tc>
        <w:tc>
          <w:tcPr>
            <w:tcW w:w="992" w:type="dxa"/>
            <w:tcBorders>
              <w:top w:val="nil"/>
              <w:left w:val="nil"/>
              <w:bottom w:val="single" w:sz="8" w:space="0" w:color="auto"/>
              <w:right w:val="single" w:sz="8" w:space="0" w:color="auto"/>
            </w:tcBorders>
            <w:shd w:val="clear" w:color="auto" w:fill="244061"/>
            <w:vAlign w:val="center"/>
            <w:hideMark/>
          </w:tcPr>
          <w:p w14:paraId="25B72CC2"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SUPE/DÉFI</w:t>
            </w:r>
          </w:p>
        </w:tc>
        <w:tc>
          <w:tcPr>
            <w:tcW w:w="1001" w:type="dxa"/>
            <w:tcBorders>
              <w:top w:val="nil"/>
              <w:left w:val="nil"/>
              <w:bottom w:val="single" w:sz="8" w:space="0" w:color="auto"/>
              <w:right w:val="single" w:sz="8" w:space="0" w:color="auto"/>
            </w:tcBorders>
            <w:shd w:val="clear" w:color="auto" w:fill="244061"/>
            <w:vAlign w:val="center"/>
            <w:hideMark/>
          </w:tcPr>
          <w:p w14:paraId="7F3CDF3F"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INGRESOS</w:t>
            </w:r>
          </w:p>
        </w:tc>
        <w:tc>
          <w:tcPr>
            <w:tcW w:w="1222" w:type="dxa"/>
            <w:tcBorders>
              <w:top w:val="nil"/>
              <w:left w:val="nil"/>
              <w:bottom w:val="single" w:sz="8" w:space="0" w:color="auto"/>
              <w:right w:val="single" w:sz="8" w:space="0" w:color="auto"/>
            </w:tcBorders>
            <w:shd w:val="clear" w:color="auto" w:fill="244061"/>
            <w:vAlign w:val="center"/>
            <w:hideMark/>
          </w:tcPr>
          <w:p w14:paraId="5D4D6CBF"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COMPROMISOS – RP</w:t>
            </w:r>
          </w:p>
        </w:tc>
        <w:tc>
          <w:tcPr>
            <w:tcW w:w="1160" w:type="dxa"/>
            <w:tcBorders>
              <w:top w:val="nil"/>
              <w:left w:val="nil"/>
              <w:bottom w:val="single" w:sz="8" w:space="0" w:color="auto"/>
              <w:right w:val="single" w:sz="8" w:space="0" w:color="auto"/>
            </w:tcBorders>
            <w:shd w:val="clear" w:color="auto" w:fill="244061"/>
            <w:vAlign w:val="center"/>
            <w:hideMark/>
          </w:tcPr>
          <w:p w14:paraId="7E51B4C6"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SUPE/DÉFI</w:t>
            </w:r>
          </w:p>
        </w:tc>
      </w:tr>
      <w:tr w:rsidR="00081708" w:rsidRPr="008D2838" w14:paraId="27757725" w14:textId="77777777" w:rsidTr="00E32F8D">
        <w:trPr>
          <w:trHeight w:val="270"/>
        </w:trPr>
        <w:tc>
          <w:tcPr>
            <w:tcW w:w="0" w:type="auto"/>
            <w:vMerge/>
            <w:tcBorders>
              <w:top w:val="single" w:sz="4" w:space="0" w:color="auto"/>
              <w:left w:val="single" w:sz="8" w:space="0" w:color="auto"/>
              <w:bottom w:val="single" w:sz="4" w:space="0" w:color="auto"/>
              <w:right w:val="single" w:sz="8" w:space="0" w:color="auto"/>
            </w:tcBorders>
            <w:vAlign w:val="center"/>
            <w:hideMark/>
          </w:tcPr>
          <w:p w14:paraId="19672E12" w14:textId="77777777" w:rsidR="00081708" w:rsidRPr="008D2838" w:rsidRDefault="00081708" w:rsidP="00081708">
            <w:pPr>
              <w:rPr>
                <w:rFonts w:ascii="Arial" w:eastAsia="Times New Roman" w:hAnsi="Arial" w:cs="Arial"/>
                <w:b/>
                <w:bCs/>
                <w:color w:val="FFFFFF"/>
                <w:sz w:val="14"/>
                <w:szCs w:val="14"/>
                <w:lang w:val="es-CO" w:eastAsia="es-CO"/>
              </w:rPr>
            </w:pPr>
          </w:p>
        </w:tc>
        <w:tc>
          <w:tcPr>
            <w:tcW w:w="992" w:type="dxa"/>
            <w:tcBorders>
              <w:top w:val="nil"/>
              <w:left w:val="nil"/>
              <w:bottom w:val="single" w:sz="8" w:space="0" w:color="auto"/>
              <w:right w:val="single" w:sz="8" w:space="0" w:color="auto"/>
            </w:tcBorders>
            <w:shd w:val="clear" w:color="auto" w:fill="244061"/>
            <w:vAlign w:val="center"/>
            <w:hideMark/>
          </w:tcPr>
          <w:p w14:paraId="265F3485"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1</w:t>
            </w:r>
          </w:p>
        </w:tc>
        <w:tc>
          <w:tcPr>
            <w:tcW w:w="1276" w:type="dxa"/>
            <w:tcBorders>
              <w:top w:val="nil"/>
              <w:left w:val="nil"/>
              <w:bottom w:val="single" w:sz="8" w:space="0" w:color="auto"/>
              <w:right w:val="single" w:sz="8" w:space="0" w:color="auto"/>
            </w:tcBorders>
            <w:shd w:val="clear" w:color="auto" w:fill="244061"/>
            <w:vAlign w:val="center"/>
            <w:hideMark/>
          </w:tcPr>
          <w:p w14:paraId="2D6E8CD6"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2</w:t>
            </w:r>
          </w:p>
        </w:tc>
        <w:tc>
          <w:tcPr>
            <w:tcW w:w="992" w:type="dxa"/>
            <w:tcBorders>
              <w:top w:val="nil"/>
              <w:left w:val="nil"/>
              <w:bottom w:val="single" w:sz="8" w:space="0" w:color="auto"/>
              <w:right w:val="single" w:sz="8" w:space="0" w:color="auto"/>
            </w:tcBorders>
            <w:shd w:val="clear" w:color="auto" w:fill="244061"/>
            <w:vAlign w:val="center"/>
            <w:hideMark/>
          </w:tcPr>
          <w:p w14:paraId="051DC244"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3 (1 – 2)</w:t>
            </w:r>
          </w:p>
        </w:tc>
        <w:tc>
          <w:tcPr>
            <w:tcW w:w="1001" w:type="dxa"/>
            <w:tcBorders>
              <w:top w:val="nil"/>
              <w:left w:val="nil"/>
              <w:bottom w:val="single" w:sz="8" w:space="0" w:color="auto"/>
              <w:right w:val="single" w:sz="8" w:space="0" w:color="auto"/>
            </w:tcBorders>
            <w:shd w:val="clear" w:color="auto" w:fill="244061"/>
            <w:vAlign w:val="center"/>
            <w:hideMark/>
          </w:tcPr>
          <w:p w14:paraId="61B259FB"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1</w:t>
            </w:r>
          </w:p>
        </w:tc>
        <w:tc>
          <w:tcPr>
            <w:tcW w:w="1222" w:type="dxa"/>
            <w:tcBorders>
              <w:top w:val="nil"/>
              <w:left w:val="nil"/>
              <w:bottom w:val="single" w:sz="8" w:space="0" w:color="auto"/>
              <w:right w:val="single" w:sz="8" w:space="0" w:color="auto"/>
            </w:tcBorders>
            <w:shd w:val="clear" w:color="auto" w:fill="244061"/>
            <w:vAlign w:val="center"/>
            <w:hideMark/>
          </w:tcPr>
          <w:p w14:paraId="1232E3A1"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2</w:t>
            </w:r>
          </w:p>
        </w:tc>
        <w:tc>
          <w:tcPr>
            <w:tcW w:w="1160" w:type="dxa"/>
            <w:tcBorders>
              <w:top w:val="nil"/>
              <w:left w:val="nil"/>
              <w:bottom w:val="single" w:sz="8" w:space="0" w:color="auto"/>
              <w:right w:val="single" w:sz="8" w:space="0" w:color="auto"/>
            </w:tcBorders>
            <w:shd w:val="clear" w:color="auto" w:fill="244061"/>
            <w:vAlign w:val="center"/>
            <w:hideMark/>
          </w:tcPr>
          <w:p w14:paraId="45534B1D"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3 (1 – 2)</w:t>
            </w:r>
          </w:p>
        </w:tc>
      </w:tr>
      <w:tr w:rsidR="00081708" w:rsidRPr="008D2838" w14:paraId="23279A20" w14:textId="77777777" w:rsidTr="00E32F8D">
        <w:trPr>
          <w:trHeight w:val="227"/>
        </w:trPr>
        <w:tc>
          <w:tcPr>
            <w:tcW w:w="211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60689796"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CORRIENTE </w:t>
            </w:r>
          </w:p>
        </w:tc>
        <w:tc>
          <w:tcPr>
            <w:tcW w:w="992" w:type="dxa"/>
            <w:tcBorders>
              <w:top w:val="nil"/>
              <w:left w:val="single" w:sz="4" w:space="0" w:color="auto"/>
              <w:bottom w:val="single" w:sz="8" w:space="0" w:color="auto"/>
              <w:right w:val="single" w:sz="8" w:space="0" w:color="auto"/>
            </w:tcBorders>
            <w:vAlign w:val="center"/>
            <w:hideMark/>
          </w:tcPr>
          <w:p w14:paraId="278C4AD5"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117.331</w:t>
            </w:r>
          </w:p>
        </w:tc>
        <w:tc>
          <w:tcPr>
            <w:tcW w:w="1276" w:type="dxa"/>
            <w:tcBorders>
              <w:top w:val="nil"/>
              <w:left w:val="nil"/>
              <w:bottom w:val="single" w:sz="8" w:space="0" w:color="auto"/>
              <w:right w:val="single" w:sz="8" w:space="0" w:color="auto"/>
            </w:tcBorders>
            <w:vAlign w:val="center"/>
            <w:hideMark/>
          </w:tcPr>
          <w:p w14:paraId="4C1F9216"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119.392</w:t>
            </w:r>
          </w:p>
        </w:tc>
        <w:tc>
          <w:tcPr>
            <w:tcW w:w="992" w:type="dxa"/>
            <w:tcBorders>
              <w:top w:val="nil"/>
              <w:left w:val="nil"/>
              <w:bottom w:val="single" w:sz="8" w:space="0" w:color="auto"/>
              <w:right w:val="single" w:sz="8" w:space="0" w:color="auto"/>
            </w:tcBorders>
            <w:vAlign w:val="center"/>
            <w:hideMark/>
          </w:tcPr>
          <w:p w14:paraId="7234457C"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-2.061</w:t>
            </w:r>
          </w:p>
        </w:tc>
        <w:tc>
          <w:tcPr>
            <w:tcW w:w="1001" w:type="dxa"/>
            <w:tcBorders>
              <w:top w:val="nil"/>
              <w:left w:val="nil"/>
              <w:bottom w:val="single" w:sz="8" w:space="0" w:color="auto"/>
              <w:right w:val="single" w:sz="8" w:space="0" w:color="auto"/>
            </w:tcBorders>
            <w:vAlign w:val="center"/>
            <w:hideMark/>
          </w:tcPr>
          <w:p w14:paraId="5A5A8AAD"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6.319</w:t>
            </w:r>
          </w:p>
        </w:tc>
        <w:tc>
          <w:tcPr>
            <w:tcW w:w="1222" w:type="dxa"/>
            <w:tcBorders>
              <w:top w:val="nil"/>
              <w:left w:val="nil"/>
              <w:bottom w:val="single" w:sz="8" w:space="0" w:color="auto"/>
              <w:right w:val="single" w:sz="8" w:space="0" w:color="auto"/>
            </w:tcBorders>
            <w:vAlign w:val="center"/>
            <w:hideMark/>
          </w:tcPr>
          <w:p w14:paraId="5E86E696"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6.439</w:t>
            </w:r>
          </w:p>
        </w:tc>
        <w:tc>
          <w:tcPr>
            <w:tcW w:w="1160" w:type="dxa"/>
            <w:tcBorders>
              <w:top w:val="nil"/>
              <w:left w:val="nil"/>
              <w:bottom w:val="single" w:sz="8" w:space="0" w:color="auto"/>
              <w:right w:val="single" w:sz="8" w:space="0" w:color="auto"/>
            </w:tcBorders>
            <w:vAlign w:val="center"/>
            <w:hideMark/>
          </w:tcPr>
          <w:p w14:paraId="7848FD3A"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-120</w:t>
            </w:r>
          </w:p>
        </w:tc>
      </w:tr>
      <w:tr w:rsidR="00081708" w:rsidRPr="008D2838" w14:paraId="2AC9BBC7" w14:textId="77777777" w:rsidTr="00E32F8D">
        <w:trPr>
          <w:trHeight w:val="227"/>
        </w:trPr>
        <w:tc>
          <w:tcPr>
            <w:tcW w:w="21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50816F"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 xml:space="preserve"> SSF/Gratuidad </w:t>
            </w:r>
          </w:p>
        </w:tc>
        <w:tc>
          <w:tcPr>
            <w:tcW w:w="992" w:type="dxa"/>
            <w:tcBorders>
              <w:top w:val="nil"/>
              <w:left w:val="single" w:sz="4" w:space="0" w:color="auto"/>
              <w:bottom w:val="single" w:sz="8" w:space="0" w:color="auto"/>
              <w:right w:val="single" w:sz="8" w:space="0" w:color="auto"/>
            </w:tcBorders>
            <w:vAlign w:val="center"/>
            <w:hideMark/>
          </w:tcPr>
          <w:p w14:paraId="488267ED"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12.762</w:t>
            </w:r>
          </w:p>
        </w:tc>
        <w:tc>
          <w:tcPr>
            <w:tcW w:w="1276" w:type="dxa"/>
            <w:tcBorders>
              <w:top w:val="nil"/>
              <w:left w:val="nil"/>
              <w:bottom w:val="single" w:sz="8" w:space="0" w:color="auto"/>
              <w:right w:val="single" w:sz="8" w:space="0" w:color="auto"/>
            </w:tcBorders>
            <w:vAlign w:val="center"/>
            <w:hideMark/>
          </w:tcPr>
          <w:p w14:paraId="4DD9B874"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14.217</w:t>
            </w:r>
          </w:p>
        </w:tc>
        <w:tc>
          <w:tcPr>
            <w:tcW w:w="992" w:type="dxa"/>
            <w:tcBorders>
              <w:top w:val="nil"/>
              <w:left w:val="nil"/>
              <w:bottom w:val="single" w:sz="8" w:space="0" w:color="auto"/>
              <w:right w:val="single" w:sz="8" w:space="0" w:color="auto"/>
            </w:tcBorders>
            <w:vAlign w:val="center"/>
            <w:hideMark/>
          </w:tcPr>
          <w:p w14:paraId="34860D5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-1.456</w:t>
            </w:r>
          </w:p>
        </w:tc>
        <w:tc>
          <w:tcPr>
            <w:tcW w:w="1001" w:type="dxa"/>
            <w:tcBorders>
              <w:top w:val="nil"/>
              <w:left w:val="nil"/>
              <w:bottom w:val="single" w:sz="8" w:space="0" w:color="auto"/>
              <w:right w:val="single" w:sz="8" w:space="0" w:color="auto"/>
            </w:tcBorders>
            <w:noWrap/>
            <w:vAlign w:val="center"/>
            <w:hideMark/>
          </w:tcPr>
          <w:p w14:paraId="15B9815E"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2.872</w:t>
            </w:r>
          </w:p>
        </w:tc>
        <w:tc>
          <w:tcPr>
            <w:tcW w:w="1222" w:type="dxa"/>
            <w:tcBorders>
              <w:top w:val="nil"/>
              <w:left w:val="nil"/>
              <w:bottom w:val="single" w:sz="8" w:space="0" w:color="auto"/>
              <w:right w:val="single" w:sz="8" w:space="0" w:color="auto"/>
            </w:tcBorders>
            <w:vAlign w:val="center"/>
            <w:hideMark/>
          </w:tcPr>
          <w:p w14:paraId="08A4BBAF"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2.872</w:t>
            </w:r>
          </w:p>
        </w:tc>
        <w:tc>
          <w:tcPr>
            <w:tcW w:w="1160" w:type="dxa"/>
            <w:tcBorders>
              <w:top w:val="nil"/>
              <w:left w:val="nil"/>
              <w:bottom w:val="single" w:sz="8" w:space="0" w:color="auto"/>
              <w:right w:val="single" w:sz="8" w:space="0" w:color="auto"/>
            </w:tcBorders>
            <w:vAlign w:val="center"/>
            <w:hideMark/>
          </w:tcPr>
          <w:p w14:paraId="32C0D57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0</w:t>
            </w:r>
          </w:p>
        </w:tc>
      </w:tr>
      <w:tr w:rsidR="00081708" w:rsidRPr="008D2838" w14:paraId="76F89F13" w14:textId="77777777" w:rsidTr="00E32F8D">
        <w:trPr>
          <w:trHeight w:val="227"/>
        </w:trPr>
        <w:tc>
          <w:tcPr>
            <w:tcW w:w="21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3585B5" w14:textId="77777777" w:rsidR="00081708" w:rsidRPr="008D2838" w:rsidRDefault="00081708" w:rsidP="00081708">
            <w:pPr>
              <w:jc w:val="right"/>
              <w:rPr>
                <w:rFonts w:ascii="Arial" w:eastAsia="Times New Roman" w:hAnsi="Arial" w:cs="Arial"/>
                <w:i/>
                <w:iCs/>
                <w:color w:val="000000"/>
                <w:sz w:val="16"/>
                <w:szCs w:val="16"/>
                <w:lang w:val="es-CO" w:eastAsia="es-CO"/>
              </w:rPr>
            </w:pPr>
            <w:r w:rsidRPr="008D2838">
              <w:rPr>
                <w:rFonts w:ascii="Arial" w:eastAsia="Times New Roman" w:hAnsi="Arial" w:cs="Arial"/>
                <w:i/>
                <w:iCs/>
                <w:color w:val="000000"/>
                <w:sz w:val="16"/>
                <w:szCs w:val="16"/>
                <w:lang w:val="es-CO" w:eastAsia="es-CO"/>
              </w:rPr>
              <w:t xml:space="preserve"> CSF/Matrícula </w:t>
            </w:r>
          </w:p>
        </w:tc>
        <w:tc>
          <w:tcPr>
            <w:tcW w:w="992" w:type="dxa"/>
            <w:tcBorders>
              <w:top w:val="nil"/>
              <w:left w:val="single" w:sz="4" w:space="0" w:color="auto"/>
              <w:bottom w:val="single" w:sz="8" w:space="0" w:color="auto"/>
              <w:right w:val="single" w:sz="8" w:space="0" w:color="auto"/>
            </w:tcBorders>
            <w:vAlign w:val="center"/>
            <w:hideMark/>
          </w:tcPr>
          <w:p w14:paraId="58571E0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104.569</w:t>
            </w:r>
          </w:p>
        </w:tc>
        <w:tc>
          <w:tcPr>
            <w:tcW w:w="1276" w:type="dxa"/>
            <w:tcBorders>
              <w:top w:val="nil"/>
              <w:left w:val="nil"/>
              <w:bottom w:val="single" w:sz="8" w:space="0" w:color="auto"/>
              <w:right w:val="single" w:sz="8" w:space="0" w:color="auto"/>
            </w:tcBorders>
            <w:vAlign w:val="center"/>
            <w:hideMark/>
          </w:tcPr>
          <w:p w14:paraId="212727D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105.174</w:t>
            </w:r>
          </w:p>
        </w:tc>
        <w:tc>
          <w:tcPr>
            <w:tcW w:w="992" w:type="dxa"/>
            <w:tcBorders>
              <w:top w:val="nil"/>
              <w:left w:val="nil"/>
              <w:bottom w:val="single" w:sz="8" w:space="0" w:color="auto"/>
              <w:right w:val="single" w:sz="8" w:space="0" w:color="auto"/>
            </w:tcBorders>
            <w:vAlign w:val="center"/>
            <w:hideMark/>
          </w:tcPr>
          <w:p w14:paraId="7630394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-605</w:t>
            </w:r>
          </w:p>
        </w:tc>
        <w:tc>
          <w:tcPr>
            <w:tcW w:w="1001" w:type="dxa"/>
            <w:tcBorders>
              <w:top w:val="nil"/>
              <w:left w:val="nil"/>
              <w:bottom w:val="single" w:sz="8" w:space="0" w:color="auto"/>
              <w:right w:val="single" w:sz="8" w:space="0" w:color="auto"/>
            </w:tcBorders>
            <w:noWrap/>
            <w:vAlign w:val="center"/>
            <w:hideMark/>
          </w:tcPr>
          <w:p w14:paraId="331207ED"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3.446</w:t>
            </w:r>
          </w:p>
        </w:tc>
        <w:tc>
          <w:tcPr>
            <w:tcW w:w="1222" w:type="dxa"/>
            <w:tcBorders>
              <w:top w:val="nil"/>
              <w:left w:val="nil"/>
              <w:bottom w:val="single" w:sz="8" w:space="0" w:color="auto"/>
              <w:right w:val="single" w:sz="8" w:space="0" w:color="auto"/>
            </w:tcBorders>
            <w:vAlign w:val="center"/>
            <w:hideMark/>
          </w:tcPr>
          <w:p w14:paraId="55C6CC5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3.566</w:t>
            </w:r>
          </w:p>
        </w:tc>
        <w:tc>
          <w:tcPr>
            <w:tcW w:w="1160" w:type="dxa"/>
            <w:tcBorders>
              <w:top w:val="nil"/>
              <w:left w:val="nil"/>
              <w:bottom w:val="single" w:sz="8" w:space="0" w:color="auto"/>
              <w:right w:val="single" w:sz="8" w:space="0" w:color="auto"/>
            </w:tcBorders>
            <w:vAlign w:val="center"/>
            <w:hideMark/>
          </w:tcPr>
          <w:p w14:paraId="46990243"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-120</w:t>
            </w:r>
          </w:p>
        </w:tc>
      </w:tr>
      <w:tr w:rsidR="00081708" w:rsidRPr="008D2838" w14:paraId="305F5563" w14:textId="77777777" w:rsidTr="00E32F8D">
        <w:trPr>
          <w:trHeight w:val="227"/>
        </w:trPr>
        <w:tc>
          <w:tcPr>
            <w:tcW w:w="211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3AFB9AD5"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BALANCE </w:t>
            </w:r>
          </w:p>
        </w:tc>
        <w:tc>
          <w:tcPr>
            <w:tcW w:w="992" w:type="dxa"/>
            <w:tcBorders>
              <w:top w:val="nil"/>
              <w:left w:val="single" w:sz="4" w:space="0" w:color="auto"/>
              <w:bottom w:val="single" w:sz="8" w:space="0" w:color="auto"/>
              <w:right w:val="single" w:sz="8" w:space="0" w:color="auto"/>
            </w:tcBorders>
            <w:noWrap/>
            <w:vAlign w:val="center"/>
            <w:hideMark/>
          </w:tcPr>
          <w:p w14:paraId="616FABD4"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2.040</w:t>
            </w:r>
          </w:p>
        </w:tc>
        <w:tc>
          <w:tcPr>
            <w:tcW w:w="1276" w:type="dxa"/>
            <w:tcBorders>
              <w:top w:val="nil"/>
              <w:left w:val="nil"/>
              <w:bottom w:val="single" w:sz="8" w:space="0" w:color="auto"/>
              <w:right w:val="single" w:sz="8" w:space="0" w:color="auto"/>
            </w:tcBorders>
            <w:noWrap/>
            <w:vAlign w:val="center"/>
            <w:hideMark/>
          </w:tcPr>
          <w:p w14:paraId="141FC4AD"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2.040</w:t>
            </w:r>
          </w:p>
        </w:tc>
        <w:tc>
          <w:tcPr>
            <w:tcW w:w="992" w:type="dxa"/>
            <w:tcBorders>
              <w:top w:val="nil"/>
              <w:left w:val="nil"/>
              <w:bottom w:val="single" w:sz="8" w:space="0" w:color="auto"/>
              <w:right w:val="single" w:sz="8" w:space="0" w:color="auto"/>
            </w:tcBorders>
            <w:noWrap/>
            <w:vAlign w:val="center"/>
            <w:hideMark/>
          </w:tcPr>
          <w:p w14:paraId="21C8E077"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0</w:t>
            </w:r>
          </w:p>
        </w:tc>
        <w:tc>
          <w:tcPr>
            <w:tcW w:w="1001" w:type="dxa"/>
            <w:tcBorders>
              <w:top w:val="nil"/>
              <w:left w:val="nil"/>
              <w:bottom w:val="single" w:sz="8" w:space="0" w:color="auto"/>
              <w:right w:val="single" w:sz="8" w:space="0" w:color="auto"/>
            </w:tcBorders>
            <w:vAlign w:val="center"/>
            <w:hideMark/>
          </w:tcPr>
          <w:p w14:paraId="3257F0E0"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590</w:t>
            </w:r>
          </w:p>
        </w:tc>
        <w:tc>
          <w:tcPr>
            <w:tcW w:w="1222" w:type="dxa"/>
            <w:tcBorders>
              <w:top w:val="nil"/>
              <w:left w:val="nil"/>
              <w:bottom w:val="single" w:sz="8" w:space="0" w:color="auto"/>
              <w:right w:val="single" w:sz="8" w:space="0" w:color="auto"/>
            </w:tcBorders>
            <w:noWrap/>
            <w:vAlign w:val="center"/>
            <w:hideMark/>
          </w:tcPr>
          <w:p w14:paraId="72C08B54"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594</w:t>
            </w:r>
          </w:p>
        </w:tc>
        <w:tc>
          <w:tcPr>
            <w:tcW w:w="1160" w:type="dxa"/>
            <w:tcBorders>
              <w:top w:val="nil"/>
              <w:left w:val="nil"/>
              <w:bottom w:val="single" w:sz="8" w:space="0" w:color="auto"/>
              <w:right w:val="single" w:sz="8" w:space="0" w:color="auto"/>
            </w:tcBorders>
            <w:noWrap/>
            <w:vAlign w:val="center"/>
            <w:hideMark/>
          </w:tcPr>
          <w:p w14:paraId="5FADFA11"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-4</w:t>
            </w:r>
          </w:p>
        </w:tc>
      </w:tr>
      <w:tr w:rsidR="00081708" w:rsidRPr="008D2838" w14:paraId="51611378" w14:textId="77777777" w:rsidTr="00E32F8D">
        <w:trPr>
          <w:trHeight w:val="227"/>
        </w:trPr>
        <w:tc>
          <w:tcPr>
            <w:tcW w:w="211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545B906E"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REINTEGROS </w:t>
            </w:r>
          </w:p>
        </w:tc>
        <w:tc>
          <w:tcPr>
            <w:tcW w:w="992" w:type="dxa"/>
            <w:tcBorders>
              <w:top w:val="nil"/>
              <w:left w:val="single" w:sz="4" w:space="0" w:color="auto"/>
              <w:bottom w:val="single" w:sz="8" w:space="0" w:color="auto"/>
              <w:right w:val="single" w:sz="8" w:space="0" w:color="auto"/>
            </w:tcBorders>
            <w:vAlign w:val="center"/>
            <w:hideMark/>
          </w:tcPr>
          <w:p w14:paraId="57C0A127"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239</w:t>
            </w:r>
          </w:p>
        </w:tc>
        <w:tc>
          <w:tcPr>
            <w:tcW w:w="1276" w:type="dxa"/>
            <w:tcBorders>
              <w:top w:val="nil"/>
              <w:left w:val="nil"/>
              <w:bottom w:val="single" w:sz="8" w:space="0" w:color="auto"/>
              <w:right w:val="single" w:sz="8" w:space="0" w:color="auto"/>
            </w:tcBorders>
            <w:vAlign w:val="center"/>
            <w:hideMark/>
          </w:tcPr>
          <w:p w14:paraId="13F3432A"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332</w:t>
            </w:r>
          </w:p>
        </w:tc>
        <w:tc>
          <w:tcPr>
            <w:tcW w:w="992" w:type="dxa"/>
            <w:tcBorders>
              <w:top w:val="nil"/>
              <w:left w:val="nil"/>
              <w:bottom w:val="single" w:sz="8" w:space="0" w:color="auto"/>
              <w:right w:val="single" w:sz="8" w:space="0" w:color="auto"/>
            </w:tcBorders>
            <w:noWrap/>
            <w:vAlign w:val="center"/>
            <w:hideMark/>
          </w:tcPr>
          <w:p w14:paraId="76646E9B"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-93</w:t>
            </w:r>
          </w:p>
        </w:tc>
        <w:tc>
          <w:tcPr>
            <w:tcW w:w="1001" w:type="dxa"/>
            <w:tcBorders>
              <w:top w:val="nil"/>
              <w:left w:val="nil"/>
              <w:bottom w:val="single" w:sz="8" w:space="0" w:color="auto"/>
              <w:right w:val="single" w:sz="8" w:space="0" w:color="auto"/>
            </w:tcBorders>
            <w:vAlign w:val="center"/>
            <w:hideMark/>
          </w:tcPr>
          <w:p w14:paraId="05F43409"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21</w:t>
            </w:r>
          </w:p>
        </w:tc>
        <w:tc>
          <w:tcPr>
            <w:tcW w:w="1222" w:type="dxa"/>
            <w:tcBorders>
              <w:top w:val="nil"/>
              <w:left w:val="nil"/>
              <w:bottom w:val="single" w:sz="8" w:space="0" w:color="auto"/>
              <w:right w:val="single" w:sz="8" w:space="0" w:color="auto"/>
            </w:tcBorders>
            <w:vAlign w:val="center"/>
            <w:hideMark/>
          </w:tcPr>
          <w:p w14:paraId="047CFD56"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21</w:t>
            </w:r>
          </w:p>
        </w:tc>
        <w:tc>
          <w:tcPr>
            <w:tcW w:w="1160" w:type="dxa"/>
            <w:tcBorders>
              <w:top w:val="nil"/>
              <w:left w:val="nil"/>
              <w:bottom w:val="single" w:sz="8" w:space="0" w:color="auto"/>
              <w:right w:val="single" w:sz="8" w:space="0" w:color="auto"/>
            </w:tcBorders>
            <w:noWrap/>
            <w:vAlign w:val="center"/>
            <w:hideMark/>
          </w:tcPr>
          <w:p w14:paraId="4A0F8B55"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0</w:t>
            </w:r>
          </w:p>
        </w:tc>
      </w:tr>
      <w:tr w:rsidR="00081708" w:rsidRPr="008D2838" w14:paraId="00849F28" w14:textId="77777777" w:rsidTr="00E32F8D">
        <w:trPr>
          <w:trHeight w:val="227"/>
        </w:trPr>
        <w:tc>
          <w:tcPr>
            <w:tcW w:w="211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1434C966"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xml:space="preserve"> REN. FINANCROS </w:t>
            </w:r>
          </w:p>
        </w:tc>
        <w:tc>
          <w:tcPr>
            <w:tcW w:w="992" w:type="dxa"/>
            <w:tcBorders>
              <w:top w:val="nil"/>
              <w:left w:val="single" w:sz="4" w:space="0" w:color="auto"/>
              <w:bottom w:val="single" w:sz="8" w:space="0" w:color="auto"/>
              <w:right w:val="single" w:sz="8" w:space="0" w:color="auto"/>
            </w:tcBorders>
            <w:vAlign w:val="center"/>
            <w:hideMark/>
          </w:tcPr>
          <w:p w14:paraId="481F099F"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31</w:t>
            </w:r>
          </w:p>
        </w:tc>
        <w:tc>
          <w:tcPr>
            <w:tcW w:w="1276" w:type="dxa"/>
            <w:tcBorders>
              <w:top w:val="nil"/>
              <w:left w:val="nil"/>
              <w:bottom w:val="single" w:sz="8" w:space="0" w:color="auto"/>
              <w:right w:val="single" w:sz="8" w:space="0" w:color="auto"/>
            </w:tcBorders>
            <w:vAlign w:val="center"/>
            <w:hideMark/>
          </w:tcPr>
          <w:p w14:paraId="69C1021C"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31</w:t>
            </w:r>
          </w:p>
        </w:tc>
        <w:tc>
          <w:tcPr>
            <w:tcW w:w="992" w:type="dxa"/>
            <w:tcBorders>
              <w:top w:val="nil"/>
              <w:left w:val="nil"/>
              <w:bottom w:val="single" w:sz="8" w:space="0" w:color="auto"/>
              <w:right w:val="single" w:sz="8" w:space="0" w:color="auto"/>
            </w:tcBorders>
            <w:noWrap/>
            <w:vAlign w:val="center"/>
            <w:hideMark/>
          </w:tcPr>
          <w:p w14:paraId="2C7AD4D9"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0</w:t>
            </w:r>
          </w:p>
        </w:tc>
        <w:tc>
          <w:tcPr>
            <w:tcW w:w="1001" w:type="dxa"/>
            <w:tcBorders>
              <w:top w:val="nil"/>
              <w:left w:val="nil"/>
              <w:bottom w:val="single" w:sz="8" w:space="0" w:color="auto"/>
              <w:right w:val="single" w:sz="8" w:space="0" w:color="auto"/>
            </w:tcBorders>
            <w:vAlign w:val="center"/>
            <w:hideMark/>
          </w:tcPr>
          <w:p w14:paraId="7F445927"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3,5</w:t>
            </w:r>
          </w:p>
        </w:tc>
        <w:tc>
          <w:tcPr>
            <w:tcW w:w="1222" w:type="dxa"/>
            <w:tcBorders>
              <w:top w:val="nil"/>
              <w:left w:val="nil"/>
              <w:bottom w:val="single" w:sz="8" w:space="0" w:color="auto"/>
              <w:right w:val="single" w:sz="8" w:space="0" w:color="auto"/>
            </w:tcBorders>
            <w:vAlign w:val="center"/>
            <w:hideMark/>
          </w:tcPr>
          <w:p w14:paraId="7C1D2294"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3,5</w:t>
            </w:r>
          </w:p>
        </w:tc>
        <w:tc>
          <w:tcPr>
            <w:tcW w:w="1160" w:type="dxa"/>
            <w:tcBorders>
              <w:top w:val="nil"/>
              <w:left w:val="nil"/>
              <w:bottom w:val="single" w:sz="8" w:space="0" w:color="auto"/>
              <w:right w:val="single" w:sz="8" w:space="0" w:color="auto"/>
            </w:tcBorders>
            <w:noWrap/>
            <w:vAlign w:val="center"/>
            <w:hideMark/>
          </w:tcPr>
          <w:p w14:paraId="04C479E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0</w:t>
            </w:r>
          </w:p>
        </w:tc>
      </w:tr>
      <w:tr w:rsidR="008D2838" w:rsidRPr="008D2838" w14:paraId="5BEDD82B" w14:textId="77777777" w:rsidTr="00E32F8D">
        <w:trPr>
          <w:trHeight w:val="227"/>
        </w:trPr>
        <w:tc>
          <w:tcPr>
            <w:tcW w:w="211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7ADA8304" w14:textId="77777777" w:rsidR="00081708" w:rsidRPr="008D2838" w:rsidRDefault="00081708" w:rsidP="00081708">
            <w:pPr>
              <w:jc w:val="cente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TOTAL / RESULTADO CSF</w:t>
            </w:r>
          </w:p>
        </w:tc>
        <w:tc>
          <w:tcPr>
            <w:tcW w:w="992" w:type="dxa"/>
            <w:tcBorders>
              <w:top w:val="nil"/>
              <w:left w:val="single" w:sz="4" w:space="0" w:color="auto"/>
              <w:bottom w:val="single" w:sz="8" w:space="0" w:color="auto"/>
              <w:right w:val="single" w:sz="8" w:space="0" w:color="auto"/>
            </w:tcBorders>
            <w:shd w:val="clear" w:color="auto" w:fill="DBDBDB"/>
            <w:vAlign w:val="center"/>
            <w:hideMark/>
          </w:tcPr>
          <w:p w14:paraId="2BE12738"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119.641</w:t>
            </w:r>
          </w:p>
        </w:tc>
        <w:tc>
          <w:tcPr>
            <w:tcW w:w="1276" w:type="dxa"/>
            <w:tcBorders>
              <w:top w:val="nil"/>
              <w:left w:val="nil"/>
              <w:bottom w:val="single" w:sz="8" w:space="0" w:color="auto"/>
              <w:right w:val="single" w:sz="8" w:space="0" w:color="auto"/>
            </w:tcBorders>
            <w:shd w:val="clear" w:color="auto" w:fill="DBDBDB"/>
            <w:vAlign w:val="center"/>
            <w:hideMark/>
          </w:tcPr>
          <w:p w14:paraId="77AA4A9C"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121.795</w:t>
            </w:r>
          </w:p>
        </w:tc>
        <w:tc>
          <w:tcPr>
            <w:tcW w:w="992" w:type="dxa"/>
            <w:tcBorders>
              <w:top w:val="nil"/>
              <w:left w:val="nil"/>
              <w:bottom w:val="single" w:sz="8" w:space="0" w:color="auto"/>
              <w:right w:val="single" w:sz="8" w:space="0" w:color="auto"/>
            </w:tcBorders>
            <w:shd w:val="clear" w:color="auto" w:fill="DBDBDB"/>
            <w:vAlign w:val="center"/>
            <w:hideMark/>
          </w:tcPr>
          <w:p w14:paraId="5AFD368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-698</w:t>
            </w:r>
          </w:p>
        </w:tc>
        <w:tc>
          <w:tcPr>
            <w:tcW w:w="1001" w:type="dxa"/>
            <w:tcBorders>
              <w:top w:val="nil"/>
              <w:left w:val="nil"/>
              <w:bottom w:val="single" w:sz="8" w:space="0" w:color="auto"/>
              <w:right w:val="single" w:sz="8" w:space="0" w:color="auto"/>
            </w:tcBorders>
            <w:shd w:val="clear" w:color="auto" w:fill="DBDBDB"/>
            <w:vAlign w:val="center"/>
            <w:hideMark/>
          </w:tcPr>
          <w:p w14:paraId="3F211289"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6.933</w:t>
            </w:r>
          </w:p>
        </w:tc>
        <w:tc>
          <w:tcPr>
            <w:tcW w:w="1222" w:type="dxa"/>
            <w:tcBorders>
              <w:top w:val="nil"/>
              <w:left w:val="nil"/>
              <w:bottom w:val="single" w:sz="8" w:space="0" w:color="auto"/>
              <w:right w:val="single" w:sz="8" w:space="0" w:color="auto"/>
            </w:tcBorders>
            <w:shd w:val="clear" w:color="auto" w:fill="DBDBDB"/>
            <w:vAlign w:val="center"/>
            <w:hideMark/>
          </w:tcPr>
          <w:p w14:paraId="72D0EE87"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7.057</w:t>
            </w:r>
          </w:p>
        </w:tc>
        <w:tc>
          <w:tcPr>
            <w:tcW w:w="1160" w:type="dxa"/>
            <w:tcBorders>
              <w:top w:val="nil"/>
              <w:left w:val="nil"/>
              <w:bottom w:val="single" w:sz="8" w:space="0" w:color="auto"/>
              <w:right w:val="single" w:sz="8" w:space="0" w:color="auto"/>
            </w:tcBorders>
            <w:shd w:val="clear" w:color="auto" w:fill="DBDBDB"/>
            <w:vAlign w:val="center"/>
            <w:hideMark/>
          </w:tcPr>
          <w:p w14:paraId="545BAC4D"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-124</w:t>
            </w:r>
          </w:p>
        </w:tc>
      </w:tr>
    </w:tbl>
    <w:p w14:paraId="4E8ACD6D" w14:textId="77777777" w:rsidR="00081708" w:rsidRPr="008D2838" w:rsidRDefault="00081708" w:rsidP="00081708">
      <w:pPr>
        <w:jc w:val="center"/>
        <w:rPr>
          <w:rFonts w:ascii="Arial" w:eastAsia="Times New Roman" w:hAnsi="Arial" w:cs="Arial"/>
          <w:lang w:val="es-CO" w:eastAsia="es-MX"/>
        </w:rPr>
      </w:pPr>
      <w:r w:rsidRPr="008D2838">
        <w:rPr>
          <w:rFonts w:ascii="Arial" w:eastAsia="Arial" w:hAnsi="Arial" w:cs="Arial"/>
          <w:sz w:val="16"/>
          <w:szCs w:val="16"/>
          <w:lang w:val="es-CO"/>
        </w:rPr>
        <w:t>Fuente: Cálculos DAF con base en la ejecución presupuestal de ingresos y listado de RP a 31 de diciembre de 2022.</w:t>
      </w:r>
    </w:p>
    <w:p w14:paraId="3DF7A657" w14:textId="77777777" w:rsidR="00081708" w:rsidRPr="008D2838" w:rsidRDefault="00081708" w:rsidP="00081708">
      <w:pPr>
        <w:jc w:val="both"/>
        <w:rPr>
          <w:rFonts w:ascii="Arial" w:eastAsia="Arial" w:hAnsi="Arial" w:cs="Arial"/>
          <w:color w:val="000000" w:themeColor="text1"/>
          <w:sz w:val="22"/>
          <w:szCs w:val="22"/>
          <w:lang w:val="es-CO"/>
        </w:rPr>
      </w:pPr>
    </w:p>
    <w:p w14:paraId="60B525FB" w14:textId="77777777" w:rsidR="00081708" w:rsidRPr="008D2838" w:rsidRDefault="00081708" w:rsidP="00081708">
      <w:pPr>
        <w:jc w:val="both"/>
        <w:rPr>
          <w:rFonts w:ascii="Arial" w:eastAsia="Arial" w:hAnsi="Arial" w:cs="Arial"/>
          <w:color w:val="000000" w:themeColor="text1"/>
          <w:sz w:val="22"/>
          <w:szCs w:val="22"/>
          <w:lang w:val="es-CO"/>
        </w:rPr>
      </w:pPr>
      <w:r w:rsidRPr="008D2838">
        <w:rPr>
          <w:rFonts w:ascii="Arial" w:eastAsia="Arial" w:hAnsi="Arial" w:cs="Arial"/>
          <w:color w:val="000000" w:themeColor="text1"/>
          <w:sz w:val="22"/>
          <w:szCs w:val="22"/>
          <w:lang w:val="es-CO"/>
        </w:rPr>
        <w:t>A través del Decreto No. 066 del 19 de enero de 2022</w:t>
      </w:r>
      <w:r w:rsidR="008D2838" w:rsidRPr="008D2838">
        <w:rPr>
          <w:rFonts w:ascii="Arial" w:eastAsia="Arial" w:hAnsi="Arial" w:cs="Arial"/>
          <w:color w:val="000000" w:themeColor="text1"/>
          <w:sz w:val="22"/>
          <w:szCs w:val="22"/>
          <w:lang w:val="es-CO"/>
        </w:rPr>
        <w:t xml:space="preserve"> la Entidad </w:t>
      </w:r>
      <w:r w:rsidRPr="008D2838">
        <w:rPr>
          <w:rFonts w:ascii="Arial" w:eastAsia="Arial" w:hAnsi="Arial" w:cs="Arial"/>
          <w:color w:val="000000" w:themeColor="text1"/>
          <w:sz w:val="22"/>
          <w:szCs w:val="22"/>
          <w:lang w:val="es-CO"/>
        </w:rPr>
        <w:t>constituy</w:t>
      </w:r>
      <w:r w:rsidR="008D2838" w:rsidRPr="008D2838">
        <w:rPr>
          <w:rFonts w:ascii="Arial" w:eastAsia="Arial" w:hAnsi="Arial" w:cs="Arial"/>
          <w:color w:val="000000" w:themeColor="text1"/>
          <w:sz w:val="22"/>
          <w:szCs w:val="22"/>
          <w:lang w:val="es-CO"/>
        </w:rPr>
        <w:t xml:space="preserve">ó </w:t>
      </w:r>
      <w:r w:rsidRPr="008D2838">
        <w:rPr>
          <w:rFonts w:ascii="Arial" w:eastAsia="Arial" w:hAnsi="Arial" w:cs="Arial"/>
          <w:color w:val="000000" w:themeColor="text1"/>
          <w:sz w:val="22"/>
          <w:szCs w:val="22"/>
          <w:lang w:val="es-CO"/>
        </w:rPr>
        <w:t>cuentas por pagar y reservas presupuestales de la vigencia 2021 por $726 y $955 millones</w:t>
      </w:r>
      <w:r w:rsidR="006E6A31" w:rsidRPr="008D2838">
        <w:rPr>
          <w:rFonts w:ascii="Arial" w:eastAsia="Arial" w:hAnsi="Arial" w:cs="Arial"/>
          <w:color w:val="000000" w:themeColor="text1"/>
          <w:sz w:val="22"/>
          <w:szCs w:val="22"/>
          <w:lang w:val="es-CO"/>
        </w:rPr>
        <w:t>,</w:t>
      </w:r>
      <w:r w:rsidRPr="008D2838">
        <w:rPr>
          <w:rFonts w:ascii="Arial" w:eastAsia="Arial" w:hAnsi="Arial" w:cs="Arial"/>
          <w:color w:val="000000" w:themeColor="text1"/>
          <w:sz w:val="22"/>
          <w:szCs w:val="22"/>
          <w:lang w:val="es-CO"/>
        </w:rPr>
        <w:t xml:space="preserve"> respectivamente</w:t>
      </w:r>
      <w:r w:rsidR="006E6A31" w:rsidRPr="008D2838">
        <w:rPr>
          <w:rFonts w:ascii="Arial" w:eastAsia="Arial" w:hAnsi="Arial" w:cs="Arial"/>
          <w:color w:val="000000" w:themeColor="text1"/>
          <w:sz w:val="22"/>
          <w:szCs w:val="22"/>
          <w:lang w:val="es-CO"/>
        </w:rPr>
        <w:t>. S</w:t>
      </w:r>
      <w:r w:rsidRPr="008D2838">
        <w:rPr>
          <w:rFonts w:ascii="Arial" w:eastAsia="Arial" w:hAnsi="Arial" w:cs="Arial"/>
          <w:color w:val="000000" w:themeColor="text1"/>
          <w:sz w:val="22"/>
          <w:szCs w:val="22"/>
          <w:lang w:val="es-CO"/>
        </w:rPr>
        <w:t xml:space="preserve">in embargo, las reservas no coincidieron con la ejecución presupuestal de gastos dado que </w:t>
      </w:r>
      <w:r w:rsidR="006E6A31" w:rsidRPr="008D2838">
        <w:rPr>
          <w:rFonts w:ascii="Arial" w:eastAsia="Arial" w:hAnsi="Arial" w:cs="Arial"/>
          <w:color w:val="000000" w:themeColor="text1"/>
          <w:sz w:val="22"/>
          <w:szCs w:val="22"/>
          <w:lang w:val="es-CO"/>
        </w:rPr>
        <w:t xml:space="preserve">ésta </w:t>
      </w:r>
      <w:r w:rsidRPr="008D2838">
        <w:rPr>
          <w:rFonts w:ascii="Arial" w:eastAsia="Arial" w:hAnsi="Arial" w:cs="Arial"/>
          <w:color w:val="000000" w:themeColor="text1"/>
          <w:sz w:val="22"/>
          <w:szCs w:val="22"/>
          <w:lang w:val="es-CO"/>
        </w:rPr>
        <w:t xml:space="preserve">fue mayor en $135 millones. </w:t>
      </w:r>
      <w:r w:rsidR="008D2838" w:rsidRPr="008D2838">
        <w:rPr>
          <w:rFonts w:ascii="Arial" w:eastAsia="Arial" w:hAnsi="Arial" w:cs="Arial"/>
          <w:color w:val="000000" w:themeColor="text1"/>
          <w:sz w:val="22"/>
          <w:szCs w:val="22"/>
          <w:lang w:val="es-CO"/>
        </w:rPr>
        <w:t>Al cierre de</w:t>
      </w:r>
      <w:r w:rsidRPr="008D2838">
        <w:rPr>
          <w:rFonts w:ascii="Arial" w:eastAsia="Arial" w:hAnsi="Arial" w:cs="Arial"/>
          <w:color w:val="000000" w:themeColor="text1"/>
          <w:sz w:val="22"/>
          <w:szCs w:val="22"/>
          <w:lang w:val="es-CO"/>
        </w:rPr>
        <w:t xml:space="preserve"> la vigencia 2022, se constituyeron reservas presupuestales y cuentas por pagar con recursos del SGP Educación por $1.328 y $1.157 millones respectivamente, mediante los Decretos No. 029 y No. 030 del 12 de enero de 2023. </w:t>
      </w:r>
      <w:r w:rsidR="008D2838" w:rsidRPr="008D2838">
        <w:rPr>
          <w:rFonts w:ascii="Arial" w:eastAsia="Arial" w:hAnsi="Arial" w:cs="Arial"/>
          <w:color w:val="000000" w:themeColor="text1"/>
          <w:sz w:val="22"/>
          <w:szCs w:val="22"/>
          <w:lang w:val="es-CO"/>
        </w:rPr>
        <w:t>Este r</w:t>
      </w:r>
      <w:r w:rsidRPr="008D2838">
        <w:rPr>
          <w:rFonts w:ascii="Arial" w:eastAsia="Arial" w:hAnsi="Arial" w:cs="Arial"/>
          <w:color w:val="000000" w:themeColor="text1"/>
          <w:sz w:val="22"/>
          <w:szCs w:val="22"/>
          <w:lang w:val="es-CO"/>
        </w:rPr>
        <w:t>esultado coincide con la información presupuestal y tesoral. No obstante, como se mencionó anteriormente, el resultado del ejercicio presenta inconsistencia entre las distintas fuentes de información (tabla 8) del Distrito para las vigencias 2021 y 2022.</w:t>
      </w:r>
    </w:p>
    <w:p w14:paraId="207EE7E0" w14:textId="77777777" w:rsidR="00081708" w:rsidRPr="008D2838" w:rsidRDefault="00081708" w:rsidP="00081708">
      <w:pPr>
        <w:jc w:val="both"/>
        <w:rPr>
          <w:rFonts w:ascii="Arial" w:eastAsia="Arial" w:hAnsi="Arial" w:cs="Arial"/>
          <w:color w:val="000000" w:themeColor="text1"/>
          <w:sz w:val="22"/>
          <w:szCs w:val="22"/>
          <w:lang w:val="es-CO"/>
        </w:rPr>
      </w:pPr>
      <w:r w:rsidRPr="008D2838">
        <w:rPr>
          <w:rFonts w:ascii="Arial" w:eastAsia="Times New Roman" w:hAnsi="Arial" w:cs="Arial"/>
          <w:b/>
          <w:bCs/>
          <w:color w:val="FFFFFF"/>
          <w:sz w:val="22"/>
          <w:szCs w:val="22"/>
          <w:lang w:val="es-CO" w:eastAsia="es-CO"/>
        </w:rPr>
        <w:t>Tabla</w:t>
      </w:r>
      <w:r w:rsidRPr="008D2838">
        <w:rPr>
          <w:rFonts w:ascii="Arial" w:eastAsia="Times New Roman" w:hAnsi="Arial" w:cs="Arial"/>
          <w:b/>
          <w:bCs/>
          <w:color w:val="FFFFFF"/>
          <w:sz w:val="18"/>
          <w:szCs w:val="18"/>
          <w:lang w:val="es-CO" w:eastAsia="es-CO"/>
        </w:rPr>
        <w:t xml:space="preserve"> 7. Cierre Fiscal con Registros Presupuestales – Vigencia 2022</w:t>
      </w:r>
    </w:p>
    <w:tbl>
      <w:tblPr>
        <w:tblW w:w="8505" w:type="dxa"/>
        <w:tblInd w:w="132" w:type="dxa"/>
        <w:tblCellMar>
          <w:left w:w="70" w:type="dxa"/>
          <w:right w:w="70" w:type="dxa"/>
        </w:tblCellMar>
        <w:tblLook w:val="04A0" w:firstRow="1" w:lastRow="0" w:firstColumn="1" w:lastColumn="0" w:noHBand="0" w:noVBand="1"/>
      </w:tblPr>
      <w:tblGrid>
        <w:gridCol w:w="2410"/>
        <w:gridCol w:w="851"/>
        <w:gridCol w:w="850"/>
        <w:gridCol w:w="709"/>
        <w:gridCol w:w="709"/>
        <w:gridCol w:w="708"/>
        <w:gridCol w:w="851"/>
        <w:gridCol w:w="709"/>
        <w:gridCol w:w="708"/>
      </w:tblGrid>
      <w:tr w:rsidR="00081708" w:rsidRPr="008D2838" w14:paraId="68B253CD" w14:textId="77777777" w:rsidTr="00081708">
        <w:trPr>
          <w:trHeight w:val="227"/>
        </w:trPr>
        <w:tc>
          <w:tcPr>
            <w:tcW w:w="8505" w:type="dxa"/>
            <w:gridSpan w:val="9"/>
            <w:tcBorders>
              <w:top w:val="single" w:sz="8" w:space="0" w:color="auto"/>
              <w:left w:val="single" w:sz="8" w:space="0" w:color="auto"/>
              <w:bottom w:val="single" w:sz="8" w:space="0" w:color="000000"/>
              <w:right w:val="single" w:sz="4" w:space="0" w:color="auto"/>
            </w:tcBorders>
            <w:shd w:val="clear" w:color="auto" w:fill="244061"/>
            <w:vAlign w:val="center"/>
            <w:hideMark/>
          </w:tcPr>
          <w:p w14:paraId="3F92401C" w14:textId="77777777" w:rsidR="00081708" w:rsidRPr="008D2838" w:rsidRDefault="00081708" w:rsidP="00081708">
            <w:pPr>
              <w:jc w:val="center"/>
              <w:rPr>
                <w:rFonts w:ascii="Arial" w:eastAsia="Times New Roman" w:hAnsi="Arial" w:cs="Arial"/>
                <w:b/>
                <w:bCs/>
                <w:color w:val="FFFFFF"/>
                <w:sz w:val="14"/>
                <w:szCs w:val="14"/>
                <w:lang w:val="es-CO" w:eastAsia="es-CO"/>
              </w:rPr>
            </w:pPr>
            <w:r w:rsidRPr="008D2838">
              <w:rPr>
                <w:rFonts w:ascii="Arial" w:eastAsia="Times New Roman" w:hAnsi="Arial" w:cs="Arial"/>
                <w:b/>
                <w:bCs/>
                <w:color w:val="FFFFFF"/>
                <w:sz w:val="18"/>
                <w:szCs w:val="18"/>
                <w:lang w:val="es-CO" w:eastAsia="es-CO"/>
              </w:rPr>
              <w:t>Tabla 8.</w:t>
            </w:r>
            <w:r w:rsidRPr="008D2838">
              <w:rPr>
                <w:rFonts w:ascii="Arial" w:eastAsia="Times New Roman" w:hAnsi="Arial" w:cs="Arial"/>
                <w:b/>
                <w:bCs/>
                <w:color w:val="FFFFFF"/>
                <w:sz w:val="14"/>
                <w:szCs w:val="14"/>
                <w:lang w:val="es-CO" w:eastAsia="es-CO"/>
              </w:rPr>
              <w:t xml:space="preserve"> </w:t>
            </w:r>
            <w:r w:rsidRPr="008D2838">
              <w:rPr>
                <w:rFonts w:ascii="Arial" w:eastAsia="Times New Roman" w:hAnsi="Arial" w:cs="Arial"/>
                <w:b/>
                <w:bCs/>
                <w:color w:val="FFFFFF"/>
                <w:sz w:val="18"/>
                <w:szCs w:val="18"/>
                <w:lang w:val="es-CO" w:eastAsia="es-CO"/>
              </w:rPr>
              <w:t xml:space="preserve"> Reservas presupuestales y Cuentas por Pagar Vigencias 2021 y 2022</w:t>
            </w:r>
          </w:p>
        </w:tc>
      </w:tr>
      <w:tr w:rsidR="00081708" w:rsidRPr="008D2838" w14:paraId="24FBF49B" w14:textId="77777777" w:rsidTr="00081708">
        <w:trPr>
          <w:trHeight w:val="227"/>
        </w:trPr>
        <w:tc>
          <w:tcPr>
            <w:tcW w:w="2410" w:type="dxa"/>
            <w:vMerge w:val="restart"/>
            <w:tcBorders>
              <w:top w:val="single" w:sz="8" w:space="0" w:color="auto"/>
              <w:left w:val="single" w:sz="8" w:space="0" w:color="auto"/>
              <w:bottom w:val="single" w:sz="8" w:space="0" w:color="000000"/>
              <w:right w:val="single" w:sz="8" w:space="0" w:color="auto"/>
            </w:tcBorders>
            <w:shd w:val="clear" w:color="auto" w:fill="244061"/>
            <w:vAlign w:val="center"/>
            <w:hideMark/>
          </w:tcPr>
          <w:p w14:paraId="1C45D350"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SGP EDUCACIÓN</w:t>
            </w:r>
          </w:p>
        </w:tc>
        <w:tc>
          <w:tcPr>
            <w:tcW w:w="1701" w:type="dxa"/>
            <w:gridSpan w:val="2"/>
            <w:tcBorders>
              <w:top w:val="single" w:sz="8" w:space="0" w:color="auto"/>
              <w:left w:val="nil"/>
              <w:bottom w:val="nil"/>
              <w:right w:val="single" w:sz="12" w:space="0" w:color="auto"/>
            </w:tcBorders>
            <w:shd w:val="clear" w:color="auto" w:fill="244061"/>
            <w:vAlign w:val="center"/>
            <w:hideMark/>
          </w:tcPr>
          <w:p w14:paraId="3DC876DC"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PRESUPUESTAL</w:t>
            </w:r>
          </w:p>
        </w:tc>
        <w:tc>
          <w:tcPr>
            <w:tcW w:w="1418" w:type="dxa"/>
            <w:gridSpan w:val="2"/>
            <w:tcBorders>
              <w:top w:val="single" w:sz="4" w:space="0" w:color="auto"/>
              <w:left w:val="single" w:sz="12" w:space="0" w:color="auto"/>
              <w:bottom w:val="single" w:sz="4" w:space="0" w:color="auto"/>
              <w:right w:val="single" w:sz="12" w:space="0" w:color="auto"/>
            </w:tcBorders>
            <w:shd w:val="clear" w:color="auto" w:fill="244061"/>
            <w:vAlign w:val="center"/>
            <w:hideMark/>
          </w:tcPr>
          <w:p w14:paraId="4E84A4BF"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TESORAL</w:t>
            </w:r>
          </w:p>
        </w:tc>
        <w:tc>
          <w:tcPr>
            <w:tcW w:w="1559" w:type="dxa"/>
            <w:gridSpan w:val="2"/>
            <w:tcBorders>
              <w:top w:val="single" w:sz="4" w:space="0" w:color="auto"/>
              <w:left w:val="single" w:sz="12" w:space="0" w:color="auto"/>
              <w:bottom w:val="single" w:sz="4" w:space="0" w:color="auto"/>
              <w:right w:val="single" w:sz="12" w:space="0" w:color="auto"/>
            </w:tcBorders>
            <w:shd w:val="clear" w:color="auto" w:fill="244061"/>
            <w:vAlign w:val="center"/>
            <w:hideMark/>
          </w:tcPr>
          <w:p w14:paraId="51B11086" w14:textId="77777777" w:rsidR="00081708" w:rsidRPr="008D2838" w:rsidRDefault="00081708" w:rsidP="00E32F8D">
            <w:pPr>
              <w:ind w:left="-68" w:right="-72"/>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ACTOS ADMINISTRATIVOS</w:t>
            </w:r>
          </w:p>
        </w:tc>
        <w:tc>
          <w:tcPr>
            <w:tcW w:w="1417" w:type="dxa"/>
            <w:gridSpan w:val="2"/>
            <w:tcBorders>
              <w:top w:val="single" w:sz="4" w:space="0" w:color="auto"/>
              <w:left w:val="single" w:sz="12" w:space="0" w:color="auto"/>
              <w:bottom w:val="single" w:sz="4" w:space="0" w:color="auto"/>
              <w:right w:val="single" w:sz="4" w:space="0" w:color="auto"/>
            </w:tcBorders>
            <w:shd w:val="clear" w:color="auto" w:fill="244061"/>
            <w:vAlign w:val="center"/>
            <w:hideMark/>
          </w:tcPr>
          <w:p w14:paraId="10D3B60E"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DIFERENCIA</w:t>
            </w:r>
          </w:p>
        </w:tc>
      </w:tr>
      <w:tr w:rsidR="00E32F8D" w:rsidRPr="008D2838" w14:paraId="2D0D73A6" w14:textId="77777777" w:rsidTr="00081708">
        <w:trPr>
          <w:trHeight w:val="227"/>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0E396A7" w14:textId="77777777" w:rsidR="00081708" w:rsidRPr="008D2838" w:rsidRDefault="00081708" w:rsidP="00081708">
            <w:pPr>
              <w:rPr>
                <w:rFonts w:ascii="Arial" w:eastAsia="Times New Roman" w:hAnsi="Arial" w:cs="Arial"/>
                <w:b/>
                <w:bCs/>
                <w:color w:val="FFFFFF"/>
                <w:sz w:val="16"/>
                <w:szCs w:val="16"/>
                <w:lang w:val="es-CO" w:eastAsia="es-CO"/>
              </w:rPr>
            </w:pPr>
          </w:p>
        </w:tc>
        <w:tc>
          <w:tcPr>
            <w:tcW w:w="851" w:type="dxa"/>
            <w:tcBorders>
              <w:top w:val="single" w:sz="8" w:space="0" w:color="auto"/>
              <w:left w:val="nil"/>
              <w:bottom w:val="single" w:sz="8" w:space="0" w:color="auto"/>
              <w:right w:val="single" w:sz="4" w:space="0" w:color="auto"/>
            </w:tcBorders>
            <w:shd w:val="clear" w:color="auto" w:fill="244061"/>
            <w:vAlign w:val="center"/>
            <w:hideMark/>
          </w:tcPr>
          <w:p w14:paraId="66177548"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2021</w:t>
            </w:r>
          </w:p>
        </w:tc>
        <w:tc>
          <w:tcPr>
            <w:tcW w:w="850" w:type="dxa"/>
            <w:tcBorders>
              <w:top w:val="single" w:sz="8" w:space="0" w:color="auto"/>
              <w:left w:val="nil"/>
              <w:bottom w:val="single" w:sz="8" w:space="0" w:color="auto"/>
              <w:right w:val="single" w:sz="12" w:space="0" w:color="auto"/>
            </w:tcBorders>
            <w:shd w:val="clear" w:color="auto" w:fill="244061"/>
            <w:vAlign w:val="center"/>
            <w:hideMark/>
          </w:tcPr>
          <w:p w14:paraId="2CFB4BA9"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2022</w:t>
            </w:r>
          </w:p>
        </w:tc>
        <w:tc>
          <w:tcPr>
            <w:tcW w:w="709" w:type="dxa"/>
            <w:tcBorders>
              <w:top w:val="single" w:sz="4" w:space="0" w:color="auto"/>
              <w:left w:val="single" w:sz="12" w:space="0" w:color="auto"/>
              <w:bottom w:val="single" w:sz="8" w:space="0" w:color="auto"/>
              <w:right w:val="single" w:sz="4" w:space="0" w:color="auto"/>
            </w:tcBorders>
            <w:shd w:val="clear" w:color="auto" w:fill="244061"/>
            <w:vAlign w:val="center"/>
            <w:hideMark/>
          </w:tcPr>
          <w:p w14:paraId="3F925994"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2021</w:t>
            </w:r>
          </w:p>
        </w:tc>
        <w:tc>
          <w:tcPr>
            <w:tcW w:w="709" w:type="dxa"/>
            <w:tcBorders>
              <w:top w:val="single" w:sz="4" w:space="0" w:color="auto"/>
              <w:left w:val="nil"/>
              <w:bottom w:val="single" w:sz="8" w:space="0" w:color="auto"/>
              <w:right w:val="single" w:sz="12" w:space="0" w:color="auto"/>
            </w:tcBorders>
            <w:shd w:val="clear" w:color="auto" w:fill="244061"/>
            <w:vAlign w:val="center"/>
            <w:hideMark/>
          </w:tcPr>
          <w:p w14:paraId="6C834BAB"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2022</w:t>
            </w:r>
          </w:p>
        </w:tc>
        <w:tc>
          <w:tcPr>
            <w:tcW w:w="708" w:type="dxa"/>
            <w:tcBorders>
              <w:top w:val="single" w:sz="4" w:space="0" w:color="auto"/>
              <w:left w:val="single" w:sz="12" w:space="0" w:color="auto"/>
              <w:bottom w:val="single" w:sz="8" w:space="0" w:color="auto"/>
              <w:right w:val="single" w:sz="4" w:space="0" w:color="auto"/>
            </w:tcBorders>
            <w:shd w:val="clear" w:color="auto" w:fill="244061"/>
            <w:vAlign w:val="center"/>
            <w:hideMark/>
          </w:tcPr>
          <w:p w14:paraId="03FAD536"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2021</w:t>
            </w:r>
          </w:p>
        </w:tc>
        <w:tc>
          <w:tcPr>
            <w:tcW w:w="851" w:type="dxa"/>
            <w:tcBorders>
              <w:top w:val="single" w:sz="4" w:space="0" w:color="auto"/>
              <w:left w:val="nil"/>
              <w:bottom w:val="single" w:sz="8" w:space="0" w:color="auto"/>
              <w:right w:val="single" w:sz="12" w:space="0" w:color="auto"/>
            </w:tcBorders>
            <w:shd w:val="clear" w:color="auto" w:fill="244061"/>
            <w:vAlign w:val="center"/>
            <w:hideMark/>
          </w:tcPr>
          <w:p w14:paraId="48D23648"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2022</w:t>
            </w:r>
          </w:p>
        </w:tc>
        <w:tc>
          <w:tcPr>
            <w:tcW w:w="709" w:type="dxa"/>
            <w:tcBorders>
              <w:top w:val="single" w:sz="4" w:space="0" w:color="auto"/>
              <w:left w:val="single" w:sz="12" w:space="0" w:color="auto"/>
              <w:bottom w:val="single" w:sz="8" w:space="0" w:color="auto"/>
              <w:right w:val="single" w:sz="4" w:space="0" w:color="auto"/>
            </w:tcBorders>
            <w:shd w:val="clear" w:color="auto" w:fill="244061"/>
            <w:vAlign w:val="center"/>
            <w:hideMark/>
          </w:tcPr>
          <w:p w14:paraId="437954CD"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2021</w:t>
            </w:r>
          </w:p>
        </w:tc>
        <w:tc>
          <w:tcPr>
            <w:tcW w:w="708" w:type="dxa"/>
            <w:tcBorders>
              <w:top w:val="single" w:sz="4" w:space="0" w:color="auto"/>
              <w:left w:val="nil"/>
              <w:bottom w:val="single" w:sz="8" w:space="0" w:color="auto"/>
              <w:right w:val="single" w:sz="8" w:space="0" w:color="auto"/>
            </w:tcBorders>
            <w:shd w:val="clear" w:color="auto" w:fill="244061"/>
            <w:vAlign w:val="center"/>
            <w:hideMark/>
          </w:tcPr>
          <w:p w14:paraId="20B724DA" w14:textId="77777777" w:rsidR="00081708" w:rsidRPr="008D2838" w:rsidRDefault="00081708" w:rsidP="00081708">
            <w:pPr>
              <w:jc w:val="center"/>
              <w:rPr>
                <w:rFonts w:ascii="Arial" w:eastAsia="Times New Roman" w:hAnsi="Arial" w:cs="Arial"/>
                <w:b/>
                <w:bCs/>
                <w:color w:val="FFFFFF"/>
                <w:sz w:val="16"/>
                <w:szCs w:val="16"/>
                <w:lang w:val="es-CO" w:eastAsia="es-CO"/>
              </w:rPr>
            </w:pPr>
            <w:r w:rsidRPr="008D2838">
              <w:rPr>
                <w:rFonts w:ascii="Arial" w:eastAsia="Times New Roman" w:hAnsi="Arial" w:cs="Arial"/>
                <w:b/>
                <w:bCs/>
                <w:color w:val="FFFFFF"/>
                <w:sz w:val="16"/>
                <w:szCs w:val="16"/>
                <w:lang w:val="es-CO" w:eastAsia="es-CO"/>
              </w:rPr>
              <w:t>2022</w:t>
            </w:r>
          </w:p>
        </w:tc>
      </w:tr>
      <w:tr w:rsidR="00081708" w:rsidRPr="008D2838" w14:paraId="5048D37E" w14:textId="77777777" w:rsidTr="00081708">
        <w:trPr>
          <w:trHeight w:val="227"/>
        </w:trPr>
        <w:tc>
          <w:tcPr>
            <w:tcW w:w="2410" w:type="dxa"/>
            <w:tcBorders>
              <w:top w:val="nil"/>
              <w:left w:val="single" w:sz="8" w:space="0" w:color="auto"/>
              <w:bottom w:val="single" w:sz="8" w:space="0" w:color="auto"/>
              <w:right w:val="single" w:sz="8" w:space="0" w:color="auto"/>
            </w:tcBorders>
            <w:shd w:val="clear" w:color="auto" w:fill="95B3D7"/>
            <w:vAlign w:val="center"/>
            <w:hideMark/>
          </w:tcPr>
          <w:p w14:paraId="781A6079"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 Ingresos</w:t>
            </w:r>
          </w:p>
        </w:tc>
        <w:tc>
          <w:tcPr>
            <w:tcW w:w="851" w:type="dxa"/>
            <w:tcBorders>
              <w:top w:val="nil"/>
              <w:left w:val="nil"/>
              <w:bottom w:val="single" w:sz="8" w:space="0" w:color="auto"/>
              <w:right w:val="single" w:sz="4" w:space="0" w:color="auto"/>
            </w:tcBorders>
            <w:vAlign w:val="center"/>
            <w:hideMark/>
          </w:tcPr>
          <w:p w14:paraId="26F3F28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124.282</w:t>
            </w:r>
          </w:p>
        </w:tc>
        <w:tc>
          <w:tcPr>
            <w:tcW w:w="850" w:type="dxa"/>
            <w:tcBorders>
              <w:top w:val="nil"/>
              <w:left w:val="nil"/>
              <w:bottom w:val="single" w:sz="8" w:space="0" w:color="auto"/>
              <w:right w:val="single" w:sz="12" w:space="0" w:color="auto"/>
            </w:tcBorders>
            <w:vAlign w:val="center"/>
            <w:hideMark/>
          </w:tcPr>
          <w:p w14:paraId="77AAEBBE"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126.574</w:t>
            </w:r>
          </w:p>
        </w:tc>
        <w:tc>
          <w:tcPr>
            <w:tcW w:w="709" w:type="dxa"/>
            <w:tcBorders>
              <w:top w:val="nil"/>
              <w:left w:val="single" w:sz="12" w:space="0" w:color="auto"/>
              <w:bottom w:val="single" w:sz="8" w:space="0" w:color="auto"/>
              <w:right w:val="single" w:sz="4" w:space="0" w:color="auto"/>
            </w:tcBorders>
            <w:vAlign w:val="center"/>
            <w:hideMark/>
          </w:tcPr>
          <w:p w14:paraId="7322D0A8"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9" w:type="dxa"/>
            <w:tcBorders>
              <w:top w:val="nil"/>
              <w:left w:val="nil"/>
              <w:bottom w:val="single" w:sz="8" w:space="0" w:color="auto"/>
              <w:right w:val="single" w:sz="12" w:space="0" w:color="auto"/>
            </w:tcBorders>
            <w:vAlign w:val="center"/>
            <w:hideMark/>
          </w:tcPr>
          <w:p w14:paraId="19ABA7F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8" w:type="dxa"/>
            <w:tcBorders>
              <w:top w:val="nil"/>
              <w:left w:val="single" w:sz="12" w:space="0" w:color="auto"/>
              <w:bottom w:val="single" w:sz="8" w:space="0" w:color="auto"/>
              <w:right w:val="single" w:sz="4" w:space="0" w:color="auto"/>
            </w:tcBorders>
            <w:vAlign w:val="center"/>
            <w:hideMark/>
          </w:tcPr>
          <w:p w14:paraId="69571D4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851" w:type="dxa"/>
            <w:tcBorders>
              <w:top w:val="nil"/>
              <w:left w:val="nil"/>
              <w:bottom w:val="single" w:sz="8" w:space="0" w:color="auto"/>
              <w:right w:val="single" w:sz="12" w:space="0" w:color="auto"/>
            </w:tcBorders>
            <w:vAlign w:val="center"/>
            <w:hideMark/>
          </w:tcPr>
          <w:p w14:paraId="4E0AD3E8"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9" w:type="dxa"/>
            <w:tcBorders>
              <w:top w:val="nil"/>
              <w:left w:val="single" w:sz="12" w:space="0" w:color="auto"/>
              <w:bottom w:val="single" w:sz="8" w:space="0" w:color="auto"/>
              <w:right w:val="single" w:sz="4" w:space="0" w:color="auto"/>
            </w:tcBorders>
            <w:vAlign w:val="center"/>
            <w:hideMark/>
          </w:tcPr>
          <w:p w14:paraId="10703E1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8" w:type="dxa"/>
            <w:tcBorders>
              <w:top w:val="nil"/>
              <w:left w:val="nil"/>
              <w:bottom w:val="single" w:sz="8" w:space="0" w:color="auto"/>
              <w:right w:val="single" w:sz="8" w:space="0" w:color="auto"/>
            </w:tcBorders>
            <w:vAlign w:val="center"/>
            <w:hideMark/>
          </w:tcPr>
          <w:p w14:paraId="3D0A541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r>
      <w:tr w:rsidR="00081708" w:rsidRPr="008D2838" w14:paraId="00A371C5" w14:textId="77777777" w:rsidTr="00081708">
        <w:trPr>
          <w:trHeight w:val="227"/>
        </w:trPr>
        <w:tc>
          <w:tcPr>
            <w:tcW w:w="2410" w:type="dxa"/>
            <w:tcBorders>
              <w:top w:val="nil"/>
              <w:left w:val="single" w:sz="8" w:space="0" w:color="auto"/>
              <w:bottom w:val="single" w:sz="8" w:space="0" w:color="auto"/>
              <w:right w:val="single" w:sz="8" w:space="0" w:color="auto"/>
            </w:tcBorders>
            <w:shd w:val="clear" w:color="auto" w:fill="95B3D7"/>
            <w:vAlign w:val="center"/>
            <w:hideMark/>
          </w:tcPr>
          <w:p w14:paraId="14E65A26"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 Gastos (Compromisos)</w:t>
            </w:r>
          </w:p>
        </w:tc>
        <w:tc>
          <w:tcPr>
            <w:tcW w:w="851" w:type="dxa"/>
            <w:tcBorders>
              <w:top w:val="nil"/>
              <w:left w:val="nil"/>
              <w:bottom w:val="single" w:sz="8" w:space="0" w:color="auto"/>
              <w:right w:val="single" w:sz="4" w:space="0" w:color="auto"/>
            </w:tcBorders>
            <w:vAlign w:val="center"/>
            <w:hideMark/>
          </w:tcPr>
          <w:p w14:paraId="641D215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121.652</w:t>
            </w:r>
          </w:p>
        </w:tc>
        <w:tc>
          <w:tcPr>
            <w:tcW w:w="850" w:type="dxa"/>
            <w:tcBorders>
              <w:top w:val="nil"/>
              <w:left w:val="nil"/>
              <w:bottom w:val="single" w:sz="8" w:space="0" w:color="auto"/>
              <w:right w:val="single" w:sz="12" w:space="0" w:color="auto"/>
            </w:tcBorders>
            <w:vAlign w:val="center"/>
            <w:hideMark/>
          </w:tcPr>
          <w:p w14:paraId="4C94257F"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126.563</w:t>
            </w:r>
          </w:p>
        </w:tc>
        <w:tc>
          <w:tcPr>
            <w:tcW w:w="709" w:type="dxa"/>
            <w:tcBorders>
              <w:top w:val="nil"/>
              <w:left w:val="single" w:sz="12" w:space="0" w:color="auto"/>
              <w:bottom w:val="single" w:sz="8" w:space="0" w:color="auto"/>
              <w:right w:val="single" w:sz="4" w:space="0" w:color="auto"/>
            </w:tcBorders>
            <w:vAlign w:val="center"/>
            <w:hideMark/>
          </w:tcPr>
          <w:p w14:paraId="6A6F69C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9" w:type="dxa"/>
            <w:tcBorders>
              <w:top w:val="nil"/>
              <w:left w:val="nil"/>
              <w:bottom w:val="single" w:sz="8" w:space="0" w:color="auto"/>
              <w:right w:val="single" w:sz="12" w:space="0" w:color="auto"/>
            </w:tcBorders>
            <w:vAlign w:val="center"/>
            <w:hideMark/>
          </w:tcPr>
          <w:p w14:paraId="4F38EB2D"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8" w:type="dxa"/>
            <w:tcBorders>
              <w:top w:val="nil"/>
              <w:left w:val="single" w:sz="12" w:space="0" w:color="auto"/>
              <w:bottom w:val="single" w:sz="8" w:space="0" w:color="auto"/>
              <w:right w:val="single" w:sz="4" w:space="0" w:color="auto"/>
            </w:tcBorders>
            <w:vAlign w:val="center"/>
            <w:hideMark/>
          </w:tcPr>
          <w:p w14:paraId="55A303EC"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851" w:type="dxa"/>
            <w:tcBorders>
              <w:top w:val="nil"/>
              <w:left w:val="nil"/>
              <w:bottom w:val="single" w:sz="8" w:space="0" w:color="auto"/>
              <w:right w:val="single" w:sz="12" w:space="0" w:color="auto"/>
            </w:tcBorders>
            <w:vAlign w:val="center"/>
            <w:hideMark/>
          </w:tcPr>
          <w:p w14:paraId="69DA681F"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9" w:type="dxa"/>
            <w:tcBorders>
              <w:top w:val="nil"/>
              <w:left w:val="single" w:sz="12" w:space="0" w:color="auto"/>
              <w:bottom w:val="single" w:sz="8" w:space="0" w:color="auto"/>
              <w:right w:val="single" w:sz="4" w:space="0" w:color="auto"/>
            </w:tcBorders>
            <w:vAlign w:val="center"/>
            <w:hideMark/>
          </w:tcPr>
          <w:p w14:paraId="7AD962F9"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8" w:type="dxa"/>
            <w:tcBorders>
              <w:top w:val="nil"/>
              <w:left w:val="nil"/>
              <w:bottom w:val="single" w:sz="8" w:space="0" w:color="auto"/>
              <w:right w:val="single" w:sz="8" w:space="0" w:color="auto"/>
            </w:tcBorders>
            <w:noWrap/>
            <w:vAlign w:val="center"/>
            <w:hideMark/>
          </w:tcPr>
          <w:p w14:paraId="00B6D203"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r>
      <w:tr w:rsidR="00081708" w:rsidRPr="008D2838" w14:paraId="778BDE19" w14:textId="77777777" w:rsidTr="00081708">
        <w:trPr>
          <w:trHeight w:val="227"/>
        </w:trPr>
        <w:tc>
          <w:tcPr>
            <w:tcW w:w="2410" w:type="dxa"/>
            <w:tcBorders>
              <w:top w:val="nil"/>
              <w:left w:val="single" w:sz="8" w:space="0" w:color="auto"/>
              <w:bottom w:val="single" w:sz="8" w:space="0" w:color="auto"/>
              <w:right w:val="single" w:sz="8" w:space="0" w:color="auto"/>
            </w:tcBorders>
            <w:shd w:val="clear" w:color="auto" w:fill="95B3D7"/>
            <w:vAlign w:val="center"/>
            <w:hideMark/>
          </w:tcPr>
          <w:p w14:paraId="19503A48"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3. Obligaciones</w:t>
            </w:r>
          </w:p>
        </w:tc>
        <w:tc>
          <w:tcPr>
            <w:tcW w:w="851" w:type="dxa"/>
            <w:tcBorders>
              <w:top w:val="nil"/>
              <w:left w:val="nil"/>
              <w:bottom w:val="single" w:sz="8" w:space="0" w:color="auto"/>
              <w:right w:val="single" w:sz="4" w:space="0" w:color="auto"/>
            </w:tcBorders>
            <w:vAlign w:val="center"/>
            <w:hideMark/>
          </w:tcPr>
          <w:p w14:paraId="35D8A579"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120.562</w:t>
            </w:r>
          </w:p>
        </w:tc>
        <w:tc>
          <w:tcPr>
            <w:tcW w:w="850" w:type="dxa"/>
            <w:tcBorders>
              <w:top w:val="nil"/>
              <w:left w:val="nil"/>
              <w:bottom w:val="single" w:sz="8" w:space="0" w:color="auto"/>
              <w:right w:val="single" w:sz="12" w:space="0" w:color="auto"/>
            </w:tcBorders>
            <w:vAlign w:val="center"/>
            <w:hideMark/>
          </w:tcPr>
          <w:p w14:paraId="5350DED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125.235</w:t>
            </w:r>
          </w:p>
        </w:tc>
        <w:tc>
          <w:tcPr>
            <w:tcW w:w="709" w:type="dxa"/>
            <w:tcBorders>
              <w:top w:val="nil"/>
              <w:left w:val="single" w:sz="12" w:space="0" w:color="auto"/>
              <w:bottom w:val="single" w:sz="8" w:space="0" w:color="auto"/>
              <w:right w:val="single" w:sz="4" w:space="0" w:color="auto"/>
            </w:tcBorders>
            <w:vAlign w:val="center"/>
            <w:hideMark/>
          </w:tcPr>
          <w:p w14:paraId="608107F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9" w:type="dxa"/>
            <w:tcBorders>
              <w:top w:val="nil"/>
              <w:left w:val="nil"/>
              <w:bottom w:val="single" w:sz="8" w:space="0" w:color="auto"/>
              <w:right w:val="single" w:sz="12" w:space="0" w:color="auto"/>
            </w:tcBorders>
            <w:vAlign w:val="center"/>
            <w:hideMark/>
          </w:tcPr>
          <w:p w14:paraId="511A605F"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8" w:type="dxa"/>
            <w:tcBorders>
              <w:top w:val="nil"/>
              <w:left w:val="single" w:sz="12" w:space="0" w:color="auto"/>
              <w:bottom w:val="single" w:sz="8" w:space="0" w:color="auto"/>
              <w:right w:val="single" w:sz="4" w:space="0" w:color="auto"/>
            </w:tcBorders>
            <w:vAlign w:val="center"/>
            <w:hideMark/>
          </w:tcPr>
          <w:p w14:paraId="7BF002B6"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851" w:type="dxa"/>
            <w:tcBorders>
              <w:top w:val="nil"/>
              <w:left w:val="nil"/>
              <w:bottom w:val="single" w:sz="8" w:space="0" w:color="auto"/>
              <w:right w:val="single" w:sz="12" w:space="0" w:color="auto"/>
            </w:tcBorders>
            <w:vAlign w:val="center"/>
            <w:hideMark/>
          </w:tcPr>
          <w:p w14:paraId="41A4F70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9" w:type="dxa"/>
            <w:tcBorders>
              <w:top w:val="nil"/>
              <w:left w:val="single" w:sz="12" w:space="0" w:color="auto"/>
              <w:bottom w:val="single" w:sz="8" w:space="0" w:color="auto"/>
              <w:right w:val="single" w:sz="4" w:space="0" w:color="auto"/>
            </w:tcBorders>
            <w:vAlign w:val="center"/>
            <w:hideMark/>
          </w:tcPr>
          <w:p w14:paraId="70A5AB9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8" w:type="dxa"/>
            <w:tcBorders>
              <w:top w:val="nil"/>
              <w:left w:val="nil"/>
              <w:bottom w:val="single" w:sz="8" w:space="0" w:color="auto"/>
              <w:right w:val="single" w:sz="8" w:space="0" w:color="auto"/>
            </w:tcBorders>
            <w:noWrap/>
            <w:vAlign w:val="center"/>
            <w:hideMark/>
          </w:tcPr>
          <w:p w14:paraId="1EB3ECB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r>
      <w:tr w:rsidR="00081708" w:rsidRPr="008D2838" w14:paraId="1863BFE6" w14:textId="77777777" w:rsidTr="00081708">
        <w:trPr>
          <w:trHeight w:val="227"/>
        </w:trPr>
        <w:tc>
          <w:tcPr>
            <w:tcW w:w="2410" w:type="dxa"/>
            <w:tcBorders>
              <w:top w:val="nil"/>
              <w:left w:val="single" w:sz="8" w:space="0" w:color="auto"/>
              <w:bottom w:val="single" w:sz="8" w:space="0" w:color="auto"/>
              <w:right w:val="single" w:sz="8" w:space="0" w:color="auto"/>
            </w:tcBorders>
            <w:shd w:val="clear" w:color="auto" w:fill="95B3D7"/>
            <w:vAlign w:val="center"/>
            <w:hideMark/>
          </w:tcPr>
          <w:p w14:paraId="4BD44DD5" w14:textId="77777777" w:rsidR="00081708" w:rsidRPr="008D2838" w:rsidRDefault="00081708" w:rsidP="00081708">
            <w:pPr>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4. Pagos</w:t>
            </w:r>
          </w:p>
        </w:tc>
        <w:tc>
          <w:tcPr>
            <w:tcW w:w="851" w:type="dxa"/>
            <w:tcBorders>
              <w:top w:val="nil"/>
              <w:left w:val="nil"/>
              <w:bottom w:val="single" w:sz="8" w:space="0" w:color="auto"/>
              <w:right w:val="single" w:sz="4" w:space="0" w:color="auto"/>
            </w:tcBorders>
            <w:noWrap/>
            <w:vAlign w:val="center"/>
            <w:hideMark/>
          </w:tcPr>
          <w:p w14:paraId="2ABABBD2"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119.836</w:t>
            </w:r>
          </w:p>
        </w:tc>
        <w:tc>
          <w:tcPr>
            <w:tcW w:w="850" w:type="dxa"/>
            <w:tcBorders>
              <w:top w:val="nil"/>
              <w:left w:val="nil"/>
              <w:bottom w:val="single" w:sz="8" w:space="0" w:color="auto"/>
              <w:right w:val="single" w:sz="12" w:space="0" w:color="auto"/>
            </w:tcBorders>
            <w:noWrap/>
            <w:vAlign w:val="center"/>
            <w:hideMark/>
          </w:tcPr>
          <w:p w14:paraId="58C4402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124.078</w:t>
            </w:r>
          </w:p>
        </w:tc>
        <w:tc>
          <w:tcPr>
            <w:tcW w:w="709" w:type="dxa"/>
            <w:tcBorders>
              <w:top w:val="nil"/>
              <w:left w:val="single" w:sz="12" w:space="0" w:color="auto"/>
              <w:bottom w:val="single" w:sz="8" w:space="0" w:color="auto"/>
              <w:right w:val="single" w:sz="4" w:space="0" w:color="auto"/>
            </w:tcBorders>
            <w:noWrap/>
            <w:vAlign w:val="center"/>
            <w:hideMark/>
          </w:tcPr>
          <w:p w14:paraId="7BDE0257"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9" w:type="dxa"/>
            <w:tcBorders>
              <w:top w:val="nil"/>
              <w:left w:val="nil"/>
              <w:bottom w:val="single" w:sz="8" w:space="0" w:color="auto"/>
              <w:right w:val="single" w:sz="12" w:space="0" w:color="auto"/>
            </w:tcBorders>
            <w:noWrap/>
            <w:vAlign w:val="center"/>
            <w:hideMark/>
          </w:tcPr>
          <w:p w14:paraId="0F0CAC35"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8" w:type="dxa"/>
            <w:tcBorders>
              <w:top w:val="nil"/>
              <w:left w:val="single" w:sz="12" w:space="0" w:color="auto"/>
              <w:bottom w:val="single" w:sz="8" w:space="0" w:color="auto"/>
              <w:right w:val="single" w:sz="4" w:space="0" w:color="auto"/>
            </w:tcBorders>
            <w:noWrap/>
            <w:vAlign w:val="center"/>
            <w:hideMark/>
          </w:tcPr>
          <w:p w14:paraId="7437369B"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851" w:type="dxa"/>
            <w:tcBorders>
              <w:top w:val="nil"/>
              <w:left w:val="nil"/>
              <w:bottom w:val="single" w:sz="8" w:space="0" w:color="auto"/>
              <w:right w:val="single" w:sz="12" w:space="0" w:color="auto"/>
            </w:tcBorders>
            <w:noWrap/>
            <w:vAlign w:val="center"/>
            <w:hideMark/>
          </w:tcPr>
          <w:p w14:paraId="0536D1D9"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9" w:type="dxa"/>
            <w:tcBorders>
              <w:top w:val="nil"/>
              <w:left w:val="single" w:sz="12" w:space="0" w:color="auto"/>
              <w:bottom w:val="single" w:sz="8" w:space="0" w:color="auto"/>
              <w:right w:val="single" w:sz="4" w:space="0" w:color="auto"/>
            </w:tcBorders>
            <w:noWrap/>
            <w:vAlign w:val="center"/>
            <w:hideMark/>
          </w:tcPr>
          <w:p w14:paraId="231D16EC"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c>
          <w:tcPr>
            <w:tcW w:w="708" w:type="dxa"/>
            <w:tcBorders>
              <w:top w:val="nil"/>
              <w:left w:val="nil"/>
              <w:bottom w:val="single" w:sz="8" w:space="0" w:color="auto"/>
              <w:right w:val="single" w:sz="8" w:space="0" w:color="auto"/>
            </w:tcBorders>
            <w:vAlign w:val="center"/>
            <w:hideMark/>
          </w:tcPr>
          <w:p w14:paraId="2E053234"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 </w:t>
            </w:r>
          </w:p>
        </w:tc>
      </w:tr>
      <w:tr w:rsidR="00081708" w:rsidRPr="008D2838" w14:paraId="351FBF52" w14:textId="77777777" w:rsidTr="00081708">
        <w:trPr>
          <w:trHeight w:val="227"/>
        </w:trPr>
        <w:tc>
          <w:tcPr>
            <w:tcW w:w="2410" w:type="dxa"/>
            <w:tcBorders>
              <w:top w:val="nil"/>
              <w:left w:val="single" w:sz="8" w:space="0" w:color="auto"/>
              <w:bottom w:val="single" w:sz="8" w:space="0" w:color="auto"/>
              <w:right w:val="single" w:sz="8" w:space="0" w:color="auto"/>
            </w:tcBorders>
            <w:shd w:val="clear" w:color="auto" w:fill="D9D9D9"/>
            <w:vAlign w:val="center"/>
            <w:hideMark/>
          </w:tcPr>
          <w:p w14:paraId="45C58736"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Resultado ejercicio (1 - 2)</w:t>
            </w:r>
          </w:p>
        </w:tc>
        <w:tc>
          <w:tcPr>
            <w:tcW w:w="851" w:type="dxa"/>
            <w:tcBorders>
              <w:top w:val="nil"/>
              <w:left w:val="nil"/>
              <w:bottom w:val="single" w:sz="8" w:space="0" w:color="auto"/>
              <w:right w:val="single" w:sz="4" w:space="0" w:color="auto"/>
            </w:tcBorders>
            <w:vAlign w:val="center"/>
            <w:hideMark/>
          </w:tcPr>
          <w:p w14:paraId="45E10659"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2.630</w:t>
            </w:r>
          </w:p>
        </w:tc>
        <w:tc>
          <w:tcPr>
            <w:tcW w:w="850" w:type="dxa"/>
            <w:tcBorders>
              <w:top w:val="nil"/>
              <w:left w:val="nil"/>
              <w:bottom w:val="single" w:sz="8" w:space="0" w:color="auto"/>
              <w:right w:val="single" w:sz="12" w:space="0" w:color="auto"/>
            </w:tcBorders>
            <w:vAlign w:val="center"/>
            <w:hideMark/>
          </w:tcPr>
          <w:p w14:paraId="64BD551A"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w:t>
            </w:r>
          </w:p>
        </w:tc>
        <w:tc>
          <w:tcPr>
            <w:tcW w:w="709" w:type="dxa"/>
            <w:tcBorders>
              <w:top w:val="nil"/>
              <w:left w:val="single" w:sz="12" w:space="0" w:color="auto"/>
              <w:bottom w:val="single" w:sz="8" w:space="0" w:color="auto"/>
              <w:right w:val="single" w:sz="4" w:space="0" w:color="auto"/>
            </w:tcBorders>
            <w:vAlign w:val="center"/>
            <w:hideMark/>
          </w:tcPr>
          <w:p w14:paraId="4E76BF4E"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C00000"/>
                <w:sz w:val="16"/>
                <w:szCs w:val="16"/>
                <w:lang w:val="es-CO" w:eastAsia="es-CO"/>
              </w:rPr>
              <w:t>-207</w:t>
            </w:r>
          </w:p>
        </w:tc>
        <w:tc>
          <w:tcPr>
            <w:tcW w:w="709" w:type="dxa"/>
            <w:tcBorders>
              <w:top w:val="nil"/>
              <w:left w:val="nil"/>
              <w:bottom w:val="single" w:sz="8" w:space="0" w:color="auto"/>
              <w:right w:val="single" w:sz="12" w:space="0" w:color="auto"/>
            </w:tcBorders>
            <w:vAlign w:val="center"/>
            <w:hideMark/>
          </w:tcPr>
          <w:p w14:paraId="3C95ECA7"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1.160</w:t>
            </w:r>
          </w:p>
        </w:tc>
        <w:tc>
          <w:tcPr>
            <w:tcW w:w="708" w:type="dxa"/>
            <w:tcBorders>
              <w:top w:val="nil"/>
              <w:left w:val="single" w:sz="12" w:space="0" w:color="auto"/>
              <w:bottom w:val="single" w:sz="8" w:space="0" w:color="auto"/>
              <w:right w:val="single" w:sz="4" w:space="0" w:color="auto"/>
            </w:tcBorders>
            <w:vAlign w:val="center"/>
            <w:hideMark/>
          </w:tcPr>
          <w:p w14:paraId="5EA489EC"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2.630</w:t>
            </w:r>
          </w:p>
        </w:tc>
        <w:tc>
          <w:tcPr>
            <w:tcW w:w="851" w:type="dxa"/>
            <w:tcBorders>
              <w:top w:val="nil"/>
              <w:left w:val="nil"/>
              <w:bottom w:val="single" w:sz="8" w:space="0" w:color="auto"/>
              <w:right w:val="single" w:sz="12" w:space="0" w:color="auto"/>
            </w:tcBorders>
            <w:noWrap/>
            <w:vAlign w:val="center"/>
            <w:hideMark/>
          </w:tcPr>
          <w:p w14:paraId="694C18F8"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 </w:t>
            </w:r>
          </w:p>
        </w:tc>
        <w:tc>
          <w:tcPr>
            <w:tcW w:w="709" w:type="dxa"/>
            <w:tcBorders>
              <w:top w:val="nil"/>
              <w:left w:val="single" w:sz="12" w:space="0" w:color="auto"/>
              <w:bottom w:val="single" w:sz="8" w:space="0" w:color="auto"/>
              <w:right w:val="single" w:sz="4" w:space="0" w:color="auto"/>
            </w:tcBorders>
            <w:noWrap/>
            <w:vAlign w:val="center"/>
            <w:hideMark/>
          </w:tcPr>
          <w:p w14:paraId="2766D410"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2.837</w:t>
            </w:r>
          </w:p>
        </w:tc>
        <w:tc>
          <w:tcPr>
            <w:tcW w:w="708" w:type="dxa"/>
            <w:tcBorders>
              <w:top w:val="nil"/>
              <w:left w:val="nil"/>
              <w:bottom w:val="single" w:sz="8" w:space="0" w:color="auto"/>
              <w:right w:val="single" w:sz="8" w:space="0" w:color="auto"/>
            </w:tcBorders>
            <w:vAlign w:val="center"/>
            <w:hideMark/>
          </w:tcPr>
          <w:p w14:paraId="2EE227DB"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-1149</w:t>
            </w:r>
          </w:p>
        </w:tc>
      </w:tr>
      <w:tr w:rsidR="00081708" w:rsidRPr="008D2838" w14:paraId="6F4A46FB" w14:textId="77777777" w:rsidTr="00081708">
        <w:trPr>
          <w:trHeight w:val="227"/>
        </w:trPr>
        <w:tc>
          <w:tcPr>
            <w:tcW w:w="2410" w:type="dxa"/>
            <w:tcBorders>
              <w:top w:val="nil"/>
              <w:left w:val="single" w:sz="8" w:space="0" w:color="auto"/>
              <w:bottom w:val="single" w:sz="8" w:space="0" w:color="auto"/>
              <w:right w:val="single" w:sz="8" w:space="0" w:color="auto"/>
            </w:tcBorders>
            <w:shd w:val="clear" w:color="auto" w:fill="D9D9D9"/>
            <w:vAlign w:val="center"/>
            <w:hideMark/>
          </w:tcPr>
          <w:p w14:paraId="1DFB8090"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Reservas presupuestales (2 -3)</w:t>
            </w:r>
          </w:p>
        </w:tc>
        <w:tc>
          <w:tcPr>
            <w:tcW w:w="851" w:type="dxa"/>
            <w:tcBorders>
              <w:top w:val="nil"/>
              <w:left w:val="nil"/>
              <w:bottom w:val="single" w:sz="8" w:space="0" w:color="auto"/>
              <w:right w:val="single" w:sz="4" w:space="0" w:color="auto"/>
            </w:tcBorders>
            <w:vAlign w:val="center"/>
            <w:hideMark/>
          </w:tcPr>
          <w:p w14:paraId="547FCAA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1.090</w:t>
            </w:r>
          </w:p>
        </w:tc>
        <w:tc>
          <w:tcPr>
            <w:tcW w:w="850" w:type="dxa"/>
            <w:tcBorders>
              <w:top w:val="nil"/>
              <w:left w:val="nil"/>
              <w:bottom w:val="single" w:sz="8" w:space="0" w:color="auto"/>
              <w:right w:val="single" w:sz="12" w:space="0" w:color="auto"/>
            </w:tcBorders>
            <w:vAlign w:val="center"/>
            <w:hideMark/>
          </w:tcPr>
          <w:p w14:paraId="458D9D24"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1.328</w:t>
            </w:r>
          </w:p>
        </w:tc>
        <w:tc>
          <w:tcPr>
            <w:tcW w:w="709" w:type="dxa"/>
            <w:tcBorders>
              <w:top w:val="nil"/>
              <w:left w:val="single" w:sz="12" w:space="0" w:color="auto"/>
              <w:bottom w:val="single" w:sz="8" w:space="0" w:color="auto"/>
              <w:right w:val="single" w:sz="4" w:space="0" w:color="auto"/>
            </w:tcBorders>
            <w:vAlign w:val="center"/>
            <w:hideMark/>
          </w:tcPr>
          <w:p w14:paraId="64D2445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955</w:t>
            </w:r>
          </w:p>
        </w:tc>
        <w:tc>
          <w:tcPr>
            <w:tcW w:w="709" w:type="dxa"/>
            <w:tcBorders>
              <w:top w:val="nil"/>
              <w:left w:val="nil"/>
              <w:bottom w:val="single" w:sz="8" w:space="0" w:color="auto"/>
              <w:right w:val="single" w:sz="12" w:space="0" w:color="auto"/>
            </w:tcBorders>
            <w:vAlign w:val="center"/>
            <w:hideMark/>
          </w:tcPr>
          <w:p w14:paraId="7193DA3F"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1.328</w:t>
            </w:r>
          </w:p>
        </w:tc>
        <w:tc>
          <w:tcPr>
            <w:tcW w:w="708" w:type="dxa"/>
            <w:tcBorders>
              <w:top w:val="nil"/>
              <w:left w:val="single" w:sz="12" w:space="0" w:color="auto"/>
              <w:bottom w:val="single" w:sz="8" w:space="0" w:color="auto"/>
              <w:right w:val="single" w:sz="4" w:space="0" w:color="auto"/>
            </w:tcBorders>
            <w:vAlign w:val="center"/>
            <w:hideMark/>
          </w:tcPr>
          <w:p w14:paraId="5028A8A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955 </w:t>
            </w:r>
          </w:p>
        </w:tc>
        <w:tc>
          <w:tcPr>
            <w:tcW w:w="851" w:type="dxa"/>
            <w:tcBorders>
              <w:top w:val="nil"/>
              <w:left w:val="nil"/>
              <w:bottom w:val="single" w:sz="8" w:space="0" w:color="auto"/>
              <w:right w:val="single" w:sz="12" w:space="0" w:color="auto"/>
            </w:tcBorders>
            <w:noWrap/>
            <w:vAlign w:val="center"/>
            <w:hideMark/>
          </w:tcPr>
          <w:p w14:paraId="42DA3188"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1.328</w:t>
            </w:r>
          </w:p>
        </w:tc>
        <w:tc>
          <w:tcPr>
            <w:tcW w:w="709" w:type="dxa"/>
            <w:tcBorders>
              <w:top w:val="nil"/>
              <w:left w:val="single" w:sz="12" w:space="0" w:color="auto"/>
              <w:bottom w:val="single" w:sz="8" w:space="0" w:color="auto"/>
              <w:right w:val="single" w:sz="4" w:space="0" w:color="auto"/>
            </w:tcBorders>
            <w:noWrap/>
            <w:vAlign w:val="center"/>
            <w:hideMark/>
          </w:tcPr>
          <w:p w14:paraId="47AB10B6"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135</w:t>
            </w:r>
          </w:p>
        </w:tc>
        <w:tc>
          <w:tcPr>
            <w:tcW w:w="708" w:type="dxa"/>
            <w:tcBorders>
              <w:top w:val="nil"/>
              <w:left w:val="nil"/>
              <w:bottom w:val="single" w:sz="8" w:space="0" w:color="auto"/>
              <w:right w:val="single" w:sz="8" w:space="0" w:color="auto"/>
            </w:tcBorders>
            <w:vAlign w:val="center"/>
            <w:hideMark/>
          </w:tcPr>
          <w:p w14:paraId="08ACFBF3"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0</w:t>
            </w:r>
          </w:p>
        </w:tc>
      </w:tr>
      <w:tr w:rsidR="00081708" w:rsidRPr="008D2838" w14:paraId="607B1952" w14:textId="77777777" w:rsidTr="00081708">
        <w:trPr>
          <w:trHeight w:val="227"/>
        </w:trPr>
        <w:tc>
          <w:tcPr>
            <w:tcW w:w="2410" w:type="dxa"/>
            <w:tcBorders>
              <w:top w:val="nil"/>
              <w:left w:val="single" w:sz="8" w:space="0" w:color="auto"/>
              <w:bottom w:val="single" w:sz="8" w:space="0" w:color="auto"/>
              <w:right w:val="single" w:sz="8" w:space="0" w:color="auto"/>
            </w:tcBorders>
            <w:shd w:val="clear" w:color="auto" w:fill="D9D9D9"/>
            <w:vAlign w:val="center"/>
            <w:hideMark/>
          </w:tcPr>
          <w:p w14:paraId="0F9203BF" w14:textId="77777777" w:rsidR="00081708" w:rsidRPr="008D2838" w:rsidRDefault="00081708" w:rsidP="00081708">
            <w:pPr>
              <w:jc w:val="right"/>
              <w:rPr>
                <w:rFonts w:ascii="Arial" w:eastAsia="Times New Roman" w:hAnsi="Arial" w:cs="Arial"/>
                <w:color w:val="000000"/>
                <w:sz w:val="16"/>
                <w:szCs w:val="16"/>
                <w:lang w:val="es-CO" w:eastAsia="es-CO"/>
              </w:rPr>
            </w:pPr>
            <w:r w:rsidRPr="008D2838">
              <w:rPr>
                <w:rFonts w:ascii="Arial" w:eastAsia="Times New Roman" w:hAnsi="Arial" w:cs="Arial"/>
                <w:color w:val="000000"/>
                <w:sz w:val="16"/>
                <w:szCs w:val="16"/>
                <w:lang w:val="es-CO" w:eastAsia="es-CO"/>
              </w:rPr>
              <w:t>Cuentas por Pagar (3 - 4)</w:t>
            </w:r>
          </w:p>
        </w:tc>
        <w:tc>
          <w:tcPr>
            <w:tcW w:w="851" w:type="dxa"/>
            <w:tcBorders>
              <w:top w:val="nil"/>
              <w:left w:val="nil"/>
              <w:bottom w:val="single" w:sz="8" w:space="0" w:color="auto"/>
              <w:right w:val="single" w:sz="4" w:space="0" w:color="auto"/>
            </w:tcBorders>
            <w:vAlign w:val="center"/>
            <w:hideMark/>
          </w:tcPr>
          <w:p w14:paraId="6FA673E6"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726</w:t>
            </w:r>
          </w:p>
        </w:tc>
        <w:tc>
          <w:tcPr>
            <w:tcW w:w="850" w:type="dxa"/>
            <w:tcBorders>
              <w:top w:val="nil"/>
              <w:left w:val="nil"/>
              <w:bottom w:val="single" w:sz="8" w:space="0" w:color="auto"/>
              <w:right w:val="single" w:sz="12" w:space="0" w:color="auto"/>
            </w:tcBorders>
            <w:vAlign w:val="center"/>
            <w:hideMark/>
          </w:tcPr>
          <w:p w14:paraId="5FB943A0"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1.157</w:t>
            </w:r>
          </w:p>
        </w:tc>
        <w:tc>
          <w:tcPr>
            <w:tcW w:w="709" w:type="dxa"/>
            <w:tcBorders>
              <w:top w:val="nil"/>
              <w:left w:val="single" w:sz="12" w:space="0" w:color="auto"/>
              <w:bottom w:val="single" w:sz="8" w:space="0" w:color="auto"/>
              <w:right w:val="single" w:sz="4" w:space="0" w:color="auto"/>
            </w:tcBorders>
            <w:vAlign w:val="center"/>
            <w:hideMark/>
          </w:tcPr>
          <w:p w14:paraId="616441BE"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726</w:t>
            </w:r>
          </w:p>
        </w:tc>
        <w:tc>
          <w:tcPr>
            <w:tcW w:w="709" w:type="dxa"/>
            <w:tcBorders>
              <w:top w:val="nil"/>
              <w:left w:val="nil"/>
              <w:bottom w:val="single" w:sz="8" w:space="0" w:color="auto"/>
              <w:right w:val="single" w:sz="12" w:space="0" w:color="auto"/>
            </w:tcBorders>
            <w:vAlign w:val="center"/>
            <w:hideMark/>
          </w:tcPr>
          <w:p w14:paraId="5E3AF016"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1.157</w:t>
            </w:r>
          </w:p>
        </w:tc>
        <w:tc>
          <w:tcPr>
            <w:tcW w:w="708" w:type="dxa"/>
            <w:tcBorders>
              <w:top w:val="nil"/>
              <w:left w:val="single" w:sz="12" w:space="0" w:color="auto"/>
              <w:bottom w:val="single" w:sz="8" w:space="0" w:color="auto"/>
              <w:right w:val="single" w:sz="4" w:space="0" w:color="auto"/>
            </w:tcBorders>
            <w:vAlign w:val="center"/>
            <w:hideMark/>
          </w:tcPr>
          <w:p w14:paraId="16196292"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726 </w:t>
            </w:r>
          </w:p>
        </w:tc>
        <w:tc>
          <w:tcPr>
            <w:tcW w:w="851" w:type="dxa"/>
            <w:tcBorders>
              <w:top w:val="nil"/>
              <w:left w:val="nil"/>
              <w:bottom w:val="single" w:sz="8" w:space="0" w:color="auto"/>
              <w:right w:val="single" w:sz="12" w:space="0" w:color="auto"/>
            </w:tcBorders>
            <w:noWrap/>
            <w:vAlign w:val="center"/>
            <w:hideMark/>
          </w:tcPr>
          <w:p w14:paraId="66E74810"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1.157</w:t>
            </w:r>
          </w:p>
        </w:tc>
        <w:tc>
          <w:tcPr>
            <w:tcW w:w="709" w:type="dxa"/>
            <w:tcBorders>
              <w:top w:val="nil"/>
              <w:left w:val="single" w:sz="12" w:space="0" w:color="auto"/>
              <w:bottom w:val="single" w:sz="8" w:space="0" w:color="auto"/>
              <w:right w:val="single" w:sz="4" w:space="0" w:color="auto"/>
            </w:tcBorders>
            <w:noWrap/>
            <w:vAlign w:val="center"/>
            <w:hideMark/>
          </w:tcPr>
          <w:p w14:paraId="51C48386"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0</w:t>
            </w:r>
          </w:p>
        </w:tc>
        <w:tc>
          <w:tcPr>
            <w:tcW w:w="708" w:type="dxa"/>
            <w:tcBorders>
              <w:top w:val="nil"/>
              <w:left w:val="nil"/>
              <w:bottom w:val="single" w:sz="8" w:space="0" w:color="auto"/>
              <w:right w:val="single" w:sz="8" w:space="0" w:color="auto"/>
            </w:tcBorders>
            <w:vAlign w:val="center"/>
            <w:hideMark/>
          </w:tcPr>
          <w:p w14:paraId="7AF6933A" w14:textId="77777777" w:rsidR="00081708" w:rsidRPr="008D2838" w:rsidRDefault="00081708" w:rsidP="00081708">
            <w:pPr>
              <w:jc w:val="right"/>
              <w:rPr>
                <w:rFonts w:ascii="Arial" w:eastAsia="Times New Roman" w:hAnsi="Arial" w:cs="Arial"/>
                <w:b/>
                <w:bCs/>
                <w:color w:val="000000"/>
                <w:sz w:val="16"/>
                <w:szCs w:val="16"/>
                <w:lang w:val="es-CO" w:eastAsia="es-CO"/>
              </w:rPr>
            </w:pPr>
            <w:r w:rsidRPr="008D2838">
              <w:rPr>
                <w:rFonts w:ascii="Arial" w:eastAsia="Times New Roman" w:hAnsi="Arial" w:cs="Arial"/>
                <w:b/>
                <w:bCs/>
                <w:color w:val="000000"/>
                <w:sz w:val="16"/>
                <w:szCs w:val="16"/>
                <w:lang w:val="es-CO" w:eastAsia="es-CO"/>
              </w:rPr>
              <w:t>0</w:t>
            </w:r>
          </w:p>
        </w:tc>
      </w:tr>
    </w:tbl>
    <w:p w14:paraId="6D87455D" w14:textId="77777777" w:rsidR="00081708" w:rsidRPr="008D2838" w:rsidRDefault="00081708" w:rsidP="00081708">
      <w:pPr>
        <w:jc w:val="center"/>
        <w:rPr>
          <w:rFonts w:ascii="Arial" w:eastAsia="Times New Roman" w:hAnsi="Arial" w:cs="Arial"/>
          <w:lang w:val="es-CO" w:eastAsia="es-MX"/>
        </w:rPr>
      </w:pPr>
      <w:r w:rsidRPr="008D2838">
        <w:rPr>
          <w:rFonts w:ascii="Arial" w:eastAsia="Arial" w:hAnsi="Arial" w:cs="Arial"/>
          <w:color w:val="000000" w:themeColor="text1"/>
          <w:sz w:val="16"/>
          <w:szCs w:val="16"/>
          <w:lang w:val="es-CO"/>
        </w:rPr>
        <w:t>Fuente: Cálculos DAF con base en las ejecuciones presupuestales, cierre de tesorería y actos administrativos de constitución de reservas, cuentas por pagar e incorporación del resultado fiscal.</w:t>
      </w:r>
    </w:p>
    <w:p w14:paraId="797CF42C" w14:textId="77777777" w:rsidR="00081708" w:rsidRPr="008D2838" w:rsidRDefault="00081708" w:rsidP="00081708">
      <w:pPr>
        <w:jc w:val="both"/>
        <w:rPr>
          <w:rFonts w:ascii="Arial" w:eastAsia="Arial" w:hAnsi="Arial" w:cs="Arial"/>
          <w:color w:val="000000" w:themeColor="text1"/>
          <w:sz w:val="22"/>
          <w:szCs w:val="22"/>
          <w:lang w:val="es-CO"/>
        </w:rPr>
      </w:pPr>
    </w:p>
    <w:p w14:paraId="49B031B2" w14:textId="77777777" w:rsidR="00081708" w:rsidRPr="008D2838" w:rsidRDefault="00081708" w:rsidP="00081708">
      <w:pPr>
        <w:jc w:val="both"/>
        <w:rPr>
          <w:rFonts w:ascii="Arial" w:eastAsia="Times New Roman" w:hAnsi="Arial" w:cs="Arial"/>
          <w:sz w:val="22"/>
          <w:szCs w:val="22"/>
          <w:lang w:val="es-CO"/>
        </w:rPr>
      </w:pPr>
      <w:r w:rsidRPr="008D2838">
        <w:rPr>
          <w:rFonts w:ascii="Arial" w:eastAsia="Arial" w:hAnsi="Arial" w:cs="Arial"/>
          <w:color w:val="000000" w:themeColor="text1"/>
          <w:sz w:val="22"/>
          <w:szCs w:val="22"/>
          <w:lang w:val="es-CO"/>
        </w:rPr>
        <w:t>Finalmente, se contrastaron los extractos bancarios enviados por el Distrito para la vigencia 2020 y lo reportado por tesorería en el cierre fiscal encontrando lo siguiente:</w:t>
      </w:r>
    </w:p>
    <w:p w14:paraId="076F614B" w14:textId="77777777" w:rsidR="00081708" w:rsidRPr="008D2838" w:rsidRDefault="00081708" w:rsidP="00081708">
      <w:pPr>
        <w:rPr>
          <w:rFonts w:ascii="Arial" w:hAnsi="Arial" w:cs="Arial"/>
          <w:sz w:val="22"/>
          <w:szCs w:val="22"/>
          <w:lang w:val="es-CO"/>
        </w:rPr>
      </w:pPr>
    </w:p>
    <w:tbl>
      <w:tblPr>
        <w:tblW w:w="5000" w:type="pct"/>
        <w:jc w:val="center"/>
        <w:tblCellMar>
          <w:left w:w="70" w:type="dxa"/>
          <w:right w:w="70" w:type="dxa"/>
        </w:tblCellMar>
        <w:tblLook w:val="04A0" w:firstRow="1" w:lastRow="0" w:firstColumn="1" w:lastColumn="0" w:noHBand="0" w:noVBand="1"/>
      </w:tblPr>
      <w:tblGrid>
        <w:gridCol w:w="7668"/>
        <w:gridCol w:w="1160"/>
      </w:tblGrid>
      <w:tr w:rsidR="00081708" w:rsidRPr="008D2838" w14:paraId="71BE760A" w14:textId="77777777" w:rsidTr="008D2838">
        <w:trPr>
          <w:trHeight w:val="20"/>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244061"/>
            <w:vAlign w:val="center"/>
            <w:hideMark/>
          </w:tcPr>
          <w:p w14:paraId="56F435BD" w14:textId="77777777" w:rsidR="00081708" w:rsidRPr="008D2838" w:rsidRDefault="00081708" w:rsidP="00081708">
            <w:pPr>
              <w:jc w:val="center"/>
              <w:rPr>
                <w:rFonts w:ascii="Arial" w:eastAsia="Times New Roman" w:hAnsi="Arial" w:cs="Arial"/>
                <w:b/>
                <w:bCs/>
                <w:color w:val="FFFFFF"/>
                <w:sz w:val="18"/>
                <w:szCs w:val="18"/>
                <w:lang w:val="es-CO"/>
              </w:rPr>
            </w:pPr>
            <w:r w:rsidRPr="008D2838">
              <w:rPr>
                <w:rFonts w:ascii="Arial" w:hAnsi="Arial" w:cs="Arial"/>
                <w:b/>
                <w:bCs/>
                <w:color w:val="FFFFFF"/>
                <w:sz w:val="18"/>
                <w:szCs w:val="18"/>
                <w:lang w:val="es-CO"/>
              </w:rPr>
              <w:t>Tabla 9. Saldo Cuentas Bancarias al 31 de diciembre del 2020</w:t>
            </w:r>
          </w:p>
        </w:tc>
      </w:tr>
      <w:tr w:rsidR="00081708" w:rsidRPr="008D2838" w14:paraId="090B2DEA" w14:textId="77777777" w:rsidTr="008D2838">
        <w:trPr>
          <w:trHeight w:val="20"/>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244061"/>
            <w:vAlign w:val="center"/>
            <w:hideMark/>
          </w:tcPr>
          <w:p w14:paraId="32C34A6E" w14:textId="77777777" w:rsidR="00081708" w:rsidRPr="008D2838" w:rsidRDefault="00081708" w:rsidP="00081708">
            <w:pPr>
              <w:jc w:val="center"/>
              <w:rPr>
                <w:rFonts w:ascii="Arial" w:hAnsi="Arial" w:cs="Arial"/>
                <w:b/>
                <w:bCs/>
                <w:color w:val="FFFFFF"/>
                <w:sz w:val="18"/>
                <w:szCs w:val="18"/>
                <w:lang w:val="es-CO"/>
              </w:rPr>
            </w:pPr>
            <w:r w:rsidRPr="008D2838">
              <w:rPr>
                <w:rFonts w:ascii="Arial" w:hAnsi="Arial" w:cs="Arial"/>
                <w:b/>
                <w:bCs/>
                <w:color w:val="FFFFFF"/>
                <w:sz w:val="18"/>
                <w:szCs w:val="18"/>
                <w:lang w:val="es-CO"/>
              </w:rPr>
              <w:t>(Cifras en millones de $)</w:t>
            </w:r>
          </w:p>
        </w:tc>
      </w:tr>
      <w:tr w:rsidR="00081708" w:rsidRPr="008D2838" w14:paraId="2D9B1FD7" w14:textId="77777777" w:rsidTr="00E32F8D">
        <w:trPr>
          <w:trHeight w:val="20"/>
          <w:jc w:val="center"/>
        </w:trPr>
        <w:tc>
          <w:tcPr>
            <w:tcW w:w="4343" w:type="pct"/>
            <w:tcBorders>
              <w:top w:val="single" w:sz="4" w:space="0" w:color="auto"/>
              <w:left w:val="single" w:sz="4" w:space="0" w:color="auto"/>
              <w:bottom w:val="single" w:sz="4" w:space="0" w:color="auto"/>
              <w:right w:val="single" w:sz="4" w:space="0" w:color="auto"/>
            </w:tcBorders>
            <w:shd w:val="clear" w:color="auto" w:fill="95B3D7"/>
            <w:vAlign w:val="center"/>
            <w:hideMark/>
          </w:tcPr>
          <w:p w14:paraId="0CED1638" w14:textId="77777777" w:rsidR="00081708" w:rsidRPr="008D2838" w:rsidRDefault="00081708" w:rsidP="00081708">
            <w:pPr>
              <w:jc w:val="center"/>
              <w:rPr>
                <w:rFonts w:ascii="Arial" w:hAnsi="Arial" w:cs="Arial"/>
                <w:b/>
                <w:bCs/>
                <w:color w:val="000000"/>
                <w:sz w:val="18"/>
                <w:szCs w:val="18"/>
                <w:lang w:val="es-CO"/>
              </w:rPr>
            </w:pPr>
            <w:r w:rsidRPr="008D2838">
              <w:rPr>
                <w:rFonts w:ascii="Arial" w:hAnsi="Arial" w:cs="Arial"/>
                <w:b/>
                <w:bCs/>
                <w:color w:val="000000"/>
                <w:sz w:val="18"/>
                <w:szCs w:val="18"/>
                <w:lang w:val="es-CO"/>
              </w:rPr>
              <w:t xml:space="preserve"> Banco / Cuenta </w:t>
            </w:r>
          </w:p>
        </w:tc>
        <w:tc>
          <w:tcPr>
            <w:tcW w:w="657" w:type="pct"/>
            <w:tcBorders>
              <w:top w:val="single" w:sz="4" w:space="0" w:color="auto"/>
              <w:left w:val="single" w:sz="4" w:space="0" w:color="auto"/>
              <w:bottom w:val="single" w:sz="4" w:space="0" w:color="auto"/>
              <w:right w:val="single" w:sz="4" w:space="0" w:color="auto"/>
            </w:tcBorders>
            <w:shd w:val="clear" w:color="auto" w:fill="95B3D7"/>
            <w:vAlign w:val="center"/>
            <w:hideMark/>
          </w:tcPr>
          <w:p w14:paraId="7E7A1C43" w14:textId="77777777" w:rsidR="00081708" w:rsidRPr="008D2838" w:rsidRDefault="00081708" w:rsidP="00081708">
            <w:pPr>
              <w:jc w:val="center"/>
              <w:rPr>
                <w:rFonts w:ascii="Arial" w:hAnsi="Arial" w:cs="Arial"/>
                <w:b/>
                <w:bCs/>
                <w:color w:val="000000"/>
                <w:sz w:val="18"/>
                <w:szCs w:val="18"/>
                <w:lang w:val="es-CO"/>
              </w:rPr>
            </w:pPr>
            <w:r w:rsidRPr="008D2838">
              <w:rPr>
                <w:rFonts w:ascii="Arial" w:hAnsi="Arial" w:cs="Arial"/>
                <w:b/>
                <w:bCs/>
                <w:color w:val="000000"/>
                <w:sz w:val="18"/>
                <w:szCs w:val="18"/>
                <w:lang w:val="es-CO"/>
              </w:rPr>
              <w:t xml:space="preserve"> Saldo </w:t>
            </w:r>
          </w:p>
        </w:tc>
      </w:tr>
      <w:tr w:rsidR="00081708" w:rsidRPr="008D2838" w14:paraId="0E0FF6E1" w14:textId="77777777" w:rsidTr="00E32F8D">
        <w:trPr>
          <w:trHeight w:val="20"/>
          <w:jc w:val="center"/>
        </w:trPr>
        <w:tc>
          <w:tcPr>
            <w:tcW w:w="4343" w:type="pct"/>
            <w:tcBorders>
              <w:top w:val="single" w:sz="4" w:space="0" w:color="auto"/>
              <w:left w:val="single" w:sz="8" w:space="0" w:color="auto"/>
              <w:bottom w:val="single" w:sz="8" w:space="0" w:color="auto"/>
              <w:right w:val="single" w:sz="8" w:space="0" w:color="auto"/>
            </w:tcBorders>
            <w:vAlign w:val="center"/>
            <w:hideMark/>
          </w:tcPr>
          <w:p w14:paraId="33214B5B"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Banco BBVA - Prestación del Servicio 1684 Nómina</w:t>
            </w:r>
          </w:p>
        </w:tc>
        <w:tc>
          <w:tcPr>
            <w:tcW w:w="657" w:type="pct"/>
            <w:tcBorders>
              <w:top w:val="single" w:sz="4" w:space="0" w:color="auto"/>
              <w:left w:val="nil"/>
              <w:bottom w:val="single" w:sz="8" w:space="0" w:color="auto"/>
              <w:right w:val="single" w:sz="8" w:space="0" w:color="auto"/>
            </w:tcBorders>
            <w:vAlign w:val="center"/>
            <w:hideMark/>
          </w:tcPr>
          <w:p w14:paraId="1F54AA24" w14:textId="77777777" w:rsidR="00081708" w:rsidRPr="008D2838" w:rsidRDefault="00081708" w:rsidP="00081708">
            <w:pPr>
              <w:jc w:val="right"/>
              <w:rPr>
                <w:rFonts w:ascii="Arial" w:hAnsi="Arial" w:cs="Arial"/>
                <w:color w:val="000000"/>
                <w:sz w:val="18"/>
                <w:szCs w:val="18"/>
                <w:lang w:val="es-CO"/>
              </w:rPr>
            </w:pPr>
            <w:r w:rsidRPr="008D2838">
              <w:rPr>
                <w:rFonts w:ascii="Arial" w:hAnsi="Arial" w:cs="Arial"/>
                <w:color w:val="000000"/>
                <w:sz w:val="18"/>
                <w:szCs w:val="18"/>
                <w:lang w:val="es-CO"/>
              </w:rPr>
              <w:t>1.368,1</w:t>
            </w:r>
          </w:p>
        </w:tc>
      </w:tr>
      <w:tr w:rsidR="00081708" w:rsidRPr="008D2838" w14:paraId="28F3DD05" w14:textId="77777777" w:rsidTr="00081708">
        <w:trPr>
          <w:trHeight w:val="20"/>
          <w:jc w:val="center"/>
        </w:trPr>
        <w:tc>
          <w:tcPr>
            <w:tcW w:w="4343" w:type="pct"/>
            <w:tcBorders>
              <w:top w:val="nil"/>
              <w:left w:val="single" w:sz="8" w:space="0" w:color="auto"/>
              <w:bottom w:val="single" w:sz="8" w:space="0" w:color="auto"/>
              <w:right w:val="single" w:sz="8" w:space="0" w:color="auto"/>
            </w:tcBorders>
            <w:vAlign w:val="center"/>
            <w:hideMark/>
          </w:tcPr>
          <w:p w14:paraId="157EDA60"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Banco BBVA – Calidad 5176 Pagadora nómina</w:t>
            </w:r>
          </w:p>
        </w:tc>
        <w:tc>
          <w:tcPr>
            <w:tcW w:w="657" w:type="pct"/>
            <w:tcBorders>
              <w:top w:val="nil"/>
              <w:left w:val="nil"/>
              <w:bottom w:val="single" w:sz="8" w:space="0" w:color="auto"/>
              <w:right w:val="single" w:sz="8" w:space="0" w:color="auto"/>
            </w:tcBorders>
            <w:vAlign w:val="center"/>
            <w:hideMark/>
          </w:tcPr>
          <w:p w14:paraId="3E8C5709" w14:textId="77777777" w:rsidR="00081708" w:rsidRPr="008D2838" w:rsidRDefault="00081708" w:rsidP="00081708">
            <w:pPr>
              <w:jc w:val="right"/>
              <w:rPr>
                <w:rFonts w:ascii="Arial" w:hAnsi="Arial" w:cs="Arial"/>
                <w:color w:val="000000"/>
                <w:sz w:val="18"/>
                <w:szCs w:val="18"/>
                <w:lang w:val="es-CO"/>
              </w:rPr>
            </w:pPr>
            <w:r w:rsidRPr="008D2838">
              <w:rPr>
                <w:rFonts w:ascii="Arial" w:hAnsi="Arial" w:cs="Arial"/>
                <w:color w:val="000000"/>
                <w:sz w:val="18"/>
                <w:szCs w:val="18"/>
                <w:lang w:val="es-CO"/>
              </w:rPr>
              <w:t>3</w:t>
            </w:r>
          </w:p>
        </w:tc>
      </w:tr>
      <w:tr w:rsidR="00081708" w:rsidRPr="008D2838" w14:paraId="5D5C7A7F" w14:textId="77777777" w:rsidTr="00081708">
        <w:trPr>
          <w:trHeight w:val="20"/>
          <w:jc w:val="center"/>
        </w:trPr>
        <w:tc>
          <w:tcPr>
            <w:tcW w:w="4343" w:type="pct"/>
            <w:tcBorders>
              <w:top w:val="nil"/>
              <w:left w:val="single" w:sz="8" w:space="0" w:color="auto"/>
              <w:bottom w:val="single" w:sz="8" w:space="0" w:color="auto"/>
              <w:right w:val="single" w:sz="8" w:space="0" w:color="auto"/>
            </w:tcBorders>
            <w:vAlign w:val="center"/>
            <w:hideMark/>
          </w:tcPr>
          <w:p w14:paraId="2E72E01C"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lastRenderedPageBreak/>
              <w:t>Banco BBVA - Prestación del Servicio 1676 Diferente de Nómina</w:t>
            </w:r>
          </w:p>
        </w:tc>
        <w:tc>
          <w:tcPr>
            <w:tcW w:w="657" w:type="pct"/>
            <w:tcBorders>
              <w:top w:val="nil"/>
              <w:left w:val="nil"/>
              <w:bottom w:val="single" w:sz="8" w:space="0" w:color="auto"/>
              <w:right w:val="single" w:sz="8" w:space="0" w:color="auto"/>
            </w:tcBorders>
            <w:vAlign w:val="center"/>
            <w:hideMark/>
          </w:tcPr>
          <w:p w14:paraId="080C5D1B" w14:textId="77777777" w:rsidR="00081708" w:rsidRPr="008D2838" w:rsidRDefault="00081708" w:rsidP="00081708">
            <w:pPr>
              <w:jc w:val="right"/>
              <w:rPr>
                <w:rFonts w:ascii="Arial" w:hAnsi="Arial" w:cs="Arial"/>
                <w:color w:val="000000"/>
                <w:sz w:val="18"/>
                <w:szCs w:val="18"/>
                <w:lang w:val="es-CO"/>
              </w:rPr>
            </w:pPr>
            <w:r w:rsidRPr="008D2838">
              <w:rPr>
                <w:rFonts w:ascii="Arial" w:hAnsi="Arial" w:cs="Arial"/>
                <w:color w:val="000000"/>
                <w:sz w:val="18"/>
                <w:szCs w:val="18"/>
                <w:lang w:val="es-CO"/>
              </w:rPr>
              <w:t>2.209,9</w:t>
            </w:r>
          </w:p>
        </w:tc>
      </w:tr>
      <w:tr w:rsidR="00081708" w:rsidRPr="008D2838" w14:paraId="54C647B7" w14:textId="77777777" w:rsidTr="00081708">
        <w:trPr>
          <w:trHeight w:val="20"/>
          <w:jc w:val="center"/>
        </w:trPr>
        <w:tc>
          <w:tcPr>
            <w:tcW w:w="4343" w:type="pct"/>
            <w:tcBorders>
              <w:top w:val="nil"/>
              <w:left w:val="single" w:sz="8" w:space="0" w:color="auto"/>
              <w:bottom w:val="single" w:sz="8" w:space="0" w:color="auto"/>
              <w:right w:val="single" w:sz="8" w:space="0" w:color="auto"/>
            </w:tcBorders>
            <w:vAlign w:val="center"/>
            <w:hideMark/>
          </w:tcPr>
          <w:p w14:paraId="3FD441FD"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Banco BBVA - Prestación del Servicio 5172 Pagadora Diferente de Nómina</w:t>
            </w:r>
          </w:p>
        </w:tc>
        <w:tc>
          <w:tcPr>
            <w:tcW w:w="657" w:type="pct"/>
            <w:tcBorders>
              <w:top w:val="nil"/>
              <w:left w:val="nil"/>
              <w:bottom w:val="single" w:sz="8" w:space="0" w:color="auto"/>
              <w:right w:val="single" w:sz="8" w:space="0" w:color="auto"/>
            </w:tcBorders>
            <w:vAlign w:val="center"/>
            <w:hideMark/>
          </w:tcPr>
          <w:p w14:paraId="4CF4574F" w14:textId="77777777" w:rsidR="00081708" w:rsidRPr="008D2838" w:rsidRDefault="00081708" w:rsidP="00081708">
            <w:pPr>
              <w:jc w:val="right"/>
              <w:rPr>
                <w:rFonts w:ascii="Arial" w:hAnsi="Arial" w:cs="Arial"/>
                <w:color w:val="000000"/>
                <w:sz w:val="18"/>
                <w:szCs w:val="18"/>
                <w:lang w:val="es-CO"/>
              </w:rPr>
            </w:pPr>
            <w:r w:rsidRPr="008D2838">
              <w:rPr>
                <w:rFonts w:ascii="Arial" w:hAnsi="Arial" w:cs="Arial"/>
                <w:color w:val="000000"/>
                <w:sz w:val="18"/>
                <w:szCs w:val="18"/>
                <w:lang w:val="es-CO"/>
              </w:rPr>
              <w:t>0,7</w:t>
            </w:r>
          </w:p>
        </w:tc>
      </w:tr>
      <w:tr w:rsidR="00081708" w:rsidRPr="008D2838" w14:paraId="7B9A8AF3" w14:textId="77777777" w:rsidTr="00E32F8D">
        <w:trPr>
          <w:trHeight w:val="20"/>
          <w:jc w:val="center"/>
        </w:trPr>
        <w:tc>
          <w:tcPr>
            <w:tcW w:w="4343" w:type="pct"/>
            <w:tcBorders>
              <w:top w:val="nil"/>
              <w:left w:val="single" w:sz="8" w:space="0" w:color="auto"/>
              <w:bottom w:val="single" w:sz="8" w:space="0" w:color="auto"/>
              <w:right w:val="single" w:sz="8" w:space="0" w:color="auto"/>
            </w:tcBorders>
            <w:vAlign w:val="center"/>
            <w:hideMark/>
          </w:tcPr>
          <w:p w14:paraId="55BA2566"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Banco BBVA - Prestación del Servicio 2153 Calidad</w:t>
            </w:r>
          </w:p>
        </w:tc>
        <w:tc>
          <w:tcPr>
            <w:tcW w:w="657" w:type="pct"/>
            <w:tcBorders>
              <w:top w:val="nil"/>
              <w:left w:val="nil"/>
              <w:bottom w:val="single" w:sz="4" w:space="0" w:color="auto"/>
              <w:right w:val="single" w:sz="8" w:space="0" w:color="auto"/>
            </w:tcBorders>
            <w:vAlign w:val="center"/>
            <w:hideMark/>
          </w:tcPr>
          <w:p w14:paraId="6139A5CD" w14:textId="77777777" w:rsidR="00081708" w:rsidRPr="008D2838" w:rsidRDefault="00081708" w:rsidP="00081708">
            <w:pPr>
              <w:jc w:val="right"/>
              <w:rPr>
                <w:rFonts w:ascii="Arial" w:hAnsi="Arial" w:cs="Arial"/>
                <w:color w:val="000000"/>
                <w:sz w:val="18"/>
                <w:szCs w:val="18"/>
                <w:lang w:val="es-CO"/>
              </w:rPr>
            </w:pPr>
            <w:r w:rsidRPr="008D2838">
              <w:rPr>
                <w:rFonts w:ascii="Arial" w:hAnsi="Arial" w:cs="Arial"/>
                <w:color w:val="000000"/>
                <w:sz w:val="18"/>
                <w:szCs w:val="18"/>
                <w:lang w:val="es-CO"/>
              </w:rPr>
              <w:t>938,7</w:t>
            </w:r>
          </w:p>
        </w:tc>
      </w:tr>
      <w:tr w:rsidR="00081708" w:rsidRPr="008D2838" w14:paraId="422040EC" w14:textId="77777777" w:rsidTr="00E32F8D">
        <w:trPr>
          <w:trHeight w:val="20"/>
          <w:jc w:val="center"/>
        </w:trPr>
        <w:tc>
          <w:tcPr>
            <w:tcW w:w="4343" w:type="pct"/>
            <w:tcBorders>
              <w:top w:val="nil"/>
              <w:left w:val="single" w:sz="8" w:space="0" w:color="auto"/>
              <w:bottom w:val="single" w:sz="8" w:space="0" w:color="auto"/>
              <w:right w:val="single" w:sz="4" w:space="0" w:color="auto"/>
            </w:tcBorders>
            <w:shd w:val="clear" w:color="auto" w:fill="244061"/>
            <w:vAlign w:val="center"/>
            <w:hideMark/>
          </w:tcPr>
          <w:p w14:paraId="72D1988A" w14:textId="77777777" w:rsidR="00081708" w:rsidRPr="008D2838" w:rsidRDefault="00081708" w:rsidP="00081708">
            <w:pPr>
              <w:rPr>
                <w:rFonts w:ascii="Arial" w:hAnsi="Arial" w:cs="Arial"/>
                <w:b/>
                <w:bCs/>
                <w:color w:val="FFFFFF"/>
                <w:sz w:val="18"/>
                <w:szCs w:val="18"/>
                <w:lang w:val="es-CO"/>
              </w:rPr>
            </w:pPr>
            <w:r w:rsidRPr="008D2838">
              <w:rPr>
                <w:rFonts w:ascii="Arial" w:hAnsi="Arial" w:cs="Arial"/>
                <w:b/>
                <w:bCs/>
                <w:color w:val="FFFFFF"/>
                <w:sz w:val="18"/>
                <w:szCs w:val="18"/>
                <w:lang w:val="es-CO"/>
              </w:rPr>
              <w:t xml:space="preserve"> Saldo Total </w:t>
            </w:r>
          </w:p>
        </w:tc>
        <w:tc>
          <w:tcPr>
            <w:tcW w:w="657" w:type="pct"/>
            <w:tcBorders>
              <w:top w:val="single" w:sz="4" w:space="0" w:color="auto"/>
              <w:left w:val="single" w:sz="4" w:space="0" w:color="auto"/>
              <w:bottom w:val="single" w:sz="4" w:space="0" w:color="auto"/>
              <w:right w:val="single" w:sz="4" w:space="0" w:color="auto"/>
            </w:tcBorders>
            <w:shd w:val="clear" w:color="auto" w:fill="244061"/>
            <w:vAlign w:val="center"/>
            <w:hideMark/>
          </w:tcPr>
          <w:p w14:paraId="6DD5E788" w14:textId="77777777" w:rsidR="00081708" w:rsidRPr="008D2838" w:rsidRDefault="00081708" w:rsidP="00081708">
            <w:pPr>
              <w:jc w:val="right"/>
              <w:rPr>
                <w:rFonts w:ascii="Arial" w:hAnsi="Arial" w:cs="Arial"/>
                <w:b/>
                <w:bCs/>
                <w:color w:val="FFFFFF"/>
                <w:sz w:val="18"/>
                <w:szCs w:val="18"/>
                <w:lang w:val="es-CO"/>
              </w:rPr>
            </w:pPr>
            <w:r w:rsidRPr="008D2838">
              <w:rPr>
                <w:rFonts w:ascii="Arial" w:hAnsi="Arial" w:cs="Arial"/>
                <w:b/>
                <w:bCs/>
                <w:color w:val="FFFFFF"/>
                <w:sz w:val="18"/>
                <w:szCs w:val="18"/>
                <w:lang w:val="es-CO"/>
              </w:rPr>
              <w:t>4.520</w:t>
            </w:r>
          </w:p>
        </w:tc>
      </w:tr>
      <w:tr w:rsidR="00081708" w:rsidRPr="008D2838" w14:paraId="3D0224E8" w14:textId="77777777" w:rsidTr="00E32F8D">
        <w:trPr>
          <w:trHeight w:val="20"/>
          <w:jc w:val="center"/>
        </w:trPr>
        <w:tc>
          <w:tcPr>
            <w:tcW w:w="4343" w:type="pct"/>
            <w:tcBorders>
              <w:top w:val="nil"/>
              <w:left w:val="single" w:sz="8" w:space="0" w:color="auto"/>
              <w:bottom w:val="single" w:sz="8" w:space="0" w:color="auto"/>
              <w:right w:val="single" w:sz="4" w:space="0" w:color="auto"/>
            </w:tcBorders>
            <w:shd w:val="clear" w:color="auto" w:fill="244061"/>
            <w:vAlign w:val="center"/>
            <w:hideMark/>
          </w:tcPr>
          <w:p w14:paraId="6A676297" w14:textId="77777777" w:rsidR="00081708" w:rsidRPr="008D2838" w:rsidRDefault="00081708" w:rsidP="00081708">
            <w:pPr>
              <w:rPr>
                <w:rFonts w:ascii="Arial" w:hAnsi="Arial" w:cs="Arial"/>
                <w:b/>
                <w:bCs/>
                <w:color w:val="FFFFFF"/>
                <w:sz w:val="18"/>
                <w:szCs w:val="18"/>
                <w:lang w:val="es-CO"/>
              </w:rPr>
            </w:pPr>
            <w:r w:rsidRPr="008D2838">
              <w:rPr>
                <w:rFonts w:ascii="Arial" w:hAnsi="Arial" w:cs="Arial"/>
                <w:b/>
                <w:bCs/>
                <w:color w:val="FFFFFF"/>
                <w:sz w:val="18"/>
                <w:szCs w:val="18"/>
                <w:lang w:val="es-CO"/>
              </w:rPr>
              <w:t xml:space="preserve"> Saldo de tesorería en caja y bancos </w:t>
            </w:r>
          </w:p>
        </w:tc>
        <w:tc>
          <w:tcPr>
            <w:tcW w:w="657" w:type="pct"/>
            <w:tcBorders>
              <w:top w:val="single" w:sz="4" w:space="0" w:color="auto"/>
              <w:left w:val="single" w:sz="4" w:space="0" w:color="auto"/>
              <w:bottom w:val="single" w:sz="4" w:space="0" w:color="auto"/>
              <w:right w:val="single" w:sz="4" w:space="0" w:color="auto"/>
            </w:tcBorders>
            <w:shd w:val="clear" w:color="auto" w:fill="244061"/>
            <w:vAlign w:val="center"/>
            <w:hideMark/>
          </w:tcPr>
          <w:p w14:paraId="1B3E384A" w14:textId="77777777" w:rsidR="00081708" w:rsidRPr="008D2838" w:rsidRDefault="00081708" w:rsidP="00081708">
            <w:pPr>
              <w:jc w:val="right"/>
              <w:rPr>
                <w:rFonts w:ascii="Arial" w:hAnsi="Arial" w:cs="Arial"/>
                <w:b/>
                <w:bCs/>
                <w:color w:val="FFFFFF"/>
                <w:sz w:val="18"/>
                <w:szCs w:val="18"/>
                <w:lang w:val="es-CO"/>
              </w:rPr>
            </w:pPr>
            <w:r w:rsidRPr="008D2838">
              <w:rPr>
                <w:rFonts w:ascii="Arial" w:hAnsi="Arial" w:cs="Arial"/>
                <w:b/>
                <w:bCs/>
                <w:color w:val="FFFFFF"/>
                <w:sz w:val="18"/>
                <w:szCs w:val="18"/>
                <w:lang w:val="es-CO"/>
              </w:rPr>
              <w:t>4.520</w:t>
            </w:r>
          </w:p>
        </w:tc>
      </w:tr>
      <w:tr w:rsidR="00081708" w:rsidRPr="008D2838" w14:paraId="44066E4B" w14:textId="77777777" w:rsidTr="00E32F8D">
        <w:trPr>
          <w:trHeight w:val="20"/>
          <w:jc w:val="center"/>
        </w:trPr>
        <w:tc>
          <w:tcPr>
            <w:tcW w:w="4343" w:type="pct"/>
            <w:tcBorders>
              <w:top w:val="nil"/>
              <w:left w:val="single" w:sz="8" w:space="0" w:color="auto"/>
              <w:bottom w:val="single" w:sz="8" w:space="0" w:color="auto"/>
              <w:right w:val="single" w:sz="4" w:space="0" w:color="auto"/>
            </w:tcBorders>
            <w:shd w:val="clear" w:color="auto" w:fill="244061"/>
            <w:vAlign w:val="center"/>
            <w:hideMark/>
          </w:tcPr>
          <w:p w14:paraId="164EB0B3" w14:textId="77777777" w:rsidR="00081708" w:rsidRPr="008D2838" w:rsidRDefault="00081708" w:rsidP="00081708">
            <w:pPr>
              <w:rPr>
                <w:rFonts w:ascii="Arial" w:hAnsi="Arial" w:cs="Arial"/>
                <w:b/>
                <w:bCs/>
                <w:color w:val="FFFFFF"/>
                <w:sz w:val="18"/>
                <w:szCs w:val="18"/>
                <w:lang w:val="es-CO"/>
              </w:rPr>
            </w:pPr>
            <w:r w:rsidRPr="008D2838">
              <w:rPr>
                <w:rFonts w:ascii="Arial" w:hAnsi="Arial" w:cs="Arial"/>
                <w:b/>
                <w:bCs/>
                <w:color w:val="FFFFFF"/>
                <w:sz w:val="18"/>
                <w:szCs w:val="18"/>
                <w:lang w:val="es-CO"/>
              </w:rPr>
              <w:t xml:space="preserve"> Diferencia </w:t>
            </w:r>
          </w:p>
        </w:tc>
        <w:tc>
          <w:tcPr>
            <w:tcW w:w="657" w:type="pct"/>
            <w:tcBorders>
              <w:top w:val="single" w:sz="4" w:space="0" w:color="auto"/>
              <w:left w:val="single" w:sz="4" w:space="0" w:color="auto"/>
              <w:bottom w:val="single" w:sz="4" w:space="0" w:color="auto"/>
              <w:right w:val="single" w:sz="4" w:space="0" w:color="auto"/>
            </w:tcBorders>
            <w:shd w:val="clear" w:color="auto" w:fill="244061"/>
            <w:vAlign w:val="center"/>
            <w:hideMark/>
          </w:tcPr>
          <w:p w14:paraId="63DD8364" w14:textId="77777777" w:rsidR="00081708" w:rsidRPr="008D2838" w:rsidRDefault="00081708" w:rsidP="00081708">
            <w:pPr>
              <w:jc w:val="right"/>
              <w:rPr>
                <w:rFonts w:ascii="Arial" w:hAnsi="Arial" w:cs="Arial"/>
                <w:b/>
                <w:bCs/>
                <w:color w:val="FFFFFF"/>
                <w:sz w:val="18"/>
                <w:szCs w:val="18"/>
                <w:lang w:val="es-CO"/>
              </w:rPr>
            </w:pPr>
            <w:r w:rsidRPr="008D2838">
              <w:rPr>
                <w:rFonts w:ascii="Arial" w:hAnsi="Arial" w:cs="Arial"/>
                <w:b/>
                <w:bCs/>
                <w:color w:val="FFFFFF"/>
                <w:sz w:val="18"/>
                <w:szCs w:val="18"/>
                <w:lang w:val="es-CO"/>
              </w:rPr>
              <w:t>0</w:t>
            </w:r>
          </w:p>
        </w:tc>
      </w:tr>
    </w:tbl>
    <w:p w14:paraId="45C1FA5A" w14:textId="77777777" w:rsidR="00081708" w:rsidRPr="008D2838" w:rsidRDefault="00081708" w:rsidP="00081708">
      <w:pPr>
        <w:jc w:val="center"/>
        <w:rPr>
          <w:rFonts w:ascii="Arial" w:eastAsia="Times New Roman" w:hAnsi="Arial" w:cs="Arial"/>
          <w:lang w:val="es-CO" w:eastAsia="es-MX"/>
        </w:rPr>
      </w:pPr>
      <w:r w:rsidRPr="008D2838">
        <w:rPr>
          <w:rFonts w:ascii="Arial" w:eastAsia="Arial" w:hAnsi="Arial" w:cs="Arial"/>
          <w:color w:val="000000" w:themeColor="text1"/>
          <w:sz w:val="16"/>
          <w:szCs w:val="16"/>
          <w:lang w:val="es-CO"/>
        </w:rPr>
        <w:t>Fuente: Cálculos DAF con base en los extractos bancarios enviados por la Entidad Territorial.</w:t>
      </w:r>
    </w:p>
    <w:p w14:paraId="3DAE36FF" w14:textId="77777777" w:rsidR="00081708" w:rsidRPr="008D2838" w:rsidRDefault="00081708" w:rsidP="00081708">
      <w:pPr>
        <w:jc w:val="both"/>
        <w:rPr>
          <w:rFonts w:ascii="Arial" w:hAnsi="Arial" w:cs="Arial"/>
          <w:sz w:val="22"/>
          <w:szCs w:val="22"/>
          <w:lang w:val="es-CO"/>
        </w:rPr>
      </w:pPr>
      <w:r w:rsidRPr="008D2838">
        <w:rPr>
          <w:rFonts w:ascii="Arial" w:eastAsia="Arial" w:hAnsi="Arial" w:cs="Arial"/>
          <w:color w:val="FF0000"/>
          <w:sz w:val="22"/>
          <w:szCs w:val="22"/>
          <w:lang w:val="es-CO"/>
        </w:rPr>
        <w:t xml:space="preserve"> </w:t>
      </w:r>
    </w:p>
    <w:p w14:paraId="5F80A87B" w14:textId="77777777" w:rsidR="00081708" w:rsidRPr="008D2838" w:rsidRDefault="00081708" w:rsidP="00081708">
      <w:pPr>
        <w:jc w:val="both"/>
        <w:rPr>
          <w:rFonts w:ascii="Arial" w:hAnsi="Arial" w:cs="Arial"/>
          <w:sz w:val="22"/>
          <w:szCs w:val="22"/>
          <w:lang w:val="es-CO"/>
        </w:rPr>
      </w:pPr>
      <w:r w:rsidRPr="008D2838">
        <w:rPr>
          <w:rFonts w:ascii="Arial" w:eastAsia="Arial" w:hAnsi="Arial" w:cs="Arial"/>
          <w:color w:val="000000" w:themeColor="text1"/>
          <w:sz w:val="22"/>
          <w:szCs w:val="22"/>
          <w:lang w:val="es-CO"/>
        </w:rPr>
        <w:t>Como se puede observar, el saldo de los extractos bancarios coincide con lo reportado por tesorería en el cierre de la vigencia 2020.</w:t>
      </w:r>
    </w:p>
    <w:p w14:paraId="65CC5A56" w14:textId="77777777" w:rsidR="00081708" w:rsidRPr="008D2838" w:rsidRDefault="00081708" w:rsidP="00081708">
      <w:pPr>
        <w:jc w:val="both"/>
        <w:rPr>
          <w:rFonts w:ascii="Arial" w:hAnsi="Arial" w:cs="Arial"/>
          <w:sz w:val="22"/>
          <w:szCs w:val="22"/>
          <w:lang w:val="es-CO"/>
        </w:rPr>
      </w:pPr>
    </w:p>
    <w:p w14:paraId="6BB28568" w14:textId="77777777" w:rsidR="00081708" w:rsidRPr="008D2838" w:rsidRDefault="00081708" w:rsidP="00081708">
      <w:pPr>
        <w:jc w:val="both"/>
        <w:rPr>
          <w:rFonts w:ascii="Arial" w:eastAsia="Arial" w:hAnsi="Arial" w:cs="Arial"/>
          <w:color w:val="000000" w:themeColor="text1"/>
          <w:sz w:val="22"/>
          <w:szCs w:val="22"/>
          <w:lang w:val="es-CO"/>
        </w:rPr>
      </w:pPr>
      <w:r w:rsidRPr="008D2838">
        <w:rPr>
          <w:rFonts w:ascii="Arial" w:eastAsia="Arial" w:hAnsi="Arial" w:cs="Arial"/>
          <w:color w:val="000000" w:themeColor="text1"/>
          <w:sz w:val="22"/>
          <w:szCs w:val="22"/>
          <w:lang w:val="es-CO"/>
        </w:rPr>
        <w:t>No obstante, es necesario advertir que en el ejercicio de cierre de tesorería de los recursos del SGP – Prestación del Servicio se sumaron recursos adicionales que corresponden a pagos del SGP por valor de $19 millones, que no se encontraban en tesorería al momento de elaboración del cierre fiscal por corresponder a dobles pagos realizados a docentes y cuyo saldo debe ser reintegrado.</w:t>
      </w:r>
    </w:p>
    <w:p w14:paraId="3AB4E3C3" w14:textId="77777777" w:rsidR="00081708" w:rsidRPr="008D2838" w:rsidRDefault="00081708" w:rsidP="00081708">
      <w:pPr>
        <w:jc w:val="both"/>
        <w:rPr>
          <w:rFonts w:ascii="Arial" w:hAnsi="Arial" w:cs="Arial"/>
          <w:sz w:val="22"/>
          <w:szCs w:val="22"/>
          <w:lang w:val="es-CO"/>
        </w:rPr>
      </w:pPr>
    </w:p>
    <w:p w14:paraId="489288C8" w14:textId="77777777" w:rsidR="00081708" w:rsidRPr="008D2838" w:rsidRDefault="00081708" w:rsidP="00081708">
      <w:pPr>
        <w:jc w:val="both"/>
        <w:rPr>
          <w:rFonts w:ascii="Arial" w:eastAsia="Times New Roman" w:hAnsi="Arial" w:cs="Arial"/>
          <w:sz w:val="22"/>
          <w:szCs w:val="22"/>
          <w:lang w:val="es-CO"/>
        </w:rPr>
      </w:pPr>
      <w:r w:rsidRPr="008D2838">
        <w:rPr>
          <w:rFonts w:ascii="Arial" w:eastAsia="Arial" w:hAnsi="Arial" w:cs="Arial"/>
          <w:color w:val="000000" w:themeColor="text1"/>
          <w:sz w:val="22"/>
          <w:szCs w:val="22"/>
          <w:lang w:val="es-CO"/>
        </w:rPr>
        <w:t>En el cierre de la vigencia 2021, se evidenciaron diferencias en relación con los recursos del balance de las asignaciones de Calidad y Prestación del Servicio y los saldos que los respaldan en tesorería. De acuerdo con el análisis realizado, el superávit de Prestación del Servicio ascendió a $2.207 millones y en caja existían recursos disponibles por $1.833 millones; es decir, se presentó un faltante en tesorería de $374 millones de acuerdo con lo ejecutado.</w:t>
      </w:r>
    </w:p>
    <w:p w14:paraId="38962B6F" w14:textId="77777777" w:rsidR="00081708" w:rsidRPr="008D2838" w:rsidRDefault="00081708" w:rsidP="00081708">
      <w:pPr>
        <w:rPr>
          <w:rFonts w:ascii="Arial" w:hAnsi="Arial" w:cs="Arial"/>
          <w:sz w:val="22"/>
          <w:szCs w:val="22"/>
          <w:lang w:val="es-CO"/>
        </w:rPr>
      </w:pPr>
    </w:p>
    <w:p w14:paraId="740D25CD" w14:textId="77777777" w:rsidR="00081708" w:rsidRPr="008D2838" w:rsidRDefault="00081708" w:rsidP="00081708">
      <w:pPr>
        <w:jc w:val="both"/>
        <w:rPr>
          <w:rFonts w:ascii="Arial" w:eastAsia="Calibri" w:hAnsi="Arial" w:cs="Arial"/>
          <w:b/>
          <w:bCs/>
          <w:i/>
          <w:iCs/>
          <w:sz w:val="22"/>
          <w:szCs w:val="22"/>
          <w:u w:val="single"/>
          <w:lang w:val="es-CO" w:eastAsia="en-US"/>
        </w:rPr>
      </w:pPr>
      <w:r w:rsidRPr="008D2838">
        <w:rPr>
          <w:rFonts w:ascii="Arial" w:eastAsia="Calibri" w:hAnsi="Arial" w:cs="Arial"/>
          <w:b/>
          <w:bCs/>
          <w:i/>
          <w:iCs/>
          <w:sz w:val="22"/>
          <w:szCs w:val="22"/>
          <w:u w:val="single"/>
          <w:lang w:val="es-CO" w:eastAsia="en-US"/>
        </w:rPr>
        <w:t>Conciliación de aportes Sin Situación de Fondos con la Fiduprevisora y deudas laborales</w:t>
      </w:r>
    </w:p>
    <w:p w14:paraId="37701991" w14:textId="77777777" w:rsidR="00081708" w:rsidRPr="008D2838" w:rsidRDefault="00081708" w:rsidP="00081708">
      <w:pPr>
        <w:jc w:val="both"/>
        <w:rPr>
          <w:rFonts w:ascii="Arial" w:hAnsi="Arial" w:cs="Arial"/>
          <w:b/>
          <w:sz w:val="22"/>
          <w:szCs w:val="22"/>
          <w:highlight w:val="cyan"/>
          <w:lang w:val="es-CO"/>
        </w:rPr>
      </w:pPr>
    </w:p>
    <w:p w14:paraId="62919F53"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 xml:space="preserve">La Entidad suministró un acta de conciliación con la Fiduprevisora suscrita el 14 de junio de 2022, en la que se indica que </w:t>
      </w:r>
      <w:r w:rsidR="008D2838" w:rsidRPr="008D2838">
        <w:rPr>
          <w:rFonts w:ascii="Arial" w:hAnsi="Arial" w:cs="Arial"/>
          <w:sz w:val="22"/>
          <w:szCs w:val="22"/>
          <w:lang w:val="es-CO"/>
        </w:rPr>
        <w:t xml:space="preserve">al cierre de </w:t>
      </w:r>
      <w:r w:rsidRPr="008D2838">
        <w:rPr>
          <w:rFonts w:ascii="Arial" w:hAnsi="Arial" w:cs="Arial"/>
          <w:sz w:val="22"/>
          <w:szCs w:val="22"/>
          <w:lang w:val="es-CO"/>
        </w:rPr>
        <w:t>la vigencia 2021 existe un saldo favor del Distrito de Turbo – Antioquia por $9,8 millones.</w:t>
      </w:r>
    </w:p>
    <w:p w14:paraId="079A1038" w14:textId="77777777" w:rsidR="00081708" w:rsidRPr="008D2838" w:rsidRDefault="00081708" w:rsidP="00081708">
      <w:pPr>
        <w:jc w:val="both"/>
        <w:rPr>
          <w:rFonts w:ascii="Arial" w:hAnsi="Arial" w:cs="Arial"/>
          <w:sz w:val="22"/>
          <w:szCs w:val="22"/>
          <w:lang w:val="es-CO"/>
        </w:rPr>
      </w:pPr>
    </w:p>
    <w:p w14:paraId="3C6CD863"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Por otra parte, la Entidad entregó una certificación del 27 de agosto de 2021, en la cual indica que no tiene deudas con el personal docente, directivo docente y administrativo que requieran trámites ante el Ministerio de Educación Nacional.</w:t>
      </w:r>
    </w:p>
    <w:p w14:paraId="36B60F9A" w14:textId="77777777" w:rsidR="00081708" w:rsidRPr="008D2838" w:rsidRDefault="00081708" w:rsidP="00081708">
      <w:pPr>
        <w:jc w:val="both"/>
        <w:rPr>
          <w:rFonts w:ascii="Arial" w:eastAsia="Calibri" w:hAnsi="Arial" w:cs="Arial"/>
          <w:b/>
          <w:sz w:val="22"/>
          <w:szCs w:val="22"/>
          <w:lang w:val="es-CO" w:eastAsia="en-US"/>
        </w:rPr>
      </w:pPr>
    </w:p>
    <w:p w14:paraId="01816549" w14:textId="77777777" w:rsidR="00081708" w:rsidRPr="008D2838" w:rsidRDefault="00081708" w:rsidP="00081708">
      <w:pPr>
        <w:jc w:val="both"/>
        <w:rPr>
          <w:rFonts w:ascii="Arial" w:eastAsia="Calibri" w:hAnsi="Arial" w:cs="Arial"/>
          <w:b/>
          <w:i/>
          <w:sz w:val="22"/>
          <w:szCs w:val="22"/>
          <w:u w:val="single"/>
          <w:lang w:val="es-CO" w:eastAsia="en-US"/>
        </w:rPr>
      </w:pPr>
      <w:r w:rsidRPr="008D2838">
        <w:rPr>
          <w:rFonts w:ascii="Arial" w:eastAsia="Calibri" w:hAnsi="Arial" w:cs="Arial"/>
          <w:b/>
          <w:i/>
          <w:sz w:val="22"/>
          <w:szCs w:val="22"/>
          <w:u w:val="single"/>
          <w:lang w:val="es-CO" w:eastAsia="en-US"/>
        </w:rPr>
        <w:t>Contrato de Concesión para la prestación del Servicio Educativo.</w:t>
      </w:r>
    </w:p>
    <w:p w14:paraId="5C1748EE" w14:textId="77777777" w:rsidR="00081708" w:rsidRPr="008D2838" w:rsidRDefault="00081708" w:rsidP="00081708">
      <w:pPr>
        <w:jc w:val="both"/>
        <w:rPr>
          <w:rFonts w:ascii="Arial" w:hAnsi="Arial" w:cs="Arial"/>
          <w:sz w:val="22"/>
          <w:szCs w:val="22"/>
          <w:lang w:val="es-CO"/>
        </w:rPr>
      </w:pPr>
    </w:p>
    <w:p w14:paraId="0455C123"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En relación con la contratación de Prestación del Servicio, la Entidad suscribió el Contrato de Concesión No.002 del 17 de diciembre 2008 con la Congregación de los Hermanos de las Escuelas Cristianas del Distrito de Medellín por $17.124,8 millones, en el que se estimó la atención de 1.440 estudiantes (720 estudiantes de preescolar y primaria y 720 estudiantes de secundaria y media) con base en la asignación por tipología dada para el año 2008, y con un plazo de ejecución final hasta el 2022, cuyo servicio se presta en la Institución Educativa San José del Distrito de Turbo.</w:t>
      </w:r>
    </w:p>
    <w:p w14:paraId="68DEFF27" w14:textId="77777777" w:rsidR="00081708" w:rsidRPr="008D2838" w:rsidRDefault="00081708" w:rsidP="00081708">
      <w:pPr>
        <w:jc w:val="both"/>
        <w:rPr>
          <w:rFonts w:ascii="Arial" w:hAnsi="Arial" w:cs="Arial"/>
          <w:sz w:val="22"/>
          <w:szCs w:val="22"/>
          <w:lang w:val="es-CO"/>
        </w:rPr>
      </w:pPr>
    </w:p>
    <w:p w14:paraId="4DEF7826" w14:textId="77777777" w:rsidR="00081708" w:rsidRPr="008D2838" w:rsidRDefault="00081708" w:rsidP="00081708">
      <w:pPr>
        <w:jc w:val="both"/>
        <w:rPr>
          <w:rFonts w:ascii="Arial" w:eastAsia="Calibri" w:hAnsi="Arial" w:cs="Arial"/>
          <w:sz w:val="22"/>
          <w:szCs w:val="22"/>
          <w:lang w:val="es-CO" w:eastAsia="en-US"/>
        </w:rPr>
      </w:pPr>
      <w:r w:rsidRPr="008D2838">
        <w:rPr>
          <w:rFonts w:ascii="Arial" w:eastAsia="Calibri" w:hAnsi="Arial" w:cs="Arial"/>
          <w:sz w:val="22"/>
          <w:szCs w:val="22"/>
          <w:lang w:val="es-CO" w:eastAsia="en-US"/>
        </w:rPr>
        <w:t xml:space="preserve">El valor del contrato se estima a partir del cálculo de las vigencias futuras descritas por el Pliego de Condiciones Definitivo de la Licitación, con base en la asignación por la tipología de la vigencia 2008, que se definió en $1.427.071.680 anualmente por un plazo de doce </w:t>
      </w:r>
      <w:r w:rsidRPr="008D2838">
        <w:rPr>
          <w:rFonts w:ascii="Arial" w:eastAsia="Calibri" w:hAnsi="Arial" w:cs="Arial"/>
          <w:sz w:val="22"/>
          <w:szCs w:val="22"/>
          <w:lang w:val="es-CO" w:eastAsia="en-US"/>
        </w:rPr>
        <w:lastRenderedPageBreak/>
        <w:t>años para un total de $17.124.860.160. No obstante, en el contrato se estableció que el valor de las tipologías sería actualizado cada año de acuerdo con lo que disponga la Nación.</w:t>
      </w:r>
    </w:p>
    <w:p w14:paraId="76E122BE" w14:textId="77777777" w:rsidR="00081708" w:rsidRPr="008D2838" w:rsidRDefault="00081708" w:rsidP="00081708">
      <w:pPr>
        <w:jc w:val="both"/>
        <w:rPr>
          <w:rFonts w:ascii="Arial" w:hAnsi="Arial" w:cs="Arial"/>
          <w:sz w:val="22"/>
          <w:szCs w:val="22"/>
          <w:lang w:val="es-CO"/>
        </w:rPr>
      </w:pPr>
    </w:p>
    <w:p w14:paraId="35FEC42B"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En la cláusula 25 del contrato se estableció que la remuneración correspondiente a los años 2010 a 2020 se realizarían de la siguiente manera:</w:t>
      </w:r>
    </w:p>
    <w:p w14:paraId="09B863E4" w14:textId="77777777" w:rsidR="00081708" w:rsidRPr="008D2838" w:rsidRDefault="00081708" w:rsidP="00081708">
      <w:pPr>
        <w:jc w:val="both"/>
        <w:rPr>
          <w:rFonts w:ascii="Arial" w:hAnsi="Arial" w:cs="Arial"/>
          <w:sz w:val="22"/>
          <w:szCs w:val="22"/>
          <w:lang w:val="es-CO"/>
        </w:rPr>
      </w:pPr>
    </w:p>
    <w:p w14:paraId="01DCD323" w14:textId="77777777" w:rsidR="00081708" w:rsidRPr="008D2838" w:rsidRDefault="00081708" w:rsidP="00081708">
      <w:pPr>
        <w:ind w:left="567"/>
        <w:contextualSpacing/>
        <w:jc w:val="both"/>
        <w:rPr>
          <w:rFonts w:ascii="Arial" w:hAnsi="Arial" w:cs="Arial"/>
          <w:i/>
          <w:sz w:val="18"/>
          <w:szCs w:val="18"/>
          <w:lang w:val="es-CO"/>
        </w:rPr>
      </w:pPr>
      <w:r w:rsidRPr="008D2838">
        <w:rPr>
          <w:rFonts w:ascii="Arial" w:hAnsi="Arial" w:cs="Arial"/>
          <w:i/>
          <w:sz w:val="18"/>
          <w:szCs w:val="18"/>
          <w:lang w:val="es-CO"/>
        </w:rPr>
        <w:t xml:space="preserve">“40 % en la primera quincena del mes de enero de cada año, previo informe del contratista y aprobación del interventor. </w:t>
      </w:r>
    </w:p>
    <w:p w14:paraId="0F9C86C3" w14:textId="77777777" w:rsidR="00081708" w:rsidRPr="008D2838" w:rsidRDefault="00081708" w:rsidP="00081708">
      <w:pPr>
        <w:ind w:left="567"/>
        <w:contextualSpacing/>
        <w:jc w:val="both"/>
        <w:rPr>
          <w:rFonts w:ascii="Arial" w:hAnsi="Arial" w:cs="Arial"/>
          <w:i/>
          <w:sz w:val="18"/>
          <w:szCs w:val="18"/>
          <w:lang w:val="es-CO"/>
        </w:rPr>
      </w:pPr>
      <w:r w:rsidRPr="008D2838">
        <w:rPr>
          <w:rFonts w:ascii="Arial" w:hAnsi="Arial" w:cs="Arial"/>
          <w:i/>
          <w:sz w:val="18"/>
          <w:szCs w:val="18"/>
          <w:lang w:val="es-CO"/>
        </w:rPr>
        <w:t xml:space="preserve">30% en la primera quincena del mes de junio de cada año, previo informe del contratista y aprobación del interventor. </w:t>
      </w:r>
    </w:p>
    <w:p w14:paraId="02EA9E4B" w14:textId="77777777" w:rsidR="00081708" w:rsidRPr="008D2838" w:rsidRDefault="00081708" w:rsidP="00081708">
      <w:pPr>
        <w:ind w:left="567"/>
        <w:contextualSpacing/>
        <w:jc w:val="both"/>
        <w:rPr>
          <w:rFonts w:ascii="Arial" w:hAnsi="Arial" w:cs="Arial"/>
          <w:i/>
          <w:sz w:val="18"/>
          <w:szCs w:val="18"/>
          <w:lang w:val="es-CO"/>
        </w:rPr>
      </w:pPr>
      <w:r w:rsidRPr="008D2838">
        <w:rPr>
          <w:rFonts w:ascii="Arial" w:hAnsi="Arial" w:cs="Arial"/>
          <w:i/>
          <w:sz w:val="18"/>
          <w:szCs w:val="18"/>
          <w:lang w:val="es-CO"/>
        </w:rPr>
        <w:t>30 % en la segunda quincena del mes de octubre de cada año, previo informe del contratista y aprobación del interventor</w:t>
      </w:r>
    </w:p>
    <w:p w14:paraId="7DC7573E" w14:textId="77777777" w:rsidR="00081708" w:rsidRPr="008D2838" w:rsidRDefault="00081708" w:rsidP="00081708">
      <w:pPr>
        <w:ind w:left="567"/>
        <w:contextualSpacing/>
        <w:jc w:val="both"/>
        <w:rPr>
          <w:rFonts w:ascii="Arial" w:hAnsi="Arial" w:cs="Arial"/>
          <w:i/>
          <w:sz w:val="18"/>
          <w:szCs w:val="18"/>
          <w:lang w:val="es-CO"/>
        </w:rPr>
      </w:pPr>
      <w:r w:rsidRPr="008D2838">
        <w:rPr>
          <w:rFonts w:ascii="Arial" w:hAnsi="Arial" w:cs="Arial"/>
          <w:i/>
          <w:sz w:val="18"/>
          <w:szCs w:val="18"/>
          <w:lang w:val="es-CO"/>
        </w:rPr>
        <w:t>La mora en el pago dará derecho al concesionario a cobrar intereses moratorios a la tasa más alta que permita le Ley.”</w:t>
      </w:r>
    </w:p>
    <w:p w14:paraId="636AE7F9" w14:textId="77777777" w:rsidR="00081708" w:rsidRPr="008D2838" w:rsidRDefault="00081708" w:rsidP="00081708">
      <w:pPr>
        <w:jc w:val="both"/>
        <w:rPr>
          <w:rFonts w:ascii="Arial" w:hAnsi="Arial" w:cs="Arial"/>
          <w:sz w:val="22"/>
          <w:szCs w:val="22"/>
          <w:lang w:val="es-CO"/>
        </w:rPr>
      </w:pPr>
    </w:p>
    <w:p w14:paraId="1752355E"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En la cláusula 26 del contrato se establecieron los descuentos en los pagos al concesionario, y que en el caso en el que se presente una deserción superior al 2,5 % del total de alumnos matriculados, se realizará en cada pago el descuento correspondiente.</w:t>
      </w:r>
    </w:p>
    <w:p w14:paraId="47D61EEE" w14:textId="77777777" w:rsidR="00081708" w:rsidRPr="008D2838" w:rsidRDefault="00081708" w:rsidP="00081708">
      <w:pPr>
        <w:jc w:val="both"/>
        <w:rPr>
          <w:rFonts w:ascii="Arial" w:hAnsi="Arial" w:cs="Arial"/>
          <w:sz w:val="22"/>
          <w:szCs w:val="22"/>
          <w:lang w:val="es-CO"/>
        </w:rPr>
      </w:pPr>
    </w:p>
    <w:p w14:paraId="7C6D6ABF"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Ahora, en relación con los pagos que debe realizar el Distrito de Turbo al contratista, la Entidad informó que para la vigencia 2017, de la Orden de Pago No. 0004162 del 12 de diciembre de 2017, por valor de $841,6 millones correspondiente a la ejecución del 30 % final del Contrato, solo se habían abonado $300 millones el 17 de junio de 2019, por lo cual se tiene un pago pendiente al contratista de $541,6 millones.</w:t>
      </w:r>
    </w:p>
    <w:p w14:paraId="0CA51CDF" w14:textId="77777777" w:rsidR="00081708" w:rsidRPr="008D2838" w:rsidRDefault="00081708" w:rsidP="00081708">
      <w:pPr>
        <w:jc w:val="both"/>
        <w:rPr>
          <w:rFonts w:ascii="Arial" w:hAnsi="Arial" w:cs="Arial"/>
          <w:sz w:val="22"/>
          <w:szCs w:val="22"/>
          <w:lang w:val="es-CO"/>
        </w:rPr>
      </w:pPr>
    </w:p>
    <w:p w14:paraId="355157AD" w14:textId="77777777" w:rsidR="00081708" w:rsidRPr="008D2838" w:rsidRDefault="00081708" w:rsidP="00081708">
      <w:pPr>
        <w:keepNext/>
        <w:keepLines/>
        <w:numPr>
          <w:ilvl w:val="0"/>
          <w:numId w:val="1"/>
        </w:numPr>
        <w:ind w:left="426" w:hanging="426"/>
        <w:contextualSpacing/>
        <w:jc w:val="both"/>
        <w:outlineLvl w:val="0"/>
        <w:rPr>
          <w:rFonts w:ascii="Arial" w:eastAsia="MS Gothic" w:hAnsi="Arial" w:cs="Arial"/>
          <w:b/>
          <w:bCs/>
          <w:sz w:val="22"/>
          <w:szCs w:val="22"/>
          <w:lang w:val="es-CO"/>
        </w:rPr>
      </w:pPr>
      <w:r w:rsidRPr="008D2838">
        <w:rPr>
          <w:rFonts w:ascii="Arial" w:eastAsia="MS Gothic" w:hAnsi="Arial" w:cs="Arial"/>
          <w:b/>
          <w:bCs/>
          <w:sz w:val="22"/>
          <w:szCs w:val="22"/>
          <w:lang w:val="es-CO"/>
        </w:rPr>
        <w:t>PROBLEMÁTICAS.</w:t>
      </w:r>
    </w:p>
    <w:p w14:paraId="0C9D5853" w14:textId="77777777" w:rsidR="00081708" w:rsidRPr="008D2838" w:rsidRDefault="00081708" w:rsidP="00081708">
      <w:pPr>
        <w:jc w:val="both"/>
        <w:rPr>
          <w:rFonts w:ascii="Arial" w:eastAsia="Calibri" w:hAnsi="Arial" w:cs="Arial"/>
          <w:sz w:val="22"/>
          <w:szCs w:val="22"/>
          <w:lang w:val="es-CO" w:eastAsia="en-US"/>
        </w:rPr>
      </w:pPr>
    </w:p>
    <w:p w14:paraId="0B521EC7" w14:textId="77777777" w:rsidR="00081708" w:rsidRPr="008D2838" w:rsidRDefault="00081708" w:rsidP="00081708">
      <w:pPr>
        <w:jc w:val="both"/>
        <w:rPr>
          <w:rFonts w:ascii="Arial" w:eastAsia="Calibri" w:hAnsi="Arial" w:cs="Arial"/>
          <w:color w:val="000000" w:themeColor="text1"/>
          <w:sz w:val="22"/>
          <w:szCs w:val="22"/>
          <w:lang w:val="es-CO" w:eastAsia="en-US"/>
        </w:rPr>
      </w:pPr>
      <w:r w:rsidRPr="008D2838">
        <w:rPr>
          <w:rFonts w:ascii="Arial" w:eastAsia="Calibri" w:hAnsi="Arial" w:cs="Arial"/>
          <w:sz w:val="22"/>
          <w:szCs w:val="22"/>
          <w:lang w:val="es-CO" w:eastAsia="en-US"/>
        </w:rPr>
        <w:t>Como resultado del análisis de las situaciones informadas por el Ministerio de Educación Nacional</w:t>
      </w:r>
      <w:r w:rsidR="00012B51">
        <w:rPr>
          <w:rFonts w:ascii="Arial" w:eastAsia="Calibri" w:hAnsi="Arial" w:cs="Arial"/>
          <w:sz w:val="22"/>
          <w:szCs w:val="22"/>
          <w:lang w:val="es-CO" w:eastAsia="en-US"/>
        </w:rPr>
        <w:t xml:space="preserve"> mediante su comunicación No. 1-2018-022545 del 12 de marzo de 2018</w:t>
      </w:r>
      <w:r w:rsidRPr="008D2838">
        <w:rPr>
          <w:rFonts w:ascii="Arial" w:eastAsia="Calibri" w:hAnsi="Arial" w:cs="Arial"/>
          <w:sz w:val="22"/>
          <w:szCs w:val="22"/>
          <w:lang w:val="es-CO" w:eastAsia="en-US"/>
        </w:rPr>
        <w:t xml:space="preserve">, y la </w:t>
      </w:r>
      <w:r w:rsidRPr="008D2838">
        <w:rPr>
          <w:rFonts w:ascii="Arial" w:eastAsia="Calibri" w:hAnsi="Arial" w:cs="Arial"/>
          <w:color w:val="000000" w:themeColor="text1"/>
          <w:sz w:val="22"/>
          <w:szCs w:val="22"/>
          <w:lang w:val="es-CO" w:eastAsia="en-US"/>
        </w:rPr>
        <w:t>información suministrada por la Entidad Territorial, se procedió a evaluar las situaciones que representaban un posible evento de riesgo de acuerdo con el siguiente detalle:</w:t>
      </w:r>
    </w:p>
    <w:p w14:paraId="68737BBA" w14:textId="77777777" w:rsidR="00081708" w:rsidRPr="008D2838" w:rsidRDefault="00081708" w:rsidP="00081708">
      <w:pPr>
        <w:jc w:val="both"/>
        <w:rPr>
          <w:rFonts w:ascii="Arial" w:eastAsia="Calibri" w:hAnsi="Arial" w:cs="Arial"/>
          <w:color w:val="000000" w:themeColor="text1"/>
          <w:sz w:val="22"/>
          <w:szCs w:val="22"/>
          <w:lang w:val="es-CO" w:eastAsia="en-US"/>
        </w:rPr>
      </w:pPr>
    </w:p>
    <w:p w14:paraId="315E7AB1" w14:textId="77777777" w:rsidR="00081708" w:rsidRPr="008D2838" w:rsidRDefault="00081708" w:rsidP="00081708">
      <w:pPr>
        <w:numPr>
          <w:ilvl w:val="0"/>
          <w:numId w:val="3"/>
        </w:numPr>
        <w:ind w:left="426" w:hanging="426"/>
        <w:contextualSpacing/>
        <w:jc w:val="both"/>
        <w:rPr>
          <w:rFonts w:ascii="Arial" w:eastAsia="Calibri" w:hAnsi="Arial" w:cs="Arial"/>
          <w:color w:val="000000" w:themeColor="text1"/>
          <w:sz w:val="22"/>
          <w:szCs w:val="22"/>
          <w:lang w:val="es-CO" w:eastAsia="en-US"/>
        </w:rPr>
      </w:pPr>
      <w:r w:rsidRPr="008D2838">
        <w:rPr>
          <w:rFonts w:ascii="Arial" w:eastAsia="Calibri" w:hAnsi="Arial" w:cs="Arial"/>
          <w:color w:val="000000" w:themeColor="text1"/>
          <w:sz w:val="22"/>
          <w:szCs w:val="22"/>
          <w:lang w:val="es-CO" w:eastAsia="en-US"/>
        </w:rPr>
        <w:t>Déficit en la administración y ejecución de los recursos del SGP Educación.</w:t>
      </w:r>
    </w:p>
    <w:p w14:paraId="1095B644" w14:textId="77777777" w:rsidR="00081708" w:rsidRPr="008D2838" w:rsidRDefault="00081708" w:rsidP="00081708">
      <w:pPr>
        <w:numPr>
          <w:ilvl w:val="0"/>
          <w:numId w:val="3"/>
        </w:numPr>
        <w:ind w:left="426" w:hanging="426"/>
        <w:contextualSpacing/>
        <w:jc w:val="both"/>
        <w:rPr>
          <w:rFonts w:ascii="Arial" w:eastAsia="Calibri" w:hAnsi="Arial" w:cs="Arial"/>
          <w:sz w:val="22"/>
          <w:szCs w:val="22"/>
          <w:lang w:val="es-CO" w:eastAsia="en-US"/>
        </w:rPr>
      </w:pPr>
      <w:r w:rsidRPr="008D2838">
        <w:rPr>
          <w:rFonts w:ascii="Arial" w:eastAsia="Calibri" w:hAnsi="Arial" w:cs="Arial"/>
          <w:color w:val="000000" w:themeColor="text1"/>
          <w:sz w:val="22"/>
          <w:szCs w:val="22"/>
          <w:lang w:val="es-CO" w:eastAsia="en-US"/>
        </w:rPr>
        <w:t xml:space="preserve">Cambio en la destinación de los recursos por el pago sentencias y conciliaciones, de </w:t>
      </w:r>
      <w:r w:rsidRPr="008D2838">
        <w:rPr>
          <w:rFonts w:ascii="Arial" w:eastAsia="Calibri" w:hAnsi="Arial" w:cs="Arial"/>
          <w:sz w:val="22"/>
          <w:szCs w:val="22"/>
          <w:lang w:val="es-CO" w:eastAsia="en-US"/>
        </w:rPr>
        <w:t>actividades deportivas y de bienestar laboral con recursos del SGP Educación y pago de la dotación de 2015 con recursos de la vigencia 2016.</w:t>
      </w:r>
    </w:p>
    <w:p w14:paraId="5A7DF9A3" w14:textId="77777777" w:rsidR="00081708" w:rsidRPr="008D2838" w:rsidRDefault="00081708" w:rsidP="00081708">
      <w:pPr>
        <w:numPr>
          <w:ilvl w:val="0"/>
          <w:numId w:val="3"/>
        </w:numPr>
        <w:ind w:left="426" w:hanging="426"/>
        <w:contextualSpacing/>
        <w:jc w:val="both"/>
        <w:rPr>
          <w:rFonts w:ascii="Arial" w:eastAsia="Calibri" w:hAnsi="Arial" w:cs="Arial"/>
          <w:sz w:val="22"/>
          <w:szCs w:val="22"/>
          <w:lang w:val="es-CO" w:eastAsia="en-US"/>
        </w:rPr>
      </w:pPr>
      <w:r w:rsidRPr="008D2838">
        <w:rPr>
          <w:rFonts w:ascii="Arial" w:eastAsia="Calibri" w:hAnsi="Arial" w:cs="Arial"/>
          <w:sz w:val="22"/>
          <w:szCs w:val="22"/>
          <w:lang w:val="es-CO" w:eastAsia="en-US"/>
        </w:rPr>
        <w:t>Inconsistencias en la información del Directorio Único de Establecimientos - DUE.</w:t>
      </w:r>
    </w:p>
    <w:p w14:paraId="2DDEBF21" w14:textId="77777777" w:rsidR="00081708" w:rsidRPr="008D2838" w:rsidRDefault="00081708" w:rsidP="00081708">
      <w:pPr>
        <w:numPr>
          <w:ilvl w:val="0"/>
          <w:numId w:val="3"/>
        </w:numPr>
        <w:ind w:left="426" w:hanging="426"/>
        <w:contextualSpacing/>
        <w:jc w:val="both"/>
        <w:rPr>
          <w:rFonts w:ascii="Arial" w:eastAsia="Calibri" w:hAnsi="Arial" w:cs="Arial"/>
          <w:sz w:val="22"/>
          <w:szCs w:val="22"/>
          <w:lang w:val="es-CO" w:eastAsia="en-US"/>
        </w:rPr>
      </w:pPr>
      <w:r w:rsidRPr="008D2838">
        <w:rPr>
          <w:rFonts w:ascii="Arial" w:eastAsia="Calibri" w:hAnsi="Arial" w:cs="Arial"/>
          <w:sz w:val="22"/>
          <w:szCs w:val="22"/>
          <w:lang w:val="es-CO" w:eastAsia="en-US"/>
        </w:rPr>
        <w:t xml:space="preserve">Expedición tardía de los actos administrativos de distribución de planta. </w:t>
      </w:r>
    </w:p>
    <w:p w14:paraId="55571174" w14:textId="77777777" w:rsidR="00081708" w:rsidRPr="008D2838" w:rsidRDefault="00081708" w:rsidP="00081708">
      <w:pPr>
        <w:numPr>
          <w:ilvl w:val="0"/>
          <w:numId w:val="3"/>
        </w:numPr>
        <w:ind w:left="426" w:hanging="426"/>
        <w:jc w:val="both"/>
        <w:rPr>
          <w:rFonts w:ascii="Arial" w:eastAsia="Calibri" w:hAnsi="Arial" w:cs="Arial"/>
          <w:sz w:val="22"/>
          <w:szCs w:val="22"/>
          <w:lang w:val="es-CO" w:eastAsia="en-US"/>
        </w:rPr>
      </w:pPr>
      <w:r w:rsidRPr="008D2838">
        <w:rPr>
          <w:rFonts w:ascii="Arial" w:eastAsia="Calibri" w:hAnsi="Arial" w:cs="Arial"/>
          <w:sz w:val="22"/>
          <w:szCs w:val="22"/>
          <w:lang w:val="es-CO" w:eastAsia="en-US"/>
        </w:rPr>
        <w:t>Entrega extemporánea de la dotación de Ley 70 de 1988.</w:t>
      </w:r>
    </w:p>
    <w:p w14:paraId="08457F63" w14:textId="77777777" w:rsidR="00081708" w:rsidRPr="008D2838" w:rsidRDefault="00081708" w:rsidP="00081708">
      <w:pPr>
        <w:numPr>
          <w:ilvl w:val="0"/>
          <w:numId w:val="3"/>
        </w:numPr>
        <w:ind w:left="426" w:hanging="426"/>
        <w:contextualSpacing/>
        <w:jc w:val="both"/>
        <w:rPr>
          <w:rFonts w:ascii="Arial" w:eastAsia="Calibri" w:hAnsi="Arial" w:cs="Arial"/>
          <w:sz w:val="22"/>
          <w:szCs w:val="22"/>
          <w:lang w:val="es-CO" w:eastAsia="en-US"/>
        </w:rPr>
      </w:pPr>
      <w:r w:rsidRPr="008D2838">
        <w:rPr>
          <w:rFonts w:ascii="Arial" w:eastAsia="Calibri" w:hAnsi="Arial" w:cs="Arial"/>
          <w:sz w:val="22"/>
          <w:szCs w:val="22"/>
          <w:lang w:val="es-CO" w:eastAsia="en-US"/>
        </w:rPr>
        <w:t xml:space="preserve">Omisión en la publicación de los documentos contractuales en el SECOP. </w:t>
      </w:r>
    </w:p>
    <w:p w14:paraId="6D34B02F" w14:textId="77777777" w:rsidR="00081708" w:rsidRPr="008D2838" w:rsidRDefault="00081708" w:rsidP="00081708">
      <w:pPr>
        <w:numPr>
          <w:ilvl w:val="0"/>
          <w:numId w:val="3"/>
        </w:numPr>
        <w:ind w:left="426" w:hanging="426"/>
        <w:contextualSpacing/>
        <w:jc w:val="both"/>
        <w:rPr>
          <w:rFonts w:ascii="Arial" w:eastAsia="Calibri" w:hAnsi="Arial" w:cs="Arial"/>
          <w:sz w:val="22"/>
          <w:szCs w:val="22"/>
          <w:lang w:val="es-CO" w:eastAsia="en-US"/>
        </w:rPr>
      </w:pPr>
      <w:r w:rsidRPr="008D2838">
        <w:rPr>
          <w:rFonts w:ascii="Arial" w:eastAsia="Calibri" w:hAnsi="Arial" w:cs="Arial"/>
          <w:sz w:val="22"/>
          <w:szCs w:val="22"/>
          <w:lang w:val="es-CO" w:eastAsia="en-US"/>
        </w:rPr>
        <w:t>Inconsistencias en la información reportada en el FUT.</w:t>
      </w:r>
    </w:p>
    <w:p w14:paraId="1957F642" w14:textId="77777777" w:rsidR="00081708" w:rsidRPr="008D2838" w:rsidRDefault="00081708" w:rsidP="00081708">
      <w:pPr>
        <w:jc w:val="both"/>
        <w:rPr>
          <w:rFonts w:ascii="Arial" w:eastAsia="Calibri" w:hAnsi="Arial" w:cs="Arial"/>
          <w:sz w:val="22"/>
          <w:szCs w:val="22"/>
          <w:highlight w:val="cyan"/>
          <w:lang w:val="es-CO" w:eastAsia="en-US"/>
        </w:rPr>
      </w:pPr>
    </w:p>
    <w:p w14:paraId="5E8F0D21" w14:textId="77777777" w:rsidR="00081708" w:rsidRPr="008D2838" w:rsidRDefault="00081708" w:rsidP="00081708">
      <w:pPr>
        <w:jc w:val="both"/>
        <w:rPr>
          <w:rFonts w:ascii="Arial" w:eastAsia="Calibri" w:hAnsi="Arial" w:cs="Arial"/>
          <w:sz w:val="22"/>
          <w:szCs w:val="22"/>
          <w:lang w:val="es-CO" w:eastAsia="en-US"/>
        </w:rPr>
      </w:pPr>
      <w:r w:rsidRPr="008D2838">
        <w:rPr>
          <w:rFonts w:ascii="Arial" w:eastAsia="Calibri" w:hAnsi="Arial" w:cs="Arial"/>
          <w:sz w:val="22"/>
          <w:szCs w:val="22"/>
          <w:lang w:val="es-CO" w:eastAsia="en-US"/>
        </w:rPr>
        <w:t xml:space="preserve">Al respecto, se advierte que en algunos casos las situaciones informadas por el Ministerio de Educación fueron configuradas como eventos de riesgo, y en otros, fueron desestimadas, toda vez que no se contaba con la totalidad de los soportes o la situación no persiste en las últimas vigencias. </w:t>
      </w:r>
    </w:p>
    <w:p w14:paraId="30F78BF2" w14:textId="77777777" w:rsidR="00081708" w:rsidRPr="008D2838" w:rsidRDefault="00081708" w:rsidP="00081708">
      <w:pPr>
        <w:ind w:left="426" w:hanging="426"/>
        <w:contextualSpacing/>
        <w:jc w:val="both"/>
        <w:rPr>
          <w:rFonts w:ascii="Arial" w:eastAsia="Calibri" w:hAnsi="Arial" w:cs="Arial"/>
          <w:b/>
          <w:i/>
          <w:color w:val="000000" w:themeColor="text1"/>
          <w:sz w:val="22"/>
          <w:szCs w:val="22"/>
          <w:lang w:val="es-CO" w:eastAsia="en-US"/>
        </w:rPr>
      </w:pPr>
    </w:p>
    <w:p w14:paraId="23C09E67" w14:textId="77777777" w:rsidR="00081708" w:rsidRPr="008D2838" w:rsidRDefault="00081708" w:rsidP="00081708">
      <w:pPr>
        <w:numPr>
          <w:ilvl w:val="0"/>
          <w:numId w:val="4"/>
        </w:numPr>
        <w:ind w:left="426" w:hanging="426"/>
        <w:contextualSpacing/>
        <w:jc w:val="both"/>
        <w:rPr>
          <w:rFonts w:ascii="Arial" w:eastAsia="Calibri" w:hAnsi="Arial" w:cs="Arial"/>
          <w:b/>
          <w:i/>
          <w:sz w:val="22"/>
          <w:szCs w:val="22"/>
          <w:u w:val="single"/>
          <w:lang w:val="es-CO" w:eastAsia="en-US"/>
        </w:rPr>
      </w:pPr>
      <w:r w:rsidRPr="008D2838">
        <w:rPr>
          <w:rFonts w:ascii="Arial" w:eastAsia="Calibri" w:hAnsi="Arial" w:cs="Arial"/>
          <w:b/>
          <w:i/>
          <w:sz w:val="22"/>
          <w:szCs w:val="22"/>
          <w:u w:val="single"/>
          <w:lang w:val="es-CO" w:eastAsia="en-US"/>
        </w:rPr>
        <w:t>Déficit en la administración y ejecución de los recursos del SGP Educación.</w:t>
      </w:r>
    </w:p>
    <w:p w14:paraId="2F89A6F1" w14:textId="77777777" w:rsidR="00081708" w:rsidRPr="008D2838" w:rsidRDefault="00081708" w:rsidP="00081708">
      <w:pPr>
        <w:jc w:val="both"/>
        <w:rPr>
          <w:rFonts w:ascii="Arial" w:eastAsia="Calibri" w:hAnsi="Arial" w:cs="Arial"/>
          <w:b/>
          <w:i/>
          <w:sz w:val="22"/>
          <w:szCs w:val="22"/>
          <w:u w:val="single"/>
          <w:lang w:val="es-CO" w:eastAsia="en-US"/>
        </w:rPr>
      </w:pPr>
    </w:p>
    <w:p w14:paraId="4ED63701" w14:textId="77777777" w:rsidR="00081708" w:rsidRPr="008D2838" w:rsidRDefault="00081708" w:rsidP="00081708">
      <w:pPr>
        <w:jc w:val="both"/>
        <w:rPr>
          <w:rFonts w:ascii="Arial" w:hAnsi="Arial" w:cs="Arial"/>
          <w:iCs/>
          <w:sz w:val="22"/>
          <w:szCs w:val="22"/>
          <w:lang w:val="es-CO"/>
        </w:rPr>
      </w:pPr>
      <w:r w:rsidRPr="008D2838">
        <w:rPr>
          <w:rFonts w:ascii="Arial" w:hAnsi="Arial" w:cs="Arial"/>
          <w:iCs/>
          <w:sz w:val="22"/>
          <w:szCs w:val="22"/>
          <w:lang w:val="es-CO"/>
        </w:rPr>
        <w:t xml:space="preserve">En las vigencias 2015 a 2018 el Distrito constituyó un déficit tesoral en el Sector Educación relacionado con los recursos del SGP, que en 2015 ascendió a $957,9 millones, en 2016 a </w:t>
      </w:r>
      <w:r w:rsidRPr="008D2838">
        <w:rPr>
          <w:rFonts w:ascii="Arial" w:hAnsi="Arial" w:cs="Arial"/>
          <w:iCs/>
          <w:sz w:val="22"/>
          <w:szCs w:val="22"/>
          <w:lang w:val="es-CO"/>
        </w:rPr>
        <w:lastRenderedPageBreak/>
        <w:t xml:space="preserve">$1.296 millones, en 2017 a $1.646,1 millones, y en 2018 a $1.183,8 millones (de Prestación del Servicio). Esta situación fue verificada por la Dirección General de Apoyo Fiscal a la vigencia </w:t>
      </w:r>
      <w:r w:rsidRPr="008D2838">
        <w:rPr>
          <w:rFonts w:ascii="Arial" w:hAnsi="Arial" w:cs="Arial"/>
          <w:sz w:val="22"/>
          <w:szCs w:val="22"/>
        </w:rPr>
        <w:t>2021</w:t>
      </w:r>
      <w:r w:rsidRPr="008D2838">
        <w:rPr>
          <w:rFonts w:ascii="Arial" w:hAnsi="Arial" w:cs="Arial"/>
          <w:iCs/>
          <w:sz w:val="22"/>
          <w:szCs w:val="22"/>
          <w:lang w:val="es-CO"/>
        </w:rPr>
        <w:t>, e incluida como un evento de riesgo en el siguiente apartado.</w:t>
      </w:r>
    </w:p>
    <w:p w14:paraId="0B08F7D6" w14:textId="77777777" w:rsidR="00081708" w:rsidRPr="008D2838" w:rsidRDefault="00081708" w:rsidP="00081708">
      <w:pPr>
        <w:jc w:val="both"/>
        <w:rPr>
          <w:rFonts w:ascii="Arial" w:hAnsi="Arial" w:cs="Arial"/>
          <w:highlight w:val="cyan"/>
        </w:rPr>
      </w:pPr>
    </w:p>
    <w:p w14:paraId="72187161" w14:textId="77777777" w:rsidR="00081708" w:rsidRPr="008D2838" w:rsidRDefault="00081708" w:rsidP="00081708">
      <w:pPr>
        <w:numPr>
          <w:ilvl w:val="0"/>
          <w:numId w:val="4"/>
        </w:numPr>
        <w:ind w:left="426" w:hanging="426"/>
        <w:contextualSpacing/>
        <w:jc w:val="both"/>
        <w:rPr>
          <w:rFonts w:ascii="Arial" w:eastAsia="Calibri" w:hAnsi="Arial" w:cs="Arial"/>
          <w:b/>
          <w:i/>
          <w:sz w:val="22"/>
          <w:szCs w:val="22"/>
          <w:u w:val="single"/>
          <w:lang w:val="es-CO" w:eastAsia="en-US"/>
        </w:rPr>
      </w:pPr>
      <w:r w:rsidRPr="008D2838">
        <w:rPr>
          <w:rFonts w:ascii="Arial" w:eastAsia="Calibri" w:hAnsi="Arial" w:cs="Arial"/>
          <w:b/>
          <w:i/>
          <w:sz w:val="22"/>
          <w:szCs w:val="22"/>
          <w:u w:val="single"/>
          <w:lang w:val="es-CO" w:eastAsia="en-US"/>
        </w:rPr>
        <w:t>Cambio en la destinación de los recursos.</w:t>
      </w:r>
    </w:p>
    <w:p w14:paraId="2EC28FA0" w14:textId="77777777" w:rsidR="00081708" w:rsidRPr="008D2838" w:rsidRDefault="00081708" w:rsidP="00081708">
      <w:pPr>
        <w:jc w:val="both"/>
        <w:rPr>
          <w:rFonts w:ascii="Arial" w:hAnsi="Arial" w:cs="Arial"/>
          <w:sz w:val="22"/>
          <w:szCs w:val="22"/>
          <w:lang w:val="es-CO"/>
        </w:rPr>
      </w:pPr>
    </w:p>
    <w:p w14:paraId="790CAA7D"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De acuerdo con el oficio con radicado No. 1- 2018-022545 del 12 de marzo de 2018, el Ministerio de Educación Nacional informó que en la vigencia 2016 la Entidad destinó recursos del balance para otros objetos diferentes al normado en virtud de los artículos 148 de la Ley 1450 de 2011 y 59 de la Ley 1753 de 2015 (vigente hasta 2019), como capacitación, bienestar social, apoyo para actividades administrativas, alimentación escolar y sentencias y conciliaciones cuyos compromisos ascendieron a $2.389.948.466. Además, asumió en la vigencia 2016 el pago de la dotación de 2015 con recursos del SGP, valor que debía financiarse con recursos propios.</w:t>
      </w:r>
    </w:p>
    <w:p w14:paraId="75F5748B" w14:textId="77777777" w:rsidR="00081708" w:rsidRPr="008D2838" w:rsidRDefault="00081708" w:rsidP="00081708">
      <w:pPr>
        <w:jc w:val="both"/>
        <w:rPr>
          <w:rFonts w:ascii="Arial" w:hAnsi="Arial" w:cs="Arial"/>
          <w:sz w:val="22"/>
          <w:szCs w:val="22"/>
          <w:lang w:val="es-CO"/>
        </w:rPr>
      </w:pPr>
    </w:p>
    <w:p w14:paraId="6484F181"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 xml:space="preserve">Al revisar los registros y las ejecuciones presupuestales de la vigencia, no fue posible identificar con exactitud las fuentes de financiación de los recursos del Sistema General de Participaciones utilizada para atender esas obligaciones. En 2016, los fondos asociados al Sistema General de Participaciones corresponden a Calidad (Código 101), Gratuidad (Código 117), Prestación del Servicio (116) y Educación SFE (recursos Sin Situación de Fondos, Código 115), lo cual no permitió identificar si los recursos comprometidos correspondían a reintegros, rendimientos financieros, recursos del balance, cancelación de reservas, recursos corrientes u otros asociados al SGP - Educación. </w:t>
      </w:r>
    </w:p>
    <w:p w14:paraId="5B31C930" w14:textId="77777777" w:rsidR="00081708" w:rsidRPr="008D2838" w:rsidRDefault="00081708" w:rsidP="00081708">
      <w:pPr>
        <w:jc w:val="both"/>
        <w:rPr>
          <w:rFonts w:ascii="Arial" w:hAnsi="Arial" w:cs="Arial"/>
          <w:sz w:val="22"/>
          <w:szCs w:val="22"/>
          <w:lang w:val="es-CO"/>
        </w:rPr>
      </w:pPr>
    </w:p>
    <w:p w14:paraId="200022C9" w14:textId="77777777" w:rsidR="00081708" w:rsidRPr="008D2838" w:rsidRDefault="00081708" w:rsidP="00081708">
      <w:pPr>
        <w:jc w:val="both"/>
        <w:rPr>
          <w:rFonts w:ascii="Arial" w:hAnsi="Arial" w:cs="Arial"/>
          <w:color w:val="000000" w:themeColor="text1"/>
          <w:sz w:val="22"/>
          <w:szCs w:val="22"/>
          <w:lang w:val="es-CO"/>
        </w:rPr>
      </w:pPr>
      <w:r w:rsidRPr="008D2838">
        <w:rPr>
          <w:rFonts w:ascii="Arial" w:hAnsi="Arial" w:cs="Arial"/>
          <w:sz w:val="22"/>
          <w:szCs w:val="22"/>
          <w:lang w:val="es-CO"/>
        </w:rPr>
        <w:t xml:space="preserve">Ahora bien, en cuanto al pago de sentencias y conciliaciones, </w:t>
      </w:r>
      <w:r w:rsidRPr="008D2838">
        <w:rPr>
          <w:rFonts w:ascii="Arial" w:hAnsi="Arial" w:cs="Arial"/>
          <w:color w:val="000000" w:themeColor="text1"/>
          <w:sz w:val="22"/>
          <w:szCs w:val="22"/>
          <w:lang w:val="es-CO"/>
        </w:rPr>
        <w:t>a partir del análisis de las ejecuciones presupuestales de gastos de las vigencias 2016 y 2017 se encontró que la Entidad Territorial hizo uso de recursos del Sistema General de Participaciones del Sector Educación para el pago de sentencias y conciliaciones, cambiando la destinación de estos recursos cuyo fin constitucional y legal no contempla este concepto de gasto entre los financiables.</w:t>
      </w:r>
    </w:p>
    <w:p w14:paraId="40434586" w14:textId="77777777" w:rsidR="00081708" w:rsidRPr="008D2838" w:rsidRDefault="00081708" w:rsidP="00081708">
      <w:pPr>
        <w:jc w:val="both"/>
        <w:rPr>
          <w:rFonts w:ascii="Arial" w:hAnsi="Arial" w:cs="Arial"/>
          <w:color w:val="000000" w:themeColor="text1"/>
          <w:sz w:val="22"/>
          <w:szCs w:val="22"/>
          <w:lang w:val="es-CO"/>
        </w:rPr>
      </w:pPr>
    </w:p>
    <w:p w14:paraId="6FCEEA9C" w14:textId="77777777" w:rsidR="00081708" w:rsidRPr="008D2838" w:rsidRDefault="00081708" w:rsidP="00081708">
      <w:pPr>
        <w:jc w:val="both"/>
        <w:rPr>
          <w:rFonts w:ascii="Arial" w:hAnsi="Arial" w:cs="Arial"/>
          <w:color w:val="000000" w:themeColor="text1"/>
          <w:sz w:val="22"/>
          <w:szCs w:val="22"/>
          <w:lang w:val="es-CO"/>
        </w:rPr>
      </w:pPr>
      <w:r w:rsidRPr="008D2838">
        <w:rPr>
          <w:rFonts w:ascii="Arial" w:hAnsi="Arial" w:cs="Arial"/>
          <w:color w:val="000000" w:themeColor="text1"/>
          <w:sz w:val="22"/>
          <w:szCs w:val="22"/>
          <w:lang w:val="es-CO"/>
        </w:rPr>
        <w:t>El Distrito de Turbo realizó pagos por valor de $1.105,1 millones por concepto de sentencias y conciliaciones en las vigencias 2016 y 2017 de acuerdo con el siguiente detalle:</w:t>
      </w:r>
    </w:p>
    <w:p w14:paraId="700B6711" w14:textId="77777777" w:rsidR="00081708" w:rsidRPr="008D2838" w:rsidRDefault="00081708" w:rsidP="00081708">
      <w:pPr>
        <w:jc w:val="both"/>
        <w:rPr>
          <w:rFonts w:ascii="Arial" w:hAnsi="Arial" w:cs="Arial"/>
          <w:color w:val="FFFFFF" w:themeColor="background1"/>
          <w:sz w:val="22"/>
          <w:szCs w:val="22"/>
          <w:lang w:val="es-CO"/>
        </w:rPr>
      </w:pPr>
    </w:p>
    <w:tbl>
      <w:tblPr>
        <w:tblW w:w="5000" w:type="pct"/>
        <w:tblCellMar>
          <w:left w:w="70" w:type="dxa"/>
          <w:right w:w="70" w:type="dxa"/>
        </w:tblCellMar>
        <w:tblLook w:val="04A0" w:firstRow="1" w:lastRow="0" w:firstColumn="1" w:lastColumn="0" w:noHBand="0" w:noVBand="1"/>
      </w:tblPr>
      <w:tblGrid>
        <w:gridCol w:w="1282"/>
        <w:gridCol w:w="841"/>
        <w:gridCol w:w="2549"/>
        <w:gridCol w:w="3120"/>
        <w:gridCol w:w="1036"/>
      </w:tblGrid>
      <w:tr w:rsidR="00081708" w:rsidRPr="008D2838" w14:paraId="113FFF19" w14:textId="77777777" w:rsidTr="0008170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hideMark/>
          </w:tcPr>
          <w:p w14:paraId="007DF5E2" w14:textId="77777777" w:rsidR="00081708" w:rsidRPr="008D2838" w:rsidRDefault="00081708" w:rsidP="00081708">
            <w:pPr>
              <w:jc w:val="center"/>
              <w:rPr>
                <w:rFonts w:ascii="Arial" w:hAnsi="Arial" w:cs="Arial"/>
                <w:b/>
                <w:bCs/>
                <w:color w:val="FFFFFF" w:themeColor="background1"/>
                <w:sz w:val="18"/>
                <w:szCs w:val="18"/>
                <w:lang w:val="es-CO"/>
              </w:rPr>
            </w:pPr>
            <w:r w:rsidRPr="008D2838">
              <w:rPr>
                <w:rFonts w:ascii="Arial" w:hAnsi="Arial" w:cs="Arial"/>
                <w:b/>
                <w:bCs/>
                <w:color w:val="FFFFFF" w:themeColor="background1"/>
                <w:sz w:val="18"/>
                <w:szCs w:val="18"/>
                <w:lang w:val="es-CO"/>
              </w:rPr>
              <w:t xml:space="preserve">TABLA 10. RELACIÓN DE PAGOS POR CONCEPTO DE SENTENCIAS JUDICIALES </w:t>
            </w:r>
          </w:p>
          <w:p w14:paraId="7B4E9891" w14:textId="77777777" w:rsidR="00081708" w:rsidRPr="008D2838" w:rsidRDefault="00081708" w:rsidP="00081708">
            <w:pPr>
              <w:jc w:val="center"/>
              <w:rPr>
                <w:rFonts w:ascii="Arial" w:hAnsi="Arial" w:cs="Arial"/>
                <w:b/>
                <w:bCs/>
                <w:color w:val="FFFFFF" w:themeColor="background1"/>
                <w:sz w:val="18"/>
                <w:szCs w:val="18"/>
                <w:lang w:val="es-CO"/>
              </w:rPr>
            </w:pPr>
            <w:r w:rsidRPr="008D2838">
              <w:rPr>
                <w:rFonts w:ascii="Arial" w:hAnsi="Arial" w:cs="Arial"/>
                <w:b/>
                <w:bCs/>
                <w:color w:val="FFFFFF" w:themeColor="background1"/>
                <w:sz w:val="18"/>
                <w:szCs w:val="18"/>
                <w:lang w:val="es-CO"/>
              </w:rPr>
              <w:t>(EN MILLONES DE $)</w:t>
            </w:r>
          </w:p>
        </w:tc>
      </w:tr>
      <w:tr w:rsidR="00081708" w:rsidRPr="008D2838" w14:paraId="254E92E1" w14:textId="77777777" w:rsidTr="00081708">
        <w:trPr>
          <w:trHeight w:val="20"/>
        </w:trPr>
        <w:tc>
          <w:tcPr>
            <w:tcW w:w="726" w:type="pct"/>
            <w:tcBorders>
              <w:top w:val="nil"/>
              <w:left w:val="single" w:sz="4" w:space="0" w:color="auto"/>
              <w:bottom w:val="single" w:sz="4" w:space="0" w:color="auto"/>
              <w:right w:val="single" w:sz="4" w:space="0" w:color="auto"/>
            </w:tcBorders>
            <w:shd w:val="clear" w:color="auto" w:fill="95B3D7" w:themeFill="accent1" w:themeFillTint="99"/>
            <w:vAlign w:val="center"/>
            <w:hideMark/>
          </w:tcPr>
          <w:p w14:paraId="5F2A09DE" w14:textId="77777777" w:rsidR="00081708" w:rsidRPr="008D2838" w:rsidRDefault="00081708" w:rsidP="00081708">
            <w:pPr>
              <w:jc w:val="center"/>
              <w:rPr>
                <w:rFonts w:ascii="Arial" w:hAnsi="Arial" w:cs="Arial"/>
                <w:b/>
                <w:bCs/>
                <w:color w:val="000000"/>
                <w:sz w:val="18"/>
                <w:szCs w:val="18"/>
                <w:lang w:val="es-CO"/>
              </w:rPr>
            </w:pPr>
            <w:r w:rsidRPr="008D2838">
              <w:rPr>
                <w:rFonts w:ascii="Arial" w:hAnsi="Arial" w:cs="Arial"/>
                <w:b/>
                <w:bCs/>
                <w:color w:val="000000"/>
                <w:sz w:val="18"/>
                <w:szCs w:val="18"/>
                <w:lang w:val="es-CO"/>
              </w:rPr>
              <w:t>No. de comprobante</w:t>
            </w:r>
          </w:p>
        </w:tc>
        <w:tc>
          <w:tcPr>
            <w:tcW w:w="476" w:type="pct"/>
            <w:tcBorders>
              <w:top w:val="nil"/>
              <w:left w:val="nil"/>
              <w:bottom w:val="single" w:sz="4" w:space="0" w:color="auto"/>
              <w:right w:val="single" w:sz="4" w:space="0" w:color="auto"/>
            </w:tcBorders>
            <w:shd w:val="clear" w:color="auto" w:fill="95B3D7" w:themeFill="accent1" w:themeFillTint="99"/>
            <w:noWrap/>
            <w:vAlign w:val="center"/>
            <w:hideMark/>
          </w:tcPr>
          <w:p w14:paraId="6AC974CB" w14:textId="77777777" w:rsidR="00081708" w:rsidRPr="008D2838" w:rsidRDefault="00081708" w:rsidP="00081708">
            <w:pPr>
              <w:jc w:val="center"/>
              <w:rPr>
                <w:rFonts w:ascii="Arial" w:hAnsi="Arial" w:cs="Arial"/>
                <w:b/>
                <w:bCs/>
                <w:color w:val="000000"/>
                <w:sz w:val="18"/>
                <w:szCs w:val="18"/>
                <w:lang w:val="es-CO"/>
              </w:rPr>
            </w:pPr>
            <w:r w:rsidRPr="008D2838">
              <w:rPr>
                <w:rFonts w:ascii="Arial" w:hAnsi="Arial" w:cs="Arial"/>
                <w:b/>
                <w:bCs/>
                <w:color w:val="000000"/>
                <w:sz w:val="18"/>
                <w:szCs w:val="18"/>
                <w:lang w:val="es-CO"/>
              </w:rPr>
              <w:t>Fecha</w:t>
            </w:r>
          </w:p>
        </w:tc>
        <w:tc>
          <w:tcPr>
            <w:tcW w:w="1444" w:type="pct"/>
            <w:tcBorders>
              <w:top w:val="nil"/>
              <w:left w:val="nil"/>
              <w:bottom w:val="single" w:sz="4" w:space="0" w:color="auto"/>
              <w:right w:val="single" w:sz="4" w:space="0" w:color="auto"/>
            </w:tcBorders>
            <w:shd w:val="clear" w:color="auto" w:fill="95B3D7" w:themeFill="accent1" w:themeFillTint="99"/>
            <w:noWrap/>
            <w:vAlign w:val="center"/>
            <w:hideMark/>
          </w:tcPr>
          <w:p w14:paraId="4D928635" w14:textId="77777777" w:rsidR="00081708" w:rsidRPr="008D2838" w:rsidRDefault="00081708" w:rsidP="00081708">
            <w:pPr>
              <w:jc w:val="center"/>
              <w:rPr>
                <w:rFonts w:ascii="Arial" w:hAnsi="Arial" w:cs="Arial"/>
                <w:b/>
                <w:bCs/>
                <w:color w:val="000000"/>
                <w:sz w:val="18"/>
                <w:szCs w:val="18"/>
                <w:lang w:val="es-CO"/>
              </w:rPr>
            </w:pPr>
            <w:r w:rsidRPr="008D2838">
              <w:rPr>
                <w:rFonts w:ascii="Arial" w:hAnsi="Arial" w:cs="Arial"/>
                <w:b/>
                <w:bCs/>
                <w:color w:val="000000"/>
                <w:sz w:val="18"/>
                <w:szCs w:val="18"/>
                <w:lang w:val="es-CO"/>
              </w:rPr>
              <w:t>Tercero</w:t>
            </w:r>
          </w:p>
        </w:tc>
        <w:tc>
          <w:tcPr>
            <w:tcW w:w="1767" w:type="pct"/>
            <w:tcBorders>
              <w:top w:val="nil"/>
              <w:left w:val="nil"/>
              <w:bottom w:val="single" w:sz="4" w:space="0" w:color="auto"/>
              <w:right w:val="single" w:sz="4" w:space="0" w:color="auto"/>
            </w:tcBorders>
            <w:shd w:val="clear" w:color="auto" w:fill="95B3D7" w:themeFill="accent1" w:themeFillTint="99"/>
            <w:noWrap/>
            <w:vAlign w:val="center"/>
            <w:hideMark/>
          </w:tcPr>
          <w:p w14:paraId="09337FD7" w14:textId="77777777" w:rsidR="00081708" w:rsidRPr="008D2838" w:rsidRDefault="00081708" w:rsidP="00081708">
            <w:pPr>
              <w:jc w:val="center"/>
              <w:rPr>
                <w:rFonts w:ascii="Arial" w:hAnsi="Arial" w:cs="Arial"/>
                <w:b/>
                <w:bCs/>
                <w:color w:val="000000"/>
                <w:sz w:val="18"/>
                <w:szCs w:val="18"/>
                <w:lang w:val="es-CO"/>
              </w:rPr>
            </w:pPr>
            <w:r w:rsidRPr="008D2838">
              <w:rPr>
                <w:rFonts w:ascii="Arial" w:hAnsi="Arial" w:cs="Arial"/>
                <w:b/>
                <w:bCs/>
                <w:color w:val="000000"/>
                <w:sz w:val="18"/>
                <w:szCs w:val="18"/>
                <w:lang w:val="es-CO"/>
              </w:rPr>
              <w:t>Concepto</w:t>
            </w:r>
          </w:p>
        </w:tc>
        <w:tc>
          <w:tcPr>
            <w:tcW w:w="587" w:type="pct"/>
            <w:tcBorders>
              <w:top w:val="nil"/>
              <w:left w:val="nil"/>
              <w:bottom w:val="single" w:sz="4" w:space="0" w:color="auto"/>
              <w:right w:val="single" w:sz="4" w:space="0" w:color="auto"/>
            </w:tcBorders>
            <w:shd w:val="clear" w:color="auto" w:fill="95B3D7" w:themeFill="accent1" w:themeFillTint="99"/>
            <w:noWrap/>
            <w:vAlign w:val="center"/>
            <w:hideMark/>
          </w:tcPr>
          <w:p w14:paraId="17BC13C1" w14:textId="77777777" w:rsidR="00081708" w:rsidRPr="008D2838" w:rsidRDefault="00081708" w:rsidP="00081708">
            <w:pPr>
              <w:jc w:val="center"/>
              <w:rPr>
                <w:rFonts w:ascii="Arial" w:hAnsi="Arial" w:cs="Arial"/>
                <w:b/>
                <w:bCs/>
                <w:color w:val="000000"/>
                <w:sz w:val="18"/>
                <w:szCs w:val="18"/>
                <w:lang w:val="es-CO"/>
              </w:rPr>
            </w:pPr>
            <w:r w:rsidRPr="008D2838">
              <w:rPr>
                <w:rFonts w:ascii="Arial" w:hAnsi="Arial" w:cs="Arial"/>
                <w:b/>
                <w:bCs/>
                <w:color w:val="000000"/>
                <w:sz w:val="18"/>
                <w:szCs w:val="18"/>
                <w:lang w:val="es-CO"/>
              </w:rPr>
              <w:t>Pago</w:t>
            </w:r>
          </w:p>
        </w:tc>
      </w:tr>
      <w:tr w:rsidR="00081708" w:rsidRPr="008D2838" w14:paraId="3796F653" w14:textId="77777777" w:rsidTr="00081708">
        <w:trPr>
          <w:trHeight w:val="20"/>
        </w:trPr>
        <w:tc>
          <w:tcPr>
            <w:tcW w:w="726" w:type="pct"/>
            <w:tcBorders>
              <w:top w:val="nil"/>
              <w:left w:val="single" w:sz="4" w:space="0" w:color="auto"/>
              <w:bottom w:val="single" w:sz="4" w:space="0" w:color="auto"/>
              <w:right w:val="single" w:sz="4" w:space="0" w:color="auto"/>
            </w:tcBorders>
            <w:vAlign w:val="center"/>
            <w:hideMark/>
          </w:tcPr>
          <w:p w14:paraId="52658B51" w14:textId="77777777" w:rsidR="00081708" w:rsidRPr="008D2838" w:rsidRDefault="00081708" w:rsidP="00081708">
            <w:pPr>
              <w:jc w:val="both"/>
              <w:rPr>
                <w:rFonts w:ascii="Arial" w:hAnsi="Arial" w:cs="Arial"/>
                <w:b/>
                <w:bCs/>
                <w:color w:val="000000"/>
                <w:sz w:val="18"/>
                <w:szCs w:val="18"/>
                <w:lang w:val="es-CO"/>
              </w:rPr>
            </w:pPr>
            <w:r w:rsidRPr="008D2838">
              <w:rPr>
                <w:rFonts w:ascii="Arial" w:hAnsi="Arial" w:cs="Arial"/>
                <w:b/>
                <w:bCs/>
                <w:color w:val="000000"/>
                <w:sz w:val="18"/>
                <w:szCs w:val="18"/>
                <w:lang w:val="es-CO"/>
              </w:rPr>
              <w:t>2636</w:t>
            </w:r>
          </w:p>
        </w:tc>
        <w:tc>
          <w:tcPr>
            <w:tcW w:w="476" w:type="pct"/>
            <w:tcBorders>
              <w:top w:val="nil"/>
              <w:left w:val="nil"/>
              <w:bottom w:val="single" w:sz="4" w:space="0" w:color="auto"/>
              <w:right w:val="single" w:sz="4" w:space="0" w:color="auto"/>
            </w:tcBorders>
            <w:vAlign w:val="center"/>
            <w:hideMark/>
          </w:tcPr>
          <w:p w14:paraId="1C9E8A81" w14:textId="77777777" w:rsidR="00081708" w:rsidRPr="008D2838" w:rsidRDefault="00081708" w:rsidP="00081708">
            <w:pPr>
              <w:jc w:val="both"/>
              <w:rPr>
                <w:rFonts w:ascii="Arial" w:hAnsi="Arial" w:cs="Arial"/>
                <w:color w:val="000000"/>
                <w:sz w:val="18"/>
                <w:szCs w:val="18"/>
                <w:lang w:val="es-CO"/>
              </w:rPr>
            </w:pPr>
            <w:r w:rsidRPr="008D2838">
              <w:rPr>
                <w:rFonts w:ascii="Arial" w:hAnsi="Arial" w:cs="Arial"/>
                <w:color w:val="000000"/>
                <w:sz w:val="18"/>
                <w:szCs w:val="18"/>
                <w:lang w:val="es-CO"/>
              </w:rPr>
              <w:t>30/08/17</w:t>
            </w:r>
          </w:p>
        </w:tc>
        <w:tc>
          <w:tcPr>
            <w:tcW w:w="1444" w:type="pct"/>
            <w:tcBorders>
              <w:top w:val="nil"/>
              <w:left w:val="nil"/>
              <w:bottom w:val="single" w:sz="4" w:space="0" w:color="auto"/>
              <w:right w:val="single" w:sz="4" w:space="0" w:color="auto"/>
            </w:tcBorders>
            <w:vAlign w:val="center"/>
            <w:hideMark/>
          </w:tcPr>
          <w:p w14:paraId="093435CF" w14:textId="77777777" w:rsidR="00081708" w:rsidRPr="008D2838" w:rsidRDefault="00081708" w:rsidP="00081708">
            <w:pPr>
              <w:jc w:val="both"/>
              <w:rPr>
                <w:rFonts w:ascii="Arial" w:hAnsi="Arial" w:cs="Arial"/>
                <w:color w:val="000000"/>
                <w:sz w:val="18"/>
                <w:szCs w:val="18"/>
                <w:lang w:val="es-CO"/>
              </w:rPr>
            </w:pPr>
            <w:r w:rsidRPr="008D2838">
              <w:rPr>
                <w:rFonts w:ascii="Arial" w:hAnsi="Arial" w:cs="Arial"/>
                <w:color w:val="000000"/>
                <w:sz w:val="18"/>
                <w:szCs w:val="18"/>
                <w:lang w:val="es-CO"/>
              </w:rPr>
              <w:t>Shirly Esther Pertuz Durango</w:t>
            </w:r>
          </w:p>
        </w:tc>
        <w:tc>
          <w:tcPr>
            <w:tcW w:w="1767" w:type="pct"/>
            <w:tcBorders>
              <w:top w:val="nil"/>
              <w:left w:val="nil"/>
              <w:bottom w:val="single" w:sz="4" w:space="0" w:color="auto"/>
              <w:right w:val="single" w:sz="4" w:space="0" w:color="auto"/>
            </w:tcBorders>
            <w:vAlign w:val="center"/>
            <w:hideMark/>
          </w:tcPr>
          <w:p w14:paraId="3300E97E" w14:textId="77777777" w:rsidR="00081708" w:rsidRPr="008D2838" w:rsidRDefault="00081708" w:rsidP="00081708">
            <w:pPr>
              <w:jc w:val="both"/>
              <w:rPr>
                <w:rFonts w:ascii="Arial" w:hAnsi="Arial" w:cs="Arial"/>
                <w:color w:val="000000"/>
                <w:sz w:val="18"/>
                <w:szCs w:val="18"/>
                <w:lang w:val="es-CO"/>
              </w:rPr>
            </w:pPr>
            <w:r w:rsidRPr="008D2838">
              <w:rPr>
                <w:rFonts w:ascii="Arial" w:hAnsi="Arial" w:cs="Arial"/>
                <w:color w:val="000000"/>
                <w:sz w:val="18"/>
                <w:szCs w:val="18"/>
                <w:lang w:val="es-CO"/>
              </w:rPr>
              <w:t>Cancelación Sentencia No. 092 del 29 de noviembre del 2014.</w:t>
            </w:r>
          </w:p>
        </w:tc>
        <w:tc>
          <w:tcPr>
            <w:tcW w:w="587" w:type="pct"/>
            <w:tcBorders>
              <w:top w:val="nil"/>
              <w:left w:val="nil"/>
              <w:bottom w:val="single" w:sz="4" w:space="0" w:color="auto"/>
              <w:right w:val="single" w:sz="4" w:space="0" w:color="auto"/>
            </w:tcBorders>
            <w:vAlign w:val="center"/>
            <w:hideMark/>
          </w:tcPr>
          <w:p w14:paraId="450A4F74" w14:textId="77777777" w:rsidR="00081708" w:rsidRPr="008D2838" w:rsidRDefault="00081708" w:rsidP="00081708">
            <w:pPr>
              <w:jc w:val="right"/>
              <w:rPr>
                <w:rFonts w:ascii="Arial" w:hAnsi="Arial" w:cs="Arial"/>
                <w:color w:val="000000"/>
                <w:sz w:val="18"/>
                <w:szCs w:val="18"/>
                <w:lang w:val="es-CO"/>
              </w:rPr>
            </w:pPr>
            <w:r w:rsidRPr="008D2838">
              <w:rPr>
                <w:rFonts w:ascii="Arial" w:hAnsi="Arial" w:cs="Arial"/>
                <w:color w:val="000000"/>
                <w:sz w:val="18"/>
                <w:szCs w:val="18"/>
                <w:lang w:val="es-CO"/>
              </w:rPr>
              <w:t>222</w:t>
            </w:r>
          </w:p>
        </w:tc>
      </w:tr>
      <w:tr w:rsidR="00081708" w:rsidRPr="008D2838" w14:paraId="0614DDE6" w14:textId="77777777" w:rsidTr="00081708">
        <w:trPr>
          <w:trHeight w:val="20"/>
        </w:trPr>
        <w:tc>
          <w:tcPr>
            <w:tcW w:w="726" w:type="pct"/>
            <w:tcBorders>
              <w:top w:val="nil"/>
              <w:left w:val="single" w:sz="4" w:space="0" w:color="auto"/>
              <w:bottom w:val="single" w:sz="4" w:space="0" w:color="auto"/>
              <w:right w:val="single" w:sz="4" w:space="0" w:color="auto"/>
            </w:tcBorders>
            <w:vAlign w:val="center"/>
            <w:hideMark/>
          </w:tcPr>
          <w:p w14:paraId="3574982F" w14:textId="77777777" w:rsidR="00081708" w:rsidRPr="008D2838" w:rsidRDefault="00081708" w:rsidP="00081708">
            <w:pPr>
              <w:jc w:val="both"/>
              <w:rPr>
                <w:rFonts w:ascii="Arial" w:hAnsi="Arial" w:cs="Arial"/>
                <w:b/>
                <w:bCs/>
                <w:color w:val="000000"/>
                <w:sz w:val="18"/>
                <w:szCs w:val="18"/>
                <w:lang w:val="es-CO"/>
              </w:rPr>
            </w:pPr>
            <w:r w:rsidRPr="008D2838">
              <w:rPr>
                <w:rFonts w:ascii="Arial" w:hAnsi="Arial" w:cs="Arial"/>
                <w:b/>
                <w:bCs/>
                <w:color w:val="000000"/>
                <w:sz w:val="18"/>
                <w:szCs w:val="18"/>
                <w:lang w:val="es-CO"/>
              </w:rPr>
              <w:t>436</w:t>
            </w:r>
          </w:p>
        </w:tc>
        <w:tc>
          <w:tcPr>
            <w:tcW w:w="476" w:type="pct"/>
            <w:tcBorders>
              <w:top w:val="nil"/>
              <w:left w:val="nil"/>
              <w:bottom w:val="single" w:sz="4" w:space="0" w:color="auto"/>
              <w:right w:val="single" w:sz="4" w:space="0" w:color="auto"/>
            </w:tcBorders>
            <w:vAlign w:val="center"/>
            <w:hideMark/>
          </w:tcPr>
          <w:p w14:paraId="54FF083B" w14:textId="77777777" w:rsidR="00081708" w:rsidRPr="008D2838" w:rsidRDefault="00081708" w:rsidP="00081708">
            <w:pPr>
              <w:jc w:val="both"/>
              <w:rPr>
                <w:rFonts w:ascii="Arial" w:hAnsi="Arial" w:cs="Arial"/>
                <w:color w:val="000000"/>
                <w:sz w:val="18"/>
                <w:szCs w:val="18"/>
                <w:lang w:val="es-CO"/>
              </w:rPr>
            </w:pPr>
            <w:r w:rsidRPr="008D2838">
              <w:rPr>
                <w:rFonts w:ascii="Arial" w:hAnsi="Arial" w:cs="Arial"/>
                <w:color w:val="000000"/>
                <w:sz w:val="18"/>
                <w:szCs w:val="18"/>
                <w:lang w:val="es-CO"/>
              </w:rPr>
              <w:t>30/03/17</w:t>
            </w:r>
          </w:p>
        </w:tc>
        <w:tc>
          <w:tcPr>
            <w:tcW w:w="1444" w:type="pct"/>
            <w:tcBorders>
              <w:top w:val="nil"/>
              <w:left w:val="nil"/>
              <w:bottom w:val="single" w:sz="4" w:space="0" w:color="auto"/>
              <w:right w:val="single" w:sz="4" w:space="0" w:color="auto"/>
            </w:tcBorders>
            <w:vAlign w:val="center"/>
            <w:hideMark/>
          </w:tcPr>
          <w:p w14:paraId="56EBB25F" w14:textId="77777777" w:rsidR="00081708" w:rsidRPr="008D2838" w:rsidRDefault="00081708" w:rsidP="00081708">
            <w:pPr>
              <w:jc w:val="both"/>
              <w:rPr>
                <w:rFonts w:ascii="Arial" w:hAnsi="Arial" w:cs="Arial"/>
                <w:color w:val="000000"/>
                <w:sz w:val="18"/>
                <w:szCs w:val="18"/>
                <w:lang w:val="es-CO"/>
              </w:rPr>
            </w:pPr>
            <w:r w:rsidRPr="008D2838">
              <w:rPr>
                <w:rFonts w:ascii="Arial" w:hAnsi="Arial" w:cs="Arial"/>
                <w:color w:val="000000"/>
                <w:sz w:val="18"/>
                <w:szCs w:val="18"/>
                <w:lang w:val="es-CO"/>
              </w:rPr>
              <w:t>Isaac Moreno Mosquera</w:t>
            </w:r>
          </w:p>
        </w:tc>
        <w:tc>
          <w:tcPr>
            <w:tcW w:w="1767" w:type="pct"/>
            <w:tcBorders>
              <w:top w:val="nil"/>
              <w:left w:val="nil"/>
              <w:bottom w:val="single" w:sz="4" w:space="0" w:color="auto"/>
              <w:right w:val="single" w:sz="4" w:space="0" w:color="auto"/>
            </w:tcBorders>
            <w:vAlign w:val="center"/>
            <w:hideMark/>
          </w:tcPr>
          <w:p w14:paraId="2B26D8C7" w14:textId="77777777" w:rsidR="00081708" w:rsidRPr="008D2838" w:rsidRDefault="00081708" w:rsidP="00081708">
            <w:pPr>
              <w:jc w:val="both"/>
              <w:rPr>
                <w:rFonts w:ascii="Arial" w:hAnsi="Arial" w:cs="Arial"/>
                <w:color w:val="000000"/>
                <w:sz w:val="18"/>
                <w:szCs w:val="18"/>
                <w:lang w:val="es-CO"/>
              </w:rPr>
            </w:pPr>
            <w:r w:rsidRPr="008D2838">
              <w:rPr>
                <w:rFonts w:ascii="Arial" w:hAnsi="Arial" w:cs="Arial"/>
                <w:color w:val="000000"/>
                <w:sz w:val="18"/>
                <w:szCs w:val="18"/>
                <w:lang w:val="es-CO"/>
              </w:rPr>
              <w:t>Cancelación Sentencia No. 133 del 23 de julio del 2014</w:t>
            </w:r>
          </w:p>
        </w:tc>
        <w:tc>
          <w:tcPr>
            <w:tcW w:w="587" w:type="pct"/>
            <w:tcBorders>
              <w:top w:val="nil"/>
              <w:left w:val="nil"/>
              <w:bottom w:val="single" w:sz="4" w:space="0" w:color="auto"/>
              <w:right w:val="single" w:sz="4" w:space="0" w:color="auto"/>
            </w:tcBorders>
            <w:vAlign w:val="center"/>
            <w:hideMark/>
          </w:tcPr>
          <w:p w14:paraId="0C572436" w14:textId="77777777" w:rsidR="00081708" w:rsidRPr="008D2838" w:rsidRDefault="00081708" w:rsidP="00081708">
            <w:pPr>
              <w:jc w:val="right"/>
              <w:rPr>
                <w:rFonts w:ascii="Arial" w:hAnsi="Arial" w:cs="Arial"/>
                <w:color w:val="000000"/>
                <w:sz w:val="18"/>
                <w:szCs w:val="18"/>
                <w:lang w:val="es-CO"/>
              </w:rPr>
            </w:pPr>
            <w:r w:rsidRPr="008D2838">
              <w:rPr>
                <w:rFonts w:ascii="Arial" w:hAnsi="Arial" w:cs="Arial"/>
                <w:color w:val="000000"/>
                <w:sz w:val="18"/>
                <w:szCs w:val="18"/>
                <w:lang w:val="es-CO"/>
              </w:rPr>
              <w:t>243</w:t>
            </w:r>
          </w:p>
        </w:tc>
      </w:tr>
      <w:tr w:rsidR="00081708" w:rsidRPr="008D2838" w14:paraId="0F4C4F1F" w14:textId="77777777" w:rsidTr="00081708">
        <w:trPr>
          <w:trHeight w:val="20"/>
        </w:trPr>
        <w:tc>
          <w:tcPr>
            <w:tcW w:w="726" w:type="pct"/>
            <w:tcBorders>
              <w:top w:val="nil"/>
              <w:left w:val="single" w:sz="4" w:space="0" w:color="auto"/>
              <w:bottom w:val="single" w:sz="4" w:space="0" w:color="auto"/>
              <w:right w:val="single" w:sz="4" w:space="0" w:color="auto"/>
            </w:tcBorders>
            <w:vAlign w:val="center"/>
            <w:hideMark/>
          </w:tcPr>
          <w:p w14:paraId="69916F75" w14:textId="77777777" w:rsidR="00081708" w:rsidRPr="008D2838" w:rsidRDefault="00081708" w:rsidP="00081708">
            <w:pPr>
              <w:jc w:val="both"/>
              <w:rPr>
                <w:rFonts w:ascii="Arial" w:hAnsi="Arial" w:cs="Arial"/>
                <w:b/>
                <w:bCs/>
                <w:color w:val="000000"/>
                <w:sz w:val="18"/>
                <w:szCs w:val="18"/>
                <w:lang w:val="es-CO"/>
              </w:rPr>
            </w:pPr>
            <w:r w:rsidRPr="008D2838">
              <w:rPr>
                <w:rFonts w:ascii="Arial" w:hAnsi="Arial" w:cs="Arial"/>
                <w:b/>
                <w:bCs/>
                <w:color w:val="000000"/>
                <w:sz w:val="18"/>
                <w:szCs w:val="18"/>
                <w:lang w:val="es-CO"/>
              </w:rPr>
              <w:t>3397</w:t>
            </w:r>
          </w:p>
        </w:tc>
        <w:tc>
          <w:tcPr>
            <w:tcW w:w="476" w:type="pct"/>
            <w:tcBorders>
              <w:top w:val="nil"/>
              <w:left w:val="nil"/>
              <w:bottom w:val="single" w:sz="4" w:space="0" w:color="auto"/>
              <w:right w:val="single" w:sz="4" w:space="0" w:color="auto"/>
            </w:tcBorders>
            <w:vAlign w:val="center"/>
            <w:hideMark/>
          </w:tcPr>
          <w:p w14:paraId="0B6DD078" w14:textId="77777777" w:rsidR="00081708" w:rsidRPr="008D2838" w:rsidRDefault="00081708" w:rsidP="00081708">
            <w:pPr>
              <w:jc w:val="both"/>
              <w:rPr>
                <w:rFonts w:ascii="Arial" w:hAnsi="Arial" w:cs="Arial"/>
                <w:color w:val="000000"/>
                <w:sz w:val="18"/>
                <w:szCs w:val="18"/>
                <w:lang w:val="es-CO"/>
              </w:rPr>
            </w:pPr>
            <w:r w:rsidRPr="008D2838">
              <w:rPr>
                <w:rFonts w:ascii="Arial" w:hAnsi="Arial" w:cs="Arial"/>
                <w:color w:val="000000"/>
                <w:sz w:val="18"/>
                <w:szCs w:val="18"/>
                <w:lang w:val="es-CO"/>
              </w:rPr>
              <w:t>30/12/16</w:t>
            </w:r>
          </w:p>
        </w:tc>
        <w:tc>
          <w:tcPr>
            <w:tcW w:w="1444" w:type="pct"/>
            <w:tcBorders>
              <w:top w:val="nil"/>
              <w:left w:val="nil"/>
              <w:bottom w:val="single" w:sz="4" w:space="0" w:color="auto"/>
              <w:right w:val="single" w:sz="4" w:space="0" w:color="auto"/>
            </w:tcBorders>
            <w:vAlign w:val="center"/>
            <w:hideMark/>
          </w:tcPr>
          <w:p w14:paraId="0EE353D4" w14:textId="77777777" w:rsidR="00081708" w:rsidRPr="008D2838" w:rsidRDefault="00081708" w:rsidP="00081708">
            <w:pPr>
              <w:jc w:val="both"/>
              <w:rPr>
                <w:rFonts w:ascii="Arial" w:hAnsi="Arial" w:cs="Arial"/>
                <w:color w:val="000000"/>
                <w:sz w:val="18"/>
                <w:szCs w:val="18"/>
                <w:lang w:val="es-CO"/>
              </w:rPr>
            </w:pPr>
            <w:r w:rsidRPr="008D2838">
              <w:rPr>
                <w:rFonts w:ascii="Arial" w:hAnsi="Arial" w:cs="Arial"/>
                <w:color w:val="000000"/>
                <w:sz w:val="18"/>
                <w:szCs w:val="18"/>
                <w:lang w:val="es-CO"/>
              </w:rPr>
              <w:t>Luz Ernencia Arboleda Mosquera</w:t>
            </w:r>
          </w:p>
        </w:tc>
        <w:tc>
          <w:tcPr>
            <w:tcW w:w="1767" w:type="pct"/>
            <w:tcBorders>
              <w:top w:val="nil"/>
              <w:left w:val="nil"/>
              <w:bottom w:val="single" w:sz="4" w:space="0" w:color="auto"/>
              <w:right w:val="single" w:sz="4" w:space="0" w:color="auto"/>
            </w:tcBorders>
            <w:vAlign w:val="center"/>
            <w:hideMark/>
          </w:tcPr>
          <w:p w14:paraId="4213A363" w14:textId="77777777" w:rsidR="00081708" w:rsidRPr="008D2838" w:rsidRDefault="00081708" w:rsidP="00081708">
            <w:pPr>
              <w:jc w:val="both"/>
              <w:rPr>
                <w:rFonts w:ascii="Arial" w:hAnsi="Arial" w:cs="Arial"/>
                <w:color w:val="000000"/>
                <w:sz w:val="18"/>
                <w:szCs w:val="18"/>
                <w:lang w:val="es-CO"/>
              </w:rPr>
            </w:pPr>
            <w:r w:rsidRPr="008D2838">
              <w:rPr>
                <w:rFonts w:ascii="Arial" w:hAnsi="Arial" w:cs="Arial"/>
                <w:color w:val="000000"/>
                <w:sz w:val="18"/>
                <w:szCs w:val="18"/>
                <w:lang w:val="es-CO"/>
              </w:rPr>
              <w:t>Cancelación Sentencia No. 145 del 25 de agosto.</w:t>
            </w:r>
          </w:p>
        </w:tc>
        <w:tc>
          <w:tcPr>
            <w:tcW w:w="587" w:type="pct"/>
            <w:tcBorders>
              <w:top w:val="nil"/>
              <w:left w:val="nil"/>
              <w:bottom w:val="single" w:sz="4" w:space="0" w:color="auto"/>
              <w:right w:val="single" w:sz="4" w:space="0" w:color="auto"/>
            </w:tcBorders>
            <w:vAlign w:val="center"/>
            <w:hideMark/>
          </w:tcPr>
          <w:p w14:paraId="066FEFB9" w14:textId="77777777" w:rsidR="00081708" w:rsidRPr="008D2838" w:rsidRDefault="00081708" w:rsidP="00081708">
            <w:pPr>
              <w:jc w:val="right"/>
              <w:rPr>
                <w:rFonts w:ascii="Arial" w:hAnsi="Arial" w:cs="Arial"/>
                <w:color w:val="000000"/>
                <w:sz w:val="18"/>
                <w:szCs w:val="18"/>
                <w:lang w:val="es-CO"/>
              </w:rPr>
            </w:pPr>
            <w:r w:rsidRPr="008D2838">
              <w:rPr>
                <w:rFonts w:ascii="Arial" w:hAnsi="Arial" w:cs="Arial"/>
                <w:color w:val="000000"/>
                <w:sz w:val="18"/>
                <w:szCs w:val="18"/>
                <w:lang w:val="es-CO"/>
              </w:rPr>
              <w:t>266</w:t>
            </w:r>
          </w:p>
        </w:tc>
      </w:tr>
      <w:tr w:rsidR="00081708" w:rsidRPr="008D2838" w14:paraId="35ED605B" w14:textId="77777777" w:rsidTr="00081708">
        <w:trPr>
          <w:trHeight w:val="20"/>
        </w:trPr>
        <w:tc>
          <w:tcPr>
            <w:tcW w:w="726" w:type="pct"/>
            <w:tcBorders>
              <w:top w:val="nil"/>
              <w:left w:val="single" w:sz="4" w:space="0" w:color="auto"/>
              <w:bottom w:val="single" w:sz="4" w:space="0" w:color="auto"/>
              <w:right w:val="single" w:sz="4" w:space="0" w:color="auto"/>
            </w:tcBorders>
            <w:vAlign w:val="center"/>
            <w:hideMark/>
          </w:tcPr>
          <w:p w14:paraId="7D84139A" w14:textId="77777777" w:rsidR="00081708" w:rsidRPr="008D2838" w:rsidRDefault="00081708" w:rsidP="00081708">
            <w:pPr>
              <w:jc w:val="both"/>
              <w:rPr>
                <w:rFonts w:ascii="Arial" w:hAnsi="Arial" w:cs="Arial"/>
                <w:b/>
                <w:bCs/>
                <w:color w:val="000000"/>
                <w:sz w:val="18"/>
                <w:szCs w:val="18"/>
                <w:lang w:val="es-CO"/>
              </w:rPr>
            </w:pPr>
            <w:r w:rsidRPr="008D2838">
              <w:rPr>
                <w:rFonts w:ascii="Arial" w:hAnsi="Arial" w:cs="Arial"/>
                <w:b/>
                <w:bCs/>
                <w:color w:val="000000"/>
                <w:sz w:val="18"/>
                <w:szCs w:val="18"/>
                <w:lang w:val="es-CO"/>
              </w:rPr>
              <w:t>3398</w:t>
            </w:r>
          </w:p>
        </w:tc>
        <w:tc>
          <w:tcPr>
            <w:tcW w:w="476" w:type="pct"/>
            <w:tcBorders>
              <w:top w:val="nil"/>
              <w:left w:val="nil"/>
              <w:bottom w:val="single" w:sz="4" w:space="0" w:color="auto"/>
              <w:right w:val="single" w:sz="4" w:space="0" w:color="auto"/>
            </w:tcBorders>
            <w:vAlign w:val="center"/>
            <w:hideMark/>
          </w:tcPr>
          <w:p w14:paraId="4EF0F5C1" w14:textId="77777777" w:rsidR="00081708" w:rsidRPr="008D2838" w:rsidRDefault="00081708" w:rsidP="00081708">
            <w:pPr>
              <w:jc w:val="both"/>
              <w:rPr>
                <w:rFonts w:ascii="Arial" w:hAnsi="Arial" w:cs="Arial"/>
                <w:color w:val="000000"/>
                <w:sz w:val="18"/>
                <w:szCs w:val="18"/>
                <w:lang w:val="es-CO"/>
              </w:rPr>
            </w:pPr>
            <w:r w:rsidRPr="008D2838">
              <w:rPr>
                <w:rFonts w:ascii="Arial" w:hAnsi="Arial" w:cs="Arial"/>
                <w:color w:val="000000"/>
                <w:sz w:val="18"/>
                <w:szCs w:val="18"/>
                <w:lang w:val="es-CO"/>
              </w:rPr>
              <w:t>30/12/16</w:t>
            </w:r>
          </w:p>
        </w:tc>
        <w:tc>
          <w:tcPr>
            <w:tcW w:w="1444" w:type="pct"/>
            <w:tcBorders>
              <w:top w:val="nil"/>
              <w:left w:val="nil"/>
              <w:bottom w:val="single" w:sz="4" w:space="0" w:color="auto"/>
              <w:right w:val="single" w:sz="4" w:space="0" w:color="auto"/>
            </w:tcBorders>
            <w:vAlign w:val="center"/>
            <w:hideMark/>
          </w:tcPr>
          <w:p w14:paraId="0D10BBDE" w14:textId="77777777" w:rsidR="00081708" w:rsidRPr="008D2838" w:rsidRDefault="00081708" w:rsidP="00081708">
            <w:pPr>
              <w:jc w:val="both"/>
              <w:rPr>
                <w:rFonts w:ascii="Arial" w:hAnsi="Arial" w:cs="Arial"/>
                <w:color w:val="000000"/>
                <w:sz w:val="18"/>
                <w:szCs w:val="18"/>
                <w:lang w:val="es-CO"/>
              </w:rPr>
            </w:pPr>
            <w:r w:rsidRPr="008D2838">
              <w:rPr>
                <w:rFonts w:ascii="Arial" w:hAnsi="Arial" w:cs="Arial"/>
                <w:color w:val="000000"/>
                <w:sz w:val="18"/>
                <w:szCs w:val="18"/>
                <w:lang w:val="es-CO"/>
              </w:rPr>
              <w:t>Marineda Barrios Peroza</w:t>
            </w:r>
          </w:p>
        </w:tc>
        <w:tc>
          <w:tcPr>
            <w:tcW w:w="1767" w:type="pct"/>
            <w:tcBorders>
              <w:top w:val="nil"/>
              <w:left w:val="nil"/>
              <w:bottom w:val="single" w:sz="4" w:space="0" w:color="auto"/>
              <w:right w:val="single" w:sz="4" w:space="0" w:color="auto"/>
            </w:tcBorders>
            <w:vAlign w:val="center"/>
            <w:hideMark/>
          </w:tcPr>
          <w:p w14:paraId="5603E374" w14:textId="77777777" w:rsidR="00081708" w:rsidRPr="008D2838" w:rsidRDefault="00081708" w:rsidP="00081708">
            <w:pPr>
              <w:jc w:val="both"/>
              <w:rPr>
                <w:rFonts w:ascii="Arial" w:hAnsi="Arial" w:cs="Arial"/>
                <w:color w:val="000000"/>
                <w:sz w:val="18"/>
                <w:szCs w:val="18"/>
                <w:lang w:val="es-CO"/>
              </w:rPr>
            </w:pPr>
            <w:r w:rsidRPr="008D2838">
              <w:rPr>
                <w:rFonts w:ascii="Arial" w:hAnsi="Arial" w:cs="Arial"/>
                <w:color w:val="000000"/>
                <w:sz w:val="18"/>
                <w:szCs w:val="18"/>
                <w:lang w:val="es-CO"/>
              </w:rPr>
              <w:t>Cancelación Sentencia No. 028 del 15 de noviembre del 2013.</w:t>
            </w:r>
          </w:p>
        </w:tc>
        <w:tc>
          <w:tcPr>
            <w:tcW w:w="587" w:type="pct"/>
            <w:tcBorders>
              <w:top w:val="nil"/>
              <w:left w:val="nil"/>
              <w:bottom w:val="single" w:sz="4" w:space="0" w:color="auto"/>
              <w:right w:val="single" w:sz="4" w:space="0" w:color="auto"/>
            </w:tcBorders>
            <w:vAlign w:val="center"/>
            <w:hideMark/>
          </w:tcPr>
          <w:p w14:paraId="6E39AEA2" w14:textId="77777777" w:rsidR="00081708" w:rsidRPr="008D2838" w:rsidRDefault="00081708" w:rsidP="00081708">
            <w:pPr>
              <w:jc w:val="right"/>
              <w:rPr>
                <w:rFonts w:ascii="Arial" w:hAnsi="Arial" w:cs="Arial"/>
                <w:color w:val="000000"/>
                <w:sz w:val="18"/>
                <w:szCs w:val="18"/>
                <w:lang w:val="es-CO"/>
              </w:rPr>
            </w:pPr>
            <w:r w:rsidRPr="008D2838">
              <w:rPr>
                <w:rFonts w:ascii="Arial" w:hAnsi="Arial" w:cs="Arial"/>
                <w:color w:val="000000"/>
                <w:sz w:val="18"/>
                <w:szCs w:val="18"/>
                <w:lang w:val="es-CO"/>
              </w:rPr>
              <w:t>344</w:t>
            </w:r>
          </w:p>
        </w:tc>
      </w:tr>
      <w:tr w:rsidR="00081708" w:rsidRPr="008D2838" w14:paraId="6872C3DC" w14:textId="77777777" w:rsidTr="00081708">
        <w:trPr>
          <w:trHeight w:val="20"/>
        </w:trPr>
        <w:tc>
          <w:tcPr>
            <w:tcW w:w="726" w:type="pct"/>
            <w:tcBorders>
              <w:top w:val="nil"/>
              <w:left w:val="single" w:sz="4" w:space="0" w:color="auto"/>
              <w:bottom w:val="single" w:sz="4" w:space="0" w:color="auto"/>
              <w:right w:val="single" w:sz="4" w:space="0" w:color="auto"/>
            </w:tcBorders>
            <w:vAlign w:val="center"/>
            <w:hideMark/>
          </w:tcPr>
          <w:p w14:paraId="6E966549" w14:textId="77777777" w:rsidR="00081708" w:rsidRPr="008D2838" w:rsidRDefault="00081708" w:rsidP="00081708">
            <w:pPr>
              <w:rPr>
                <w:rFonts w:ascii="Arial" w:hAnsi="Arial" w:cs="Arial"/>
                <w:b/>
                <w:bCs/>
                <w:color w:val="000000"/>
                <w:sz w:val="18"/>
                <w:szCs w:val="18"/>
                <w:lang w:val="es-CO"/>
              </w:rPr>
            </w:pPr>
            <w:r w:rsidRPr="008D2838">
              <w:rPr>
                <w:rFonts w:ascii="Arial" w:hAnsi="Arial" w:cs="Arial"/>
                <w:b/>
                <w:bCs/>
                <w:color w:val="000000"/>
                <w:sz w:val="18"/>
                <w:szCs w:val="18"/>
                <w:lang w:val="es-CO"/>
              </w:rPr>
              <w:t>3310</w:t>
            </w:r>
          </w:p>
        </w:tc>
        <w:tc>
          <w:tcPr>
            <w:tcW w:w="476" w:type="pct"/>
            <w:tcBorders>
              <w:top w:val="nil"/>
              <w:left w:val="nil"/>
              <w:bottom w:val="single" w:sz="4" w:space="0" w:color="auto"/>
              <w:right w:val="single" w:sz="4" w:space="0" w:color="auto"/>
            </w:tcBorders>
            <w:vAlign w:val="center"/>
            <w:hideMark/>
          </w:tcPr>
          <w:p w14:paraId="1AB8A6BF" w14:textId="77777777" w:rsidR="00081708" w:rsidRPr="008D2838" w:rsidRDefault="00081708" w:rsidP="00081708">
            <w:pPr>
              <w:jc w:val="right"/>
              <w:rPr>
                <w:rFonts w:ascii="Arial" w:hAnsi="Arial" w:cs="Arial"/>
                <w:color w:val="000000"/>
                <w:sz w:val="18"/>
                <w:szCs w:val="18"/>
                <w:lang w:val="es-CO"/>
              </w:rPr>
            </w:pPr>
            <w:r w:rsidRPr="008D2838">
              <w:rPr>
                <w:rFonts w:ascii="Arial" w:hAnsi="Arial" w:cs="Arial"/>
                <w:color w:val="000000"/>
                <w:sz w:val="18"/>
                <w:szCs w:val="18"/>
                <w:lang w:val="es-CO"/>
              </w:rPr>
              <w:t>27/12/16</w:t>
            </w:r>
          </w:p>
        </w:tc>
        <w:tc>
          <w:tcPr>
            <w:tcW w:w="1444" w:type="pct"/>
            <w:tcBorders>
              <w:top w:val="nil"/>
              <w:left w:val="nil"/>
              <w:bottom w:val="single" w:sz="4" w:space="0" w:color="auto"/>
              <w:right w:val="single" w:sz="4" w:space="0" w:color="auto"/>
            </w:tcBorders>
            <w:vAlign w:val="center"/>
            <w:hideMark/>
          </w:tcPr>
          <w:p w14:paraId="38E19F5D"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Luz Ernencia Arboleda Mosquera</w:t>
            </w:r>
          </w:p>
        </w:tc>
        <w:tc>
          <w:tcPr>
            <w:tcW w:w="1767" w:type="pct"/>
            <w:tcBorders>
              <w:top w:val="nil"/>
              <w:left w:val="nil"/>
              <w:bottom w:val="single" w:sz="4" w:space="0" w:color="auto"/>
              <w:right w:val="single" w:sz="4" w:space="0" w:color="auto"/>
            </w:tcBorders>
            <w:vAlign w:val="center"/>
            <w:hideMark/>
          </w:tcPr>
          <w:p w14:paraId="42AB928B"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Cancelación Sentencia No. 145 del 25 de agosto.</w:t>
            </w:r>
          </w:p>
        </w:tc>
        <w:tc>
          <w:tcPr>
            <w:tcW w:w="587" w:type="pct"/>
            <w:tcBorders>
              <w:top w:val="nil"/>
              <w:left w:val="nil"/>
              <w:bottom w:val="single" w:sz="4" w:space="0" w:color="auto"/>
              <w:right w:val="single" w:sz="4" w:space="0" w:color="auto"/>
            </w:tcBorders>
            <w:vAlign w:val="center"/>
            <w:hideMark/>
          </w:tcPr>
          <w:p w14:paraId="4B21BD94" w14:textId="77777777" w:rsidR="00081708" w:rsidRPr="008D2838" w:rsidRDefault="00081708" w:rsidP="00081708">
            <w:pPr>
              <w:jc w:val="right"/>
              <w:rPr>
                <w:rFonts w:ascii="Arial" w:hAnsi="Arial" w:cs="Arial"/>
                <w:color w:val="000000"/>
                <w:sz w:val="18"/>
                <w:szCs w:val="18"/>
                <w:lang w:val="es-CO"/>
              </w:rPr>
            </w:pPr>
            <w:r w:rsidRPr="008D2838">
              <w:rPr>
                <w:rFonts w:ascii="Arial" w:hAnsi="Arial" w:cs="Arial"/>
                <w:color w:val="000000"/>
                <w:sz w:val="18"/>
                <w:szCs w:val="18"/>
                <w:lang w:val="es-CO"/>
              </w:rPr>
              <w:t>30</w:t>
            </w:r>
          </w:p>
        </w:tc>
      </w:tr>
      <w:tr w:rsidR="00081708" w:rsidRPr="008D2838" w14:paraId="1DC14ABE" w14:textId="77777777" w:rsidTr="00081708">
        <w:trPr>
          <w:trHeight w:val="20"/>
        </w:trPr>
        <w:tc>
          <w:tcPr>
            <w:tcW w:w="4413" w:type="pct"/>
            <w:gridSpan w:val="4"/>
            <w:tcBorders>
              <w:top w:val="nil"/>
              <w:left w:val="single" w:sz="4" w:space="0" w:color="auto"/>
              <w:bottom w:val="single" w:sz="4" w:space="0" w:color="auto"/>
              <w:right w:val="single" w:sz="4" w:space="0" w:color="auto"/>
            </w:tcBorders>
            <w:shd w:val="clear" w:color="auto" w:fill="95B3D7" w:themeFill="accent1" w:themeFillTint="99"/>
            <w:noWrap/>
            <w:vAlign w:val="center"/>
            <w:hideMark/>
          </w:tcPr>
          <w:p w14:paraId="15D0BABF" w14:textId="77777777" w:rsidR="00081708" w:rsidRPr="008D2838" w:rsidRDefault="00081708" w:rsidP="00081708">
            <w:pPr>
              <w:jc w:val="center"/>
              <w:rPr>
                <w:rFonts w:ascii="Arial" w:hAnsi="Arial" w:cs="Arial"/>
                <w:b/>
                <w:bCs/>
                <w:color w:val="000000"/>
                <w:sz w:val="18"/>
                <w:szCs w:val="18"/>
                <w:lang w:val="es-CO"/>
              </w:rPr>
            </w:pPr>
            <w:r w:rsidRPr="008D2838">
              <w:rPr>
                <w:rFonts w:ascii="Arial" w:hAnsi="Arial" w:cs="Arial"/>
                <w:b/>
                <w:bCs/>
                <w:color w:val="000000"/>
                <w:sz w:val="18"/>
                <w:szCs w:val="18"/>
                <w:lang w:val="es-CO"/>
              </w:rPr>
              <w:t>TOTAL </w:t>
            </w:r>
          </w:p>
        </w:tc>
        <w:tc>
          <w:tcPr>
            <w:tcW w:w="587" w:type="pct"/>
            <w:tcBorders>
              <w:top w:val="nil"/>
              <w:left w:val="nil"/>
              <w:bottom w:val="single" w:sz="4" w:space="0" w:color="auto"/>
              <w:right w:val="single" w:sz="4" w:space="0" w:color="auto"/>
            </w:tcBorders>
            <w:shd w:val="clear" w:color="auto" w:fill="95B3D7" w:themeFill="accent1" w:themeFillTint="99"/>
            <w:vAlign w:val="center"/>
            <w:hideMark/>
          </w:tcPr>
          <w:p w14:paraId="0398F37A" w14:textId="77777777" w:rsidR="00081708" w:rsidRPr="008D2838" w:rsidRDefault="00081708" w:rsidP="00081708">
            <w:pPr>
              <w:jc w:val="right"/>
              <w:rPr>
                <w:rFonts w:ascii="Arial" w:hAnsi="Arial" w:cs="Arial"/>
                <w:b/>
                <w:bCs/>
                <w:color w:val="000000"/>
                <w:sz w:val="18"/>
                <w:szCs w:val="18"/>
                <w:lang w:val="es-CO"/>
              </w:rPr>
            </w:pPr>
            <w:r w:rsidRPr="008D2838">
              <w:rPr>
                <w:rFonts w:ascii="Arial" w:hAnsi="Arial" w:cs="Arial"/>
                <w:b/>
                <w:bCs/>
                <w:color w:val="000000"/>
                <w:sz w:val="18"/>
                <w:szCs w:val="18"/>
                <w:lang w:val="es-CO"/>
              </w:rPr>
              <w:t>1.105,1</w:t>
            </w:r>
          </w:p>
        </w:tc>
      </w:tr>
    </w:tbl>
    <w:p w14:paraId="1B5D1013" w14:textId="77777777" w:rsidR="00081708" w:rsidRPr="008D2838" w:rsidRDefault="00081708" w:rsidP="00081708">
      <w:pPr>
        <w:jc w:val="center"/>
        <w:rPr>
          <w:rFonts w:ascii="Arial" w:eastAsia="Times New Roman" w:hAnsi="Arial" w:cs="Arial"/>
          <w:sz w:val="16"/>
          <w:szCs w:val="22"/>
          <w:lang w:val="es-CO" w:eastAsia="es-MX"/>
        </w:rPr>
      </w:pPr>
      <w:r w:rsidRPr="008D2838">
        <w:rPr>
          <w:rFonts w:ascii="Arial" w:hAnsi="Arial" w:cs="Arial"/>
          <w:sz w:val="16"/>
          <w:szCs w:val="22"/>
          <w:lang w:val="es-CO"/>
        </w:rPr>
        <w:t>Fuente: Cálculos DAF órdenes de pago suministradas por el Distrito de Turbo - Antioquia</w:t>
      </w:r>
    </w:p>
    <w:p w14:paraId="5C3E7374" w14:textId="77777777" w:rsidR="00081708" w:rsidRPr="008D2838" w:rsidRDefault="00081708" w:rsidP="00081708">
      <w:pPr>
        <w:jc w:val="both"/>
        <w:rPr>
          <w:rFonts w:ascii="Arial" w:hAnsi="Arial" w:cs="Arial"/>
          <w:sz w:val="22"/>
          <w:szCs w:val="22"/>
          <w:lang w:val="es-CO"/>
        </w:rPr>
      </w:pPr>
    </w:p>
    <w:p w14:paraId="62E01F13"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lastRenderedPageBreak/>
        <w:t xml:space="preserve">En ese sentido, mediante comunicación del Ministerio de Educación Nacional radicada con el No. 1-2018-022545 del 12 de marzo de 2018, dicha entidad informa que </w:t>
      </w:r>
      <w:r w:rsidRPr="008D2838">
        <w:rPr>
          <w:rFonts w:ascii="Arial" w:hAnsi="Arial" w:cs="Arial"/>
          <w:i/>
          <w:sz w:val="22"/>
          <w:szCs w:val="22"/>
          <w:lang w:val="es-CO"/>
        </w:rPr>
        <w:t xml:space="preserve">“con recursos del balance del SGP Educación la entidad financia el pago de sentencias y conciliaciones por concepto de reintegros de 5 funcionarios a la secretaría de educación que según documento asciende a $1.137 millones, valor que debe ser financiado con otra fuente de recursos”. </w:t>
      </w:r>
      <w:r w:rsidRPr="008D2838">
        <w:rPr>
          <w:rFonts w:ascii="Arial" w:hAnsi="Arial" w:cs="Arial"/>
          <w:iCs/>
          <w:sz w:val="22"/>
          <w:szCs w:val="22"/>
          <w:lang w:val="es-CO"/>
        </w:rPr>
        <w:t>L</w:t>
      </w:r>
      <w:r w:rsidRPr="008D2838">
        <w:rPr>
          <w:rFonts w:ascii="Arial" w:hAnsi="Arial" w:cs="Arial"/>
          <w:sz w:val="22"/>
          <w:szCs w:val="22"/>
          <w:lang w:val="es-CO"/>
        </w:rPr>
        <w:t>a Entidad Territorial financió pagos por concepto de sentencias y conciliaciones con los recursos del SGP sin la debida autorización, durante las vigencias 2016 y 2017.</w:t>
      </w:r>
    </w:p>
    <w:p w14:paraId="4B15185C" w14:textId="77777777" w:rsidR="00081708" w:rsidRPr="008D2838" w:rsidRDefault="00081708" w:rsidP="00081708">
      <w:pPr>
        <w:jc w:val="both"/>
        <w:rPr>
          <w:rFonts w:ascii="Arial" w:hAnsi="Arial" w:cs="Arial"/>
          <w:sz w:val="22"/>
          <w:szCs w:val="22"/>
          <w:lang w:val="es-CO"/>
        </w:rPr>
      </w:pPr>
    </w:p>
    <w:p w14:paraId="03544FF3"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 xml:space="preserve">No obstante, como resultado del análisis realizado, se identificaron casos en los que se presentó un cambio en la destinación de los recursos; como, el pago de actividades deportivas y de bienestar laboral de los docentes y directivos con recursos del SGP Educación, por lo que se configuró el respectivo evento de riesgo en el apartado siguiente. Por el contrario, la financiación de sentencias y conciliaciones con recursos del Sistema General de Participaciones no se configuró como evento de riesgo toda vez que esta situación no persiste de acuerdo con la certificación emitida por la Tesorería distrital, </w:t>
      </w:r>
      <w:r w:rsidR="00012B51">
        <w:rPr>
          <w:rFonts w:ascii="Arial" w:hAnsi="Arial" w:cs="Arial"/>
          <w:sz w:val="22"/>
          <w:szCs w:val="22"/>
          <w:lang w:val="es-CO"/>
        </w:rPr>
        <w:t xml:space="preserve">según la cual </w:t>
      </w:r>
      <w:r w:rsidRPr="008D2838">
        <w:rPr>
          <w:rFonts w:ascii="Arial" w:hAnsi="Arial" w:cs="Arial"/>
          <w:sz w:val="22"/>
          <w:szCs w:val="22"/>
          <w:lang w:val="es-CO"/>
        </w:rPr>
        <w:t>durante las vigencias 2021 y 2022 no se realizaron pagos por concepto de sentencia y/o conciliaciones judiciales con cargo a los recursos del SGP Educación.</w:t>
      </w:r>
    </w:p>
    <w:p w14:paraId="548BDE8A" w14:textId="77777777" w:rsidR="00081708" w:rsidRPr="008D2838" w:rsidRDefault="00081708" w:rsidP="00081708">
      <w:pPr>
        <w:contextualSpacing/>
        <w:jc w:val="both"/>
        <w:textAlignment w:val="baseline"/>
        <w:rPr>
          <w:rFonts w:ascii="Arial" w:eastAsia="MS Gothic" w:hAnsi="Arial" w:cs="Arial"/>
          <w:lang w:val="es-CO" w:eastAsia="es-ES_tradnl"/>
        </w:rPr>
      </w:pPr>
    </w:p>
    <w:p w14:paraId="14E535FF" w14:textId="77777777" w:rsidR="00081708" w:rsidRPr="008D2838" w:rsidRDefault="00081708" w:rsidP="00081708">
      <w:pPr>
        <w:numPr>
          <w:ilvl w:val="0"/>
          <w:numId w:val="4"/>
        </w:numPr>
        <w:ind w:left="426" w:hanging="426"/>
        <w:contextualSpacing/>
        <w:jc w:val="both"/>
        <w:rPr>
          <w:rFonts w:ascii="Arial" w:eastAsia="Calibri" w:hAnsi="Arial" w:cs="Arial"/>
          <w:b/>
          <w:i/>
          <w:sz w:val="22"/>
          <w:szCs w:val="22"/>
          <w:u w:val="single"/>
          <w:lang w:val="es-CO" w:eastAsia="en-US"/>
        </w:rPr>
      </w:pPr>
      <w:r w:rsidRPr="008D2838">
        <w:rPr>
          <w:rFonts w:ascii="Arial" w:eastAsia="Calibri" w:hAnsi="Arial" w:cs="Arial"/>
          <w:b/>
          <w:i/>
          <w:sz w:val="22"/>
          <w:szCs w:val="22"/>
          <w:u w:val="single"/>
          <w:lang w:val="es-CO" w:eastAsia="en-US"/>
        </w:rPr>
        <w:t>Inconsistencias en la información del Directorio Único de Establecimientos - DUE</w:t>
      </w:r>
    </w:p>
    <w:p w14:paraId="3855244B" w14:textId="77777777" w:rsidR="00081708" w:rsidRPr="008D2838" w:rsidRDefault="00081708" w:rsidP="00081708">
      <w:pPr>
        <w:contextualSpacing/>
        <w:jc w:val="both"/>
        <w:rPr>
          <w:rFonts w:ascii="Arial" w:eastAsia="Times New Roman" w:hAnsi="Arial" w:cs="Arial"/>
          <w:color w:val="000000"/>
          <w:sz w:val="22"/>
          <w:szCs w:val="22"/>
          <w:lang w:val="es-CO" w:eastAsia="en-US" w:bidi="he-IL"/>
        </w:rPr>
      </w:pPr>
    </w:p>
    <w:p w14:paraId="355E34FA" w14:textId="77777777" w:rsidR="00081708" w:rsidRPr="008D2838" w:rsidRDefault="00081708" w:rsidP="00081708">
      <w:pPr>
        <w:contextualSpacing/>
        <w:jc w:val="both"/>
        <w:rPr>
          <w:rFonts w:ascii="Arial" w:eastAsia="Times New Roman" w:hAnsi="Arial" w:cs="Arial"/>
          <w:color w:val="000000" w:themeColor="text1"/>
          <w:sz w:val="22"/>
          <w:szCs w:val="22"/>
          <w:lang w:val="es-CO" w:eastAsia="en-US" w:bidi="he-IL"/>
        </w:rPr>
      </w:pPr>
      <w:r w:rsidRPr="008D2838">
        <w:rPr>
          <w:rFonts w:ascii="Arial" w:eastAsia="Times New Roman" w:hAnsi="Arial" w:cs="Arial"/>
          <w:color w:val="000000"/>
          <w:sz w:val="22"/>
          <w:szCs w:val="22"/>
          <w:lang w:val="es-CO" w:eastAsia="en-US" w:bidi="he-IL"/>
        </w:rPr>
        <w:t xml:space="preserve">En ejercicio de sus competencias, el Ministerio de Educación Nacional realiza nueve diferentes validaciones trimestrales </w:t>
      </w:r>
      <w:r w:rsidRPr="008D2838">
        <w:rPr>
          <w:rFonts w:ascii="Arial" w:eastAsia="Times New Roman" w:hAnsi="Arial" w:cs="Arial"/>
          <w:color w:val="000000" w:themeColor="text1"/>
          <w:sz w:val="22"/>
          <w:szCs w:val="22"/>
          <w:lang w:val="es-CO" w:eastAsia="en-US" w:bidi="he-IL"/>
        </w:rPr>
        <w:t>sobre la información reportada en los sistemas de información DUE-SIMAT-SINEB (Humano) por parte de las Entidades Territoriales Certificadas en Educación. En ese sentido, de acuerdo con el reporte de dicho Ministerio, en la vigencia 2019, con corte a abril se identificaron 13 inconsistencias en los reportes de información y a agosto y noviembre se identificaron 9.</w:t>
      </w:r>
    </w:p>
    <w:p w14:paraId="7A232B97" w14:textId="77777777" w:rsidR="00081708" w:rsidRPr="008D2838" w:rsidRDefault="00081708" w:rsidP="00081708">
      <w:pPr>
        <w:contextualSpacing/>
        <w:jc w:val="both"/>
        <w:rPr>
          <w:rFonts w:ascii="Arial" w:eastAsia="Times New Roman" w:hAnsi="Arial" w:cs="Arial"/>
          <w:color w:val="000000" w:themeColor="text1"/>
          <w:sz w:val="22"/>
          <w:szCs w:val="22"/>
          <w:lang w:val="es-CO" w:eastAsia="en-US" w:bidi="he-IL"/>
        </w:rPr>
      </w:pPr>
    </w:p>
    <w:p w14:paraId="324C38B7" w14:textId="77777777" w:rsidR="00081708" w:rsidRPr="008D2838" w:rsidRDefault="00081708" w:rsidP="00081708">
      <w:pPr>
        <w:contextualSpacing/>
        <w:jc w:val="both"/>
        <w:rPr>
          <w:rFonts w:ascii="Arial" w:eastAsia="Times New Roman" w:hAnsi="Arial" w:cs="Arial"/>
          <w:color w:val="000000" w:themeColor="text1"/>
          <w:sz w:val="22"/>
          <w:szCs w:val="22"/>
          <w:lang w:val="es-CO" w:eastAsia="en-US" w:bidi="he-IL"/>
        </w:rPr>
      </w:pPr>
      <w:r w:rsidRPr="008D2838">
        <w:rPr>
          <w:rFonts w:ascii="Arial" w:eastAsia="Times New Roman" w:hAnsi="Arial" w:cs="Arial"/>
          <w:color w:val="000000" w:themeColor="text1"/>
          <w:sz w:val="22"/>
          <w:szCs w:val="22"/>
          <w:lang w:val="es-CO" w:eastAsia="en-US" w:bidi="he-IL"/>
        </w:rPr>
        <w:t xml:space="preserve">Adicionalmente, mediante el oficio con radicado </w:t>
      </w:r>
      <w:r w:rsidRPr="008D2838">
        <w:rPr>
          <w:rFonts w:ascii="Arial" w:eastAsia="Times New Roman" w:hAnsi="Arial" w:cs="Arial"/>
          <w:color w:val="000000"/>
          <w:sz w:val="22"/>
          <w:szCs w:val="22"/>
          <w:lang w:val="es-CO" w:eastAsia="en-US" w:bidi="he-IL"/>
        </w:rPr>
        <w:t>No.1-2021-075798 del 31 de agosto de 2021 el Distrito de Turbo – Antioquia remitió el reporte de las validaciones con corte a julio de 2021, en el que se identificaron 14 inconsistencias en la información.</w:t>
      </w:r>
      <w:r w:rsidR="00012B51">
        <w:rPr>
          <w:rFonts w:ascii="Arial" w:eastAsia="Times New Roman" w:hAnsi="Arial" w:cs="Arial"/>
          <w:color w:val="000000"/>
          <w:sz w:val="22"/>
          <w:szCs w:val="22"/>
          <w:lang w:val="es-CO" w:eastAsia="en-US" w:bidi="he-IL"/>
        </w:rPr>
        <w:t xml:space="preserve"> </w:t>
      </w:r>
      <w:r w:rsidR="00873D80">
        <w:rPr>
          <w:rFonts w:ascii="Arial" w:eastAsia="Times New Roman" w:hAnsi="Arial" w:cs="Arial"/>
          <w:color w:val="000000"/>
          <w:sz w:val="22"/>
          <w:szCs w:val="22"/>
          <w:lang w:val="es-CO" w:eastAsia="en-US" w:bidi="he-IL"/>
        </w:rPr>
        <w:t>E</w:t>
      </w:r>
      <w:r w:rsidR="00012B51">
        <w:rPr>
          <w:rFonts w:ascii="Arial" w:eastAsia="Times New Roman" w:hAnsi="Arial" w:cs="Arial"/>
          <w:color w:val="000000"/>
          <w:sz w:val="22"/>
          <w:szCs w:val="22"/>
          <w:lang w:val="es-CO" w:eastAsia="en-US" w:bidi="he-IL"/>
        </w:rPr>
        <w:t>n el reporte a julio de 2022 remitido por el Ministerio de Educación Nacional</w:t>
      </w:r>
      <w:r w:rsidR="00873D80">
        <w:rPr>
          <w:rFonts w:ascii="Arial" w:eastAsia="Times New Roman" w:hAnsi="Arial" w:cs="Arial"/>
          <w:color w:val="000000"/>
          <w:sz w:val="22"/>
          <w:szCs w:val="22"/>
          <w:lang w:val="es-CO" w:eastAsia="en-US" w:bidi="he-IL"/>
        </w:rPr>
        <w:t>, se evidencian 35 datos no válidos</w:t>
      </w:r>
      <w:r w:rsidR="00012B51">
        <w:rPr>
          <w:rFonts w:ascii="Arial" w:eastAsia="Times New Roman" w:hAnsi="Arial" w:cs="Arial"/>
          <w:color w:val="000000"/>
          <w:sz w:val="22"/>
          <w:szCs w:val="22"/>
          <w:lang w:val="es-CO" w:eastAsia="en-US" w:bidi="he-IL"/>
        </w:rPr>
        <w:t>.</w:t>
      </w:r>
    </w:p>
    <w:p w14:paraId="31289DDF" w14:textId="77777777" w:rsidR="00081708" w:rsidRPr="008D2838" w:rsidRDefault="00081708" w:rsidP="00081708">
      <w:pPr>
        <w:contextualSpacing/>
        <w:jc w:val="both"/>
        <w:rPr>
          <w:rFonts w:ascii="Arial" w:eastAsia="Times New Roman" w:hAnsi="Arial" w:cs="Arial"/>
          <w:color w:val="000000" w:themeColor="text1"/>
          <w:sz w:val="22"/>
          <w:szCs w:val="22"/>
          <w:lang w:val="es-CO" w:eastAsia="en-US" w:bidi="he-IL"/>
        </w:rPr>
      </w:pPr>
    </w:p>
    <w:p w14:paraId="7E3D423C" w14:textId="77777777" w:rsidR="00081708" w:rsidRPr="008D2838" w:rsidRDefault="00081708" w:rsidP="00081708">
      <w:pPr>
        <w:numPr>
          <w:ilvl w:val="0"/>
          <w:numId w:val="4"/>
        </w:numPr>
        <w:ind w:left="426" w:hanging="426"/>
        <w:contextualSpacing/>
        <w:jc w:val="both"/>
        <w:rPr>
          <w:rFonts w:ascii="Arial" w:eastAsia="Calibri" w:hAnsi="Arial" w:cs="Arial"/>
          <w:b/>
          <w:i/>
          <w:sz w:val="22"/>
          <w:szCs w:val="22"/>
          <w:u w:val="single"/>
          <w:lang w:val="es-CO" w:eastAsia="en-US"/>
        </w:rPr>
      </w:pPr>
      <w:r w:rsidRPr="008D2838">
        <w:rPr>
          <w:rFonts w:ascii="Arial" w:eastAsia="Calibri" w:hAnsi="Arial" w:cs="Arial"/>
          <w:b/>
          <w:i/>
          <w:sz w:val="22"/>
          <w:szCs w:val="22"/>
          <w:u w:val="single"/>
          <w:lang w:val="es-CO" w:eastAsia="en-US"/>
        </w:rPr>
        <w:t>Expedición tardía de los actos administrativos de distribución de planta de las vigencias 2018 y 2019.</w:t>
      </w:r>
    </w:p>
    <w:p w14:paraId="0F22E9EA" w14:textId="77777777" w:rsidR="00081708" w:rsidRPr="008D2838" w:rsidRDefault="00081708" w:rsidP="00081708">
      <w:pPr>
        <w:jc w:val="both"/>
        <w:rPr>
          <w:rFonts w:ascii="Arial" w:eastAsia="Times New Roman" w:hAnsi="Arial" w:cs="Arial"/>
          <w:color w:val="000000" w:themeColor="text1"/>
          <w:sz w:val="22"/>
          <w:szCs w:val="22"/>
          <w:lang w:val="es-CO" w:eastAsia="en-US" w:bidi="he-IL"/>
        </w:rPr>
      </w:pPr>
    </w:p>
    <w:p w14:paraId="4974820F" w14:textId="77777777" w:rsidR="00081708" w:rsidRPr="008D2838" w:rsidRDefault="00081708" w:rsidP="00081708">
      <w:pPr>
        <w:jc w:val="both"/>
        <w:rPr>
          <w:rFonts w:ascii="Arial" w:hAnsi="Arial" w:cs="Arial"/>
          <w:sz w:val="22"/>
          <w:szCs w:val="22"/>
          <w:lang w:val="es-CO" w:eastAsia="en-US" w:bidi="he-IL"/>
        </w:rPr>
      </w:pPr>
      <w:r w:rsidRPr="008D2838">
        <w:rPr>
          <w:rFonts w:ascii="Arial" w:hAnsi="Arial" w:cs="Arial"/>
          <w:sz w:val="22"/>
          <w:szCs w:val="22"/>
          <w:lang w:val="es-CO" w:eastAsia="en-US" w:bidi="he-IL"/>
        </w:rPr>
        <w:t>El Distrito de Turbo expidió los actos administrativos de distribución de planta para las vigencias 2018 y 2019 con posterioridad a la fecha establecida por la normatividad vigente. Mediante oficio con radicado No. 1-2019-060458 del 2 de julio de 2019 dirigido a este Ministerio, el Distrito de Turbo remitió los siguientes actos administrativos de distribución de planta:</w:t>
      </w:r>
    </w:p>
    <w:p w14:paraId="15AE614E" w14:textId="77777777" w:rsidR="00081708" w:rsidRPr="008D2838" w:rsidRDefault="00081708" w:rsidP="00081708">
      <w:pPr>
        <w:rPr>
          <w:rFonts w:ascii="Arial" w:hAnsi="Arial" w:cs="Arial"/>
          <w:sz w:val="22"/>
          <w:szCs w:val="22"/>
          <w:lang w:val="es-CO" w:eastAsia="en-US" w:bidi="he-IL"/>
        </w:rPr>
      </w:pPr>
    </w:p>
    <w:tbl>
      <w:tblPr>
        <w:tblW w:w="5000" w:type="pct"/>
        <w:jc w:val="center"/>
        <w:tblCellMar>
          <w:left w:w="70" w:type="dxa"/>
          <w:right w:w="70" w:type="dxa"/>
        </w:tblCellMar>
        <w:tblLook w:val="04A0" w:firstRow="1" w:lastRow="0" w:firstColumn="1" w:lastColumn="0" w:noHBand="0" w:noVBand="1"/>
      </w:tblPr>
      <w:tblGrid>
        <w:gridCol w:w="2475"/>
        <w:gridCol w:w="1840"/>
        <w:gridCol w:w="4513"/>
      </w:tblGrid>
      <w:tr w:rsidR="00081708" w:rsidRPr="008D2838" w14:paraId="4CE6661D" w14:textId="77777777" w:rsidTr="00081708">
        <w:trPr>
          <w:trHeight w:val="20"/>
          <w:jc w:val="center"/>
        </w:trPr>
        <w:tc>
          <w:tcPr>
            <w:tcW w:w="1402" w:type="pct"/>
            <w:tcBorders>
              <w:top w:val="single" w:sz="4" w:space="0" w:color="auto"/>
              <w:left w:val="single" w:sz="4" w:space="0" w:color="auto"/>
              <w:bottom w:val="single" w:sz="4" w:space="0" w:color="auto"/>
              <w:right w:val="single" w:sz="4" w:space="0" w:color="auto"/>
            </w:tcBorders>
            <w:noWrap/>
            <w:vAlign w:val="bottom"/>
            <w:hideMark/>
          </w:tcPr>
          <w:p w14:paraId="5DD7975F" w14:textId="77777777" w:rsidR="00081708" w:rsidRPr="008D2838" w:rsidRDefault="00081708" w:rsidP="00081708">
            <w:pPr>
              <w:jc w:val="center"/>
              <w:rPr>
                <w:rFonts w:ascii="Arial" w:hAnsi="Arial" w:cs="Arial"/>
                <w:b/>
                <w:bCs/>
                <w:color w:val="000000"/>
                <w:sz w:val="18"/>
                <w:szCs w:val="18"/>
                <w:lang w:val="es-CO"/>
              </w:rPr>
            </w:pPr>
            <w:r w:rsidRPr="008D2838">
              <w:rPr>
                <w:rFonts w:ascii="Arial" w:hAnsi="Arial" w:cs="Arial"/>
                <w:b/>
                <w:bCs/>
                <w:color w:val="000000"/>
                <w:sz w:val="18"/>
                <w:szCs w:val="18"/>
                <w:lang w:val="es-CO"/>
              </w:rPr>
              <w:t>ACTO ADMINISTRATIVO</w:t>
            </w:r>
          </w:p>
        </w:tc>
        <w:tc>
          <w:tcPr>
            <w:tcW w:w="1042" w:type="pct"/>
            <w:tcBorders>
              <w:top w:val="single" w:sz="4" w:space="0" w:color="auto"/>
              <w:left w:val="nil"/>
              <w:bottom w:val="single" w:sz="4" w:space="0" w:color="auto"/>
              <w:right w:val="single" w:sz="4" w:space="0" w:color="auto"/>
            </w:tcBorders>
            <w:noWrap/>
            <w:vAlign w:val="bottom"/>
            <w:hideMark/>
          </w:tcPr>
          <w:p w14:paraId="32D6ED88" w14:textId="77777777" w:rsidR="00081708" w:rsidRPr="008D2838" w:rsidRDefault="00081708" w:rsidP="00081708">
            <w:pPr>
              <w:jc w:val="center"/>
              <w:rPr>
                <w:rFonts w:ascii="Arial" w:hAnsi="Arial" w:cs="Arial"/>
                <w:b/>
                <w:bCs/>
                <w:color w:val="000000"/>
                <w:sz w:val="18"/>
                <w:szCs w:val="18"/>
                <w:lang w:val="es-CO"/>
              </w:rPr>
            </w:pPr>
            <w:r w:rsidRPr="008D2838">
              <w:rPr>
                <w:rFonts w:ascii="Arial" w:hAnsi="Arial" w:cs="Arial"/>
                <w:b/>
                <w:bCs/>
                <w:color w:val="000000"/>
                <w:sz w:val="18"/>
                <w:szCs w:val="18"/>
                <w:lang w:val="es-CO"/>
              </w:rPr>
              <w:t>FECHA</w:t>
            </w:r>
          </w:p>
        </w:tc>
        <w:tc>
          <w:tcPr>
            <w:tcW w:w="2556" w:type="pct"/>
            <w:tcBorders>
              <w:top w:val="single" w:sz="4" w:space="0" w:color="auto"/>
              <w:left w:val="nil"/>
              <w:bottom w:val="single" w:sz="4" w:space="0" w:color="auto"/>
              <w:right w:val="single" w:sz="4" w:space="0" w:color="auto"/>
            </w:tcBorders>
            <w:noWrap/>
            <w:vAlign w:val="bottom"/>
            <w:hideMark/>
          </w:tcPr>
          <w:p w14:paraId="7A6341F6" w14:textId="77777777" w:rsidR="00081708" w:rsidRPr="008D2838" w:rsidRDefault="00081708" w:rsidP="00081708">
            <w:pPr>
              <w:jc w:val="center"/>
              <w:rPr>
                <w:rFonts w:ascii="Arial" w:hAnsi="Arial" w:cs="Arial"/>
                <w:b/>
                <w:bCs/>
                <w:color w:val="000000"/>
                <w:sz w:val="18"/>
                <w:szCs w:val="18"/>
                <w:lang w:val="es-CO"/>
              </w:rPr>
            </w:pPr>
            <w:r w:rsidRPr="008D2838">
              <w:rPr>
                <w:rFonts w:ascii="Arial" w:hAnsi="Arial" w:cs="Arial"/>
                <w:b/>
                <w:bCs/>
                <w:color w:val="000000"/>
                <w:sz w:val="18"/>
                <w:szCs w:val="18"/>
                <w:lang w:val="es-CO"/>
              </w:rPr>
              <w:t>INSTITUCIÓN EDUCATIVA / CENTRO EDUCATIVO</w:t>
            </w:r>
          </w:p>
        </w:tc>
      </w:tr>
      <w:tr w:rsidR="00081708" w:rsidRPr="008D2838" w14:paraId="64221290" w14:textId="77777777" w:rsidTr="00081708">
        <w:trPr>
          <w:trHeight w:val="20"/>
          <w:jc w:val="center"/>
        </w:trPr>
        <w:tc>
          <w:tcPr>
            <w:tcW w:w="1402" w:type="pct"/>
            <w:tcBorders>
              <w:top w:val="nil"/>
              <w:left w:val="single" w:sz="4" w:space="0" w:color="auto"/>
              <w:bottom w:val="single" w:sz="4" w:space="0" w:color="auto"/>
              <w:right w:val="single" w:sz="4" w:space="0" w:color="auto"/>
            </w:tcBorders>
            <w:noWrap/>
            <w:vAlign w:val="bottom"/>
            <w:hideMark/>
          </w:tcPr>
          <w:p w14:paraId="3DE8482B"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Decreto No. 331 de 2018</w:t>
            </w:r>
          </w:p>
        </w:tc>
        <w:tc>
          <w:tcPr>
            <w:tcW w:w="1042" w:type="pct"/>
            <w:tcBorders>
              <w:top w:val="nil"/>
              <w:left w:val="nil"/>
              <w:bottom w:val="single" w:sz="4" w:space="0" w:color="auto"/>
              <w:right w:val="single" w:sz="4" w:space="0" w:color="auto"/>
            </w:tcBorders>
            <w:noWrap/>
            <w:vAlign w:val="bottom"/>
            <w:hideMark/>
          </w:tcPr>
          <w:p w14:paraId="1325671A"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 xml:space="preserve">abril 6 de 2018 </w:t>
            </w:r>
          </w:p>
        </w:tc>
        <w:tc>
          <w:tcPr>
            <w:tcW w:w="2556" w:type="pct"/>
            <w:tcBorders>
              <w:top w:val="nil"/>
              <w:left w:val="nil"/>
              <w:bottom w:val="single" w:sz="4" w:space="0" w:color="auto"/>
              <w:right w:val="single" w:sz="4" w:space="0" w:color="auto"/>
            </w:tcBorders>
            <w:noWrap/>
            <w:vAlign w:val="bottom"/>
            <w:hideMark/>
          </w:tcPr>
          <w:p w14:paraId="1CF0FCE1"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Institución Educativa Comunal San Jorge</w:t>
            </w:r>
          </w:p>
        </w:tc>
      </w:tr>
      <w:tr w:rsidR="00081708" w:rsidRPr="008D2838" w14:paraId="28395549" w14:textId="77777777" w:rsidTr="00081708">
        <w:trPr>
          <w:trHeight w:val="20"/>
          <w:jc w:val="center"/>
        </w:trPr>
        <w:tc>
          <w:tcPr>
            <w:tcW w:w="1402" w:type="pct"/>
            <w:tcBorders>
              <w:top w:val="nil"/>
              <w:left w:val="single" w:sz="4" w:space="0" w:color="auto"/>
              <w:bottom w:val="single" w:sz="4" w:space="0" w:color="auto"/>
              <w:right w:val="single" w:sz="4" w:space="0" w:color="auto"/>
            </w:tcBorders>
            <w:noWrap/>
            <w:vAlign w:val="bottom"/>
            <w:hideMark/>
          </w:tcPr>
          <w:p w14:paraId="0A2EFB74"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 xml:space="preserve">Decreto No. 336 de 2018 </w:t>
            </w:r>
          </w:p>
        </w:tc>
        <w:tc>
          <w:tcPr>
            <w:tcW w:w="1042" w:type="pct"/>
            <w:tcBorders>
              <w:top w:val="nil"/>
              <w:left w:val="nil"/>
              <w:bottom w:val="single" w:sz="4" w:space="0" w:color="auto"/>
              <w:right w:val="single" w:sz="4" w:space="0" w:color="auto"/>
            </w:tcBorders>
            <w:noWrap/>
            <w:vAlign w:val="bottom"/>
            <w:hideMark/>
          </w:tcPr>
          <w:p w14:paraId="47713C26"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 xml:space="preserve">abril 6 de 2018 </w:t>
            </w:r>
          </w:p>
        </w:tc>
        <w:tc>
          <w:tcPr>
            <w:tcW w:w="2556" w:type="pct"/>
            <w:tcBorders>
              <w:top w:val="nil"/>
              <w:left w:val="nil"/>
              <w:bottom w:val="single" w:sz="4" w:space="0" w:color="auto"/>
              <w:right w:val="single" w:sz="4" w:space="0" w:color="auto"/>
            </w:tcBorders>
            <w:noWrap/>
            <w:vAlign w:val="bottom"/>
            <w:hideMark/>
          </w:tcPr>
          <w:p w14:paraId="5E1D61AF"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 xml:space="preserve">Institución Educativa Desarrollo Rural </w:t>
            </w:r>
          </w:p>
        </w:tc>
      </w:tr>
      <w:tr w:rsidR="00081708" w:rsidRPr="008D2838" w14:paraId="67904A38" w14:textId="77777777" w:rsidTr="00081708">
        <w:trPr>
          <w:trHeight w:val="20"/>
          <w:jc w:val="center"/>
        </w:trPr>
        <w:tc>
          <w:tcPr>
            <w:tcW w:w="1402" w:type="pct"/>
            <w:tcBorders>
              <w:top w:val="nil"/>
              <w:left w:val="single" w:sz="4" w:space="0" w:color="auto"/>
              <w:bottom w:val="single" w:sz="4" w:space="0" w:color="auto"/>
              <w:right w:val="single" w:sz="4" w:space="0" w:color="auto"/>
            </w:tcBorders>
            <w:noWrap/>
            <w:vAlign w:val="bottom"/>
            <w:hideMark/>
          </w:tcPr>
          <w:p w14:paraId="3A899BC6"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Decreto No. 450 de 2019</w:t>
            </w:r>
          </w:p>
        </w:tc>
        <w:tc>
          <w:tcPr>
            <w:tcW w:w="1042" w:type="pct"/>
            <w:tcBorders>
              <w:top w:val="nil"/>
              <w:left w:val="nil"/>
              <w:bottom w:val="single" w:sz="4" w:space="0" w:color="auto"/>
              <w:right w:val="single" w:sz="4" w:space="0" w:color="auto"/>
            </w:tcBorders>
            <w:noWrap/>
            <w:vAlign w:val="bottom"/>
            <w:hideMark/>
          </w:tcPr>
          <w:p w14:paraId="4C29D4FE"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abril 23 de 2019</w:t>
            </w:r>
          </w:p>
        </w:tc>
        <w:tc>
          <w:tcPr>
            <w:tcW w:w="2556" w:type="pct"/>
            <w:tcBorders>
              <w:top w:val="nil"/>
              <w:left w:val="nil"/>
              <w:bottom w:val="single" w:sz="4" w:space="0" w:color="auto"/>
              <w:right w:val="single" w:sz="4" w:space="0" w:color="auto"/>
            </w:tcBorders>
            <w:noWrap/>
            <w:vAlign w:val="bottom"/>
            <w:hideMark/>
          </w:tcPr>
          <w:p w14:paraId="7BDCFAD9"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 xml:space="preserve">Centro Educativo Puerto Boy </w:t>
            </w:r>
          </w:p>
        </w:tc>
      </w:tr>
      <w:tr w:rsidR="00081708" w:rsidRPr="008D2838" w14:paraId="10601FF3" w14:textId="77777777" w:rsidTr="00081708">
        <w:trPr>
          <w:trHeight w:val="20"/>
          <w:jc w:val="center"/>
        </w:trPr>
        <w:tc>
          <w:tcPr>
            <w:tcW w:w="1402" w:type="pct"/>
            <w:tcBorders>
              <w:top w:val="nil"/>
              <w:left w:val="single" w:sz="4" w:space="0" w:color="auto"/>
              <w:bottom w:val="single" w:sz="4" w:space="0" w:color="auto"/>
              <w:right w:val="single" w:sz="4" w:space="0" w:color="auto"/>
            </w:tcBorders>
            <w:noWrap/>
            <w:vAlign w:val="bottom"/>
            <w:hideMark/>
          </w:tcPr>
          <w:p w14:paraId="257C3C0F"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Decreto No. 451 de 2019</w:t>
            </w:r>
          </w:p>
        </w:tc>
        <w:tc>
          <w:tcPr>
            <w:tcW w:w="1042" w:type="pct"/>
            <w:tcBorders>
              <w:top w:val="nil"/>
              <w:left w:val="nil"/>
              <w:bottom w:val="single" w:sz="4" w:space="0" w:color="auto"/>
              <w:right w:val="single" w:sz="4" w:space="0" w:color="auto"/>
            </w:tcBorders>
            <w:noWrap/>
            <w:vAlign w:val="bottom"/>
            <w:hideMark/>
          </w:tcPr>
          <w:p w14:paraId="2A18CCA3"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abril 23 de 2019</w:t>
            </w:r>
          </w:p>
        </w:tc>
        <w:tc>
          <w:tcPr>
            <w:tcW w:w="2556" w:type="pct"/>
            <w:tcBorders>
              <w:top w:val="nil"/>
              <w:left w:val="nil"/>
              <w:bottom w:val="single" w:sz="4" w:space="0" w:color="auto"/>
              <w:right w:val="single" w:sz="4" w:space="0" w:color="auto"/>
            </w:tcBorders>
            <w:noWrap/>
            <w:vAlign w:val="bottom"/>
            <w:hideMark/>
          </w:tcPr>
          <w:p w14:paraId="146F641B"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Institución Educativa Ángel Milán Perea</w:t>
            </w:r>
          </w:p>
        </w:tc>
      </w:tr>
      <w:tr w:rsidR="00081708" w:rsidRPr="008D2838" w14:paraId="6C5499A7" w14:textId="77777777" w:rsidTr="00081708">
        <w:trPr>
          <w:trHeight w:val="20"/>
          <w:jc w:val="center"/>
        </w:trPr>
        <w:tc>
          <w:tcPr>
            <w:tcW w:w="1402" w:type="pct"/>
            <w:tcBorders>
              <w:top w:val="nil"/>
              <w:left w:val="single" w:sz="4" w:space="0" w:color="auto"/>
              <w:bottom w:val="single" w:sz="4" w:space="0" w:color="auto"/>
              <w:right w:val="single" w:sz="4" w:space="0" w:color="auto"/>
            </w:tcBorders>
            <w:noWrap/>
            <w:vAlign w:val="bottom"/>
            <w:hideMark/>
          </w:tcPr>
          <w:p w14:paraId="52B67356"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Decreto No. 452 de 2019</w:t>
            </w:r>
          </w:p>
        </w:tc>
        <w:tc>
          <w:tcPr>
            <w:tcW w:w="1042" w:type="pct"/>
            <w:tcBorders>
              <w:top w:val="nil"/>
              <w:left w:val="nil"/>
              <w:bottom w:val="single" w:sz="4" w:space="0" w:color="auto"/>
              <w:right w:val="single" w:sz="4" w:space="0" w:color="auto"/>
            </w:tcBorders>
            <w:noWrap/>
            <w:vAlign w:val="bottom"/>
            <w:hideMark/>
          </w:tcPr>
          <w:p w14:paraId="3C737DB6"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abril 23 de 2019</w:t>
            </w:r>
          </w:p>
        </w:tc>
        <w:tc>
          <w:tcPr>
            <w:tcW w:w="2556" w:type="pct"/>
            <w:tcBorders>
              <w:top w:val="nil"/>
              <w:left w:val="nil"/>
              <w:bottom w:val="single" w:sz="4" w:space="0" w:color="auto"/>
              <w:right w:val="single" w:sz="4" w:space="0" w:color="auto"/>
            </w:tcBorders>
            <w:noWrap/>
            <w:vAlign w:val="bottom"/>
            <w:hideMark/>
          </w:tcPr>
          <w:p w14:paraId="35AA964B"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 xml:space="preserve">Institución Educativa Desarrollo Rural </w:t>
            </w:r>
          </w:p>
        </w:tc>
      </w:tr>
      <w:tr w:rsidR="00081708" w:rsidRPr="008D2838" w14:paraId="59B79B0F" w14:textId="77777777" w:rsidTr="00081708">
        <w:trPr>
          <w:trHeight w:val="20"/>
          <w:jc w:val="center"/>
        </w:trPr>
        <w:tc>
          <w:tcPr>
            <w:tcW w:w="1402" w:type="pct"/>
            <w:tcBorders>
              <w:top w:val="nil"/>
              <w:left w:val="single" w:sz="4" w:space="0" w:color="auto"/>
              <w:bottom w:val="single" w:sz="4" w:space="0" w:color="auto"/>
              <w:right w:val="single" w:sz="4" w:space="0" w:color="auto"/>
            </w:tcBorders>
            <w:noWrap/>
            <w:vAlign w:val="bottom"/>
            <w:hideMark/>
          </w:tcPr>
          <w:p w14:paraId="049796C7"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Decreto No. 453 de 2019</w:t>
            </w:r>
          </w:p>
        </w:tc>
        <w:tc>
          <w:tcPr>
            <w:tcW w:w="1042" w:type="pct"/>
            <w:tcBorders>
              <w:top w:val="nil"/>
              <w:left w:val="nil"/>
              <w:bottom w:val="single" w:sz="4" w:space="0" w:color="auto"/>
              <w:right w:val="single" w:sz="4" w:space="0" w:color="auto"/>
            </w:tcBorders>
            <w:noWrap/>
            <w:vAlign w:val="bottom"/>
            <w:hideMark/>
          </w:tcPr>
          <w:p w14:paraId="4680148D"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abril 23 de 2019</w:t>
            </w:r>
          </w:p>
        </w:tc>
        <w:tc>
          <w:tcPr>
            <w:tcW w:w="2556" w:type="pct"/>
            <w:tcBorders>
              <w:top w:val="nil"/>
              <w:left w:val="nil"/>
              <w:bottom w:val="single" w:sz="4" w:space="0" w:color="auto"/>
              <w:right w:val="single" w:sz="4" w:space="0" w:color="auto"/>
            </w:tcBorders>
            <w:noWrap/>
            <w:vAlign w:val="bottom"/>
            <w:hideMark/>
          </w:tcPr>
          <w:p w14:paraId="3AA15145" w14:textId="77777777" w:rsidR="00081708" w:rsidRPr="008D2838" w:rsidRDefault="00081708" w:rsidP="00081708">
            <w:pPr>
              <w:rPr>
                <w:rFonts w:ascii="Arial" w:hAnsi="Arial" w:cs="Arial"/>
                <w:color w:val="000000"/>
                <w:sz w:val="18"/>
                <w:szCs w:val="18"/>
                <w:lang w:val="es-CO"/>
              </w:rPr>
            </w:pPr>
            <w:r w:rsidRPr="008D2838">
              <w:rPr>
                <w:rFonts w:ascii="Arial" w:hAnsi="Arial" w:cs="Arial"/>
                <w:color w:val="000000"/>
                <w:sz w:val="18"/>
                <w:szCs w:val="18"/>
                <w:lang w:val="es-CO"/>
              </w:rPr>
              <w:t xml:space="preserve">Institución Educativa Monte Verde </w:t>
            </w:r>
          </w:p>
        </w:tc>
      </w:tr>
    </w:tbl>
    <w:p w14:paraId="73C463DD" w14:textId="77777777" w:rsidR="00081708" w:rsidRPr="008D2838" w:rsidRDefault="00081708" w:rsidP="00081708">
      <w:pPr>
        <w:jc w:val="center"/>
        <w:rPr>
          <w:rFonts w:ascii="Arial" w:eastAsia="Times New Roman" w:hAnsi="Arial" w:cs="Arial"/>
          <w:sz w:val="16"/>
          <w:szCs w:val="16"/>
          <w:lang w:val="es-CO" w:eastAsia="es-MX"/>
        </w:rPr>
      </w:pPr>
      <w:r w:rsidRPr="008D2838">
        <w:rPr>
          <w:rFonts w:ascii="Arial" w:hAnsi="Arial" w:cs="Arial"/>
          <w:sz w:val="16"/>
          <w:szCs w:val="16"/>
          <w:lang w:val="es-CO"/>
        </w:rPr>
        <w:t>Fuente: Actos administrativos de distribución de planta suministrados por el Distrito de Turbo</w:t>
      </w:r>
    </w:p>
    <w:p w14:paraId="5038182F" w14:textId="77777777" w:rsidR="00081708" w:rsidRPr="008D2838" w:rsidRDefault="00081708" w:rsidP="00081708">
      <w:pPr>
        <w:jc w:val="both"/>
        <w:rPr>
          <w:rFonts w:ascii="Arial" w:hAnsi="Arial" w:cs="Arial"/>
          <w:sz w:val="22"/>
          <w:szCs w:val="22"/>
          <w:lang w:val="es-CO"/>
        </w:rPr>
      </w:pPr>
    </w:p>
    <w:p w14:paraId="1304A981"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lastRenderedPageBreak/>
        <w:t>Adicionalmente, la situación persistió para las vigencias 2020 y 2021. Según los actos administrativos de distribución de planta remitidos por la Entidad mediante el oficio con radicado No.1-2021-075798 del 31 de agosto de 2021, el Decreto No. 516 fue expedido el 18 de julio de 2020 y el Decreto 456, el 8 de junio de 2021. Por lo anterior, fue configurado el respectivo evento de riesgo.</w:t>
      </w:r>
    </w:p>
    <w:p w14:paraId="34E778F4" w14:textId="77777777" w:rsidR="00081708" w:rsidRPr="008D2838" w:rsidRDefault="00081708" w:rsidP="00081708">
      <w:pPr>
        <w:jc w:val="both"/>
        <w:rPr>
          <w:rFonts w:ascii="Arial" w:hAnsi="Arial" w:cs="Arial"/>
          <w:sz w:val="22"/>
          <w:szCs w:val="22"/>
          <w:lang w:val="es-CO"/>
        </w:rPr>
      </w:pPr>
    </w:p>
    <w:p w14:paraId="2F18003C" w14:textId="77777777" w:rsidR="00081708" w:rsidRPr="008D2838" w:rsidRDefault="00081708" w:rsidP="00081708">
      <w:pPr>
        <w:numPr>
          <w:ilvl w:val="0"/>
          <w:numId w:val="4"/>
        </w:numPr>
        <w:ind w:left="426" w:hanging="426"/>
        <w:contextualSpacing/>
        <w:jc w:val="both"/>
        <w:rPr>
          <w:rFonts w:ascii="Arial" w:eastAsia="Calibri" w:hAnsi="Arial" w:cs="Arial"/>
          <w:b/>
          <w:i/>
          <w:sz w:val="22"/>
          <w:szCs w:val="22"/>
          <w:u w:val="single"/>
          <w:lang w:val="es-CO" w:eastAsia="en-US"/>
        </w:rPr>
      </w:pPr>
      <w:r w:rsidRPr="008D2838">
        <w:rPr>
          <w:rFonts w:ascii="Arial" w:eastAsia="Calibri" w:hAnsi="Arial" w:cs="Arial"/>
          <w:b/>
          <w:i/>
          <w:sz w:val="22"/>
          <w:szCs w:val="22"/>
          <w:u w:val="single"/>
          <w:lang w:val="es-CO" w:eastAsia="en-US"/>
        </w:rPr>
        <w:t>Entrega extemporánea de la dotación Ley 70 de 1988 de las vigencias 2015-2020.</w:t>
      </w:r>
    </w:p>
    <w:p w14:paraId="46CDBE3C" w14:textId="77777777" w:rsidR="00081708" w:rsidRPr="008D2838" w:rsidRDefault="00081708" w:rsidP="00081708">
      <w:pPr>
        <w:jc w:val="both"/>
        <w:rPr>
          <w:rFonts w:ascii="Arial" w:hAnsi="Arial" w:cs="Arial"/>
          <w:sz w:val="22"/>
          <w:szCs w:val="22"/>
          <w:lang w:val="es-CO"/>
        </w:rPr>
      </w:pPr>
    </w:p>
    <w:p w14:paraId="5E07E5BA"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 xml:space="preserve">En la revisión realizada a los contratos suscritos para el suministro de la dotación al personal del Sector Educación, se evidenció que en las vigencias 2015 a 2020 el Distrito entregó de forma tardía la dotación. El análisis detallado se describe más adelante en el apartado de eventos de riesgo. </w:t>
      </w:r>
    </w:p>
    <w:p w14:paraId="7004F9EB" w14:textId="77777777" w:rsidR="00081708" w:rsidRPr="008D2838" w:rsidRDefault="00081708" w:rsidP="00081708">
      <w:pPr>
        <w:contextualSpacing/>
        <w:jc w:val="both"/>
        <w:textAlignment w:val="baseline"/>
        <w:rPr>
          <w:rFonts w:ascii="Arial" w:eastAsia="MS Gothic" w:hAnsi="Arial" w:cs="Arial"/>
          <w:lang w:val="es-CO"/>
        </w:rPr>
      </w:pPr>
    </w:p>
    <w:p w14:paraId="09F4950D" w14:textId="77777777" w:rsidR="00081708" w:rsidRPr="008D2838" w:rsidRDefault="00081708" w:rsidP="00081708">
      <w:pPr>
        <w:numPr>
          <w:ilvl w:val="0"/>
          <w:numId w:val="4"/>
        </w:numPr>
        <w:ind w:left="426" w:hanging="426"/>
        <w:contextualSpacing/>
        <w:jc w:val="both"/>
        <w:rPr>
          <w:rFonts w:ascii="Arial" w:eastAsia="Calibri" w:hAnsi="Arial" w:cs="Arial"/>
          <w:b/>
          <w:i/>
          <w:sz w:val="22"/>
          <w:szCs w:val="22"/>
          <w:u w:val="single"/>
          <w:lang w:val="es-CO" w:eastAsia="en-US"/>
        </w:rPr>
      </w:pPr>
      <w:r w:rsidRPr="008D2838">
        <w:rPr>
          <w:rFonts w:ascii="Arial" w:eastAsia="Calibri" w:hAnsi="Arial" w:cs="Arial"/>
          <w:b/>
          <w:i/>
          <w:sz w:val="22"/>
          <w:szCs w:val="22"/>
          <w:u w:val="single"/>
          <w:lang w:val="es-CO" w:eastAsia="en-US"/>
        </w:rPr>
        <w:t>Omisión en la publicación de los documentos contractuales en el SECOP.</w:t>
      </w:r>
    </w:p>
    <w:p w14:paraId="0706BDC3" w14:textId="77777777" w:rsidR="00081708" w:rsidRPr="008D2838" w:rsidRDefault="00081708" w:rsidP="00081708">
      <w:pPr>
        <w:jc w:val="both"/>
        <w:rPr>
          <w:rFonts w:ascii="Arial" w:eastAsia="Calibri" w:hAnsi="Arial" w:cs="Arial"/>
          <w:b/>
          <w:i/>
          <w:sz w:val="22"/>
          <w:szCs w:val="22"/>
          <w:u w:val="single"/>
          <w:lang w:val="es-CO" w:eastAsia="en-US"/>
        </w:rPr>
      </w:pPr>
    </w:p>
    <w:p w14:paraId="28AA917F" w14:textId="77777777" w:rsidR="00081708" w:rsidRPr="008D2838" w:rsidRDefault="00081708" w:rsidP="00081708">
      <w:pPr>
        <w:jc w:val="both"/>
        <w:rPr>
          <w:rFonts w:ascii="Arial" w:eastAsia="Calibri" w:hAnsi="Arial" w:cs="Arial"/>
          <w:sz w:val="22"/>
          <w:szCs w:val="22"/>
          <w:lang w:val="es-CO" w:eastAsia="en-US"/>
        </w:rPr>
      </w:pPr>
      <w:r w:rsidRPr="008D2838">
        <w:rPr>
          <w:rFonts w:ascii="Arial" w:eastAsia="Calibri" w:hAnsi="Arial" w:cs="Arial"/>
          <w:iCs/>
          <w:sz w:val="22"/>
          <w:szCs w:val="22"/>
          <w:lang w:val="es-CO" w:eastAsia="en-US"/>
        </w:rPr>
        <w:t xml:space="preserve">La Dirección General de Apoyo Fiscal realizó </w:t>
      </w:r>
      <w:r w:rsidR="00012B51">
        <w:rPr>
          <w:rFonts w:ascii="Arial" w:eastAsia="Calibri" w:hAnsi="Arial" w:cs="Arial"/>
          <w:iCs/>
          <w:sz w:val="22"/>
          <w:szCs w:val="22"/>
          <w:lang w:val="es-CO" w:eastAsia="en-US"/>
        </w:rPr>
        <w:t>c</w:t>
      </w:r>
      <w:r w:rsidRPr="008D2838">
        <w:rPr>
          <w:rFonts w:ascii="Arial" w:eastAsia="Calibri" w:hAnsi="Arial" w:cs="Arial"/>
          <w:iCs/>
          <w:sz w:val="22"/>
          <w:szCs w:val="22"/>
          <w:lang w:val="es-CO" w:eastAsia="en-US"/>
        </w:rPr>
        <w:t>onsultas en el SECOP de los contratos suministrados por el Distrito de Turbo y evidenció que</w:t>
      </w:r>
      <w:r w:rsidRPr="008D2838">
        <w:rPr>
          <w:rFonts w:ascii="Arial" w:eastAsia="Calibri" w:hAnsi="Arial" w:cs="Arial"/>
          <w:sz w:val="22"/>
          <w:szCs w:val="22"/>
          <w:lang w:val="es-CO" w:eastAsia="en-US"/>
        </w:rPr>
        <w:t xml:space="preserve"> se realizó la publicación parcial de los documentos asociados a los procesos contractuales que adelant</w:t>
      </w:r>
      <w:r w:rsidR="00012B51">
        <w:rPr>
          <w:rFonts w:ascii="Arial" w:eastAsia="Calibri" w:hAnsi="Arial" w:cs="Arial"/>
          <w:sz w:val="22"/>
          <w:szCs w:val="22"/>
          <w:lang w:val="es-CO" w:eastAsia="en-US"/>
        </w:rPr>
        <w:t>ó</w:t>
      </w:r>
      <w:r w:rsidRPr="008D2838">
        <w:rPr>
          <w:rFonts w:ascii="Arial" w:eastAsia="Calibri" w:hAnsi="Arial" w:cs="Arial"/>
          <w:sz w:val="22"/>
          <w:szCs w:val="22"/>
          <w:lang w:val="es-CO" w:eastAsia="en-US"/>
        </w:rPr>
        <w:t xml:space="preserve"> la Secretaría de Educación con recursos del SGP Educación. El detalle de este análisis se presenta en el apartado de eventos de riesgo</w:t>
      </w:r>
    </w:p>
    <w:p w14:paraId="329C7CB2" w14:textId="77777777" w:rsidR="00081708" w:rsidRPr="008D2838" w:rsidRDefault="00081708" w:rsidP="00081708">
      <w:pPr>
        <w:jc w:val="both"/>
        <w:rPr>
          <w:rFonts w:ascii="Arial" w:hAnsi="Arial" w:cs="Arial"/>
          <w:sz w:val="22"/>
          <w:szCs w:val="22"/>
          <w:lang w:val="es-CO"/>
        </w:rPr>
      </w:pPr>
    </w:p>
    <w:p w14:paraId="38687E0C" w14:textId="77777777" w:rsidR="00081708" w:rsidRPr="008D2838" w:rsidRDefault="00081708" w:rsidP="00081708">
      <w:pPr>
        <w:numPr>
          <w:ilvl w:val="0"/>
          <w:numId w:val="4"/>
        </w:numPr>
        <w:ind w:left="426" w:hanging="426"/>
        <w:contextualSpacing/>
        <w:jc w:val="both"/>
        <w:rPr>
          <w:rFonts w:ascii="Arial" w:eastAsia="Calibri" w:hAnsi="Arial" w:cs="Arial"/>
          <w:b/>
          <w:i/>
          <w:sz w:val="22"/>
          <w:szCs w:val="22"/>
          <w:u w:val="single"/>
          <w:lang w:val="es-CO" w:eastAsia="en-US"/>
        </w:rPr>
      </w:pPr>
      <w:r w:rsidRPr="008D2838">
        <w:rPr>
          <w:rFonts w:ascii="Arial" w:eastAsia="Calibri" w:hAnsi="Arial" w:cs="Arial"/>
          <w:b/>
          <w:i/>
          <w:sz w:val="22"/>
          <w:szCs w:val="22"/>
          <w:u w:val="single"/>
          <w:lang w:val="es-CO" w:eastAsia="en-US"/>
        </w:rPr>
        <w:t>Inconsistencias en la información reportada en el FUT.</w:t>
      </w:r>
    </w:p>
    <w:p w14:paraId="1BB873D8" w14:textId="77777777" w:rsidR="00081708" w:rsidRPr="008D2838" w:rsidRDefault="00081708" w:rsidP="00081708">
      <w:pPr>
        <w:jc w:val="both"/>
        <w:rPr>
          <w:rFonts w:ascii="Arial" w:hAnsi="Arial" w:cs="Arial"/>
          <w:sz w:val="22"/>
          <w:szCs w:val="22"/>
          <w:lang w:val="es-CO"/>
        </w:rPr>
      </w:pPr>
    </w:p>
    <w:p w14:paraId="0E40E503"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En relación con el cierre de tesorería de la vigencia 2017, de acuerdo con la certificación de la Entidad, se presentó un déficit de $1.646,1 millones de los recursos del SGP Educación, y de acuerdo con la Categoría de Cierre Fiscal del FUT se presentó un superávit de $219,4 millones.</w:t>
      </w:r>
    </w:p>
    <w:p w14:paraId="6A9E58C3" w14:textId="77777777" w:rsidR="00081708" w:rsidRPr="008D2838" w:rsidRDefault="00081708" w:rsidP="00081708">
      <w:pPr>
        <w:jc w:val="both"/>
        <w:rPr>
          <w:rFonts w:ascii="Arial" w:hAnsi="Arial" w:cs="Arial"/>
          <w:sz w:val="22"/>
          <w:szCs w:val="22"/>
          <w:lang w:val="es-CO"/>
        </w:rPr>
      </w:pPr>
    </w:p>
    <w:p w14:paraId="57C02547"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Para la vigencia 2018, una vez verificada la información reportada por la Entidad Territorial en la Categoría de Cierre Fiscal del FUT frente al cierre de tesorería, se evidenció una diferencia de $842 millones en el saldo en caja y bancos, que se presentó debido a que en el cierre de tesorería reportado al FUT no se incluyó el saldo disponible de las siguientes cuentas: Distinto de Nomina CTA 920241676 que tenía un saldo disponible de $834,6 millones, Pagadora PSE Distinto de Nomina CTA 920245172 por $3,077 y Pagadora PSE Nomina CTA 920245156 con un saldo de $7,370,074.</w:t>
      </w:r>
    </w:p>
    <w:p w14:paraId="0162F8FA" w14:textId="77777777" w:rsidR="00081708" w:rsidRPr="008D2838" w:rsidRDefault="00081708" w:rsidP="00081708">
      <w:pPr>
        <w:jc w:val="both"/>
        <w:rPr>
          <w:rFonts w:ascii="Arial" w:hAnsi="Arial" w:cs="Arial"/>
          <w:sz w:val="22"/>
          <w:szCs w:val="22"/>
          <w:lang w:val="es-CO"/>
        </w:rPr>
      </w:pPr>
    </w:p>
    <w:p w14:paraId="4CF63CAD"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Adicionalmente, de acuerdo con el cierre de tesorería, se presentaron exigibilidades y reservas de la Prestación del Servicio por valor de $2.557,2 millones y de $179,6 millones, que fueron reportadas en la Categoría de Cierre Fiscal del FUT por $1.983,2 millones para la Prestación del Servicio y en cero para el rubro de Calidad. Finalmente, en relación con el superávit o déficit al cierre de la vigencia, según el cierre de tesorería se presentó un déficit de los recursos de la Prestación del Servicio por valor de $1.183 millones y un superávit de Calidad por $69,9 millones, que en el FUT fueron incluidos como un déficit de la Prestación del Servicio por valor de $1.451,8 millones y un superávit de $249,6 millones de Calidad.</w:t>
      </w:r>
    </w:p>
    <w:p w14:paraId="1D8298FC" w14:textId="77777777" w:rsidR="00081708" w:rsidRPr="008D2838" w:rsidRDefault="00081708" w:rsidP="00081708">
      <w:pPr>
        <w:jc w:val="both"/>
        <w:rPr>
          <w:rFonts w:ascii="Arial" w:hAnsi="Arial" w:cs="Arial"/>
          <w:sz w:val="22"/>
          <w:szCs w:val="22"/>
          <w:lang w:val="es-CO"/>
        </w:rPr>
      </w:pPr>
    </w:p>
    <w:p w14:paraId="3633BC36"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En relación con las vigencias 2019 y 2020 persisten las dificultades en el reporte de información del FUT en lo concerniente al cierre fiscal.</w:t>
      </w:r>
    </w:p>
    <w:p w14:paraId="79C83416" w14:textId="77777777" w:rsidR="00081708" w:rsidRPr="008D2838" w:rsidRDefault="00081708" w:rsidP="00081708">
      <w:pPr>
        <w:jc w:val="both"/>
        <w:rPr>
          <w:rFonts w:ascii="Arial" w:hAnsi="Arial" w:cs="Arial"/>
          <w:sz w:val="22"/>
          <w:szCs w:val="22"/>
          <w:lang w:val="es-CO"/>
        </w:rPr>
      </w:pPr>
    </w:p>
    <w:p w14:paraId="10833358"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lastRenderedPageBreak/>
        <w:t xml:space="preserve">Esta situación se mantuvo en 2021, toda vez que de acuerdo con la ejecución presupuestal de gastos se suscribieron compromisos en el sector educación por valor de $121.656 millones y </w:t>
      </w:r>
      <w:r w:rsidR="00012B51">
        <w:rPr>
          <w:rFonts w:ascii="Arial" w:hAnsi="Arial" w:cs="Arial"/>
          <w:sz w:val="22"/>
          <w:szCs w:val="22"/>
          <w:lang w:val="es-CO"/>
        </w:rPr>
        <w:t xml:space="preserve">según </w:t>
      </w:r>
      <w:r w:rsidRPr="008D2838">
        <w:rPr>
          <w:rFonts w:ascii="Arial" w:hAnsi="Arial" w:cs="Arial"/>
          <w:sz w:val="22"/>
          <w:szCs w:val="22"/>
          <w:lang w:val="es-CO"/>
        </w:rPr>
        <w:t>el reporte del FUT en las categorías de gastos de inversión y funcionamiento, los gastos ascendieron a $119.730 millones.</w:t>
      </w:r>
    </w:p>
    <w:p w14:paraId="14557A7B" w14:textId="77777777" w:rsidR="00081708" w:rsidRPr="008D2838" w:rsidRDefault="00081708" w:rsidP="00081708">
      <w:pPr>
        <w:jc w:val="both"/>
        <w:rPr>
          <w:rFonts w:ascii="Arial" w:hAnsi="Arial" w:cs="Arial"/>
          <w:sz w:val="22"/>
          <w:szCs w:val="22"/>
          <w:lang w:val="es-CO"/>
        </w:rPr>
      </w:pPr>
    </w:p>
    <w:p w14:paraId="2E488D69" w14:textId="77777777" w:rsidR="00081708" w:rsidRPr="008D2838" w:rsidRDefault="00081708" w:rsidP="00081708">
      <w:pPr>
        <w:jc w:val="both"/>
        <w:rPr>
          <w:rFonts w:ascii="Arial" w:hAnsi="Arial" w:cs="Arial"/>
          <w:b/>
          <w:i/>
          <w:sz w:val="22"/>
          <w:szCs w:val="22"/>
          <w:u w:val="single"/>
          <w:lang w:val="es-CO"/>
        </w:rPr>
      </w:pPr>
      <w:r w:rsidRPr="008D2838">
        <w:rPr>
          <w:rFonts w:ascii="Arial" w:hAnsi="Arial" w:cs="Arial"/>
          <w:sz w:val="22"/>
          <w:szCs w:val="22"/>
          <w:lang w:val="es-CO"/>
        </w:rPr>
        <w:t xml:space="preserve">No obstante, teniendo en cuenta que actualmente las entidades territoriales se encuentran adelantando el proceso de implementación del CCPET y del CUIPO, y que las categorías de reporte del sector educación fueron desactivadas para el reporte de la vigencia 2022 en el FUT, con excepción de la categoría de Cierre Fiscal, se recomienda a la entidad territorial solicitar apoyo técnico para realizar el correcto reporte de la información del sector en las herramientas dispuestas para tal fin. </w:t>
      </w:r>
    </w:p>
    <w:p w14:paraId="3065CEFC" w14:textId="77777777" w:rsidR="00081708" w:rsidRPr="008D2838" w:rsidRDefault="00081708" w:rsidP="00081708">
      <w:pPr>
        <w:jc w:val="both"/>
        <w:rPr>
          <w:rFonts w:ascii="Arial" w:hAnsi="Arial" w:cs="Arial"/>
          <w:b/>
          <w:i/>
          <w:sz w:val="22"/>
          <w:szCs w:val="22"/>
          <w:u w:val="single"/>
          <w:lang w:val="es-CO"/>
        </w:rPr>
      </w:pPr>
    </w:p>
    <w:p w14:paraId="4CC26B38" w14:textId="77777777" w:rsidR="00081708" w:rsidRPr="008D2838" w:rsidRDefault="00081708" w:rsidP="00081708">
      <w:pPr>
        <w:numPr>
          <w:ilvl w:val="0"/>
          <w:numId w:val="4"/>
        </w:numPr>
        <w:ind w:left="426" w:hanging="426"/>
        <w:contextualSpacing/>
        <w:jc w:val="both"/>
        <w:rPr>
          <w:rFonts w:ascii="Arial" w:eastAsia="Calibri" w:hAnsi="Arial" w:cs="Arial"/>
          <w:b/>
          <w:i/>
          <w:sz w:val="22"/>
          <w:szCs w:val="22"/>
          <w:u w:val="single"/>
          <w:lang w:val="es-CO" w:eastAsia="en-US"/>
        </w:rPr>
      </w:pPr>
      <w:r w:rsidRPr="008D2838">
        <w:rPr>
          <w:rFonts w:ascii="Arial" w:eastAsia="Calibri" w:hAnsi="Arial" w:cs="Arial"/>
          <w:b/>
          <w:i/>
          <w:sz w:val="22"/>
          <w:szCs w:val="22"/>
          <w:u w:val="single"/>
          <w:lang w:val="es-CO" w:eastAsia="en-US"/>
        </w:rPr>
        <w:t>Pago de primas extralegales.</w:t>
      </w:r>
    </w:p>
    <w:p w14:paraId="59981CBB" w14:textId="77777777" w:rsidR="00081708" w:rsidRPr="008D2838" w:rsidRDefault="00081708" w:rsidP="00081708">
      <w:pPr>
        <w:jc w:val="both"/>
        <w:rPr>
          <w:rFonts w:ascii="Arial" w:hAnsi="Arial" w:cs="Arial"/>
          <w:b/>
          <w:sz w:val="22"/>
          <w:szCs w:val="22"/>
          <w:lang w:val="es-CO"/>
        </w:rPr>
      </w:pPr>
    </w:p>
    <w:p w14:paraId="3B932686"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Se encontró que en el resumen de nóminas para el mes de diciembre en la vigencia 2017 se pagaron $7 millones por concepto de ”</w:t>
      </w:r>
      <w:r w:rsidRPr="008D2838">
        <w:rPr>
          <w:rFonts w:ascii="Arial" w:hAnsi="Arial" w:cs="Arial"/>
          <w:i/>
          <w:sz w:val="22"/>
          <w:szCs w:val="22"/>
          <w:lang w:val="es-CO"/>
        </w:rPr>
        <w:t>Pago Antigüedad</w:t>
      </w:r>
      <w:r w:rsidRPr="008D2838">
        <w:rPr>
          <w:rFonts w:ascii="Arial" w:hAnsi="Arial" w:cs="Arial"/>
          <w:iCs/>
          <w:sz w:val="22"/>
          <w:szCs w:val="22"/>
          <w:lang w:val="es-CO"/>
        </w:rPr>
        <w:t>”</w:t>
      </w:r>
      <w:r w:rsidRPr="008D2838">
        <w:rPr>
          <w:rFonts w:ascii="Arial" w:hAnsi="Arial" w:cs="Arial"/>
          <w:i/>
          <w:sz w:val="22"/>
          <w:szCs w:val="22"/>
          <w:lang w:val="es-CO"/>
        </w:rPr>
        <w:t xml:space="preserve"> </w:t>
      </w:r>
      <w:r w:rsidRPr="008D2838">
        <w:rPr>
          <w:rFonts w:ascii="Arial" w:hAnsi="Arial" w:cs="Arial"/>
          <w:sz w:val="22"/>
          <w:szCs w:val="22"/>
          <w:lang w:val="es-CO"/>
        </w:rPr>
        <w:t>para los administrativos, frente a lo cual el Secretario de Educación Municipal suministró una certificación del 27 de agosto de 2021 en la que indica que durante las vigencias 2017 y 2018 se canceló dicha prima a seis funcionarios adscritos a las instituciones educativas y que a partir de la vigencia 2019 se suspendió el pago por este concepto. Por lo anterior, se considera subsanada la situación y no hubo lugar a la configuración de un evento de riesgo.</w:t>
      </w:r>
    </w:p>
    <w:p w14:paraId="1739AE6F" w14:textId="77777777" w:rsidR="00081708" w:rsidRPr="008D2838" w:rsidRDefault="00081708" w:rsidP="00081708">
      <w:pPr>
        <w:jc w:val="both"/>
        <w:rPr>
          <w:rFonts w:ascii="Arial" w:hAnsi="Arial" w:cs="Arial"/>
          <w:sz w:val="22"/>
          <w:szCs w:val="22"/>
          <w:highlight w:val="cyan"/>
          <w:lang w:val="es-CO"/>
        </w:rPr>
      </w:pPr>
    </w:p>
    <w:p w14:paraId="1AE5A44E" w14:textId="77777777" w:rsidR="00081708" w:rsidRPr="008D2838" w:rsidRDefault="00081708" w:rsidP="00081708">
      <w:pPr>
        <w:keepNext/>
        <w:keepLines/>
        <w:numPr>
          <w:ilvl w:val="0"/>
          <w:numId w:val="1"/>
        </w:numPr>
        <w:ind w:left="426" w:hanging="426"/>
        <w:contextualSpacing/>
        <w:jc w:val="both"/>
        <w:outlineLvl w:val="0"/>
        <w:rPr>
          <w:rFonts w:ascii="Arial" w:eastAsia="MS Gothic" w:hAnsi="Arial" w:cs="Arial"/>
          <w:b/>
          <w:sz w:val="22"/>
          <w:szCs w:val="22"/>
          <w:lang w:val="es-CO"/>
        </w:rPr>
      </w:pPr>
      <w:r w:rsidRPr="008D2838">
        <w:rPr>
          <w:rFonts w:ascii="Arial" w:eastAsia="MS Gothic" w:hAnsi="Arial" w:cs="Arial"/>
          <w:b/>
          <w:sz w:val="22"/>
          <w:szCs w:val="22"/>
          <w:lang w:val="es-CO"/>
        </w:rPr>
        <w:t>CONCLUSIONES Y RECOMENDACIONES DE MEDIDA.</w:t>
      </w:r>
    </w:p>
    <w:p w14:paraId="76DCFEDA" w14:textId="77777777" w:rsidR="00081708" w:rsidRPr="008D2838" w:rsidRDefault="00081708" w:rsidP="00081708">
      <w:pPr>
        <w:jc w:val="both"/>
        <w:rPr>
          <w:rFonts w:ascii="Arial" w:eastAsia="Calibri" w:hAnsi="Arial" w:cs="Arial"/>
          <w:b/>
          <w:sz w:val="22"/>
          <w:szCs w:val="22"/>
          <w:lang w:val="es-CO" w:eastAsia="en-US"/>
        </w:rPr>
      </w:pPr>
    </w:p>
    <w:p w14:paraId="1729EC15"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A partir del análisis de la información remitida por el Distrito de Turbo - Antioquia y el Ministerio de Educación Nacional, se evidenció la existencia de los siguientes eventos de riesgo, definidos en el artículo 9 del decreto 028 de 2009, en relación con el uso de los recursos del Sistema General de Participaciones en el sector educación:</w:t>
      </w:r>
    </w:p>
    <w:p w14:paraId="3E5290E9" w14:textId="77777777" w:rsidR="00081708" w:rsidRPr="008D2838" w:rsidRDefault="00081708" w:rsidP="00081708">
      <w:pPr>
        <w:jc w:val="both"/>
        <w:rPr>
          <w:rFonts w:ascii="Arial" w:hAnsi="Arial" w:cs="Arial"/>
          <w:color w:val="000000" w:themeColor="text1"/>
          <w:sz w:val="22"/>
          <w:szCs w:val="22"/>
          <w:lang w:val="es-CO"/>
        </w:rPr>
      </w:pPr>
    </w:p>
    <w:p w14:paraId="008E05BA" w14:textId="77777777" w:rsidR="00081708" w:rsidRPr="008D2838" w:rsidRDefault="00081708" w:rsidP="00081708">
      <w:pPr>
        <w:jc w:val="both"/>
        <w:rPr>
          <w:rFonts w:ascii="Arial" w:hAnsi="Arial" w:cs="Arial"/>
          <w:color w:val="000000" w:themeColor="text1"/>
          <w:sz w:val="22"/>
          <w:szCs w:val="22"/>
          <w:lang w:val="es-CO"/>
        </w:rPr>
      </w:pPr>
      <w:r w:rsidRPr="008D2838">
        <w:rPr>
          <w:rFonts w:ascii="Arial" w:hAnsi="Arial" w:cs="Arial"/>
          <w:color w:val="000000" w:themeColor="text1"/>
          <w:sz w:val="22"/>
          <w:szCs w:val="22"/>
          <w:lang w:val="es-CO"/>
        </w:rPr>
        <w:t>9.1 (No envío de información en las condiciones solicitadas); 9.4 (cambio en la destinación de los recursos); 9.10. (Omisión en la publicación de la contratación en el SECOP) y, 9.18 (situaciones que constituyen desviación, uso indebido, ineficiente o inadecuado de los recursos del Sistema General de Participaciones, etc</w:t>
      </w:r>
      <w:r w:rsidR="00012B51">
        <w:rPr>
          <w:rFonts w:ascii="Arial" w:hAnsi="Arial" w:cs="Arial"/>
          <w:color w:val="000000" w:themeColor="text1"/>
          <w:sz w:val="22"/>
          <w:szCs w:val="22"/>
          <w:lang w:val="es-CO"/>
        </w:rPr>
        <w:t>)</w:t>
      </w:r>
      <w:r w:rsidRPr="008D2838">
        <w:rPr>
          <w:rFonts w:ascii="Arial" w:hAnsi="Arial" w:cs="Arial"/>
          <w:color w:val="000000" w:themeColor="text1"/>
          <w:sz w:val="22"/>
          <w:szCs w:val="22"/>
          <w:lang w:val="es-CO"/>
        </w:rPr>
        <w:t>.</w:t>
      </w:r>
    </w:p>
    <w:p w14:paraId="637E6432" w14:textId="77777777" w:rsidR="00081708" w:rsidRPr="008D2838" w:rsidRDefault="00081708" w:rsidP="00081708">
      <w:pPr>
        <w:jc w:val="both"/>
        <w:rPr>
          <w:rFonts w:ascii="Arial" w:hAnsi="Arial" w:cs="Arial"/>
          <w:color w:val="000000" w:themeColor="text1"/>
          <w:sz w:val="22"/>
          <w:szCs w:val="22"/>
          <w:lang w:val="es-CO"/>
        </w:rPr>
      </w:pPr>
    </w:p>
    <w:p w14:paraId="02D6B1C7"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Con base en los riesgos identificados y en el marco de las funciones asignadas en los Decretos 028 de 2008 y 1068 de 2015, relacionadas con la coordinación de la ejecución de las actividades de monitoreo, seguimiento y control integral al uso de recursos del SGP, se recomienda la adopción de la Medida Preventiva de Plan de Desempeño, una vez se reciban los comentarios del Ministerio de Educación Nacional frente al informe de reconocimiento.</w:t>
      </w:r>
    </w:p>
    <w:p w14:paraId="016ED58C" w14:textId="77777777" w:rsidR="00081708" w:rsidRPr="008D2838" w:rsidRDefault="00081708" w:rsidP="00081708">
      <w:pPr>
        <w:tabs>
          <w:tab w:val="center" w:pos="4419"/>
          <w:tab w:val="right" w:pos="8838"/>
        </w:tabs>
        <w:jc w:val="both"/>
        <w:rPr>
          <w:rFonts w:ascii="Arial" w:eastAsia="Calibri" w:hAnsi="Arial" w:cs="Arial"/>
          <w:sz w:val="22"/>
          <w:szCs w:val="22"/>
          <w:lang w:val="es-CO" w:eastAsia="en-US"/>
        </w:rPr>
      </w:pPr>
    </w:p>
    <w:p w14:paraId="1402FC75" w14:textId="77777777" w:rsidR="00081708" w:rsidRPr="008D2838" w:rsidRDefault="00081708" w:rsidP="00081708">
      <w:pPr>
        <w:keepNext/>
        <w:keepLines/>
        <w:numPr>
          <w:ilvl w:val="0"/>
          <w:numId w:val="1"/>
        </w:numPr>
        <w:ind w:left="426" w:hanging="426"/>
        <w:contextualSpacing/>
        <w:jc w:val="both"/>
        <w:outlineLvl w:val="0"/>
        <w:rPr>
          <w:rFonts w:ascii="Arial" w:eastAsia="MS Gothic" w:hAnsi="Arial" w:cs="Arial"/>
          <w:b/>
          <w:sz w:val="22"/>
          <w:szCs w:val="22"/>
          <w:lang w:val="es-CO"/>
        </w:rPr>
      </w:pPr>
      <w:r w:rsidRPr="008D2838">
        <w:rPr>
          <w:rFonts w:ascii="Arial" w:eastAsia="MS Gothic" w:hAnsi="Arial" w:cs="Arial"/>
          <w:b/>
          <w:sz w:val="22"/>
          <w:szCs w:val="22"/>
          <w:lang w:val="es-CO"/>
        </w:rPr>
        <w:t>EVENTOS DE RIESGO IDENTIFICADOS EN EL MARCO DEL DECRETO 028 DE 2008.</w:t>
      </w:r>
    </w:p>
    <w:p w14:paraId="519BDF80" w14:textId="77777777" w:rsidR="00081708" w:rsidRPr="008D2838" w:rsidRDefault="00081708" w:rsidP="00081708">
      <w:pPr>
        <w:jc w:val="both"/>
        <w:rPr>
          <w:rFonts w:ascii="Arial" w:eastAsia="Calibri" w:hAnsi="Arial" w:cs="Arial"/>
          <w:sz w:val="22"/>
          <w:szCs w:val="22"/>
          <w:lang w:val="es-CO" w:eastAsia="en-US"/>
        </w:rPr>
      </w:pPr>
    </w:p>
    <w:p w14:paraId="63DA17C2" w14:textId="77777777" w:rsidR="00081708" w:rsidRPr="008D2838" w:rsidRDefault="00081708" w:rsidP="00081708">
      <w:pPr>
        <w:tabs>
          <w:tab w:val="left" w:pos="8460"/>
        </w:tabs>
        <w:jc w:val="both"/>
        <w:rPr>
          <w:rFonts w:ascii="Arial" w:hAnsi="Arial" w:cs="Arial"/>
          <w:sz w:val="22"/>
          <w:szCs w:val="22"/>
          <w:lang w:val="es-CO"/>
        </w:rPr>
      </w:pPr>
      <w:r w:rsidRPr="008D2838">
        <w:rPr>
          <w:rFonts w:ascii="Arial" w:hAnsi="Arial" w:cs="Arial"/>
          <w:sz w:val="22"/>
          <w:szCs w:val="22"/>
          <w:lang w:val="es-CO"/>
        </w:rPr>
        <w:t>A partir del análisis de la información remitida por el Distrito de Turbo y el Ministerio de Educación Nacional, se determinó la existencia de los siguientes eventos de riesgo, definidos en el artículo 9 del Decreto 028 de 2008, en relación con el uso de los recursos del Sistema General de Participaciones en el Sector Educación.</w:t>
      </w:r>
    </w:p>
    <w:p w14:paraId="40CE4CDC" w14:textId="77777777" w:rsidR="00081708" w:rsidRPr="008D2838" w:rsidRDefault="00081708" w:rsidP="00081708">
      <w:pPr>
        <w:tabs>
          <w:tab w:val="left" w:pos="284"/>
        </w:tabs>
        <w:rPr>
          <w:rFonts w:ascii="Arial" w:hAnsi="Arial" w:cs="Arial"/>
          <w:b/>
          <w:bCs/>
          <w:sz w:val="22"/>
          <w:szCs w:val="22"/>
          <w:lang w:val="es-CO"/>
        </w:rPr>
      </w:pPr>
    </w:p>
    <w:p w14:paraId="45677687" w14:textId="77777777" w:rsidR="00081708" w:rsidRPr="008D2838" w:rsidRDefault="00081708" w:rsidP="00081708">
      <w:pPr>
        <w:keepNext/>
        <w:keepLines/>
        <w:contextualSpacing/>
        <w:jc w:val="both"/>
        <w:outlineLvl w:val="1"/>
        <w:rPr>
          <w:rFonts w:ascii="Arial" w:eastAsia="MS Gothic" w:hAnsi="Arial" w:cs="Arial"/>
          <w:i/>
          <w:sz w:val="22"/>
          <w:szCs w:val="22"/>
          <w:lang w:val="es-CO"/>
        </w:rPr>
      </w:pPr>
      <w:r w:rsidRPr="008D2838">
        <w:rPr>
          <w:rFonts w:ascii="Arial" w:eastAsia="MS Gothic" w:hAnsi="Arial" w:cs="Arial"/>
          <w:b/>
          <w:bCs/>
          <w:iCs/>
          <w:sz w:val="22"/>
          <w:szCs w:val="22"/>
          <w:lang w:val="es-CO"/>
        </w:rPr>
        <w:lastRenderedPageBreak/>
        <w:t>EVENTO DE RIESGO 9.1.</w:t>
      </w:r>
      <w:r w:rsidRPr="008D2838">
        <w:rPr>
          <w:rFonts w:ascii="Arial" w:eastAsia="MS Gothic" w:hAnsi="Arial" w:cs="Arial"/>
          <w:b/>
          <w:bCs/>
          <w:i/>
          <w:sz w:val="22"/>
          <w:szCs w:val="22"/>
          <w:lang w:val="es-CO"/>
        </w:rPr>
        <w:t xml:space="preserve"> </w:t>
      </w:r>
      <w:r w:rsidRPr="008D2838">
        <w:rPr>
          <w:rFonts w:ascii="Arial" w:eastAsia="MS Gothic" w:hAnsi="Arial" w:cs="Arial"/>
          <w:bCs/>
          <w:i/>
          <w:iCs/>
          <w:sz w:val="22"/>
          <w:szCs w:val="22"/>
          <w:lang w:val="es-CO"/>
        </w:rPr>
        <w:t>“</w:t>
      </w:r>
      <w:r w:rsidRPr="008D2838">
        <w:rPr>
          <w:rFonts w:ascii="Arial" w:eastAsia="MS Gothic" w:hAnsi="Arial" w:cs="Arial"/>
          <w:i/>
          <w:sz w:val="22"/>
          <w:szCs w:val="22"/>
          <w:lang w:val="es-CO"/>
        </w:rPr>
        <w:t>No envío de información conforme a los plazos, condiciones y formatos indicados por el gobierno nacional, y/o haber remitido o entregado información incompleta o errónea”.</w:t>
      </w:r>
    </w:p>
    <w:p w14:paraId="2D3AF462" w14:textId="77777777" w:rsidR="00081708" w:rsidRPr="008D2838" w:rsidRDefault="00081708" w:rsidP="00081708">
      <w:pPr>
        <w:rPr>
          <w:rFonts w:ascii="Arial" w:hAnsi="Arial" w:cs="Arial"/>
          <w:sz w:val="22"/>
          <w:szCs w:val="22"/>
          <w:lang w:val="es-CO"/>
        </w:rPr>
      </w:pPr>
    </w:p>
    <w:p w14:paraId="49BE1730" w14:textId="77777777" w:rsidR="00081708" w:rsidRPr="008D2838" w:rsidRDefault="00081708" w:rsidP="00081708">
      <w:pPr>
        <w:keepNext/>
        <w:keepLines/>
        <w:numPr>
          <w:ilvl w:val="0"/>
          <w:numId w:val="6"/>
        </w:numPr>
        <w:ind w:left="426" w:hanging="426"/>
        <w:contextualSpacing/>
        <w:jc w:val="both"/>
        <w:outlineLvl w:val="2"/>
        <w:rPr>
          <w:rFonts w:ascii="Arial" w:eastAsia="Calibri" w:hAnsi="Arial" w:cs="Arial"/>
          <w:b/>
          <w:sz w:val="22"/>
          <w:szCs w:val="22"/>
          <w:lang w:val="es-CO" w:eastAsia="en-US"/>
        </w:rPr>
      </w:pPr>
      <w:r w:rsidRPr="008D2838">
        <w:rPr>
          <w:rFonts w:ascii="Arial" w:eastAsia="Calibri" w:hAnsi="Arial" w:cs="Arial"/>
          <w:b/>
          <w:sz w:val="22"/>
          <w:szCs w:val="22"/>
          <w:lang w:val="es-CO" w:eastAsia="en-US"/>
        </w:rPr>
        <w:t>Inconsistencias</w:t>
      </w:r>
      <w:r w:rsidRPr="008D2838">
        <w:rPr>
          <w:rFonts w:ascii="Arial" w:eastAsia="Arial" w:hAnsi="Arial" w:cs="Arial"/>
          <w:b/>
          <w:bCs/>
          <w:color w:val="000000" w:themeColor="text1"/>
          <w:sz w:val="22"/>
          <w:szCs w:val="22"/>
          <w:lang w:val="es-CO"/>
        </w:rPr>
        <w:t xml:space="preserve"> en la información del Directorio Único de Establecimientos - DUE</w:t>
      </w:r>
    </w:p>
    <w:p w14:paraId="1C8C6023" w14:textId="77777777" w:rsidR="00081708" w:rsidRPr="008D2838" w:rsidRDefault="00081708" w:rsidP="00081708">
      <w:pPr>
        <w:contextualSpacing/>
        <w:jc w:val="both"/>
        <w:rPr>
          <w:rFonts w:ascii="Arial" w:eastAsia="Calibri" w:hAnsi="Arial" w:cs="Arial"/>
          <w:color w:val="000000"/>
          <w:sz w:val="22"/>
          <w:szCs w:val="22"/>
          <w:lang w:val="es-CO" w:eastAsia="en-US" w:bidi="he-IL"/>
        </w:rPr>
      </w:pPr>
    </w:p>
    <w:p w14:paraId="5050CE12" w14:textId="77777777" w:rsidR="00081708" w:rsidRPr="008D2838" w:rsidRDefault="00081708" w:rsidP="00081708">
      <w:pPr>
        <w:contextualSpacing/>
        <w:jc w:val="both"/>
        <w:rPr>
          <w:rFonts w:ascii="Arial" w:eastAsia="Times New Roman" w:hAnsi="Arial" w:cs="Arial"/>
          <w:color w:val="000000"/>
          <w:sz w:val="22"/>
          <w:szCs w:val="22"/>
          <w:lang w:val="es-CO" w:eastAsia="en-US" w:bidi="he-IL"/>
        </w:rPr>
      </w:pPr>
      <w:r w:rsidRPr="008D2838">
        <w:rPr>
          <w:rFonts w:ascii="Arial" w:eastAsia="Times New Roman" w:hAnsi="Arial" w:cs="Arial"/>
          <w:color w:val="000000"/>
          <w:sz w:val="22"/>
          <w:szCs w:val="22"/>
          <w:lang w:val="es-CO" w:eastAsia="en-US" w:bidi="he-IL"/>
        </w:rPr>
        <w:t>El artículo 32 de la Ley 715 de 2001 plantea como obligación de alcaldes y gobernadores, tener un sistema de información del Sector Educativo, mantenerlo actualizado y reportar oficialmente al Ministerio de Educación Nacional - MEN la información correspondiente a la prestación del Servicio Educativo de forma anual, toda vez que esta información permite una distribución eficiente de los recursos de conformidad con aspectos tales como la matrícula registrada, donde el incumplimiento de estas disposiciones se constituye en una falta grave que acarrea sanciones para los secretarios de educación departamentales, municipales o distritales y para los funcionarios encargados de la administración de la planta o la nómina.</w:t>
      </w:r>
    </w:p>
    <w:p w14:paraId="46FE5A96" w14:textId="77777777" w:rsidR="00081708" w:rsidRPr="008D2838" w:rsidRDefault="00081708" w:rsidP="00081708">
      <w:pPr>
        <w:contextualSpacing/>
        <w:jc w:val="both"/>
        <w:rPr>
          <w:rFonts w:ascii="Arial" w:eastAsia="Times New Roman" w:hAnsi="Arial" w:cs="Arial"/>
          <w:color w:val="000000"/>
          <w:sz w:val="22"/>
          <w:szCs w:val="22"/>
          <w:lang w:val="es-CO" w:eastAsia="en-US" w:bidi="he-IL"/>
        </w:rPr>
      </w:pPr>
    </w:p>
    <w:p w14:paraId="26E6025D" w14:textId="77777777" w:rsidR="00081708" w:rsidRPr="008D2838" w:rsidRDefault="00081708" w:rsidP="00081708">
      <w:pPr>
        <w:contextualSpacing/>
        <w:jc w:val="both"/>
        <w:rPr>
          <w:rFonts w:ascii="Arial" w:eastAsia="Times New Roman" w:hAnsi="Arial" w:cs="Arial"/>
          <w:color w:val="000000"/>
          <w:sz w:val="22"/>
          <w:szCs w:val="22"/>
          <w:lang w:val="es-CO" w:eastAsia="en-US" w:bidi="he-IL"/>
        </w:rPr>
      </w:pPr>
      <w:r w:rsidRPr="008D2838">
        <w:rPr>
          <w:rFonts w:ascii="Arial" w:eastAsia="Times New Roman" w:hAnsi="Arial" w:cs="Arial"/>
          <w:color w:val="000000"/>
          <w:sz w:val="22"/>
          <w:szCs w:val="22"/>
          <w:lang w:val="es-CO" w:eastAsia="en-US" w:bidi="he-IL"/>
        </w:rPr>
        <w:t>Así mismo, los artículos 2.3.6.3 del Decreto 1075 de 2015 y 1 y 2 de la Resolución 166 de 2003 del Ministerio de Educación Nacional determinan la información básica a reportar por parte de las entidades territoriales certificadas además del respectivo cronograma para efectuar el reporte, garantizando la calidad de la información consignada.</w:t>
      </w:r>
    </w:p>
    <w:p w14:paraId="60F56367" w14:textId="77777777" w:rsidR="00081708" w:rsidRPr="008D2838" w:rsidRDefault="00081708" w:rsidP="00081708">
      <w:pPr>
        <w:contextualSpacing/>
        <w:jc w:val="both"/>
        <w:rPr>
          <w:rFonts w:ascii="Arial" w:eastAsia="Times New Roman" w:hAnsi="Arial" w:cs="Arial"/>
          <w:color w:val="000000"/>
          <w:sz w:val="22"/>
          <w:szCs w:val="22"/>
          <w:lang w:val="es-CO" w:eastAsia="en-US" w:bidi="he-IL"/>
        </w:rPr>
      </w:pPr>
    </w:p>
    <w:p w14:paraId="40F35A68" w14:textId="77777777" w:rsidR="00081708" w:rsidRPr="008D2838" w:rsidRDefault="00081708" w:rsidP="00081708">
      <w:pPr>
        <w:contextualSpacing/>
        <w:jc w:val="both"/>
        <w:rPr>
          <w:rFonts w:ascii="Arial" w:eastAsia="Times New Roman" w:hAnsi="Arial" w:cs="Arial"/>
          <w:color w:val="000000"/>
          <w:sz w:val="22"/>
          <w:szCs w:val="22"/>
          <w:lang w:val="es-CO" w:eastAsia="en-US" w:bidi="he-IL"/>
        </w:rPr>
      </w:pPr>
      <w:r w:rsidRPr="008D2838">
        <w:rPr>
          <w:rFonts w:ascii="Arial" w:eastAsia="Times New Roman" w:hAnsi="Arial" w:cs="Arial"/>
          <w:color w:val="000000"/>
          <w:sz w:val="22"/>
          <w:szCs w:val="22"/>
          <w:lang w:val="es-CO" w:eastAsia="en-US" w:bidi="he-IL"/>
        </w:rPr>
        <w:t>El DUE es una herramienta clave para la definición de la asignación de recursos de conformidad con aspectos tales como la matrícula registrada, los giros a establecimientos educativos de los recursos de gratuidad, el número de cargos de directivos docentes requeridos por las entidades territoriales, entre otros. En consecuencia, la desactualización del DUE vulnera la referida normatividad vigente, según la cual las ETC deben contar con sistemas de información del Sector Educativo, así como mantenerlo actualizado.</w:t>
      </w:r>
    </w:p>
    <w:p w14:paraId="52E02883" w14:textId="77777777" w:rsidR="00081708" w:rsidRPr="008D2838" w:rsidRDefault="00081708" w:rsidP="00081708">
      <w:pPr>
        <w:contextualSpacing/>
        <w:jc w:val="both"/>
        <w:rPr>
          <w:rFonts w:ascii="Arial" w:eastAsia="Times New Roman" w:hAnsi="Arial" w:cs="Arial"/>
          <w:color w:val="000000"/>
          <w:sz w:val="22"/>
          <w:szCs w:val="22"/>
          <w:lang w:val="es-CO" w:eastAsia="en-US" w:bidi="he-IL"/>
        </w:rPr>
      </w:pPr>
    </w:p>
    <w:p w14:paraId="7C7F1688" w14:textId="77777777" w:rsidR="00081708" w:rsidRPr="008D2838" w:rsidRDefault="00081708" w:rsidP="00081708">
      <w:pPr>
        <w:contextualSpacing/>
        <w:jc w:val="both"/>
        <w:rPr>
          <w:rFonts w:ascii="Arial" w:eastAsia="Times New Roman" w:hAnsi="Arial" w:cs="Arial"/>
          <w:color w:val="000000"/>
          <w:sz w:val="22"/>
          <w:szCs w:val="22"/>
          <w:lang w:val="es-CO" w:eastAsia="en-US" w:bidi="he-IL"/>
        </w:rPr>
      </w:pPr>
      <w:r w:rsidRPr="008D2838">
        <w:rPr>
          <w:rFonts w:ascii="Arial" w:eastAsia="Times New Roman" w:hAnsi="Arial" w:cs="Arial"/>
          <w:color w:val="000000"/>
          <w:sz w:val="22"/>
          <w:szCs w:val="22"/>
          <w:lang w:val="es-CO" w:eastAsia="en-US" w:bidi="he-IL"/>
        </w:rPr>
        <w:t xml:space="preserve">En ejercicio de sus competencias, el Ministerio de Educación Nacional realiza nueve diferentes validaciones trimestrales </w:t>
      </w:r>
      <w:r w:rsidRPr="008D2838">
        <w:rPr>
          <w:rFonts w:ascii="Arial" w:eastAsia="Times New Roman" w:hAnsi="Arial" w:cs="Arial"/>
          <w:color w:val="000000" w:themeColor="text1"/>
          <w:sz w:val="22"/>
          <w:szCs w:val="22"/>
          <w:lang w:val="es-CO" w:eastAsia="en-US" w:bidi="he-IL"/>
        </w:rPr>
        <w:t xml:space="preserve">sobre la información reportada en los sistemas de información DUE-SIMAT-SINEB (Humano) por parte de las Entidades Territoriales Certificadas en Educación. En ese sentido, de acuerdo con el reporte del Ministerio, en la vigencia 2019, con corte a noviembre se identificaron 9 inconsistencias en los reportes de información. Así mismo, los reportes del Ministerio de Educación Nacional para las siguientes vigencias indican que: a julio de 2021 se evidenciaron 18 errores y a julio de 2022 se reportaron 35 errores como se puede observar en la siguiente tabla: </w:t>
      </w:r>
    </w:p>
    <w:p w14:paraId="329063A8" w14:textId="77777777" w:rsidR="00081708" w:rsidRPr="008D2838" w:rsidRDefault="00081708" w:rsidP="00081708">
      <w:pPr>
        <w:contextualSpacing/>
        <w:jc w:val="both"/>
        <w:rPr>
          <w:rFonts w:ascii="Arial" w:eastAsia="Times New Roman" w:hAnsi="Arial" w:cs="Arial"/>
          <w:color w:val="000000"/>
          <w:sz w:val="22"/>
          <w:szCs w:val="22"/>
          <w:lang w:val="es-CO" w:eastAsia="en-US" w:bidi="he-IL"/>
        </w:rPr>
      </w:pPr>
    </w:p>
    <w:tbl>
      <w:tblPr>
        <w:tblW w:w="5000" w:type="pct"/>
        <w:jc w:val="center"/>
        <w:tblCellMar>
          <w:left w:w="70" w:type="dxa"/>
          <w:right w:w="70" w:type="dxa"/>
        </w:tblCellMar>
        <w:tblLook w:val="04A0" w:firstRow="1" w:lastRow="0" w:firstColumn="1" w:lastColumn="0" w:noHBand="0" w:noVBand="1"/>
      </w:tblPr>
      <w:tblGrid>
        <w:gridCol w:w="966"/>
        <w:gridCol w:w="949"/>
        <w:gridCol w:w="1030"/>
        <w:gridCol w:w="1031"/>
        <w:gridCol w:w="1031"/>
        <w:gridCol w:w="1031"/>
        <w:gridCol w:w="1031"/>
        <w:gridCol w:w="1031"/>
        <w:gridCol w:w="718"/>
      </w:tblGrid>
      <w:tr w:rsidR="00081708" w:rsidRPr="008D2838" w14:paraId="44070053" w14:textId="77777777" w:rsidTr="00081708">
        <w:trPr>
          <w:trHeight w:val="20"/>
          <w:tblHeader/>
          <w:jc w:val="center"/>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1F3864"/>
            <w:vAlign w:val="center"/>
            <w:hideMark/>
          </w:tcPr>
          <w:p w14:paraId="684BEE6F" w14:textId="77777777" w:rsidR="00081708" w:rsidRPr="008D2838" w:rsidRDefault="00081708" w:rsidP="00081708">
            <w:pPr>
              <w:jc w:val="center"/>
              <w:rPr>
                <w:rFonts w:ascii="Arial" w:eastAsia="Times New Roman" w:hAnsi="Arial" w:cs="Arial"/>
                <w:b/>
                <w:bCs/>
                <w:color w:val="FFFFFF"/>
                <w:sz w:val="20"/>
                <w:szCs w:val="20"/>
                <w:lang w:val="es-CO" w:eastAsia="es-MX"/>
              </w:rPr>
            </w:pPr>
            <w:r w:rsidRPr="008D2838">
              <w:rPr>
                <w:rFonts w:ascii="Arial" w:eastAsia="Times New Roman" w:hAnsi="Arial" w:cs="Arial"/>
                <w:b/>
                <w:bCs/>
                <w:color w:val="FFFFFF"/>
                <w:sz w:val="18"/>
                <w:szCs w:val="18"/>
                <w:lang w:val="es-CO" w:eastAsia="es-MX"/>
              </w:rPr>
              <w:t>TABLA 11. VALIDACIONES DUE - SINEB - DUE - SIMAT - HUMANO</w:t>
            </w:r>
            <w:r w:rsidRPr="008D2838">
              <w:rPr>
                <w:rFonts w:ascii="Arial" w:eastAsia="Times New Roman" w:hAnsi="Arial" w:cs="Arial"/>
                <w:color w:val="FFFFFF"/>
                <w:sz w:val="18"/>
                <w:szCs w:val="18"/>
                <w:lang w:val="es-CO" w:eastAsia="es-MX"/>
              </w:rPr>
              <w:t> </w:t>
            </w:r>
          </w:p>
        </w:tc>
      </w:tr>
      <w:tr w:rsidR="00081708" w:rsidRPr="008D2838" w14:paraId="1B33323A" w14:textId="77777777" w:rsidTr="00081708">
        <w:trPr>
          <w:trHeight w:val="20"/>
          <w:tblHeader/>
          <w:jc w:val="center"/>
        </w:trPr>
        <w:tc>
          <w:tcPr>
            <w:tcW w:w="553" w:type="pct"/>
            <w:tcBorders>
              <w:top w:val="nil"/>
              <w:left w:val="single" w:sz="8" w:space="0" w:color="000000"/>
              <w:bottom w:val="single" w:sz="8" w:space="0" w:color="000000"/>
              <w:right w:val="single" w:sz="8" w:space="0" w:color="000000"/>
            </w:tcBorders>
            <w:shd w:val="clear" w:color="auto" w:fill="203764"/>
            <w:vAlign w:val="center"/>
            <w:hideMark/>
          </w:tcPr>
          <w:p w14:paraId="5BA44E7C" w14:textId="77777777" w:rsidR="00081708" w:rsidRPr="008D2838" w:rsidRDefault="00081708" w:rsidP="00081708">
            <w:pPr>
              <w:jc w:val="center"/>
              <w:rPr>
                <w:rFonts w:ascii="Arial" w:eastAsia="Times New Roman" w:hAnsi="Arial" w:cs="Arial"/>
                <w:b/>
                <w:bCs/>
                <w:color w:val="FFFFFF"/>
                <w:sz w:val="16"/>
                <w:szCs w:val="16"/>
                <w:lang w:val="es-CO" w:eastAsia="es-MX"/>
              </w:rPr>
            </w:pPr>
            <w:r w:rsidRPr="008D2838">
              <w:rPr>
                <w:rFonts w:ascii="Arial" w:eastAsia="Times New Roman" w:hAnsi="Arial" w:cs="Arial"/>
                <w:b/>
                <w:bCs/>
                <w:color w:val="FFFFFF"/>
                <w:sz w:val="16"/>
                <w:szCs w:val="16"/>
                <w:lang w:val="es-CO" w:eastAsia="es-MX"/>
              </w:rPr>
              <w:t>VIGENCIA</w:t>
            </w:r>
            <w:r w:rsidRPr="008D2838">
              <w:rPr>
                <w:rFonts w:ascii="Arial" w:eastAsia="Times New Roman" w:hAnsi="Arial" w:cs="Arial"/>
                <w:color w:val="FFFFFF"/>
                <w:sz w:val="16"/>
                <w:szCs w:val="16"/>
                <w:lang w:val="es-CO" w:eastAsia="es-MX"/>
              </w:rPr>
              <w:t> </w:t>
            </w:r>
          </w:p>
        </w:tc>
        <w:tc>
          <w:tcPr>
            <w:tcW w:w="521" w:type="pct"/>
            <w:tcBorders>
              <w:top w:val="nil"/>
              <w:left w:val="nil"/>
              <w:bottom w:val="single" w:sz="8" w:space="0" w:color="000000"/>
              <w:right w:val="single" w:sz="8" w:space="0" w:color="000000"/>
            </w:tcBorders>
            <w:shd w:val="clear" w:color="auto" w:fill="203764"/>
            <w:vAlign w:val="center"/>
            <w:hideMark/>
          </w:tcPr>
          <w:p w14:paraId="4963DF2F" w14:textId="77777777" w:rsidR="00081708" w:rsidRPr="008D2838" w:rsidRDefault="00081708" w:rsidP="00081708">
            <w:pPr>
              <w:jc w:val="center"/>
              <w:rPr>
                <w:rFonts w:ascii="Arial" w:eastAsia="Times New Roman" w:hAnsi="Arial" w:cs="Arial"/>
                <w:b/>
                <w:bCs/>
                <w:color w:val="FFFFFF"/>
                <w:sz w:val="16"/>
                <w:szCs w:val="16"/>
                <w:lang w:val="es-CO" w:eastAsia="es-MX"/>
              </w:rPr>
            </w:pPr>
            <w:r w:rsidRPr="008D2838">
              <w:rPr>
                <w:rFonts w:ascii="Arial" w:eastAsia="Times New Roman" w:hAnsi="Arial" w:cs="Arial"/>
                <w:b/>
                <w:bCs/>
                <w:color w:val="FFFFFF"/>
                <w:sz w:val="16"/>
                <w:szCs w:val="16"/>
                <w:lang w:val="es-CO" w:eastAsia="es-MX"/>
              </w:rPr>
              <w:t>CRITERIO</w:t>
            </w:r>
            <w:r w:rsidRPr="008D2838">
              <w:rPr>
                <w:rFonts w:ascii="Arial" w:eastAsia="Times New Roman" w:hAnsi="Arial" w:cs="Arial"/>
                <w:color w:val="FFFFFF"/>
                <w:sz w:val="16"/>
                <w:szCs w:val="16"/>
                <w:lang w:val="es-CO" w:eastAsia="es-MX"/>
              </w:rPr>
              <w:t> </w:t>
            </w:r>
          </w:p>
        </w:tc>
        <w:tc>
          <w:tcPr>
            <w:tcW w:w="589" w:type="pct"/>
            <w:tcBorders>
              <w:top w:val="nil"/>
              <w:left w:val="nil"/>
              <w:bottom w:val="single" w:sz="8" w:space="0" w:color="000000"/>
              <w:right w:val="single" w:sz="8" w:space="0" w:color="000000"/>
            </w:tcBorders>
            <w:shd w:val="clear" w:color="auto" w:fill="203764"/>
            <w:vAlign w:val="center"/>
            <w:hideMark/>
          </w:tcPr>
          <w:p w14:paraId="1775FCBF" w14:textId="77777777" w:rsidR="00081708" w:rsidRPr="008D2838" w:rsidRDefault="00081708" w:rsidP="00081708">
            <w:pPr>
              <w:jc w:val="center"/>
              <w:rPr>
                <w:rFonts w:ascii="Arial" w:eastAsia="Times New Roman" w:hAnsi="Arial" w:cs="Arial"/>
                <w:b/>
                <w:bCs/>
                <w:color w:val="FFFFFF"/>
                <w:sz w:val="16"/>
                <w:szCs w:val="16"/>
                <w:lang w:val="es-CO" w:eastAsia="es-MX"/>
              </w:rPr>
            </w:pPr>
            <w:r w:rsidRPr="008D2838">
              <w:rPr>
                <w:rFonts w:ascii="Arial" w:eastAsia="Times New Roman" w:hAnsi="Arial" w:cs="Arial"/>
                <w:b/>
                <w:bCs/>
                <w:color w:val="FFFFFF"/>
                <w:sz w:val="16"/>
                <w:szCs w:val="16"/>
                <w:lang w:val="es-CO" w:eastAsia="es-MX"/>
              </w:rPr>
              <w:t>Validación 1</w:t>
            </w:r>
            <w:r w:rsidRPr="008D2838">
              <w:rPr>
                <w:rFonts w:ascii="Arial" w:eastAsia="Times New Roman" w:hAnsi="Arial" w:cs="Arial"/>
                <w:color w:val="FFFFFF"/>
                <w:sz w:val="16"/>
                <w:szCs w:val="16"/>
                <w:lang w:val="es-CO" w:eastAsia="es-MX"/>
              </w:rPr>
              <w:t> </w:t>
            </w:r>
          </w:p>
        </w:tc>
        <w:tc>
          <w:tcPr>
            <w:tcW w:w="589" w:type="pct"/>
            <w:tcBorders>
              <w:top w:val="nil"/>
              <w:left w:val="nil"/>
              <w:bottom w:val="single" w:sz="8" w:space="0" w:color="000000"/>
              <w:right w:val="single" w:sz="8" w:space="0" w:color="000000"/>
            </w:tcBorders>
            <w:shd w:val="clear" w:color="auto" w:fill="203764"/>
            <w:vAlign w:val="center"/>
            <w:hideMark/>
          </w:tcPr>
          <w:p w14:paraId="246DE9BB" w14:textId="77777777" w:rsidR="00081708" w:rsidRPr="008D2838" w:rsidRDefault="00081708" w:rsidP="00081708">
            <w:pPr>
              <w:jc w:val="center"/>
              <w:rPr>
                <w:rFonts w:ascii="Arial" w:eastAsia="Times New Roman" w:hAnsi="Arial" w:cs="Arial"/>
                <w:b/>
                <w:bCs/>
                <w:color w:val="FFFFFF"/>
                <w:sz w:val="16"/>
                <w:szCs w:val="16"/>
                <w:lang w:val="es-CO" w:eastAsia="es-MX"/>
              </w:rPr>
            </w:pPr>
            <w:r w:rsidRPr="008D2838">
              <w:rPr>
                <w:rFonts w:ascii="Arial" w:eastAsia="Times New Roman" w:hAnsi="Arial" w:cs="Arial"/>
                <w:b/>
                <w:bCs/>
                <w:color w:val="FFFFFF"/>
                <w:sz w:val="16"/>
                <w:szCs w:val="16"/>
                <w:lang w:val="es-CO" w:eastAsia="es-MX"/>
              </w:rPr>
              <w:t>Validación 2</w:t>
            </w:r>
            <w:r w:rsidRPr="008D2838">
              <w:rPr>
                <w:rFonts w:ascii="Arial" w:eastAsia="Times New Roman" w:hAnsi="Arial" w:cs="Arial"/>
                <w:color w:val="FFFFFF"/>
                <w:sz w:val="16"/>
                <w:szCs w:val="16"/>
                <w:lang w:val="es-CO" w:eastAsia="es-MX"/>
              </w:rPr>
              <w:t> </w:t>
            </w:r>
          </w:p>
        </w:tc>
        <w:tc>
          <w:tcPr>
            <w:tcW w:w="589" w:type="pct"/>
            <w:tcBorders>
              <w:top w:val="nil"/>
              <w:left w:val="nil"/>
              <w:bottom w:val="single" w:sz="8" w:space="0" w:color="000000"/>
              <w:right w:val="single" w:sz="8" w:space="0" w:color="000000"/>
            </w:tcBorders>
            <w:shd w:val="clear" w:color="auto" w:fill="203764"/>
            <w:vAlign w:val="center"/>
            <w:hideMark/>
          </w:tcPr>
          <w:p w14:paraId="27AC6335" w14:textId="77777777" w:rsidR="00081708" w:rsidRPr="008D2838" w:rsidRDefault="00081708" w:rsidP="00081708">
            <w:pPr>
              <w:jc w:val="center"/>
              <w:rPr>
                <w:rFonts w:ascii="Arial" w:eastAsia="Times New Roman" w:hAnsi="Arial" w:cs="Arial"/>
                <w:b/>
                <w:bCs/>
                <w:color w:val="FFFFFF"/>
                <w:sz w:val="16"/>
                <w:szCs w:val="16"/>
                <w:lang w:val="es-CO" w:eastAsia="es-MX"/>
              </w:rPr>
            </w:pPr>
            <w:r w:rsidRPr="008D2838">
              <w:rPr>
                <w:rFonts w:ascii="Arial" w:eastAsia="Times New Roman" w:hAnsi="Arial" w:cs="Arial"/>
                <w:b/>
                <w:bCs/>
                <w:color w:val="FFFFFF"/>
                <w:sz w:val="16"/>
                <w:szCs w:val="16"/>
                <w:lang w:val="es-CO" w:eastAsia="es-MX"/>
              </w:rPr>
              <w:t>Validación 3</w:t>
            </w:r>
            <w:r w:rsidRPr="008D2838">
              <w:rPr>
                <w:rFonts w:ascii="Arial" w:eastAsia="Times New Roman" w:hAnsi="Arial" w:cs="Arial"/>
                <w:color w:val="FFFFFF"/>
                <w:sz w:val="16"/>
                <w:szCs w:val="16"/>
                <w:lang w:val="es-CO" w:eastAsia="es-MX"/>
              </w:rPr>
              <w:t> </w:t>
            </w:r>
          </w:p>
        </w:tc>
        <w:tc>
          <w:tcPr>
            <w:tcW w:w="589" w:type="pct"/>
            <w:tcBorders>
              <w:top w:val="nil"/>
              <w:left w:val="nil"/>
              <w:bottom w:val="single" w:sz="8" w:space="0" w:color="000000"/>
              <w:right w:val="single" w:sz="8" w:space="0" w:color="000000"/>
            </w:tcBorders>
            <w:shd w:val="clear" w:color="auto" w:fill="203764"/>
            <w:vAlign w:val="center"/>
            <w:hideMark/>
          </w:tcPr>
          <w:p w14:paraId="1B66AB8B" w14:textId="77777777" w:rsidR="00081708" w:rsidRPr="008D2838" w:rsidRDefault="00081708" w:rsidP="00081708">
            <w:pPr>
              <w:jc w:val="center"/>
              <w:rPr>
                <w:rFonts w:ascii="Arial" w:eastAsia="Times New Roman" w:hAnsi="Arial" w:cs="Arial"/>
                <w:b/>
                <w:bCs/>
                <w:color w:val="FFFFFF"/>
                <w:sz w:val="16"/>
                <w:szCs w:val="16"/>
                <w:lang w:val="es-CO" w:eastAsia="es-MX"/>
              </w:rPr>
            </w:pPr>
            <w:r w:rsidRPr="008D2838">
              <w:rPr>
                <w:rFonts w:ascii="Arial" w:eastAsia="Times New Roman" w:hAnsi="Arial" w:cs="Arial"/>
                <w:b/>
                <w:bCs/>
                <w:color w:val="FFFFFF"/>
                <w:sz w:val="16"/>
                <w:szCs w:val="16"/>
                <w:lang w:val="es-CO" w:eastAsia="es-MX"/>
              </w:rPr>
              <w:t>Validación 4</w:t>
            </w:r>
            <w:r w:rsidRPr="008D2838">
              <w:rPr>
                <w:rFonts w:ascii="Arial" w:eastAsia="Times New Roman" w:hAnsi="Arial" w:cs="Arial"/>
                <w:color w:val="FFFFFF"/>
                <w:sz w:val="16"/>
                <w:szCs w:val="16"/>
                <w:lang w:val="es-CO" w:eastAsia="es-MX"/>
              </w:rPr>
              <w:t> </w:t>
            </w:r>
          </w:p>
        </w:tc>
        <w:tc>
          <w:tcPr>
            <w:tcW w:w="589" w:type="pct"/>
            <w:tcBorders>
              <w:top w:val="nil"/>
              <w:left w:val="nil"/>
              <w:bottom w:val="single" w:sz="8" w:space="0" w:color="000000"/>
              <w:right w:val="single" w:sz="8" w:space="0" w:color="000000"/>
            </w:tcBorders>
            <w:shd w:val="clear" w:color="auto" w:fill="203764"/>
            <w:vAlign w:val="center"/>
            <w:hideMark/>
          </w:tcPr>
          <w:p w14:paraId="4CCFAB51" w14:textId="77777777" w:rsidR="00081708" w:rsidRPr="008D2838" w:rsidRDefault="00081708" w:rsidP="00081708">
            <w:pPr>
              <w:jc w:val="center"/>
              <w:rPr>
                <w:rFonts w:ascii="Arial" w:eastAsia="Times New Roman" w:hAnsi="Arial" w:cs="Arial"/>
                <w:b/>
                <w:bCs/>
                <w:color w:val="FFFFFF"/>
                <w:sz w:val="16"/>
                <w:szCs w:val="16"/>
                <w:lang w:val="es-CO" w:eastAsia="es-MX"/>
              </w:rPr>
            </w:pPr>
            <w:r w:rsidRPr="008D2838">
              <w:rPr>
                <w:rFonts w:ascii="Arial" w:eastAsia="Times New Roman" w:hAnsi="Arial" w:cs="Arial"/>
                <w:b/>
                <w:bCs/>
                <w:color w:val="FFFFFF"/>
                <w:sz w:val="16"/>
                <w:szCs w:val="16"/>
                <w:lang w:val="es-CO" w:eastAsia="es-MX"/>
              </w:rPr>
              <w:t>Validación 5</w:t>
            </w:r>
            <w:r w:rsidRPr="008D2838">
              <w:rPr>
                <w:rFonts w:ascii="Arial" w:eastAsia="Times New Roman" w:hAnsi="Arial" w:cs="Arial"/>
                <w:color w:val="FFFFFF"/>
                <w:sz w:val="16"/>
                <w:szCs w:val="16"/>
                <w:lang w:val="es-CO" w:eastAsia="es-MX"/>
              </w:rPr>
              <w:t> </w:t>
            </w:r>
          </w:p>
        </w:tc>
        <w:tc>
          <w:tcPr>
            <w:tcW w:w="589" w:type="pct"/>
            <w:tcBorders>
              <w:top w:val="nil"/>
              <w:left w:val="nil"/>
              <w:bottom w:val="single" w:sz="8" w:space="0" w:color="000000"/>
              <w:right w:val="single" w:sz="8" w:space="0" w:color="000000"/>
            </w:tcBorders>
            <w:shd w:val="clear" w:color="auto" w:fill="203764"/>
            <w:vAlign w:val="center"/>
            <w:hideMark/>
          </w:tcPr>
          <w:p w14:paraId="55EC28A1" w14:textId="77777777" w:rsidR="00081708" w:rsidRPr="008D2838" w:rsidRDefault="00081708" w:rsidP="00081708">
            <w:pPr>
              <w:jc w:val="center"/>
              <w:rPr>
                <w:rFonts w:ascii="Arial" w:eastAsia="Times New Roman" w:hAnsi="Arial" w:cs="Arial"/>
                <w:b/>
                <w:bCs/>
                <w:color w:val="FFFFFF"/>
                <w:sz w:val="16"/>
                <w:szCs w:val="16"/>
                <w:lang w:val="es-CO" w:eastAsia="es-MX"/>
              </w:rPr>
            </w:pPr>
            <w:r w:rsidRPr="008D2838">
              <w:rPr>
                <w:rFonts w:ascii="Arial" w:eastAsia="Times New Roman" w:hAnsi="Arial" w:cs="Arial"/>
                <w:b/>
                <w:bCs/>
                <w:color w:val="FFFFFF"/>
                <w:sz w:val="16"/>
                <w:szCs w:val="16"/>
                <w:lang w:val="es-CO" w:eastAsia="es-MX"/>
              </w:rPr>
              <w:t>Validación 9</w:t>
            </w:r>
            <w:r w:rsidRPr="008D2838">
              <w:rPr>
                <w:rFonts w:ascii="Arial" w:eastAsia="Times New Roman" w:hAnsi="Arial" w:cs="Arial"/>
                <w:color w:val="FFFFFF"/>
                <w:sz w:val="16"/>
                <w:szCs w:val="16"/>
                <w:lang w:val="es-CO" w:eastAsia="es-MX"/>
              </w:rPr>
              <w:t> </w:t>
            </w:r>
          </w:p>
        </w:tc>
        <w:tc>
          <w:tcPr>
            <w:tcW w:w="394" w:type="pct"/>
            <w:tcBorders>
              <w:top w:val="nil"/>
              <w:left w:val="nil"/>
              <w:bottom w:val="single" w:sz="8" w:space="0" w:color="000000"/>
              <w:right w:val="single" w:sz="8" w:space="0" w:color="000000"/>
            </w:tcBorders>
            <w:shd w:val="clear" w:color="auto" w:fill="203764"/>
            <w:vAlign w:val="center"/>
            <w:hideMark/>
          </w:tcPr>
          <w:p w14:paraId="5FDF7909" w14:textId="77777777" w:rsidR="00081708" w:rsidRPr="008D2838" w:rsidRDefault="00081708" w:rsidP="00081708">
            <w:pPr>
              <w:jc w:val="center"/>
              <w:rPr>
                <w:rFonts w:ascii="Arial" w:eastAsia="Times New Roman" w:hAnsi="Arial" w:cs="Arial"/>
                <w:b/>
                <w:bCs/>
                <w:color w:val="FFFFFF"/>
                <w:sz w:val="16"/>
                <w:szCs w:val="16"/>
                <w:lang w:val="es-CO" w:eastAsia="es-MX"/>
              </w:rPr>
            </w:pPr>
            <w:r w:rsidRPr="008D2838">
              <w:rPr>
                <w:rFonts w:ascii="Arial" w:eastAsia="Times New Roman" w:hAnsi="Arial" w:cs="Arial"/>
                <w:b/>
                <w:bCs/>
                <w:color w:val="FFFFFF"/>
                <w:sz w:val="16"/>
                <w:szCs w:val="16"/>
                <w:lang w:val="es-CO" w:eastAsia="es-MX"/>
              </w:rPr>
              <w:t>TOTAL</w:t>
            </w:r>
            <w:r w:rsidRPr="008D2838">
              <w:rPr>
                <w:rFonts w:ascii="Arial" w:eastAsia="Times New Roman" w:hAnsi="Arial" w:cs="Arial"/>
                <w:color w:val="FFFFFF"/>
                <w:sz w:val="16"/>
                <w:szCs w:val="16"/>
                <w:lang w:val="es-CO" w:eastAsia="es-MX"/>
              </w:rPr>
              <w:t> </w:t>
            </w:r>
          </w:p>
        </w:tc>
      </w:tr>
      <w:tr w:rsidR="00081708" w:rsidRPr="008D2838" w14:paraId="137831DB" w14:textId="77777777" w:rsidTr="00081708">
        <w:trPr>
          <w:trHeight w:val="20"/>
          <w:jc w:val="center"/>
        </w:trPr>
        <w:tc>
          <w:tcPr>
            <w:tcW w:w="553" w:type="pct"/>
            <w:tcBorders>
              <w:top w:val="nil"/>
              <w:left w:val="single" w:sz="8" w:space="0" w:color="000000"/>
              <w:bottom w:val="single" w:sz="8" w:space="0" w:color="000000"/>
              <w:right w:val="single" w:sz="8" w:space="0" w:color="000000"/>
            </w:tcBorders>
            <w:shd w:val="clear" w:color="auto" w:fill="8EA9DB"/>
            <w:vAlign w:val="center"/>
            <w:hideMark/>
          </w:tcPr>
          <w:p w14:paraId="161A9A63" w14:textId="77777777" w:rsidR="00081708" w:rsidRPr="008D2838" w:rsidRDefault="00081708" w:rsidP="00081708">
            <w:pPr>
              <w:jc w:val="center"/>
              <w:rPr>
                <w:rFonts w:ascii="Arial" w:eastAsia="Times New Roman" w:hAnsi="Arial" w:cs="Arial"/>
                <w:b/>
                <w:bCs/>
                <w:color w:val="FFFFFF"/>
                <w:sz w:val="16"/>
                <w:szCs w:val="16"/>
                <w:lang w:val="es-CO" w:eastAsia="es-MX"/>
              </w:rPr>
            </w:pPr>
            <w:r w:rsidRPr="008D2838">
              <w:rPr>
                <w:rFonts w:ascii="Arial" w:eastAsia="Times New Roman" w:hAnsi="Arial" w:cs="Arial"/>
                <w:b/>
                <w:bCs/>
                <w:color w:val="FFFFFF"/>
                <w:sz w:val="16"/>
                <w:szCs w:val="16"/>
                <w:lang w:val="es-CO" w:eastAsia="es-MX"/>
              </w:rPr>
              <w:t>2019-Nov</w:t>
            </w:r>
            <w:r w:rsidRPr="008D2838">
              <w:rPr>
                <w:rFonts w:ascii="Arial" w:eastAsia="Times New Roman" w:hAnsi="Arial" w:cs="Arial"/>
                <w:color w:val="FFFFFF"/>
                <w:sz w:val="16"/>
                <w:szCs w:val="16"/>
                <w:lang w:val="es-CO" w:eastAsia="es-MX"/>
              </w:rPr>
              <w:t> </w:t>
            </w:r>
          </w:p>
        </w:tc>
        <w:tc>
          <w:tcPr>
            <w:tcW w:w="521" w:type="pct"/>
            <w:tcBorders>
              <w:top w:val="nil"/>
              <w:left w:val="nil"/>
              <w:bottom w:val="single" w:sz="8" w:space="0" w:color="000000"/>
              <w:right w:val="single" w:sz="8" w:space="0" w:color="000000"/>
            </w:tcBorders>
            <w:vAlign w:val="center"/>
            <w:hideMark/>
          </w:tcPr>
          <w:p w14:paraId="15A18E1A" w14:textId="77777777" w:rsidR="00081708" w:rsidRPr="008D2838" w:rsidRDefault="00081708" w:rsidP="00081708">
            <w:pPr>
              <w:rPr>
                <w:rFonts w:ascii="Arial" w:eastAsia="Times New Roman" w:hAnsi="Arial" w:cs="Arial"/>
                <w:b/>
                <w:bCs/>
                <w:color w:val="000000"/>
                <w:sz w:val="16"/>
                <w:szCs w:val="16"/>
                <w:lang w:val="es-CO" w:eastAsia="es-MX"/>
              </w:rPr>
            </w:pPr>
            <w:r w:rsidRPr="008D2838">
              <w:rPr>
                <w:rFonts w:ascii="Arial" w:eastAsia="Times New Roman" w:hAnsi="Arial" w:cs="Arial"/>
                <w:b/>
                <w:bCs/>
                <w:color w:val="000000"/>
                <w:sz w:val="16"/>
                <w:szCs w:val="16"/>
                <w:lang w:val="es-CO" w:eastAsia="es-MX"/>
              </w:rPr>
              <w:t>No Válido</w:t>
            </w:r>
            <w:r w:rsidRPr="008D2838">
              <w:rPr>
                <w:rFonts w:ascii="Arial" w:eastAsia="Times New Roman" w:hAnsi="Arial" w:cs="Arial"/>
                <w:color w:val="000000"/>
                <w:sz w:val="16"/>
                <w:szCs w:val="16"/>
                <w:lang w:val="es-CO" w:eastAsia="es-MX"/>
              </w:rPr>
              <w:t> </w:t>
            </w:r>
          </w:p>
        </w:tc>
        <w:tc>
          <w:tcPr>
            <w:tcW w:w="589" w:type="pct"/>
            <w:tcBorders>
              <w:top w:val="nil"/>
              <w:left w:val="nil"/>
              <w:bottom w:val="single" w:sz="8" w:space="0" w:color="000000"/>
              <w:right w:val="single" w:sz="8" w:space="0" w:color="000000"/>
            </w:tcBorders>
            <w:vAlign w:val="center"/>
            <w:hideMark/>
          </w:tcPr>
          <w:p w14:paraId="71D52F85"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6</w:t>
            </w:r>
          </w:p>
        </w:tc>
        <w:tc>
          <w:tcPr>
            <w:tcW w:w="589" w:type="pct"/>
            <w:tcBorders>
              <w:top w:val="nil"/>
              <w:left w:val="nil"/>
              <w:bottom w:val="single" w:sz="8" w:space="0" w:color="000000"/>
              <w:right w:val="single" w:sz="8" w:space="0" w:color="000000"/>
            </w:tcBorders>
            <w:vAlign w:val="center"/>
            <w:hideMark/>
          </w:tcPr>
          <w:p w14:paraId="1A8CE460"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1</w:t>
            </w:r>
          </w:p>
        </w:tc>
        <w:tc>
          <w:tcPr>
            <w:tcW w:w="589" w:type="pct"/>
            <w:tcBorders>
              <w:top w:val="nil"/>
              <w:left w:val="nil"/>
              <w:bottom w:val="single" w:sz="8" w:space="0" w:color="000000"/>
              <w:right w:val="single" w:sz="8" w:space="0" w:color="000000"/>
            </w:tcBorders>
            <w:vAlign w:val="center"/>
            <w:hideMark/>
          </w:tcPr>
          <w:p w14:paraId="2A21EF73"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0</w:t>
            </w:r>
          </w:p>
        </w:tc>
        <w:tc>
          <w:tcPr>
            <w:tcW w:w="589" w:type="pct"/>
            <w:tcBorders>
              <w:top w:val="nil"/>
              <w:left w:val="nil"/>
              <w:bottom w:val="single" w:sz="8" w:space="0" w:color="000000"/>
              <w:right w:val="single" w:sz="8" w:space="0" w:color="000000"/>
            </w:tcBorders>
            <w:vAlign w:val="center"/>
            <w:hideMark/>
          </w:tcPr>
          <w:p w14:paraId="72EBC792"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0</w:t>
            </w:r>
          </w:p>
        </w:tc>
        <w:tc>
          <w:tcPr>
            <w:tcW w:w="589" w:type="pct"/>
            <w:tcBorders>
              <w:top w:val="nil"/>
              <w:left w:val="nil"/>
              <w:bottom w:val="single" w:sz="8" w:space="0" w:color="000000"/>
              <w:right w:val="single" w:sz="8" w:space="0" w:color="000000"/>
            </w:tcBorders>
            <w:vAlign w:val="center"/>
            <w:hideMark/>
          </w:tcPr>
          <w:p w14:paraId="5A54201A"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1</w:t>
            </w:r>
          </w:p>
        </w:tc>
        <w:tc>
          <w:tcPr>
            <w:tcW w:w="589" w:type="pct"/>
            <w:tcBorders>
              <w:top w:val="nil"/>
              <w:left w:val="nil"/>
              <w:bottom w:val="single" w:sz="8" w:space="0" w:color="000000"/>
              <w:right w:val="single" w:sz="8" w:space="0" w:color="000000"/>
            </w:tcBorders>
            <w:vAlign w:val="center"/>
            <w:hideMark/>
          </w:tcPr>
          <w:p w14:paraId="68606D38"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1</w:t>
            </w:r>
          </w:p>
        </w:tc>
        <w:tc>
          <w:tcPr>
            <w:tcW w:w="394" w:type="pct"/>
            <w:tcBorders>
              <w:top w:val="nil"/>
              <w:left w:val="nil"/>
              <w:bottom w:val="single" w:sz="8" w:space="0" w:color="000000"/>
              <w:right w:val="single" w:sz="8" w:space="0" w:color="000000"/>
            </w:tcBorders>
            <w:vAlign w:val="center"/>
            <w:hideMark/>
          </w:tcPr>
          <w:p w14:paraId="564AED23"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9</w:t>
            </w:r>
          </w:p>
        </w:tc>
      </w:tr>
      <w:tr w:rsidR="00081708" w:rsidRPr="008D2838" w14:paraId="7B16CC1A" w14:textId="77777777" w:rsidTr="00081708">
        <w:trPr>
          <w:trHeight w:val="20"/>
          <w:jc w:val="center"/>
        </w:trPr>
        <w:tc>
          <w:tcPr>
            <w:tcW w:w="553" w:type="pct"/>
            <w:tcBorders>
              <w:top w:val="nil"/>
              <w:left w:val="single" w:sz="8" w:space="0" w:color="000000"/>
              <w:bottom w:val="single" w:sz="8" w:space="0" w:color="000000"/>
              <w:right w:val="single" w:sz="8" w:space="0" w:color="000000"/>
            </w:tcBorders>
            <w:shd w:val="clear" w:color="auto" w:fill="8EA9DB"/>
            <w:vAlign w:val="center"/>
            <w:hideMark/>
          </w:tcPr>
          <w:p w14:paraId="051D65BF" w14:textId="77777777" w:rsidR="00081708" w:rsidRPr="008D2838" w:rsidRDefault="00081708" w:rsidP="00081708">
            <w:pPr>
              <w:jc w:val="center"/>
              <w:rPr>
                <w:rFonts w:ascii="Arial" w:eastAsia="Times New Roman" w:hAnsi="Arial" w:cs="Arial"/>
                <w:b/>
                <w:bCs/>
                <w:color w:val="FFFFFF"/>
                <w:sz w:val="16"/>
                <w:szCs w:val="16"/>
                <w:lang w:val="es-CO" w:eastAsia="es-MX"/>
              </w:rPr>
            </w:pPr>
            <w:r w:rsidRPr="008D2838">
              <w:rPr>
                <w:rFonts w:ascii="Arial" w:eastAsia="Times New Roman" w:hAnsi="Arial" w:cs="Arial"/>
                <w:b/>
                <w:bCs/>
                <w:color w:val="FFFFFF"/>
                <w:sz w:val="16"/>
                <w:szCs w:val="16"/>
                <w:lang w:val="es-CO" w:eastAsia="es-MX"/>
              </w:rPr>
              <w:t>2021</w:t>
            </w:r>
            <w:r w:rsidRPr="008D2838">
              <w:rPr>
                <w:rFonts w:ascii="Arial" w:eastAsia="Times New Roman" w:hAnsi="Arial" w:cs="Arial"/>
                <w:color w:val="FFFFFF"/>
                <w:sz w:val="16"/>
                <w:szCs w:val="16"/>
                <w:lang w:val="es-CO" w:eastAsia="es-MX"/>
              </w:rPr>
              <w:t xml:space="preserve"> - </w:t>
            </w:r>
            <w:r w:rsidRPr="008D2838">
              <w:rPr>
                <w:rFonts w:ascii="Arial" w:eastAsia="Times New Roman" w:hAnsi="Arial" w:cs="Arial"/>
                <w:b/>
                <w:bCs/>
                <w:color w:val="FFFFFF"/>
                <w:sz w:val="16"/>
                <w:szCs w:val="16"/>
                <w:lang w:val="es-CO" w:eastAsia="es-MX"/>
              </w:rPr>
              <w:t>Jul</w:t>
            </w:r>
          </w:p>
        </w:tc>
        <w:tc>
          <w:tcPr>
            <w:tcW w:w="521" w:type="pct"/>
            <w:tcBorders>
              <w:top w:val="nil"/>
              <w:left w:val="nil"/>
              <w:bottom w:val="single" w:sz="8" w:space="0" w:color="000000"/>
              <w:right w:val="single" w:sz="8" w:space="0" w:color="000000"/>
            </w:tcBorders>
            <w:vAlign w:val="center"/>
            <w:hideMark/>
          </w:tcPr>
          <w:p w14:paraId="53D4F2EE" w14:textId="77777777" w:rsidR="00081708" w:rsidRPr="008D2838" w:rsidRDefault="00081708" w:rsidP="00081708">
            <w:pPr>
              <w:rPr>
                <w:rFonts w:ascii="Arial" w:eastAsia="Times New Roman" w:hAnsi="Arial" w:cs="Arial"/>
                <w:b/>
                <w:bCs/>
                <w:color w:val="000000"/>
                <w:sz w:val="16"/>
                <w:szCs w:val="16"/>
                <w:lang w:val="es-CO" w:eastAsia="es-MX"/>
              </w:rPr>
            </w:pPr>
            <w:r w:rsidRPr="008D2838">
              <w:rPr>
                <w:rFonts w:ascii="Arial" w:eastAsia="Times New Roman" w:hAnsi="Arial" w:cs="Arial"/>
                <w:b/>
                <w:bCs/>
                <w:color w:val="000000"/>
                <w:sz w:val="16"/>
                <w:szCs w:val="16"/>
                <w:lang w:val="es-CO" w:eastAsia="es-MX"/>
              </w:rPr>
              <w:t>No Válido</w:t>
            </w:r>
            <w:r w:rsidRPr="008D2838">
              <w:rPr>
                <w:rFonts w:ascii="Arial" w:eastAsia="Times New Roman" w:hAnsi="Arial" w:cs="Arial"/>
                <w:color w:val="000000"/>
                <w:sz w:val="16"/>
                <w:szCs w:val="16"/>
                <w:lang w:val="es-CO" w:eastAsia="es-MX"/>
              </w:rPr>
              <w:t> </w:t>
            </w:r>
          </w:p>
        </w:tc>
        <w:tc>
          <w:tcPr>
            <w:tcW w:w="589" w:type="pct"/>
            <w:tcBorders>
              <w:top w:val="nil"/>
              <w:left w:val="nil"/>
              <w:bottom w:val="single" w:sz="8" w:space="0" w:color="000000"/>
              <w:right w:val="single" w:sz="8" w:space="0" w:color="000000"/>
            </w:tcBorders>
            <w:vAlign w:val="center"/>
            <w:hideMark/>
          </w:tcPr>
          <w:p w14:paraId="2B786430"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11</w:t>
            </w:r>
          </w:p>
        </w:tc>
        <w:tc>
          <w:tcPr>
            <w:tcW w:w="589" w:type="pct"/>
            <w:tcBorders>
              <w:top w:val="nil"/>
              <w:left w:val="nil"/>
              <w:bottom w:val="single" w:sz="8" w:space="0" w:color="000000"/>
              <w:right w:val="single" w:sz="8" w:space="0" w:color="000000"/>
            </w:tcBorders>
            <w:vAlign w:val="center"/>
            <w:hideMark/>
          </w:tcPr>
          <w:p w14:paraId="44A8431B"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2</w:t>
            </w:r>
          </w:p>
        </w:tc>
        <w:tc>
          <w:tcPr>
            <w:tcW w:w="589" w:type="pct"/>
            <w:tcBorders>
              <w:top w:val="nil"/>
              <w:left w:val="nil"/>
              <w:bottom w:val="single" w:sz="8" w:space="0" w:color="000000"/>
              <w:right w:val="single" w:sz="8" w:space="0" w:color="000000"/>
            </w:tcBorders>
            <w:vAlign w:val="center"/>
            <w:hideMark/>
          </w:tcPr>
          <w:p w14:paraId="06232918"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2</w:t>
            </w:r>
          </w:p>
        </w:tc>
        <w:tc>
          <w:tcPr>
            <w:tcW w:w="589" w:type="pct"/>
            <w:tcBorders>
              <w:top w:val="nil"/>
              <w:left w:val="nil"/>
              <w:bottom w:val="single" w:sz="8" w:space="0" w:color="000000"/>
              <w:right w:val="single" w:sz="8" w:space="0" w:color="000000"/>
            </w:tcBorders>
            <w:vAlign w:val="center"/>
            <w:hideMark/>
          </w:tcPr>
          <w:p w14:paraId="0DEC3FBC"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2</w:t>
            </w:r>
          </w:p>
        </w:tc>
        <w:tc>
          <w:tcPr>
            <w:tcW w:w="589" w:type="pct"/>
            <w:tcBorders>
              <w:top w:val="nil"/>
              <w:left w:val="nil"/>
              <w:bottom w:val="single" w:sz="8" w:space="0" w:color="000000"/>
              <w:right w:val="single" w:sz="8" w:space="0" w:color="000000"/>
            </w:tcBorders>
            <w:vAlign w:val="center"/>
            <w:hideMark/>
          </w:tcPr>
          <w:p w14:paraId="3B55C3BF"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0</w:t>
            </w:r>
          </w:p>
        </w:tc>
        <w:tc>
          <w:tcPr>
            <w:tcW w:w="589" w:type="pct"/>
            <w:tcBorders>
              <w:top w:val="nil"/>
              <w:left w:val="nil"/>
              <w:bottom w:val="single" w:sz="8" w:space="0" w:color="000000"/>
              <w:right w:val="single" w:sz="8" w:space="0" w:color="000000"/>
            </w:tcBorders>
            <w:vAlign w:val="center"/>
            <w:hideMark/>
          </w:tcPr>
          <w:p w14:paraId="644355EB"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1</w:t>
            </w:r>
          </w:p>
        </w:tc>
        <w:tc>
          <w:tcPr>
            <w:tcW w:w="394" w:type="pct"/>
            <w:tcBorders>
              <w:top w:val="nil"/>
              <w:left w:val="nil"/>
              <w:bottom w:val="single" w:sz="8" w:space="0" w:color="000000"/>
              <w:right w:val="single" w:sz="8" w:space="0" w:color="000000"/>
            </w:tcBorders>
            <w:vAlign w:val="center"/>
            <w:hideMark/>
          </w:tcPr>
          <w:p w14:paraId="064408EB"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18</w:t>
            </w:r>
          </w:p>
        </w:tc>
      </w:tr>
      <w:tr w:rsidR="00081708" w:rsidRPr="008D2838" w14:paraId="677B4A11" w14:textId="77777777" w:rsidTr="00081708">
        <w:trPr>
          <w:trHeight w:val="20"/>
          <w:jc w:val="center"/>
        </w:trPr>
        <w:tc>
          <w:tcPr>
            <w:tcW w:w="553" w:type="pct"/>
            <w:tcBorders>
              <w:top w:val="nil"/>
              <w:left w:val="single" w:sz="8" w:space="0" w:color="000000"/>
              <w:bottom w:val="single" w:sz="8" w:space="0" w:color="000000"/>
              <w:right w:val="single" w:sz="8" w:space="0" w:color="000000"/>
            </w:tcBorders>
            <w:shd w:val="clear" w:color="auto" w:fill="8EA9DB"/>
            <w:vAlign w:val="center"/>
            <w:hideMark/>
          </w:tcPr>
          <w:p w14:paraId="34A0EC25" w14:textId="77777777" w:rsidR="00081708" w:rsidRPr="008D2838" w:rsidRDefault="00081708" w:rsidP="00081708">
            <w:pPr>
              <w:jc w:val="center"/>
              <w:rPr>
                <w:rFonts w:ascii="Arial" w:eastAsia="Times New Roman" w:hAnsi="Arial" w:cs="Arial"/>
                <w:b/>
                <w:bCs/>
                <w:color w:val="FFFFFF"/>
                <w:sz w:val="16"/>
                <w:szCs w:val="16"/>
                <w:lang w:val="es-CO" w:eastAsia="es-MX"/>
              </w:rPr>
            </w:pPr>
            <w:r w:rsidRPr="008D2838">
              <w:rPr>
                <w:rFonts w:ascii="Arial" w:eastAsia="Times New Roman" w:hAnsi="Arial" w:cs="Arial"/>
                <w:b/>
                <w:bCs/>
                <w:color w:val="FFFFFF"/>
                <w:sz w:val="16"/>
                <w:szCs w:val="16"/>
                <w:lang w:val="es-CO" w:eastAsia="es-MX"/>
              </w:rPr>
              <w:t>2022-jul</w:t>
            </w:r>
            <w:r w:rsidRPr="008D2838">
              <w:rPr>
                <w:rFonts w:ascii="Arial" w:eastAsia="Times New Roman" w:hAnsi="Arial" w:cs="Arial"/>
                <w:color w:val="FFFFFF"/>
                <w:sz w:val="16"/>
                <w:szCs w:val="16"/>
                <w:lang w:val="es-CO" w:eastAsia="es-MX"/>
              </w:rPr>
              <w:t> </w:t>
            </w:r>
          </w:p>
        </w:tc>
        <w:tc>
          <w:tcPr>
            <w:tcW w:w="521" w:type="pct"/>
            <w:tcBorders>
              <w:top w:val="nil"/>
              <w:left w:val="nil"/>
              <w:bottom w:val="single" w:sz="8" w:space="0" w:color="000000"/>
              <w:right w:val="single" w:sz="8" w:space="0" w:color="000000"/>
            </w:tcBorders>
            <w:vAlign w:val="center"/>
            <w:hideMark/>
          </w:tcPr>
          <w:p w14:paraId="1C901418" w14:textId="77777777" w:rsidR="00081708" w:rsidRPr="008D2838" w:rsidRDefault="00081708" w:rsidP="00081708">
            <w:pPr>
              <w:rPr>
                <w:rFonts w:ascii="Arial" w:eastAsia="Times New Roman" w:hAnsi="Arial" w:cs="Arial"/>
                <w:b/>
                <w:bCs/>
                <w:color w:val="000000"/>
                <w:sz w:val="16"/>
                <w:szCs w:val="16"/>
                <w:lang w:val="es-CO" w:eastAsia="es-MX"/>
              </w:rPr>
            </w:pPr>
            <w:r w:rsidRPr="008D2838">
              <w:rPr>
                <w:rFonts w:ascii="Arial" w:eastAsia="Times New Roman" w:hAnsi="Arial" w:cs="Arial"/>
                <w:b/>
                <w:bCs/>
                <w:color w:val="000000"/>
                <w:sz w:val="16"/>
                <w:szCs w:val="16"/>
                <w:lang w:val="es-CO" w:eastAsia="es-MX"/>
              </w:rPr>
              <w:t>No Válido</w:t>
            </w:r>
            <w:r w:rsidRPr="008D2838">
              <w:rPr>
                <w:rFonts w:ascii="Arial" w:eastAsia="Times New Roman" w:hAnsi="Arial" w:cs="Arial"/>
                <w:color w:val="000000"/>
                <w:sz w:val="16"/>
                <w:szCs w:val="16"/>
                <w:lang w:val="es-CO" w:eastAsia="es-MX"/>
              </w:rPr>
              <w:t> </w:t>
            </w:r>
          </w:p>
        </w:tc>
        <w:tc>
          <w:tcPr>
            <w:tcW w:w="589" w:type="pct"/>
            <w:tcBorders>
              <w:top w:val="nil"/>
              <w:left w:val="nil"/>
              <w:bottom w:val="single" w:sz="8" w:space="0" w:color="000000"/>
              <w:right w:val="single" w:sz="8" w:space="0" w:color="000000"/>
            </w:tcBorders>
            <w:vAlign w:val="center"/>
            <w:hideMark/>
          </w:tcPr>
          <w:p w14:paraId="5E5FAF97"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17</w:t>
            </w:r>
          </w:p>
        </w:tc>
        <w:tc>
          <w:tcPr>
            <w:tcW w:w="589" w:type="pct"/>
            <w:tcBorders>
              <w:top w:val="nil"/>
              <w:left w:val="nil"/>
              <w:bottom w:val="single" w:sz="8" w:space="0" w:color="000000"/>
              <w:right w:val="single" w:sz="8" w:space="0" w:color="000000"/>
            </w:tcBorders>
            <w:vAlign w:val="center"/>
            <w:hideMark/>
          </w:tcPr>
          <w:p w14:paraId="17E009A7"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2</w:t>
            </w:r>
          </w:p>
        </w:tc>
        <w:tc>
          <w:tcPr>
            <w:tcW w:w="589" w:type="pct"/>
            <w:tcBorders>
              <w:top w:val="nil"/>
              <w:left w:val="nil"/>
              <w:bottom w:val="single" w:sz="8" w:space="0" w:color="000000"/>
              <w:right w:val="single" w:sz="8" w:space="0" w:color="000000"/>
            </w:tcBorders>
            <w:vAlign w:val="center"/>
            <w:hideMark/>
          </w:tcPr>
          <w:p w14:paraId="08DEFE53"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3</w:t>
            </w:r>
          </w:p>
        </w:tc>
        <w:tc>
          <w:tcPr>
            <w:tcW w:w="589" w:type="pct"/>
            <w:tcBorders>
              <w:top w:val="nil"/>
              <w:left w:val="nil"/>
              <w:bottom w:val="single" w:sz="8" w:space="0" w:color="000000"/>
              <w:right w:val="single" w:sz="8" w:space="0" w:color="000000"/>
            </w:tcBorders>
            <w:vAlign w:val="center"/>
            <w:hideMark/>
          </w:tcPr>
          <w:p w14:paraId="6DCF6189"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3</w:t>
            </w:r>
          </w:p>
        </w:tc>
        <w:tc>
          <w:tcPr>
            <w:tcW w:w="589" w:type="pct"/>
            <w:tcBorders>
              <w:top w:val="nil"/>
              <w:left w:val="nil"/>
              <w:bottom w:val="single" w:sz="8" w:space="0" w:color="000000"/>
              <w:right w:val="single" w:sz="8" w:space="0" w:color="000000"/>
            </w:tcBorders>
            <w:vAlign w:val="center"/>
            <w:hideMark/>
          </w:tcPr>
          <w:p w14:paraId="47DDA521"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0</w:t>
            </w:r>
          </w:p>
        </w:tc>
        <w:tc>
          <w:tcPr>
            <w:tcW w:w="589" w:type="pct"/>
            <w:tcBorders>
              <w:top w:val="nil"/>
              <w:left w:val="nil"/>
              <w:bottom w:val="single" w:sz="8" w:space="0" w:color="000000"/>
              <w:right w:val="single" w:sz="8" w:space="0" w:color="000000"/>
            </w:tcBorders>
            <w:vAlign w:val="center"/>
            <w:hideMark/>
          </w:tcPr>
          <w:p w14:paraId="1D14AD3F"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10</w:t>
            </w:r>
          </w:p>
        </w:tc>
        <w:tc>
          <w:tcPr>
            <w:tcW w:w="394" w:type="pct"/>
            <w:tcBorders>
              <w:top w:val="nil"/>
              <w:left w:val="nil"/>
              <w:bottom w:val="single" w:sz="8" w:space="0" w:color="000000"/>
              <w:right w:val="single" w:sz="8" w:space="0" w:color="000000"/>
            </w:tcBorders>
            <w:vAlign w:val="center"/>
            <w:hideMark/>
          </w:tcPr>
          <w:p w14:paraId="3D46FD96" w14:textId="77777777" w:rsidR="00081708" w:rsidRPr="008D2838" w:rsidRDefault="00081708" w:rsidP="00081708">
            <w:pPr>
              <w:jc w:val="center"/>
              <w:rPr>
                <w:rFonts w:ascii="Arial" w:eastAsia="Times New Roman" w:hAnsi="Arial" w:cs="Arial"/>
                <w:color w:val="000000"/>
                <w:sz w:val="18"/>
                <w:szCs w:val="18"/>
                <w:u w:val="single"/>
                <w:lang w:val="es-CO" w:eastAsia="es-MX"/>
              </w:rPr>
            </w:pPr>
            <w:r w:rsidRPr="008D2838">
              <w:rPr>
                <w:rFonts w:ascii="Arial" w:eastAsia="Times New Roman" w:hAnsi="Arial" w:cs="Arial"/>
                <w:color w:val="000000"/>
                <w:sz w:val="18"/>
                <w:szCs w:val="18"/>
                <w:u w:val="single"/>
                <w:lang w:val="es-CO" w:eastAsia="es-MX"/>
              </w:rPr>
              <w:t>35</w:t>
            </w:r>
          </w:p>
        </w:tc>
      </w:tr>
    </w:tbl>
    <w:p w14:paraId="7FD56190" w14:textId="77777777" w:rsidR="00081708" w:rsidRDefault="00081708" w:rsidP="00081708">
      <w:pPr>
        <w:contextualSpacing/>
        <w:jc w:val="both"/>
        <w:rPr>
          <w:rFonts w:ascii="Arial" w:eastAsia="Times New Roman" w:hAnsi="Arial" w:cs="Arial"/>
          <w:color w:val="000000"/>
          <w:sz w:val="16"/>
          <w:szCs w:val="16"/>
          <w:lang w:val="es-CO" w:eastAsia="en-US" w:bidi="he-IL"/>
        </w:rPr>
      </w:pPr>
      <w:r w:rsidRPr="008D2838">
        <w:rPr>
          <w:rFonts w:ascii="Arial" w:eastAsia="Times New Roman" w:hAnsi="Arial" w:cs="Arial"/>
          <w:color w:val="000000"/>
          <w:sz w:val="16"/>
          <w:szCs w:val="16"/>
          <w:lang w:val="es-CO" w:eastAsia="en-US" w:bidi="he-IL"/>
        </w:rPr>
        <w:t>Fuente: Cálculos DAF – Información MEN.</w:t>
      </w:r>
    </w:p>
    <w:p w14:paraId="380CC707" w14:textId="77777777" w:rsidR="00873D80" w:rsidRPr="008D2838" w:rsidRDefault="00873D80" w:rsidP="00081708">
      <w:pPr>
        <w:contextualSpacing/>
        <w:jc w:val="both"/>
        <w:rPr>
          <w:rFonts w:ascii="Arial" w:eastAsia="Times New Roman" w:hAnsi="Arial" w:cs="Arial"/>
          <w:color w:val="000000"/>
          <w:sz w:val="16"/>
          <w:szCs w:val="16"/>
          <w:lang w:val="es-CO" w:eastAsia="en-US" w:bidi="he-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1"/>
        <w:gridCol w:w="8017"/>
      </w:tblGrid>
      <w:tr w:rsidR="00873D80" w:rsidRPr="008D2838" w14:paraId="659078B1" w14:textId="77777777" w:rsidTr="00873D80">
        <w:trPr>
          <w:trHeight w:val="370"/>
        </w:trPr>
        <w:tc>
          <w:tcPr>
            <w:tcW w:w="5000" w:type="pct"/>
            <w:gridSpan w:val="2"/>
            <w:shd w:val="clear" w:color="auto" w:fill="B8CCE4" w:themeFill="accent1" w:themeFillTint="66"/>
            <w:noWrap/>
            <w:vAlign w:val="bottom"/>
          </w:tcPr>
          <w:p w14:paraId="5D3C18CE" w14:textId="77777777" w:rsidR="00873D80" w:rsidRPr="008D2838" w:rsidRDefault="00873D80" w:rsidP="00081708">
            <w:pPr>
              <w:jc w:val="center"/>
              <w:rPr>
                <w:rFonts w:ascii="Arial" w:hAnsi="Arial" w:cs="Arial"/>
                <w:b/>
                <w:bCs/>
                <w:color w:val="000000"/>
                <w:sz w:val="16"/>
                <w:szCs w:val="16"/>
                <w:lang w:val="es-CO" w:eastAsia="es-CO"/>
              </w:rPr>
            </w:pPr>
            <w:r w:rsidRPr="008D2838">
              <w:rPr>
                <w:rFonts w:ascii="Arial" w:hAnsi="Arial" w:cs="Arial"/>
                <w:b/>
                <w:bCs/>
                <w:color w:val="000000"/>
                <w:sz w:val="16"/>
                <w:szCs w:val="16"/>
                <w:lang w:val="es-CO" w:eastAsia="es-CO"/>
              </w:rPr>
              <w:t>RELACIÓN DE VALIDACIONES DUE</w:t>
            </w:r>
          </w:p>
        </w:tc>
      </w:tr>
      <w:tr w:rsidR="00873D80" w:rsidRPr="008D2838" w14:paraId="05831CAE" w14:textId="77777777" w:rsidTr="00090290">
        <w:trPr>
          <w:trHeight w:val="370"/>
        </w:trPr>
        <w:tc>
          <w:tcPr>
            <w:tcW w:w="4012" w:type="pct"/>
            <w:shd w:val="clear" w:color="auto" w:fill="B8CCE4" w:themeFill="accent1" w:themeFillTint="66"/>
            <w:noWrap/>
            <w:vAlign w:val="bottom"/>
            <w:hideMark/>
          </w:tcPr>
          <w:p w14:paraId="727300AE" w14:textId="77777777" w:rsidR="00081708" w:rsidRPr="008D2838" w:rsidRDefault="00081708" w:rsidP="00081708">
            <w:pPr>
              <w:jc w:val="center"/>
              <w:rPr>
                <w:rFonts w:ascii="Arial" w:hAnsi="Arial" w:cs="Arial"/>
                <w:b/>
                <w:bCs/>
                <w:color w:val="000000"/>
                <w:sz w:val="16"/>
                <w:szCs w:val="16"/>
                <w:lang w:val="es-CO" w:eastAsia="es-CO"/>
              </w:rPr>
            </w:pPr>
            <w:r w:rsidRPr="008D2838">
              <w:rPr>
                <w:rFonts w:ascii="Arial" w:hAnsi="Arial" w:cs="Arial"/>
                <w:b/>
                <w:bCs/>
                <w:color w:val="000000"/>
                <w:sz w:val="16"/>
                <w:szCs w:val="16"/>
                <w:lang w:val="es-CO" w:eastAsia="es-CO"/>
              </w:rPr>
              <w:t xml:space="preserve">Validación </w:t>
            </w:r>
          </w:p>
        </w:tc>
        <w:tc>
          <w:tcPr>
            <w:tcW w:w="988" w:type="pct"/>
            <w:shd w:val="clear" w:color="auto" w:fill="B8CCE4" w:themeFill="accent1" w:themeFillTint="66"/>
            <w:noWrap/>
            <w:vAlign w:val="bottom"/>
            <w:hideMark/>
          </w:tcPr>
          <w:p w14:paraId="40EE0002" w14:textId="77777777" w:rsidR="00081708" w:rsidRPr="008D2838" w:rsidRDefault="00081708" w:rsidP="00081708">
            <w:pPr>
              <w:jc w:val="center"/>
              <w:rPr>
                <w:rFonts w:ascii="Arial" w:hAnsi="Arial" w:cs="Arial"/>
                <w:b/>
                <w:bCs/>
                <w:color w:val="000000"/>
                <w:sz w:val="16"/>
                <w:szCs w:val="16"/>
                <w:lang w:val="es-CO" w:eastAsia="es-CO"/>
              </w:rPr>
            </w:pPr>
            <w:r w:rsidRPr="008D2838">
              <w:rPr>
                <w:rFonts w:ascii="Arial" w:hAnsi="Arial" w:cs="Arial"/>
                <w:b/>
                <w:bCs/>
                <w:color w:val="000000"/>
                <w:sz w:val="16"/>
                <w:szCs w:val="16"/>
                <w:lang w:val="es-CO" w:eastAsia="es-CO"/>
              </w:rPr>
              <w:t xml:space="preserve">Concepto de la validación </w:t>
            </w:r>
          </w:p>
        </w:tc>
      </w:tr>
      <w:tr w:rsidR="00873D80" w:rsidRPr="008D2838" w14:paraId="4A07E9AB" w14:textId="77777777" w:rsidTr="00090290">
        <w:trPr>
          <w:trHeight w:val="20"/>
        </w:trPr>
        <w:tc>
          <w:tcPr>
            <w:tcW w:w="4012" w:type="pct"/>
            <w:noWrap/>
            <w:vAlign w:val="center"/>
            <w:hideMark/>
          </w:tcPr>
          <w:p w14:paraId="11EFEB6C" w14:textId="77777777" w:rsidR="00081708" w:rsidRPr="008D2838" w:rsidRDefault="00081708" w:rsidP="00081708">
            <w:pPr>
              <w:jc w:val="center"/>
              <w:rPr>
                <w:rFonts w:ascii="Arial" w:hAnsi="Arial" w:cs="Arial"/>
                <w:color w:val="000000"/>
                <w:sz w:val="16"/>
                <w:szCs w:val="16"/>
                <w:lang w:val="es-CO" w:eastAsia="es-CO"/>
              </w:rPr>
            </w:pPr>
            <w:r w:rsidRPr="008D2838">
              <w:rPr>
                <w:rFonts w:ascii="Arial" w:hAnsi="Arial" w:cs="Arial"/>
                <w:color w:val="000000"/>
                <w:sz w:val="16"/>
                <w:szCs w:val="16"/>
                <w:lang w:val="es-CO" w:eastAsia="es-CO"/>
              </w:rPr>
              <w:t>VALIDACIÓN 1</w:t>
            </w:r>
          </w:p>
        </w:tc>
        <w:tc>
          <w:tcPr>
            <w:tcW w:w="988" w:type="pct"/>
            <w:noWrap/>
            <w:vAlign w:val="center"/>
            <w:hideMark/>
          </w:tcPr>
          <w:p w14:paraId="3C274828" w14:textId="77777777" w:rsidR="00081708" w:rsidRPr="008D2838" w:rsidRDefault="00081708" w:rsidP="00081708">
            <w:pPr>
              <w:rPr>
                <w:rFonts w:ascii="Arial" w:hAnsi="Arial" w:cs="Arial"/>
                <w:color w:val="000000"/>
                <w:sz w:val="16"/>
                <w:szCs w:val="16"/>
                <w:lang w:val="es-CO" w:eastAsia="es-CO"/>
              </w:rPr>
            </w:pPr>
            <w:r w:rsidRPr="008D2838">
              <w:rPr>
                <w:rFonts w:ascii="Arial" w:hAnsi="Arial" w:cs="Arial"/>
                <w:color w:val="000000"/>
                <w:sz w:val="16"/>
                <w:szCs w:val="16"/>
                <w:lang w:val="es-CO" w:eastAsia="es-CO"/>
              </w:rPr>
              <w:t>códigos DANE de las sedes activas en el DUE que no reportan información de matrícula (estudiantes) en SIMAT y/o planta (Docentes y Directivos Docentes) en el sistema HUMANO.</w:t>
            </w:r>
          </w:p>
        </w:tc>
      </w:tr>
      <w:tr w:rsidR="00873D80" w:rsidRPr="008D2838" w14:paraId="63998804" w14:textId="77777777" w:rsidTr="00090290">
        <w:trPr>
          <w:trHeight w:val="20"/>
        </w:trPr>
        <w:tc>
          <w:tcPr>
            <w:tcW w:w="4012" w:type="pct"/>
            <w:noWrap/>
            <w:vAlign w:val="center"/>
            <w:hideMark/>
          </w:tcPr>
          <w:p w14:paraId="2C9C155F" w14:textId="77777777" w:rsidR="00081708" w:rsidRPr="008D2838" w:rsidRDefault="00081708" w:rsidP="00081708">
            <w:pPr>
              <w:jc w:val="center"/>
              <w:rPr>
                <w:rFonts w:ascii="Arial" w:hAnsi="Arial" w:cs="Arial"/>
                <w:color w:val="000000"/>
                <w:sz w:val="16"/>
                <w:szCs w:val="16"/>
                <w:lang w:val="es-CO" w:eastAsia="es-CO"/>
              </w:rPr>
            </w:pPr>
            <w:r w:rsidRPr="008D2838">
              <w:rPr>
                <w:rFonts w:ascii="Arial" w:hAnsi="Arial" w:cs="Arial"/>
                <w:color w:val="000000"/>
                <w:sz w:val="16"/>
                <w:szCs w:val="16"/>
                <w:lang w:val="es-CO" w:eastAsia="es-CO"/>
              </w:rPr>
              <w:t>VALIDACIÓN 2</w:t>
            </w:r>
          </w:p>
        </w:tc>
        <w:tc>
          <w:tcPr>
            <w:tcW w:w="988" w:type="pct"/>
            <w:noWrap/>
            <w:vAlign w:val="center"/>
            <w:hideMark/>
          </w:tcPr>
          <w:p w14:paraId="7AECA597" w14:textId="77777777" w:rsidR="00081708" w:rsidRPr="008D2838" w:rsidRDefault="00081708" w:rsidP="00081708">
            <w:pPr>
              <w:rPr>
                <w:rFonts w:ascii="Arial" w:hAnsi="Arial" w:cs="Arial"/>
                <w:color w:val="000000"/>
                <w:sz w:val="16"/>
                <w:szCs w:val="16"/>
                <w:lang w:val="es-CO" w:eastAsia="es-CO"/>
              </w:rPr>
            </w:pPr>
            <w:r w:rsidRPr="008D2838">
              <w:rPr>
                <w:rFonts w:ascii="Arial" w:hAnsi="Arial" w:cs="Arial"/>
                <w:color w:val="000000"/>
                <w:sz w:val="16"/>
                <w:szCs w:val="16"/>
                <w:lang w:val="es-CO" w:eastAsia="es-CO"/>
              </w:rPr>
              <w:t>códigos DANE de las sedes activas reportadas tanto en el sistema Humano y en el DUE en donde no coincide la zona o no la reporta.</w:t>
            </w:r>
          </w:p>
        </w:tc>
      </w:tr>
      <w:tr w:rsidR="00873D80" w:rsidRPr="008D2838" w14:paraId="0CFA3C9E" w14:textId="77777777" w:rsidTr="00090290">
        <w:trPr>
          <w:trHeight w:val="20"/>
        </w:trPr>
        <w:tc>
          <w:tcPr>
            <w:tcW w:w="4012" w:type="pct"/>
            <w:noWrap/>
            <w:vAlign w:val="center"/>
            <w:hideMark/>
          </w:tcPr>
          <w:p w14:paraId="1403EC87" w14:textId="77777777" w:rsidR="00081708" w:rsidRPr="008D2838" w:rsidRDefault="00081708" w:rsidP="00081708">
            <w:pPr>
              <w:jc w:val="center"/>
              <w:rPr>
                <w:rFonts w:ascii="Arial" w:hAnsi="Arial" w:cs="Arial"/>
                <w:color w:val="000000"/>
                <w:sz w:val="16"/>
                <w:szCs w:val="16"/>
                <w:lang w:val="es-CO" w:eastAsia="es-CO"/>
              </w:rPr>
            </w:pPr>
            <w:r w:rsidRPr="008D2838">
              <w:rPr>
                <w:rFonts w:ascii="Arial" w:hAnsi="Arial" w:cs="Arial"/>
                <w:color w:val="000000"/>
                <w:sz w:val="16"/>
                <w:szCs w:val="16"/>
                <w:lang w:val="es-CO" w:eastAsia="es-CO"/>
              </w:rPr>
              <w:lastRenderedPageBreak/>
              <w:t>VALIDACIÓN 3</w:t>
            </w:r>
          </w:p>
        </w:tc>
        <w:tc>
          <w:tcPr>
            <w:tcW w:w="988" w:type="pct"/>
            <w:noWrap/>
            <w:vAlign w:val="center"/>
            <w:hideMark/>
          </w:tcPr>
          <w:p w14:paraId="7595C02C" w14:textId="77777777" w:rsidR="00081708" w:rsidRPr="008D2838" w:rsidRDefault="00081708" w:rsidP="00081708">
            <w:pPr>
              <w:rPr>
                <w:rFonts w:ascii="Arial" w:hAnsi="Arial" w:cs="Arial"/>
                <w:color w:val="000000"/>
                <w:sz w:val="16"/>
                <w:szCs w:val="16"/>
                <w:lang w:val="es-CO" w:eastAsia="es-CO"/>
              </w:rPr>
            </w:pPr>
            <w:r w:rsidRPr="008D2838">
              <w:rPr>
                <w:rFonts w:ascii="Arial" w:hAnsi="Arial" w:cs="Arial"/>
                <w:color w:val="000000"/>
                <w:sz w:val="16"/>
                <w:szCs w:val="16"/>
                <w:lang w:val="es-CO" w:eastAsia="es-CO"/>
              </w:rPr>
              <w:t>códigos DANE de las sedes activas en el sistema de información DUE que no registran matrícula (Estudiantes) en SIMAT.</w:t>
            </w:r>
          </w:p>
        </w:tc>
      </w:tr>
      <w:tr w:rsidR="00873D80" w:rsidRPr="008D2838" w14:paraId="4C1993F6" w14:textId="77777777" w:rsidTr="00090290">
        <w:trPr>
          <w:trHeight w:val="20"/>
        </w:trPr>
        <w:tc>
          <w:tcPr>
            <w:tcW w:w="4012" w:type="pct"/>
            <w:noWrap/>
            <w:vAlign w:val="center"/>
            <w:hideMark/>
          </w:tcPr>
          <w:p w14:paraId="76F42AC6" w14:textId="77777777" w:rsidR="00081708" w:rsidRPr="008D2838" w:rsidRDefault="00081708" w:rsidP="00081708">
            <w:pPr>
              <w:jc w:val="center"/>
              <w:rPr>
                <w:rFonts w:ascii="Arial" w:hAnsi="Arial" w:cs="Arial"/>
                <w:color w:val="000000"/>
                <w:sz w:val="16"/>
                <w:szCs w:val="16"/>
                <w:lang w:val="es-CO" w:eastAsia="es-CO"/>
              </w:rPr>
            </w:pPr>
            <w:r w:rsidRPr="008D2838">
              <w:rPr>
                <w:rFonts w:ascii="Arial" w:hAnsi="Arial" w:cs="Arial"/>
                <w:color w:val="000000"/>
                <w:sz w:val="16"/>
                <w:szCs w:val="16"/>
                <w:lang w:val="es-CO" w:eastAsia="es-CO"/>
              </w:rPr>
              <w:t>VALIDACIÓN 4</w:t>
            </w:r>
          </w:p>
        </w:tc>
        <w:tc>
          <w:tcPr>
            <w:tcW w:w="988" w:type="pct"/>
            <w:noWrap/>
            <w:vAlign w:val="center"/>
            <w:hideMark/>
          </w:tcPr>
          <w:p w14:paraId="1019E2AC" w14:textId="77777777" w:rsidR="00081708" w:rsidRPr="008D2838" w:rsidRDefault="00081708" w:rsidP="00081708">
            <w:pPr>
              <w:rPr>
                <w:rFonts w:ascii="Arial" w:hAnsi="Arial" w:cs="Arial"/>
                <w:color w:val="000000"/>
                <w:sz w:val="16"/>
                <w:szCs w:val="16"/>
                <w:lang w:val="es-CO" w:eastAsia="es-CO"/>
              </w:rPr>
            </w:pPr>
            <w:r w:rsidRPr="008D2838">
              <w:rPr>
                <w:rFonts w:ascii="Arial" w:hAnsi="Arial" w:cs="Arial"/>
                <w:color w:val="000000"/>
                <w:sz w:val="16"/>
                <w:szCs w:val="16"/>
                <w:lang w:val="es-CO" w:eastAsia="es-CO"/>
              </w:rPr>
              <w:t>códigos DANE de las sedes activas en HUMANO que no registran matrícula (Estudiantes) en SIMAT y tienen docentes asignados.</w:t>
            </w:r>
          </w:p>
        </w:tc>
      </w:tr>
      <w:tr w:rsidR="00873D80" w:rsidRPr="008D2838" w14:paraId="4A074F68" w14:textId="77777777" w:rsidTr="00090290">
        <w:trPr>
          <w:trHeight w:val="20"/>
        </w:trPr>
        <w:tc>
          <w:tcPr>
            <w:tcW w:w="4012" w:type="pct"/>
            <w:noWrap/>
            <w:vAlign w:val="center"/>
            <w:hideMark/>
          </w:tcPr>
          <w:p w14:paraId="0C4E160B" w14:textId="77777777" w:rsidR="00081708" w:rsidRPr="008D2838" w:rsidRDefault="00081708" w:rsidP="00081708">
            <w:pPr>
              <w:jc w:val="center"/>
              <w:rPr>
                <w:rFonts w:ascii="Arial" w:hAnsi="Arial" w:cs="Arial"/>
                <w:color w:val="000000"/>
                <w:sz w:val="16"/>
                <w:szCs w:val="16"/>
                <w:lang w:val="es-CO" w:eastAsia="es-CO"/>
              </w:rPr>
            </w:pPr>
            <w:r w:rsidRPr="008D2838">
              <w:rPr>
                <w:rFonts w:ascii="Arial" w:hAnsi="Arial" w:cs="Arial"/>
                <w:color w:val="000000"/>
                <w:sz w:val="16"/>
                <w:szCs w:val="16"/>
                <w:lang w:val="es-CO" w:eastAsia="es-CO"/>
              </w:rPr>
              <w:t>VALIDACIÓN 5</w:t>
            </w:r>
          </w:p>
        </w:tc>
        <w:tc>
          <w:tcPr>
            <w:tcW w:w="988" w:type="pct"/>
            <w:noWrap/>
            <w:vAlign w:val="center"/>
            <w:hideMark/>
          </w:tcPr>
          <w:p w14:paraId="2AB05706" w14:textId="77777777" w:rsidR="00081708" w:rsidRPr="008D2838" w:rsidRDefault="00081708" w:rsidP="00081708">
            <w:pPr>
              <w:rPr>
                <w:rFonts w:ascii="Arial" w:hAnsi="Arial" w:cs="Arial"/>
                <w:color w:val="000000"/>
                <w:sz w:val="16"/>
                <w:szCs w:val="16"/>
                <w:lang w:val="es-CO" w:eastAsia="es-CO"/>
              </w:rPr>
            </w:pPr>
            <w:r w:rsidRPr="008D2838">
              <w:rPr>
                <w:rFonts w:ascii="Arial" w:hAnsi="Arial" w:cs="Arial"/>
                <w:color w:val="000000"/>
                <w:sz w:val="16"/>
                <w:szCs w:val="16"/>
                <w:lang w:val="es-CO" w:eastAsia="es-CO"/>
              </w:rPr>
              <w:t>códigos DANE de las sedes activas en el sistema HUMANO que tienen más de un establecimiento educativo asociado.</w:t>
            </w:r>
          </w:p>
        </w:tc>
      </w:tr>
      <w:tr w:rsidR="00873D80" w:rsidRPr="008D2838" w14:paraId="49585B45" w14:textId="77777777" w:rsidTr="00090290">
        <w:trPr>
          <w:trHeight w:val="20"/>
        </w:trPr>
        <w:tc>
          <w:tcPr>
            <w:tcW w:w="4012" w:type="pct"/>
            <w:noWrap/>
            <w:vAlign w:val="center"/>
            <w:hideMark/>
          </w:tcPr>
          <w:p w14:paraId="157E1489" w14:textId="77777777" w:rsidR="00081708" w:rsidRPr="008D2838" w:rsidRDefault="00081708" w:rsidP="00081708">
            <w:pPr>
              <w:jc w:val="center"/>
              <w:rPr>
                <w:rFonts w:ascii="Arial" w:hAnsi="Arial" w:cs="Arial"/>
                <w:color w:val="000000"/>
                <w:sz w:val="16"/>
                <w:szCs w:val="16"/>
                <w:lang w:val="es-CO" w:eastAsia="es-CO"/>
              </w:rPr>
            </w:pPr>
            <w:r w:rsidRPr="008D2838">
              <w:rPr>
                <w:rFonts w:ascii="Arial" w:hAnsi="Arial" w:cs="Arial"/>
                <w:color w:val="000000"/>
                <w:sz w:val="16"/>
                <w:szCs w:val="16"/>
                <w:lang w:val="es-CO" w:eastAsia="es-CO"/>
              </w:rPr>
              <w:t>VALIDACIÓN 9</w:t>
            </w:r>
          </w:p>
        </w:tc>
        <w:tc>
          <w:tcPr>
            <w:tcW w:w="988" w:type="pct"/>
            <w:noWrap/>
            <w:vAlign w:val="center"/>
            <w:hideMark/>
          </w:tcPr>
          <w:p w14:paraId="20E697C0" w14:textId="77777777" w:rsidR="00081708" w:rsidRPr="008D2838" w:rsidRDefault="00081708" w:rsidP="00081708">
            <w:pPr>
              <w:rPr>
                <w:rFonts w:ascii="Arial" w:hAnsi="Arial" w:cs="Arial"/>
                <w:color w:val="000000"/>
                <w:sz w:val="16"/>
                <w:szCs w:val="16"/>
                <w:lang w:val="es-CO" w:eastAsia="es-CO"/>
              </w:rPr>
            </w:pPr>
            <w:r w:rsidRPr="008D2838">
              <w:rPr>
                <w:rFonts w:ascii="Arial" w:hAnsi="Arial" w:cs="Arial"/>
                <w:color w:val="000000"/>
                <w:sz w:val="16"/>
                <w:szCs w:val="16"/>
                <w:lang w:val="es-CO" w:eastAsia="es-CO"/>
              </w:rPr>
              <w:t xml:space="preserve"> información de las sedes educativas principales activas oficiales que tienen más de un directivo docente asociado en el sistema HUMANO.</w:t>
            </w:r>
          </w:p>
        </w:tc>
      </w:tr>
    </w:tbl>
    <w:p w14:paraId="5DB23A96" w14:textId="77777777" w:rsidR="00081708" w:rsidRPr="008D2838" w:rsidRDefault="00081708" w:rsidP="00081708">
      <w:pPr>
        <w:contextualSpacing/>
        <w:jc w:val="center"/>
        <w:rPr>
          <w:rFonts w:ascii="Arial" w:eastAsia="Times New Roman" w:hAnsi="Arial" w:cs="Arial"/>
          <w:color w:val="000000"/>
          <w:sz w:val="16"/>
          <w:szCs w:val="16"/>
          <w:lang w:val="es-CO" w:eastAsia="en-US" w:bidi="he-IL"/>
        </w:rPr>
      </w:pPr>
      <w:r w:rsidRPr="008D2838">
        <w:rPr>
          <w:rFonts w:ascii="Arial" w:eastAsia="Times New Roman" w:hAnsi="Arial" w:cs="Arial"/>
          <w:color w:val="000000"/>
          <w:sz w:val="16"/>
          <w:szCs w:val="16"/>
          <w:lang w:val="es-CO" w:eastAsia="en-US" w:bidi="he-IL"/>
        </w:rPr>
        <w:t>Fuente: Ministerio de Educación Nacional.</w:t>
      </w:r>
    </w:p>
    <w:p w14:paraId="197E6223" w14:textId="77777777" w:rsidR="00081708" w:rsidRPr="008D2838" w:rsidRDefault="00081708" w:rsidP="00081708">
      <w:pPr>
        <w:contextualSpacing/>
        <w:jc w:val="both"/>
        <w:rPr>
          <w:rFonts w:ascii="Arial" w:eastAsia="Times New Roman" w:hAnsi="Arial" w:cs="Arial"/>
          <w:color w:val="000000"/>
          <w:sz w:val="22"/>
          <w:szCs w:val="22"/>
          <w:lang w:val="es-CO" w:eastAsia="en-US" w:bidi="he-IL"/>
        </w:rPr>
      </w:pPr>
    </w:p>
    <w:p w14:paraId="2087A3CC" w14:textId="77777777" w:rsidR="00081708" w:rsidRPr="008D2838" w:rsidRDefault="00081708" w:rsidP="00081708">
      <w:pPr>
        <w:contextualSpacing/>
        <w:jc w:val="both"/>
        <w:rPr>
          <w:rFonts w:ascii="Arial" w:eastAsia="Times New Roman" w:hAnsi="Arial" w:cs="Arial"/>
          <w:color w:val="000000"/>
          <w:sz w:val="22"/>
          <w:szCs w:val="22"/>
          <w:lang w:val="es-CO" w:eastAsia="en-US" w:bidi="he-IL"/>
        </w:rPr>
      </w:pPr>
      <w:r w:rsidRPr="008D2838">
        <w:rPr>
          <w:rFonts w:ascii="Arial" w:eastAsia="Times New Roman" w:hAnsi="Arial" w:cs="Arial"/>
          <w:color w:val="000000"/>
          <w:sz w:val="22"/>
          <w:szCs w:val="22"/>
          <w:lang w:val="es-CO" w:eastAsia="en-US" w:bidi="he-IL"/>
        </w:rPr>
        <w:t>Dichas inconsistencias ponen en riesgo los recursos del SGP que se asignan a las entidades territoriales, si se hace con base en información inexacta o errónea; por ejemplo, por el registro de matrícula en establecimientos educativos, sedes o grados que no cuentan con reconocimiento oficial, licencia de funcionamiento o no están aprobados. El sistema de información que administra el Directorio Único de Establecimientos Educativos debe reflejar las decisiones administrativas de la Entidad Territorial, plasmadas mediante el acto administrativo que define la oferta educativa y otorga las autorizaciones para prestar el Servicio a los diferentes establecimientos, para que a su vez alimente los otros sistemas del Sector, permitiendo el registro de información en establecimientos educativos autorizados por la Entidad Territorial.</w:t>
      </w:r>
    </w:p>
    <w:p w14:paraId="0EA37CBD" w14:textId="77777777" w:rsidR="00081708" w:rsidRPr="008D2838" w:rsidRDefault="00081708" w:rsidP="00081708">
      <w:pPr>
        <w:contextualSpacing/>
        <w:jc w:val="both"/>
        <w:rPr>
          <w:rFonts w:ascii="Arial" w:eastAsia="Times New Roman" w:hAnsi="Arial" w:cs="Arial"/>
          <w:color w:val="000000"/>
          <w:sz w:val="22"/>
          <w:szCs w:val="22"/>
          <w:lang w:val="es-CO" w:eastAsia="en-US" w:bidi="he-IL"/>
        </w:rPr>
      </w:pPr>
    </w:p>
    <w:p w14:paraId="30F517E8" w14:textId="77777777" w:rsidR="00081708" w:rsidRPr="008D2838" w:rsidRDefault="00081708" w:rsidP="00081708">
      <w:pPr>
        <w:contextualSpacing/>
        <w:jc w:val="both"/>
        <w:rPr>
          <w:rFonts w:ascii="Arial" w:eastAsia="Times New Roman" w:hAnsi="Arial" w:cs="Arial"/>
          <w:color w:val="000000"/>
          <w:sz w:val="22"/>
          <w:szCs w:val="22"/>
          <w:lang w:val="es-CO" w:eastAsia="en-US" w:bidi="he-IL"/>
        </w:rPr>
      </w:pPr>
      <w:r w:rsidRPr="008D2838">
        <w:rPr>
          <w:rFonts w:ascii="Arial" w:eastAsia="Times New Roman" w:hAnsi="Arial" w:cs="Arial"/>
          <w:color w:val="000000"/>
          <w:sz w:val="22"/>
          <w:szCs w:val="22"/>
          <w:lang w:val="es-CO" w:eastAsia="en-US" w:bidi="he-IL"/>
        </w:rPr>
        <w:t>En conclusión, se evidencia que la Entidad Territorial incumplió con lo estipulado en el artículo 2.3.6.3 del Decreto 1075 de 2015 y los artículos 1 y 2 de la Resolución 166 de 2003, ya que la información reportada a través del DUE presenta inconsistencias que vulneran la calidad del reporte, esencial para la gestión y direccionamiento de los recursos del SGP educación lo que conlleva a errores en la asignación.</w:t>
      </w:r>
    </w:p>
    <w:p w14:paraId="45A2F06E" w14:textId="77777777" w:rsidR="00081708" w:rsidRPr="008D2838" w:rsidRDefault="00081708" w:rsidP="00081708">
      <w:pPr>
        <w:jc w:val="both"/>
        <w:rPr>
          <w:rFonts w:ascii="Arial" w:hAnsi="Arial" w:cs="Arial"/>
          <w:sz w:val="22"/>
          <w:szCs w:val="22"/>
          <w:lang w:val="es-CO" w:eastAsia="en-US"/>
        </w:rPr>
      </w:pPr>
    </w:p>
    <w:p w14:paraId="16EE7AF0" w14:textId="77777777" w:rsidR="00081708" w:rsidRPr="008D2838" w:rsidRDefault="00081708" w:rsidP="00081708">
      <w:pPr>
        <w:jc w:val="both"/>
        <w:rPr>
          <w:rFonts w:ascii="Arial" w:hAnsi="Arial" w:cs="Arial"/>
          <w:color w:val="000000" w:themeColor="text1"/>
          <w:sz w:val="22"/>
          <w:szCs w:val="22"/>
          <w:lang w:val="es-CO" w:eastAsia="es-MX"/>
        </w:rPr>
      </w:pPr>
      <w:r w:rsidRPr="008D2838">
        <w:rPr>
          <w:rFonts w:ascii="Arial" w:hAnsi="Arial" w:cs="Arial"/>
          <w:b/>
          <w:color w:val="000000" w:themeColor="text1"/>
          <w:sz w:val="22"/>
          <w:szCs w:val="22"/>
          <w:lang w:val="es-CO" w:eastAsia="en-US"/>
        </w:rPr>
        <w:t xml:space="preserve">Evidencia: </w:t>
      </w:r>
      <w:r w:rsidRPr="008D2838">
        <w:rPr>
          <w:rFonts w:ascii="Arial" w:hAnsi="Arial" w:cs="Arial"/>
          <w:color w:val="000000" w:themeColor="text1"/>
          <w:sz w:val="22"/>
          <w:szCs w:val="22"/>
          <w:lang w:val="es-CO"/>
        </w:rPr>
        <w:t>Obra en el expediente digital en el Sistema de Información Electrónica Documental – SIED del Ministerio de Hacienda y Crédito Público No. 18/2020/D028-PREDI el siguiente material probatorio:</w:t>
      </w:r>
    </w:p>
    <w:p w14:paraId="55EF0DE5" w14:textId="77777777" w:rsidR="00081708" w:rsidRPr="008D2838" w:rsidRDefault="00081708" w:rsidP="00081708">
      <w:pPr>
        <w:numPr>
          <w:ilvl w:val="0"/>
          <w:numId w:val="35"/>
        </w:numPr>
        <w:ind w:left="284" w:hanging="284"/>
        <w:contextualSpacing/>
        <w:jc w:val="both"/>
        <w:rPr>
          <w:rFonts w:ascii="Arial" w:hAnsi="Arial" w:cs="Arial"/>
          <w:sz w:val="22"/>
          <w:szCs w:val="22"/>
          <w:lang w:val="es-CO"/>
        </w:rPr>
      </w:pPr>
      <w:r w:rsidRPr="008D2838">
        <w:rPr>
          <w:rFonts w:ascii="Arial" w:hAnsi="Arial" w:cs="Arial"/>
          <w:color w:val="000000" w:themeColor="text1"/>
          <w:sz w:val="22"/>
          <w:szCs w:val="22"/>
          <w:lang w:val="es-CO"/>
        </w:rPr>
        <w:t>Reporte de inconsistencias en las validaciones SINEB – SIMAT – DUE. Oficio información Sectorial Ministerio de Educación Nacional y anexos. Sector Educación. Distrito de Turbo-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color w:val="000000" w:themeColor="text1"/>
          <w:sz w:val="22"/>
          <w:szCs w:val="22"/>
          <w:lang w:val="es-CO"/>
        </w:rPr>
        <w:t>”. Radicado No. 1-2020-</w:t>
      </w:r>
      <w:hyperlink r:id="rId12" w:tgtFrame="_blank" w:history="1">
        <w:r w:rsidRPr="008D2838">
          <w:rPr>
            <w:rFonts w:ascii="Arial" w:hAnsi="Arial" w:cs="Arial"/>
            <w:color w:val="000000" w:themeColor="text1"/>
            <w:sz w:val="22"/>
            <w:szCs w:val="22"/>
            <w:u w:val="single"/>
            <w:lang w:val="es-CO"/>
          </w:rPr>
          <w:t>040621</w:t>
        </w:r>
      </w:hyperlink>
      <w:r w:rsidRPr="008D2838">
        <w:rPr>
          <w:rFonts w:ascii="Arial" w:hAnsi="Arial" w:cs="Arial"/>
          <w:color w:val="000000" w:themeColor="text1"/>
          <w:sz w:val="22"/>
          <w:szCs w:val="22"/>
          <w:lang w:val="es-CO"/>
        </w:rPr>
        <w:t xml:space="preserve"> del 18 de mayo de 2020. </w:t>
      </w:r>
    </w:p>
    <w:p w14:paraId="4EF4F9AF" w14:textId="77777777" w:rsidR="00081708" w:rsidRPr="008D2838" w:rsidRDefault="00081708" w:rsidP="00081708">
      <w:pPr>
        <w:numPr>
          <w:ilvl w:val="0"/>
          <w:numId w:val="36"/>
        </w:numPr>
        <w:ind w:left="284" w:hanging="284"/>
        <w:contextualSpacing/>
        <w:jc w:val="both"/>
        <w:rPr>
          <w:rFonts w:ascii="Arial" w:hAnsi="Arial" w:cs="Arial"/>
          <w:color w:val="000000" w:themeColor="text1"/>
          <w:sz w:val="22"/>
          <w:szCs w:val="22"/>
          <w:lang w:val="es-CO"/>
        </w:rPr>
      </w:pPr>
      <w:r w:rsidRPr="008D2838">
        <w:rPr>
          <w:rFonts w:ascii="Arial" w:hAnsi="Arial" w:cs="Arial"/>
          <w:color w:val="000000" w:themeColor="text1"/>
          <w:sz w:val="22"/>
          <w:szCs w:val="22"/>
          <w:lang w:val="es-CO"/>
        </w:rPr>
        <w:t>Radicado Reporte de inconsistencias en las validaciones SINEB – SIMAT – DUE. Oficio información Sectorial Ministerio de Educación Nacional y anexos. Sector Educación. Distrito de Turbo-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color w:val="000000" w:themeColor="text1"/>
          <w:sz w:val="22"/>
          <w:szCs w:val="22"/>
          <w:lang w:val="es-CO"/>
        </w:rPr>
        <w:t xml:space="preserve">”. Radicado No. 1-2020-040621 del 18 de mayo de 2020. </w:t>
      </w:r>
    </w:p>
    <w:p w14:paraId="271B9334" w14:textId="77777777" w:rsidR="00081708" w:rsidRPr="008D2838" w:rsidRDefault="00081708" w:rsidP="00081708">
      <w:pPr>
        <w:numPr>
          <w:ilvl w:val="0"/>
          <w:numId w:val="36"/>
        </w:numPr>
        <w:ind w:left="284" w:hanging="284"/>
        <w:contextualSpacing/>
        <w:jc w:val="both"/>
        <w:rPr>
          <w:rFonts w:ascii="Arial" w:eastAsia="Times New Roman" w:hAnsi="Arial" w:cs="Arial"/>
          <w:sz w:val="22"/>
          <w:szCs w:val="22"/>
          <w:lang w:val="es-CO" w:eastAsia="es-MX"/>
        </w:rPr>
      </w:pPr>
      <w:r w:rsidRPr="008D2838">
        <w:rPr>
          <w:rFonts w:ascii="Arial" w:hAnsi="Arial" w:cs="Arial"/>
          <w:color w:val="000000" w:themeColor="text1"/>
          <w:sz w:val="22"/>
          <w:szCs w:val="22"/>
          <w:lang w:val="es-CO"/>
        </w:rPr>
        <w:t>Reporte de inconsistencias en las validaciones SINEB – SIMAT – DUE. Oficio información Alcaldía de Turbo, Antioquia. 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color w:val="000000" w:themeColor="text1"/>
          <w:sz w:val="22"/>
          <w:szCs w:val="22"/>
          <w:lang w:val="es-CO"/>
        </w:rPr>
        <w:t xml:space="preserve">”. Radicado </w:t>
      </w:r>
      <w:r w:rsidRPr="008D2838">
        <w:rPr>
          <w:rFonts w:ascii="Arial" w:hAnsi="Arial" w:cs="Arial"/>
          <w:sz w:val="22"/>
          <w:szCs w:val="22"/>
          <w:lang w:val="es-CO"/>
        </w:rPr>
        <w:t xml:space="preserve">No. 1-2021-075798 del 31 de agosto de 2021. </w:t>
      </w:r>
    </w:p>
    <w:p w14:paraId="67EB098E" w14:textId="77777777" w:rsidR="00081708" w:rsidRPr="008D2838" w:rsidRDefault="00081708" w:rsidP="00081708">
      <w:pPr>
        <w:numPr>
          <w:ilvl w:val="0"/>
          <w:numId w:val="36"/>
        </w:numPr>
        <w:ind w:left="284" w:hanging="284"/>
        <w:contextualSpacing/>
        <w:jc w:val="both"/>
        <w:rPr>
          <w:rFonts w:ascii="Arial" w:hAnsi="Arial" w:cs="Arial"/>
          <w:color w:val="000000" w:themeColor="text1"/>
          <w:sz w:val="22"/>
          <w:szCs w:val="22"/>
          <w:lang w:val="es-CO"/>
        </w:rPr>
      </w:pPr>
      <w:r w:rsidRPr="008D2838">
        <w:rPr>
          <w:rFonts w:ascii="Arial" w:hAnsi="Arial" w:cs="Arial"/>
          <w:color w:val="000000" w:themeColor="text1"/>
          <w:sz w:val="22"/>
          <w:szCs w:val="22"/>
          <w:lang w:val="es-CO"/>
        </w:rPr>
        <w:t>Radicado Reporte de inconsistencias en las validaciones SINEB – SIMAT – DUE. Oficio información Alcaldía de Turbo, Antioquia. 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color w:val="000000" w:themeColor="text1"/>
          <w:sz w:val="22"/>
          <w:szCs w:val="22"/>
          <w:lang w:val="es-CO"/>
        </w:rPr>
        <w:t xml:space="preserve">”. Radicado </w:t>
      </w:r>
      <w:r w:rsidRPr="008D2838">
        <w:rPr>
          <w:rFonts w:ascii="Arial" w:hAnsi="Arial" w:cs="Arial"/>
          <w:sz w:val="22"/>
          <w:szCs w:val="22"/>
          <w:lang w:val="es-CO"/>
        </w:rPr>
        <w:t xml:space="preserve">No. 1-2021-075798 del 31 de agosto de 2021. </w:t>
      </w:r>
    </w:p>
    <w:p w14:paraId="3EDA7A5B" w14:textId="77777777" w:rsidR="00081708" w:rsidRPr="008D2838" w:rsidRDefault="00081708" w:rsidP="00081708">
      <w:pPr>
        <w:ind w:left="720"/>
        <w:contextualSpacing/>
        <w:jc w:val="both"/>
        <w:rPr>
          <w:rFonts w:ascii="Arial" w:hAnsi="Arial" w:cs="Arial"/>
          <w:sz w:val="22"/>
          <w:szCs w:val="22"/>
          <w:lang w:val="es-CO" w:eastAsia="en-US"/>
        </w:rPr>
      </w:pPr>
    </w:p>
    <w:p w14:paraId="5E94D2DE" w14:textId="77777777" w:rsidR="00081708" w:rsidRPr="008D2838" w:rsidRDefault="00081708" w:rsidP="00081708">
      <w:pPr>
        <w:keepNext/>
        <w:keepLines/>
        <w:contextualSpacing/>
        <w:jc w:val="both"/>
        <w:outlineLvl w:val="1"/>
        <w:rPr>
          <w:rFonts w:ascii="Arial" w:eastAsia="MS Gothic" w:hAnsi="Arial" w:cs="Arial"/>
          <w:b/>
          <w:bCs/>
          <w:i/>
          <w:sz w:val="22"/>
          <w:szCs w:val="22"/>
          <w:lang w:val="es-CO"/>
        </w:rPr>
      </w:pPr>
      <w:r w:rsidRPr="008D2838">
        <w:rPr>
          <w:rFonts w:ascii="Arial" w:eastAsia="MS Gothic" w:hAnsi="Arial" w:cs="Arial"/>
          <w:b/>
          <w:bCs/>
          <w:iCs/>
          <w:sz w:val="22"/>
          <w:szCs w:val="22"/>
          <w:lang w:val="es-CO"/>
        </w:rPr>
        <w:t>EVENTO DE RIESGO 9.4.</w:t>
      </w:r>
      <w:r w:rsidRPr="008D2838">
        <w:rPr>
          <w:rFonts w:ascii="Arial" w:eastAsia="MS Gothic" w:hAnsi="Arial" w:cs="Arial"/>
          <w:b/>
          <w:bCs/>
          <w:i/>
          <w:sz w:val="22"/>
          <w:szCs w:val="22"/>
          <w:lang w:val="es-CO"/>
        </w:rPr>
        <w:t xml:space="preserve"> </w:t>
      </w:r>
      <w:r w:rsidRPr="008D2838">
        <w:rPr>
          <w:rFonts w:ascii="Arial" w:eastAsia="MS Gothic" w:hAnsi="Arial" w:cs="Arial"/>
          <w:bCs/>
          <w:i/>
          <w:sz w:val="22"/>
          <w:szCs w:val="22"/>
          <w:lang w:val="es-CO"/>
        </w:rPr>
        <w:t>“Cambio en la destinación de los recursos”.</w:t>
      </w:r>
    </w:p>
    <w:p w14:paraId="0E6A7860" w14:textId="77777777" w:rsidR="00081708" w:rsidRPr="008D2838" w:rsidRDefault="00081708" w:rsidP="00081708">
      <w:pPr>
        <w:jc w:val="both"/>
        <w:rPr>
          <w:rFonts w:ascii="Arial" w:hAnsi="Arial" w:cs="Arial"/>
          <w:sz w:val="22"/>
          <w:szCs w:val="22"/>
          <w:lang w:val="es-CO"/>
        </w:rPr>
      </w:pPr>
    </w:p>
    <w:p w14:paraId="2598B9AB" w14:textId="77777777" w:rsidR="00081708" w:rsidRPr="008D2838" w:rsidRDefault="00081708" w:rsidP="00081708">
      <w:pPr>
        <w:numPr>
          <w:ilvl w:val="0"/>
          <w:numId w:val="9"/>
        </w:numPr>
        <w:ind w:left="426" w:hanging="426"/>
        <w:contextualSpacing/>
        <w:jc w:val="both"/>
        <w:outlineLvl w:val="2"/>
        <w:rPr>
          <w:rFonts w:ascii="Arial" w:hAnsi="Arial" w:cs="Arial"/>
          <w:b/>
          <w:i/>
          <w:sz w:val="22"/>
          <w:szCs w:val="22"/>
          <w:lang w:val="es-CO"/>
        </w:rPr>
      </w:pPr>
      <w:r w:rsidRPr="008D2838">
        <w:rPr>
          <w:rFonts w:ascii="Arial" w:hAnsi="Arial" w:cs="Arial"/>
          <w:b/>
          <w:i/>
          <w:sz w:val="22"/>
          <w:szCs w:val="22"/>
          <w:lang w:val="es-CO"/>
        </w:rPr>
        <w:lastRenderedPageBreak/>
        <w:t>Uso indebido o inadecuado de los recursos del Sistema General de Participaciones.</w:t>
      </w:r>
    </w:p>
    <w:p w14:paraId="6F1790D6" w14:textId="77777777" w:rsidR="00081708" w:rsidRPr="008D2838" w:rsidRDefault="00081708" w:rsidP="00081708">
      <w:pPr>
        <w:ind w:left="360"/>
        <w:contextualSpacing/>
        <w:jc w:val="both"/>
        <w:textAlignment w:val="baseline"/>
        <w:rPr>
          <w:rFonts w:ascii="Arial" w:eastAsia="Times New Roman" w:hAnsi="Arial" w:cs="Arial"/>
          <w:sz w:val="22"/>
          <w:szCs w:val="22"/>
          <w:lang w:val="es-CO" w:eastAsia="es-ES_tradnl"/>
        </w:rPr>
      </w:pPr>
    </w:p>
    <w:p w14:paraId="761C5906" w14:textId="77777777" w:rsidR="00081708" w:rsidRPr="008D2838" w:rsidRDefault="00081708" w:rsidP="00081708">
      <w:pPr>
        <w:ind w:right="45"/>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sz w:val="22"/>
          <w:szCs w:val="22"/>
          <w:lang w:val="es-CO" w:eastAsia="es-ES_tradnl"/>
        </w:rPr>
        <w:t>El artículo 18 del Decreto 1567 de 1998</w:t>
      </w:r>
      <w:r w:rsidRPr="008D2838">
        <w:rPr>
          <w:rFonts w:ascii="Arial" w:eastAsia="Times New Roman" w:hAnsi="Arial" w:cs="Arial"/>
          <w:sz w:val="22"/>
          <w:szCs w:val="22"/>
          <w:vertAlign w:val="superscript"/>
          <w:lang w:val="es-CO" w:eastAsia="es-ES_tradnl"/>
        </w:rPr>
        <w:t xml:space="preserve"> </w:t>
      </w:r>
      <w:r w:rsidRPr="008D2838">
        <w:rPr>
          <w:rFonts w:ascii="Arial" w:eastAsia="MS Gothic" w:hAnsi="Arial" w:cs="Arial"/>
          <w:sz w:val="22"/>
          <w:szCs w:val="22"/>
          <w:lang w:val="es-CO" w:eastAsia="es-ES_tradnl"/>
        </w:rPr>
        <w:t xml:space="preserve">establece que las entidades públicas deberán adoptar programas de bienestar social y programas de incentivos para el funcionamiento del sistema de estímulos de los empleados púbicos, teniendo en cuenta que según el artículo 13 del mismo Decreto dicho sistema consiste en </w:t>
      </w:r>
      <w:r w:rsidRPr="008D2838">
        <w:rPr>
          <w:rFonts w:ascii="Arial" w:eastAsia="MS Gothic" w:hAnsi="Arial" w:cs="Arial"/>
          <w:i/>
          <w:iCs/>
          <w:sz w:val="22"/>
          <w:szCs w:val="22"/>
          <w:lang w:val="es-CO" w:eastAsia="es-ES_tradnl"/>
        </w:rPr>
        <w:t>“[…] el conjunto interrelacionado y coherente de políticas, planes, entidades, disposiciones legales y programas de bienestar e incentivos que interactúan con el propósito de elevar los niveles de eficiencia, satisfacción, desarrollo y bienestar de los empleados del Estado en el desempeño de su labor y de contribuir al cumplimiento efectivo de los resultados institucionales”</w:t>
      </w:r>
      <w:r w:rsidRPr="008D2838">
        <w:rPr>
          <w:rFonts w:ascii="Arial" w:eastAsia="MS Gothic" w:hAnsi="Arial" w:cs="Arial"/>
          <w:sz w:val="22"/>
          <w:szCs w:val="22"/>
          <w:lang w:val="es-CO" w:eastAsia="es-ES_tradnl"/>
        </w:rPr>
        <w:t>, los cuales se implementarán contemplando los lineamientos que para ello prevé el artículo 20 de dicho cuerpo normativo y con observancia de la prohibición establecida en el artículo 7 del Decreto 26 de 1998, prohibición que se reitera en el artículo 6 del Decreto 2209 de 1998 que modificó el artículo 12 del Decreto 1737 de 1998</w:t>
      </w:r>
      <w:r w:rsidRPr="008D2838">
        <w:rPr>
          <w:rFonts w:ascii="Arial" w:eastAsia="Times New Roman" w:hAnsi="Arial" w:cs="Arial"/>
          <w:sz w:val="22"/>
          <w:szCs w:val="22"/>
          <w:vertAlign w:val="superscript"/>
          <w:lang w:val="es-CO" w:eastAsia="es-ES_tradnl"/>
        </w:rPr>
        <w:t>,</w:t>
      </w:r>
      <w:r w:rsidRPr="008D2838">
        <w:rPr>
          <w:rFonts w:ascii="Arial" w:eastAsia="MS Gothic" w:hAnsi="Arial" w:cs="Arial"/>
          <w:sz w:val="22"/>
          <w:szCs w:val="22"/>
          <w:lang w:val="es-CO" w:eastAsia="es-ES_tradnl"/>
        </w:rPr>
        <w:t xml:space="preserve"> en los siguientes términos:</w:t>
      </w:r>
    </w:p>
    <w:p w14:paraId="389041FA"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p>
    <w:p w14:paraId="113FE4F9" w14:textId="77777777" w:rsidR="00081708" w:rsidRPr="008D2838" w:rsidRDefault="00081708" w:rsidP="00081708">
      <w:pPr>
        <w:ind w:left="567" w:right="49"/>
        <w:contextualSpacing/>
        <w:jc w:val="both"/>
        <w:textAlignment w:val="baseline"/>
        <w:rPr>
          <w:rFonts w:ascii="Arial" w:eastAsia="Times New Roman" w:hAnsi="Arial" w:cs="Arial"/>
          <w:sz w:val="18"/>
          <w:szCs w:val="18"/>
          <w:lang w:val="es-CO" w:eastAsia="es-ES_tradnl"/>
        </w:rPr>
      </w:pPr>
      <w:r w:rsidRPr="008D2838">
        <w:rPr>
          <w:rFonts w:ascii="Arial" w:eastAsia="MS Gothic" w:hAnsi="Arial" w:cs="Arial"/>
          <w:i/>
          <w:iCs/>
          <w:sz w:val="18"/>
          <w:szCs w:val="18"/>
          <w:lang w:val="es-CO" w:eastAsia="es-ES_tradnl"/>
        </w:rPr>
        <w:t xml:space="preserve">“Artículo 7. </w:t>
      </w:r>
      <w:r w:rsidRPr="008D2838">
        <w:rPr>
          <w:rFonts w:ascii="Arial" w:eastAsia="MS Gothic" w:hAnsi="Arial" w:cs="Arial"/>
          <w:b/>
          <w:bCs/>
          <w:i/>
          <w:iCs/>
          <w:sz w:val="18"/>
          <w:szCs w:val="18"/>
          <w:u w:val="single"/>
          <w:lang w:val="es-CO" w:eastAsia="es-ES_tradnl"/>
        </w:rPr>
        <w:t>Prohíbase ordenar, autorizar o efectuar fiestas, agasajos, celebraciones u conmemoraciones u otorgar regalos con cargo al Tesoro Público</w:t>
      </w:r>
      <w:r w:rsidRPr="008D2838">
        <w:rPr>
          <w:rFonts w:ascii="Arial" w:eastAsia="MS Gothic" w:hAnsi="Arial" w:cs="Arial"/>
          <w:i/>
          <w:iCs/>
          <w:sz w:val="18"/>
          <w:szCs w:val="18"/>
          <w:lang w:val="es-CO" w:eastAsia="es-ES_tradnl"/>
        </w:rPr>
        <w:t>, salvo en las actividades de bienestar social relacionadas con la celebración de Navidad de los hijos de los funcionarios”.</w:t>
      </w:r>
      <w:r w:rsidRPr="008D2838">
        <w:rPr>
          <w:rFonts w:ascii="Arial" w:eastAsia="MS Gothic" w:hAnsi="Arial" w:cs="Arial"/>
          <w:sz w:val="18"/>
          <w:szCs w:val="18"/>
          <w:lang w:val="es-CO" w:eastAsia="es-ES_tradnl"/>
        </w:rPr>
        <w:t xml:space="preserve"> (Énfasis fuera del texto).</w:t>
      </w:r>
    </w:p>
    <w:p w14:paraId="5B3FCD11" w14:textId="77777777" w:rsidR="00081708" w:rsidRPr="008D2838" w:rsidRDefault="00081708" w:rsidP="00081708">
      <w:pPr>
        <w:ind w:right="615"/>
        <w:contextualSpacing/>
        <w:jc w:val="both"/>
        <w:textAlignment w:val="baseline"/>
        <w:rPr>
          <w:rFonts w:ascii="Arial" w:eastAsia="Times New Roman" w:hAnsi="Arial" w:cs="Arial"/>
          <w:sz w:val="22"/>
          <w:szCs w:val="22"/>
          <w:lang w:val="es-CO" w:eastAsia="es-ES_tradnl"/>
        </w:rPr>
      </w:pPr>
    </w:p>
    <w:p w14:paraId="39AAF040"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sz w:val="22"/>
          <w:szCs w:val="22"/>
          <w:lang w:val="es-CO" w:eastAsia="es-ES_tradnl"/>
        </w:rPr>
        <w:t>Por lo tanto, a la luz de las normas invocadas y en concordancia con el artículo 355 de la Constitución Política, no se pueden financiar ningún tipo de celebraciones con cargo a los recursos públicos.</w:t>
      </w:r>
    </w:p>
    <w:p w14:paraId="6DCF9061"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p>
    <w:p w14:paraId="4EE2BDDE"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sz w:val="22"/>
          <w:szCs w:val="22"/>
          <w:lang w:val="es-CO" w:eastAsia="es-ES_tradnl"/>
        </w:rPr>
        <w:t xml:space="preserve">Igualmente es de anotar que </w:t>
      </w:r>
      <w:r w:rsidRPr="008D2838">
        <w:rPr>
          <w:rFonts w:ascii="Arial" w:eastAsia="MS Gothic" w:hAnsi="Arial" w:cs="Arial"/>
          <w:sz w:val="22"/>
          <w:szCs w:val="22"/>
          <w:shd w:val="clear" w:color="auto" w:fill="FFFFFF"/>
          <w:lang w:val="es-CO" w:eastAsia="es-ES_tradnl"/>
        </w:rPr>
        <w:t>dentro de la asignación que se realiza de la Participación de Educación de los recursos del Sistema General de Participaciones por los gastos inherentes a la nómina docente, en el cálculo se incluye el monto correspondiente a seguridad social y parafiscales de los docentes, en este último rubro se incluye el valor correspondiente a los aportes a las cajas de compensación familiar, la cual según el artículo 29 del Decreto 784 de 1989 se establece como función de estas los servicios de recreación social, en los siguientes términos:</w:t>
      </w:r>
    </w:p>
    <w:p w14:paraId="6B9AC563"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p>
    <w:p w14:paraId="2B935BB4" w14:textId="77777777" w:rsidR="00081708" w:rsidRPr="008D2838" w:rsidRDefault="00081708" w:rsidP="00081708">
      <w:pPr>
        <w:ind w:left="567" w:right="49"/>
        <w:contextualSpacing/>
        <w:jc w:val="both"/>
        <w:textAlignment w:val="baseline"/>
        <w:rPr>
          <w:rFonts w:ascii="Arial" w:eastAsia="Times New Roman" w:hAnsi="Arial" w:cs="Arial"/>
          <w:sz w:val="18"/>
          <w:szCs w:val="18"/>
          <w:lang w:val="es-CO" w:eastAsia="es-ES_tradnl"/>
        </w:rPr>
      </w:pPr>
      <w:r w:rsidRPr="008D2838">
        <w:rPr>
          <w:rFonts w:ascii="Arial" w:eastAsia="MS Gothic" w:hAnsi="Arial" w:cs="Arial"/>
          <w:i/>
          <w:iCs/>
          <w:sz w:val="18"/>
          <w:szCs w:val="18"/>
          <w:shd w:val="clear" w:color="auto" w:fill="FFFFFF"/>
          <w:lang w:val="es-CO" w:eastAsia="es-ES_tradnl"/>
        </w:rPr>
        <w:t>“Artículo 29.- Los servicios de recreación social. Los servicios de recreación social que adelanten las cajas de compensación familiar estarán orientados por las siguientes finalidades principales:</w:t>
      </w:r>
    </w:p>
    <w:p w14:paraId="4F31E23B" w14:textId="77777777" w:rsidR="00081708" w:rsidRPr="008D2838" w:rsidRDefault="00081708" w:rsidP="00081708">
      <w:pPr>
        <w:ind w:left="567" w:right="49"/>
        <w:contextualSpacing/>
        <w:jc w:val="both"/>
        <w:textAlignment w:val="baseline"/>
        <w:rPr>
          <w:rFonts w:ascii="Arial" w:eastAsia="Times New Roman" w:hAnsi="Arial" w:cs="Arial"/>
          <w:sz w:val="18"/>
          <w:szCs w:val="18"/>
          <w:lang w:val="es-CO" w:eastAsia="es-ES_tradnl"/>
        </w:rPr>
      </w:pPr>
      <w:r w:rsidRPr="008D2838">
        <w:rPr>
          <w:rFonts w:ascii="Arial" w:eastAsia="MS Gothic" w:hAnsi="Arial" w:cs="Arial"/>
          <w:i/>
          <w:iCs/>
          <w:sz w:val="18"/>
          <w:szCs w:val="18"/>
          <w:shd w:val="clear" w:color="auto" w:fill="FFFFFF"/>
          <w:lang w:val="es-CO" w:eastAsia="es-ES_tradnl"/>
        </w:rPr>
        <w:t>1. Prestar servicios de recreación y turismo social.</w:t>
      </w:r>
    </w:p>
    <w:p w14:paraId="47C0C31B" w14:textId="77777777" w:rsidR="00081708" w:rsidRPr="008D2838" w:rsidRDefault="00081708" w:rsidP="00081708">
      <w:pPr>
        <w:ind w:left="567" w:right="49"/>
        <w:contextualSpacing/>
        <w:jc w:val="both"/>
        <w:textAlignment w:val="baseline"/>
        <w:rPr>
          <w:rFonts w:ascii="Arial" w:eastAsia="MS Gothic" w:hAnsi="Arial" w:cs="Arial"/>
          <w:i/>
          <w:iCs/>
          <w:shd w:val="clear" w:color="auto" w:fill="FFFFFF"/>
          <w:lang w:val="es-CO" w:eastAsia="es-ES_tradnl"/>
        </w:rPr>
      </w:pPr>
      <w:r w:rsidRPr="008D2838">
        <w:rPr>
          <w:rFonts w:ascii="Arial" w:eastAsia="MS Gothic" w:hAnsi="Arial" w:cs="Arial"/>
          <w:i/>
          <w:iCs/>
          <w:sz w:val="18"/>
          <w:szCs w:val="18"/>
          <w:shd w:val="clear" w:color="auto" w:fill="FFFFFF"/>
          <w:lang w:val="es-CO" w:eastAsia="es-ES_tradnl"/>
        </w:rPr>
        <w:t>2. Facilitar el descanso o el esparcimiento de los trabajadores afiliados, de manera que se repongan de la fatiga o el cansancio resultante de la actividad laboral.</w:t>
      </w:r>
    </w:p>
    <w:p w14:paraId="4909BC33" w14:textId="77777777" w:rsidR="00081708" w:rsidRPr="008D2838" w:rsidRDefault="00081708" w:rsidP="00081708">
      <w:pPr>
        <w:ind w:left="567" w:right="49"/>
        <w:contextualSpacing/>
        <w:jc w:val="both"/>
        <w:textAlignment w:val="baseline"/>
        <w:rPr>
          <w:rFonts w:ascii="Arial" w:eastAsia="MS Gothic" w:hAnsi="Arial" w:cs="Arial"/>
          <w:i/>
          <w:iCs/>
          <w:shd w:val="clear" w:color="auto" w:fill="FFFFFF"/>
          <w:lang w:val="es-CO" w:eastAsia="es-ES_tradnl"/>
        </w:rPr>
      </w:pPr>
      <w:r w:rsidRPr="008D2838">
        <w:rPr>
          <w:rFonts w:ascii="Arial" w:eastAsia="MS Gothic" w:hAnsi="Arial" w:cs="Arial"/>
          <w:i/>
          <w:iCs/>
          <w:sz w:val="18"/>
          <w:szCs w:val="18"/>
          <w:shd w:val="clear" w:color="auto" w:fill="FFFFFF"/>
          <w:lang w:val="es-CO" w:eastAsia="es-ES_tradnl"/>
        </w:rPr>
        <w:t>3. Inducir a los trabajadores y sus familias a la práctica del deporte y la sana utilización del tiempo libre.</w:t>
      </w:r>
    </w:p>
    <w:p w14:paraId="1585BEC1" w14:textId="77777777" w:rsidR="00081708" w:rsidRPr="008D2838" w:rsidRDefault="00081708" w:rsidP="00081708">
      <w:pPr>
        <w:ind w:left="567" w:right="49"/>
        <w:contextualSpacing/>
        <w:jc w:val="both"/>
        <w:textAlignment w:val="baseline"/>
        <w:rPr>
          <w:rFonts w:ascii="Arial" w:eastAsia="MS Gothic" w:hAnsi="Arial" w:cs="Arial"/>
          <w:i/>
          <w:iCs/>
          <w:shd w:val="clear" w:color="auto" w:fill="FFFFFF"/>
          <w:lang w:val="es-CO" w:eastAsia="es-ES_tradnl"/>
        </w:rPr>
      </w:pPr>
      <w:r w:rsidRPr="008D2838">
        <w:rPr>
          <w:rFonts w:ascii="Arial" w:eastAsia="MS Gothic" w:hAnsi="Arial" w:cs="Arial"/>
          <w:i/>
          <w:iCs/>
          <w:sz w:val="18"/>
          <w:szCs w:val="18"/>
          <w:shd w:val="clear" w:color="auto" w:fill="FFFFFF"/>
          <w:lang w:val="es-CO" w:eastAsia="es-ES_tradnl"/>
        </w:rPr>
        <w:t>4. Facilitar la participación en eventos deportivos, programas de recreación, excursiones y actividades similares para el desarrollo físico y mental de los afiliados y sus familias.</w:t>
      </w:r>
    </w:p>
    <w:p w14:paraId="46F3BDDE" w14:textId="77777777" w:rsidR="00081708" w:rsidRPr="008D2838" w:rsidRDefault="00081708" w:rsidP="00081708">
      <w:pPr>
        <w:ind w:left="567" w:right="49"/>
        <w:contextualSpacing/>
        <w:jc w:val="both"/>
        <w:textAlignment w:val="baseline"/>
        <w:rPr>
          <w:rFonts w:ascii="Arial" w:eastAsia="MS Gothic" w:hAnsi="Arial" w:cs="Arial"/>
          <w:i/>
          <w:iCs/>
          <w:shd w:val="clear" w:color="auto" w:fill="FFFFFF"/>
          <w:lang w:val="es-CO" w:eastAsia="es-ES_tradnl"/>
        </w:rPr>
      </w:pPr>
      <w:r w:rsidRPr="008D2838">
        <w:rPr>
          <w:rFonts w:ascii="Arial" w:eastAsia="MS Gothic" w:hAnsi="Arial" w:cs="Arial"/>
          <w:i/>
          <w:iCs/>
          <w:shd w:val="clear" w:color="auto" w:fill="FFFFFF"/>
          <w:lang w:val="es-CO" w:eastAsia="es-ES_tradnl"/>
        </w:rPr>
        <w:t> </w:t>
      </w:r>
    </w:p>
    <w:p w14:paraId="0FC7B9A1" w14:textId="77777777" w:rsidR="00081708" w:rsidRPr="008D2838" w:rsidRDefault="00081708" w:rsidP="00081708">
      <w:pPr>
        <w:ind w:left="567" w:right="49"/>
        <w:contextualSpacing/>
        <w:jc w:val="both"/>
        <w:textAlignment w:val="baseline"/>
        <w:rPr>
          <w:rFonts w:ascii="Arial" w:eastAsia="Times New Roman" w:hAnsi="Arial" w:cs="Arial"/>
          <w:sz w:val="18"/>
          <w:szCs w:val="18"/>
          <w:lang w:val="es-CO" w:eastAsia="es-ES_tradnl"/>
        </w:rPr>
      </w:pPr>
      <w:r w:rsidRPr="008D2838">
        <w:rPr>
          <w:rFonts w:ascii="Arial" w:eastAsia="MS Gothic" w:hAnsi="Arial" w:cs="Arial"/>
          <w:i/>
          <w:iCs/>
          <w:sz w:val="18"/>
          <w:szCs w:val="18"/>
          <w:shd w:val="clear" w:color="auto" w:fill="FFFFFF"/>
          <w:lang w:val="es-CO" w:eastAsia="es-ES_tradnl"/>
        </w:rPr>
        <w:t>Parágrafo. - Las cajas de compensación familiar auspiciarán la utilización de la infraestructura existente por parte de los pensionados, los estudiantes, los trabajadores en vacaciones y demás sectores de la población para que entre semana puedan disfrutar de la recreación y el turismo social, sin perjuicio de sus actividades normales”.</w:t>
      </w:r>
    </w:p>
    <w:p w14:paraId="7C291001"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p>
    <w:p w14:paraId="4E57F13F"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sz w:val="22"/>
          <w:szCs w:val="22"/>
          <w:shd w:val="clear" w:color="auto" w:fill="FFFFFF"/>
          <w:lang w:val="es-CO" w:eastAsia="es-ES_tradnl"/>
        </w:rPr>
        <w:t xml:space="preserve">En ese mismo sentido, </w:t>
      </w:r>
      <w:r w:rsidRPr="008D2838">
        <w:rPr>
          <w:rFonts w:ascii="Arial" w:eastAsia="Times New Roman" w:hAnsi="Arial" w:cs="Arial"/>
          <w:sz w:val="22"/>
          <w:szCs w:val="22"/>
          <w:shd w:val="clear" w:color="auto" w:fill="FFFFFF"/>
          <w:lang w:val="es-CO" w:eastAsia="es-ES_tradnl"/>
        </w:rPr>
        <w:t xml:space="preserve">el numeral cuarto del artículo 2.2.10.2 del Decreto 1083 de 2015, establece la posibilidad de que las actividades de recreación y bienestar de los empleados se gestionen en coordinación con las cajas de compensación familiar. Por su parte, </w:t>
      </w:r>
      <w:r w:rsidRPr="008D2838">
        <w:rPr>
          <w:rFonts w:ascii="Arial" w:eastAsia="MS Gothic" w:hAnsi="Arial" w:cs="Arial"/>
          <w:sz w:val="22"/>
          <w:szCs w:val="22"/>
          <w:shd w:val="clear" w:color="auto" w:fill="FFFFFF"/>
          <w:lang w:val="es-CO" w:eastAsia="es-ES_tradnl"/>
        </w:rPr>
        <w:t>el numeral 5 del artículo 41 de la Ley 21 de 1982 establece como función de las cajas de compensación familiar:</w:t>
      </w:r>
    </w:p>
    <w:p w14:paraId="1ECED388"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p>
    <w:p w14:paraId="7F95D37B" w14:textId="77777777" w:rsidR="00081708" w:rsidRPr="008D2838" w:rsidRDefault="00081708" w:rsidP="00081708">
      <w:pPr>
        <w:ind w:left="567" w:right="49"/>
        <w:contextualSpacing/>
        <w:jc w:val="both"/>
        <w:textAlignment w:val="baseline"/>
        <w:rPr>
          <w:rFonts w:ascii="Arial" w:eastAsia="Times New Roman" w:hAnsi="Arial" w:cs="Arial"/>
          <w:sz w:val="18"/>
          <w:szCs w:val="18"/>
          <w:lang w:val="es-CO" w:eastAsia="es-ES_tradnl"/>
        </w:rPr>
      </w:pPr>
      <w:r w:rsidRPr="008D2838">
        <w:rPr>
          <w:rFonts w:ascii="Arial" w:eastAsia="MS Gothic" w:hAnsi="Arial" w:cs="Arial"/>
          <w:i/>
          <w:iCs/>
          <w:sz w:val="18"/>
          <w:szCs w:val="18"/>
          <w:shd w:val="clear" w:color="auto" w:fill="FFFFFF"/>
          <w:lang w:val="es-CO" w:eastAsia="es-ES_tradnl"/>
        </w:rPr>
        <w:t>“[…] 5. Administrar, a través de los programas que a ellas corresponda, las actividades de subsidio en dinero; recreación social, deportes, turismo, centros recreativos y vacacionales; cultura, museos, bibliotecas y teatros; vivienda de interés social; créditos, jardines sociales o programas de atención integral para niños y niñas de 0 a 6 años; programas de jornada escolar complementaria; educación y capacitación; atención de la tercera edad y programas de nutrición materno-infantil y, en general, los programas que estén autorizados a la expedición de la presente ley, para lo cual podrán continuar operando con el sistema de subsidio a la oferta”.</w:t>
      </w:r>
    </w:p>
    <w:p w14:paraId="31DF1609"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p>
    <w:p w14:paraId="565D36F4" w14:textId="77777777" w:rsidR="00081708" w:rsidRPr="00873D80" w:rsidRDefault="00081708" w:rsidP="00081708">
      <w:pPr>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sz w:val="22"/>
          <w:szCs w:val="22"/>
          <w:shd w:val="clear" w:color="auto" w:fill="FFFFFF"/>
          <w:lang w:val="es-CO" w:eastAsia="es-ES_tradnl"/>
        </w:rPr>
        <w:t xml:space="preserve">Por lo cual, en virtud de los Principios de Economía y Eficiencia consagrados en el artículo 209 de la Constitución Política, corresponde a quien ejerce la función administrativa aprovechar en la mayor medida posible los recursos a su disposición, obteniendo el máximo beneficio posible con ellos, es por esto que para el desarrollo de las actividades de bienestar laboral y no financiables con el SGP, las entidades territoriales cuentan con la herramienta de las cajas de compensación familiar, cuyos aportes son cubiertos por la nómina financiada con el SGP – Educación, que por </w:t>
      </w:r>
      <w:r w:rsidRPr="00873D80">
        <w:rPr>
          <w:rFonts w:ascii="Arial" w:eastAsia="MS Gothic" w:hAnsi="Arial" w:cs="Arial"/>
          <w:sz w:val="22"/>
          <w:szCs w:val="22"/>
          <w:shd w:val="clear" w:color="auto" w:fill="FFFFFF"/>
          <w:lang w:val="es-CO" w:eastAsia="es-ES_tradnl"/>
        </w:rPr>
        <w:t>obligación legal debe proveer espacios de recreación y bienestar para los trabajadores.</w:t>
      </w:r>
    </w:p>
    <w:p w14:paraId="511206C1" w14:textId="77777777" w:rsidR="00081708" w:rsidRPr="00873D80" w:rsidRDefault="00081708" w:rsidP="00081708">
      <w:pPr>
        <w:contextualSpacing/>
        <w:jc w:val="both"/>
        <w:textAlignment w:val="baseline"/>
        <w:rPr>
          <w:rFonts w:ascii="Arial" w:eastAsia="Times New Roman" w:hAnsi="Arial" w:cs="Arial"/>
          <w:sz w:val="22"/>
          <w:szCs w:val="22"/>
          <w:lang w:val="es-CO" w:eastAsia="es-ES_tradnl"/>
        </w:rPr>
      </w:pPr>
    </w:p>
    <w:p w14:paraId="3B9A0B55" w14:textId="77777777" w:rsidR="00081708" w:rsidRPr="00873D80" w:rsidRDefault="00081708" w:rsidP="00081708">
      <w:pPr>
        <w:contextualSpacing/>
        <w:jc w:val="both"/>
        <w:textAlignment w:val="baseline"/>
        <w:rPr>
          <w:rFonts w:ascii="Arial" w:eastAsia="MS Gothic" w:hAnsi="Arial" w:cs="Arial"/>
          <w:sz w:val="22"/>
          <w:szCs w:val="22"/>
          <w:lang w:val="es-CO" w:eastAsia="es-ES_tradnl"/>
        </w:rPr>
      </w:pPr>
      <w:r w:rsidRPr="00873D80">
        <w:rPr>
          <w:rFonts w:ascii="Arial" w:eastAsia="MS Gothic" w:hAnsi="Arial" w:cs="Arial"/>
          <w:sz w:val="22"/>
          <w:szCs w:val="22"/>
          <w:lang w:val="es-CO" w:eastAsia="es-ES_tradnl"/>
        </w:rPr>
        <w:t>Al respecto, para la vigencia 2022 el Distrito de Turbo celebró el Contrato de Prestación de Servicios No. 222 del 02 de noviembre de 2022, con el contratista Crear Futuro Darien S.A.S (NIT No. 900821698-8) por $450 millones para ejecutarse en un plazo de un mes (1) y veintisiete (27) días</w:t>
      </w:r>
      <w:r w:rsidR="00873D80">
        <w:rPr>
          <w:rFonts w:ascii="Arial" w:eastAsia="MS Gothic" w:hAnsi="Arial" w:cs="Arial"/>
          <w:sz w:val="22"/>
          <w:szCs w:val="22"/>
          <w:lang w:val="es-CO" w:eastAsia="es-ES_tradnl"/>
        </w:rPr>
        <w:t>. E</w:t>
      </w:r>
      <w:r w:rsidRPr="00873D80">
        <w:rPr>
          <w:rFonts w:ascii="Arial" w:eastAsia="MS Gothic" w:hAnsi="Arial" w:cs="Arial"/>
          <w:sz w:val="22"/>
          <w:szCs w:val="22"/>
          <w:lang w:val="es-CO" w:eastAsia="es-ES_tradnl"/>
        </w:rPr>
        <w:t xml:space="preserve">l objeto contractual fue el </w:t>
      </w:r>
      <w:r w:rsidRPr="00873D80">
        <w:rPr>
          <w:rFonts w:ascii="Arial" w:hAnsi="Arial" w:cs="Arial"/>
          <w:i/>
          <w:iCs/>
          <w:sz w:val="22"/>
          <w:szCs w:val="22"/>
          <w:lang w:val="es-CO" w:eastAsia="es-ES_tradnl"/>
        </w:rPr>
        <w:t>“Apoyo logístico para la organización, administración y realización de actividades programadas por la Secretaria de Educación y Cultura del Distrito de Turbo”</w:t>
      </w:r>
      <w:r w:rsidRPr="00873D80">
        <w:rPr>
          <w:rFonts w:ascii="Arial" w:eastAsia="MS Gothic" w:hAnsi="Arial" w:cs="Arial"/>
          <w:sz w:val="22"/>
          <w:szCs w:val="22"/>
          <w:lang w:val="es-CO" w:eastAsia="es-ES_tradnl"/>
        </w:rPr>
        <w:t xml:space="preserve"> dirigido a los docentes, directivos docentes y administrativos de los establecimientos educativos oficiales, de acuerdo con la cláusula segunda de la minuta contractual. El Contrato fue soportado presupuestalmente con el CDP No. 01173 y RP No. 0000001911 con cargo a los recursos del SGP Educación – Prestación del Servicio. Del mismo modo, con estos recursos se financió el Otrosi No. 1 al Contrato No. 222, por $200 millones soportado con el CDP No. 01636 de 2022. Dentro de las actividades financiadas se encuentra: la jornada de bienestar lúdico deportivo, ciclo de paseo y camita ecológica, juegos deportivos, jornadas preventivas de salud y seguridad, comidas, refrigerios, transporte de pasajeros y bienes y/o servicios a suministrar, uniformes y elementos deportivos, publicidad, así como, el hospedaje de los docentes, docentes directivos y administrativos. </w:t>
      </w:r>
    </w:p>
    <w:p w14:paraId="1FB180F7" w14:textId="77777777" w:rsidR="00081708" w:rsidRPr="00873D80" w:rsidRDefault="00081708" w:rsidP="00081708">
      <w:pPr>
        <w:contextualSpacing/>
        <w:jc w:val="both"/>
        <w:textAlignment w:val="baseline"/>
        <w:rPr>
          <w:rFonts w:ascii="Arial" w:eastAsia="MS Gothic" w:hAnsi="Arial" w:cs="Arial"/>
          <w:sz w:val="22"/>
          <w:szCs w:val="22"/>
          <w:lang w:val="es-CO" w:eastAsia="es-ES_tradnl"/>
        </w:rPr>
      </w:pPr>
    </w:p>
    <w:p w14:paraId="77AD4956"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r w:rsidRPr="00873D80">
        <w:rPr>
          <w:rFonts w:ascii="Arial" w:eastAsia="MS Gothic" w:hAnsi="Arial" w:cs="Arial"/>
          <w:sz w:val="22"/>
          <w:szCs w:val="22"/>
          <w:lang w:val="es-CO" w:eastAsia="es-ES_tradnl"/>
        </w:rPr>
        <w:t xml:space="preserve">Al respecto, la situación fáctica descrita desconoce las destinaciones consagradas de manera taxativa en el artículo 15 de la Ley </w:t>
      </w:r>
      <w:r w:rsidRPr="008D2838">
        <w:rPr>
          <w:rFonts w:ascii="Arial" w:eastAsia="MS Gothic" w:hAnsi="Arial" w:cs="Arial"/>
          <w:sz w:val="22"/>
          <w:szCs w:val="22"/>
          <w:lang w:val="es-CO" w:eastAsia="es-ES_tradnl"/>
        </w:rPr>
        <w:t>715 de 2001. En conclusión, no existe autorización en la normatividad vigente que permita a las entidades territoriales certificadas en materia educativa financiar los objetos contractuales antes mencionados con recursos del Sistema General de Participaciones – Educación.</w:t>
      </w:r>
    </w:p>
    <w:p w14:paraId="4DE35EA1"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p>
    <w:p w14:paraId="26B22008" w14:textId="77777777" w:rsidR="00081708" w:rsidRPr="008D2838" w:rsidRDefault="00081708" w:rsidP="00081708">
      <w:pPr>
        <w:numPr>
          <w:ilvl w:val="0"/>
          <w:numId w:val="9"/>
        </w:numPr>
        <w:ind w:left="426" w:hanging="426"/>
        <w:contextualSpacing/>
        <w:jc w:val="both"/>
        <w:outlineLvl w:val="2"/>
        <w:rPr>
          <w:rFonts w:ascii="Arial" w:hAnsi="Arial" w:cs="Arial"/>
          <w:b/>
          <w:i/>
          <w:lang w:val="es-CO"/>
        </w:rPr>
      </w:pPr>
      <w:r w:rsidRPr="008D2838">
        <w:rPr>
          <w:rFonts w:ascii="Arial" w:hAnsi="Arial" w:cs="Arial"/>
          <w:b/>
          <w:i/>
          <w:sz w:val="22"/>
          <w:szCs w:val="22"/>
          <w:lang w:val="es-CO"/>
        </w:rPr>
        <w:t>Financiación de capacitaciones con entidades no permitidas de acuerdo con los lineamientos de ejecución de los recursos del SGP.</w:t>
      </w:r>
    </w:p>
    <w:p w14:paraId="1A8388B5"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p>
    <w:p w14:paraId="43204B44"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r w:rsidRPr="008D2838">
        <w:rPr>
          <w:rFonts w:ascii="Arial" w:eastAsia="MS Gothic" w:hAnsi="Arial" w:cs="Arial"/>
          <w:sz w:val="22"/>
          <w:szCs w:val="22"/>
          <w:lang w:val="es-CO" w:eastAsia="es-ES_tradnl"/>
        </w:rPr>
        <w:t xml:space="preserve">El artículo 15 de la Ley 715 de 2001 establece como conceptos objeto de gasto financiable con los recursos del Sistema General de Participaciones para el Sector Educación: a) el pago del personal docente y administrativo de las instituciones educativas públicas, las contribuciones inherentes a la nómina y sus prestaciones sociales; b) la construcción de la infraestructura, mantenimiento, pago de servicios públicos y funcionamiento de las instituciones educativas; c) la provisión de la Canasta Educativa y d) las destinadas a mantener, evaluar y promover la Calidad Educativa. Así mismo, el artículo en mención </w:t>
      </w:r>
      <w:r w:rsidRPr="008D2838">
        <w:rPr>
          <w:rFonts w:ascii="Arial" w:eastAsia="MS Gothic" w:hAnsi="Arial" w:cs="Arial"/>
          <w:sz w:val="22"/>
          <w:szCs w:val="22"/>
          <w:lang w:val="es-CO" w:eastAsia="es-ES_tradnl"/>
        </w:rPr>
        <w:lastRenderedPageBreak/>
        <w:t>señala que una vez cubiertos los gastos correspondientes a la Prestación del Servicio, los recursos pueden destinarse a la financiación del Transporte Escolar, cuando se requiera.</w:t>
      </w:r>
    </w:p>
    <w:p w14:paraId="48F43C6E"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p>
    <w:p w14:paraId="5CBF21CC"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r w:rsidRPr="008D2838">
        <w:rPr>
          <w:rFonts w:ascii="Arial" w:eastAsia="MS Gothic" w:hAnsi="Arial" w:cs="Arial"/>
          <w:sz w:val="22"/>
          <w:szCs w:val="22"/>
          <w:lang w:val="es-CO" w:eastAsia="es-ES_tradnl"/>
        </w:rPr>
        <w:t>Como ya se indicó, los recursos del Sistema General de Participaciones asignados a las entidades territoriales solo pueden ser utilizados para financiar las destinaciones establecidas en la normatividad vigente dentro del marco de sus competencias y funciones, las cuales se consagran taxativamente en el artículo 15 de la Ley 715 de 2001. Por lo tanto, no existe autorización en la normatividad vigente que permita a las entidades territoriales certificadas en educación financiar los objetos contractuales que a continuación se mencionan, con recursos del Sistema General de Participaciones – Educación.</w:t>
      </w:r>
    </w:p>
    <w:p w14:paraId="2B808725"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p>
    <w:p w14:paraId="7CCD6FD4" w14:textId="77777777" w:rsidR="00081708" w:rsidRPr="00873D80" w:rsidRDefault="00081708" w:rsidP="00081708">
      <w:pPr>
        <w:contextualSpacing/>
        <w:jc w:val="both"/>
        <w:textAlignment w:val="baseline"/>
        <w:rPr>
          <w:rFonts w:ascii="Arial" w:eastAsia="MS Gothic" w:hAnsi="Arial" w:cs="Arial"/>
          <w:b/>
          <w:bCs/>
          <w:sz w:val="22"/>
          <w:szCs w:val="22"/>
          <w:lang w:val="es-CO" w:eastAsia="es-ES_tradnl"/>
        </w:rPr>
      </w:pPr>
      <w:r w:rsidRPr="00873D80">
        <w:rPr>
          <w:rFonts w:ascii="Arial" w:eastAsia="MS Gothic" w:hAnsi="Arial" w:cs="Arial"/>
          <w:b/>
          <w:bCs/>
          <w:sz w:val="22"/>
          <w:szCs w:val="22"/>
          <w:lang w:val="es-CO" w:eastAsia="es-ES_tradnl"/>
        </w:rPr>
        <w:t>• Capacitación a docentes</w:t>
      </w:r>
    </w:p>
    <w:p w14:paraId="70480C9A"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p>
    <w:p w14:paraId="17186210"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r w:rsidRPr="008D2838">
        <w:rPr>
          <w:rFonts w:ascii="Arial" w:eastAsia="MS Gothic" w:hAnsi="Arial" w:cs="Arial"/>
          <w:sz w:val="22"/>
          <w:szCs w:val="22"/>
          <w:lang w:val="es-CO" w:eastAsia="es-ES_tradnl"/>
        </w:rPr>
        <w:t>Para la vigencia 2021 el Distrito de Turbo suscribió el contrato interadministrativo No. 340 del 16 de noviembre de 2021 por valor de $200 millones financiados con recursos del SGP, con el Instituto Municipal de Deportes de Turbo, cuyo objeto consistía en: “</w:t>
      </w:r>
      <w:r w:rsidRPr="008D2838">
        <w:rPr>
          <w:rFonts w:ascii="Arial" w:eastAsia="MS Gothic" w:hAnsi="Arial" w:cs="Arial"/>
          <w:i/>
          <w:iCs/>
          <w:sz w:val="22"/>
          <w:szCs w:val="22"/>
          <w:lang w:val="es-CO" w:eastAsia="es-ES_tradnl"/>
        </w:rPr>
        <w:t xml:space="preserve">CAPACITAR EN EDUCACION FISICA A LOS DOCENTES DE BASICA PRIMARIA DEL SECTOR OFICIAL.” </w:t>
      </w:r>
      <w:r w:rsidRPr="008D2838">
        <w:rPr>
          <w:rFonts w:ascii="Arial" w:eastAsia="MS Gothic" w:hAnsi="Arial" w:cs="Arial"/>
          <w:sz w:val="22"/>
          <w:szCs w:val="22"/>
          <w:lang w:val="es-CO" w:eastAsia="es-ES_tradnl"/>
        </w:rPr>
        <w:t xml:space="preserve">La duración pactada para dicho contrato fue de 20 días. El certificado de disponibilidad presupuestal que soportaba dicho proceso fue el No. 01209 del 22 de septiembre de 2021. </w:t>
      </w:r>
    </w:p>
    <w:p w14:paraId="1D76CBDE"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p>
    <w:p w14:paraId="7177C522"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r w:rsidRPr="008D2838">
        <w:rPr>
          <w:rFonts w:ascii="Arial" w:eastAsia="MS Gothic" w:hAnsi="Arial" w:cs="Arial"/>
          <w:sz w:val="22"/>
          <w:szCs w:val="22"/>
          <w:lang w:val="es-CO" w:eastAsia="es-ES_tradnl"/>
        </w:rPr>
        <w:t xml:space="preserve">Adicionalmente, para la vigencia 2022, el Distrito de Turbo suscribió también con el Instituto Municipal de Deportes de Turbo, el convenio interadministrativo No. 178 del 25 de agosto de 2022 por valor de $500 millones financiados con recursos del SGP con objeto de: </w:t>
      </w:r>
      <w:r w:rsidRPr="008D2838">
        <w:rPr>
          <w:rFonts w:ascii="Arial" w:eastAsia="MS Gothic" w:hAnsi="Arial" w:cs="Arial"/>
          <w:i/>
          <w:iCs/>
          <w:sz w:val="22"/>
          <w:szCs w:val="22"/>
          <w:lang w:val="es-CO" w:eastAsia="es-ES_tradnl"/>
        </w:rPr>
        <w:t>“CAPACITAR EN EDUCACION FISICA A LOS DOCENTES DE BASICA PRIMARIA DEL SECTOR OFICIAL”</w:t>
      </w:r>
      <w:r w:rsidRPr="008D2838">
        <w:rPr>
          <w:rFonts w:ascii="Arial" w:eastAsia="MS Gothic" w:hAnsi="Arial" w:cs="Arial"/>
          <w:sz w:val="22"/>
          <w:szCs w:val="22"/>
          <w:lang w:val="es-CO" w:eastAsia="es-ES_tradnl"/>
        </w:rPr>
        <w:t xml:space="preserve">, la duración pactada de dicho convenio fue de 2 meses y el certificado de disponibilidad presupuestal que soportaba este proceso contractual fue el No. 01209 del 22 de septiembre de 2021 y el No. 01175 del 10 de agosto de 2022. </w:t>
      </w:r>
    </w:p>
    <w:p w14:paraId="1AD2A01E"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p>
    <w:p w14:paraId="1D554EA1"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r w:rsidRPr="008D2838">
        <w:rPr>
          <w:rFonts w:ascii="Arial" w:eastAsia="MS Gothic" w:hAnsi="Arial" w:cs="Arial"/>
          <w:sz w:val="22"/>
          <w:szCs w:val="22"/>
          <w:lang w:val="es-CO" w:eastAsia="es-ES_tradnl"/>
        </w:rPr>
        <w:t>Una vez analizados los dos procesos de contratación se evidenció que, el objeto contractual de dichos procesos se relaciona con proyectos para la capacitación del personal docente</w:t>
      </w:r>
      <w:r w:rsidR="00873D80">
        <w:rPr>
          <w:rFonts w:ascii="Arial" w:eastAsia="MS Gothic" w:hAnsi="Arial" w:cs="Arial"/>
          <w:sz w:val="22"/>
          <w:szCs w:val="22"/>
          <w:lang w:val="es-CO" w:eastAsia="es-ES_tradnl"/>
        </w:rPr>
        <w:t xml:space="preserve"> y </w:t>
      </w:r>
      <w:r w:rsidRPr="008D2838">
        <w:rPr>
          <w:rFonts w:ascii="Arial" w:eastAsia="MS Gothic" w:hAnsi="Arial" w:cs="Arial"/>
          <w:sz w:val="22"/>
          <w:szCs w:val="22"/>
          <w:lang w:val="es-CO" w:eastAsia="es-ES_tradnl"/>
        </w:rPr>
        <w:t>formación que se encuentra regulada en el Artículo 2.4.2.1.3.2.4 del Decreto 1075 de 2015, el cual recoge la normatividad contenida en los artículos 112 y 113 de la Ley 115 de 1994 y en los artículos 3 y 7 del Decreto 0709 de 1996 de la siguiente manera:</w:t>
      </w:r>
    </w:p>
    <w:p w14:paraId="6CB64503"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p>
    <w:p w14:paraId="27826BB8" w14:textId="77777777" w:rsidR="00081708" w:rsidRPr="008D2838" w:rsidRDefault="00081708" w:rsidP="00081708">
      <w:pPr>
        <w:ind w:left="567"/>
        <w:contextualSpacing/>
        <w:jc w:val="both"/>
        <w:textAlignment w:val="baseline"/>
        <w:rPr>
          <w:rFonts w:ascii="Arial" w:eastAsia="MS Gothic" w:hAnsi="Arial" w:cs="Arial"/>
          <w:i/>
          <w:iCs/>
          <w:sz w:val="18"/>
          <w:szCs w:val="18"/>
          <w:lang w:val="es-CO" w:eastAsia="es-ES_tradnl"/>
        </w:rPr>
      </w:pPr>
      <w:r w:rsidRPr="008D2838">
        <w:rPr>
          <w:rFonts w:ascii="Arial" w:eastAsia="MS Gothic" w:hAnsi="Arial" w:cs="Arial"/>
          <w:i/>
          <w:iCs/>
          <w:sz w:val="18"/>
          <w:szCs w:val="18"/>
          <w:lang w:val="es-CO" w:eastAsia="es-ES_tradnl"/>
        </w:rPr>
        <w:t>ARTÍCULO 2.4.2.1.3.2.4. De la formación permanente. La formación permanente o en servicio está dirigida a la actualización y al mejoramiento profesional de los educadores vinculados al servicio público educativo.</w:t>
      </w:r>
    </w:p>
    <w:p w14:paraId="516B2D69" w14:textId="77777777" w:rsidR="00081708" w:rsidRPr="008D2838" w:rsidRDefault="00081708" w:rsidP="00081708">
      <w:pPr>
        <w:ind w:left="567"/>
        <w:contextualSpacing/>
        <w:jc w:val="both"/>
        <w:textAlignment w:val="baseline"/>
        <w:rPr>
          <w:rFonts w:ascii="Arial" w:eastAsia="MS Gothic" w:hAnsi="Arial" w:cs="Arial"/>
          <w:i/>
          <w:iCs/>
          <w:sz w:val="18"/>
          <w:szCs w:val="18"/>
          <w:lang w:val="es-CO" w:eastAsia="es-ES_tradnl"/>
        </w:rPr>
      </w:pPr>
    </w:p>
    <w:p w14:paraId="17B9FE7F" w14:textId="77777777" w:rsidR="00081708" w:rsidRPr="008D2838" w:rsidRDefault="00081708" w:rsidP="00081708">
      <w:pPr>
        <w:ind w:left="567"/>
        <w:contextualSpacing/>
        <w:jc w:val="both"/>
        <w:textAlignment w:val="baseline"/>
        <w:rPr>
          <w:rFonts w:ascii="Arial" w:eastAsia="MS Gothic" w:hAnsi="Arial" w:cs="Arial"/>
          <w:i/>
          <w:iCs/>
          <w:sz w:val="18"/>
          <w:szCs w:val="18"/>
          <w:lang w:val="es-CO" w:eastAsia="es-ES_tradnl"/>
        </w:rPr>
      </w:pPr>
      <w:r w:rsidRPr="008D2838">
        <w:rPr>
          <w:rFonts w:ascii="Arial" w:eastAsia="MS Gothic" w:hAnsi="Arial" w:cs="Arial"/>
          <w:i/>
          <w:iCs/>
          <w:sz w:val="18"/>
          <w:szCs w:val="18"/>
          <w:lang w:val="es-CO" w:eastAsia="es-ES_tradnl"/>
        </w:rPr>
        <w:t>Los programas estarán relacionados con el área de formación de los docentes, constituirán complementación pedagógica, investigativa y disciplinar y facilitarán la construcción y ejecución del Proyecto Educativo Institucional.</w:t>
      </w:r>
    </w:p>
    <w:p w14:paraId="55651073" w14:textId="77777777" w:rsidR="00081708" w:rsidRPr="008D2838" w:rsidRDefault="00081708" w:rsidP="00081708">
      <w:pPr>
        <w:ind w:left="567"/>
        <w:contextualSpacing/>
        <w:jc w:val="both"/>
        <w:textAlignment w:val="baseline"/>
        <w:rPr>
          <w:rFonts w:ascii="Arial" w:eastAsia="MS Gothic" w:hAnsi="Arial" w:cs="Arial"/>
          <w:i/>
          <w:iCs/>
          <w:sz w:val="18"/>
          <w:szCs w:val="18"/>
          <w:lang w:val="es-CO" w:eastAsia="es-ES_tradnl"/>
        </w:rPr>
      </w:pPr>
    </w:p>
    <w:p w14:paraId="2134DC1A" w14:textId="77777777" w:rsidR="00081708" w:rsidRPr="008D2838" w:rsidRDefault="00081708" w:rsidP="00081708">
      <w:pPr>
        <w:ind w:left="567"/>
        <w:contextualSpacing/>
        <w:jc w:val="both"/>
        <w:textAlignment w:val="baseline"/>
        <w:rPr>
          <w:rFonts w:ascii="Arial" w:eastAsia="MS Gothic" w:hAnsi="Arial" w:cs="Arial"/>
          <w:i/>
          <w:iCs/>
          <w:sz w:val="18"/>
          <w:szCs w:val="18"/>
          <w:lang w:val="es-CO" w:eastAsia="es-ES_tradnl"/>
        </w:rPr>
      </w:pPr>
      <w:r w:rsidRPr="008D2838">
        <w:rPr>
          <w:rFonts w:ascii="Arial" w:eastAsia="MS Gothic" w:hAnsi="Arial" w:cs="Arial"/>
          <w:i/>
          <w:iCs/>
          <w:sz w:val="18"/>
          <w:szCs w:val="18"/>
          <w:lang w:val="es-CO" w:eastAsia="es-ES_tradnl"/>
        </w:rPr>
        <w:t>Estos programas serán válidos para el otorgamiento de créditos exigidos como requisito de capacitación para el ingreso y el ascenso en el Escalafón Nacional Docente, si cumplen con lo dispuesto en la Subsección 4 de la presente Sección y son ofrecidos por las universidades u otras instituciones de educación superior, directamente por su facultad de educación o su unidad académica dedicada a la educación, en general, a través de los demás programas académicos que en ellas se ofrezcan.</w:t>
      </w:r>
    </w:p>
    <w:p w14:paraId="03ECA080" w14:textId="77777777" w:rsidR="00081708" w:rsidRPr="008D2838" w:rsidRDefault="00081708" w:rsidP="00081708">
      <w:pPr>
        <w:ind w:left="567"/>
        <w:contextualSpacing/>
        <w:jc w:val="both"/>
        <w:textAlignment w:val="baseline"/>
        <w:rPr>
          <w:rFonts w:ascii="Arial" w:eastAsia="MS Gothic" w:hAnsi="Arial" w:cs="Arial"/>
          <w:i/>
          <w:iCs/>
          <w:sz w:val="18"/>
          <w:szCs w:val="18"/>
          <w:lang w:val="es-CO" w:eastAsia="es-ES_tradnl"/>
        </w:rPr>
      </w:pPr>
    </w:p>
    <w:p w14:paraId="27D5F3D1" w14:textId="77777777" w:rsidR="00081708" w:rsidRPr="008D2838" w:rsidRDefault="00081708" w:rsidP="00081708">
      <w:pPr>
        <w:ind w:left="567"/>
        <w:contextualSpacing/>
        <w:jc w:val="both"/>
        <w:textAlignment w:val="baseline"/>
        <w:rPr>
          <w:rFonts w:ascii="Arial" w:eastAsia="MS Gothic" w:hAnsi="Arial" w:cs="Arial"/>
          <w:i/>
          <w:iCs/>
          <w:sz w:val="18"/>
          <w:szCs w:val="18"/>
          <w:lang w:val="es-CO" w:eastAsia="es-ES_tradnl"/>
        </w:rPr>
      </w:pPr>
      <w:r w:rsidRPr="008D2838">
        <w:rPr>
          <w:rFonts w:ascii="Arial" w:eastAsia="MS Gothic" w:hAnsi="Arial" w:cs="Arial"/>
          <w:i/>
          <w:iCs/>
          <w:sz w:val="18"/>
          <w:szCs w:val="18"/>
          <w:lang w:val="es-CO" w:eastAsia="es-ES_tradnl"/>
        </w:rPr>
        <w:t>Los organismos o instituciones de carácter académico y científico dedicados a la investigación educativa, legalmente reconocidos, podrán ofrecer programas de formación permanente o en servicio, previo convenio o mecanismo semejante con las instituciones de educación superior que reúnan los requisitos mencionados en los incisos inmediatamente anteriores, para la correspondiente tutoría.</w:t>
      </w:r>
    </w:p>
    <w:p w14:paraId="55F75DEF" w14:textId="77777777" w:rsidR="00081708" w:rsidRPr="008D2838" w:rsidRDefault="00081708" w:rsidP="00081708">
      <w:pPr>
        <w:ind w:left="567"/>
        <w:contextualSpacing/>
        <w:jc w:val="both"/>
        <w:textAlignment w:val="baseline"/>
        <w:rPr>
          <w:rFonts w:ascii="Arial" w:eastAsia="MS Gothic" w:hAnsi="Arial" w:cs="Arial"/>
          <w:i/>
          <w:iCs/>
          <w:sz w:val="18"/>
          <w:szCs w:val="18"/>
          <w:lang w:val="es-CO" w:eastAsia="es-ES_tradnl"/>
        </w:rPr>
      </w:pPr>
    </w:p>
    <w:p w14:paraId="0DDB7ED5" w14:textId="77777777" w:rsidR="00081708" w:rsidRPr="008D2838" w:rsidRDefault="00081708" w:rsidP="00081708">
      <w:pPr>
        <w:ind w:left="567"/>
        <w:contextualSpacing/>
        <w:jc w:val="both"/>
        <w:textAlignment w:val="baseline"/>
        <w:rPr>
          <w:rFonts w:ascii="Arial" w:eastAsia="MS Gothic" w:hAnsi="Arial" w:cs="Arial"/>
          <w:i/>
          <w:iCs/>
          <w:sz w:val="18"/>
          <w:szCs w:val="18"/>
          <w:lang w:val="es-CO" w:eastAsia="es-ES_tradnl"/>
        </w:rPr>
      </w:pPr>
      <w:r w:rsidRPr="008D2838">
        <w:rPr>
          <w:rFonts w:ascii="Arial" w:eastAsia="MS Gothic" w:hAnsi="Arial" w:cs="Arial"/>
          <w:i/>
          <w:iCs/>
          <w:sz w:val="18"/>
          <w:szCs w:val="18"/>
          <w:lang w:val="es-CO" w:eastAsia="es-ES_tradnl"/>
        </w:rPr>
        <w:lastRenderedPageBreak/>
        <w:t>Las escuelas normales superiores podrán igualmente ofrecer programas de formación permanente o en servicio dirigidos a los educadores que se desempeñan en el nivel de preescolar y en el ciclo de educación básica primaria, cuando así lo disponga el respectivo convenio suscrito con la institución de educación superior.</w:t>
      </w:r>
    </w:p>
    <w:p w14:paraId="389D5F29" w14:textId="77777777" w:rsidR="00081708" w:rsidRPr="008D2838" w:rsidRDefault="00081708" w:rsidP="00081708">
      <w:pPr>
        <w:ind w:left="567"/>
        <w:contextualSpacing/>
        <w:jc w:val="both"/>
        <w:textAlignment w:val="baseline"/>
        <w:rPr>
          <w:rFonts w:ascii="Arial" w:eastAsia="MS Gothic" w:hAnsi="Arial" w:cs="Arial"/>
          <w:i/>
          <w:iCs/>
          <w:sz w:val="18"/>
          <w:szCs w:val="18"/>
          <w:lang w:val="es-CO" w:eastAsia="es-ES_tradnl"/>
        </w:rPr>
      </w:pPr>
    </w:p>
    <w:p w14:paraId="08588110" w14:textId="77777777" w:rsidR="00081708" w:rsidRPr="008D2838" w:rsidRDefault="00081708" w:rsidP="00081708">
      <w:pPr>
        <w:ind w:left="567"/>
        <w:contextualSpacing/>
        <w:jc w:val="both"/>
        <w:textAlignment w:val="baseline"/>
        <w:rPr>
          <w:rFonts w:ascii="Arial" w:eastAsia="MS Gothic" w:hAnsi="Arial" w:cs="Arial"/>
          <w:i/>
          <w:iCs/>
          <w:sz w:val="18"/>
          <w:szCs w:val="18"/>
          <w:lang w:val="es-CO" w:eastAsia="es-ES_tradnl"/>
        </w:rPr>
      </w:pPr>
      <w:r w:rsidRPr="008D2838">
        <w:rPr>
          <w:rFonts w:ascii="Arial" w:eastAsia="MS Gothic" w:hAnsi="Arial" w:cs="Arial"/>
          <w:i/>
          <w:iCs/>
          <w:sz w:val="18"/>
          <w:szCs w:val="18"/>
          <w:lang w:val="es-CO" w:eastAsia="es-ES_tradnl"/>
        </w:rPr>
        <w:t>PARÁGRAFO. Constituyen igualmente formación permanente o en servicio, los cursos ofrecidos por instituciones y organismos internacionales o los realizados por instituciones de educación superior del exterior, reconocidas de acuerdo con las normas que rigen en cada país, cuya finalidad sea la actualización y perfeccionamiento de educadores.</w:t>
      </w:r>
    </w:p>
    <w:p w14:paraId="465BFC22" w14:textId="77777777" w:rsidR="00081708" w:rsidRPr="008D2838" w:rsidRDefault="00081708" w:rsidP="00081708">
      <w:pPr>
        <w:ind w:left="567"/>
        <w:contextualSpacing/>
        <w:jc w:val="both"/>
        <w:textAlignment w:val="baseline"/>
        <w:rPr>
          <w:rFonts w:ascii="Arial" w:eastAsia="MS Gothic" w:hAnsi="Arial" w:cs="Arial"/>
          <w:i/>
          <w:iCs/>
          <w:sz w:val="18"/>
          <w:szCs w:val="18"/>
          <w:lang w:val="es-CO" w:eastAsia="es-ES_tradnl"/>
        </w:rPr>
      </w:pPr>
    </w:p>
    <w:p w14:paraId="51E47C77" w14:textId="77777777" w:rsidR="00081708" w:rsidRPr="008D2838" w:rsidRDefault="00081708" w:rsidP="00081708">
      <w:pPr>
        <w:ind w:left="567"/>
        <w:contextualSpacing/>
        <w:jc w:val="both"/>
        <w:textAlignment w:val="baseline"/>
        <w:rPr>
          <w:rFonts w:ascii="Arial" w:eastAsia="MS Gothic" w:hAnsi="Arial" w:cs="Arial"/>
          <w:i/>
          <w:iCs/>
          <w:sz w:val="18"/>
          <w:szCs w:val="18"/>
          <w:lang w:val="es-CO" w:eastAsia="es-ES_tradnl"/>
        </w:rPr>
      </w:pPr>
      <w:r w:rsidRPr="008D2838">
        <w:rPr>
          <w:rFonts w:ascii="Arial" w:eastAsia="MS Gothic" w:hAnsi="Arial" w:cs="Arial"/>
          <w:i/>
          <w:iCs/>
          <w:sz w:val="18"/>
          <w:szCs w:val="18"/>
          <w:lang w:val="es-CO" w:eastAsia="es-ES_tradnl"/>
        </w:rPr>
        <w:t>(Decreto 709 de 1996, artículo 7).</w:t>
      </w:r>
    </w:p>
    <w:p w14:paraId="4587D272"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p>
    <w:p w14:paraId="06A14ADD"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r w:rsidRPr="008D2838">
        <w:rPr>
          <w:rFonts w:ascii="Arial" w:eastAsia="MS Gothic" w:hAnsi="Arial" w:cs="Arial"/>
          <w:sz w:val="22"/>
          <w:szCs w:val="22"/>
          <w:lang w:val="es-CO" w:eastAsia="es-ES_tradnl"/>
        </w:rPr>
        <w:t>No obstante, el contrato No. 340 del 16 de noviembre de 2021 y el convenio interadministrativo No. 178 del 25 de agosto de 2022 fueron celebrados con el Instituto Municipal de Recreación y Deportes -IMDER, el cual no cumple con los requisitos estipulados en la normatividad citada, al no ser una universidad o institución de educación superior; por lo cual la Entidad Territorial no debió emplear como fuente de financiación de dichos contratos los recursos del SGP-Educación.</w:t>
      </w:r>
    </w:p>
    <w:p w14:paraId="74C1C5E4"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p>
    <w:p w14:paraId="48D1B237"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r w:rsidRPr="008D2838">
        <w:rPr>
          <w:rFonts w:ascii="Arial" w:eastAsia="MS Gothic" w:hAnsi="Arial" w:cs="Arial"/>
          <w:sz w:val="22"/>
          <w:szCs w:val="22"/>
          <w:lang w:val="es-CO" w:eastAsia="es-ES_tradnl"/>
        </w:rPr>
        <w:t>Adicionalmente, ambos procesos contractuales están orientados a la capacitación en educación física a docentes de básica primaria de las instituciones educativas oficiales rurales y urbanas del Distrito de Turbo, la cual estuvo dirigida a la formación de 125 docentes en 2021 y 250 docentes en 2022. Sin embargo, en los documentos contractuales analizados, no es posible identificar las áreas de formación a las que pertenecen estos docentes para verificar que dicha capacitación estuviera relacionada con el área de formación de cada docente según se establece en el artículo 2.4.2.1.3.2.4 del Decreto 1075 del 2015.</w:t>
      </w:r>
    </w:p>
    <w:p w14:paraId="2FAEC185" w14:textId="77777777" w:rsidR="00081708" w:rsidRPr="008D2838" w:rsidRDefault="00081708" w:rsidP="00081708">
      <w:pPr>
        <w:contextualSpacing/>
        <w:jc w:val="both"/>
        <w:textAlignment w:val="baseline"/>
        <w:rPr>
          <w:rFonts w:ascii="Arial" w:eastAsia="MS Gothic" w:hAnsi="Arial" w:cs="Arial"/>
          <w:sz w:val="22"/>
          <w:szCs w:val="22"/>
          <w:highlight w:val="yellow"/>
          <w:lang w:val="es-CO" w:eastAsia="es-ES_tradnl"/>
        </w:rPr>
      </w:pPr>
    </w:p>
    <w:p w14:paraId="5E42E77A" w14:textId="77777777" w:rsidR="00081708" w:rsidRPr="008D2838" w:rsidRDefault="00081708" w:rsidP="00081708">
      <w:pPr>
        <w:contextualSpacing/>
        <w:jc w:val="both"/>
        <w:textAlignment w:val="baseline"/>
        <w:rPr>
          <w:rFonts w:ascii="Arial" w:eastAsia="MS Gothic" w:hAnsi="Arial" w:cs="Arial"/>
          <w:sz w:val="22"/>
          <w:szCs w:val="22"/>
          <w:lang w:val="es-CO" w:eastAsia="es-ES_tradnl"/>
        </w:rPr>
      </w:pPr>
      <w:r w:rsidRPr="008D2838">
        <w:rPr>
          <w:rFonts w:ascii="Arial" w:eastAsia="MS Gothic" w:hAnsi="Arial" w:cs="Arial"/>
          <w:sz w:val="22"/>
          <w:szCs w:val="22"/>
          <w:lang w:val="es-CO" w:eastAsia="es-ES_tradnl"/>
        </w:rPr>
        <w:t xml:space="preserve">En consecuencia, el objeto del contrato No. 340 de 2021 y del convenio interadministrativo No. 178 de 2022 carecen de sustento legal que permita su financiación con los recursos del Sistema General de Participaciones. </w:t>
      </w:r>
    </w:p>
    <w:p w14:paraId="47B71D32"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p>
    <w:p w14:paraId="56E7D3E4"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b/>
          <w:bCs/>
          <w:sz w:val="22"/>
          <w:szCs w:val="22"/>
          <w:lang w:val="es-CO" w:eastAsia="es-ES_tradnl"/>
        </w:rPr>
        <w:t>Evidencias:</w:t>
      </w:r>
      <w:r w:rsidRPr="008D2838">
        <w:rPr>
          <w:rFonts w:ascii="Arial" w:eastAsia="MS Gothic" w:hAnsi="Arial" w:cs="Arial"/>
          <w:sz w:val="22"/>
          <w:szCs w:val="22"/>
          <w:lang w:val="es-CO" w:eastAsia="es-ES_tradnl"/>
        </w:rPr>
        <w:t xml:space="preserve"> </w:t>
      </w:r>
      <w:r w:rsidRPr="008D2838">
        <w:rPr>
          <w:rFonts w:ascii="Arial" w:eastAsia="Times New Roman" w:hAnsi="Arial" w:cs="Arial"/>
          <w:color w:val="000000" w:themeColor="text1"/>
          <w:sz w:val="22"/>
          <w:szCs w:val="22"/>
          <w:lang w:val="es-CO" w:eastAsia="es-ES_tradnl"/>
        </w:rPr>
        <w:t>Obra en el expediente digital en el Sistema de Información Electrónica Documental – SIED del Ministerio de Hacienda y Crédito Público No. 18/2020/D028-PREDI el siguiente material probatorio:</w:t>
      </w:r>
    </w:p>
    <w:p w14:paraId="16B8ABAC" w14:textId="77777777" w:rsidR="00081708" w:rsidRPr="008D2838" w:rsidRDefault="00081708" w:rsidP="00081708">
      <w:pPr>
        <w:numPr>
          <w:ilvl w:val="0"/>
          <w:numId w:val="39"/>
        </w:numPr>
        <w:ind w:left="284" w:hanging="284"/>
        <w:contextualSpacing/>
        <w:jc w:val="both"/>
        <w:rPr>
          <w:rFonts w:ascii="Arial" w:hAnsi="Arial" w:cs="Arial"/>
          <w:sz w:val="22"/>
          <w:szCs w:val="22"/>
          <w:lang w:val="es-CO"/>
        </w:rPr>
      </w:pPr>
      <w:r w:rsidRPr="008D2838">
        <w:rPr>
          <w:rFonts w:ascii="Arial" w:eastAsia="MS Gothic" w:hAnsi="Arial" w:cs="Arial"/>
          <w:sz w:val="22"/>
          <w:szCs w:val="22"/>
          <w:lang w:val="es-CO"/>
        </w:rPr>
        <w:t xml:space="preserve">Consulta SECOP II – </w:t>
      </w:r>
      <w:r w:rsidRPr="008D2838">
        <w:rPr>
          <w:rFonts w:ascii="Arial" w:hAnsi="Arial" w:cs="Arial"/>
          <w:sz w:val="22"/>
          <w:szCs w:val="22"/>
          <w:lang w:val="es-CO"/>
        </w:rPr>
        <w:t>Contrato No. 340 del 16 de noviembre de 2021.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w:t>
      </w:r>
    </w:p>
    <w:p w14:paraId="459E90CB" w14:textId="77777777" w:rsidR="00081708" w:rsidRPr="008D2838" w:rsidRDefault="00081708" w:rsidP="00081708">
      <w:pPr>
        <w:numPr>
          <w:ilvl w:val="0"/>
          <w:numId w:val="39"/>
        </w:numPr>
        <w:ind w:left="284" w:hanging="284"/>
        <w:contextualSpacing/>
        <w:jc w:val="both"/>
        <w:rPr>
          <w:rFonts w:ascii="Arial" w:eastAsia="MS Gothic" w:hAnsi="Arial" w:cs="Arial"/>
          <w:color w:val="0000FF" w:themeColor="hyperlink"/>
          <w:u w:val="single"/>
        </w:rPr>
      </w:pPr>
      <w:r w:rsidRPr="008D2838">
        <w:rPr>
          <w:rFonts w:ascii="Arial" w:eastAsia="MS Gothic" w:hAnsi="Arial" w:cs="Arial"/>
          <w:sz w:val="22"/>
          <w:szCs w:val="22"/>
          <w:lang w:val="es-CO"/>
        </w:rPr>
        <w:t xml:space="preserve">Consulta SECOP II – Contrato No. 178 del 25 de agosto de 2022. </w:t>
      </w:r>
      <w:r w:rsidRPr="008D2838">
        <w:rPr>
          <w:rFonts w:ascii="Arial" w:hAnsi="Arial" w:cs="Arial"/>
          <w:sz w:val="22"/>
          <w:szCs w:val="22"/>
          <w:lang w:val="es-CO"/>
        </w:rPr>
        <w:t>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w:t>
      </w:r>
    </w:p>
    <w:p w14:paraId="6F259522" w14:textId="77777777" w:rsidR="00081708" w:rsidRPr="008D2838" w:rsidRDefault="00081708" w:rsidP="00081708">
      <w:pPr>
        <w:numPr>
          <w:ilvl w:val="0"/>
          <w:numId w:val="39"/>
        </w:numPr>
        <w:ind w:left="284" w:hanging="284"/>
        <w:contextualSpacing/>
        <w:jc w:val="both"/>
        <w:textAlignment w:val="baseline"/>
        <w:rPr>
          <w:rFonts w:ascii="Arial" w:eastAsia="Times New Roman" w:hAnsi="Arial" w:cs="Arial"/>
          <w:lang w:val="es-CO" w:eastAsia="es-ES_tradnl"/>
        </w:rPr>
      </w:pPr>
      <w:r w:rsidRPr="008D2838">
        <w:rPr>
          <w:rFonts w:ascii="Arial" w:eastAsia="Times New Roman" w:hAnsi="Arial" w:cs="Arial"/>
          <w:sz w:val="22"/>
          <w:szCs w:val="22"/>
          <w:lang w:val="es-CO" w:eastAsia="es-ES_tradnl"/>
        </w:rPr>
        <w:t>Minuta Contrato No. 222 del 02 de noviembre de 2022.</w:t>
      </w:r>
      <w:r w:rsidRPr="008D2838">
        <w:rPr>
          <w:rFonts w:ascii="Arial" w:eastAsia="Times New Roman" w:hAnsi="Arial" w:cs="Arial"/>
          <w:color w:val="000000" w:themeColor="text1"/>
          <w:sz w:val="22"/>
          <w:szCs w:val="22"/>
          <w:lang w:val="es-CO" w:eastAsia="es-ES_tradnl"/>
        </w:rPr>
        <w:t xml:space="preserve"> Sector Educación. Distrito de Turbo – Antioquia. Serie “</w:t>
      </w:r>
      <w:r w:rsidRPr="008D2838">
        <w:rPr>
          <w:rFonts w:ascii="Arial" w:eastAsia="Times New Roman" w:hAnsi="Arial" w:cs="Arial"/>
          <w:i/>
          <w:iCs/>
          <w:color w:val="000000" w:themeColor="text1"/>
          <w:sz w:val="22"/>
          <w:szCs w:val="22"/>
          <w:lang w:val="es-CO" w:eastAsia="es-ES_tradnl"/>
        </w:rPr>
        <w:t>Historial de seguimiento y control a los recursos del Sistema General de Participaciones</w:t>
      </w:r>
      <w:r w:rsidRPr="008D2838">
        <w:rPr>
          <w:rFonts w:ascii="Arial" w:eastAsia="Times New Roman" w:hAnsi="Arial" w:cs="Arial"/>
          <w:color w:val="000000" w:themeColor="text1"/>
          <w:sz w:val="22"/>
          <w:szCs w:val="22"/>
          <w:lang w:val="es-CO" w:eastAsia="es-ES_tradnl"/>
        </w:rPr>
        <w:t xml:space="preserve">”. </w:t>
      </w:r>
      <w:r w:rsidRPr="008D2838">
        <w:rPr>
          <w:rFonts w:ascii="Arial" w:eastAsia="Times New Roman" w:hAnsi="Arial" w:cs="Arial"/>
          <w:sz w:val="22"/>
          <w:szCs w:val="22"/>
          <w:lang w:val="es-CO" w:eastAsia="es-ES_tradnl"/>
        </w:rPr>
        <w:t xml:space="preserve">Radicado No. 1-2023-040164 del 12 de mayo de 2023. </w:t>
      </w:r>
    </w:p>
    <w:p w14:paraId="0FD72DF1" w14:textId="77777777" w:rsidR="00081708" w:rsidRPr="008D2838" w:rsidRDefault="00081708" w:rsidP="00C43B22">
      <w:pPr>
        <w:numPr>
          <w:ilvl w:val="0"/>
          <w:numId w:val="39"/>
        </w:numPr>
        <w:ind w:left="284" w:hanging="284"/>
        <w:contextualSpacing/>
        <w:jc w:val="both"/>
        <w:rPr>
          <w:rFonts w:ascii="Arial" w:hAnsi="Arial" w:cs="Arial"/>
          <w:sz w:val="22"/>
          <w:szCs w:val="22"/>
          <w:lang w:val="en-US"/>
        </w:rPr>
      </w:pPr>
      <w:r w:rsidRPr="008D2838">
        <w:rPr>
          <w:rFonts w:ascii="Arial" w:hAnsi="Arial" w:cs="Arial"/>
          <w:sz w:val="22"/>
          <w:szCs w:val="22"/>
          <w:lang w:val="es-CO"/>
        </w:rPr>
        <w:t>Informe de Supervisión Contrato No. 222 del 2022.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Radicado No. </w:t>
      </w:r>
      <w:r w:rsidRPr="008D2838">
        <w:rPr>
          <w:rFonts w:ascii="Arial" w:hAnsi="Arial" w:cs="Arial"/>
          <w:sz w:val="22"/>
          <w:szCs w:val="22"/>
        </w:rPr>
        <w:t>1-2023-040164 del 12 de mayo</w:t>
      </w:r>
      <w:r w:rsidRPr="008D2838">
        <w:rPr>
          <w:rFonts w:ascii="Arial" w:hAnsi="Arial" w:cs="Arial"/>
          <w:sz w:val="22"/>
          <w:szCs w:val="22"/>
          <w:lang w:val="es-CO"/>
        </w:rPr>
        <w:t xml:space="preserve"> de 2023. </w:t>
      </w:r>
    </w:p>
    <w:p w14:paraId="4D0A424E" w14:textId="77777777" w:rsidR="00081708" w:rsidRPr="008D2838" w:rsidRDefault="00081708" w:rsidP="00081708">
      <w:pPr>
        <w:numPr>
          <w:ilvl w:val="0"/>
          <w:numId w:val="39"/>
        </w:numPr>
        <w:ind w:left="284" w:hanging="284"/>
        <w:contextualSpacing/>
        <w:jc w:val="both"/>
        <w:rPr>
          <w:rFonts w:ascii="Arial" w:hAnsi="Arial" w:cs="Arial"/>
          <w:sz w:val="22"/>
          <w:szCs w:val="22"/>
          <w:lang w:val="en-US"/>
        </w:rPr>
      </w:pPr>
      <w:r w:rsidRPr="008D2838">
        <w:rPr>
          <w:rFonts w:ascii="Arial" w:hAnsi="Arial" w:cs="Arial"/>
          <w:sz w:val="22"/>
          <w:szCs w:val="22"/>
          <w:lang w:val="es-CO"/>
        </w:rPr>
        <w:t xml:space="preserve">Registro Presupuestal del Contrato No. 222 </w:t>
      </w:r>
      <w:r w:rsidRPr="008D2838">
        <w:rPr>
          <w:rFonts w:ascii="Arial" w:hAnsi="Arial" w:cs="Arial"/>
          <w:sz w:val="22"/>
          <w:szCs w:val="22"/>
        </w:rPr>
        <w:t>del 2022</w:t>
      </w:r>
      <w:r w:rsidRPr="008D2838">
        <w:rPr>
          <w:rFonts w:ascii="Arial" w:hAnsi="Arial" w:cs="Arial"/>
          <w:sz w:val="22"/>
          <w:szCs w:val="22"/>
          <w:lang w:val="es-CO"/>
        </w:rPr>
        <w:t>.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Radicado No. </w:t>
      </w:r>
      <w:r w:rsidRPr="008D2838">
        <w:rPr>
          <w:rFonts w:ascii="Arial" w:hAnsi="Arial" w:cs="Arial"/>
          <w:sz w:val="22"/>
          <w:szCs w:val="22"/>
        </w:rPr>
        <w:t>1-2023-</w:t>
      </w:r>
      <w:r w:rsidR="00C43B22" w:rsidRPr="008D2838">
        <w:rPr>
          <w:rFonts w:ascii="Arial" w:hAnsi="Arial" w:cs="Arial"/>
          <w:sz w:val="22"/>
          <w:szCs w:val="22"/>
        </w:rPr>
        <w:t>042153</w:t>
      </w:r>
      <w:r w:rsidRPr="008D2838">
        <w:rPr>
          <w:rFonts w:ascii="Arial" w:hAnsi="Arial" w:cs="Arial"/>
          <w:sz w:val="22"/>
          <w:szCs w:val="22"/>
        </w:rPr>
        <w:t xml:space="preserve"> del 1</w:t>
      </w:r>
      <w:r w:rsidR="00F14D5B" w:rsidRPr="008D2838">
        <w:rPr>
          <w:rFonts w:ascii="Arial" w:hAnsi="Arial" w:cs="Arial"/>
          <w:sz w:val="22"/>
          <w:szCs w:val="22"/>
        </w:rPr>
        <w:t>8</w:t>
      </w:r>
      <w:r w:rsidRPr="008D2838">
        <w:rPr>
          <w:rFonts w:ascii="Arial" w:hAnsi="Arial" w:cs="Arial"/>
          <w:sz w:val="22"/>
          <w:szCs w:val="22"/>
        </w:rPr>
        <w:t xml:space="preserve"> de mayo</w:t>
      </w:r>
      <w:r w:rsidRPr="008D2838">
        <w:rPr>
          <w:rFonts w:ascii="Arial" w:hAnsi="Arial" w:cs="Arial"/>
          <w:sz w:val="22"/>
          <w:szCs w:val="22"/>
          <w:lang w:val="es-CO"/>
        </w:rPr>
        <w:t xml:space="preserve"> de 2023. </w:t>
      </w:r>
    </w:p>
    <w:p w14:paraId="1D9E7651" w14:textId="77777777" w:rsidR="00BD457F" w:rsidRPr="008D2838" w:rsidRDefault="00081708" w:rsidP="00957EC5">
      <w:pPr>
        <w:numPr>
          <w:ilvl w:val="0"/>
          <w:numId w:val="39"/>
        </w:numPr>
        <w:ind w:left="284" w:hanging="284"/>
        <w:contextualSpacing/>
        <w:jc w:val="both"/>
        <w:rPr>
          <w:rFonts w:ascii="Arial" w:hAnsi="Arial" w:cs="Arial"/>
          <w:sz w:val="22"/>
          <w:szCs w:val="22"/>
          <w:lang w:val="es-CO"/>
        </w:rPr>
      </w:pPr>
      <w:r w:rsidRPr="008D2838">
        <w:rPr>
          <w:rFonts w:ascii="Arial" w:hAnsi="Arial" w:cs="Arial"/>
          <w:sz w:val="22"/>
          <w:szCs w:val="22"/>
          <w:lang w:val="es-CO"/>
        </w:rPr>
        <w:lastRenderedPageBreak/>
        <w:t>Certificado de Disponibilidad Presupuestal del Contrato No. 222 del 2022.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Radicado No. </w:t>
      </w:r>
      <w:r w:rsidRPr="008D2838">
        <w:rPr>
          <w:rFonts w:ascii="Arial" w:hAnsi="Arial" w:cs="Arial"/>
          <w:sz w:val="22"/>
          <w:szCs w:val="22"/>
        </w:rPr>
        <w:t>1-2023-040164 del 12 de mayo</w:t>
      </w:r>
      <w:r w:rsidRPr="008D2838">
        <w:rPr>
          <w:rFonts w:ascii="Arial" w:hAnsi="Arial" w:cs="Arial"/>
          <w:sz w:val="22"/>
          <w:szCs w:val="22"/>
          <w:lang w:val="es-CO"/>
        </w:rPr>
        <w:t xml:space="preserve"> de 2023. </w:t>
      </w:r>
    </w:p>
    <w:p w14:paraId="632DBBF1" w14:textId="77777777" w:rsidR="00081708" w:rsidRPr="008D2838" w:rsidRDefault="00081708" w:rsidP="00957EC5">
      <w:pPr>
        <w:numPr>
          <w:ilvl w:val="0"/>
          <w:numId w:val="39"/>
        </w:numPr>
        <w:ind w:left="284" w:hanging="284"/>
        <w:contextualSpacing/>
        <w:jc w:val="both"/>
        <w:rPr>
          <w:rFonts w:ascii="Arial" w:hAnsi="Arial" w:cs="Arial"/>
          <w:sz w:val="22"/>
          <w:szCs w:val="22"/>
          <w:lang w:val="es-CO"/>
        </w:rPr>
      </w:pPr>
      <w:r w:rsidRPr="008D2838">
        <w:rPr>
          <w:rFonts w:ascii="Arial" w:hAnsi="Arial" w:cs="Arial"/>
          <w:sz w:val="22"/>
          <w:szCs w:val="22"/>
          <w:lang w:val="es-CO"/>
        </w:rPr>
        <w:t>Minuta del Otrosi No. 1 del Contrato No. 222 del 2022.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Radicado No. </w:t>
      </w:r>
      <w:r w:rsidRPr="008D2838">
        <w:rPr>
          <w:rFonts w:ascii="Arial" w:hAnsi="Arial" w:cs="Arial"/>
          <w:sz w:val="22"/>
          <w:szCs w:val="22"/>
        </w:rPr>
        <w:t>1-2023-040164 del 12 de mayo</w:t>
      </w:r>
      <w:r w:rsidRPr="008D2838">
        <w:rPr>
          <w:rFonts w:ascii="Arial" w:hAnsi="Arial" w:cs="Arial"/>
          <w:sz w:val="22"/>
          <w:szCs w:val="22"/>
          <w:lang w:val="es-CO"/>
        </w:rPr>
        <w:t xml:space="preserve"> de 2023. </w:t>
      </w:r>
    </w:p>
    <w:p w14:paraId="6C90076E" w14:textId="77777777" w:rsidR="00081708" w:rsidRPr="008D2838" w:rsidRDefault="00081708" w:rsidP="00C43B22">
      <w:pPr>
        <w:numPr>
          <w:ilvl w:val="0"/>
          <w:numId w:val="39"/>
        </w:numPr>
        <w:ind w:left="284" w:hanging="284"/>
        <w:contextualSpacing/>
        <w:jc w:val="both"/>
        <w:rPr>
          <w:rFonts w:ascii="Arial" w:hAnsi="Arial" w:cs="Arial"/>
          <w:sz w:val="22"/>
          <w:szCs w:val="22"/>
          <w:lang w:val="en-US"/>
        </w:rPr>
      </w:pPr>
      <w:r w:rsidRPr="008D2838">
        <w:rPr>
          <w:rFonts w:ascii="Arial" w:hAnsi="Arial" w:cs="Arial"/>
          <w:sz w:val="22"/>
          <w:szCs w:val="22"/>
          <w:lang w:val="es-CO"/>
        </w:rPr>
        <w:t>Informe de Supervisión del Otrosi No. 1 del Contrato No. 222 del 2022.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Radicado No. </w:t>
      </w:r>
      <w:r w:rsidRPr="008D2838">
        <w:rPr>
          <w:rFonts w:ascii="Arial" w:hAnsi="Arial" w:cs="Arial"/>
          <w:sz w:val="22"/>
          <w:szCs w:val="22"/>
        </w:rPr>
        <w:t>1-2023-040164 del 12 de mayo</w:t>
      </w:r>
      <w:r w:rsidRPr="008D2838">
        <w:rPr>
          <w:rFonts w:ascii="Arial" w:hAnsi="Arial" w:cs="Arial"/>
          <w:sz w:val="22"/>
          <w:szCs w:val="22"/>
          <w:lang w:val="es-CO"/>
        </w:rPr>
        <w:t xml:space="preserve"> de 2023. </w:t>
      </w:r>
    </w:p>
    <w:p w14:paraId="6C7A02F7" w14:textId="77777777" w:rsidR="00081708" w:rsidRPr="008D2838" w:rsidRDefault="00081708" w:rsidP="00081708">
      <w:pPr>
        <w:contextualSpacing/>
        <w:jc w:val="both"/>
        <w:textAlignment w:val="baseline"/>
        <w:rPr>
          <w:rFonts w:ascii="Arial" w:eastAsia="Times New Roman" w:hAnsi="Arial" w:cs="Arial"/>
          <w:lang w:val="en-US" w:eastAsia="es-ES_tradnl"/>
        </w:rPr>
      </w:pPr>
    </w:p>
    <w:p w14:paraId="1FD0AF40" w14:textId="77777777" w:rsidR="00081708" w:rsidRPr="008D2838" w:rsidRDefault="00081708" w:rsidP="00081708">
      <w:pPr>
        <w:keepNext/>
        <w:keepLines/>
        <w:contextualSpacing/>
        <w:jc w:val="both"/>
        <w:outlineLvl w:val="1"/>
        <w:rPr>
          <w:rFonts w:ascii="Arial" w:eastAsia="MS Gothic" w:hAnsi="Arial" w:cs="Arial"/>
          <w:b/>
          <w:bCs/>
          <w:i/>
          <w:sz w:val="22"/>
          <w:szCs w:val="22"/>
          <w:lang w:val="es-CO"/>
        </w:rPr>
      </w:pPr>
      <w:r w:rsidRPr="008D2838">
        <w:rPr>
          <w:rFonts w:ascii="Arial" w:eastAsia="MS Gothic" w:hAnsi="Arial" w:cs="Arial"/>
          <w:b/>
          <w:sz w:val="22"/>
          <w:szCs w:val="22"/>
          <w:lang w:val="es-CO"/>
        </w:rPr>
        <w:t>EVENTO DE RIESGO 9.10.</w:t>
      </w:r>
      <w:r w:rsidRPr="008D2838">
        <w:rPr>
          <w:rFonts w:ascii="Arial" w:eastAsia="MS Gothic" w:hAnsi="Arial" w:cs="Arial"/>
          <w:sz w:val="22"/>
          <w:szCs w:val="22"/>
          <w:lang w:val="es-CO"/>
        </w:rPr>
        <w:t xml:space="preserve"> </w:t>
      </w:r>
      <w:r w:rsidRPr="008D2838">
        <w:rPr>
          <w:rFonts w:ascii="Arial" w:eastAsia="MS Gothic" w:hAnsi="Arial" w:cs="Arial"/>
          <w:bCs/>
          <w:i/>
          <w:sz w:val="22"/>
          <w:szCs w:val="22"/>
          <w:lang w:val="es-CO"/>
        </w:rPr>
        <w:t>“No publicar los actos administrativos, contratos, convenios e informes, cuando la ley lo exija”.</w:t>
      </w:r>
    </w:p>
    <w:p w14:paraId="23DFE4EC"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p>
    <w:p w14:paraId="5F5DEDD3" w14:textId="77777777" w:rsidR="00081708" w:rsidRPr="008D2838" w:rsidRDefault="00081708" w:rsidP="00081708">
      <w:pPr>
        <w:numPr>
          <w:ilvl w:val="0"/>
          <w:numId w:val="13"/>
        </w:numPr>
        <w:ind w:left="426" w:hanging="426"/>
        <w:contextualSpacing/>
        <w:jc w:val="both"/>
        <w:outlineLvl w:val="2"/>
        <w:rPr>
          <w:rFonts w:ascii="Arial" w:hAnsi="Arial" w:cs="Arial"/>
          <w:b/>
          <w:i/>
          <w:sz w:val="22"/>
          <w:szCs w:val="22"/>
          <w:lang w:val="es-CO"/>
        </w:rPr>
      </w:pPr>
      <w:r w:rsidRPr="008D2838">
        <w:rPr>
          <w:rFonts w:ascii="Arial" w:hAnsi="Arial" w:cs="Arial"/>
          <w:b/>
          <w:i/>
          <w:sz w:val="22"/>
          <w:szCs w:val="22"/>
          <w:lang w:val="es-CO"/>
        </w:rPr>
        <w:t>Omisión en la publicación de los documentos contractuales en el SECOP.</w:t>
      </w:r>
    </w:p>
    <w:p w14:paraId="3179AB6B"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p>
    <w:p w14:paraId="23B1F3B3"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sz w:val="22"/>
          <w:szCs w:val="22"/>
          <w:lang w:val="es-CO" w:eastAsia="es-ES_tradnl"/>
        </w:rPr>
        <w:t>Según el artículo 24 de la Ley 80 de 1993, que define el Principio de Transparencia en la contratación pública, su numeral 3 indica que las actuaciones de las autoridades serán públicas, al igual que los expedientes que las contienen; adicionalmente, el artículo 2.2.1.1.1.7.1 del Decreto 1082 de 2015 establece que es deber de las entidades estatales publicar en el Sistema Electrónico de Contratación Pública, dentro de los tres (3) días hábiles siguientes a su expedición, la totalidad de documentos y actos relacionados con el proceso de contratación. Por último, según lo establecido por el artículo 2.1.1.2.1.8 del Decreto 1081 de 2015, el sujeto obligado a realizar el reporte de la información en el SECOP debe publicar las aprobaciones, autorizaciones, requerimientos o informes del supervisor o del interventor de los contratos suscritos, que prueben su ejecución.</w:t>
      </w:r>
    </w:p>
    <w:p w14:paraId="7CDEECF8" w14:textId="77777777" w:rsidR="00081708" w:rsidRPr="008D2838" w:rsidRDefault="00081708" w:rsidP="00081708">
      <w:pPr>
        <w:contextualSpacing/>
        <w:jc w:val="both"/>
        <w:textAlignment w:val="baseline"/>
        <w:rPr>
          <w:rFonts w:ascii="Arial" w:eastAsia="Times New Roman" w:hAnsi="Arial" w:cs="Arial"/>
          <w:lang w:val="es-CO" w:eastAsia="es-ES_tradnl"/>
        </w:rPr>
      </w:pPr>
    </w:p>
    <w:p w14:paraId="0F35E939" w14:textId="77777777" w:rsidR="00081708" w:rsidRPr="008D2838" w:rsidRDefault="00081708" w:rsidP="00081708">
      <w:pPr>
        <w:contextualSpacing/>
        <w:jc w:val="both"/>
        <w:textAlignment w:val="baseline"/>
        <w:rPr>
          <w:rFonts w:ascii="Arial" w:eastAsia="Times New Roman" w:hAnsi="Arial" w:cs="Arial"/>
          <w:lang w:val="es-CO" w:eastAsia="es-ES_tradnl"/>
        </w:rPr>
      </w:pPr>
      <w:r w:rsidRPr="008D2838">
        <w:rPr>
          <w:rFonts w:ascii="Arial" w:eastAsia="Times New Roman" w:hAnsi="Arial" w:cs="Arial"/>
          <w:iCs/>
          <w:sz w:val="22"/>
          <w:szCs w:val="22"/>
          <w:lang w:val="es-CO" w:eastAsia="es-ES_tradnl"/>
        </w:rPr>
        <w:t>La Dirección General de Apoyo Fiscal realizó Consultas en el SECOP de los contratos suministrados por el Distrito de Turbo y evidenció que</w:t>
      </w:r>
      <w:r w:rsidRPr="008D2838">
        <w:rPr>
          <w:rFonts w:ascii="Arial" w:eastAsia="Times New Roman" w:hAnsi="Arial" w:cs="Arial"/>
          <w:sz w:val="22"/>
          <w:szCs w:val="22"/>
          <w:lang w:val="es-CO" w:eastAsia="es-ES_tradnl"/>
        </w:rPr>
        <w:t xml:space="preserve"> para el año 2018 se encuentra el Proceso No. SASI 01-2018, donde el 3 de abril se suscribió el Contrato No. 124-2018, cuyo objeto consistió en la: “</w:t>
      </w:r>
      <w:r w:rsidRPr="008D2838">
        <w:rPr>
          <w:rFonts w:ascii="Arial" w:eastAsia="Times New Roman" w:hAnsi="Arial" w:cs="Arial"/>
          <w:i/>
          <w:sz w:val="22"/>
          <w:szCs w:val="22"/>
          <w:lang w:val="es-CO" w:eastAsia="es-ES_tradnl"/>
        </w:rPr>
        <w:t xml:space="preserve">Adquisición de mobiliario escolar para los establecimientos educativos oficiales del Distrito de Turbo”, </w:t>
      </w:r>
      <w:r w:rsidRPr="008D2838">
        <w:rPr>
          <w:rFonts w:ascii="Arial" w:eastAsia="Times New Roman" w:hAnsi="Arial" w:cs="Arial"/>
          <w:sz w:val="22"/>
          <w:szCs w:val="22"/>
          <w:lang w:val="es-CO" w:eastAsia="es-ES_tradnl"/>
        </w:rPr>
        <w:t>por $50.000.000 respaldado por el CDP No. 236 del 31 de enero de 2018 según la minuta contractual, con el contratista Gustavo Enrique Marrugo Osorio. Sin embargo, los siguientes documentos contractuales no se encuentran publicados en la plataforma SECOP: certificado de disponibilidad presupuestal, registro presupuestal, acto administrativo de aprobación de la garantía única, garantía única, acta de inicio, y la certificación de entrega del funcionario de Almacén Distrital.</w:t>
      </w:r>
    </w:p>
    <w:p w14:paraId="2240DE64" w14:textId="77777777" w:rsidR="00081708" w:rsidRPr="008D2838" w:rsidRDefault="00081708" w:rsidP="00081708">
      <w:pPr>
        <w:contextualSpacing/>
        <w:jc w:val="both"/>
        <w:textAlignment w:val="baseline"/>
        <w:rPr>
          <w:rFonts w:ascii="Arial" w:eastAsia="Times New Roman" w:hAnsi="Arial" w:cs="Arial"/>
          <w:iCs/>
          <w:sz w:val="22"/>
          <w:szCs w:val="22"/>
          <w:lang w:val="es-CO" w:eastAsia="es-ES_tradnl"/>
        </w:rPr>
      </w:pPr>
    </w:p>
    <w:p w14:paraId="2DA05C06" w14:textId="77777777" w:rsidR="00081708" w:rsidRPr="008D2838" w:rsidRDefault="00081708" w:rsidP="00081708">
      <w:pPr>
        <w:contextualSpacing/>
        <w:jc w:val="both"/>
        <w:textAlignment w:val="baseline"/>
        <w:rPr>
          <w:rFonts w:ascii="Arial" w:eastAsia="Times New Roman" w:hAnsi="Arial" w:cs="Arial"/>
          <w:iCs/>
          <w:sz w:val="22"/>
          <w:szCs w:val="22"/>
          <w:lang w:val="es-CO" w:eastAsia="es-ES_tradnl"/>
        </w:rPr>
      </w:pPr>
      <w:r w:rsidRPr="008D2838">
        <w:rPr>
          <w:rFonts w:ascii="Arial" w:eastAsia="Times New Roman" w:hAnsi="Arial" w:cs="Arial"/>
          <w:iCs/>
          <w:sz w:val="22"/>
          <w:szCs w:val="22"/>
          <w:lang w:val="es-CO" w:eastAsia="es-ES_tradnl"/>
        </w:rPr>
        <w:t xml:space="preserve">En esta misma vigencia, se encuentra el Proceso </w:t>
      </w:r>
      <w:r w:rsidRPr="008D2838">
        <w:rPr>
          <w:rFonts w:ascii="Arial" w:eastAsia="Times New Roman" w:hAnsi="Arial" w:cs="Arial"/>
          <w:sz w:val="22"/>
          <w:szCs w:val="22"/>
          <w:lang w:val="es-CO" w:eastAsia="es-ES_tradnl"/>
        </w:rPr>
        <w:t>No. CI 190-2018, donde el 1 de agosto de 2018 se suscribió el Contrato No. 190-2018, cuyo objeto consistió en la: “</w:t>
      </w:r>
      <w:r w:rsidRPr="008D2838">
        <w:rPr>
          <w:rFonts w:ascii="Arial" w:eastAsia="Times New Roman" w:hAnsi="Arial" w:cs="Arial"/>
          <w:i/>
          <w:iCs/>
          <w:sz w:val="22"/>
          <w:szCs w:val="22"/>
          <w:lang w:val="es-CO" w:eastAsia="es-ES_tradnl"/>
        </w:rPr>
        <w:t>Atención a la población escolarizada con necesidades educativas especiales del Distrito de Turbo, para fortalecer los procesos de inclusión, mediante valoración, diagnóstico, intervención terapéutica, capacitación a docentes, acompañamiento a las familias, flexibilización curricular, y demás acciones que garanticen una prestación del servicio educativo de calidad para esta población”,</w:t>
      </w:r>
      <w:r w:rsidRPr="008D2838">
        <w:rPr>
          <w:rFonts w:ascii="Arial" w:eastAsia="Times New Roman" w:hAnsi="Arial" w:cs="Arial"/>
          <w:sz w:val="22"/>
          <w:szCs w:val="22"/>
          <w:lang w:val="es-CO" w:eastAsia="es-ES_tradnl"/>
        </w:rPr>
        <w:t xml:space="preserve"> por valor de $195.822.607 respaldado por el CDP No. 758 del 8 de mayo de 2018, con el contratista Instituto Municipal para la protección de la niñez y la juventud – IMUPRONJ. En la plataforma SECOP no se encuentran publicados los siguientes documentos: registro presupuestal, acto administrativo de aprobación de la </w:t>
      </w:r>
      <w:r w:rsidRPr="008D2838">
        <w:rPr>
          <w:rFonts w:ascii="Arial" w:eastAsia="Times New Roman" w:hAnsi="Arial" w:cs="Arial"/>
          <w:sz w:val="22"/>
          <w:szCs w:val="22"/>
          <w:lang w:val="es-CO" w:eastAsia="es-ES_tradnl"/>
        </w:rPr>
        <w:lastRenderedPageBreak/>
        <w:t>garantía única, garantía única, acta de inicio, estudios previos, acto administrativo de justificación de la contratación directa, informe de avances y el informe final.</w:t>
      </w:r>
    </w:p>
    <w:p w14:paraId="7BF726C5" w14:textId="77777777" w:rsidR="00081708" w:rsidRPr="008D2838" w:rsidRDefault="00081708" w:rsidP="00081708">
      <w:pPr>
        <w:contextualSpacing/>
        <w:jc w:val="both"/>
        <w:textAlignment w:val="baseline"/>
        <w:rPr>
          <w:rFonts w:ascii="Arial" w:eastAsia="Times New Roman" w:hAnsi="Arial" w:cs="Arial"/>
          <w:iCs/>
          <w:sz w:val="22"/>
          <w:szCs w:val="22"/>
          <w:lang w:val="es-CO" w:eastAsia="es-ES_tradnl"/>
        </w:rPr>
      </w:pPr>
    </w:p>
    <w:p w14:paraId="5397568A"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r w:rsidRPr="008D2838">
        <w:rPr>
          <w:rFonts w:ascii="Arial" w:eastAsia="Times New Roman" w:hAnsi="Arial" w:cs="Arial"/>
          <w:iCs/>
          <w:sz w:val="22"/>
          <w:szCs w:val="22"/>
          <w:lang w:val="es-CO" w:eastAsia="es-ES_tradnl"/>
        </w:rPr>
        <w:t>Así mismo, para la vigencia 2018 se inició el Proceso</w:t>
      </w:r>
      <w:r w:rsidRPr="008D2838">
        <w:rPr>
          <w:rFonts w:ascii="Arial" w:eastAsia="Times New Roman" w:hAnsi="Arial" w:cs="Arial"/>
          <w:sz w:val="22"/>
          <w:szCs w:val="22"/>
          <w:lang w:val="es-CO" w:eastAsia="es-ES_tradnl"/>
        </w:rPr>
        <w:t xml:space="preserve"> No. SAMC 20-2018 que dio como resultado la suscripción del Contrato No. 185-2018 del 30 de julio de 2018, cuyo objeto consistió en la: “</w:t>
      </w:r>
      <w:r w:rsidRPr="008D2838">
        <w:rPr>
          <w:rFonts w:ascii="Arial" w:eastAsia="Times New Roman" w:hAnsi="Arial" w:cs="Arial"/>
          <w:i/>
          <w:iCs/>
          <w:sz w:val="22"/>
          <w:szCs w:val="22"/>
          <w:lang w:val="es-CO" w:eastAsia="es-ES_tradnl"/>
        </w:rPr>
        <w:t xml:space="preserve">Prestación de servicios de conectividad y continuidad en el servicio de internet a los establecimientos educativos oficiales del Distrito de Turbo”, </w:t>
      </w:r>
      <w:r w:rsidRPr="008D2838">
        <w:rPr>
          <w:rFonts w:ascii="Arial" w:eastAsia="Times New Roman" w:hAnsi="Arial" w:cs="Arial"/>
          <w:sz w:val="22"/>
          <w:szCs w:val="22"/>
          <w:lang w:val="es-CO" w:eastAsia="es-ES_tradnl"/>
        </w:rPr>
        <w:t>por $182.698.255 respaldado por el CDP No. 761 del 9 de mayo de 2018 según la minuta contractual, con el contratista Compañía de Tecnologías de la Información y la Comunicación S.A.S. Sin embargo, la Entidad Territorial omitió la publicación en el SECOP de los siguientes documentos: certificado de disponibilidad presupuestal, registro presupuestal, acto administrativo de aprobación de garantías, garantías, acta de inicio, informes mensuales de la gestión de la mesa de ayuda e informes mensuales de cumplimiento de indicadores.</w:t>
      </w:r>
    </w:p>
    <w:p w14:paraId="6FDFD973"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p>
    <w:p w14:paraId="79A61180"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r w:rsidRPr="008D2838">
        <w:rPr>
          <w:rFonts w:ascii="Arial" w:eastAsia="Times New Roman" w:hAnsi="Arial" w:cs="Arial"/>
          <w:sz w:val="22"/>
          <w:szCs w:val="22"/>
          <w:lang w:val="es-CO" w:eastAsia="es-ES_tradnl"/>
        </w:rPr>
        <w:t>Por otra parte, dentro del proceso de Contratación Directa No.180-2018, que dio como resultado la suscripción del Contrato de la misma referencia, por el valor de $231.879.497, por un tiempo de ejecución de 5 meses y cuyo objeto consistió en la “</w:t>
      </w:r>
      <w:r w:rsidRPr="008D2838">
        <w:rPr>
          <w:rFonts w:ascii="Arial" w:eastAsia="Times New Roman" w:hAnsi="Arial" w:cs="Arial"/>
          <w:i/>
          <w:iCs/>
          <w:sz w:val="22"/>
          <w:szCs w:val="22"/>
          <w:lang w:val="es-CO" w:eastAsia="es-ES_tradnl"/>
        </w:rPr>
        <w:t>P</w:t>
      </w:r>
      <w:r w:rsidRPr="008D2838">
        <w:rPr>
          <w:rFonts w:ascii="Arial" w:eastAsia="Times New Roman" w:hAnsi="Arial" w:cs="Arial"/>
          <w:i/>
          <w:sz w:val="22"/>
          <w:szCs w:val="22"/>
          <w:lang w:val="es-CO" w:eastAsia="es-ES_tradnl"/>
        </w:rPr>
        <w:t xml:space="preserve">restación de servicios de conectividad y continuidad en el servicio de internet en sedes educativas oficiales: Aguas Claras, Rio Mar, Rio Turbo Abajo, Desarrollo Rural, Cocuelo San Felipe, El Volcán, Puya Del Medio, La Pita, Independencia De Antioquia, Bajo Cirilo, Bocas De Tío López, Brisas Del Mar, Brunito Arriba, Caracolí, Claudia Maria, Deseada Abajo, 19 De Marzo, Porvenir, El Tancon, Guadualito, La Florida, La Tachuela, Las Camelias, Puerto Boy, San Francisco, Santa Cruz Indígena, Siente De Agosto, Veinte De Julio, Buenos Aires, El Porvenir Tulapa, Las Flores, Nueva Colombia, Santiago De Urabá, Sinaí, El Bosque, Gonzalo Mejía, Hoover Quintero, Jorge Eliecer Gaitán, Santísima Trinidad, Sagrado Corazón, Antonio Nariño, , Camerún, Caribe 2, Cope, Divino Niño, La Arenera 1, Mantagorda, Maquencal, Jesús Mora, 29 De Noviembre, Coldesa, El Tres, Indigenista El Mango, Los Enamorados, Normal Superior De Urabá, Piedrecitas, Puerto Cesar, Punta De Piedra, Riogrande, Turbo, Veinticuatro De Diciembre, Villa Calle Larga, Villa María, Alto Mulatos Quebrada Del Medio, Ángel Milán, Central, Currulao, El Dos Sala De Sistemas, Francisco Valderrama, Nueva Colonia, Nueva Colonia Biblioteca, San Martin De Porres, Santa Fe, Casanova, Galleta, Tío López Alto y Getsemaní del Distrito de Turbo”, </w:t>
      </w:r>
      <w:r w:rsidRPr="008D2838">
        <w:rPr>
          <w:rFonts w:ascii="Arial" w:eastAsia="Times New Roman" w:hAnsi="Arial" w:cs="Arial"/>
          <w:sz w:val="22"/>
          <w:szCs w:val="22"/>
          <w:lang w:val="es-CO" w:eastAsia="es-ES_tradnl"/>
        </w:rPr>
        <w:t>imputado presupuestalmente al Certificado de Disponibilidad Presupuestal No. 0000760. Para este contrato, no se publicaron los estudios previos del contrato, acta de aprobación de garantías, registro presupuestal, resolución de adjudicación, acta de inicio, ni informes de supervisión del contrato.</w:t>
      </w:r>
    </w:p>
    <w:p w14:paraId="72FA5E19"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p>
    <w:p w14:paraId="09F8D601"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r w:rsidRPr="008D2838">
        <w:rPr>
          <w:rFonts w:ascii="Arial" w:eastAsia="Times New Roman" w:hAnsi="Arial" w:cs="Arial"/>
          <w:sz w:val="22"/>
          <w:szCs w:val="22"/>
          <w:lang w:val="es-CO" w:eastAsia="es-ES_tradnl"/>
        </w:rPr>
        <w:t>Durante esta misma vigencia, en el Proceso No. LP.09-2018, que dio como resultado la suscripción del Contrato No. 138 – 2018 del 17 de mayo de 2018, con el siguiente objeto: “</w:t>
      </w:r>
      <w:r w:rsidRPr="008D2838">
        <w:rPr>
          <w:rFonts w:ascii="Arial" w:eastAsia="Times New Roman" w:hAnsi="Arial" w:cs="Arial"/>
          <w:i/>
          <w:sz w:val="22"/>
          <w:szCs w:val="22"/>
          <w:lang w:val="es-CO" w:eastAsia="es-ES_tradnl"/>
        </w:rPr>
        <w:t xml:space="preserve">Logística para realización de actividades de bienestar laboral y capacitación para personal docente y directivos”, </w:t>
      </w:r>
      <w:r w:rsidRPr="008D2838">
        <w:rPr>
          <w:rFonts w:ascii="Arial" w:eastAsia="Times New Roman" w:hAnsi="Arial" w:cs="Arial"/>
          <w:sz w:val="22"/>
          <w:szCs w:val="22"/>
          <w:lang w:val="es-CO" w:eastAsia="es-ES_tradnl"/>
        </w:rPr>
        <w:t>para ser ejecutado en seis (6) meses a partir de la firma del acta de inicio de este y por una cuantía inicial de $480 millones con obligaciones tales como desarrollar encuentros recreativos, culturales y folclóricos para el cuerpo docente y directivo docente, fue posible constatar la ausencia de: certificado de disponibilidad presupuestal, registro presupuestal, acta de inicio, acta de aprobación de garantías, informes de supervisión, estudios previos que soportan la adición del Contrato por $150 millones, así como la aprobación de las garantías de esta.</w:t>
      </w:r>
    </w:p>
    <w:p w14:paraId="2A368DA7" w14:textId="77777777" w:rsidR="00081708" w:rsidRPr="008D2838" w:rsidRDefault="00081708" w:rsidP="00081708">
      <w:pPr>
        <w:contextualSpacing/>
        <w:jc w:val="both"/>
        <w:textAlignment w:val="baseline"/>
        <w:rPr>
          <w:rFonts w:ascii="Arial" w:eastAsia="Times New Roman" w:hAnsi="Arial" w:cs="Arial"/>
          <w:iCs/>
          <w:sz w:val="22"/>
          <w:szCs w:val="22"/>
          <w:lang w:val="es-CO" w:eastAsia="es-ES_tradnl"/>
        </w:rPr>
      </w:pPr>
    </w:p>
    <w:p w14:paraId="09E4F65F"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r w:rsidRPr="008D2838">
        <w:rPr>
          <w:rFonts w:ascii="Arial" w:eastAsia="Times New Roman" w:hAnsi="Arial" w:cs="Arial"/>
          <w:iCs/>
          <w:sz w:val="22"/>
          <w:szCs w:val="22"/>
          <w:lang w:val="es-CO" w:eastAsia="es-ES_tradnl"/>
        </w:rPr>
        <w:t xml:space="preserve">Para la vigencia 2019, se encuentra el </w:t>
      </w:r>
      <w:r w:rsidRPr="008D2838">
        <w:rPr>
          <w:rFonts w:ascii="Arial" w:eastAsia="Times New Roman" w:hAnsi="Arial" w:cs="Arial"/>
          <w:sz w:val="22"/>
          <w:szCs w:val="22"/>
          <w:lang w:val="es-CO" w:eastAsia="es-ES_tradnl"/>
        </w:rPr>
        <w:t>Proceso No. 07-19, donde el 21 de enero de 2019 se suscribió el Contrato No. 7, cuyo objeto es: “</w:t>
      </w:r>
      <w:r w:rsidRPr="008D2838">
        <w:rPr>
          <w:rFonts w:ascii="Arial" w:eastAsia="Times New Roman" w:hAnsi="Arial" w:cs="Arial"/>
          <w:i/>
          <w:sz w:val="22"/>
          <w:szCs w:val="22"/>
          <w:lang w:val="es-CO" w:eastAsia="es-ES_tradnl"/>
        </w:rPr>
        <w:t xml:space="preserve">Licenciamiento de software integrado para </w:t>
      </w:r>
      <w:r w:rsidRPr="008D2838">
        <w:rPr>
          <w:rFonts w:ascii="Arial" w:eastAsia="Times New Roman" w:hAnsi="Arial" w:cs="Arial"/>
          <w:i/>
          <w:sz w:val="22"/>
          <w:szCs w:val="22"/>
          <w:lang w:val="es-CO" w:eastAsia="es-ES_tradnl"/>
        </w:rPr>
        <w:lastRenderedPageBreak/>
        <w:t xml:space="preserve">los establecimientos educativos oficiales del Distrito de Turbo”, </w:t>
      </w:r>
      <w:r w:rsidRPr="008D2838">
        <w:rPr>
          <w:rFonts w:ascii="Arial" w:eastAsia="Times New Roman" w:hAnsi="Arial" w:cs="Arial"/>
          <w:sz w:val="22"/>
          <w:szCs w:val="22"/>
          <w:lang w:val="es-CO" w:eastAsia="es-ES_tradnl"/>
        </w:rPr>
        <w:t>por valor de $200 millones y CDP No. 5 del 2 de enero de 2019, con el contratista: Ecosistemas S.A. Sin embargo, el Distrito de Turbo omitió el cargue en SECOP de los siguientes documentos:</w:t>
      </w:r>
      <w:r w:rsidRPr="008D2838">
        <w:rPr>
          <w:rFonts w:ascii="Arial" w:eastAsia="Times New Roman" w:hAnsi="Arial" w:cs="Arial"/>
          <w:iCs/>
          <w:sz w:val="22"/>
          <w:szCs w:val="22"/>
          <w:lang w:val="es-CO" w:eastAsia="es-ES_tradnl"/>
        </w:rPr>
        <w:t xml:space="preserve"> </w:t>
      </w:r>
      <w:r w:rsidRPr="008D2838">
        <w:rPr>
          <w:rFonts w:ascii="Arial" w:eastAsia="Times New Roman" w:hAnsi="Arial" w:cs="Arial"/>
          <w:sz w:val="22"/>
          <w:szCs w:val="22"/>
          <w:lang w:val="es-CO" w:eastAsia="es-ES_tradnl"/>
        </w:rPr>
        <w:t>estudios previos</w:t>
      </w:r>
      <w:r w:rsidRPr="008D2838">
        <w:rPr>
          <w:rFonts w:ascii="Arial" w:eastAsia="Times New Roman" w:hAnsi="Arial" w:cs="Arial"/>
          <w:iCs/>
          <w:sz w:val="22"/>
          <w:szCs w:val="22"/>
          <w:lang w:val="es-CO" w:eastAsia="es-ES_tradnl"/>
        </w:rPr>
        <w:t xml:space="preserve">, </w:t>
      </w:r>
      <w:r w:rsidRPr="008D2838">
        <w:rPr>
          <w:rFonts w:ascii="Arial" w:eastAsia="Times New Roman" w:hAnsi="Arial" w:cs="Arial"/>
          <w:sz w:val="22"/>
          <w:szCs w:val="22"/>
          <w:lang w:val="es-CO" w:eastAsia="es-ES_tradnl"/>
        </w:rPr>
        <w:t>registro presupuestal</w:t>
      </w:r>
      <w:r w:rsidRPr="008D2838">
        <w:rPr>
          <w:rFonts w:ascii="Arial" w:eastAsia="Times New Roman" w:hAnsi="Arial" w:cs="Arial"/>
          <w:iCs/>
          <w:sz w:val="22"/>
          <w:szCs w:val="22"/>
          <w:lang w:val="es-CO" w:eastAsia="es-ES_tradnl"/>
        </w:rPr>
        <w:t xml:space="preserve">, </w:t>
      </w:r>
      <w:r w:rsidRPr="008D2838">
        <w:rPr>
          <w:rFonts w:ascii="Arial" w:eastAsia="Times New Roman" w:hAnsi="Arial" w:cs="Arial"/>
          <w:sz w:val="22"/>
          <w:szCs w:val="22"/>
          <w:lang w:val="es-CO" w:eastAsia="es-ES_tradnl"/>
        </w:rPr>
        <w:t>acta de inicio</w:t>
      </w:r>
      <w:r w:rsidRPr="008D2838">
        <w:rPr>
          <w:rFonts w:ascii="Arial" w:eastAsia="Times New Roman" w:hAnsi="Arial" w:cs="Arial"/>
          <w:iCs/>
          <w:sz w:val="22"/>
          <w:szCs w:val="22"/>
          <w:lang w:val="es-CO" w:eastAsia="es-ES_tradnl"/>
        </w:rPr>
        <w:t xml:space="preserve">, </w:t>
      </w:r>
      <w:r w:rsidRPr="008D2838">
        <w:rPr>
          <w:rFonts w:ascii="Arial" w:eastAsia="Times New Roman" w:hAnsi="Arial" w:cs="Arial"/>
          <w:sz w:val="22"/>
          <w:szCs w:val="22"/>
          <w:lang w:val="es-CO" w:eastAsia="es-ES_tradnl"/>
        </w:rPr>
        <w:t>acto administrativo de aprobación de garantías</w:t>
      </w:r>
      <w:r w:rsidRPr="008D2838">
        <w:rPr>
          <w:rFonts w:ascii="Arial" w:eastAsia="Times New Roman" w:hAnsi="Arial" w:cs="Arial"/>
          <w:iCs/>
          <w:sz w:val="22"/>
          <w:szCs w:val="22"/>
          <w:lang w:val="es-CO" w:eastAsia="es-ES_tradnl"/>
        </w:rPr>
        <w:t xml:space="preserve">, </w:t>
      </w:r>
      <w:r w:rsidRPr="008D2838">
        <w:rPr>
          <w:rFonts w:ascii="Arial" w:eastAsia="Times New Roman" w:hAnsi="Arial" w:cs="Arial"/>
          <w:sz w:val="22"/>
          <w:szCs w:val="22"/>
          <w:lang w:val="es-CO" w:eastAsia="es-ES_tradnl"/>
        </w:rPr>
        <w:t>garantías y los informes mensuales del contratista.</w:t>
      </w:r>
    </w:p>
    <w:p w14:paraId="2FCC3E8E" w14:textId="77777777" w:rsidR="00081708" w:rsidRPr="008D2838" w:rsidRDefault="00081708" w:rsidP="00081708">
      <w:pPr>
        <w:rPr>
          <w:rFonts w:ascii="Arial" w:hAnsi="Arial" w:cs="Arial"/>
          <w:lang w:val="es-CO"/>
        </w:rPr>
      </w:pPr>
    </w:p>
    <w:p w14:paraId="49888F39"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r w:rsidRPr="008D2838">
        <w:rPr>
          <w:rFonts w:ascii="Arial" w:eastAsia="Times New Roman" w:hAnsi="Arial" w:cs="Arial"/>
          <w:iCs/>
          <w:sz w:val="22"/>
          <w:szCs w:val="22"/>
          <w:lang w:val="es-CO" w:eastAsia="es-ES_tradnl"/>
        </w:rPr>
        <w:t xml:space="preserve">Para la vigencia 2021, se revisó el </w:t>
      </w:r>
      <w:r w:rsidRPr="008D2838">
        <w:rPr>
          <w:rFonts w:ascii="Arial" w:eastAsia="Times New Roman" w:hAnsi="Arial" w:cs="Arial"/>
          <w:sz w:val="22"/>
          <w:szCs w:val="22"/>
          <w:lang w:val="es-CO" w:eastAsia="es-ES_tradnl"/>
        </w:rPr>
        <w:t>Contrato No. 340 del 10 de noviembre de 2021 cuyo objeto es: “C</w:t>
      </w:r>
      <w:r w:rsidRPr="008D2838">
        <w:rPr>
          <w:rFonts w:ascii="Arial" w:eastAsia="Times New Roman" w:hAnsi="Arial" w:cs="Arial"/>
          <w:i/>
          <w:sz w:val="22"/>
          <w:szCs w:val="22"/>
          <w:lang w:val="es-CO" w:eastAsia="es-ES_tradnl"/>
        </w:rPr>
        <w:t xml:space="preserve">ontrato interadministrativo entre el Distrito de Turbo y el Instituto Municipal de Deporte-Imder para capacitar en educación física a los docentes de básica primaria del sector oficial”, </w:t>
      </w:r>
      <w:r w:rsidRPr="008D2838">
        <w:rPr>
          <w:rFonts w:ascii="Arial" w:eastAsia="Times New Roman" w:hAnsi="Arial" w:cs="Arial"/>
          <w:sz w:val="22"/>
          <w:szCs w:val="22"/>
          <w:lang w:val="es-CO" w:eastAsia="es-ES_tradnl"/>
        </w:rPr>
        <w:t>por valor de $200 millones y CDP No. 1209 del 22 de septiembre de 2021. Del cual se encontraron cargados en SECOP el Informe de estudios previos, el Registro Presupuestal, el Certificado de Disponibilidad Presupuestal y Acta de inicio y terminación del contrato. Sin embargo, el Distrito de Turbo omitió el cargue en SECOP de los siguientes documentos:</w:t>
      </w:r>
      <w:r w:rsidRPr="008D2838">
        <w:rPr>
          <w:rFonts w:ascii="Arial" w:eastAsia="Times New Roman" w:hAnsi="Arial" w:cs="Arial"/>
          <w:iCs/>
          <w:sz w:val="22"/>
          <w:szCs w:val="22"/>
          <w:lang w:val="es-CO" w:eastAsia="es-ES_tradnl"/>
        </w:rPr>
        <w:t xml:space="preserve"> </w:t>
      </w:r>
      <w:r w:rsidRPr="008D2838">
        <w:rPr>
          <w:rFonts w:ascii="Arial" w:eastAsia="Times New Roman" w:hAnsi="Arial" w:cs="Arial"/>
          <w:sz w:val="22"/>
          <w:szCs w:val="22"/>
          <w:lang w:val="es-CO" w:eastAsia="es-ES_tradnl"/>
        </w:rPr>
        <w:t>minuta contractual e informes de supervisión o interventoría.</w:t>
      </w:r>
    </w:p>
    <w:p w14:paraId="16EB5C0B"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p>
    <w:p w14:paraId="5E36DFC5" w14:textId="77777777" w:rsidR="00081708" w:rsidRPr="008D2838" w:rsidRDefault="00081708" w:rsidP="00081708">
      <w:pPr>
        <w:contextualSpacing/>
        <w:jc w:val="both"/>
        <w:textAlignment w:val="baseline"/>
        <w:rPr>
          <w:rFonts w:ascii="Arial" w:eastAsia="Times New Roman" w:hAnsi="Arial" w:cs="Arial"/>
          <w:iCs/>
          <w:sz w:val="22"/>
          <w:szCs w:val="22"/>
          <w:lang w:val="es-CO" w:eastAsia="es-ES_tradnl"/>
        </w:rPr>
      </w:pPr>
      <w:r w:rsidRPr="008D2838">
        <w:rPr>
          <w:rFonts w:ascii="Arial" w:eastAsia="Times New Roman" w:hAnsi="Arial" w:cs="Arial"/>
          <w:iCs/>
          <w:sz w:val="22"/>
          <w:szCs w:val="22"/>
          <w:lang w:val="es-CO" w:eastAsia="es-ES_tradnl"/>
        </w:rPr>
        <w:t xml:space="preserve">Igualmente, el </w:t>
      </w:r>
      <w:r w:rsidRPr="008D2838">
        <w:rPr>
          <w:rFonts w:ascii="Arial" w:eastAsia="Times New Roman" w:hAnsi="Arial" w:cs="Arial"/>
          <w:sz w:val="22"/>
          <w:szCs w:val="22"/>
          <w:lang w:val="es-CO" w:eastAsia="es-ES_tradnl"/>
        </w:rPr>
        <w:t>Contrato No. 302 del 1 de septiembre de 2021 cuyo objeto es: “Prestación de servicios como apoyo a las actividades operativas (conserjes) en los establecimientos educativos del distrito de turbo, teniendo en cuenta el contratista el manejo autónomo del proceso</w:t>
      </w:r>
      <w:r w:rsidRPr="008D2838">
        <w:rPr>
          <w:rFonts w:ascii="Arial" w:eastAsia="Times New Roman" w:hAnsi="Arial" w:cs="Arial"/>
          <w:i/>
          <w:sz w:val="22"/>
          <w:szCs w:val="22"/>
          <w:lang w:val="es-CO" w:eastAsia="es-ES_tradnl"/>
        </w:rPr>
        <w:t>”, s</w:t>
      </w:r>
      <w:r w:rsidRPr="008D2838">
        <w:rPr>
          <w:rFonts w:ascii="Arial" w:eastAsia="Times New Roman" w:hAnsi="Arial" w:cs="Arial"/>
          <w:iCs/>
          <w:sz w:val="22"/>
          <w:szCs w:val="22"/>
          <w:lang w:val="es-CO" w:eastAsia="es-ES_tradnl"/>
        </w:rPr>
        <w:t>uscrito con la Empresa de Servicios Temporales ALCAN SAS</w:t>
      </w:r>
      <w:r w:rsidRPr="008D2838">
        <w:rPr>
          <w:rFonts w:ascii="Arial" w:eastAsia="Times New Roman" w:hAnsi="Arial" w:cs="Arial"/>
          <w:i/>
          <w:sz w:val="22"/>
          <w:szCs w:val="22"/>
          <w:lang w:val="es-CO" w:eastAsia="es-ES_tradnl"/>
        </w:rPr>
        <w:t xml:space="preserve"> </w:t>
      </w:r>
      <w:r w:rsidRPr="008D2838">
        <w:rPr>
          <w:rFonts w:ascii="Arial" w:eastAsia="Times New Roman" w:hAnsi="Arial" w:cs="Arial"/>
          <w:sz w:val="22"/>
          <w:szCs w:val="22"/>
          <w:lang w:val="es-CO" w:eastAsia="es-ES_tradnl"/>
        </w:rPr>
        <w:t>por valor de $1.991 millones y CDP No. 950 del 21 de julio de 2021, tiene publicado en SECOP el Informe de estudios previos, el Registro Presupuestal, el Certificado de Disponibilidad Presupuestal y la minuta contractual. No obstante, el Distrito de Turbo omitió el cargue en SECOP de los Informes de ejecución del contratista.</w:t>
      </w:r>
    </w:p>
    <w:p w14:paraId="7A33773B" w14:textId="77777777" w:rsidR="00081708" w:rsidRPr="008D2838" w:rsidRDefault="00081708" w:rsidP="00081708">
      <w:pPr>
        <w:contextualSpacing/>
        <w:jc w:val="both"/>
        <w:textAlignment w:val="baseline"/>
        <w:rPr>
          <w:rFonts w:ascii="Arial" w:eastAsia="Times New Roman" w:hAnsi="Arial" w:cs="Arial"/>
          <w:iCs/>
          <w:sz w:val="22"/>
          <w:szCs w:val="22"/>
          <w:lang w:val="es-CO" w:eastAsia="es-ES_tradnl"/>
        </w:rPr>
      </w:pPr>
    </w:p>
    <w:p w14:paraId="23721D81" w14:textId="77777777" w:rsidR="00081708" w:rsidRPr="008D2838" w:rsidRDefault="00081708" w:rsidP="00081708">
      <w:pPr>
        <w:contextualSpacing/>
        <w:jc w:val="both"/>
        <w:textAlignment w:val="baseline"/>
        <w:rPr>
          <w:rFonts w:ascii="Arial" w:eastAsia="Times New Roman" w:hAnsi="Arial" w:cs="Arial"/>
          <w:iCs/>
          <w:sz w:val="22"/>
          <w:szCs w:val="22"/>
          <w:lang w:val="es-CO" w:eastAsia="es-ES_tradnl"/>
        </w:rPr>
      </w:pPr>
      <w:r w:rsidRPr="008D2838">
        <w:rPr>
          <w:rFonts w:ascii="Arial" w:eastAsia="Times New Roman" w:hAnsi="Arial" w:cs="Arial"/>
          <w:iCs/>
          <w:sz w:val="22"/>
          <w:szCs w:val="22"/>
          <w:lang w:val="es-CO" w:eastAsia="es-ES_tradnl"/>
        </w:rPr>
        <w:t xml:space="preserve">Para la vigencia 2022, se revisó el </w:t>
      </w:r>
      <w:r w:rsidRPr="008D2838">
        <w:rPr>
          <w:rFonts w:ascii="Arial" w:eastAsia="Times New Roman" w:hAnsi="Arial" w:cs="Arial"/>
          <w:sz w:val="22"/>
          <w:szCs w:val="22"/>
          <w:lang w:val="es-CO" w:eastAsia="es-ES_tradnl"/>
        </w:rPr>
        <w:t>Proceso No. 178 del 26 de agosto de 2022 cuyo objeto es: “Convenio interadministrativo entre el distrito de turbo y el Instituto Municipal de deporte IMDER para capacitar en educación física a los docentes de básica primaria del sector oficial</w:t>
      </w:r>
      <w:r w:rsidRPr="008D2838">
        <w:rPr>
          <w:rFonts w:ascii="Arial" w:eastAsia="Times New Roman" w:hAnsi="Arial" w:cs="Arial"/>
          <w:i/>
          <w:sz w:val="22"/>
          <w:szCs w:val="22"/>
          <w:lang w:val="es-CO" w:eastAsia="es-ES_tradnl"/>
        </w:rPr>
        <w:t xml:space="preserve">”, </w:t>
      </w:r>
      <w:r w:rsidRPr="008D2838">
        <w:rPr>
          <w:rFonts w:ascii="Arial" w:eastAsia="Times New Roman" w:hAnsi="Arial" w:cs="Arial"/>
          <w:sz w:val="22"/>
          <w:szCs w:val="22"/>
          <w:lang w:val="es-CO" w:eastAsia="es-ES_tradnl"/>
        </w:rPr>
        <w:t>por valor de $500 millones y CDP No. 1175 del 10 de agosto de 2022. Se encontró cargado en SECOP los estudios previos, Minuta del convenio, RP y CDP. Sin embargo, el Distrito de Turbo omitió el cargue en SECOP de los Informes de supervisión o interventoría.</w:t>
      </w:r>
    </w:p>
    <w:p w14:paraId="6BE29622" w14:textId="77777777" w:rsidR="00081708" w:rsidRPr="008D2838" w:rsidRDefault="00081708" w:rsidP="00081708">
      <w:pPr>
        <w:contextualSpacing/>
        <w:jc w:val="both"/>
        <w:textAlignment w:val="baseline"/>
        <w:rPr>
          <w:rFonts w:ascii="Arial" w:eastAsia="Times New Roman" w:hAnsi="Arial" w:cs="Arial"/>
          <w:iCs/>
          <w:sz w:val="22"/>
          <w:szCs w:val="22"/>
          <w:lang w:val="es-CO" w:eastAsia="es-ES_tradnl"/>
        </w:rPr>
      </w:pPr>
    </w:p>
    <w:p w14:paraId="6EA67FFF" w14:textId="77777777" w:rsidR="00081708" w:rsidRPr="008D2838" w:rsidRDefault="00081708" w:rsidP="00081708">
      <w:pPr>
        <w:contextualSpacing/>
        <w:jc w:val="both"/>
        <w:textAlignment w:val="baseline"/>
        <w:rPr>
          <w:rFonts w:ascii="Arial" w:eastAsia="Times New Roman" w:hAnsi="Arial" w:cs="Arial"/>
          <w:iCs/>
          <w:sz w:val="22"/>
          <w:szCs w:val="22"/>
          <w:lang w:val="es-CO" w:eastAsia="es-ES_tradnl"/>
        </w:rPr>
      </w:pPr>
      <w:r w:rsidRPr="008D2838">
        <w:rPr>
          <w:rFonts w:ascii="Arial" w:eastAsia="Times New Roman" w:hAnsi="Arial" w:cs="Arial"/>
          <w:iCs/>
          <w:sz w:val="22"/>
          <w:szCs w:val="22"/>
          <w:lang w:val="es-CO" w:eastAsia="es-ES_tradnl"/>
        </w:rPr>
        <w:t xml:space="preserve">Así mismo, en el </w:t>
      </w:r>
      <w:r w:rsidRPr="008D2838">
        <w:rPr>
          <w:rFonts w:ascii="Arial" w:eastAsia="Times New Roman" w:hAnsi="Arial" w:cs="Arial"/>
          <w:sz w:val="22"/>
          <w:szCs w:val="22"/>
          <w:lang w:val="es-CO" w:eastAsia="es-ES_tradnl"/>
        </w:rPr>
        <w:t>Contrato No. 111 del 14 de febrero de 2022 cuyo objeto es: “Prestación de servicios de transporte escolar a estudiantes para garantizar su acceso y permanencia en los establecimientos educativos oficiales del Distrito De Turbo”</w:t>
      </w:r>
      <w:r w:rsidRPr="008D2838">
        <w:rPr>
          <w:rFonts w:ascii="Arial" w:eastAsia="Times New Roman" w:hAnsi="Arial" w:cs="Arial"/>
          <w:i/>
          <w:sz w:val="22"/>
          <w:szCs w:val="22"/>
          <w:lang w:val="es-CO" w:eastAsia="es-ES_tradnl"/>
        </w:rPr>
        <w:t xml:space="preserve">, </w:t>
      </w:r>
      <w:r w:rsidRPr="008D2838">
        <w:rPr>
          <w:rFonts w:ascii="Arial" w:eastAsia="Times New Roman" w:hAnsi="Arial" w:cs="Arial"/>
          <w:sz w:val="22"/>
          <w:szCs w:val="22"/>
          <w:lang w:val="es-CO" w:eastAsia="es-ES_tradnl"/>
        </w:rPr>
        <w:t>por valor de $1.770 millones y CDP No. 021 del 1 de enero de 2022, el Distrito de Turbo omitió el cargue en SECOP de los informes de supervisión o interventoría del contrato y el certi</w:t>
      </w:r>
      <w:r w:rsidRPr="008D2838">
        <w:rPr>
          <w:rFonts w:ascii="Arial" w:eastAsia="Times New Roman" w:hAnsi="Arial" w:cs="Arial"/>
          <w:iCs/>
          <w:sz w:val="22"/>
          <w:szCs w:val="22"/>
          <w:lang w:val="es-CO" w:eastAsia="es-ES_tradnl"/>
        </w:rPr>
        <w:t>ficado de r</w:t>
      </w:r>
      <w:r w:rsidRPr="008D2838">
        <w:rPr>
          <w:rFonts w:ascii="Arial" w:eastAsia="Times New Roman" w:hAnsi="Arial" w:cs="Arial"/>
          <w:sz w:val="22"/>
          <w:szCs w:val="22"/>
          <w:lang w:val="es-CO" w:eastAsia="es-ES_tradnl"/>
        </w:rPr>
        <w:t>egistro presupuestal. No obstante, en el listado de registros presupuestales remitido por la entidad se encuentra un registro por valor de $1.770 millones con el contratista Transportes Especiales De Occidente SAS Nit: 901005119.</w:t>
      </w:r>
    </w:p>
    <w:p w14:paraId="04895E57" w14:textId="77777777" w:rsidR="00081708" w:rsidRPr="008D2838" w:rsidRDefault="00081708" w:rsidP="00081708">
      <w:pPr>
        <w:contextualSpacing/>
        <w:jc w:val="both"/>
        <w:textAlignment w:val="baseline"/>
        <w:rPr>
          <w:rFonts w:ascii="Arial" w:eastAsia="MS Gothic" w:hAnsi="Arial" w:cs="Arial"/>
          <w:color w:val="000000"/>
          <w:shd w:val="clear" w:color="auto" w:fill="FFFFFF"/>
          <w:lang w:val="es-CO" w:eastAsia="es-ES_tradnl"/>
        </w:rPr>
      </w:pPr>
    </w:p>
    <w:p w14:paraId="24F4D718" w14:textId="77777777" w:rsidR="00081708" w:rsidRPr="008D2838" w:rsidRDefault="00081708" w:rsidP="00081708">
      <w:pPr>
        <w:contextualSpacing/>
        <w:jc w:val="both"/>
        <w:textAlignment w:val="baseline"/>
        <w:rPr>
          <w:rFonts w:ascii="Arial" w:eastAsia="Times New Roman" w:hAnsi="Arial" w:cs="Arial"/>
          <w:lang w:val="es-CO" w:eastAsia="es-ES_tradnl"/>
        </w:rPr>
      </w:pPr>
      <w:r w:rsidRPr="008D2838">
        <w:rPr>
          <w:rFonts w:ascii="Arial" w:eastAsia="MS Gothic" w:hAnsi="Arial" w:cs="Arial"/>
          <w:color w:val="000000"/>
          <w:sz w:val="22"/>
          <w:szCs w:val="22"/>
          <w:shd w:val="clear" w:color="auto" w:fill="FFFFFF"/>
          <w:lang w:val="es-CO" w:eastAsia="es-ES_tradnl"/>
        </w:rPr>
        <w:t xml:space="preserve">Lo anterior, demuestra el incumplimiento del Principio de Transparencia descrito por el artículo 24 de la Ley 80 de 1993, ya que la información correspondiente a las actuaciones de las entidades públicas no se encuentra disponible para todo aquel interesado. </w:t>
      </w:r>
      <w:r w:rsidRPr="008D2838">
        <w:rPr>
          <w:rFonts w:ascii="Arial" w:eastAsia="MS Gothic" w:hAnsi="Arial" w:cs="Arial"/>
          <w:sz w:val="22"/>
          <w:szCs w:val="22"/>
          <w:lang w:val="es-CO" w:eastAsia="es-ES_tradnl"/>
        </w:rPr>
        <w:t>En consecuencia, se evidencia que la Entidad Territorial vulnera lo estipulado por los artículos 2.2.1.1.1.7.1 del Decreto 1082 de 2015 y No. 2.1.1.2.1.8 del Decreto 1081 de 2015, toda vez que el Distrito no publicó en la plataforma SECOP la totalidad de los documentos correspondientes a los procesos contractuales adelantados por la Entidad Territorial y descritos por la ley.</w:t>
      </w:r>
    </w:p>
    <w:p w14:paraId="5FEC82FE"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p>
    <w:p w14:paraId="0F6A2ADC" w14:textId="77777777" w:rsidR="00081708" w:rsidRPr="008D2838" w:rsidRDefault="00081708" w:rsidP="00081708">
      <w:pPr>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b/>
          <w:bCs/>
          <w:sz w:val="22"/>
          <w:szCs w:val="22"/>
          <w:lang w:val="es-CO" w:eastAsia="es-ES_tradnl"/>
        </w:rPr>
        <w:lastRenderedPageBreak/>
        <w:t>Evidencias:</w:t>
      </w:r>
      <w:r w:rsidRPr="008D2838">
        <w:rPr>
          <w:rFonts w:ascii="Arial" w:eastAsia="MS Gothic" w:hAnsi="Arial" w:cs="Arial"/>
          <w:sz w:val="22"/>
          <w:szCs w:val="22"/>
          <w:lang w:val="es-CO" w:eastAsia="es-ES_tradnl"/>
        </w:rPr>
        <w:t xml:space="preserve"> </w:t>
      </w:r>
      <w:r w:rsidRPr="008D2838">
        <w:rPr>
          <w:rFonts w:ascii="Arial" w:eastAsia="Times New Roman" w:hAnsi="Arial" w:cs="Arial"/>
          <w:color w:val="000000" w:themeColor="text1"/>
          <w:sz w:val="22"/>
          <w:szCs w:val="22"/>
          <w:lang w:val="es-CO" w:eastAsia="es-ES_tradnl"/>
        </w:rPr>
        <w:t>Obra en el expediente digital en el Sistema de Información Electrónica Documental – SIED del Ministerio de Hacienda y Crédito Público No. 18/2020/D028-PREDI el siguiente material probatorio:</w:t>
      </w:r>
    </w:p>
    <w:p w14:paraId="76FAF291" w14:textId="77777777" w:rsidR="00081708" w:rsidRPr="008D2838" w:rsidRDefault="00081708" w:rsidP="00081708">
      <w:pPr>
        <w:numPr>
          <w:ilvl w:val="0"/>
          <w:numId w:val="39"/>
        </w:numPr>
        <w:ind w:left="284" w:hanging="284"/>
        <w:contextualSpacing/>
        <w:jc w:val="both"/>
        <w:textAlignment w:val="baseline"/>
        <w:rPr>
          <w:rFonts w:ascii="Arial" w:eastAsia="MS Gothic" w:hAnsi="Arial" w:cs="Arial"/>
          <w:sz w:val="22"/>
          <w:szCs w:val="22"/>
          <w:lang w:val="es-CO" w:eastAsia="es-ES_tradnl"/>
        </w:rPr>
      </w:pPr>
      <w:r w:rsidRPr="008D2838">
        <w:rPr>
          <w:rFonts w:ascii="Arial" w:eastAsia="MS Gothic" w:hAnsi="Arial" w:cs="Arial"/>
          <w:sz w:val="22"/>
          <w:szCs w:val="22"/>
          <w:lang w:val="es-CO" w:eastAsia="es-ES_tradnl"/>
        </w:rPr>
        <w:t xml:space="preserve">Consulta SECOP I – Contrato No. 138-2018 del 17 de mayo de 2018. </w:t>
      </w:r>
      <w:r w:rsidRPr="008D2838">
        <w:rPr>
          <w:rFonts w:ascii="Arial" w:eastAsia="Times New Roman" w:hAnsi="Arial" w:cs="Arial"/>
          <w:color w:val="000000" w:themeColor="text1"/>
          <w:sz w:val="22"/>
          <w:szCs w:val="22"/>
          <w:lang w:val="es-CO" w:eastAsia="es-ES_tradnl"/>
        </w:rPr>
        <w:t>Sector Educación. Distrito de Turbo – Antioquia. Serie “</w:t>
      </w:r>
      <w:r w:rsidRPr="008D2838">
        <w:rPr>
          <w:rFonts w:ascii="Arial" w:eastAsia="Times New Roman" w:hAnsi="Arial" w:cs="Arial"/>
          <w:i/>
          <w:iCs/>
          <w:color w:val="000000" w:themeColor="text1"/>
          <w:sz w:val="22"/>
          <w:szCs w:val="22"/>
          <w:lang w:val="es-CO" w:eastAsia="es-ES_tradnl"/>
        </w:rPr>
        <w:t>Historial de seguimiento y control a los recursos del Sistema General de Participaciones</w:t>
      </w:r>
      <w:r w:rsidRPr="008D2838">
        <w:rPr>
          <w:rFonts w:ascii="Arial" w:eastAsia="Times New Roman" w:hAnsi="Arial" w:cs="Arial"/>
          <w:sz w:val="22"/>
          <w:szCs w:val="22"/>
          <w:lang w:val="es-CO" w:eastAsia="es-ES_tradnl"/>
        </w:rPr>
        <w:t xml:space="preserve">”. </w:t>
      </w:r>
    </w:p>
    <w:p w14:paraId="14388ACE" w14:textId="77777777" w:rsidR="00081708" w:rsidRPr="008D2838" w:rsidRDefault="00081708" w:rsidP="00081708">
      <w:pPr>
        <w:numPr>
          <w:ilvl w:val="0"/>
          <w:numId w:val="39"/>
        </w:numPr>
        <w:ind w:left="284" w:hanging="284"/>
        <w:contextualSpacing/>
        <w:jc w:val="both"/>
        <w:rPr>
          <w:rFonts w:ascii="Arial" w:eastAsia="Times New Roman" w:hAnsi="Arial" w:cs="Arial"/>
          <w:sz w:val="22"/>
          <w:szCs w:val="22"/>
          <w:lang w:val="es-CO" w:eastAsia="es-CO"/>
        </w:rPr>
      </w:pPr>
      <w:r w:rsidRPr="008D2838">
        <w:rPr>
          <w:rFonts w:ascii="Arial" w:eastAsia="MS Gothic" w:hAnsi="Arial" w:cs="Arial"/>
          <w:sz w:val="22"/>
          <w:szCs w:val="22"/>
          <w:lang w:val="es-CO"/>
        </w:rPr>
        <w:t xml:space="preserve">Consulta SECOP I – </w:t>
      </w:r>
      <w:r w:rsidRPr="008D2838">
        <w:rPr>
          <w:rFonts w:ascii="Arial" w:eastAsia="Times New Roman" w:hAnsi="Arial" w:cs="Arial"/>
          <w:sz w:val="22"/>
          <w:szCs w:val="22"/>
          <w:lang w:val="es-CO" w:eastAsia="es-CO"/>
        </w:rPr>
        <w:t xml:space="preserve">Contrato No. 190-2018 del 1 de agosto de 2018. </w:t>
      </w:r>
      <w:r w:rsidRPr="008D2838">
        <w:rPr>
          <w:rFonts w:ascii="Arial" w:hAnsi="Arial" w:cs="Arial"/>
          <w:color w:val="000000" w:themeColor="text1"/>
          <w:sz w:val="22"/>
          <w:szCs w:val="22"/>
          <w:lang w:val="es-CO"/>
        </w:rPr>
        <w:t>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sz w:val="22"/>
          <w:szCs w:val="22"/>
          <w:lang w:val="es-CO"/>
        </w:rPr>
        <w:t>”.</w:t>
      </w:r>
    </w:p>
    <w:p w14:paraId="5831CA7D" w14:textId="77777777" w:rsidR="00081708" w:rsidRPr="008D2838" w:rsidRDefault="00081708" w:rsidP="00081708">
      <w:pPr>
        <w:numPr>
          <w:ilvl w:val="0"/>
          <w:numId w:val="39"/>
        </w:numPr>
        <w:ind w:left="284" w:hanging="284"/>
        <w:contextualSpacing/>
        <w:jc w:val="both"/>
        <w:rPr>
          <w:rFonts w:ascii="Arial" w:eastAsia="Times New Roman" w:hAnsi="Arial" w:cs="Arial"/>
          <w:sz w:val="22"/>
          <w:szCs w:val="22"/>
          <w:lang w:val="es-CO" w:eastAsia="es-CO"/>
        </w:rPr>
      </w:pPr>
      <w:r w:rsidRPr="008D2838">
        <w:rPr>
          <w:rFonts w:ascii="Arial" w:eastAsia="MS Gothic" w:hAnsi="Arial" w:cs="Arial"/>
          <w:sz w:val="22"/>
          <w:szCs w:val="22"/>
          <w:lang w:val="es-CO"/>
        </w:rPr>
        <w:t xml:space="preserve">Consulta SECOP I – </w:t>
      </w:r>
      <w:r w:rsidRPr="008D2838">
        <w:rPr>
          <w:rFonts w:ascii="Arial" w:eastAsia="Times New Roman" w:hAnsi="Arial" w:cs="Arial"/>
          <w:sz w:val="22"/>
          <w:szCs w:val="22"/>
          <w:lang w:val="es-CO" w:eastAsia="es-CO"/>
        </w:rPr>
        <w:t xml:space="preserve">Contrato No. 124-2018 del 03 de abril de 2018. </w:t>
      </w:r>
      <w:r w:rsidRPr="008D2838">
        <w:rPr>
          <w:rFonts w:ascii="Arial" w:hAnsi="Arial" w:cs="Arial"/>
          <w:color w:val="000000" w:themeColor="text1"/>
          <w:sz w:val="22"/>
          <w:szCs w:val="22"/>
          <w:lang w:val="es-CO"/>
        </w:rPr>
        <w:t>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color w:val="000000" w:themeColor="text1"/>
          <w:sz w:val="22"/>
          <w:szCs w:val="22"/>
          <w:lang w:val="es-CO"/>
        </w:rPr>
        <w:t>”.</w:t>
      </w:r>
      <w:r w:rsidRPr="008D2838">
        <w:rPr>
          <w:rFonts w:ascii="Arial" w:eastAsia="Times New Roman" w:hAnsi="Arial" w:cs="Arial"/>
          <w:sz w:val="22"/>
          <w:szCs w:val="22"/>
          <w:lang w:val="es-CO" w:eastAsia="es-CO"/>
        </w:rPr>
        <w:t> </w:t>
      </w:r>
    </w:p>
    <w:p w14:paraId="09320C75" w14:textId="77777777" w:rsidR="00081708" w:rsidRPr="008D2838" w:rsidRDefault="00081708" w:rsidP="00081708">
      <w:pPr>
        <w:numPr>
          <w:ilvl w:val="0"/>
          <w:numId w:val="39"/>
        </w:numPr>
        <w:ind w:left="284" w:hanging="284"/>
        <w:contextualSpacing/>
        <w:jc w:val="both"/>
        <w:rPr>
          <w:rFonts w:ascii="Arial" w:eastAsia="Times New Roman" w:hAnsi="Arial" w:cs="Arial"/>
          <w:sz w:val="22"/>
          <w:szCs w:val="22"/>
          <w:lang w:val="es-CO" w:eastAsia="es-CO"/>
        </w:rPr>
      </w:pPr>
      <w:r w:rsidRPr="008D2838">
        <w:rPr>
          <w:rFonts w:ascii="Arial" w:eastAsia="MS Gothic" w:hAnsi="Arial" w:cs="Arial"/>
          <w:sz w:val="22"/>
          <w:szCs w:val="22"/>
          <w:lang w:val="es-CO"/>
        </w:rPr>
        <w:t xml:space="preserve">Consulta SECOP I – </w:t>
      </w:r>
      <w:r w:rsidRPr="008D2838">
        <w:rPr>
          <w:rFonts w:ascii="Arial" w:eastAsia="Times New Roman" w:hAnsi="Arial" w:cs="Arial"/>
          <w:sz w:val="22"/>
          <w:szCs w:val="22"/>
          <w:lang w:val="es-CO" w:eastAsia="es-CO"/>
        </w:rPr>
        <w:t xml:space="preserve">Contrato No. 185-2018 del 30 de julio de 2018. </w:t>
      </w:r>
      <w:r w:rsidRPr="008D2838">
        <w:rPr>
          <w:rFonts w:ascii="Arial" w:hAnsi="Arial" w:cs="Arial"/>
          <w:color w:val="000000" w:themeColor="text1"/>
          <w:sz w:val="22"/>
          <w:szCs w:val="22"/>
          <w:lang w:val="es-CO"/>
        </w:rPr>
        <w:t>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sz w:val="22"/>
          <w:szCs w:val="22"/>
          <w:lang w:val="es-CO"/>
        </w:rPr>
        <w:t>”.</w:t>
      </w:r>
      <w:r w:rsidRPr="008D2838">
        <w:rPr>
          <w:rFonts w:ascii="Arial" w:eastAsia="Times New Roman" w:hAnsi="Arial" w:cs="Arial"/>
          <w:sz w:val="22"/>
          <w:szCs w:val="22"/>
          <w:lang w:val="es-CO" w:eastAsia="es-CO"/>
        </w:rPr>
        <w:t> </w:t>
      </w:r>
    </w:p>
    <w:p w14:paraId="60149F52" w14:textId="77777777" w:rsidR="00081708" w:rsidRPr="008D2838" w:rsidRDefault="00081708" w:rsidP="00081708">
      <w:pPr>
        <w:numPr>
          <w:ilvl w:val="0"/>
          <w:numId w:val="39"/>
        </w:numPr>
        <w:ind w:left="284" w:hanging="284"/>
        <w:contextualSpacing/>
        <w:jc w:val="both"/>
        <w:rPr>
          <w:rFonts w:ascii="Arial" w:eastAsia="Times New Roman" w:hAnsi="Arial" w:cs="Arial"/>
          <w:sz w:val="22"/>
          <w:szCs w:val="22"/>
          <w:lang w:val="es-CO" w:eastAsia="es-CO"/>
        </w:rPr>
      </w:pPr>
      <w:r w:rsidRPr="008D2838">
        <w:rPr>
          <w:rFonts w:ascii="Arial" w:eastAsia="MS Gothic" w:hAnsi="Arial" w:cs="Arial"/>
          <w:sz w:val="22"/>
          <w:szCs w:val="22"/>
          <w:lang w:val="es-CO"/>
        </w:rPr>
        <w:t xml:space="preserve">Consulta SECOP I – </w:t>
      </w:r>
      <w:r w:rsidRPr="008D2838">
        <w:rPr>
          <w:rFonts w:ascii="Arial" w:eastAsia="Times New Roman" w:hAnsi="Arial" w:cs="Arial"/>
          <w:sz w:val="22"/>
          <w:szCs w:val="22"/>
          <w:lang w:val="es-CO" w:eastAsia="es-CO"/>
        </w:rPr>
        <w:t xml:space="preserve">Contrato No.180-2018 del 24 de julio de 2018. </w:t>
      </w:r>
      <w:r w:rsidRPr="008D2838">
        <w:rPr>
          <w:rFonts w:ascii="Arial" w:hAnsi="Arial" w:cs="Arial"/>
          <w:color w:val="000000" w:themeColor="text1"/>
          <w:sz w:val="22"/>
          <w:szCs w:val="22"/>
          <w:lang w:val="es-CO"/>
        </w:rPr>
        <w:t>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sz w:val="22"/>
          <w:szCs w:val="22"/>
          <w:lang w:val="es-CO"/>
        </w:rPr>
        <w:t>”.</w:t>
      </w:r>
      <w:r w:rsidRPr="008D2838">
        <w:rPr>
          <w:rFonts w:ascii="Arial" w:eastAsia="Times New Roman" w:hAnsi="Arial" w:cs="Arial"/>
          <w:sz w:val="22"/>
          <w:szCs w:val="22"/>
          <w:lang w:val="es-CO" w:eastAsia="es-CO"/>
        </w:rPr>
        <w:t xml:space="preserve"> </w:t>
      </w:r>
    </w:p>
    <w:p w14:paraId="1230FD2F" w14:textId="77777777" w:rsidR="00081708" w:rsidRPr="008D2838" w:rsidRDefault="00081708" w:rsidP="00081708">
      <w:pPr>
        <w:numPr>
          <w:ilvl w:val="0"/>
          <w:numId w:val="39"/>
        </w:numPr>
        <w:ind w:left="284" w:hanging="284"/>
        <w:contextualSpacing/>
        <w:jc w:val="both"/>
        <w:rPr>
          <w:rFonts w:ascii="Arial" w:hAnsi="Arial" w:cs="Arial"/>
        </w:rPr>
      </w:pPr>
      <w:r w:rsidRPr="008D2838">
        <w:rPr>
          <w:rFonts w:ascii="Arial" w:eastAsia="MS Gothic" w:hAnsi="Arial" w:cs="Arial"/>
          <w:sz w:val="22"/>
          <w:szCs w:val="22"/>
          <w:lang w:val="es-CO"/>
        </w:rPr>
        <w:t xml:space="preserve">Consulta SECOP I – </w:t>
      </w:r>
      <w:r w:rsidRPr="008D2838">
        <w:rPr>
          <w:rFonts w:ascii="Arial" w:eastAsia="Times New Roman" w:hAnsi="Arial" w:cs="Arial"/>
          <w:sz w:val="22"/>
          <w:szCs w:val="22"/>
          <w:lang w:val="es-CO" w:eastAsia="es-CO"/>
        </w:rPr>
        <w:t xml:space="preserve">Contrato No. 7 del 21 de enero de 2019. </w:t>
      </w:r>
      <w:r w:rsidRPr="008D2838">
        <w:rPr>
          <w:rFonts w:ascii="Arial" w:hAnsi="Arial" w:cs="Arial"/>
          <w:color w:val="000000" w:themeColor="text1"/>
          <w:sz w:val="22"/>
          <w:szCs w:val="22"/>
          <w:lang w:val="es-CO"/>
        </w:rPr>
        <w:t>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sz w:val="22"/>
          <w:szCs w:val="22"/>
          <w:lang w:val="es-CO"/>
        </w:rPr>
        <w:t xml:space="preserve">”. </w:t>
      </w:r>
    </w:p>
    <w:p w14:paraId="7C6DB93B" w14:textId="77777777" w:rsidR="00081708" w:rsidRPr="008D2838" w:rsidRDefault="00081708" w:rsidP="00081708">
      <w:pPr>
        <w:numPr>
          <w:ilvl w:val="0"/>
          <w:numId w:val="39"/>
        </w:numPr>
        <w:ind w:left="284" w:hanging="284"/>
        <w:contextualSpacing/>
        <w:jc w:val="both"/>
        <w:rPr>
          <w:rFonts w:ascii="Arial" w:hAnsi="Arial" w:cs="Arial"/>
        </w:rPr>
      </w:pPr>
      <w:r w:rsidRPr="008D2838">
        <w:rPr>
          <w:rFonts w:ascii="Arial" w:eastAsia="MS Gothic" w:hAnsi="Arial" w:cs="Arial"/>
          <w:sz w:val="22"/>
          <w:szCs w:val="22"/>
          <w:lang w:val="es-CO"/>
        </w:rPr>
        <w:t xml:space="preserve">Consulta SECOP II – </w:t>
      </w:r>
      <w:r w:rsidRPr="008D2838">
        <w:rPr>
          <w:rFonts w:ascii="Arial" w:hAnsi="Arial" w:cs="Arial"/>
          <w:sz w:val="22"/>
          <w:szCs w:val="22"/>
          <w:lang w:val="es-CO"/>
        </w:rPr>
        <w:t>Contrato No. 340 del 16 de noviembre de 2021.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w:t>
      </w:r>
    </w:p>
    <w:p w14:paraId="1867FF60" w14:textId="77777777" w:rsidR="00081708" w:rsidRPr="008D2838" w:rsidRDefault="00081708" w:rsidP="00081708">
      <w:pPr>
        <w:numPr>
          <w:ilvl w:val="0"/>
          <w:numId w:val="39"/>
        </w:numPr>
        <w:ind w:left="284" w:hanging="284"/>
        <w:contextualSpacing/>
        <w:jc w:val="both"/>
        <w:rPr>
          <w:rFonts w:ascii="Arial" w:eastAsia="MS Gothic" w:hAnsi="Arial" w:cs="Arial"/>
          <w:color w:val="0000FF" w:themeColor="hyperlink"/>
          <w:u w:val="single"/>
        </w:rPr>
      </w:pPr>
      <w:r w:rsidRPr="008D2838">
        <w:rPr>
          <w:rFonts w:ascii="Arial" w:hAnsi="Arial" w:cs="Arial"/>
          <w:color w:val="FF0000"/>
          <w:sz w:val="22"/>
          <w:szCs w:val="22"/>
          <w:lang w:val="es-CO"/>
        </w:rPr>
        <w:t xml:space="preserve"> </w:t>
      </w:r>
      <w:r w:rsidRPr="008D2838">
        <w:rPr>
          <w:rFonts w:ascii="Arial" w:hAnsi="Arial" w:cs="Arial"/>
          <w:sz w:val="22"/>
          <w:szCs w:val="22"/>
          <w:lang w:val="es-CO"/>
        </w:rPr>
        <w:t xml:space="preserve">  </w:t>
      </w:r>
      <w:r w:rsidRPr="008D2838">
        <w:rPr>
          <w:rFonts w:ascii="Arial" w:eastAsia="MS Gothic" w:hAnsi="Arial" w:cs="Arial"/>
          <w:sz w:val="22"/>
          <w:szCs w:val="22"/>
          <w:lang w:val="es-CO"/>
        </w:rPr>
        <w:t xml:space="preserve">Consulta SECOP II – Contrato No. 178 del 25 de agosto de 2022. </w:t>
      </w:r>
      <w:r w:rsidRPr="008D2838">
        <w:rPr>
          <w:rFonts w:ascii="Arial" w:hAnsi="Arial" w:cs="Arial"/>
          <w:sz w:val="22"/>
          <w:szCs w:val="22"/>
          <w:lang w:val="es-CO"/>
        </w:rPr>
        <w:t>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w:t>
      </w:r>
    </w:p>
    <w:p w14:paraId="68BCD1ED" w14:textId="77777777" w:rsidR="00081708" w:rsidRPr="008D2838" w:rsidRDefault="00081708" w:rsidP="00081708">
      <w:pPr>
        <w:numPr>
          <w:ilvl w:val="0"/>
          <w:numId w:val="39"/>
        </w:numPr>
        <w:ind w:left="284" w:hanging="284"/>
        <w:contextualSpacing/>
        <w:jc w:val="both"/>
        <w:rPr>
          <w:rFonts w:ascii="Arial" w:hAnsi="Arial" w:cs="Arial"/>
          <w:color w:val="7030A0"/>
        </w:rPr>
      </w:pPr>
      <w:r w:rsidRPr="008D2838">
        <w:rPr>
          <w:rFonts w:ascii="Arial" w:hAnsi="Arial" w:cs="Arial"/>
          <w:color w:val="FF0000"/>
          <w:sz w:val="22"/>
          <w:szCs w:val="22"/>
          <w:lang w:val="es-CO"/>
        </w:rPr>
        <w:t xml:space="preserve"> </w:t>
      </w:r>
      <w:r w:rsidRPr="008D2838">
        <w:rPr>
          <w:rFonts w:ascii="Arial" w:eastAsia="MS Gothic" w:hAnsi="Arial" w:cs="Arial"/>
          <w:sz w:val="22"/>
          <w:szCs w:val="22"/>
          <w:lang w:val="es-CO"/>
        </w:rPr>
        <w:t xml:space="preserve">Consulta SECOP II – </w:t>
      </w:r>
      <w:r w:rsidRPr="008D2838">
        <w:rPr>
          <w:rFonts w:ascii="Arial" w:eastAsia="Times New Roman" w:hAnsi="Arial" w:cs="Arial"/>
          <w:sz w:val="22"/>
          <w:szCs w:val="22"/>
          <w:lang w:val="es-CO" w:eastAsia="es-CO"/>
        </w:rPr>
        <w:t>Contrato</w:t>
      </w:r>
      <w:r w:rsidRPr="008D2838">
        <w:rPr>
          <w:rFonts w:ascii="Arial" w:hAnsi="Arial" w:cs="Arial"/>
          <w:sz w:val="22"/>
          <w:szCs w:val="22"/>
          <w:lang w:val="es-CO"/>
        </w:rPr>
        <w:t xml:space="preserve"> 302 del 1 de septiembre de 2021.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w:t>
      </w:r>
    </w:p>
    <w:p w14:paraId="2ECE58F3" w14:textId="77777777" w:rsidR="00081708" w:rsidRPr="008D2838" w:rsidRDefault="00081708" w:rsidP="00081708">
      <w:pPr>
        <w:numPr>
          <w:ilvl w:val="0"/>
          <w:numId w:val="39"/>
        </w:numPr>
        <w:ind w:left="284" w:hanging="284"/>
        <w:contextualSpacing/>
        <w:jc w:val="both"/>
        <w:rPr>
          <w:rFonts w:ascii="Arial" w:hAnsi="Arial" w:cs="Arial"/>
          <w:sz w:val="22"/>
          <w:szCs w:val="22"/>
          <w:lang w:val="es-CO"/>
        </w:rPr>
      </w:pPr>
      <w:r w:rsidRPr="008D2838">
        <w:rPr>
          <w:rFonts w:ascii="Arial" w:eastAsia="MS Gothic" w:hAnsi="Arial" w:cs="Arial"/>
          <w:sz w:val="22"/>
          <w:szCs w:val="22"/>
          <w:lang w:val="es-CO"/>
        </w:rPr>
        <w:t xml:space="preserve">Consulta SECOP II – </w:t>
      </w:r>
      <w:r w:rsidRPr="008D2838">
        <w:rPr>
          <w:rFonts w:ascii="Arial" w:eastAsia="Times New Roman" w:hAnsi="Arial" w:cs="Arial"/>
          <w:sz w:val="22"/>
          <w:szCs w:val="22"/>
          <w:lang w:val="es-CO" w:eastAsia="es-CO"/>
        </w:rPr>
        <w:t>Contrato</w:t>
      </w:r>
      <w:r w:rsidRPr="008D2838">
        <w:rPr>
          <w:rFonts w:ascii="Arial" w:hAnsi="Arial" w:cs="Arial"/>
          <w:sz w:val="22"/>
          <w:szCs w:val="22"/>
          <w:lang w:val="es-CO"/>
        </w:rPr>
        <w:t xml:space="preserve"> 111 del 14 de febrero de 2022.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w:t>
      </w:r>
    </w:p>
    <w:p w14:paraId="3D3732AD" w14:textId="77777777" w:rsidR="00081708" w:rsidRPr="006C3058" w:rsidRDefault="00081708" w:rsidP="00081708">
      <w:pPr>
        <w:contextualSpacing/>
        <w:jc w:val="both"/>
        <w:textAlignment w:val="baseline"/>
        <w:rPr>
          <w:rFonts w:ascii="Arial" w:eastAsia="Times New Roman" w:hAnsi="Arial" w:cs="Arial"/>
          <w:sz w:val="22"/>
          <w:szCs w:val="22"/>
          <w:lang w:val="es-CO" w:eastAsia="es-ES_tradnl"/>
        </w:rPr>
      </w:pPr>
    </w:p>
    <w:p w14:paraId="099FECDE" w14:textId="77777777" w:rsidR="006C3058" w:rsidRPr="006C3058" w:rsidRDefault="006C3058" w:rsidP="006C3058">
      <w:pPr>
        <w:pStyle w:val="Ttulo2"/>
        <w:spacing w:before="0"/>
        <w:contextualSpacing/>
        <w:jc w:val="both"/>
        <w:rPr>
          <w:rFonts w:ascii="Arial" w:hAnsi="Arial" w:cs="Arial"/>
          <w:b/>
          <w:bCs/>
          <w:color w:val="auto"/>
          <w:sz w:val="22"/>
          <w:szCs w:val="22"/>
          <w:lang w:val="es-CO"/>
        </w:rPr>
      </w:pPr>
      <w:r w:rsidRPr="006C3058">
        <w:rPr>
          <w:rFonts w:ascii="Arial" w:hAnsi="Arial" w:cs="Arial"/>
          <w:b/>
          <w:bCs/>
          <w:color w:val="auto"/>
          <w:sz w:val="22"/>
          <w:szCs w:val="22"/>
        </w:rPr>
        <w:t>EVENTO DE RIESGO 9.17.</w:t>
      </w:r>
      <w:r w:rsidRPr="006C3058">
        <w:rPr>
          <w:rFonts w:ascii="Arial" w:hAnsi="Arial" w:cs="Arial"/>
          <w:color w:val="auto"/>
          <w:sz w:val="22"/>
          <w:szCs w:val="22"/>
        </w:rPr>
        <w:t xml:space="preserve"> “</w:t>
      </w:r>
      <w:r w:rsidRPr="006C3058">
        <w:rPr>
          <w:rFonts w:ascii="Arial" w:hAnsi="Arial" w:cs="Arial"/>
          <w:i/>
          <w:iCs/>
          <w:color w:val="auto"/>
          <w:sz w:val="22"/>
          <w:szCs w:val="22"/>
        </w:rPr>
        <w:t>Suscripción, modificación o ejecución de contratos cuyo objeto o actividades contractuales no aseguren la prestación del servicio en las condiciones definidas por la normatividad vigente, no cumplan con los fines para los cuales están destinados los recursos, o no aseguren el cumplimiento de metas de continuidad, cobertura y calidad en los servicios”</w:t>
      </w:r>
      <w:r w:rsidRPr="006C3058">
        <w:rPr>
          <w:rFonts w:ascii="Arial" w:hAnsi="Arial" w:cs="Arial"/>
          <w:color w:val="auto"/>
          <w:sz w:val="22"/>
          <w:szCs w:val="22"/>
        </w:rPr>
        <w:t>.</w:t>
      </w:r>
    </w:p>
    <w:p w14:paraId="574EC834" w14:textId="77777777" w:rsidR="006C3058" w:rsidRPr="008D2838" w:rsidRDefault="006C3058" w:rsidP="006C3058">
      <w:pPr>
        <w:jc w:val="both"/>
        <w:rPr>
          <w:rFonts w:ascii="Arial" w:hAnsi="Arial" w:cs="Arial"/>
        </w:rPr>
      </w:pPr>
    </w:p>
    <w:p w14:paraId="04635EA4" w14:textId="77777777" w:rsidR="006C3058" w:rsidRPr="008D2838" w:rsidRDefault="006C3058" w:rsidP="006C3058">
      <w:pPr>
        <w:numPr>
          <w:ilvl w:val="0"/>
          <w:numId w:val="16"/>
        </w:numPr>
        <w:ind w:left="426" w:hanging="426"/>
        <w:contextualSpacing/>
        <w:jc w:val="both"/>
        <w:outlineLvl w:val="2"/>
        <w:rPr>
          <w:rFonts w:ascii="Arial" w:hAnsi="Arial" w:cs="Arial"/>
          <w:b/>
          <w:i/>
          <w:sz w:val="22"/>
          <w:szCs w:val="22"/>
          <w:lang w:val="es-CO"/>
        </w:rPr>
      </w:pPr>
      <w:r w:rsidRPr="008D2838">
        <w:rPr>
          <w:rFonts w:ascii="Arial" w:hAnsi="Arial" w:cs="Arial"/>
          <w:b/>
          <w:i/>
          <w:sz w:val="22"/>
          <w:szCs w:val="22"/>
          <w:lang w:val="es-CO"/>
        </w:rPr>
        <w:t>Entrega extemporánea de la dotación Ley 70 de 1988 de las vigencias 2015-2019.</w:t>
      </w:r>
    </w:p>
    <w:p w14:paraId="733274B2"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r w:rsidRPr="008D2838">
        <w:rPr>
          <w:rFonts w:ascii="Arial" w:eastAsia="Times New Roman" w:hAnsi="Arial" w:cs="Arial"/>
          <w:sz w:val="22"/>
          <w:szCs w:val="22"/>
          <w:lang w:val="es-CO" w:eastAsia="es-ES_tradnl"/>
        </w:rPr>
        <w:t> </w:t>
      </w:r>
    </w:p>
    <w:p w14:paraId="71B3B690"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sz w:val="22"/>
          <w:szCs w:val="22"/>
          <w:lang w:val="es-CO" w:eastAsia="es-ES_tradnl"/>
        </w:rPr>
        <w:t>La dotación es el derecho a recibir de forma material calzado y vestido apropiado para las labores que desempeñen los empleados públicos del nivel territorial del Sector Educación que devenguen una remuneración mensual inferior a dos veces el salario mínimo legal mensual vigente a partir de la expedición del Decreto 1919 de 2002, en los términos previstos en la Ley 70 de 1988 y el Decreto reglamentario 1978 de 1989.</w:t>
      </w:r>
    </w:p>
    <w:p w14:paraId="166FB3B7"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p>
    <w:p w14:paraId="564E41A1"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sz w:val="22"/>
          <w:szCs w:val="22"/>
          <w:lang w:val="es-CO" w:eastAsia="es-ES_tradnl"/>
        </w:rPr>
        <w:lastRenderedPageBreak/>
        <w:t>Para lo cual, el Ministerio de Educación Nacional en virtud del artículo 15 de la Ley 715 de 2001 gira mensualmente los recursos del Sistema General de Participaciones del Sector Educación en el componente Prestación del Servicio para el pago de personal docente y administrativo de las instituciones educativas públicas y las contribuciones inherentes a la nómina y sus prestaciones sociales, con lo cual se debe financiar entre otros conceptos la dotación para los empleados públicos del nivel territorial que adquieran el derecho. Al respecto el Ministerio de Educación Nacional mediante la Directiva 04 de 2003 señaló:</w:t>
      </w:r>
    </w:p>
    <w:p w14:paraId="1338A8A4"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p>
    <w:p w14:paraId="7FAA454F" w14:textId="77777777" w:rsidR="006C3058" w:rsidRPr="008D2838" w:rsidRDefault="006C3058" w:rsidP="006C3058">
      <w:pPr>
        <w:ind w:left="567" w:right="49"/>
        <w:contextualSpacing/>
        <w:jc w:val="both"/>
        <w:textAlignment w:val="baseline"/>
        <w:rPr>
          <w:rFonts w:ascii="Arial" w:eastAsia="Times New Roman" w:hAnsi="Arial" w:cs="Arial"/>
          <w:sz w:val="18"/>
          <w:szCs w:val="18"/>
          <w:lang w:val="es-CO" w:eastAsia="es-ES_tradnl"/>
        </w:rPr>
      </w:pPr>
      <w:r w:rsidRPr="008D2838">
        <w:rPr>
          <w:rFonts w:ascii="Arial" w:eastAsia="MS Gothic" w:hAnsi="Arial" w:cs="Arial"/>
          <w:sz w:val="18"/>
          <w:szCs w:val="18"/>
          <w:lang w:val="es-CO" w:eastAsia="es-ES_tradnl"/>
        </w:rPr>
        <w:t>“</w:t>
      </w:r>
      <w:r w:rsidRPr="008D2838">
        <w:rPr>
          <w:rFonts w:ascii="Arial" w:eastAsia="MS Gothic" w:hAnsi="Arial" w:cs="Arial"/>
          <w:i/>
          <w:iCs/>
          <w:sz w:val="18"/>
          <w:szCs w:val="18"/>
          <w:lang w:val="es-CO" w:eastAsia="es-ES_tradnl"/>
        </w:rPr>
        <w:t>Los Departamentos y municipios certificados, con los recursos que se giran mensualmente para prestación de servicios, deberán hacer las respectivas reservas y provisiones para las prestaciones sociales que no son de exigibilidad mensual, tales como: primas de vacaciones, de navidad y dotación del personal docente y administrativo según Ley 70 de 1988</w:t>
      </w:r>
      <w:r w:rsidRPr="008D2838">
        <w:rPr>
          <w:rFonts w:ascii="Arial" w:eastAsia="MS Gothic" w:hAnsi="Arial" w:cs="Arial"/>
          <w:sz w:val="18"/>
          <w:szCs w:val="18"/>
          <w:lang w:val="es-CO" w:eastAsia="es-ES_tradnl"/>
        </w:rPr>
        <w:t>”.</w:t>
      </w:r>
    </w:p>
    <w:p w14:paraId="4231EE92"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p>
    <w:p w14:paraId="109A2F15"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sz w:val="22"/>
          <w:szCs w:val="22"/>
          <w:lang w:val="es-CO" w:eastAsia="es-ES_tradnl"/>
        </w:rPr>
        <w:t>Sobre el particular, la Dirección General de Apoyo Fiscal ha considerado que si las entidades territoriales por falta de planeación y administración del recurso para la entrega del calzado y vestuario conforme la ley, genera deudas por este concepto, estos pasivos no deben ser financiados con recursos excedentes del Sistema General de Participaciones, ni con cargo a los recursos del Presupuesto General de la Nación, al carecer de fundamento legal y constitucional de acuerdo al artículo 148 de la Ley 1450 de 2011 y 59 de la ley 1753 de 2015, dado que se originó por la omisión de la entidad territorial que contradijo el ordenamiento jurídico, posición que recogió el Ministerio de Educación Nacional hasta la expedición de la Circular 18 de 2016.</w:t>
      </w:r>
    </w:p>
    <w:p w14:paraId="060CFC85"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p>
    <w:p w14:paraId="3B401D29"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sz w:val="22"/>
          <w:szCs w:val="22"/>
          <w:lang w:val="es-CO" w:eastAsia="es-ES_tradnl"/>
        </w:rPr>
        <w:t>A partir de lo anterior, para la entrega de la dotación de las vigencias 2015 y 2016 la Entidad Territorial suscribió el Contrato de Suministro No. 433 del 23 de noviembre del 2016 y CDP No. 792 del 22 de junio de 2016, con el contratista Uniformes Industriales Fase S.A.S., por valor de $146 millones y cuyo objeto consistió en el “</w:t>
      </w:r>
      <w:r w:rsidRPr="008D2838">
        <w:rPr>
          <w:rFonts w:ascii="Arial" w:eastAsia="MS Gothic" w:hAnsi="Arial" w:cs="Arial"/>
          <w:i/>
          <w:iCs/>
          <w:sz w:val="22"/>
          <w:szCs w:val="22"/>
          <w:lang w:val="es-CO" w:eastAsia="es-ES_tradnl"/>
        </w:rPr>
        <w:t>Suministro de dotación de vestido y calzado de labor de docentes de aula del sector oficial del Distrito de Turbo”.</w:t>
      </w:r>
    </w:p>
    <w:p w14:paraId="25AB7321"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p>
    <w:p w14:paraId="3D6C8C89"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sz w:val="22"/>
          <w:szCs w:val="22"/>
          <w:lang w:val="es-CO" w:eastAsia="es-ES_tradnl"/>
        </w:rPr>
        <w:t>En 2017, se suscribió el Contrato de Suministro No. 270-2017 del 21 de septiembre de 2017, con la contratista Isabel Cristina Jaramillo Valencia, por valor de $139.5 millones y CDP No. 1077 del 10 de julio de 2017, cuyo objeto consistió en la “</w:t>
      </w:r>
      <w:r w:rsidRPr="008D2838">
        <w:rPr>
          <w:rFonts w:ascii="Arial" w:eastAsia="MS Gothic" w:hAnsi="Arial" w:cs="Arial"/>
          <w:i/>
          <w:iCs/>
          <w:sz w:val="22"/>
          <w:szCs w:val="22"/>
          <w:lang w:val="es-CO" w:eastAsia="es-ES_tradnl"/>
        </w:rPr>
        <w:t>Dotación de vestido y calzado de labor para docentes de aula del Distrito de Turbo”.</w:t>
      </w:r>
    </w:p>
    <w:p w14:paraId="08582B8E"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p>
    <w:p w14:paraId="398B9A83"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sz w:val="22"/>
          <w:szCs w:val="22"/>
          <w:lang w:val="es-CO" w:eastAsia="es-ES_tradnl"/>
        </w:rPr>
        <w:t xml:space="preserve">Para la vigencia 2018, en el SECOP se evidencia la suscripción del Contrato de Suministro No. BIS 245 -2018 del 6 de noviembre de 2018, con la contratista Ruth Mary Arias Castro, por valor de $125.4 millones y CDP No. 928 del 18 de junio de 2018, cuyo objeto era la </w:t>
      </w:r>
      <w:r w:rsidRPr="008D2838">
        <w:rPr>
          <w:rFonts w:ascii="Arial" w:eastAsia="MS Gothic" w:hAnsi="Arial" w:cs="Arial"/>
          <w:i/>
          <w:iCs/>
          <w:sz w:val="22"/>
          <w:szCs w:val="22"/>
          <w:lang w:val="es-CO" w:eastAsia="es-ES_tradnl"/>
        </w:rPr>
        <w:t>“Dotación de vestido y calzado de labor para docentes de aula del sector oficial del Distrito de Turbo”.</w:t>
      </w:r>
    </w:p>
    <w:p w14:paraId="3BB368B5"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p>
    <w:p w14:paraId="6CC4CEC7" w14:textId="77777777" w:rsidR="006C3058" w:rsidRPr="008D2838" w:rsidRDefault="006C3058" w:rsidP="006C3058">
      <w:pPr>
        <w:contextualSpacing/>
        <w:jc w:val="both"/>
        <w:textAlignment w:val="baseline"/>
        <w:rPr>
          <w:rFonts w:ascii="Arial" w:eastAsia="MS Gothic" w:hAnsi="Arial" w:cs="Arial"/>
          <w:lang w:val="es-CO" w:eastAsia="es-ES_tradnl"/>
        </w:rPr>
      </w:pPr>
      <w:r w:rsidRPr="008D2838">
        <w:rPr>
          <w:rFonts w:ascii="Arial" w:eastAsia="MS Gothic" w:hAnsi="Arial" w:cs="Arial"/>
          <w:sz w:val="22"/>
          <w:szCs w:val="22"/>
          <w:lang w:val="es-CO" w:eastAsia="es-ES_tradnl"/>
        </w:rPr>
        <w:t xml:space="preserve">Frente a la entrega de la dotación de la vigencia 2019, en la plataforma SECOP se evidencia que la Entidad Territorial llevó a cabo el proceso de selección SASI 11-2019, que derivó en la celebración del Contrato No. 427 del 1 de octubre de 2019, con la contratista Isabel Cristina Jaramillo Valencia con el siguiente objeto </w:t>
      </w:r>
      <w:r w:rsidRPr="008D2838">
        <w:rPr>
          <w:rFonts w:ascii="Arial" w:eastAsia="MS Gothic" w:hAnsi="Arial" w:cs="Arial"/>
          <w:i/>
          <w:iCs/>
          <w:sz w:val="22"/>
          <w:szCs w:val="22"/>
          <w:lang w:val="es-CO" w:eastAsia="es-ES_tradnl"/>
        </w:rPr>
        <w:t>“Dotación de vestido y calzado de labor para docentes de aula del sector oficial del municipio de Turbo”</w:t>
      </w:r>
      <w:r w:rsidRPr="008D2838">
        <w:rPr>
          <w:rFonts w:ascii="Arial" w:eastAsia="MS Gothic" w:hAnsi="Arial" w:cs="Arial"/>
          <w:sz w:val="22"/>
          <w:szCs w:val="22"/>
          <w:lang w:val="es-CO" w:eastAsia="es-ES_tradnl"/>
        </w:rPr>
        <w:t xml:space="preserve"> por el valor de $127.4 millones.</w:t>
      </w:r>
    </w:p>
    <w:p w14:paraId="553D9F21" w14:textId="77777777" w:rsidR="006C3058" w:rsidRPr="008D2838" w:rsidRDefault="006C3058" w:rsidP="006C3058">
      <w:pPr>
        <w:contextualSpacing/>
        <w:jc w:val="both"/>
        <w:textAlignment w:val="baseline"/>
        <w:rPr>
          <w:rFonts w:ascii="Arial" w:eastAsia="MS Gothic" w:hAnsi="Arial" w:cs="Arial"/>
          <w:sz w:val="22"/>
          <w:szCs w:val="22"/>
          <w:lang w:val="es-CO" w:eastAsia="es-ES_tradnl"/>
        </w:rPr>
      </w:pPr>
    </w:p>
    <w:p w14:paraId="380E9220" w14:textId="77777777" w:rsidR="006C3058" w:rsidRPr="008D2838" w:rsidRDefault="006C3058" w:rsidP="006C3058">
      <w:pPr>
        <w:contextualSpacing/>
        <w:jc w:val="both"/>
        <w:textAlignment w:val="baseline"/>
        <w:rPr>
          <w:rFonts w:ascii="Arial" w:eastAsia="MS Gothic" w:hAnsi="Arial" w:cs="Arial"/>
          <w:sz w:val="22"/>
          <w:szCs w:val="22"/>
          <w:lang w:val="es-CO" w:eastAsia="es-ES_tradnl"/>
        </w:rPr>
      </w:pPr>
      <w:r w:rsidRPr="008D2838">
        <w:rPr>
          <w:rFonts w:ascii="Arial" w:eastAsia="MS Gothic" w:hAnsi="Arial" w:cs="Arial"/>
          <w:sz w:val="22"/>
          <w:szCs w:val="22"/>
          <w:lang w:val="es-CO" w:eastAsia="es-ES_tradnl"/>
        </w:rPr>
        <w:t>En relación con la vigencia 2020, se cuenta con la carta de aceptación de la oferta del Contrato No. 363 del 18 de noviembre de 2020 cuyo objeto era la “</w:t>
      </w:r>
      <w:r w:rsidRPr="008D2838">
        <w:rPr>
          <w:rFonts w:ascii="Arial" w:eastAsia="MS Gothic" w:hAnsi="Arial" w:cs="Arial"/>
          <w:i/>
          <w:iCs/>
          <w:sz w:val="22"/>
          <w:szCs w:val="22"/>
          <w:lang w:val="es-CO" w:eastAsia="es-ES_tradnl"/>
        </w:rPr>
        <w:t>Dotación de vestido y calzado de labor para docente de aula del sector oficial del Distrito de Turbo</w:t>
      </w:r>
      <w:r w:rsidRPr="008D2838">
        <w:rPr>
          <w:rFonts w:ascii="Arial" w:eastAsia="MS Gothic" w:hAnsi="Arial" w:cs="Arial"/>
          <w:sz w:val="22"/>
          <w:szCs w:val="22"/>
          <w:lang w:val="es-CO" w:eastAsia="es-ES_tradnl"/>
        </w:rPr>
        <w:t xml:space="preserve">”. </w:t>
      </w:r>
      <w:r w:rsidRPr="008D2838">
        <w:rPr>
          <w:rFonts w:ascii="Arial" w:eastAsia="MS Gothic" w:hAnsi="Arial" w:cs="Arial"/>
          <w:sz w:val="22"/>
          <w:szCs w:val="22"/>
          <w:lang w:val="es-CO" w:eastAsia="es-ES_tradnl"/>
        </w:rPr>
        <w:lastRenderedPageBreak/>
        <w:t>Adicionalmente, el Distrito de Turbo suministró los soportes de la entrega de la dotación, en los que se tiene fecha de recibo de marzo de 2021, lo cual pone en evidencia la entrega tardía de esta.</w:t>
      </w:r>
    </w:p>
    <w:p w14:paraId="2208A700" w14:textId="77777777" w:rsidR="006C3058" w:rsidRPr="008D2838" w:rsidRDefault="006C3058" w:rsidP="006C3058">
      <w:pPr>
        <w:contextualSpacing/>
        <w:jc w:val="both"/>
        <w:textAlignment w:val="baseline"/>
        <w:rPr>
          <w:rFonts w:ascii="Arial" w:eastAsia="MS Gothic" w:hAnsi="Arial" w:cs="Arial"/>
          <w:sz w:val="22"/>
          <w:szCs w:val="22"/>
          <w:lang w:val="es-CO" w:eastAsia="es-ES_tradnl"/>
        </w:rPr>
      </w:pPr>
    </w:p>
    <w:p w14:paraId="40FB6884" w14:textId="77777777" w:rsidR="006C3058" w:rsidRPr="008D2838" w:rsidRDefault="006C3058" w:rsidP="006C3058">
      <w:pPr>
        <w:contextualSpacing/>
        <w:jc w:val="both"/>
        <w:textAlignment w:val="baseline"/>
        <w:rPr>
          <w:rFonts w:ascii="Arial" w:eastAsia="MS Gothic" w:hAnsi="Arial" w:cs="Arial"/>
          <w:sz w:val="22"/>
          <w:szCs w:val="22"/>
          <w:lang w:val="es-CO" w:eastAsia="es-ES_tradnl"/>
        </w:rPr>
      </w:pPr>
      <w:r w:rsidRPr="008D2838">
        <w:rPr>
          <w:rFonts w:ascii="Arial" w:eastAsia="MS Gothic" w:hAnsi="Arial" w:cs="Arial"/>
          <w:sz w:val="22"/>
          <w:szCs w:val="22"/>
          <w:lang w:val="es-CO" w:eastAsia="es-ES_tradnl"/>
        </w:rPr>
        <w:t>En relación con la vigencia 2021, en la plataforma SECOP II se encuentra publicada la invitación pública No. 080 que corresponde al proceso de selección de mínima cuantía para proveer la dotación del personal docente del Sector Educación. El proceso fue publicado en el SECOP II con el número MC-080-2021 por valor de $33.1 millones El 25 de noviembre de 2021 se aceptó la propuesta del contratista Jhobert Humberto López por valor de $22,4 millones, con quien se suscribiría el Contrato No. 351 del 2021.</w:t>
      </w:r>
    </w:p>
    <w:p w14:paraId="07E56EAB" w14:textId="77777777" w:rsidR="006C3058" w:rsidRPr="008D2838" w:rsidRDefault="006C3058" w:rsidP="006C3058">
      <w:pPr>
        <w:contextualSpacing/>
        <w:jc w:val="both"/>
        <w:textAlignment w:val="baseline"/>
        <w:rPr>
          <w:rFonts w:ascii="Arial" w:eastAsia="MS Gothic" w:hAnsi="Arial" w:cs="Arial"/>
          <w:sz w:val="22"/>
          <w:szCs w:val="22"/>
          <w:lang w:val="es-CO" w:eastAsia="es-ES_tradnl"/>
        </w:rPr>
      </w:pPr>
    </w:p>
    <w:p w14:paraId="07D33A04" w14:textId="77777777" w:rsidR="006C3058" w:rsidRPr="008D2838" w:rsidRDefault="006C3058" w:rsidP="006C3058">
      <w:pPr>
        <w:contextualSpacing/>
        <w:jc w:val="both"/>
        <w:textAlignment w:val="baseline"/>
        <w:rPr>
          <w:rFonts w:ascii="Arial" w:eastAsia="MS Gothic" w:hAnsi="Arial" w:cs="Arial"/>
          <w:sz w:val="22"/>
          <w:szCs w:val="22"/>
          <w:lang w:val="es-CO" w:eastAsia="es-ES_tradnl"/>
        </w:rPr>
      </w:pPr>
      <w:r w:rsidRPr="008D2838">
        <w:rPr>
          <w:rFonts w:ascii="Arial" w:eastAsia="MS Gothic" w:hAnsi="Arial" w:cs="Arial"/>
          <w:sz w:val="22"/>
          <w:szCs w:val="22"/>
          <w:lang w:val="es-CO" w:eastAsia="es-ES_tradnl"/>
        </w:rPr>
        <w:t>Llama la atención que según el acta de liquidación publicada por la Entidad Territorial en SECOP, el Contrato No. 351 se dio por terminado el 23 de diciembre de 2021, aludiendo a que los bienes contratados fueron entregados a satisfacción y que la fecha de finalización del contrato era del 18 de diciembre. No obstante, se encontraron publicadas en SECOP, 23 actas de entrega de las tres dotaciones de la vigencia 2021, las cuales tienen como fecha de entrega el 18 de enero del 2022.</w:t>
      </w:r>
    </w:p>
    <w:p w14:paraId="4D655F27" w14:textId="77777777" w:rsidR="006C3058" w:rsidRPr="008D2838" w:rsidRDefault="006C3058" w:rsidP="006C3058">
      <w:pPr>
        <w:contextualSpacing/>
        <w:jc w:val="both"/>
        <w:textAlignment w:val="baseline"/>
        <w:rPr>
          <w:rFonts w:ascii="Arial" w:eastAsia="MS Gothic" w:hAnsi="Arial" w:cs="Arial"/>
          <w:sz w:val="22"/>
          <w:szCs w:val="22"/>
          <w:lang w:val="es-CO" w:eastAsia="es-ES_tradnl"/>
        </w:rPr>
      </w:pPr>
    </w:p>
    <w:p w14:paraId="450041BF" w14:textId="77777777" w:rsidR="006C3058" w:rsidRPr="008D2838" w:rsidRDefault="006C3058" w:rsidP="006C3058">
      <w:pPr>
        <w:contextualSpacing/>
        <w:jc w:val="both"/>
        <w:textAlignment w:val="baseline"/>
        <w:rPr>
          <w:rFonts w:ascii="Arial" w:eastAsia="MS Gothic" w:hAnsi="Arial" w:cs="Arial"/>
          <w:sz w:val="22"/>
          <w:szCs w:val="22"/>
          <w:lang w:val="es-CO" w:eastAsia="es-ES_tradnl"/>
        </w:rPr>
      </w:pPr>
      <w:r w:rsidRPr="008D2838">
        <w:rPr>
          <w:rFonts w:ascii="Arial" w:eastAsia="MS Gothic" w:hAnsi="Arial" w:cs="Arial"/>
          <w:sz w:val="22"/>
          <w:szCs w:val="22"/>
          <w:lang w:val="es-CO" w:eastAsia="es-ES_tradnl"/>
        </w:rPr>
        <w:t>Respecto a la vigencia 2022, una vez revisada la plataforma SECOP II se identificó que la Entidad territorial dio apertura al proceso No. SAI-034-2022 para la contratación de la dotación de los docentes del Distrito de Turbo de la vigencia 2022, mediante selección abreviada subasta inversa. No obstante, se evidenció que este proceso fue cancelado por la Entidad Territorial. Posteriormente, la Entidad abrió el proceso de selección de mínima cuantía No. CMC-075-2022, mediante el cual se celebró el Contrato No. 256 del 20 de diciembre de 2022 para la contratación de la dotación de vestido y calzado de los docentes. De acuerdo con los estudios previos y la minuta, este Contrato se celebró para entrega de las tres dotaciones de la vigencia, por valor de $44,99 millones.</w:t>
      </w:r>
    </w:p>
    <w:p w14:paraId="35E7096A" w14:textId="77777777" w:rsidR="006C3058" w:rsidRPr="008D2838" w:rsidRDefault="006C3058" w:rsidP="006C3058">
      <w:pPr>
        <w:contextualSpacing/>
        <w:jc w:val="both"/>
        <w:textAlignment w:val="baseline"/>
        <w:rPr>
          <w:rFonts w:ascii="Arial" w:eastAsia="MS Gothic" w:hAnsi="Arial" w:cs="Arial"/>
          <w:sz w:val="22"/>
          <w:szCs w:val="22"/>
          <w:lang w:val="es-CO" w:eastAsia="es-ES_tradnl"/>
        </w:rPr>
      </w:pPr>
    </w:p>
    <w:p w14:paraId="7B60F6DB" w14:textId="77777777" w:rsidR="006C3058" w:rsidRPr="008D2838" w:rsidRDefault="006C3058" w:rsidP="006C3058">
      <w:pPr>
        <w:contextualSpacing/>
        <w:jc w:val="both"/>
        <w:textAlignment w:val="baseline"/>
        <w:rPr>
          <w:rFonts w:ascii="Arial" w:eastAsia="MS Gothic" w:hAnsi="Arial" w:cs="Arial"/>
          <w:lang w:val="es-CO" w:eastAsia="es-ES_tradnl"/>
        </w:rPr>
      </w:pPr>
      <w:r w:rsidRPr="008D2838">
        <w:rPr>
          <w:rFonts w:ascii="Arial" w:eastAsia="MS Gothic" w:hAnsi="Arial" w:cs="Arial"/>
          <w:sz w:val="22"/>
          <w:szCs w:val="22"/>
          <w:lang w:val="es-CO" w:eastAsia="es-ES_tradnl"/>
        </w:rPr>
        <w:t>Ahora bien, teniendo en cuenta las fechas de celebración de los Contratos se evidencia que el Distrito desconoció los plazos de entrega de la dotación, puesto que los Contratos fueron celebrados con posterioridad a las primeras dos fechas de entrega para cada una de las vigencias, esto es el 30 de abril y 30 de agosto, y en 2015 para las tres entregas.</w:t>
      </w:r>
    </w:p>
    <w:p w14:paraId="51EB171C"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p>
    <w:p w14:paraId="42E26836"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r w:rsidRPr="008D2838">
        <w:rPr>
          <w:rFonts w:ascii="Arial" w:eastAsia="MS Gothic" w:hAnsi="Arial" w:cs="Arial"/>
          <w:sz w:val="22"/>
          <w:szCs w:val="22"/>
          <w:lang w:val="es-CO" w:eastAsia="es-ES_tradnl"/>
        </w:rPr>
        <w:t>En consecuencia, se evidencia que la omisión y falta de planeación contractual de la Entidad Territorial, origina una situación de riesgo sobre el cumplimiento de las obligaciones laborales, exponiendo a la Entidad a eventuales demandas o generación de deudas del Sector. Estas acciones vulneran lo descrito por la Ley 70 de 1988 y el Decreto reglamentario 1978 de 1989 que determina que esta prestación deberá reconocerse cada cuatro (4) meses durante la respectiva vigencia fiscal.</w:t>
      </w:r>
    </w:p>
    <w:p w14:paraId="02C4ADB2" w14:textId="77777777" w:rsidR="006C3058" w:rsidRPr="008D2838" w:rsidRDefault="006C3058" w:rsidP="006C3058">
      <w:pPr>
        <w:contextualSpacing/>
        <w:jc w:val="both"/>
        <w:textAlignment w:val="baseline"/>
        <w:rPr>
          <w:rFonts w:ascii="Arial" w:eastAsia="Times New Roman" w:hAnsi="Arial" w:cs="Arial"/>
          <w:sz w:val="22"/>
          <w:szCs w:val="22"/>
          <w:lang w:val="es-CO" w:eastAsia="es-ES_tradnl"/>
        </w:rPr>
      </w:pPr>
    </w:p>
    <w:p w14:paraId="4E48437B" w14:textId="77777777" w:rsidR="006C3058" w:rsidRPr="008D2838" w:rsidRDefault="006C3058" w:rsidP="006C3058">
      <w:pPr>
        <w:contextualSpacing/>
        <w:jc w:val="both"/>
        <w:textAlignment w:val="baseline"/>
        <w:rPr>
          <w:rFonts w:ascii="Arial" w:eastAsia="Times New Roman" w:hAnsi="Arial" w:cs="Arial"/>
          <w:lang w:val="es-CO" w:eastAsia="es-ES_tradnl"/>
        </w:rPr>
      </w:pPr>
      <w:r w:rsidRPr="008D2838">
        <w:rPr>
          <w:rFonts w:ascii="Arial" w:eastAsia="MS Gothic" w:hAnsi="Arial" w:cs="Arial"/>
          <w:b/>
          <w:bCs/>
          <w:sz w:val="22"/>
          <w:szCs w:val="22"/>
          <w:lang w:val="es-CO" w:eastAsia="es-ES_tradnl"/>
        </w:rPr>
        <w:t xml:space="preserve">Evidencia: </w:t>
      </w:r>
      <w:r w:rsidRPr="008D2838">
        <w:rPr>
          <w:rFonts w:ascii="Arial" w:eastAsia="Times New Roman" w:hAnsi="Arial" w:cs="Arial"/>
          <w:color w:val="000000" w:themeColor="text1"/>
          <w:sz w:val="22"/>
          <w:szCs w:val="22"/>
          <w:lang w:val="es-CO" w:eastAsia="es-ES_tradnl"/>
        </w:rPr>
        <w:t>Obra en el expediente digital en el Sistema de Información Electrónica Documental – SIED del Ministerio de Hacienda y Crédito Público No. 18/2020/D028-PREDI el siguiente material probatorio:</w:t>
      </w:r>
    </w:p>
    <w:p w14:paraId="455199E8" w14:textId="77777777" w:rsidR="006C3058" w:rsidRPr="008D2838" w:rsidRDefault="006C3058" w:rsidP="006C3058">
      <w:pPr>
        <w:numPr>
          <w:ilvl w:val="0"/>
          <w:numId w:val="43"/>
        </w:numPr>
        <w:ind w:left="426" w:hanging="426"/>
        <w:contextualSpacing/>
        <w:jc w:val="both"/>
        <w:rPr>
          <w:rFonts w:ascii="Arial" w:hAnsi="Arial" w:cs="Arial"/>
          <w:lang w:val="es-CO" w:eastAsia="es-ES_tradnl"/>
        </w:rPr>
      </w:pPr>
      <w:r w:rsidRPr="008D2838">
        <w:rPr>
          <w:rFonts w:ascii="Arial" w:hAnsi="Arial" w:cs="Arial"/>
          <w:sz w:val="22"/>
          <w:szCs w:val="22"/>
          <w:lang w:val="es-CO"/>
        </w:rPr>
        <w:t xml:space="preserve">Contrato de Suministro No. 433 del 23 de noviembre del 2016. Archivado Físicamente </w:t>
      </w:r>
      <w:r w:rsidRPr="008D2838">
        <w:rPr>
          <w:rFonts w:ascii="Arial" w:hAnsi="Arial" w:cs="Arial"/>
          <w:color w:val="000000" w:themeColor="text1"/>
          <w:sz w:val="22"/>
          <w:szCs w:val="22"/>
          <w:lang w:val="es-CO"/>
        </w:rPr>
        <w:t>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color w:val="000000" w:themeColor="text1"/>
          <w:sz w:val="22"/>
          <w:szCs w:val="22"/>
          <w:lang w:val="es-CO"/>
        </w:rPr>
        <w:t xml:space="preserve">”. </w:t>
      </w:r>
      <w:r w:rsidRPr="008D2838">
        <w:rPr>
          <w:rFonts w:ascii="Arial" w:hAnsi="Arial" w:cs="Arial"/>
          <w:sz w:val="22"/>
          <w:szCs w:val="22"/>
          <w:lang w:val="es-CO"/>
        </w:rPr>
        <w:t xml:space="preserve">Radicado No. 1-2018-022545 del 12 de marzo de 2018. </w:t>
      </w:r>
    </w:p>
    <w:p w14:paraId="668A2A0D" w14:textId="77777777" w:rsidR="006C3058" w:rsidRPr="008D2838" w:rsidRDefault="006C3058" w:rsidP="006C3058">
      <w:pPr>
        <w:numPr>
          <w:ilvl w:val="0"/>
          <w:numId w:val="43"/>
        </w:numPr>
        <w:ind w:left="426" w:hanging="426"/>
        <w:contextualSpacing/>
        <w:jc w:val="both"/>
        <w:rPr>
          <w:rFonts w:ascii="Arial" w:eastAsia="MS Gothic" w:hAnsi="Arial" w:cs="Arial"/>
          <w:sz w:val="22"/>
          <w:szCs w:val="22"/>
          <w:lang w:val="es-CO"/>
        </w:rPr>
      </w:pPr>
      <w:r w:rsidRPr="008D2838">
        <w:rPr>
          <w:rFonts w:ascii="Arial" w:hAnsi="Arial" w:cs="Arial"/>
          <w:sz w:val="22"/>
          <w:szCs w:val="22"/>
          <w:lang w:val="es-CO"/>
        </w:rPr>
        <w:t xml:space="preserve">Contrato de Suministro No. 270 de 2017 del 21 de septiembre de 2017. </w:t>
      </w:r>
      <w:r w:rsidRPr="008D2838">
        <w:rPr>
          <w:rFonts w:ascii="Arial" w:hAnsi="Arial" w:cs="Arial"/>
          <w:color w:val="000000" w:themeColor="text1"/>
          <w:sz w:val="22"/>
          <w:szCs w:val="22"/>
          <w:lang w:val="es-CO"/>
        </w:rPr>
        <w:t>Sector Educación. Distrito de Turbo – Antioquia. Serie “</w:t>
      </w:r>
      <w:r w:rsidRPr="008D2838">
        <w:rPr>
          <w:rFonts w:ascii="Arial" w:hAnsi="Arial" w:cs="Arial"/>
          <w:i/>
          <w:iCs/>
          <w:color w:val="000000" w:themeColor="text1"/>
          <w:sz w:val="22"/>
          <w:szCs w:val="22"/>
          <w:lang w:val="es-CO"/>
        </w:rPr>
        <w:t xml:space="preserve">Historial de seguimiento y control a los </w:t>
      </w:r>
      <w:r w:rsidRPr="008D2838">
        <w:rPr>
          <w:rFonts w:ascii="Arial" w:hAnsi="Arial" w:cs="Arial"/>
          <w:i/>
          <w:iCs/>
          <w:color w:val="000000" w:themeColor="text1"/>
          <w:sz w:val="22"/>
          <w:szCs w:val="22"/>
          <w:lang w:val="es-CO"/>
        </w:rPr>
        <w:lastRenderedPageBreak/>
        <w:t>recursos del Sistema General de Participaciones</w:t>
      </w:r>
      <w:r w:rsidRPr="008D2838">
        <w:rPr>
          <w:rFonts w:ascii="Arial" w:hAnsi="Arial" w:cs="Arial"/>
          <w:color w:val="000000" w:themeColor="text1"/>
          <w:sz w:val="22"/>
          <w:szCs w:val="22"/>
          <w:lang w:val="es-CO"/>
        </w:rPr>
        <w:t xml:space="preserve">”. </w:t>
      </w:r>
      <w:r w:rsidRPr="008D2838">
        <w:rPr>
          <w:rFonts w:ascii="Arial" w:hAnsi="Arial" w:cs="Arial"/>
          <w:sz w:val="22"/>
          <w:szCs w:val="22"/>
          <w:lang w:val="es-CO"/>
        </w:rPr>
        <w:t xml:space="preserve">Radicado No. 1-2019-060458 del 2 de julio de 2021. </w:t>
      </w:r>
    </w:p>
    <w:p w14:paraId="5D7C2D95" w14:textId="77777777" w:rsidR="006C3058" w:rsidRPr="008D2838" w:rsidRDefault="006C3058" w:rsidP="006C3058">
      <w:pPr>
        <w:numPr>
          <w:ilvl w:val="0"/>
          <w:numId w:val="43"/>
        </w:numPr>
        <w:ind w:left="426" w:hanging="426"/>
        <w:contextualSpacing/>
        <w:jc w:val="both"/>
        <w:rPr>
          <w:rFonts w:ascii="Arial" w:eastAsia="MS Gothic" w:hAnsi="Arial" w:cs="Arial"/>
          <w:sz w:val="22"/>
          <w:szCs w:val="22"/>
          <w:lang w:val="es-CO"/>
        </w:rPr>
      </w:pPr>
      <w:r w:rsidRPr="008D2838">
        <w:rPr>
          <w:rFonts w:ascii="Arial" w:hAnsi="Arial" w:cs="Arial"/>
          <w:sz w:val="22"/>
          <w:szCs w:val="22"/>
          <w:lang w:val="es-CO"/>
        </w:rPr>
        <w:t xml:space="preserve">Contrato de Suministro No. BIS 245 -2018 del 6 de noviembre de 2018. </w:t>
      </w:r>
      <w:r w:rsidRPr="008D2838">
        <w:rPr>
          <w:rFonts w:ascii="Arial" w:hAnsi="Arial" w:cs="Arial"/>
          <w:color w:val="000000" w:themeColor="text1"/>
          <w:sz w:val="22"/>
          <w:szCs w:val="22"/>
          <w:lang w:val="es-CO"/>
        </w:rPr>
        <w:t>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color w:val="000000" w:themeColor="text1"/>
          <w:sz w:val="22"/>
          <w:szCs w:val="22"/>
          <w:lang w:val="es-CO"/>
        </w:rPr>
        <w:t xml:space="preserve">”. </w:t>
      </w:r>
      <w:r w:rsidRPr="008D2838">
        <w:rPr>
          <w:rFonts w:ascii="Arial" w:hAnsi="Arial" w:cs="Arial"/>
          <w:sz w:val="22"/>
          <w:szCs w:val="22"/>
          <w:lang w:val="es-CO"/>
        </w:rPr>
        <w:t xml:space="preserve">Radicado No. 1-2019-060458 del 2 de julio de 2021. </w:t>
      </w:r>
    </w:p>
    <w:p w14:paraId="7FED8671" w14:textId="77777777" w:rsidR="006C3058" w:rsidRPr="008D2838" w:rsidRDefault="006C3058" w:rsidP="006C3058">
      <w:pPr>
        <w:numPr>
          <w:ilvl w:val="0"/>
          <w:numId w:val="43"/>
        </w:numPr>
        <w:ind w:left="426" w:hanging="426"/>
        <w:contextualSpacing/>
        <w:jc w:val="both"/>
        <w:rPr>
          <w:rFonts w:ascii="Arial" w:hAnsi="Arial" w:cs="Arial"/>
          <w:sz w:val="22"/>
          <w:szCs w:val="22"/>
          <w:lang w:val="es-CO"/>
        </w:rPr>
      </w:pPr>
      <w:r w:rsidRPr="008D2838">
        <w:rPr>
          <w:rFonts w:ascii="Arial" w:hAnsi="Arial" w:cs="Arial"/>
          <w:sz w:val="22"/>
          <w:szCs w:val="22"/>
          <w:lang w:val="es-CO"/>
        </w:rPr>
        <w:t xml:space="preserve">Contrato No. 427 del 01 de octubre del 2019. </w:t>
      </w:r>
      <w:r w:rsidRPr="008D2838">
        <w:rPr>
          <w:rFonts w:ascii="Arial" w:hAnsi="Arial" w:cs="Arial"/>
          <w:color w:val="000000" w:themeColor="text1"/>
          <w:sz w:val="22"/>
          <w:szCs w:val="22"/>
          <w:lang w:val="es-CO"/>
        </w:rPr>
        <w:t>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color w:val="000000" w:themeColor="text1"/>
          <w:sz w:val="22"/>
          <w:szCs w:val="22"/>
          <w:lang w:val="es-CO"/>
        </w:rPr>
        <w:t xml:space="preserve">”. </w:t>
      </w:r>
      <w:r w:rsidRPr="008D2838">
        <w:rPr>
          <w:rFonts w:ascii="Arial" w:hAnsi="Arial" w:cs="Arial"/>
          <w:sz w:val="22"/>
          <w:szCs w:val="22"/>
          <w:lang w:val="es-CO"/>
        </w:rPr>
        <w:t xml:space="preserve">Radicado No. 1-2021-075798 del 31 de agosto de 2021. </w:t>
      </w:r>
    </w:p>
    <w:p w14:paraId="564B8AAB" w14:textId="77777777" w:rsidR="006C3058" w:rsidRPr="008D2838" w:rsidRDefault="006C3058" w:rsidP="006C3058">
      <w:pPr>
        <w:numPr>
          <w:ilvl w:val="0"/>
          <w:numId w:val="43"/>
        </w:numPr>
        <w:ind w:left="426" w:hanging="426"/>
        <w:contextualSpacing/>
        <w:jc w:val="both"/>
        <w:rPr>
          <w:rFonts w:ascii="Arial" w:hAnsi="Arial" w:cs="Arial"/>
        </w:rPr>
      </w:pPr>
      <w:r w:rsidRPr="008D2838">
        <w:rPr>
          <w:rFonts w:ascii="Arial" w:hAnsi="Arial" w:cs="Arial"/>
          <w:sz w:val="22"/>
          <w:szCs w:val="22"/>
          <w:lang w:val="es-CO"/>
        </w:rPr>
        <w:t>Proceso de contratación No. SASI 11-2019 Dotación 2019 en SECOP I</w:t>
      </w:r>
      <w:r w:rsidRPr="008D2838">
        <w:rPr>
          <w:rFonts w:ascii="Arial" w:hAnsi="Arial" w:cs="Arial"/>
          <w:color w:val="000000" w:themeColor="text1"/>
          <w:sz w:val="22"/>
          <w:szCs w:val="22"/>
          <w:lang w:val="es-CO"/>
        </w:rPr>
        <w:t>. 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color w:val="000000" w:themeColor="text1"/>
          <w:sz w:val="22"/>
          <w:szCs w:val="22"/>
          <w:lang w:val="es-CO"/>
        </w:rPr>
        <w:t>”</w:t>
      </w:r>
      <w:r w:rsidRPr="008D2838">
        <w:rPr>
          <w:rFonts w:ascii="Arial" w:hAnsi="Arial" w:cs="Arial"/>
          <w:sz w:val="22"/>
          <w:szCs w:val="22"/>
          <w:lang w:val="es-CO"/>
        </w:rPr>
        <w:t xml:space="preserve">. </w:t>
      </w:r>
    </w:p>
    <w:p w14:paraId="2B13B86F" w14:textId="77777777" w:rsidR="006C3058" w:rsidRPr="008D2838" w:rsidRDefault="006C3058" w:rsidP="006C3058">
      <w:pPr>
        <w:numPr>
          <w:ilvl w:val="0"/>
          <w:numId w:val="43"/>
        </w:numPr>
        <w:ind w:left="426" w:hanging="426"/>
        <w:contextualSpacing/>
        <w:jc w:val="both"/>
        <w:rPr>
          <w:rFonts w:ascii="Arial" w:hAnsi="Arial" w:cs="Arial"/>
        </w:rPr>
      </w:pPr>
      <w:r w:rsidRPr="008D2838">
        <w:rPr>
          <w:rFonts w:ascii="Arial" w:hAnsi="Arial" w:cs="Arial"/>
          <w:sz w:val="22"/>
          <w:szCs w:val="22"/>
          <w:lang w:val="es-CO"/>
        </w:rPr>
        <w:t xml:space="preserve">Carta de aceptación de la oferta del Contrato No. 363 del 18 de noviembre de 2020. </w:t>
      </w:r>
      <w:r w:rsidRPr="008D2838">
        <w:rPr>
          <w:rFonts w:ascii="Arial" w:hAnsi="Arial" w:cs="Arial"/>
          <w:color w:val="000000" w:themeColor="text1"/>
          <w:sz w:val="22"/>
          <w:szCs w:val="22"/>
          <w:lang w:val="es-CO"/>
        </w:rPr>
        <w:t>Alcaldía de Turbo, Antioquia. 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color w:val="000000" w:themeColor="text1"/>
          <w:sz w:val="22"/>
          <w:szCs w:val="22"/>
          <w:lang w:val="es-CO"/>
        </w:rPr>
        <w:t xml:space="preserve">”. </w:t>
      </w:r>
      <w:r w:rsidRPr="008D2838">
        <w:rPr>
          <w:rFonts w:ascii="Arial" w:hAnsi="Arial" w:cs="Arial"/>
          <w:sz w:val="22"/>
          <w:szCs w:val="22"/>
          <w:lang w:val="es-CO"/>
        </w:rPr>
        <w:t xml:space="preserve">Radicado No. 1-2021-075798 del 31 de agosto de 2021. </w:t>
      </w:r>
    </w:p>
    <w:p w14:paraId="2E974CE6" w14:textId="77777777" w:rsidR="006C3058" w:rsidRPr="008D2838" w:rsidRDefault="006C3058" w:rsidP="006C3058">
      <w:pPr>
        <w:numPr>
          <w:ilvl w:val="0"/>
          <w:numId w:val="43"/>
        </w:numPr>
        <w:ind w:left="426" w:hanging="426"/>
        <w:contextualSpacing/>
        <w:jc w:val="both"/>
        <w:rPr>
          <w:rFonts w:ascii="Arial" w:hAnsi="Arial" w:cs="Arial"/>
        </w:rPr>
      </w:pPr>
      <w:r w:rsidRPr="008D2838">
        <w:rPr>
          <w:rFonts w:ascii="Arial" w:hAnsi="Arial" w:cs="Arial"/>
          <w:sz w:val="22"/>
          <w:szCs w:val="22"/>
          <w:lang w:val="es-CO"/>
        </w:rPr>
        <w:t xml:space="preserve">Proceso de contratación No. MC 084-2020 del Contrato </w:t>
      </w:r>
      <w:r w:rsidRPr="008D2838">
        <w:rPr>
          <w:rFonts w:ascii="Arial" w:eastAsia="MS Gothic" w:hAnsi="Arial" w:cs="Arial"/>
          <w:sz w:val="22"/>
          <w:szCs w:val="22"/>
          <w:lang w:val="es-CO"/>
        </w:rPr>
        <w:t xml:space="preserve">363-2020 </w:t>
      </w:r>
      <w:r w:rsidRPr="008D2838">
        <w:rPr>
          <w:rFonts w:ascii="Arial" w:hAnsi="Arial" w:cs="Arial"/>
          <w:sz w:val="22"/>
          <w:szCs w:val="22"/>
          <w:lang w:val="es-CO"/>
        </w:rPr>
        <w:t xml:space="preserve">Dotación 2020 en SECOP I. </w:t>
      </w:r>
      <w:r w:rsidRPr="008D2838">
        <w:rPr>
          <w:rFonts w:ascii="Arial" w:hAnsi="Arial" w:cs="Arial"/>
          <w:color w:val="000000" w:themeColor="text1"/>
          <w:sz w:val="22"/>
          <w:szCs w:val="22"/>
          <w:lang w:val="es-CO"/>
        </w:rPr>
        <w:t>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color w:val="000000" w:themeColor="text1"/>
          <w:sz w:val="22"/>
          <w:szCs w:val="22"/>
          <w:lang w:val="es-CO"/>
        </w:rPr>
        <w:t>”</w:t>
      </w:r>
      <w:r w:rsidRPr="008D2838">
        <w:rPr>
          <w:rFonts w:ascii="Arial" w:hAnsi="Arial" w:cs="Arial"/>
          <w:sz w:val="22"/>
          <w:szCs w:val="22"/>
          <w:lang w:val="es-CO"/>
        </w:rPr>
        <w:t xml:space="preserve">. </w:t>
      </w:r>
    </w:p>
    <w:p w14:paraId="7D6DCD79" w14:textId="77777777" w:rsidR="006C3058" w:rsidRPr="008D2838" w:rsidRDefault="006C3058" w:rsidP="006C3058">
      <w:pPr>
        <w:numPr>
          <w:ilvl w:val="0"/>
          <w:numId w:val="43"/>
        </w:numPr>
        <w:ind w:left="426" w:hanging="426"/>
        <w:contextualSpacing/>
        <w:jc w:val="both"/>
        <w:rPr>
          <w:rFonts w:ascii="Arial" w:hAnsi="Arial" w:cs="Arial"/>
          <w:color w:val="FF0000"/>
        </w:rPr>
      </w:pPr>
      <w:r w:rsidRPr="008D2838">
        <w:rPr>
          <w:rFonts w:ascii="Arial" w:hAnsi="Arial" w:cs="Arial"/>
          <w:sz w:val="22"/>
          <w:szCs w:val="22"/>
          <w:lang w:val="es-CO"/>
        </w:rPr>
        <w:t>Invitación Pública No. 080 del 8 de noviembre de 2021.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w:t>
      </w:r>
    </w:p>
    <w:p w14:paraId="78708474" w14:textId="77777777" w:rsidR="006C3058" w:rsidRPr="008D2838" w:rsidRDefault="006C3058" w:rsidP="006C3058">
      <w:pPr>
        <w:numPr>
          <w:ilvl w:val="0"/>
          <w:numId w:val="43"/>
        </w:numPr>
        <w:ind w:left="426" w:hanging="426"/>
        <w:contextualSpacing/>
        <w:jc w:val="both"/>
        <w:rPr>
          <w:rFonts w:ascii="Arial" w:hAnsi="Arial" w:cs="Arial"/>
          <w:sz w:val="22"/>
          <w:szCs w:val="22"/>
          <w:lang w:val="es-CO"/>
        </w:rPr>
      </w:pPr>
      <w:r w:rsidRPr="008D2838">
        <w:rPr>
          <w:rFonts w:ascii="Arial" w:hAnsi="Arial" w:cs="Arial"/>
          <w:sz w:val="22"/>
          <w:szCs w:val="22"/>
          <w:lang w:val="es-CO"/>
        </w:rPr>
        <w:t>Proceso de contratación No. MC-080-2021 Dotación 2021 en SECOP II</w:t>
      </w:r>
      <w:r w:rsidRPr="008D2838">
        <w:rPr>
          <w:rFonts w:ascii="Arial" w:hAnsi="Arial" w:cs="Arial"/>
          <w:color w:val="000000" w:themeColor="text1"/>
          <w:sz w:val="22"/>
          <w:szCs w:val="22"/>
          <w:lang w:val="es-CO"/>
        </w:rPr>
        <w:t>. 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color w:val="000000" w:themeColor="text1"/>
          <w:sz w:val="22"/>
          <w:szCs w:val="22"/>
          <w:lang w:val="es-CO"/>
        </w:rPr>
        <w:t>”</w:t>
      </w:r>
      <w:r w:rsidRPr="008D2838">
        <w:rPr>
          <w:rFonts w:ascii="Arial" w:hAnsi="Arial" w:cs="Arial"/>
          <w:sz w:val="22"/>
          <w:szCs w:val="22"/>
          <w:lang w:val="es-CO"/>
        </w:rPr>
        <w:t xml:space="preserve">. </w:t>
      </w:r>
    </w:p>
    <w:p w14:paraId="0F964CC1" w14:textId="77777777" w:rsidR="006C3058" w:rsidRPr="008D2838" w:rsidRDefault="006C3058" w:rsidP="006C3058">
      <w:pPr>
        <w:numPr>
          <w:ilvl w:val="0"/>
          <w:numId w:val="43"/>
        </w:numPr>
        <w:ind w:left="426" w:hanging="426"/>
        <w:contextualSpacing/>
        <w:jc w:val="both"/>
        <w:rPr>
          <w:rFonts w:ascii="Arial" w:hAnsi="Arial" w:cs="Arial"/>
          <w:sz w:val="22"/>
          <w:szCs w:val="22"/>
          <w:lang w:val="es-CO"/>
        </w:rPr>
      </w:pPr>
      <w:r w:rsidRPr="008D2838">
        <w:rPr>
          <w:rFonts w:ascii="Arial" w:hAnsi="Arial" w:cs="Arial"/>
          <w:sz w:val="22"/>
          <w:szCs w:val="22"/>
          <w:lang w:val="es-CO"/>
        </w:rPr>
        <w:t xml:space="preserve">Proceso de contratación No. SAI-034-2022 Dotación en SECOP II. Sector Educación. Distrito de Turbo – Antioquia. Serie </w:t>
      </w:r>
      <w:r w:rsidRPr="008D2838">
        <w:rPr>
          <w:rFonts w:ascii="Arial" w:hAnsi="Arial" w:cs="Arial"/>
          <w:i/>
          <w:iCs/>
          <w:sz w:val="22"/>
          <w:szCs w:val="22"/>
          <w:lang w:val="es-CO"/>
        </w:rPr>
        <w:t xml:space="preserve">“Historial de seguimiento y control a los recursos del Sistema General de Participaciones”. </w:t>
      </w:r>
    </w:p>
    <w:p w14:paraId="140B5046" w14:textId="77777777" w:rsidR="006C3058" w:rsidRPr="008D2838" w:rsidRDefault="006C3058" w:rsidP="006C3058">
      <w:pPr>
        <w:contextualSpacing/>
        <w:jc w:val="both"/>
        <w:textAlignment w:val="baseline"/>
        <w:rPr>
          <w:rFonts w:ascii="Arial" w:eastAsia="MS Gothic" w:hAnsi="Arial" w:cs="Arial"/>
          <w:lang w:val="es-CO"/>
        </w:rPr>
      </w:pPr>
    </w:p>
    <w:p w14:paraId="11133DD6" w14:textId="77777777" w:rsidR="00081708" w:rsidRPr="008D2838" w:rsidRDefault="00081708" w:rsidP="00081708">
      <w:pPr>
        <w:keepNext/>
        <w:keepLines/>
        <w:contextualSpacing/>
        <w:jc w:val="both"/>
        <w:outlineLvl w:val="1"/>
        <w:rPr>
          <w:rFonts w:ascii="Arial" w:eastAsia="MS Gothic" w:hAnsi="Arial" w:cs="Arial"/>
          <w:b/>
          <w:bCs/>
          <w:i/>
          <w:sz w:val="22"/>
          <w:szCs w:val="22"/>
          <w:lang w:val="es-CO"/>
        </w:rPr>
      </w:pPr>
      <w:r w:rsidRPr="006C3058">
        <w:rPr>
          <w:rFonts w:ascii="Arial" w:eastAsia="MS Gothic" w:hAnsi="Arial" w:cs="Arial"/>
          <w:b/>
          <w:bCs/>
          <w:iCs/>
          <w:sz w:val="22"/>
          <w:szCs w:val="22"/>
          <w:lang w:val="es-CO"/>
        </w:rPr>
        <w:t>EVENTO DE RIESGO 9.18.</w:t>
      </w:r>
      <w:r w:rsidRPr="006C3058">
        <w:rPr>
          <w:rFonts w:ascii="Arial" w:eastAsia="MS Gothic" w:hAnsi="Arial" w:cs="Arial"/>
          <w:b/>
          <w:bCs/>
          <w:i/>
          <w:sz w:val="22"/>
          <w:szCs w:val="22"/>
          <w:lang w:val="es-CO"/>
        </w:rPr>
        <w:t xml:space="preserve"> </w:t>
      </w:r>
      <w:r w:rsidRPr="006C3058">
        <w:rPr>
          <w:rFonts w:ascii="Arial" w:eastAsia="MS Gothic" w:hAnsi="Arial" w:cs="Arial"/>
          <w:bCs/>
          <w:i/>
          <w:sz w:val="22"/>
          <w:szCs w:val="22"/>
          <w:lang w:val="es-CO"/>
        </w:rPr>
        <w:t>“Aquella situación que, del análisis de la información obtenida en cualquier tiempo,</w:t>
      </w:r>
      <w:r w:rsidRPr="008D2838">
        <w:rPr>
          <w:rFonts w:ascii="Arial" w:eastAsia="MS Gothic" w:hAnsi="Arial" w:cs="Arial"/>
          <w:bCs/>
          <w:i/>
          <w:sz w:val="22"/>
          <w:szCs w:val="22"/>
          <w:lang w:val="es-CO"/>
        </w:rPr>
        <w:t xml:space="preserve"> resulte de inminente riesgo para la prestación adecuada del servicio, el cumplimiento de las metas de continuidad, cobertura y calidad en los servicios, o constituya desviación, uso indebido, ineficiente o inadecuado de los recursos del Sistema General de Participaciones”.</w:t>
      </w:r>
    </w:p>
    <w:p w14:paraId="2A37FB42" w14:textId="77777777" w:rsidR="00081708" w:rsidRPr="008D2838" w:rsidRDefault="00081708" w:rsidP="00081708">
      <w:pPr>
        <w:jc w:val="both"/>
        <w:rPr>
          <w:rFonts w:ascii="Arial" w:hAnsi="Arial" w:cs="Arial"/>
          <w:sz w:val="22"/>
          <w:szCs w:val="22"/>
          <w:lang w:val="es-CO"/>
        </w:rPr>
      </w:pPr>
    </w:p>
    <w:p w14:paraId="40AED583" w14:textId="77777777" w:rsidR="00081708" w:rsidRPr="006C3058" w:rsidRDefault="00081708" w:rsidP="006C3058">
      <w:pPr>
        <w:numPr>
          <w:ilvl w:val="0"/>
          <w:numId w:val="45"/>
        </w:numPr>
        <w:contextualSpacing/>
        <w:jc w:val="both"/>
        <w:outlineLvl w:val="2"/>
        <w:rPr>
          <w:rFonts w:ascii="Arial" w:hAnsi="Arial" w:cs="Arial"/>
          <w:sz w:val="22"/>
          <w:szCs w:val="22"/>
          <w:lang w:val="es-CO"/>
        </w:rPr>
      </w:pPr>
      <w:r w:rsidRPr="006C3058">
        <w:rPr>
          <w:rFonts w:ascii="Arial" w:hAnsi="Arial" w:cs="Arial"/>
          <w:b/>
          <w:i/>
          <w:sz w:val="22"/>
          <w:szCs w:val="22"/>
          <w:lang w:val="es-CO"/>
        </w:rPr>
        <w:t xml:space="preserve">Expedición tardía de los actos administrativos de distribución de planta </w:t>
      </w:r>
    </w:p>
    <w:p w14:paraId="0E41E7D2" w14:textId="77777777" w:rsidR="006C3058" w:rsidRDefault="006C3058" w:rsidP="00081708">
      <w:pPr>
        <w:jc w:val="both"/>
        <w:rPr>
          <w:rFonts w:ascii="Arial" w:hAnsi="Arial" w:cs="Arial"/>
          <w:sz w:val="22"/>
          <w:szCs w:val="22"/>
          <w:lang w:val="es-CO"/>
        </w:rPr>
      </w:pPr>
    </w:p>
    <w:p w14:paraId="116725FA" w14:textId="77777777" w:rsidR="00081708" w:rsidRPr="008D2838" w:rsidRDefault="00081708" w:rsidP="00081708">
      <w:pPr>
        <w:jc w:val="both"/>
        <w:rPr>
          <w:rFonts w:ascii="Arial" w:hAnsi="Arial" w:cs="Arial"/>
          <w:i/>
          <w:sz w:val="22"/>
          <w:szCs w:val="22"/>
          <w:lang w:val="es-CO"/>
        </w:rPr>
      </w:pPr>
      <w:r w:rsidRPr="008D2838">
        <w:rPr>
          <w:rFonts w:ascii="Arial" w:hAnsi="Arial" w:cs="Arial"/>
          <w:sz w:val="22"/>
          <w:szCs w:val="22"/>
          <w:lang w:val="es-CO"/>
        </w:rPr>
        <w:t xml:space="preserve">En atención al numeral 7.4 del artículo 7 de la Ley 715 de 2001, es competencia de los distritos y municipios certificados </w:t>
      </w:r>
      <w:r w:rsidRPr="008D2838">
        <w:rPr>
          <w:rFonts w:ascii="Arial" w:hAnsi="Arial" w:cs="Arial"/>
          <w:i/>
          <w:sz w:val="22"/>
          <w:szCs w:val="22"/>
          <w:lang w:val="es-CO"/>
        </w:rPr>
        <w:t>“7.4 Distribuir entre las instituciones educativas los docentes y la planta de cargos, de acuerdo con las necesidades del servicio entendida como población atendida y por atender en condiciones de eficiencia, siguiendo la regulación nacional sobre la materia”.</w:t>
      </w:r>
    </w:p>
    <w:p w14:paraId="3D28B49F" w14:textId="77777777" w:rsidR="00081708" w:rsidRPr="008D2838" w:rsidRDefault="00081708" w:rsidP="00081708">
      <w:pPr>
        <w:jc w:val="both"/>
        <w:rPr>
          <w:rFonts w:ascii="Arial" w:hAnsi="Arial" w:cs="Arial"/>
          <w:sz w:val="22"/>
          <w:szCs w:val="22"/>
          <w:lang w:val="es-CO"/>
        </w:rPr>
      </w:pPr>
    </w:p>
    <w:p w14:paraId="5DA61891" w14:textId="77777777" w:rsidR="00081708" w:rsidRPr="008D2838" w:rsidRDefault="00081708" w:rsidP="00081708">
      <w:pPr>
        <w:jc w:val="both"/>
        <w:rPr>
          <w:rFonts w:ascii="Arial" w:hAnsi="Arial" w:cs="Arial"/>
          <w:i/>
          <w:sz w:val="22"/>
          <w:szCs w:val="22"/>
          <w:lang w:val="es-CO"/>
        </w:rPr>
      </w:pPr>
      <w:bookmarkStart w:id="1" w:name="33"/>
      <w:r w:rsidRPr="008D2838">
        <w:rPr>
          <w:rFonts w:ascii="Arial" w:hAnsi="Arial" w:cs="Arial"/>
          <w:bCs/>
          <w:sz w:val="22"/>
          <w:szCs w:val="22"/>
          <w:lang w:val="es-CO"/>
        </w:rPr>
        <w:t xml:space="preserve">Así mismo, el artículo 33 de la Ley 715 de 2001, establece que </w:t>
      </w:r>
      <w:bookmarkEnd w:id="1"/>
      <w:r w:rsidRPr="008D2838">
        <w:rPr>
          <w:rFonts w:ascii="Arial" w:hAnsi="Arial" w:cs="Arial"/>
          <w:b/>
          <w:bCs/>
          <w:i/>
          <w:sz w:val="22"/>
          <w:szCs w:val="22"/>
          <w:lang w:val="es-CO"/>
        </w:rPr>
        <w:t>“</w:t>
      </w:r>
      <w:r w:rsidRPr="008D2838">
        <w:rPr>
          <w:rFonts w:ascii="Arial" w:hAnsi="Arial" w:cs="Arial"/>
          <w:i/>
          <w:sz w:val="22"/>
          <w:szCs w:val="22"/>
          <w:lang w:val="es-CO"/>
        </w:rPr>
        <w:t xml:space="preserve">los secretarios de educación departamental, municipal y distrital informarán anualmente a los consejos directivos de las instituciones educativas oficiales y harán público por los medios masivos de comunicación de su jurisdicción, los recursos, las plazas y la nómina que le asignen a cada una de las instituciones conforme a los parámetros de asignación de personal definidos por la Nación. El incumplimiento de esta disposición se considerará falta grave y </w:t>
      </w:r>
      <w:r w:rsidRPr="008D2838">
        <w:rPr>
          <w:rFonts w:ascii="Arial" w:hAnsi="Arial" w:cs="Arial"/>
          <w:i/>
          <w:sz w:val="22"/>
          <w:szCs w:val="22"/>
          <w:lang w:val="es-CO"/>
        </w:rPr>
        <w:lastRenderedPageBreak/>
        <w:t xml:space="preserve">acarreará las sanciones respectivas para el secretario de Educación o quien haga sus veces”. </w:t>
      </w:r>
    </w:p>
    <w:p w14:paraId="48096697" w14:textId="77777777" w:rsidR="00081708" w:rsidRPr="008D2838" w:rsidRDefault="00081708" w:rsidP="00081708">
      <w:pPr>
        <w:jc w:val="both"/>
        <w:rPr>
          <w:rFonts w:ascii="Arial" w:hAnsi="Arial" w:cs="Arial"/>
          <w:i/>
          <w:sz w:val="22"/>
          <w:szCs w:val="22"/>
          <w:lang w:val="es-CO"/>
        </w:rPr>
      </w:pPr>
    </w:p>
    <w:p w14:paraId="2BB1889F"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 xml:space="preserve">En ese sentido, de acuerdo a lo establecido en la Resolución No. 7797 de 2015 del Ministerio de Educación Nacional </w:t>
      </w:r>
      <w:r w:rsidRPr="008D2838">
        <w:rPr>
          <w:rFonts w:ascii="Arial" w:hAnsi="Arial" w:cs="Arial"/>
          <w:i/>
          <w:sz w:val="22"/>
          <w:szCs w:val="22"/>
          <w:lang w:val="es-CO"/>
        </w:rPr>
        <w:t>“Por medio de la cual se establece el proceso de gestión de la cobertura educativa en las entidades territoriales certificadas”,</w:t>
      </w:r>
      <w:r w:rsidRPr="008D2838">
        <w:rPr>
          <w:rFonts w:ascii="Arial" w:hAnsi="Arial" w:cs="Arial"/>
          <w:sz w:val="22"/>
          <w:szCs w:val="22"/>
          <w:lang w:val="es-CO"/>
        </w:rPr>
        <w:t xml:space="preserve"> en su artículo 32 se establece como plazo para la expedición del acto administrativo de distribución de planta del personal docente, directo docente y administrativo entre la tercera semana de noviembre del año anterior y la cuarta semana de marzo de la vigencia en curso.</w:t>
      </w:r>
    </w:p>
    <w:p w14:paraId="54D30677" w14:textId="77777777" w:rsidR="00081708" w:rsidRPr="008D2838" w:rsidRDefault="00081708" w:rsidP="00081708">
      <w:pPr>
        <w:jc w:val="both"/>
        <w:rPr>
          <w:rFonts w:ascii="Arial" w:hAnsi="Arial" w:cs="Arial"/>
          <w:sz w:val="22"/>
          <w:szCs w:val="22"/>
          <w:lang w:val="es-CO"/>
        </w:rPr>
      </w:pPr>
    </w:p>
    <w:p w14:paraId="3EABE0BE" w14:textId="77777777" w:rsidR="00081708" w:rsidRPr="008D2838" w:rsidRDefault="00081708" w:rsidP="00081708">
      <w:pPr>
        <w:jc w:val="both"/>
        <w:rPr>
          <w:rFonts w:ascii="Arial" w:hAnsi="Arial" w:cs="Arial"/>
          <w:i/>
          <w:iCs/>
          <w:sz w:val="22"/>
          <w:szCs w:val="22"/>
          <w:lang w:val="es-CO"/>
        </w:rPr>
      </w:pPr>
      <w:r w:rsidRPr="008D2838">
        <w:rPr>
          <w:rFonts w:ascii="Arial" w:hAnsi="Arial" w:cs="Arial"/>
          <w:sz w:val="22"/>
          <w:szCs w:val="22"/>
          <w:lang w:val="es-CO"/>
        </w:rPr>
        <w:t>De igual forma, en los considerandos de la Resolución 7797 de 2015, por medio de la cual se establece el proceso de gestión de la cobertura educativa en las entidades territoriales certificadas, se establece que "</w:t>
      </w:r>
      <w:r w:rsidRPr="008D2838">
        <w:rPr>
          <w:rFonts w:ascii="Arial" w:hAnsi="Arial" w:cs="Arial"/>
          <w:i/>
          <w:iCs/>
          <w:sz w:val="22"/>
          <w:szCs w:val="22"/>
          <w:lang w:val="es-CO"/>
        </w:rPr>
        <w:t>el proceso de gestión de la cobertura educativa busca garantizar que previo a iniciar el calendario escolar, se articule la capacidad operativa de las Entidades Territoriales Certificadas, con los requerimientos de plantas de personal docente, de infraestructura física, de estudios de insuficiencia y de asignación de estrategias, con el fin de mejorar la prestación del servicio educativo y asegurar la continuidad del mismo".</w:t>
      </w:r>
    </w:p>
    <w:p w14:paraId="62D9A6DF" w14:textId="77777777" w:rsidR="00081708" w:rsidRPr="008D2838" w:rsidRDefault="00081708" w:rsidP="00081708">
      <w:pPr>
        <w:jc w:val="both"/>
        <w:rPr>
          <w:rFonts w:ascii="Arial" w:hAnsi="Arial" w:cs="Arial"/>
          <w:sz w:val="22"/>
          <w:szCs w:val="22"/>
          <w:lang w:val="es-CO"/>
        </w:rPr>
      </w:pPr>
    </w:p>
    <w:p w14:paraId="52E3AEA6"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No obstante, el Distrito de Turbo expidió actos administrativos de distribución de planta para las vigencias 2020, 2021 y 2022 con posterioridad a la fecha establecida por la normatividad vigente. Mediante oficio con radicado No.1-2021-075798 del 31 de agosto de 2021 la Entidad Territorial remitió los siguientes actos administrativos de distribución de planta: el Decreto No. 516 del 18 de julio de 2020 y el Decreto 456 del 8 de junio de 2021. Así mismo, para la vigencia 2022 se expidió el Decreto 383 del 19 de mayo de 2022.</w:t>
      </w:r>
    </w:p>
    <w:p w14:paraId="03AFF6E4" w14:textId="77777777" w:rsidR="00081708" w:rsidRPr="008D2838" w:rsidRDefault="00081708" w:rsidP="00081708">
      <w:pPr>
        <w:jc w:val="both"/>
        <w:rPr>
          <w:rFonts w:ascii="Arial" w:hAnsi="Arial" w:cs="Arial"/>
          <w:sz w:val="22"/>
          <w:szCs w:val="22"/>
          <w:lang w:val="es-CO"/>
        </w:rPr>
      </w:pPr>
    </w:p>
    <w:p w14:paraId="109F417A"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De esta manera, la distribución tardía de la planta de personal docente y administrativo impide la oportuna prestación del servicio educativo, toda vez que obstaculiza la garantía de continuidad para estudiantes activos y la de acceso para los estudiantes nuevos en el sistema.</w:t>
      </w:r>
    </w:p>
    <w:p w14:paraId="489FA516" w14:textId="77777777" w:rsidR="00081708" w:rsidRPr="008D2838" w:rsidRDefault="00081708" w:rsidP="00081708">
      <w:pPr>
        <w:jc w:val="both"/>
        <w:rPr>
          <w:rFonts w:ascii="Arial" w:hAnsi="Arial" w:cs="Arial"/>
          <w:sz w:val="22"/>
          <w:szCs w:val="22"/>
          <w:lang w:val="es-CO"/>
        </w:rPr>
      </w:pPr>
    </w:p>
    <w:p w14:paraId="2F8D0693"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 xml:space="preserve">Con lo anterior, la distribución oportuna y adecuada de la planta de personal se constituye en una estrategia de ampliación de cobertura, que al no ser utilizada reduce la eficiencia en el uso total de la capacidad instalada en el sistema oficial, configurándose así un evento de riesgo en el uso de los recursos del SGP que financian el servicio educativo. </w:t>
      </w:r>
    </w:p>
    <w:p w14:paraId="5041F71D" w14:textId="77777777" w:rsidR="00081708" w:rsidRPr="008D2838" w:rsidRDefault="00081708" w:rsidP="00081708">
      <w:pPr>
        <w:jc w:val="both"/>
        <w:rPr>
          <w:rFonts w:ascii="Arial" w:hAnsi="Arial" w:cs="Arial"/>
          <w:sz w:val="22"/>
          <w:szCs w:val="22"/>
          <w:lang w:val="es-CO"/>
        </w:rPr>
      </w:pPr>
    </w:p>
    <w:p w14:paraId="0DB1F8D7" w14:textId="77777777" w:rsidR="00081708" w:rsidRPr="008D2838" w:rsidRDefault="00081708" w:rsidP="00081708">
      <w:pPr>
        <w:jc w:val="both"/>
        <w:rPr>
          <w:rFonts w:ascii="Arial" w:hAnsi="Arial" w:cs="Arial"/>
          <w:sz w:val="22"/>
          <w:szCs w:val="22"/>
          <w:lang w:val="es-CO" w:eastAsia="en-US"/>
        </w:rPr>
      </w:pPr>
      <w:r w:rsidRPr="008D2838">
        <w:rPr>
          <w:rFonts w:ascii="Arial" w:eastAsia="Calibri" w:hAnsi="Arial" w:cs="Arial"/>
          <w:b/>
          <w:sz w:val="22"/>
          <w:szCs w:val="22"/>
          <w:lang w:val="es-CO" w:eastAsia="en-US"/>
        </w:rPr>
        <w:t xml:space="preserve">Evidencia: </w:t>
      </w:r>
      <w:r w:rsidRPr="008D2838">
        <w:rPr>
          <w:rFonts w:ascii="Arial" w:hAnsi="Arial" w:cs="Arial"/>
          <w:color w:val="000000" w:themeColor="text1"/>
          <w:sz w:val="22"/>
          <w:szCs w:val="22"/>
          <w:lang w:val="es-CO"/>
        </w:rPr>
        <w:t>Obra en el expediente digital en el Sistema de Información Electrónica Documental – SIED del Ministerio de Hacienda y Crédito Público No. 18/2020/D028-PREDI el siguiente material probatorio:</w:t>
      </w:r>
    </w:p>
    <w:p w14:paraId="7FA419C2" w14:textId="77777777" w:rsidR="00081708" w:rsidRPr="008D2838" w:rsidRDefault="00081708" w:rsidP="00081708">
      <w:pPr>
        <w:numPr>
          <w:ilvl w:val="0"/>
          <w:numId w:val="42"/>
        </w:numPr>
        <w:ind w:left="284" w:hanging="284"/>
        <w:contextualSpacing/>
        <w:jc w:val="both"/>
        <w:rPr>
          <w:rFonts w:ascii="Arial" w:hAnsi="Arial" w:cs="Arial"/>
          <w:sz w:val="22"/>
          <w:szCs w:val="22"/>
          <w:lang w:val="es-CO"/>
        </w:rPr>
      </w:pPr>
      <w:r w:rsidRPr="008D2838">
        <w:rPr>
          <w:rFonts w:ascii="Arial" w:hAnsi="Arial" w:cs="Arial"/>
          <w:sz w:val="22"/>
          <w:szCs w:val="22"/>
          <w:lang w:val="es-CO"/>
        </w:rPr>
        <w:t>Decreto No. 516 del 18 de julio de 2020.</w:t>
      </w:r>
      <w:r w:rsidRPr="008D2838">
        <w:rPr>
          <w:rFonts w:ascii="Arial" w:hAnsi="Arial" w:cs="Arial"/>
          <w:color w:val="000000" w:themeColor="text1"/>
          <w:sz w:val="22"/>
          <w:szCs w:val="22"/>
          <w:lang w:val="es-CO"/>
        </w:rPr>
        <w:t xml:space="preserve"> Sector Educación. Distrito de Turbo – Antioquia. </w:t>
      </w:r>
      <w:r w:rsidRPr="008D2838">
        <w:rPr>
          <w:rFonts w:ascii="Arial" w:hAnsi="Arial" w:cs="Arial"/>
          <w:sz w:val="22"/>
          <w:szCs w:val="22"/>
          <w:lang w:val="es-CO"/>
        </w:rPr>
        <w:t xml:space="preserve">Radicado. </w:t>
      </w:r>
      <w:r w:rsidRPr="008D2838">
        <w:rPr>
          <w:rFonts w:ascii="Arial" w:hAnsi="Arial" w:cs="Arial"/>
          <w:color w:val="000000" w:themeColor="text1"/>
          <w:sz w:val="22"/>
          <w:szCs w:val="22"/>
          <w:lang w:val="es-CO"/>
        </w:rPr>
        <w:t>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color w:val="000000" w:themeColor="text1"/>
          <w:sz w:val="22"/>
          <w:szCs w:val="22"/>
          <w:lang w:val="es-CO"/>
        </w:rPr>
        <w:t xml:space="preserve">”. </w:t>
      </w:r>
      <w:r w:rsidRPr="008D2838">
        <w:rPr>
          <w:rFonts w:ascii="Arial" w:hAnsi="Arial" w:cs="Arial"/>
          <w:sz w:val="22"/>
          <w:szCs w:val="22"/>
          <w:lang w:val="es-CO"/>
        </w:rPr>
        <w:t xml:space="preserve">Radicado No.1-2021-075798 del 31 de agosto de 2021. </w:t>
      </w:r>
    </w:p>
    <w:p w14:paraId="557D1685" w14:textId="77777777" w:rsidR="00081708" w:rsidRPr="008D2838" w:rsidRDefault="00081708" w:rsidP="00081708">
      <w:pPr>
        <w:numPr>
          <w:ilvl w:val="0"/>
          <w:numId w:val="42"/>
        </w:numPr>
        <w:ind w:left="284" w:hanging="284"/>
        <w:contextualSpacing/>
        <w:jc w:val="both"/>
        <w:rPr>
          <w:rFonts w:ascii="Arial" w:hAnsi="Arial" w:cs="Arial"/>
        </w:rPr>
      </w:pPr>
      <w:r w:rsidRPr="008D2838">
        <w:rPr>
          <w:rFonts w:ascii="Arial" w:hAnsi="Arial" w:cs="Arial"/>
          <w:sz w:val="22"/>
          <w:szCs w:val="22"/>
          <w:lang w:val="es-CO"/>
        </w:rPr>
        <w:t xml:space="preserve">Decreto 456 del 8 de junio de 2021. </w:t>
      </w:r>
      <w:r w:rsidRPr="008D2838">
        <w:rPr>
          <w:rFonts w:ascii="Arial" w:hAnsi="Arial" w:cs="Arial"/>
          <w:color w:val="000000" w:themeColor="text1"/>
          <w:sz w:val="22"/>
          <w:szCs w:val="22"/>
          <w:lang w:val="es-CO"/>
        </w:rPr>
        <w:t>Sector Educación. Distrito de Turbo – Antioquia. Serie “</w:t>
      </w:r>
      <w:r w:rsidRPr="008D2838">
        <w:rPr>
          <w:rFonts w:ascii="Arial" w:hAnsi="Arial" w:cs="Arial"/>
          <w:i/>
          <w:iCs/>
          <w:color w:val="000000" w:themeColor="text1"/>
          <w:sz w:val="22"/>
          <w:szCs w:val="22"/>
          <w:lang w:val="es-CO"/>
        </w:rPr>
        <w:t>Historial de seguimiento y control a los recursos del Sistema General de Participaciones</w:t>
      </w:r>
      <w:r w:rsidRPr="008D2838">
        <w:rPr>
          <w:rFonts w:ascii="Arial" w:hAnsi="Arial" w:cs="Arial"/>
          <w:color w:val="000000" w:themeColor="text1"/>
          <w:sz w:val="22"/>
          <w:szCs w:val="22"/>
          <w:lang w:val="es-CO"/>
        </w:rPr>
        <w:t xml:space="preserve">”. </w:t>
      </w:r>
      <w:r w:rsidRPr="008D2838">
        <w:rPr>
          <w:rFonts w:ascii="Arial" w:hAnsi="Arial" w:cs="Arial"/>
          <w:sz w:val="22"/>
          <w:szCs w:val="22"/>
          <w:lang w:val="es-CO"/>
        </w:rPr>
        <w:t>Radicado No.1-2021-075798 del 31 de agosto de 2021.</w:t>
      </w:r>
      <w:r w:rsidR="00937835" w:rsidRPr="008D2838">
        <w:rPr>
          <w:rFonts w:ascii="Arial" w:hAnsi="Arial" w:cs="Arial"/>
        </w:rPr>
        <w:t xml:space="preserve"> </w:t>
      </w:r>
    </w:p>
    <w:p w14:paraId="3AD5CDA6" w14:textId="77777777" w:rsidR="00081708" w:rsidRPr="006C3058" w:rsidRDefault="00081708" w:rsidP="00081708">
      <w:pPr>
        <w:numPr>
          <w:ilvl w:val="0"/>
          <w:numId w:val="42"/>
        </w:numPr>
        <w:ind w:left="284" w:hanging="284"/>
        <w:contextualSpacing/>
        <w:jc w:val="both"/>
        <w:rPr>
          <w:rFonts w:ascii="Arial" w:hAnsi="Arial" w:cs="Arial"/>
        </w:rPr>
      </w:pPr>
      <w:r w:rsidRPr="008D2838">
        <w:rPr>
          <w:rFonts w:ascii="Arial" w:hAnsi="Arial" w:cs="Arial"/>
          <w:sz w:val="22"/>
          <w:szCs w:val="22"/>
          <w:lang w:val="es-CO"/>
        </w:rPr>
        <w:t>Decreto 383 del 19 de mayo de 2022.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Radicado No. 1-2022-103085 del 09 de diciembre de 2022. </w:t>
      </w:r>
    </w:p>
    <w:p w14:paraId="373F3145" w14:textId="77777777" w:rsidR="006C3058" w:rsidRPr="008D2838" w:rsidRDefault="006C3058" w:rsidP="006C3058">
      <w:pPr>
        <w:ind w:left="284"/>
        <w:contextualSpacing/>
        <w:jc w:val="both"/>
        <w:rPr>
          <w:rFonts w:ascii="Arial" w:hAnsi="Arial" w:cs="Arial"/>
        </w:rPr>
      </w:pPr>
    </w:p>
    <w:p w14:paraId="0E52075A" w14:textId="77777777" w:rsidR="00081708" w:rsidRPr="008D2838" w:rsidRDefault="00081708" w:rsidP="006C3058">
      <w:pPr>
        <w:numPr>
          <w:ilvl w:val="0"/>
          <w:numId w:val="45"/>
        </w:numPr>
        <w:ind w:left="426" w:hanging="426"/>
        <w:contextualSpacing/>
        <w:jc w:val="both"/>
        <w:outlineLvl w:val="2"/>
        <w:rPr>
          <w:rFonts w:ascii="Arial" w:hAnsi="Arial" w:cs="Arial"/>
          <w:b/>
          <w:i/>
          <w:lang w:val="es-CO"/>
        </w:rPr>
      </w:pPr>
      <w:r w:rsidRPr="008D2838">
        <w:rPr>
          <w:rFonts w:ascii="Arial" w:hAnsi="Arial" w:cs="Arial"/>
          <w:b/>
          <w:i/>
          <w:sz w:val="22"/>
          <w:szCs w:val="22"/>
          <w:lang w:val="es-CO"/>
        </w:rPr>
        <w:lastRenderedPageBreak/>
        <w:t>Déficit en la administración y ejecución de los recursos del SGP Educación.</w:t>
      </w:r>
    </w:p>
    <w:p w14:paraId="7BF0AEA8" w14:textId="77777777" w:rsidR="00081708" w:rsidRPr="008D2838" w:rsidRDefault="00081708" w:rsidP="00081708">
      <w:pPr>
        <w:jc w:val="both"/>
        <w:rPr>
          <w:rFonts w:ascii="Arial" w:hAnsi="Arial" w:cs="Arial"/>
          <w:sz w:val="22"/>
          <w:szCs w:val="22"/>
          <w:lang w:val="es-CO"/>
        </w:rPr>
      </w:pPr>
    </w:p>
    <w:p w14:paraId="5B694E41" w14:textId="77777777" w:rsidR="00081708" w:rsidRPr="008D2838" w:rsidRDefault="00081708" w:rsidP="00081708">
      <w:pPr>
        <w:jc w:val="both"/>
        <w:rPr>
          <w:rFonts w:ascii="Arial" w:hAnsi="Arial" w:cs="Arial"/>
          <w:sz w:val="22"/>
          <w:szCs w:val="22"/>
          <w:lang w:val="es-CO"/>
        </w:rPr>
      </w:pPr>
      <w:r w:rsidRPr="008D2838">
        <w:rPr>
          <w:rFonts w:ascii="Arial" w:hAnsi="Arial" w:cs="Arial"/>
          <w:sz w:val="22"/>
          <w:szCs w:val="22"/>
          <w:lang w:val="es-CO"/>
        </w:rPr>
        <w:t xml:space="preserve">El artículo 21 de la Ley 715 de 2001, establece que </w:t>
      </w:r>
      <w:r w:rsidRPr="008D2838">
        <w:rPr>
          <w:rFonts w:ascii="Arial" w:hAnsi="Arial" w:cs="Arial"/>
          <w:i/>
          <w:sz w:val="22"/>
          <w:szCs w:val="22"/>
          <w:lang w:val="es-CO"/>
        </w:rPr>
        <w:t xml:space="preserve">“los compromisos que adquieran los departamentos, distritos y municipios certificados para la prestación de los servicios educativos a su cargo, cuando se adquieran con recursos del Sistema General de Participaciones, no podrán superar el monto de la participación para educación, en la respectiva vigencia fiscal, certificada por el Departamento Nacional de Planeación, para cada entidad territorial”, </w:t>
      </w:r>
      <w:r w:rsidRPr="008D2838">
        <w:rPr>
          <w:rFonts w:ascii="Arial" w:hAnsi="Arial" w:cs="Arial"/>
          <w:sz w:val="22"/>
          <w:szCs w:val="22"/>
          <w:lang w:val="es-CO"/>
        </w:rPr>
        <w:t>es decir las entidades certificadas en educación no deberán generar un déficit en la ejecución de los recursos del SGP.</w:t>
      </w:r>
    </w:p>
    <w:p w14:paraId="71EBEAC1" w14:textId="77777777" w:rsidR="00081708" w:rsidRPr="008D2838" w:rsidRDefault="00081708" w:rsidP="00081708">
      <w:pPr>
        <w:jc w:val="both"/>
        <w:rPr>
          <w:rFonts w:ascii="Arial" w:hAnsi="Arial" w:cs="Arial"/>
          <w:i/>
          <w:sz w:val="22"/>
          <w:szCs w:val="22"/>
          <w:lang w:val="es-CO"/>
        </w:rPr>
      </w:pPr>
    </w:p>
    <w:p w14:paraId="0299D179" w14:textId="77777777" w:rsidR="00081708" w:rsidRPr="008D2838" w:rsidRDefault="00081708" w:rsidP="00081708">
      <w:pPr>
        <w:jc w:val="both"/>
        <w:rPr>
          <w:rFonts w:ascii="Arial" w:hAnsi="Arial" w:cs="Arial"/>
          <w:iCs/>
          <w:sz w:val="22"/>
        </w:rPr>
      </w:pPr>
      <w:r w:rsidRPr="008D2838">
        <w:rPr>
          <w:rFonts w:ascii="Arial" w:hAnsi="Arial" w:cs="Arial"/>
          <w:iCs/>
          <w:sz w:val="22"/>
          <w:szCs w:val="22"/>
          <w:lang w:val="es-CO"/>
        </w:rPr>
        <w:t xml:space="preserve">Al respecto, es importante mencionar que de conformidad con el artículo 46 del Decreto 111 de 1996, el déficit </w:t>
      </w:r>
      <w:r w:rsidRPr="008D2838">
        <w:rPr>
          <w:rFonts w:ascii="Arial" w:hAnsi="Arial" w:cs="Arial"/>
          <w:sz w:val="22"/>
          <w:szCs w:val="22"/>
          <w:lang w:val="es-CO"/>
        </w:rPr>
        <w:t>deberá ser incluido en el presupuesto de la siguiente vigencia para financiarse con recursos distintos al SGP, teniendo en cuenta que la destinación específica de esta fuente impide el pago de deudas, salvo las excepciones establecidas por la normatividad que rige la materia.</w:t>
      </w:r>
    </w:p>
    <w:p w14:paraId="6205BD09" w14:textId="77777777" w:rsidR="00081708" w:rsidRPr="008D2838" w:rsidRDefault="00081708" w:rsidP="00081708">
      <w:pPr>
        <w:jc w:val="both"/>
        <w:rPr>
          <w:rFonts w:ascii="Arial" w:hAnsi="Arial" w:cs="Arial"/>
        </w:rPr>
      </w:pPr>
    </w:p>
    <w:p w14:paraId="1131F750" w14:textId="77777777" w:rsidR="00081708" w:rsidRPr="008D2838" w:rsidRDefault="00081708" w:rsidP="00081708">
      <w:pPr>
        <w:jc w:val="both"/>
        <w:rPr>
          <w:rFonts w:ascii="Arial" w:hAnsi="Arial" w:cs="Arial"/>
          <w:iCs/>
          <w:sz w:val="22"/>
        </w:rPr>
      </w:pPr>
      <w:r w:rsidRPr="008D2838">
        <w:rPr>
          <w:rFonts w:ascii="Arial" w:hAnsi="Arial" w:cs="Arial"/>
          <w:iCs/>
          <w:sz w:val="22"/>
          <w:szCs w:val="22"/>
          <w:lang w:val="es-CO"/>
        </w:rPr>
        <w:t xml:space="preserve">En las vigencias 2015 a 2018 el Distrito constituyó un déficit tesoral en el Sector Educación relacionado con los recursos del SGP, que en 2015 ascendió a $957,9 millones, en 2016 a $1.296 millones (incluyendo el déficit 2015), en 2017 a $1.646,1 millones (incluyendo el déficit de 2015 y 2016), y en 2018 de $1.183,8 millones (de prestación de servicios). Lo anterior, implica que durante las vigencias antes mencionadas se suscribieron compromisos que superaban los recursos disponibles. </w:t>
      </w:r>
    </w:p>
    <w:p w14:paraId="44E977E7" w14:textId="77777777" w:rsidR="00081708" w:rsidRPr="008D2838" w:rsidRDefault="00081708" w:rsidP="00081708">
      <w:pPr>
        <w:jc w:val="both"/>
        <w:rPr>
          <w:rFonts w:ascii="Arial" w:hAnsi="Arial" w:cs="Arial"/>
          <w:iCs/>
          <w:sz w:val="22"/>
          <w:szCs w:val="22"/>
          <w:lang w:val="es-CO"/>
        </w:rPr>
      </w:pPr>
    </w:p>
    <w:p w14:paraId="4BA9A977" w14:textId="77777777" w:rsidR="00081708" w:rsidRPr="008D2838" w:rsidRDefault="00081708" w:rsidP="00081708">
      <w:pPr>
        <w:jc w:val="both"/>
        <w:rPr>
          <w:rFonts w:ascii="Arial" w:hAnsi="Arial" w:cs="Arial"/>
        </w:rPr>
      </w:pPr>
      <w:r w:rsidRPr="008D2838">
        <w:rPr>
          <w:rFonts w:ascii="Arial" w:hAnsi="Arial" w:cs="Arial"/>
          <w:sz w:val="22"/>
          <w:szCs w:val="22"/>
          <w:lang w:val="es-CO"/>
        </w:rPr>
        <w:t>Respecto a la vigencia 2015, el Distrito de Turbo cerró en déficit de $957,9 millones según informe aclaratorio de las diferencias entre el excedente presupuestal y el resultado de tesorería a diciembre 31 de 2015 presentado por la Entidad. Allí determinó que solo contaba con un saldo real en bancos por $794,9 el cual debería respaldar un saldo de $1.752,9 millones ($57,6 millones por concepto de superávit de calidad, $382,9 millones por concepto de superávit de Prestación del Servicio y $1.312,4 millones por concepto de cuentas por pagar), lo cual generó un déficit en tesorería por valor de $957,9 millones. De acuerdo con el informe de la Entidad Territorial esta situación se presentó debido a errores en el registro de los ingresos de la vigencia, lo cual llevó a que se presentara una ejecución de recursos que superaba los ingresos de esta.</w:t>
      </w:r>
    </w:p>
    <w:p w14:paraId="46D71E2F" w14:textId="77777777" w:rsidR="00081708" w:rsidRPr="008D2838" w:rsidRDefault="00081708" w:rsidP="00081708">
      <w:pPr>
        <w:jc w:val="both"/>
        <w:rPr>
          <w:rFonts w:ascii="Arial" w:hAnsi="Arial" w:cs="Arial"/>
          <w:sz w:val="22"/>
          <w:szCs w:val="22"/>
          <w:lang w:val="es-CO"/>
        </w:rPr>
      </w:pPr>
    </w:p>
    <w:p w14:paraId="45ADD6C0" w14:textId="77777777" w:rsidR="00081708" w:rsidRPr="008D2838" w:rsidRDefault="00081708" w:rsidP="00081708">
      <w:pPr>
        <w:jc w:val="both"/>
        <w:rPr>
          <w:rFonts w:ascii="Arial" w:eastAsia="Calibri" w:hAnsi="Arial" w:cs="Arial"/>
          <w:sz w:val="22"/>
          <w:szCs w:val="22"/>
          <w:lang w:val="es-CO" w:eastAsia="en-US"/>
        </w:rPr>
      </w:pPr>
      <w:r w:rsidRPr="008D2838">
        <w:rPr>
          <w:rFonts w:ascii="Arial" w:eastAsia="Calibri" w:hAnsi="Arial" w:cs="Arial"/>
          <w:sz w:val="22"/>
          <w:szCs w:val="22"/>
          <w:lang w:val="es-CO" w:eastAsia="en-US"/>
        </w:rPr>
        <w:t>En relación con la vigencia 2016, el Distrito informó que se presentó un cambio en el aplicativo en el que se administra la información del Distrito, así como errores en los pagos de la vigencia, lo cual generó inconsistencias en la información financiera y llevó a una sobre ejecución del presupuesto por $757,1 millones ($2,9 millones de los recursos de Calidad – Matricula oficial y $754,1 millones de los recursos de Prestación del Servicio).</w:t>
      </w:r>
    </w:p>
    <w:p w14:paraId="3914703F" w14:textId="77777777" w:rsidR="00081708" w:rsidRPr="008D2838" w:rsidRDefault="00081708" w:rsidP="00081708">
      <w:pPr>
        <w:jc w:val="both"/>
        <w:rPr>
          <w:rFonts w:ascii="Arial" w:eastAsia="Calibri" w:hAnsi="Arial" w:cs="Arial"/>
          <w:sz w:val="22"/>
          <w:szCs w:val="22"/>
          <w:lang w:val="es-CO" w:eastAsia="en-US"/>
        </w:rPr>
      </w:pPr>
    </w:p>
    <w:p w14:paraId="6022FB53" w14:textId="77777777" w:rsidR="00081708" w:rsidRPr="008D2838" w:rsidRDefault="00081708" w:rsidP="00081708">
      <w:pPr>
        <w:jc w:val="both"/>
        <w:rPr>
          <w:rFonts w:ascii="Arial" w:eastAsia="Calibri" w:hAnsi="Arial" w:cs="Arial"/>
          <w:sz w:val="22"/>
          <w:szCs w:val="22"/>
          <w:lang w:val="es-CO" w:eastAsia="en-US"/>
        </w:rPr>
      </w:pPr>
      <w:r w:rsidRPr="008D2838">
        <w:rPr>
          <w:rFonts w:ascii="Arial" w:eastAsia="Calibri" w:hAnsi="Arial" w:cs="Arial"/>
          <w:sz w:val="22"/>
          <w:szCs w:val="22"/>
          <w:lang w:val="es-CO" w:eastAsia="en-US"/>
        </w:rPr>
        <w:t>Adicionalmente, se realizó un pago por $492,7 millones con recursos de Prestación del Servicio – Educación que debía hacerse con recursos del SGP Alimentación Escolar y se omitieron dos órdenes de pago emitidas por valor de $348,3 millones y $2,9 millones al realizar el cambio del sistema financiero del Distrito, lo cual generó que dichos recursos aparecieran disponibles en el presupuesto y fueran suscritos compromisos por valor de $344,1 millones sin respaldo tesoral, que de acuerdo con el presupuesto se financiaron con recursos de Prestación del Servicio Sin Situación de Fondos. Finalmente, según el informe de respuesta a los posibles eventos de riesgo solicitado a la Entidad, se indicó que el déficit real a diciembre de 2016 ascendió a $1.759 millones.</w:t>
      </w:r>
    </w:p>
    <w:p w14:paraId="39108235" w14:textId="77777777" w:rsidR="00081708" w:rsidRPr="008D2838" w:rsidRDefault="00081708" w:rsidP="00081708">
      <w:pPr>
        <w:jc w:val="both"/>
        <w:rPr>
          <w:rFonts w:ascii="Arial" w:eastAsia="Calibri" w:hAnsi="Arial" w:cs="Arial"/>
          <w:sz w:val="22"/>
          <w:szCs w:val="22"/>
          <w:lang w:val="es-CO" w:eastAsia="en-US"/>
        </w:rPr>
      </w:pPr>
    </w:p>
    <w:p w14:paraId="49600A0A" w14:textId="77777777" w:rsidR="00081708" w:rsidRPr="008D2838" w:rsidRDefault="00081708" w:rsidP="00081708">
      <w:pPr>
        <w:jc w:val="both"/>
        <w:rPr>
          <w:rFonts w:ascii="Arial" w:eastAsia="Calibri" w:hAnsi="Arial" w:cs="Arial"/>
          <w:sz w:val="22"/>
          <w:szCs w:val="22"/>
          <w:lang w:val="es-CO" w:eastAsia="en-US"/>
        </w:rPr>
      </w:pPr>
      <w:r w:rsidRPr="008D2838">
        <w:rPr>
          <w:rFonts w:ascii="Arial" w:eastAsia="Calibri" w:hAnsi="Arial" w:cs="Arial"/>
          <w:sz w:val="22"/>
          <w:szCs w:val="22"/>
          <w:lang w:val="es-CO" w:eastAsia="en-US"/>
        </w:rPr>
        <w:t>En relación con los recursos disponibles al cierre de la vigencia 2017, de acuerdo con el cierre de tesorería presentado por la Entidad Territorial se presentó un déficit de $1.646,1 millones, y de acuerdo con el acta del Ministerio de Educación Nacional se presentó un superávit de $3.678,7 millones; no obstante, en el presupuesto de la vigencia 2018 se realizó la incorporación de recursos del balance por valor de $98 millones, lo cual da cuenta de los problemas en la generación de información financiera consistente.</w:t>
      </w:r>
    </w:p>
    <w:p w14:paraId="046DF2DC" w14:textId="77777777" w:rsidR="00081708" w:rsidRPr="008D2838" w:rsidRDefault="00081708" w:rsidP="00081708">
      <w:pPr>
        <w:jc w:val="both"/>
        <w:rPr>
          <w:rFonts w:ascii="Arial" w:eastAsia="Calibri" w:hAnsi="Arial" w:cs="Arial"/>
          <w:sz w:val="22"/>
          <w:szCs w:val="22"/>
          <w:lang w:val="es-CO" w:eastAsia="en-US"/>
        </w:rPr>
      </w:pPr>
    </w:p>
    <w:p w14:paraId="090A9181" w14:textId="77777777" w:rsidR="00081708" w:rsidRPr="008D2838" w:rsidRDefault="00081708" w:rsidP="00081708">
      <w:pPr>
        <w:jc w:val="both"/>
        <w:rPr>
          <w:rFonts w:ascii="Arial" w:eastAsia="Calibri" w:hAnsi="Arial" w:cs="Arial"/>
          <w:sz w:val="22"/>
          <w:szCs w:val="22"/>
          <w:lang w:val="es-CO" w:eastAsia="en-US"/>
        </w:rPr>
      </w:pPr>
      <w:r w:rsidRPr="008D2838">
        <w:rPr>
          <w:rFonts w:ascii="Arial" w:eastAsia="Calibri" w:hAnsi="Arial" w:cs="Arial"/>
          <w:sz w:val="22"/>
          <w:szCs w:val="22"/>
          <w:lang w:val="es-CO" w:eastAsia="en-US"/>
        </w:rPr>
        <w:t xml:space="preserve">En ese sentido, durante los últimos años, la entidad territorial ha finalizado las vigencias fiscales con déficit en el sector educación y con diferencias entre la ejecución de presupuesto y tesorería, ya sea por la suscripción de compromisos que superan los ingresos, por problemas en el registro de la información financiera, por errores en las órdenes de pago, u otras prácticas financieras, que no permiten identificar de manera clara la destinación de la totalidad de los recursos del SGP Educación durante las vigencias en cuestión, y que requiere la implementación de procesos que garanticen el uso de los recursos de acuerdo con lo establecido por la normatividad vigente. </w:t>
      </w:r>
    </w:p>
    <w:p w14:paraId="757CC273" w14:textId="77777777" w:rsidR="00081708" w:rsidRPr="008D2838" w:rsidRDefault="00081708" w:rsidP="00081708">
      <w:pPr>
        <w:jc w:val="both"/>
        <w:rPr>
          <w:rFonts w:ascii="Arial" w:eastAsia="Calibri" w:hAnsi="Arial" w:cs="Arial"/>
          <w:sz w:val="22"/>
          <w:szCs w:val="22"/>
          <w:lang w:val="es-CO" w:eastAsia="en-US"/>
        </w:rPr>
      </w:pPr>
    </w:p>
    <w:p w14:paraId="4E3CA5A5" w14:textId="77777777" w:rsidR="00081708" w:rsidRPr="008D2838" w:rsidRDefault="00081708" w:rsidP="00081708">
      <w:pPr>
        <w:jc w:val="both"/>
        <w:rPr>
          <w:rFonts w:ascii="Arial" w:hAnsi="Arial" w:cs="Arial"/>
          <w:iCs/>
          <w:sz w:val="22"/>
          <w:szCs w:val="22"/>
          <w:lang w:val="es-CO"/>
        </w:rPr>
      </w:pPr>
      <w:r w:rsidRPr="008D2838">
        <w:rPr>
          <w:rFonts w:ascii="Arial" w:hAnsi="Arial" w:cs="Arial"/>
          <w:iCs/>
          <w:sz w:val="22"/>
          <w:szCs w:val="22"/>
          <w:lang w:val="es-CO"/>
        </w:rPr>
        <w:t xml:space="preserve">Como resultado de la gestión financiera de los años anteriores, de acuerdo con el acta suscrita con el Ministerio de Educación Nacional el 19 de junio de 2019, la Entidad presentó un saldo de compromisos pendientes por cancelar por $1.038 millones, así: $541,6 millones a la Congregación de los Hermanos </w:t>
      </w:r>
      <w:r w:rsidRPr="008D2838">
        <w:rPr>
          <w:rFonts w:ascii="Arial" w:hAnsi="Arial" w:cs="Arial"/>
          <w:sz w:val="22"/>
          <w:szCs w:val="22"/>
          <w:lang w:val="es-CO"/>
        </w:rPr>
        <w:t>de las Escuelas Cristianas del Distrito de Medellín</w:t>
      </w:r>
      <w:r w:rsidRPr="008D2838">
        <w:rPr>
          <w:rFonts w:ascii="Arial" w:hAnsi="Arial" w:cs="Arial"/>
          <w:iCs/>
          <w:sz w:val="22"/>
          <w:szCs w:val="22"/>
          <w:lang w:val="es-CO"/>
        </w:rPr>
        <w:t xml:space="preserve"> por el contrato de concesión, $495,8 millones a la Sociedad Antioqueña de Transportes por concepto de Transporte Escolar, cuyas obligaciones no están registradas presupuestalmente como cuentas por pagar, reservas o vigencias expiradas en los documentos presupuestales vigentes. </w:t>
      </w:r>
    </w:p>
    <w:p w14:paraId="07AB8C21" w14:textId="77777777" w:rsidR="00081708" w:rsidRPr="008D2838" w:rsidRDefault="00081708" w:rsidP="00081708">
      <w:pPr>
        <w:jc w:val="both"/>
        <w:rPr>
          <w:rFonts w:ascii="Arial" w:hAnsi="Arial" w:cs="Arial"/>
          <w:iCs/>
          <w:sz w:val="22"/>
          <w:szCs w:val="22"/>
          <w:lang w:val="es-CO"/>
        </w:rPr>
      </w:pPr>
    </w:p>
    <w:p w14:paraId="5B2B71A7" w14:textId="77777777" w:rsidR="00081708" w:rsidRPr="008D2838" w:rsidRDefault="00081708" w:rsidP="00081708">
      <w:pPr>
        <w:jc w:val="both"/>
        <w:rPr>
          <w:rFonts w:ascii="Arial" w:eastAsia="Arial" w:hAnsi="Arial" w:cs="Arial"/>
          <w:color w:val="000000" w:themeColor="text1"/>
        </w:rPr>
      </w:pPr>
      <w:r w:rsidRPr="008D2838">
        <w:rPr>
          <w:rFonts w:ascii="Arial" w:hAnsi="Arial" w:cs="Arial"/>
          <w:iCs/>
          <w:sz w:val="22"/>
          <w:szCs w:val="22"/>
          <w:lang w:val="es-CO"/>
        </w:rPr>
        <w:t xml:space="preserve">Adicionalmente, la situación persiste para el cierre de la vigencia 2021, toda vez que </w:t>
      </w:r>
      <w:r w:rsidRPr="008D2838">
        <w:rPr>
          <w:rFonts w:ascii="Arial" w:eastAsia="Arial" w:hAnsi="Arial" w:cs="Arial"/>
          <w:color w:val="000000" w:themeColor="text1"/>
          <w:sz w:val="22"/>
          <w:szCs w:val="22"/>
          <w:lang w:val="es-CO"/>
        </w:rPr>
        <w:t xml:space="preserve">se evidenciaron diferencias en los recursos del balance de las asignaciones de Calidad y Prestación del Servicio y los saldos que los respaldan en tesorería. De acuerdo con el análisis realizado, el superávit de Prestación del Servicio asciende a $2.207 millones y en caja existen recursos disponibles por $1.833 millones; es decir, continúan las diferencias entre la información de presupuesto y tesorería de los recursos del SGP Educación. </w:t>
      </w:r>
    </w:p>
    <w:p w14:paraId="2CB3FF31" w14:textId="77777777" w:rsidR="00081708" w:rsidRPr="008D2838" w:rsidRDefault="00081708" w:rsidP="00081708">
      <w:pPr>
        <w:jc w:val="both"/>
        <w:rPr>
          <w:rFonts w:ascii="Arial" w:eastAsia="Arial" w:hAnsi="Arial" w:cs="Arial"/>
          <w:color w:val="000000" w:themeColor="text1"/>
          <w:sz w:val="22"/>
          <w:szCs w:val="22"/>
          <w:lang w:val="es-CO"/>
        </w:rPr>
      </w:pPr>
    </w:p>
    <w:p w14:paraId="1051C761" w14:textId="77777777" w:rsidR="00081708" w:rsidRPr="008D2838" w:rsidRDefault="00081708" w:rsidP="00081708">
      <w:pPr>
        <w:jc w:val="both"/>
        <w:rPr>
          <w:rFonts w:ascii="Arial" w:hAnsi="Arial" w:cs="Arial"/>
          <w:iCs/>
          <w:sz w:val="22"/>
          <w:highlight w:val="cyan"/>
        </w:rPr>
      </w:pPr>
      <w:r w:rsidRPr="008D2838">
        <w:rPr>
          <w:rFonts w:ascii="Arial" w:eastAsia="Arial" w:hAnsi="Arial" w:cs="Arial"/>
          <w:color w:val="000000" w:themeColor="text1"/>
          <w:sz w:val="22"/>
          <w:szCs w:val="22"/>
          <w:lang w:val="es-CO"/>
        </w:rPr>
        <w:t xml:space="preserve">Para la vigencia 2022, las ejecuciones presupuestales arrojaron un superávit fiscal de $11 millones, menor al resultado fiscal del cierre de tesorería ($1.160 millones). No obstante, se identifica que el déficit de 2021 fue incorporado en el cierre de tesorería como una cuenta por cobrar al Distrito por $206,7 millones, es decir, como un recurso disponible con cargo al SGP Prestación del Servicio. De igual manera, se halló que los compromisos según la ejecución presupuestal con cargo a los recursos del SGP Educación ($119.641 millones) </w:t>
      </w:r>
      <w:r w:rsidR="00451D56">
        <w:rPr>
          <w:rFonts w:ascii="Arial" w:eastAsia="Arial" w:hAnsi="Arial" w:cs="Arial"/>
          <w:color w:val="000000" w:themeColor="text1"/>
          <w:sz w:val="22"/>
          <w:szCs w:val="22"/>
          <w:lang w:val="es-CO"/>
        </w:rPr>
        <w:t xml:space="preserve">son menores </w:t>
      </w:r>
      <w:r w:rsidRPr="008D2838">
        <w:rPr>
          <w:rFonts w:ascii="Arial" w:eastAsia="Arial" w:hAnsi="Arial" w:cs="Arial"/>
          <w:color w:val="000000" w:themeColor="text1"/>
          <w:sz w:val="22"/>
          <w:szCs w:val="22"/>
          <w:lang w:val="es-CO"/>
        </w:rPr>
        <w:t xml:space="preserve">que el </w:t>
      </w:r>
      <w:r w:rsidR="00451D56">
        <w:rPr>
          <w:rFonts w:ascii="Arial" w:eastAsia="Arial" w:hAnsi="Arial" w:cs="Arial"/>
          <w:color w:val="000000" w:themeColor="text1"/>
          <w:sz w:val="22"/>
          <w:szCs w:val="22"/>
          <w:lang w:val="es-CO"/>
        </w:rPr>
        <w:t xml:space="preserve">valor total del </w:t>
      </w:r>
      <w:r w:rsidRPr="008D2838">
        <w:rPr>
          <w:rFonts w:ascii="Arial" w:eastAsia="Arial" w:hAnsi="Arial" w:cs="Arial"/>
          <w:color w:val="000000" w:themeColor="text1"/>
          <w:sz w:val="22"/>
          <w:szCs w:val="22"/>
          <w:lang w:val="es-CO"/>
        </w:rPr>
        <w:t>listado de Registros Presupuestales (121.795 millones). Lo anterior, altera el resultado fiscal. De esta manera, se calculó el resultado con los ingresos de las ejecuciones (119.641 millones) y los compromisos del listado de Registros Presupuestales, obteniendo un déficit fiscal de $822 millones para la vigencia 2022.</w:t>
      </w:r>
    </w:p>
    <w:p w14:paraId="2C5AA024" w14:textId="77777777" w:rsidR="00081708" w:rsidRPr="008D2838" w:rsidRDefault="00081708" w:rsidP="00081708">
      <w:pPr>
        <w:jc w:val="both"/>
        <w:rPr>
          <w:rFonts w:ascii="Arial" w:eastAsia="Calibri" w:hAnsi="Arial" w:cs="Arial"/>
          <w:sz w:val="22"/>
          <w:szCs w:val="22"/>
          <w:lang w:val="es-CO" w:eastAsia="en-US"/>
        </w:rPr>
      </w:pPr>
    </w:p>
    <w:p w14:paraId="2BBE5EFE" w14:textId="77777777" w:rsidR="00081708" w:rsidRPr="008D2838" w:rsidRDefault="00081708" w:rsidP="00081708">
      <w:pPr>
        <w:jc w:val="both"/>
        <w:rPr>
          <w:rFonts w:ascii="Arial" w:eastAsia="Calibri" w:hAnsi="Arial" w:cs="Arial"/>
          <w:sz w:val="22"/>
          <w:szCs w:val="22"/>
          <w:lang w:val="es-CO" w:eastAsia="en-US"/>
        </w:rPr>
      </w:pPr>
      <w:r w:rsidRPr="008D2838">
        <w:rPr>
          <w:rFonts w:ascii="Arial" w:eastAsia="Calibri" w:hAnsi="Arial" w:cs="Arial"/>
          <w:sz w:val="22"/>
          <w:szCs w:val="22"/>
          <w:lang w:val="es-CO" w:eastAsia="en-US"/>
        </w:rPr>
        <w:t xml:space="preserve">Esta situación pone en riesgo la prestación del servicio educativo por las posibles acciones judiciales que puedan emprender los terceros afectados en contra de la administración, por la posible interrupción en la prestación de los servicios contratados por el distrito como son la alimentación escolar, el transporte escolar, etc.; así, como la posible utilización de </w:t>
      </w:r>
      <w:r w:rsidRPr="008D2838">
        <w:rPr>
          <w:rFonts w:ascii="Arial" w:eastAsia="Calibri" w:hAnsi="Arial" w:cs="Arial"/>
          <w:sz w:val="22"/>
          <w:szCs w:val="22"/>
          <w:lang w:val="es-CO" w:eastAsia="en-US"/>
        </w:rPr>
        <w:lastRenderedPageBreak/>
        <w:t>recursos del SGP asignados para la financiación de pasivos de vigencias anteriores, que pueden generar afectaciones en la atención del sector para la vigencia en curso.</w:t>
      </w:r>
    </w:p>
    <w:p w14:paraId="414F0EEA" w14:textId="77777777" w:rsidR="00081708" w:rsidRPr="008D2838" w:rsidRDefault="00081708" w:rsidP="00081708">
      <w:pPr>
        <w:jc w:val="both"/>
        <w:rPr>
          <w:rFonts w:ascii="Arial" w:hAnsi="Arial" w:cs="Arial"/>
          <w:iCs/>
          <w:sz w:val="22"/>
          <w:szCs w:val="22"/>
          <w:lang w:val="es-CO"/>
        </w:rPr>
      </w:pPr>
    </w:p>
    <w:p w14:paraId="10FBFC48" w14:textId="77777777" w:rsidR="00081708" w:rsidRPr="008D2838" w:rsidRDefault="00081708" w:rsidP="00081708">
      <w:pPr>
        <w:contextualSpacing/>
        <w:jc w:val="both"/>
        <w:textAlignment w:val="baseline"/>
        <w:rPr>
          <w:rFonts w:ascii="Arial" w:eastAsia="Times New Roman" w:hAnsi="Arial" w:cs="Arial"/>
          <w:color w:val="000000" w:themeColor="text1"/>
          <w:lang w:val="es-CO" w:eastAsia="es-ES_tradnl"/>
        </w:rPr>
      </w:pPr>
      <w:r w:rsidRPr="008D2838">
        <w:rPr>
          <w:rFonts w:ascii="Arial" w:eastAsia="MS Gothic" w:hAnsi="Arial" w:cs="Arial"/>
          <w:b/>
          <w:bCs/>
          <w:sz w:val="22"/>
          <w:szCs w:val="22"/>
          <w:lang w:val="es-CO" w:eastAsia="es-ES_tradnl"/>
        </w:rPr>
        <w:t xml:space="preserve">Evidencia: </w:t>
      </w:r>
      <w:r w:rsidRPr="008D2838">
        <w:rPr>
          <w:rFonts w:ascii="Arial" w:eastAsia="Times New Roman" w:hAnsi="Arial" w:cs="Arial"/>
          <w:color w:val="000000" w:themeColor="text1"/>
          <w:sz w:val="22"/>
          <w:szCs w:val="22"/>
          <w:lang w:val="es-CO" w:eastAsia="es-ES_tradnl"/>
        </w:rPr>
        <w:t>Obra en el expediente digital en el Sistema de Información Electrónica Documental – SIED del Ministerio de Hacienda y Crédito Público No. 18/2020/D028-PREDI el siguiente material probatorio:</w:t>
      </w:r>
    </w:p>
    <w:p w14:paraId="2E09FE65" w14:textId="77777777" w:rsidR="00081708" w:rsidRPr="008D2838" w:rsidRDefault="00081708" w:rsidP="00081708">
      <w:pPr>
        <w:numPr>
          <w:ilvl w:val="0"/>
          <w:numId w:val="44"/>
        </w:numPr>
        <w:ind w:hanging="426"/>
        <w:contextualSpacing/>
        <w:jc w:val="both"/>
        <w:rPr>
          <w:rFonts w:ascii="Arial" w:hAnsi="Arial" w:cs="Arial"/>
          <w:sz w:val="22"/>
          <w:szCs w:val="22"/>
          <w:lang w:val="es-CO"/>
        </w:rPr>
      </w:pPr>
      <w:r w:rsidRPr="008D2838">
        <w:rPr>
          <w:rFonts w:ascii="Arial" w:hAnsi="Arial" w:cs="Arial"/>
          <w:sz w:val="22"/>
          <w:szCs w:val="22"/>
        </w:rPr>
        <w:t>Cierre de Tesorería 2015. Sector Educación. Distrito de Turbo – Antioquia. Serie “</w:t>
      </w:r>
      <w:r w:rsidRPr="008D2838">
        <w:rPr>
          <w:rFonts w:ascii="Arial" w:hAnsi="Arial" w:cs="Arial"/>
          <w:i/>
          <w:iCs/>
          <w:sz w:val="22"/>
          <w:szCs w:val="22"/>
        </w:rPr>
        <w:t>Historial de seguimiento y control a los recursos del Sistema General de Participaciones</w:t>
      </w:r>
      <w:r w:rsidRPr="008D2838">
        <w:rPr>
          <w:rFonts w:ascii="Arial" w:hAnsi="Arial" w:cs="Arial"/>
          <w:sz w:val="22"/>
          <w:szCs w:val="22"/>
        </w:rPr>
        <w:t xml:space="preserve">”. Radicado No.1-2019-060458 del 2 de julio de 2019. </w:t>
      </w:r>
    </w:p>
    <w:p w14:paraId="507130EC" w14:textId="77777777" w:rsidR="00081708" w:rsidRPr="008D2838" w:rsidRDefault="00081708" w:rsidP="00081708">
      <w:pPr>
        <w:numPr>
          <w:ilvl w:val="0"/>
          <w:numId w:val="44"/>
        </w:numPr>
        <w:ind w:hanging="426"/>
        <w:contextualSpacing/>
        <w:jc w:val="both"/>
        <w:rPr>
          <w:rFonts w:ascii="Arial" w:hAnsi="Arial" w:cs="Arial"/>
          <w:sz w:val="22"/>
          <w:szCs w:val="22"/>
          <w:lang w:val="es-CO"/>
        </w:rPr>
      </w:pPr>
      <w:r w:rsidRPr="008D2838">
        <w:rPr>
          <w:rFonts w:ascii="Arial" w:hAnsi="Arial" w:cs="Arial"/>
          <w:sz w:val="22"/>
          <w:szCs w:val="22"/>
          <w:lang w:val="es-CO"/>
        </w:rPr>
        <w:t>Cierre de Tesorería 2016.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Radicado No.1-2019-060458 del 2 de julio de 2019. </w:t>
      </w:r>
    </w:p>
    <w:p w14:paraId="216EAB79" w14:textId="77777777" w:rsidR="00081708" w:rsidRPr="008D2838" w:rsidRDefault="00081708" w:rsidP="00081708">
      <w:pPr>
        <w:numPr>
          <w:ilvl w:val="0"/>
          <w:numId w:val="44"/>
        </w:numPr>
        <w:ind w:hanging="426"/>
        <w:contextualSpacing/>
        <w:jc w:val="both"/>
        <w:rPr>
          <w:rFonts w:ascii="Arial" w:hAnsi="Arial" w:cs="Arial"/>
          <w:sz w:val="22"/>
          <w:szCs w:val="22"/>
          <w:lang w:val="es-CO"/>
        </w:rPr>
      </w:pPr>
      <w:r w:rsidRPr="008D2838">
        <w:rPr>
          <w:rFonts w:ascii="Arial" w:hAnsi="Arial" w:cs="Arial"/>
          <w:sz w:val="22"/>
          <w:szCs w:val="22"/>
          <w:lang w:val="es-CO"/>
        </w:rPr>
        <w:t>Cierre de Tesorería 2017.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Radicado No.1-2019-060458 del 2 de julio de 2019. </w:t>
      </w:r>
    </w:p>
    <w:p w14:paraId="2DB4FD5A" w14:textId="77777777" w:rsidR="00081708" w:rsidRPr="008D2838" w:rsidRDefault="00081708" w:rsidP="00081708">
      <w:pPr>
        <w:numPr>
          <w:ilvl w:val="0"/>
          <w:numId w:val="44"/>
        </w:numPr>
        <w:ind w:hanging="426"/>
        <w:contextualSpacing/>
        <w:jc w:val="both"/>
        <w:rPr>
          <w:rFonts w:ascii="Arial" w:hAnsi="Arial" w:cs="Arial"/>
          <w:sz w:val="22"/>
          <w:szCs w:val="22"/>
          <w:lang w:val="es-CO"/>
        </w:rPr>
      </w:pPr>
      <w:r w:rsidRPr="008D2838">
        <w:rPr>
          <w:rFonts w:ascii="Arial" w:hAnsi="Arial" w:cs="Arial"/>
          <w:sz w:val="22"/>
          <w:szCs w:val="22"/>
          <w:lang w:val="es-CO"/>
        </w:rPr>
        <w:t>Cierre de Tesorería 2021, con un déficit de $206 millones con SGP Prestación de Servicios.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Radicado No.1-2022-098813 del 24 de noviembre de 2022. </w:t>
      </w:r>
    </w:p>
    <w:p w14:paraId="1368289C" w14:textId="77777777" w:rsidR="00081708" w:rsidRPr="008D2838" w:rsidRDefault="00081708" w:rsidP="00081708">
      <w:pPr>
        <w:numPr>
          <w:ilvl w:val="0"/>
          <w:numId w:val="44"/>
        </w:numPr>
        <w:ind w:hanging="426"/>
        <w:contextualSpacing/>
        <w:jc w:val="both"/>
        <w:rPr>
          <w:rFonts w:ascii="Arial" w:hAnsi="Arial" w:cs="Arial"/>
          <w:sz w:val="22"/>
          <w:szCs w:val="22"/>
          <w:lang w:val="en-US"/>
        </w:rPr>
      </w:pPr>
      <w:r w:rsidRPr="008D2838">
        <w:rPr>
          <w:rFonts w:ascii="Arial" w:hAnsi="Arial" w:cs="Arial"/>
          <w:sz w:val="22"/>
          <w:szCs w:val="22"/>
          <w:lang w:val="es-CO"/>
        </w:rPr>
        <w:t>Cierre de Tesorería 2022, con SGP Prestación de Servicios.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Radicado No.</w:t>
      </w:r>
      <w:r w:rsidRPr="008D2838">
        <w:rPr>
          <w:rFonts w:ascii="Arial" w:hAnsi="Arial" w:cs="Arial"/>
        </w:rPr>
        <w:t xml:space="preserve"> </w:t>
      </w:r>
      <w:r w:rsidRPr="008D2838">
        <w:rPr>
          <w:rFonts w:ascii="Arial" w:hAnsi="Arial" w:cs="Arial"/>
          <w:sz w:val="22"/>
          <w:szCs w:val="22"/>
          <w:lang w:val="es-CO"/>
        </w:rPr>
        <w:t xml:space="preserve">1-2023-042153 del 18 de mayo de 2023. </w:t>
      </w:r>
    </w:p>
    <w:p w14:paraId="1DEAA404" w14:textId="77777777" w:rsidR="00081708" w:rsidRPr="008D2838" w:rsidRDefault="00081708" w:rsidP="00081708">
      <w:pPr>
        <w:numPr>
          <w:ilvl w:val="0"/>
          <w:numId w:val="44"/>
        </w:numPr>
        <w:ind w:hanging="426"/>
        <w:contextualSpacing/>
        <w:jc w:val="both"/>
        <w:rPr>
          <w:rFonts w:ascii="Arial" w:hAnsi="Arial" w:cs="Arial"/>
          <w:sz w:val="22"/>
          <w:szCs w:val="22"/>
          <w:lang w:val="es-CO"/>
        </w:rPr>
      </w:pPr>
      <w:r w:rsidRPr="008D2838">
        <w:rPr>
          <w:rFonts w:ascii="Arial" w:hAnsi="Arial" w:cs="Arial"/>
          <w:sz w:val="22"/>
          <w:szCs w:val="22"/>
          <w:lang w:val="es-CO"/>
        </w:rPr>
        <w:t>Cierre de Tesorería 2022, con SGP Calidad.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Radicado No.</w:t>
      </w:r>
      <w:r w:rsidRPr="008D2838">
        <w:rPr>
          <w:rFonts w:ascii="Arial" w:hAnsi="Arial" w:cs="Arial"/>
        </w:rPr>
        <w:t xml:space="preserve"> </w:t>
      </w:r>
      <w:r w:rsidRPr="008D2838">
        <w:rPr>
          <w:rFonts w:ascii="Arial" w:hAnsi="Arial" w:cs="Arial"/>
          <w:sz w:val="22"/>
          <w:szCs w:val="22"/>
          <w:lang w:val="es-CO"/>
        </w:rPr>
        <w:t xml:space="preserve">1-2023-042153 del 18 de mayo de 2023. </w:t>
      </w:r>
    </w:p>
    <w:p w14:paraId="4DA301E6" w14:textId="77777777" w:rsidR="00081708" w:rsidRPr="008D2838" w:rsidRDefault="00081708" w:rsidP="00081708">
      <w:pPr>
        <w:numPr>
          <w:ilvl w:val="0"/>
          <w:numId w:val="44"/>
        </w:numPr>
        <w:ind w:hanging="426"/>
        <w:contextualSpacing/>
        <w:jc w:val="both"/>
        <w:rPr>
          <w:rFonts w:ascii="Arial" w:hAnsi="Arial" w:cs="Arial"/>
          <w:sz w:val="22"/>
          <w:szCs w:val="22"/>
          <w:lang w:val="en-US"/>
        </w:rPr>
      </w:pPr>
      <w:r w:rsidRPr="008D2838">
        <w:rPr>
          <w:rFonts w:ascii="Arial" w:hAnsi="Arial" w:cs="Arial"/>
          <w:sz w:val="22"/>
          <w:szCs w:val="22"/>
          <w:lang w:val="es-CO"/>
        </w:rPr>
        <w:t>Ejecución presupuestal de egresos 2022.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Radicado No.</w:t>
      </w:r>
      <w:r w:rsidRPr="008D2838">
        <w:rPr>
          <w:rFonts w:ascii="Arial" w:hAnsi="Arial" w:cs="Arial"/>
        </w:rPr>
        <w:t xml:space="preserve"> </w:t>
      </w:r>
      <w:r w:rsidRPr="008D2838">
        <w:rPr>
          <w:rFonts w:ascii="Arial" w:hAnsi="Arial" w:cs="Arial"/>
          <w:sz w:val="22"/>
          <w:szCs w:val="22"/>
          <w:lang w:val="es-CO"/>
        </w:rPr>
        <w:t>1-2023-040164 del 12 de mayo de 2023.</w:t>
      </w:r>
      <w:r w:rsidR="00986D5F" w:rsidRPr="008D2838">
        <w:rPr>
          <w:rFonts w:ascii="Arial" w:hAnsi="Arial" w:cs="Arial"/>
          <w:sz w:val="22"/>
          <w:szCs w:val="22"/>
          <w:lang w:val="en-US"/>
        </w:rPr>
        <w:t xml:space="preserve"> </w:t>
      </w:r>
    </w:p>
    <w:p w14:paraId="018CA33C" w14:textId="77777777" w:rsidR="00081708" w:rsidRPr="008D2838" w:rsidRDefault="00081708" w:rsidP="00081708">
      <w:pPr>
        <w:numPr>
          <w:ilvl w:val="0"/>
          <w:numId w:val="44"/>
        </w:numPr>
        <w:ind w:hanging="426"/>
        <w:contextualSpacing/>
        <w:jc w:val="both"/>
        <w:rPr>
          <w:rFonts w:ascii="Arial" w:hAnsi="Arial" w:cs="Arial"/>
          <w:sz w:val="22"/>
          <w:szCs w:val="22"/>
          <w:lang w:val="en-US"/>
        </w:rPr>
      </w:pPr>
      <w:r w:rsidRPr="008D2838">
        <w:rPr>
          <w:rFonts w:ascii="Arial" w:hAnsi="Arial" w:cs="Arial"/>
          <w:sz w:val="22"/>
          <w:szCs w:val="22"/>
          <w:lang w:val="es-CO"/>
        </w:rPr>
        <w:t>Ejecución presupuestal de ingresos 2022.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Radicado No.</w:t>
      </w:r>
      <w:r w:rsidRPr="008D2838">
        <w:rPr>
          <w:rFonts w:ascii="Arial" w:hAnsi="Arial" w:cs="Arial"/>
        </w:rPr>
        <w:t xml:space="preserve"> </w:t>
      </w:r>
      <w:r w:rsidRPr="008D2838">
        <w:rPr>
          <w:rFonts w:ascii="Arial" w:hAnsi="Arial" w:cs="Arial"/>
          <w:sz w:val="22"/>
          <w:szCs w:val="22"/>
          <w:lang w:val="es-CO"/>
        </w:rPr>
        <w:t xml:space="preserve">1-2023-040164 del 12 de mayo de 2023. </w:t>
      </w:r>
    </w:p>
    <w:p w14:paraId="0B5EDDA3" w14:textId="77777777" w:rsidR="00081708" w:rsidRPr="008D2838" w:rsidRDefault="00081708" w:rsidP="00081708">
      <w:pPr>
        <w:numPr>
          <w:ilvl w:val="0"/>
          <w:numId w:val="44"/>
        </w:numPr>
        <w:ind w:hanging="426"/>
        <w:contextualSpacing/>
        <w:jc w:val="both"/>
        <w:rPr>
          <w:rFonts w:ascii="Arial" w:hAnsi="Arial" w:cs="Arial"/>
          <w:sz w:val="22"/>
          <w:szCs w:val="22"/>
          <w:lang w:val="en-US"/>
        </w:rPr>
      </w:pPr>
      <w:r w:rsidRPr="008D2838">
        <w:rPr>
          <w:rFonts w:ascii="Arial" w:hAnsi="Arial" w:cs="Arial"/>
          <w:sz w:val="22"/>
          <w:szCs w:val="22"/>
          <w:lang w:val="es-CO"/>
        </w:rPr>
        <w:t>Listado compromisos RP 2022.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Radicado No.</w:t>
      </w:r>
      <w:r w:rsidRPr="008D2838">
        <w:rPr>
          <w:rFonts w:ascii="Arial" w:hAnsi="Arial" w:cs="Arial"/>
        </w:rPr>
        <w:t xml:space="preserve"> </w:t>
      </w:r>
      <w:r w:rsidRPr="008D2838">
        <w:rPr>
          <w:rFonts w:ascii="Arial" w:hAnsi="Arial" w:cs="Arial"/>
          <w:sz w:val="22"/>
          <w:szCs w:val="22"/>
          <w:lang w:val="es-CO"/>
        </w:rPr>
        <w:t xml:space="preserve">1-2023-040164 del 12 de mayo de 2023. </w:t>
      </w:r>
    </w:p>
    <w:p w14:paraId="51696977" w14:textId="77777777" w:rsidR="00081708" w:rsidRPr="008D2838" w:rsidRDefault="00081708" w:rsidP="00081708">
      <w:pPr>
        <w:numPr>
          <w:ilvl w:val="0"/>
          <w:numId w:val="44"/>
        </w:numPr>
        <w:ind w:hanging="426"/>
        <w:contextualSpacing/>
        <w:jc w:val="both"/>
        <w:rPr>
          <w:rFonts w:ascii="Arial" w:hAnsi="Arial" w:cs="Arial"/>
          <w:sz w:val="22"/>
          <w:szCs w:val="22"/>
          <w:lang w:val="es-CO"/>
        </w:rPr>
      </w:pPr>
      <w:r w:rsidRPr="008D2838">
        <w:rPr>
          <w:rFonts w:ascii="Arial" w:hAnsi="Arial" w:cs="Arial"/>
          <w:sz w:val="22"/>
          <w:szCs w:val="22"/>
          <w:lang w:val="es-CO"/>
        </w:rPr>
        <w:t>Informe aclaratorio de las diferencias entre el excedente presupuestal y el resultado de tesorería a diciembre 31 de 2015 requerido por el MEN.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Radicado. No.1-2019-060458 del 2 de julio de 2019. </w:t>
      </w:r>
    </w:p>
    <w:p w14:paraId="53FFE8DC" w14:textId="77777777" w:rsidR="00081708" w:rsidRPr="008D2838" w:rsidRDefault="00081708" w:rsidP="00081708">
      <w:pPr>
        <w:numPr>
          <w:ilvl w:val="0"/>
          <w:numId w:val="44"/>
        </w:numPr>
        <w:ind w:hanging="426"/>
        <w:contextualSpacing/>
        <w:jc w:val="both"/>
        <w:rPr>
          <w:rFonts w:ascii="Arial" w:hAnsi="Arial" w:cs="Arial"/>
          <w:sz w:val="22"/>
        </w:rPr>
      </w:pPr>
      <w:r w:rsidRPr="008D2838">
        <w:rPr>
          <w:rFonts w:ascii="Arial" w:hAnsi="Arial" w:cs="Arial"/>
          <w:iCs/>
          <w:sz w:val="22"/>
          <w:szCs w:val="22"/>
          <w:lang w:val="es-CO"/>
        </w:rPr>
        <w:t>Acta suscrita con el Ministerio de Educación Nacional el 19 de junio de 2019</w:t>
      </w:r>
      <w:r w:rsidRPr="008D2838">
        <w:rPr>
          <w:rFonts w:ascii="Arial" w:hAnsi="Arial" w:cs="Arial"/>
          <w:sz w:val="22"/>
          <w:szCs w:val="22"/>
          <w:lang w:val="es-CO"/>
        </w:rPr>
        <w:t xml:space="preserve"> Archivado en CD físicamente. Sector Educación. Distrito de Turbo – Antioquia. 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Radicado No.1-2019-076865 del 20 de agosto de 2019. </w:t>
      </w:r>
    </w:p>
    <w:p w14:paraId="1B95345D" w14:textId="77777777" w:rsidR="00081708" w:rsidRPr="008D2838" w:rsidRDefault="00081708" w:rsidP="00500471">
      <w:pPr>
        <w:numPr>
          <w:ilvl w:val="0"/>
          <w:numId w:val="44"/>
        </w:numPr>
        <w:ind w:hanging="426"/>
        <w:contextualSpacing/>
        <w:jc w:val="both"/>
        <w:rPr>
          <w:rFonts w:ascii="Arial" w:hAnsi="Arial" w:cs="Arial"/>
          <w:sz w:val="22"/>
          <w:szCs w:val="22"/>
          <w:lang w:val="es-CO"/>
        </w:rPr>
      </w:pPr>
      <w:r w:rsidRPr="008D2838">
        <w:rPr>
          <w:rFonts w:ascii="Arial" w:hAnsi="Arial" w:cs="Arial"/>
          <w:iCs/>
          <w:sz w:val="22"/>
          <w:szCs w:val="22"/>
          <w:lang w:val="es-CO"/>
        </w:rPr>
        <w:t>Documento requerimiento de información de diagnóstico. Sector Educación.</w:t>
      </w:r>
      <w:r w:rsidRPr="008D2838">
        <w:rPr>
          <w:rFonts w:ascii="Arial" w:hAnsi="Arial" w:cs="Arial"/>
          <w:sz w:val="22"/>
          <w:szCs w:val="22"/>
          <w:lang w:val="es-CO"/>
        </w:rPr>
        <w:t xml:space="preserve"> Distrito de Turbo – Antioquia.</w:t>
      </w:r>
      <w:r w:rsidRPr="008D2838">
        <w:rPr>
          <w:rFonts w:ascii="Arial" w:hAnsi="Arial" w:cs="Arial"/>
          <w:iCs/>
          <w:sz w:val="22"/>
          <w:szCs w:val="22"/>
          <w:lang w:val="es-CO"/>
        </w:rPr>
        <w:t xml:space="preserve"> </w:t>
      </w:r>
      <w:r w:rsidRPr="008D2838">
        <w:rPr>
          <w:rFonts w:ascii="Arial" w:hAnsi="Arial" w:cs="Arial"/>
          <w:sz w:val="22"/>
          <w:szCs w:val="22"/>
          <w:lang w:val="es-CO"/>
        </w:rPr>
        <w:t>Serie “</w:t>
      </w:r>
      <w:r w:rsidRPr="008D2838">
        <w:rPr>
          <w:rFonts w:ascii="Arial" w:hAnsi="Arial" w:cs="Arial"/>
          <w:i/>
          <w:iCs/>
          <w:sz w:val="22"/>
          <w:szCs w:val="22"/>
          <w:lang w:val="es-CO"/>
        </w:rPr>
        <w:t>Historial de seguimiento y control a los recursos del Sistema General de Participaciones</w:t>
      </w:r>
      <w:r w:rsidRPr="008D2838">
        <w:rPr>
          <w:rFonts w:ascii="Arial" w:hAnsi="Arial" w:cs="Arial"/>
          <w:sz w:val="22"/>
          <w:szCs w:val="22"/>
          <w:lang w:val="es-CO"/>
        </w:rPr>
        <w:t xml:space="preserve">”. </w:t>
      </w:r>
      <w:r w:rsidRPr="008D2838">
        <w:rPr>
          <w:rFonts w:ascii="Arial" w:hAnsi="Arial" w:cs="Arial"/>
          <w:iCs/>
          <w:sz w:val="22"/>
          <w:szCs w:val="22"/>
          <w:lang w:val="es-CO"/>
        </w:rPr>
        <w:t xml:space="preserve">Radicado No. </w:t>
      </w:r>
      <w:hyperlink r:id="rId13" w:history="1">
        <w:r w:rsidRPr="008D2838">
          <w:rPr>
            <w:rFonts w:ascii="Arial" w:hAnsi="Arial" w:cs="Arial"/>
            <w:iCs/>
            <w:sz w:val="22"/>
            <w:szCs w:val="22"/>
            <w:lang w:val="es-CO"/>
          </w:rPr>
          <w:t>1-2021-101800</w:t>
        </w:r>
      </w:hyperlink>
      <w:r w:rsidRPr="008D2838">
        <w:rPr>
          <w:rFonts w:ascii="Arial" w:hAnsi="Arial" w:cs="Arial"/>
          <w:iCs/>
          <w:sz w:val="22"/>
          <w:szCs w:val="22"/>
          <w:lang w:val="es-CO"/>
        </w:rPr>
        <w:t xml:space="preserve"> del 12 de noviembre de 2021. </w:t>
      </w:r>
    </w:p>
    <w:p w14:paraId="4606919A" w14:textId="77777777" w:rsidR="00081708" w:rsidRPr="008D2838" w:rsidRDefault="00081708" w:rsidP="00081708">
      <w:pPr>
        <w:jc w:val="both"/>
        <w:outlineLvl w:val="2"/>
        <w:rPr>
          <w:rFonts w:ascii="Arial" w:hAnsi="Arial" w:cs="Arial"/>
          <w:sz w:val="22"/>
          <w:szCs w:val="22"/>
          <w:lang w:val="es-CO"/>
        </w:rPr>
      </w:pPr>
    </w:p>
    <w:p w14:paraId="050C952B" w14:textId="77777777" w:rsidR="00081708" w:rsidRPr="008D2838" w:rsidRDefault="00081708" w:rsidP="00081708">
      <w:pPr>
        <w:jc w:val="both"/>
        <w:rPr>
          <w:rFonts w:ascii="Arial" w:hAnsi="Arial" w:cs="Arial"/>
          <w:sz w:val="16"/>
          <w:szCs w:val="16"/>
          <w:lang w:val="es-CO"/>
        </w:rPr>
      </w:pPr>
      <w:r w:rsidRPr="008D2838">
        <w:rPr>
          <w:rFonts w:ascii="Arial" w:hAnsi="Arial" w:cs="Arial"/>
          <w:sz w:val="16"/>
          <w:szCs w:val="16"/>
          <w:lang w:val="es-CO"/>
        </w:rPr>
        <w:t>Aprobó: Fernando Olivera</w:t>
      </w:r>
    </w:p>
    <w:p w14:paraId="4EC34C64" w14:textId="77777777" w:rsidR="00081708" w:rsidRPr="008D2838" w:rsidRDefault="00081708" w:rsidP="00081708">
      <w:pPr>
        <w:jc w:val="both"/>
        <w:rPr>
          <w:rFonts w:ascii="Arial" w:hAnsi="Arial" w:cs="Arial"/>
          <w:sz w:val="16"/>
          <w:szCs w:val="16"/>
          <w:lang w:val="es-CO"/>
        </w:rPr>
      </w:pPr>
      <w:r w:rsidRPr="008D2838">
        <w:rPr>
          <w:rFonts w:ascii="Arial" w:hAnsi="Arial" w:cs="Arial"/>
          <w:sz w:val="16"/>
          <w:szCs w:val="16"/>
          <w:lang w:val="es-CO"/>
        </w:rPr>
        <w:lastRenderedPageBreak/>
        <w:t>Revisión Técnica: Liz Rey</w:t>
      </w:r>
    </w:p>
    <w:p w14:paraId="355673E4" w14:textId="77777777" w:rsidR="00081708" w:rsidRPr="008D2838" w:rsidRDefault="00081708" w:rsidP="00081708">
      <w:pPr>
        <w:jc w:val="both"/>
        <w:rPr>
          <w:rFonts w:ascii="Arial" w:hAnsi="Arial" w:cs="Arial"/>
          <w:sz w:val="16"/>
          <w:szCs w:val="16"/>
          <w:lang w:val="es-CO"/>
        </w:rPr>
      </w:pPr>
      <w:r w:rsidRPr="008D2838">
        <w:rPr>
          <w:rFonts w:ascii="Arial" w:hAnsi="Arial" w:cs="Arial"/>
          <w:sz w:val="16"/>
          <w:szCs w:val="16"/>
          <w:lang w:val="es-CO"/>
        </w:rPr>
        <w:t>Revisión Jurídica: Equipo Jurídico</w:t>
      </w:r>
    </w:p>
    <w:p w14:paraId="50A8CA51" w14:textId="77777777" w:rsidR="00370540" w:rsidRPr="008D2838" w:rsidRDefault="00081708" w:rsidP="00081708">
      <w:pPr>
        <w:rPr>
          <w:rFonts w:ascii="Arial" w:hAnsi="Arial" w:cs="Arial"/>
        </w:rPr>
      </w:pPr>
      <w:r w:rsidRPr="008D2838">
        <w:rPr>
          <w:rFonts w:ascii="Arial" w:hAnsi="Arial" w:cs="Arial"/>
          <w:sz w:val="16"/>
          <w:szCs w:val="16"/>
          <w:lang w:val="es-CO"/>
        </w:rPr>
        <w:t>Elaboró: Melissa Ruiz / Anyi Quevedo</w:t>
      </w:r>
    </w:p>
    <w:sectPr w:rsidR="00370540" w:rsidRPr="008D2838" w:rsidSect="009C3695">
      <w:headerReference w:type="default" r:id="rId14"/>
      <w:footerReference w:type="default" r:id="rId15"/>
      <w:headerReference w:type="first" r:id="rId16"/>
      <w:footerReference w:type="first" r:id="rId17"/>
      <w:pgSz w:w="12240" w:h="15840" w:code="1"/>
      <w:pgMar w:top="1701" w:right="1701" w:bottom="1418"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A1599" w14:textId="77777777" w:rsidR="00C27AA0" w:rsidRDefault="00C27AA0" w:rsidP="00F71345">
      <w:r>
        <w:separator/>
      </w:r>
    </w:p>
  </w:endnote>
  <w:endnote w:type="continuationSeparator" w:id="0">
    <w:p w14:paraId="0002F7A8" w14:textId="77777777" w:rsidR="00C27AA0" w:rsidRDefault="00C27AA0" w:rsidP="00F71345">
      <w:r>
        <w:continuationSeparator/>
      </w:r>
    </w:p>
  </w:endnote>
  <w:endnote w:type="continuationNotice" w:id="1">
    <w:p w14:paraId="11870AC7" w14:textId="77777777" w:rsidR="00C27AA0" w:rsidRDefault="00C27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Std Book">
    <w:altName w:val="Arial"/>
    <w:charset w:val="B1"/>
    <w:family w:val="swiss"/>
    <w:pitch w:val="variable"/>
    <w:sig w:usb0="800008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19FD" w14:textId="77777777" w:rsidR="000E302E" w:rsidRPr="00C5503D" w:rsidRDefault="009A7904" w:rsidP="00C5503D">
    <w:pPr>
      <w:pStyle w:val="Piedepgina"/>
    </w:pPr>
    <w:r>
      <w:rPr>
        <w:rFonts w:ascii="Times New Roman" w:hAnsi="Times New Roman" w:cs="Times New Roman"/>
        <w:noProof/>
        <w:sz w:val="24"/>
        <w:szCs w:val="24"/>
        <w:lang w:eastAsia="es-CO"/>
      </w:rPr>
      <w:pict w14:anchorId="5D947FC3">
        <v:shapetype id="_x0000_t202" coordsize="21600,21600" o:spt="202" path="m,l,21600r21600,l21600,xe">
          <v:stroke joinstyle="miter"/>
          <v:path gradientshapeok="t" o:connecttype="rect"/>
        </v:shapetype>
        <v:shape id="Cuadro de texto 3" o:spid="_x0000_s1026" type="#_x0000_t202" style="position:absolute;margin-left:0;margin-top:-50.25pt;width:474.75pt;height:96.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" filled="f" stroked="f" strokeweight=".5pt">
          <v:textbox>
            <w:txbxContent>
              <w:p w14:paraId="205E6497" w14:textId="77777777" w:rsidR="00086458" w:rsidRDefault="00086458" w:rsidP="00086458">
                <w:pPr>
                  <w:spacing w:line="276" w:lineRule="auto"/>
                  <w:jc w:val="both"/>
                  <w:rPr>
                    <w:rFonts w:ascii="Helvetica" w:hAnsi="Helvetica"/>
                    <w:sz w:val="20"/>
                    <w:szCs w:val="20"/>
                  </w:rPr>
                </w:pPr>
                <w:r>
                  <w:rPr>
                    <w:rFonts w:ascii="Helvetica" w:hAnsi="Helvetica"/>
                    <w:sz w:val="20"/>
                    <w:szCs w:val="20"/>
                  </w:rPr>
                  <w:t>________________________________________________________________________</w:t>
                </w:r>
              </w:p>
              <w:p w14:paraId="6045C2C7" w14:textId="77777777" w:rsidR="00086458" w:rsidRDefault="00086458" w:rsidP="00086458">
                <w:pPr>
                  <w:spacing w:line="276" w:lineRule="auto"/>
                  <w:jc w:val="both"/>
                  <w:rPr>
                    <w:rFonts w:ascii="Helvetica" w:hAnsi="Helvetica"/>
                    <w:b/>
                    <w:bCs/>
                    <w:sz w:val="20"/>
                    <w:szCs w:val="20"/>
                  </w:rPr>
                </w:pPr>
                <w:r>
                  <w:rPr>
                    <w:rFonts w:ascii="Helvetica" w:hAnsi="Helvetica"/>
                    <w:b/>
                    <w:bCs/>
                    <w:sz w:val="20"/>
                    <w:szCs w:val="20"/>
                  </w:rPr>
                  <w:t>Ministerio de Hacienda y Crédito Público</w:t>
                </w:r>
              </w:p>
              <w:p w14:paraId="6F4E48E5" w14:textId="77777777" w:rsidR="00086458" w:rsidRDefault="00086458" w:rsidP="00086458">
                <w:pPr>
                  <w:spacing w:line="276" w:lineRule="auto"/>
                  <w:jc w:val="both"/>
                  <w:rPr>
                    <w:rFonts w:ascii="Helvetica" w:hAnsi="Helvetica"/>
                    <w:sz w:val="20"/>
                    <w:szCs w:val="20"/>
                  </w:rPr>
                </w:pPr>
                <w:r>
                  <w:rPr>
                    <w:rFonts w:ascii="Helvetica" w:hAnsi="Helvetica"/>
                    <w:sz w:val="20"/>
                    <w:szCs w:val="20"/>
                  </w:rPr>
                  <w:t>Dirección: Carrera 8 No. 6C- 38, Bogotá D.C., Colombia</w:t>
                </w:r>
              </w:p>
              <w:p w14:paraId="294F7C05" w14:textId="77777777" w:rsidR="00086458" w:rsidRDefault="00086458" w:rsidP="00086458">
                <w:pPr>
                  <w:spacing w:line="276" w:lineRule="auto"/>
                  <w:jc w:val="both"/>
                  <w:rPr>
                    <w:rFonts w:ascii="Helvetica" w:hAnsi="Helvetica"/>
                    <w:sz w:val="20"/>
                    <w:szCs w:val="20"/>
                  </w:rPr>
                </w:pPr>
                <w:r>
                  <w:rPr>
                    <w:rFonts w:ascii="Helvetica" w:hAnsi="Helvetica"/>
                    <w:sz w:val="20"/>
                    <w:szCs w:val="20"/>
                  </w:rPr>
                  <w:t>Conmutador: (+57) 601 3811700 - 602 1270</w:t>
                </w:r>
              </w:p>
              <w:p w14:paraId="695584FC" w14:textId="77777777" w:rsidR="00086458" w:rsidRDefault="00086458" w:rsidP="00086458">
                <w:pPr>
                  <w:spacing w:line="276" w:lineRule="auto"/>
                  <w:jc w:val="both"/>
                  <w:rPr>
                    <w:rFonts w:ascii="Helvetica" w:hAnsi="Helvetica"/>
                    <w:sz w:val="20"/>
                    <w:szCs w:val="20"/>
                  </w:rPr>
                </w:pPr>
                <w:r>
                  <w:rPr>
                    <w:rFonts w:ascii="Helvetica" w:hAnsi="Helvetica"/>
                    <w:sz w:val="20"/>
                    <w:szCs w:val="20"/>
                  </w:rPr>
                  <w:t>Línea Gratuita: (+57) 01 8000 910071</w:t>
                </w:r>
              </w:p>
              <w:p w14:paraId="10DBA818" w14:textId="77777777" w:rsidR="00086458" w:rsidRDefault="00086458" w:rsidP="00086458">
                <w:pPr>
                  <w:spacing w:line="276" w:lineRule="auto"/>
                  <w:jc w:val="both"/>
                  <w:rPr>
                    <w:rFonts w:ascii="Helvetica" w:hAnsi="Helvetica"/>
                    <w:sz w:val="20"/>
                    <w:szCs w:val="20"/>
                  </w:rP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A9F2" w14:textId="77777777" w:rsidR="000E302E" w:rsidRPr="00F01F75" w:rsidRDefault="009A7904" w:rsidP="00F01F75">
    <w:pPr>
      <w:pStyle w:val="Piedepgina"/>
    </w:pPr>
    <w:r>
      <w:rPr>
        <w:rFonts w:ascii="Times New Roman" w:hAnsi="Times New Roman" w:cs="Times New Roman"/>
        <w:noProof/>
        <w:sz w:val="24"/>
        <w:szCs w:val="24"/>
        <w:lang w:eastAsia="es-CO"/>
      </w:rPr>
      <w:pict w14:anchorId="50607B13">
        <v:shapetype id="_x0000_t202" coordsize="21600,21600" o:spt="202" path="m,l,21600r21600,l21600,xe">
          <v:stroke joinstyle="miter"/>
          <v:path gradientshapeok="t" o:connecttype="rect"/>
        </v:shapetype>
        <v:shape id="_x0000_s1027" type="#_x0000_t202" style="position:absolute;margin-left:0;margin-top:-50.35pt;width:474.75pt;height:96.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" filled="f" stroked="f" strokeweight=".5pt">
          <v:textbox>
            <w:txbxContent>
              <w:p w14:paraId="19C41F7A" w14:textId="77777777" w:rsidR="00086458" w:rsidRDefault="00086458" w:rsidP="00086458">
                <w:pPr>
                  <w:spacing w:line="276" w:lineRule="auto"/>
                  <w:jc w:val="both"/>
                  <w:rPr>
                    <w:rFonts w:ascii="Helvetica" w:hAnsi="Helvetica"/>
                    <w:sz w:val="20"/>
                    <w:szCs w:val="20"/>
                  </w:rPr>
                </w:pPr>
                <w:r>
                  <w:rPr>
                    <w:rFonts w:ascii="Helvetica" w:hAnsi="Helvetica"/>
                    <w:sz w:val="20"/>
                    <w:szCs w:val="20"/>
                  </w:rPr>
                  <w:t>________________________________________________________________________</w:t>
                </w:r>
              </w:p>
              <w:p w14:paraId="13F857FA" w14:textId="77777777" w:rsidR="00086458" w:rsidRDefault="00086458" w:rsidP="00086458">
                <w:pPr>
                  <w:spacing w:line="276" w:lineRule="auto"/>
                  <w:jc w:val="both"/>
                  <w:rPr>
                    <w:rFonts w:ascii="Helvetica" w:hAnsi="Helvetica"/>
                    <w:b/>
                    <w:bCs/>
                    <w:sz w:val="20"/>
                    <w:szCs w:val="20"/>
                  </w:rPr>
                </w:pPr>
                <w:r>
                  <w:rPr>
                    <w:rFonts w:ascii="Helvetica" w:hAnsi="Helvetica"/>
                    <w:b/>
                    <w:bCs/>
                    <w:sz w:val="20"/>
                    <w:szCs w:val="20"/>
                  </w:rPr>
                  <w:t>Ministerio de Hacienda y Crédito Público</w:t>
                </w:r>
              </w:p>
              <w:p w14:paraId="3953BE54" w14:textId="77777777" w:rsidR="00086458" w:rsidRDefault="00086458" w:rsidP="00086458">
                <w:pPr>
                  <w:spacing w:line="276" w:lineRule="auto"/>
                  <w:jc w:val="both"/>
                  <w:rPr>
                    <w:rFonts w:ascii="Helvetica" w:hAnsi="Helvetica"/>
                    <w:sz w:val="20"/>
                    <w:szCs w:val="20"/>
                  </w:rPr>
                </w:pPr>
                <w:r>
                  <w:rPr>
                    <w:rFonts w:ascii="Helvetica" w:hAnsi="Helvetica"/>
                    <w:sz w:val="20"/>
                    <w:szCs w:val="20"/>
                  </w:rPr>
                  <w:t>Dirección: Carrera 8 No. 6C- 38, Bogotá D.C., Colombia</w:t>
                </w:r>
              </w:p>
              <w:p w14:paraId="5CB9724F" w14:textId="77777777" w:rsidR="00086458" w:rsidRDefault="00086458" w:rsidP="00086458">
                <w:pPr>
                  <w:spacing w:line="276" w:lineRule="auto"/>
                  <w:jc w:val="both"/>
                  <w:rPr>
                    <w:rFonts w:ascii="Helvetica" w:hAnsi="Helvetica"/>
                    <w:sz w:val="20"/>
                    <w:szCs w:val="20"/>
                  </w:rPr>
                </w:pPr>
                <w:r>
                  <w:rPr>
                    <w:rFonts w:ascii="Helvetica" w:hAnsi="Helvetica"/>
                    <w:sz w:val="20"/>
                    <w:szCs w:val="20"/>
                  </w:rPr>
                  <w:t>Conmutador: (+57) 601 3811700 - 602 1270</w:t>
                </w:r>
              </w:p>
              <w:p w14:paraId="516319B7" w14:textId="77777777" w:rsidR="00086458" w:rsidRDefault="00086458" w:rsidP="00086458">
                <w:pPr>
                  <w:spacing w:line="276" w:lineRule="auto"/>
                  <w:jc w:val="both"/>
                  <w:rPr>
                    <w:rFonts w:ascii="Helvetica" w:hAnsi="Helvetica"/>
                    <w:sz w:val="20"/>
                    <w:szCs w:val="20"/>
                  </w:rPr>
                </w:pPr>
                <w:r>
                  <w:rPr>
                    <w:rFonts w:ascii="Helvetica" w:hAnsi="Helvetica"/>
                    <w:sz w:val="20"/>
                    <w:szCs w:val="20"/>
                  </w:rPr>
                  <w:t>Línea Gratuita: (+57) 01 8000 910071</w:t>
                </w:r>
              </w:p>
              <w:p w14:paraId="61DE533A" w14:textId="77777777" w:rsidR="00086458" w:rsidRDefault="00086458" w:rsidP="00086458">
                <w:pPr>
                  <w:spacing w:line="276" w:lineRule="auto"/>
                  <w:jc w:val="both"/>
                  <w:rPr>
                    <w:rFonts w:ascii="Helvetica" w:hAnsi="Helvetica"/>
                    <w:sz w:val="20"/>
                    <w:szCs w:val="20"/>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81D88" w14:textId="77777777" w:rsidR="00C27AA0" w:rsidRDefault="00C27AA0" w:rsidP="00F71345">
      <w:r>
        <w:separator/>
      </w:r>
    </w:p>
  </w:footnote>
  <w:footnote w:type="continuationSeparator" w:id="0">
    <w:p w14:paraId="217D691C" w14:textId="77777777" w:rsidR="00C27AA0" w:rsidRDefault="00C27AA0" w:rsidP="00F71345">
      <w:r>
        <w:continuationSeparator/>
      </w:r>
    </w:p>
  </w:footnote>
  <w:footnote w:type="continuationNotice" w:id="1">
    <w:p w14:paraId="2FF4DDEB" w14:textId="77777777" w:rsidR="00C27AA0" w:rsidRDefault="00C27A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81F0" w14:textId="77777777" w:rsidR="000E302E" w:rsidRDefault="00771D1A" w:rsidP="00A64917">
    <w:pPr>
      <w:rPr>
        <w:rFonts w:ascii="Arial" w:eastAsia="Times New Roman" w:hAnsi="Arial" w:cs="Arial"/>
        <w:noProof/>
        <w:sz w:val="22"/>
        <w:szCs w:val="22"/>
        <w:lang w:val="es-CO" w:eastAsia="es-CO"/>
      </w:rPr>
    </w:pPr>
    <w:r>
      <w:rPr>
        <w:noProof/>
      </w:rPr>
      <w:drawing>
        <wp:anchor distT="0" distB="0" distL="114300" distR="114300" simplePos="0" relativeHeight="251660288" behindDoc="1" locked="0" layoutInCell="1" allowOverlap="1" wp14:anchorId="0EF4E3FB" wp14:editId="63DAD7C5">
          <wp:simplePos x="0" y="0"/>
          <wp:positionH relativeFrom="page">
            <wp:align>left</wp:align>
          </wp:positionH>
          <wp:positionV relativeFrom="paragraph">
            <wp:posOffset>-353060</wp:posOffset>
          </wp:positionV>
          <wp:extent cx="7715250" cy="9980589"/>
          <wp:effectExtent l="0" t="0" r="0" b="0"/>
          <wp:wrapNone/>
          <wp:docPr id="514887559" name="Imagen 51488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15250" cy="9980589"/>
                  </a:xfrm>
                  <a:prstGeom prst="rect">
                    <a:avLst/>
                  </a:prstGeom>
                  <a:noFill/>
                  <a:ln>
                    <a:noFill/>
                  </a:ln>
                </pic:spPr>
              </pic:pic>
            </a:graphicData>
          </a:graphic>
        </wp:anchor>
      </w:drawing>
    </w:r>
  </w:p>
  <w:p w14:paraId="283E947A" w14:textId="77777777" w:rsidR="00771D1A" w:rsidRDefault="00771D1A" w:rsidP="00A64917">
    <w:pPr>
      <w:rPr>
        <w:rFonts w:ascii="Arial" w:eastAsia="Times New Roman" w:hAnsi="Arial" w:cs="Arial"/>
        <w:noProof/>
        <w:sz w:val="22"/>
        <w:szCs w:val="22"/>
        <w:lang w:val="es-CO" w:eastAsia="es-CO"/>
      </w:rPr>
    </w:pPr>
  </w:p>
  <w:p w14:paraId="03D2E052" w14:textId="77777777" w:rsidR="00771D1A" w:rsidRDefault="00771D1A" w:rsidP="00A64917">
    <w:pPr>
      <w:rPr>
        <w:rFonts w:ascii="Arial" w:eastAsia="Times New Roman" w:hAnsi="Arial" w:cs="Arial"/>
        <w:noProof/>
        <w:sz w:val="22"/>
        <w:szCs w:val="22"/>
        <w:lang w:val="es-CO" w:eastAsia="es-CO"/>
      </w:rPr>
    </w:pPr>
  </w:p>
  <w:p w14:paraId="4BF44EA7" w14:textId="77777777" w:rsidR="00771D1A" w:rsidRDefault="00771D1A" w:rsidP="00A64917">
    <w:pPr>
      <w:rPr>
        <w:rFonts w:ascii="Arial" w:hAnsi="Arial" w:cs="Arial"/>
        <w:sz w:val="16"/>
        <w:szCs w:val="16"/>
      </w:rPr>
    </w:pPr>
  </w:p>
  <w:p w14:paraId="767A4497" w14:textId="77777777" w:rsidR="000E302E" w:rsidRDefault="000E302E" w:rsidP="00F01F75">
    <w:pPr>
      <w:pStyle w:val="Encabezado"/>
      <w:rPr>
        <w:rFonts w:ascii="Arial" w:hAnsi="Arial" w:cs="Arial"/>
        <w:sz w:val="16"/>
        <w:szCs w:val="16"/>
      </w:rPr>
    </w:pPr>
  </w:p>
  <w:p w14:paraId="4BA65296" w14:textId="77777777" w:rsidR="000E302E" w:rsidRDefault="000E302E">
    <w:pPr>
      <w:pStyle w:val="Encabezado"/>
      <w:rPr>
        <w:rStyle w:val="Nmerodepgina"/>
        <w:rFonts w:ascii="Arial" w:hAnsi="Arial" w:cs="Arial"/>
        <w:sz w:val="16"/>
        <w:szCs w:val="16"/>
      </w:rPr>
    </w:pPr>
    <w:r>
      <w:rPr>
        <w:rFonts w:ascii="Arial" w:hAnsi="Arial" w:cs="Arial"/>
        <w:sz w:val="16"/>
        <w:szCs w:val="16"/>
      </w:rPr>
      <w:t xml:space="preserve">Informe de reconocimiento Distrito de Turbo - Antioquia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A67F24">
      <w:rPr>
        <w:rStyle w:val="Nmerodepgina"/>
        <w:rFonts w:ascii="Arial" w:hAnsi="Arial" w:cs="Arial"/>
        <w:noProof/>
        <w:sz w:val="16"/>
        <w:szCs w:val="16"/>
      </w:rPr>
      <w:t>34</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A67F24">
      <w:rPr>
        <w:rStyle w:val="Nmerodepgina"/>
        <w:rFonts w:ascii="Arial" w:hAnsi="Arial" w:cs="Arial"/>
        <w:noProof/>
        <w:sz w:val="16"/>
        <w:szCs w:val="16"/>
      </w:rPr>
      <w:t>36</w:t>
    </w:r>
    <w:r w:rsidRPr="00F01F75">
      <w:rPr>
        <w:rStyle w:val="Nmerodepgina"/>
        <w:rFonts w:ascii="Arial" w:hAnsi="Arial" w:cs="Arial"/>
        <w:sz w:val="16"/>
        <w:szCs w:val="16"/>
      </w:rPr>
      <w:fldChar w:fldCharType="end"/>
    </w:r>
  </w:p>
  <w:p w14:paraId="46BB168A" w14:textId="77777777" w:rsidR="000E302E" w:rsidRPr="00F01F75" w:rsidRDefault="000E302E">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6B8" w14:textId="77777777" w:rsidR="00771D1A" w:rsidRDefault="00771D1A" w:rsidP="00A64917">
    <w:pPr>
      <w:pStyle w:val="Encabezado"/>
    </w:pPr>
    <w:r>
      <w:rPr>
        <w:noProof/>
      </w:rPr>
      <w:drawing>
        <wp:anchor distT="0" distB="0" distL="114300" distR="114300" simplePos="0" relativeHeight="251658240" behindDoc="1" locked="0" layoutInCell="1" allowOverlap="1" wp14:anchorId="24F6403F" wp14:editId="160B73A7">
          <wp:simplePos x="0" y="0"/>
          <wp:positionH relativeFrom="page">
            <wp:align>right</wp:align>
          </wp:positionH>
          <wp:positionV relativeFrom="paragraph">
            <wp:posOffset>-179070</wp:posOffset>
          </wp:positionV>
          <wp:extent cx="7715250" cy="9980589"/>
          <wp:effectExtent l="0" t="0" r="0" b="0"/>
          <wp:wrapNone/>
          <wp:docPr id="16159932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15250" cy="9980589"/>
                  </a:xfrm>
                  <a:prstGeom prst="rect">
                    <a:avLst/>
                  </a:prstGeom>
                  <a:noFill/>
                  <a:ln>
                    <a:noFill/>
                  </a:ln>
                </pic:spPr>
              </pic:pic>
            </a:graphicData>
          </a:graphic>
        </wp:anchor>
      </w:drawing>
    </w:r>
  </w:p>
  <w:p w14:paraId="0C185E6C" w14:textId="77777777" w:rsidR="00771D1A" w:rsidRDefault="00771D1A" w:rsidP="00A64917">
    <w:pPr>
      <w:pStyle w:val="Encabezado"/>
    </w:pPr>
  </w:p>
  <w:p w14:paraId="1DEB1AC5" w14:textId="77777777" w:rsidR="00771D1A" w:rsidRDefault="00771D1A" w:rsidP="00A64917">
    <w:pPr>
      <w:pStyle w:val="Encabezado"/>
    </w:pPr>
  </w:p>
  <w:p w14:paraId="5F6EC09F" w14:textId="77777777" w:rsidR="00771D1A" w:rsidRDefault="00771D1A" w:rsidP="00A64917">
    <w:pPr>
      <w:pStyle w:val="Encabezado"/>
    </w:pPr>
  </w:p>
  <w:p w14:paraId="36E0716C" w14:textId="77777777" w:rsidR="00771D1A" w:rsidRDefault="00771D1A" w:rsidP="00A64917">
    <w:pPr>
      <w:pStyle w:val="Encabezado"/>
    </w:pPr>
  </w:p>
  <w:p w14:paraId="5B6C1805" w14:textId="77777777" w:rsidR="000E302E" w:rsidRDefault="000E302E" w:rsidP="00A64917">
    <w:pPr>
      <w:pStyle w:val="Encabezado"/>
    </w:pPr>
  </w:p>
</w:hdr>
</file>

<file path=word/intelligence2.xml><?xml version="1.0" encoding="utf-8"?>
<int2:intelligence xmlns:int2="http://schemas.microsoft.com/office/intelligence/2020/intelligence" xmlns:oel="http://schemas.microsoft.com/office/2019/extlst">
  <int2:observations>
    <int2:textHash int2:hashCode="QqMa0cStfrwxW1" int2:id="JnTmPKA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5BD"/>
    <w:multiLevelType w:val="hybridMultilevel"/>
    <w:tmpl w:val="D29C5BE0"/>
    <w:lvl w:ilvl="0" w:tplc="8CAC3D6C">
      <w:start w:val="1"/>
      <w:numFmt w:val="decimal"/>
      <w:lvlText w:val="%1."/>
      <w:lvlJc w:val="left"/>
      <w:pPr>
        <w:ind w:left="720" w:hanging="360"/>
      </w:pPr>
      <w:rPr>
        <w:rFonts w:cs="Times New Roman"/>
        <w:b/>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1" w15:restartNumberingAfterBreak="0">
    <w:nsid w:val="074E6C6B"/>
    <w:multiLevelType w:val="multilevel"/>
    <w:tmpl w:val="A2449FF6"/>
    <w:lvl w:ilvl="0">
      <w:start w:val="1"/>
      <w:numFmt w:val="decimal"/>
      <w:lvlText w:val="%1."/>
      <w:lvlJc w:val="left"/>
      <w:pPr>
        <w:ind w:left="778"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CDD1C4A"/>
    <w:multiLevelType w:val="hybridMultilevel"/>
    <w:tmpl w:val="0CBCC9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3887F61"/>
    <w:multiLevelType w:val="multilevel"/>
    <w:tmpl w:val="DCAE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68739D"/>
    <w:multiLevelType w:val="hybridMultilevel"/>
    <w:tmpl w:val="49081E36"/>
    <w:lvl w:ilvl="0" w:tplc="442A638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B4A00"/>
    <w:multiLevelType w:val="multilevel"/>
    <w:tmpl w:val="34D2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5969F0"/>
    <w:multiLevelType w:val="hybridMultilevel"/>
    <w:tmpl w:val="77740704"/>
    <w:lvl w:ilvl="0" w:tplc="8CAC3D6C">
      <w:start w:val="1"/>
      <w:numFmt w:val="decimal"/>
      <w:lvlText w:val="%1."/>
      <w:lvlJc w:val="left"/>
      <w:pPr>
        <w:ind w:left="720" w:hanging="360"/>
      </w:pPr>
      <w:rPr>
        <w:rFonts w:cs="Times New Roman"/>
        <w:b/>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7" w15:restartNumberingAfterBreak="0">
    <w:nsid w:val="17EE35B8"/>
    <w:multiLevelType w:val="multilevel"/>
    <w:tmpl w:val="08D2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307317"/>
    <w:multiLevelType w:val="hybridMultilevel"/>
    <w:tmpl w:val="D29C5BE0"/>
    <w:lvl w:ilvl="0" w:tplc="8CAC3D6C">
      <w:start w:val="1"/>
      <w:numFmt w:val="decimal"/>
      <w:lvlText w:val="%1."/>
      <w:lvlJc w:val="left"/>
      <w:pPr>
        <w:ind w:left="4050" w:hanging="360"/>
      </w:pPr>
      <w:rPr>
        <w:rFonts w:cs="Times New Roman"/>
        <w:b/>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9" w15:restartNumberingAfterBreak="0">
    <w:nsid w:val="31C1798D"/>
    <w:multiLevelType w:val="hybridMultilevel"/>
    <w:tmpl w:val="7774070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33381839"/>
    <w:multiLevelType w:val="hybridMultilevel"/>
    <w:tmpl w:val="16147932"/>
    <w:lvl w:ilvl="0" w:tplc="5DF62690">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9042051"/>
    <w:multiLevelType w:val="hybridMultilevel"/>
    <w:tmpl w:val="00D41B50"/>
    <w:lvl w:ilvl="0" w:tplc="040A000F">
      <w:start w:val="1"/>
      <w:numFmt w:val="decimal"/>
      <w:lvlText w:val="%1."/>
      <w:lvlJc w:val="left"/>
      <w:pPr>
        <w:ind w:left="778" w:hanging="360"/>
      </w:pPr>
      <w:rPr>
        <w:rFonts w:cs="Times New Roman"/>
      </w:rPr>
    </w:lvl>
    <w:lvl w:ilvl="1" w:tplc="040A0019" w:tentative="1">
      <w:start w:val="1"/>
      <w:numFmt w:val="lowerLetter"/>
      <w:lvlText w:val="%2."/>
      <w:lvlJc w:val="left"/>
      <w:pPr>
        <w:ind w:left="1498" w:hanging="360"/>
      </w:pPr>
      <w:rPr>
        <w:rFonts w:cs="Times New Roman"/>
      </w:rPr>
    </w:lvl>
    <w:lvl w:ilvl="2" w:tplc="040A001B" w:tentative="1">
      <w:start w:val="1"/>
      <w:numFmt w:val="lowerRoman"/>
      <w:lvlText w:val="%3."/>
      <w:lvlJc w:val="right"/>
      <w:pPr>
        <w:ind w:left="2218" w:hanging="180"/>
      </w:pPr>
      <w:rPr>
        <w:rFonts w:cs="Times New Roman"/>
      </w:rPr>
    </w:lvl>
    <w:lvl w:ilvl="3" w:tplc="040A000F" w:tentative="1">
      <w:start w:val="1"/>
      <w:numFmt w:val="decimal"/>
      <w:lvlText w:val="%4."/>
      <w:lvlJc w:val="left"/>
      <w:pPr>
        <w:ind w:left="2938" w:hanging="360"/>
      </w:pPr>
      <w:rPr>
        <w:rFonts w:cs="Times New Roman"/>
      </w:rPr>
    </w:lvl>
    <w:lvl w:ilvl="4" w:tplc="040A0019" w:tentative="1">
      <w:start w:val="1"/>
      <w:numFmt w:val="lowerLetter"/>
      <w:lvlText w:val="%5."/>
      <w:lvlJc w:val="left"/>
      <w:pPr>
        <w:ind w:left="3658" w:hanging="360"/>
      </w:pPr>
      <w:rPr>
        <w:rFonts w:cs="Times New Roman"/>
      </w:rPr>
    </w:lvl>
    <w:lvl w:ilvl="5" w:tplc="040A001B" w:tentative="1">
      <w:start w:val="1"/>
      <w:numFmt w:val="lowerRoman"/>
      <w:lvlText w:val="%6."/>
      <w:lvlJc w:val="right"/>
      <w:pPr>
        <w:ind w:left="4378" w:hanging="180"/>
      </w:pPr>
      <w:rPr>
        <w:rFonts w:cs="Times New Roman"/>
      </w:rPr>
    </w:lvl>
    <w:lvl w:ilvl="6" w:tplc="040A000F" w:tentative="1">
      <w:start w:val="1"/>
      <w:numFmt w:val="decimal"/>
      <w:lvlText w:val="%7."/>
      <w:lvlJc w:val="left"/>
      <w:pPr>
        <w:ind w:left="5098" w:hanging="360"/>
      </w:pPr>
      <w:rPr>
        <w:rFonts w:cs="Times New Roman"/>
      </w:rPr>
    </w:lvl>
    <w:lvl w:ilvl="7" w:tplc="040A0019" w:tentative="1">
      <w:start w:val="1"/>
      <w:numFmt w:val="lowerLetter"/>
      <w:lvlText w:val="%8."/>
      <w:lvlJc w:val="left"/>
      <w:pPr>
        <w:ind w:left="5818" w:hanging="360"/>
      </w:pPr>
      <w:rPr>
        <w:rFonts w:cs="Times New Roman"/>
      </w:rPr>
    </w:lvl>
    <w:lvl w:ilvl="8" w:tplc="040A001B" w:tentative="1">
      <w:start w:val="1"/>
      <w:numFmt w:val="lowerRoman"/>
      <w:lvlText w:val="%9."/>
      <w:lvlJc w:val="right"/>
      <w:pPr>
        <w:ind w:left="6538" w:hanging="180"/>
      </w:pPr>
      <w:rPr>
        <w:rFonts w:cs="Times New Roman"/>
      </w:rPr>
    </w:lvl>
  </w:abstractNum>
  <w:abstractNum w:abstractNumId="12" w15:restartNumberingAfterBreak="0">
    <w:nsid w:val="3BDC30D6"/>
    <w:multiLevelType w:val="hybridMultilevel"/>
    <w:tmpl w:val="481CDC62"/>
    <w:lvl w:ilvl="0" w:tplc="B9907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12B68"/>
    <w:multiLevelType w:val="multilevel"/>
    <w:tmpl w:val="2C646480"/>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5023A0"/>
    <w:multiLevelType w:val="hybridMultilevel"/>
    <w:tmpl w:val="CADAA6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9FB63A2"/>
    <w:multiLevelType w:val="hybridMultilevel"/>
    <w:tmpl w:val="23B63E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521946A3"/>
    <w:multiLevelType w:val="hybridMultilevel"/>
    <w:tmpl w:val="D65E8B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58518C2"/>
    <w:multiLevelType w:val="hybridMultilevel"/>
    <w:tmpl w:val="0C8A4D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73B2AAE"/>
    <w:multiLevelType w:val="hybridMultilevel"/>
    <w:tmpl w:val="408E1C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77F63E0"/>
    <w:multiLevelType w:val="hybridMultilevel"/>
    <w:tmpl w:val="9CE81B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5F02107C"/>
    <w:multiLevelType w:val="multilevel"/>
    <w:tmpl w:val="2AD4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062198"/>
    <w:multiLevelType w:val="multilevel"/>
    <w:tmpl w:val="CEF2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3F5072"/>
    <w:multiLevelType w:val="hybridMultilevel"/>
    <w:tmpl w:val="78E8E800"/>
    <w:lvl w:ilvl="0" w:tplc="040A0001">
      <w:start w:val="1"/>
      <w:numFmt w:val="bullet"/>
      <w:lvlText w:val=""/>
      <w:lvlJc w:val="left"/>
      <w:pPr>
        <w:ind w:left="1440" w:hanging="360"/>
      </w:pPr>
      <w:rPr>
        <w:rFonts w:ascii="Symbol" w:hAnsi="Symbol"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23" w15:restartNumberingAfterBreak="0">
    <w:nsid w:val="6DE11038"/>
    <w:multiLevelType w:val="multilevel"/>
    <w:tmpl w:val="BFF8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83476D"/>
    <w:multiLevelType w:val="hybridMultilevel"/>
    <w:tmpl w:val="AA2CD5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5767D19"/>
    <w:multiLevelType w:val="hybridMultilevel"/>
    <w:tmpl w:val="325A0452"/>
    <w:lvl w:ilvl="0" w:tplc="2884A25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79A2491"/>
    <w:multiLevelType w:val="hybridMultilevel"/>
    <w:tmpl w:val="10667C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7C360902"/>
    <w:multiLevelType w:val="multilevel"/>
    <w:tmpl w:val="6B80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B74EA5"/>
    <w:multiLevelType w:val="hybridMultilevel"/>
    <w:tmpl w:val="42E0E72E"/>
    <w:lvl w:ilvl="0" w:tplc="5E2E9E86">
      <w:start w:val="1"/>
      <w:numFmt w:val="upperLetter"/>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670590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916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1856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2046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44830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593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7278806">
    <w:abstractNumId w:val="16"/>
  </w:num>
  <w:num w:numId="8" w16cid:durableId="733897136">
    <w:abstractNumId w:val="19"/>
  </w:num>
  <w:num w:numId="9" w16cid:durableId="1788039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1441326">
    <w:abstractNumId w:val="18"/>
  </w:num>
  <w:num w:numId="11" w16cid:durableId="909077641">
    <w:abstractNumId w:val="14"/>
  </w:num>
  <w:num w:numId="12" w16cid:durableId="1863744121">
    <w:abstractNumId w:val="13"/>
  </w:num>
  <w:num w:numId="13" w16cid:durableId="232467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7664796">
    <w:abstractNumId w:val="23"/>
  </w:num>
  <w:num w:numId="15" w16cid:durableId="1002971155">
    <w:abstractNumId w:val="7"/>
  </w:num>
  <w:num w:numId="16" w16cid:durableId="674501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524305">
    <w:abstractNumId w:val="17"/>
  </w:num>
  <w:num w:numId="18" w16cid:durableId="429785319">
    <w:abstractNumId w:val="26"/>
  </w:num>
  <w:num w:numId="19" w16cid:durableId="693270940">
    <w:abstractNumId w:val="24"/>
  </w:num>
  <w:num w:numId="20" w16cid:durableId="122191722">
    <w:abstractNumId w:val="25"/>
  </w:num>
  <w:num w:numId="21" w16cid:durableId="1999534156">
    <w:abstractNumId w:val="21"/>
  </w:num>
  <w:num w:numId="22" w16cid:durableId="469711660">
    <w:abstractNumId w:val="3"/>
  </w:num>
  <w:num w:numId="23" w16cid:durableId="484317020">
    <w:abstractNumId w:val="27"/>
  </w:num>
  <w:num w:numId="24" w16cid:durableId="35275902">
    <w:abstractNumId w:val="20"/>
  </w:num>
  <w:num w:numId="25" w16cid:durableId="1295480352">
    <w:abstractNumId w:val="5"/>
  </w:num>
  <w:num w:numId="26" w16cid:durableId="1295019521">
    <w:abstractNumId w:val="15"/>
  </w:num>
  <w:num w:numId="27" w16cid:durableId="1960256619">
    <w:abstractNumId w:val="12"/>
  </w:num>
  <w:num w:numId="28" w16cid:durableId="2144469713">
    <w:abstractNumId w:val="4"/>
  </w:num>
  <w:num w:numId="29" w16cid:durableId="1347636927">
    <w:abstractNumId w:val="10"/>
  </w:num>
  <w:num w:numId="30" w16cid:durableId="261764412">
    <w:abstractNumId w:val="28"/>
  </w:num>
  <w:num w:numId="31" w16cid:durableId="491337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6013593">
    <w:abstractNumId w:val="11"/>
  </w:num>
  <w:num w:numId="33" w16cid:durableId="310137493">
    <w:abstractNumId w:val="1"/>
  </w:num>
  <w:num w:numId="34" w16cid:durableId="411466030">
    <w:abstractNumId w:val="2"/>
  </w:num>
  <w:num w:numId="35" w16cid:durableId="49883376">
    <w:abstractNumId w:val="16"/>
  </w:num>
  <w:num w:numId="36" w16cid:durableId="1071151543">
    <w:abstractNumId w:val="19"/>
  </w:num>
  <w:num w:numId="37" w16cid:durableId="1808663864">
    <w:abstractNumId w:val="8"/>
  </w:num>
  <w:num w:numId="38" w16cid:durableId="606695278">
    <w:abstractNumId w:val="14"/>
  </w:num>
  <w:num w:numId="39" w16cid:durableId="469175925">
    <w:abstractNumId w:val="13"/>
  </w:num>
  <w:num w:numId="40" w16cid:durableId="832648863">
    <w:abstractNumId w:val="0"/>
  </w:num>
  <w:num w:numId="41" w16cid:durableId="756556869">
    <w:abstractNumId w:val="6"/>
  </w:num>
  <w:num w:numId="42" w16cid:durableId="1032606468">
    <w:abstractNumId w:val="24"/>
  </w:num>
  <w:num w:numId="43" w16cid:durableId="499004933">
    <w:abstractNumId w:val="25"/>
  </w:num>
  <w:num w:numId="44" w16cid:durableId="1270815662">
    <w:abstractNumId w:val="21"/>
  </w:num>
  <w:num w:numId="45" w16cid:durableId="39709346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1165"/>
    <w:rsid w:val="00001B3E"/>
    <w:rsid w:val="00004DCC"/>
    <w:rsid w:val="00004EB2"/>
    <w:rsid w:val="0000593D"/>
    <w:rsid w:val="00005FA0"/>
    <w:rsid w:val="000076C8"/>
    <w:rsid w:val="0001043A"/>
    <w:rsid w:val="00011AFF"/>
    <w:rsid w:val="00012B51"/>
    <w:rsid w:val="00012EAB"/>
    <w:rsid w:val="00013F14"/>
    <w:rsid w:val="00013F26"/>
    <w:rsid w:val="00014F03"/>
    <w:rsid w:val="00015D8E"/>
    <w:rsid w:val="00016462"/>
    <w:rsid w:val="00024709"/>
    <w:rsid w:val="00026E05"/>
    <w:rsid w:val="00030B17"/>
    <w:rsid w:val="00031489"/>
    <w:rsid w:val="000322E3"/>
    <w:rsid w:val="00040415"/>
    <w:rsid w:val="000409C1"/>
    <w:rsid w:val="00042D32"/>
    <w:rsid w:val="0004516B"/>
    <w:rsid w:val="00051522"/>
    <w:rsid w:val="00052125"/>
    <w:rsid w:val="00057AF8"/>
    <w:rsid w:val="00060483"/>
    <w:rsid w:val="000625B0"/>
    <w:rsid w:val="000643E9"/>
    <w:rsid w:val="00066D3A"/>
    <w:rsid w:val="000675CB"/>
    <w:rsid w:val="00072199"/>
    <w:rsid w:val="00072CA0"/>
    <w:rsid w:val="00073A1F"/>
    <w:rsid w:val="00075AD5"/>
    <w:rsid w:val="00077AA2"/>
    <w:rsid w:val="00077FAB"/>
    <w:rsid w:val="0008102F"/>
    <w:rsid w:val="00081708"/>
    <w:rsid w:val="0008210A"/>
    <w:rsid w:val="000824F5"/>
    <w:rsid w:val="00082A06"/>
    <w:rsid w:val="0008507C"/>
    <w:rsid w:val="00085EF6"/>
    <w:rsid w:val="00086458"/>
    <w:rsid w:val="000877D1"/>
    <w:rsid w:val="00090290"/>
    <w:rsid w:val="00090525"/>
    <w:rsid w:val="000930B3"/>
    <w:rsid w:val="00093EB8"/>
    <w:rsid w:val="000954FC"/>
    <w:rsid w:val="00095C89"/>
    <w:rsid w:val="00097B71"/>
    <w:rsid w:val="000A1163"/>
    <w:rsid w:val="000A2FC8"/>
    <w:rsid w:val="000A31BA"/>
    <w:rsid w:val="000A3DE2"/>
    <w:rsid w:val="000A4383"/>
    <w:rsid w:val="000A46DC"/>
    <w:rsid w:val="000A4D1D"/>
    <w:rsid w:val="000A5091"/>
    <w:rsid w:val="000B0D80"/>
    <w:rsid w:val="000B20AE"/>
    <w:rsid w:val="000B38B2"/>
    <w:rsid w:val="000B57B3"/>
    <w:rsid w:val="000B628A"/>
    <w:rsid w:val="000C2C96"/>
    <w:rsid w:val="000C4465"/>
    <w:rsid w:val="000C639B"/>
    <w:rsid w:val="000C7518"/>
    <w:rsid w:val="000C7738"/>
    <w:rsid w:val="000C7B05"/>
    <w:rsid w:val="000D09AB"/>
    <w:rsid w:val="000D466B"/>
    <w:rsid w:val="000D5ACD"/>
    <w:rsid w:val="000D6114"/>
    <w:rsid w:val="000D6F6F"/>
    <w:rsid w:val="000D74DA"/>
    <w:rsid w:val="000E2BA4"/>
    <w:rsid w:val="000E302E"/>
    <w:rsid w:val="000E42D0"/>
    <w:rsid w:val="000E4714"/>
    <w:rsid w:val="000E5163"/>
    <w:rsid w:val="000E5962"/>
    <w:rsid w:val="000E6513"/>
    <w:rsid w:val="000F0EAD"/>
    <w:rsid w:val="000F1569"/>
    <w:rsid w:val="000F1CBA"/>
    <w:rsid w:val="000F3807"/>
    <w:rsid w:val="000F4C0B"/>
    <w:rsid w:val="000F5F32"/>
    <w:rsid w:val="00101484"/>
    <w:rsid w:val="001016EA"/>
    <w:rsid w:val="00103AE9"/>
    <w:rsid w:val="0010497F"/>
    <w:rsid w:val="0010662E"/>
    <w:rsid w:val="001100A5"/>
    <w:rsid w:val="0011263A"/>
    <w:rsid w:val="0011350E"/>
    <w:rsid w:val="00114AE3"/>
    <w:rsid w:val="00116237"/>
    <w:rsid w:val="00117B7B"/>
    <w:rsid w:val="00120305"/>
    <w:rsid w:val="00120EEB"/>
    <w:rsid w:val="00124716"/>
    <w:rsid w:val="00124AC6"/>
    <w:rsid w:val="001258D6"/>
    <w:rsid w:val="001336DE"/>
    <w:rsid w:val="001339E2"/>
    <w:rsid w:val="0013472A"/>
    <w:rsid w:val="00136C42"/>
    <w:rsid w:val="001413D9"/>
    <w:rsid w:val="00141821"/>
    <w:rsid w:val="00141F60"/>
    <w:rsid w:val="00144777"/>
    <w:rsid w:val="001448E3"/>
    <w:rsid w:val="00145EBA"/>
    <w:rsid w:val="00146570"/>
    <w:rsid w:val="00147E82"/>
    <w:rsid w:val="001515F9"/>
    <w:rsid w:val="001518F2"/>
    <w:rsid w:val="00151989"/>
    <w:rsid w:val="00153C65"/>
    <w:rsid w:val="00156301"/>
    <w:rsid w:val="00162921"/>
    <w:rsid w:val="0016385A"/>
    <w:rsid w:val="00164D43"/>
    <w:rsid w:val="00166B9F"/>
    <w:rsid w:val="00167B15"/>
    <w:rsid w:val="00167D71"/>
    <w:rsid w:val="0017111C"/>
    <w:rsid w:val="0017545B"/>
    <w:rsid w:val="00175E3A"/>
    <w:rsid w:val="00176E21"/>
    <w:rsid w:val="001829BD"/>
    <w:rsid w:val="00182DEA"/>
    <w:rsid w:val="00182F34"/>
    <w:rsid w:val="00183734"/>
    <w:rsid w:val="0018375C"/>
    <w:rsid w:val="00185574"/>
    <w:rsid w:val="0019035D"/>
    <w:rsid w:val="00191694"/>
    <w:rsid w:val="00191D96"/>
    <w:rsid w:val="00191E93"/>
    <w:rsid w:val="00193666"/>
    <w:rsid w:val="00196404"/>
    <w:rsid w:val="00196535"/>
    <w:rsid w:val="001A1ABA"/>
    <w:rsid w:val="001A79B7"/>
    <w:rsid w:val="001B04C5"/>
    <w:rsid w:val="001B0799"/>
    <w:rsid w:val="001B26EA"/>
    <w:rsid w:val="001B3640"/>
    <w:rsid w:val="001B79C9"/>
    <w:rsid w:val="001B7E20"/>
    <w:rsid w:val="001C16E1"/>
    <w:rsid w:val="001C3689"/>
    <w:rsid w:val="001C51AC"/>
    <w:rsid w:val="001C56C2"/>
    <w:rsid w:val="001C62C7"/>
    <w:rsid w:val="001C6DB9"/>
    <w:rsid w:val="001D1F25"/>
    <w:rsid w:val="001D36C0"/>
    <w:rsid w:val="001D7622"/>
    <w:rsid w:val="001D7796"/>
    <w:rsid w:val="001E15A3"/>
    <w:rsid w:val="001E20C2"/>
    <w:rsid w:val="001E2DC1"/>
    <w:rsid w:val="001E39A0"/>
    <w:rsid w:val="001E3E05"/>
    <w:rsid w:val="001E50F4"/>
    <w:rsid w:val="001E5520"/>
    <w:rsid w:val="001E60E2"/>
    <w:rsid w:val="001F0127"/>
    <w:rsid w:val="001F0183"/>
    <w:rsid w:val="001F0B1A"/>
    <w:rsid w:val="001F4D1B"/>
    <w:rsid w:val="001F4ED2"/>
    <w:rsid w:val="001F52AA"/>
    <w:rsid w:val="001F6014"/>
    <w:rsid w:val="001F7009"/>
    <w:rsid w:val="001F72C4"/>
    <w:rsid w:val="001F7A70"/>
    <w:rsid w:val="0020028C"/>
    <w:rsid w:val="00203C41"/>
    <w:rsid w:val="00203DA3"/>
    <w:rsid w:val="00206F5A"/>
    <w:rsid w:val="0020773D"/>
    <w:rsid w:val="00212222"/>
    <w:rsid w:val="0021375B"/>
    <w:rsid w:val="00217446"/>
    <w:rsid w:val="002175D1"/>
    <w:rsid w:val="002176E6"/>
    <w:rsid w:val="002210C5"/>
    <w:rsid w:val="002211EF"/>
    <w:rsid w:val="00221BF3"/>
    <w:rsid w:val="00221EF1"/>
    <w:rsid w:val="0022264A"/>
    <w:rsid w:val="00223677"/>
    <w:rsid w:val="00223EDF"/>
    <w:rsid w:val="00226B16"/>
    <w:rsid w:val="002306CB"/>
    <w:rsid w:val="0023074E"/>
    <w:rsid w:val="00230CFE"/>
    <w:rsid w:val="00233377"/>
    <w:rsid w:val="002358B6"/>
    <w:rsid w:val="00237795"/>
    <w:rsid w:val="00237DFE"/>
    <w:rsid w:val="002414B0"/>
    <w:rsid w:val="00242F9A"/>
    <w:rsid w:val="0024487B"/>
    <w:rsid w:val="0024738C"/>
    <w:rsid w:val="002567A2"/>
    <w:rsid w:val="00261C41"/>
    <w:rsid w:val="00262BAA"/>
    <w:rsid w:val="002630B3"/>
    <w:rsid w:val="00264664"/>
    <w:rsid w:val="00264911"/>
    <w:rsid w:val="002657DB"/>
    <w:rsid w:val="002658A7"/>
    <w:rsid w:val="00265E22"/>
    <w:rsid w:val="00271E28"/>
    <w:rsid w:val="00272B08"/>
    <w:rsid w:val="00273361"/>
    <w:rsid w:val="0027421A"/>
    <w:rsid w:val="002760F7"/>
    <w:rsid w:val="00277F93"/>
    <w:rsid w:val="0028079A"/>
    <w:rsid w:val="00280A31"/>
    <w:rsid w:val="00280DB2"/>
    <w:rsid w:val="002812CA"/>
    <w:rsid w:val="0028148B"/>
    <w:rsid w:val="00283D9E"/>
    <w:rsid w:val="00284817"/>
    <w:rsid w:val="002850DB"/>
    <w:rsid w:val="0028524F"/>
    <w:rsid w:val="002866A1"/>
    <w:rsid w:val="002920AD"/>
    <w:rsid w:val="00292AFB"/>
    <w:rsid w:val="00293891"/>
    <w:rsid w:val="002A13EA"/>
    <w:rsid w:val="002A2626"/>
    <w:rsid w:val="002A6169"/>
    <w:rsid w:val="002A6351"/>
    <w:rsid w:val="002A7442"/>
    <w:rsid w:val="002B0ABC"/>
    <w:rsid w:val="002B2812"/>
    <w:rsid w:val="002B2E03"/>
    <w:rsid w:val="002B3410"/>
    <w:rsid w:val="002B3E97"/>
    <w:rsid w:val="002B4AED"/>
    <w:rsid w:val="002B4E93"/>
    <w:rsid w:val="002B55C6"/>
    <w:rsid w:val="002B604D"/>
    <w:rsid w:val="002B6459"/>
    <w:rsid w:val="002C046B"/>
    <w:rsid w:val="002C0BE3"/>
    <w:rsid w:val="002C1D43"/>
    <w:rsid w:val="002C45F1"/>
    <w:rsid w:val="002C5E51"/>
    <w:rsid w:val="002C64C1"/>
    <w:rsid w:val="002C6BBE"/>
    <w:rsid w:val="002D170F"/>
    <w:rsid w:val="002D32B5"/>
    <w:rsid w:val="002D3CF8"/>
    <w:rsid w:val="002D4B67"/>
    <w:rsid w:val="002D6C5F"/>
    <w:rsid w:val="002D76A3"/>
    <w:rsid w:val="002E1AA7"/>
    <w:rsid w:val="002E3E8B"/>
    <w:rsid w:val="002E6BE9"/>
    <w:rsid w:val="002E7064"/>
    <w:rsid w:val="002E72FA"/>
    <w:rsid w:val="002E7640"/>
    <w:rsid w:val="002E7778"/>
    <w:rsid w:val="002F01D9"/>
    <w:rsid w:val="002F4E07"/>
    <w:rsid w:val="002F5EAD"/>
    <w:rsid w:val="00301846"/>
    <w:rsid w:val="0030295A"/>
    <w:rsid w:val="003057C9"/>
    <w:rsid w:val="0030614D"/>
    <w:rsid w:val="00306F12"/>
    <w:rsid w:val="003074DF"/>
    <w:rsid w:val="003104D3"/>
    <w:rsid w:val="0031226D"/>
    <w:rsid w:val="0031260E"/>
    <w:rsid w:val="003226AB"/>
    <w:rsid w:val="00322B8D"/>
    <w:rsid w:val="00323682"/>
    <w:rsid w:val="0032474D"/>
    <w:rsid w:val="00327959"/>
    <w:rsid w:val="003300CE"/>
    <w:rsid w:val="00330AC6"/>
    <w:rsid w:val="0033289D"/>
    <w:rsid w:val="003334C8"/>
    <w:rsid w:val="0033489C"/>
    <w:rsid w:val="00336BAB"/>
    <w:rsid w:val="00340279"/>
    <w:rsid w:val="00341877"/>
    <w:rsid w:val="00341DF3"/>
    <w:rsid w:val="0034312A"/>
    <w:rsid w:val="00344D54"/>
    <w:rsid w:val="00345847"/>
    <w:rsid w:val="00347DA9"/>
    <w:rsid w:val="00350C08"/>
    <w:rsid w:val="0035116E"/>
    <w:rsid w:val="003549A6"/>
    <w:rsid w:val="0035583A"/>
    <w:rsid w:val="003560AE"/>
    <w:rsid w:val="0036144E"/>
    <w:rsid w:val="00367778"/>
    <w:rsid w:val="00370473"/>
    <w:rsid w:val="00370540"/>
    <w:rsid w:val="00370611"/>
    <w:rsid w:val="003716B9"/>
    <w:rsid w:val="00381AB9"/>
    <w:rsid w:val="0038265A"/>
    <w:rsid w:val="00382BAA"/>
    <w:rsid w:val="00384066"/>
    <w:rsid w:val="0038740F"/>
    <w:rsid w:val="00387857"/>
    <w:rsid w:val="00387D99"/>
    <w:rsid w:val="00391021"/>
    <w:rsid w:val="003929B5"/>
    <w:rsid w:val="003930F3"/>
    <w:rsid w:val="00395375"/>
    <w:rsid w:val="003A1B21"/>
    <w:rsid w:val="003A3902"/>
    <w:rsid w:val="003A4D61"/>
    <w:rsid w:val="003A520B"/>
    <w:rsid w:val="003A64C8"/>
    <w:rsid w:val="003A64CF"/>
    <w:rsid w:val="003A65C1"/>
    <w:rsid w:val="003A6CD6"/>
    <w:rsid w:val="003A70FD"/>
    <w:rsid w:val="003A72EE"/>
    <w:rsid w:val="003A75A0"/>
    <w:rsid w:val="003A76A4"/>
    <w:rsid w:val="003B01DB"/>
    <w:rsid w:val="003B0442"/>
    <w:rsid w:val="003B1D05"/>
    <w:rsid w:val="003B3AE6"/>
    <w:rsid w:val="003B4FF1"/>
    <w:rsid w:val="003B62B7"/>
    <w:rsid w:val="003B7FE6"/>
    <w:rsid w:val="003C0EE9"/>
    <w:rsid w:val="003C102D"/>
    <w:rsid w:val="003C2BE0"/>
    <w:rsid w:val="003C6D25"/>
    <w:rsid w:val="003C75F1"/>
    <w:rsid w:val="003C7DA7"/>
    <w:rsid w:val="003D259E"/>
    <w:rsid w:val="003D29E6"/>
    <w:rsid w:val="003D4DD3"/>
    <w:rsid w:val="003D7FD2"/>
    <w:rsid w:val="003E1679"/>
    <w:rsid w:val="003E31A7"/>
    <w:rsid w:val="003E3537"/>
    <w:rsid w:val="003E3AC2"/>
    <w:rsid w:val="003E51F8"/>
    <w:rsid w:val="003E5429"/>
    <w:rsid w:val="003E59CF"/>
    <w:rsid w:val="003E632D"/>
    <w:rsid w:val="003E77FC"/>
    <w:rsid w:val="003F07EB"/>
    <w:rsid w:val="003F25C4"/>
    <w:rsid w:val="003F3555"/>
    <w:rsid w:val="003F46EF"/>
    <w:rsid w:val="003F59D9"/>
    <w:rsid w:val="003F617A"/>
    <w:rsid w:val="003F6636"/>
    <w:rsid w:val="003F6A30"/>
    <w:rsid w:val="003F788E"/>
    <w:rsid w:val="003F7900"/>
    <w:rsid w:val="003F7B99"/>
    <w:rsid w:val="00401F32"/>
    <w:rsid w:val="00405271"/>
    <w:rsid w:val="004052C1"/>
    <w:rsid w:val="004057C1"/>
    <w:rsid w:val="00406803"/>
    <w:rsid w:val="00410C94"/>
    <w:rsid w:val="004110AF"/>
    <w:rsid w:val="00412015"/>
    <w:rsid w:val="004121AD"/>
    <w:rsid w:val="00412976"/>
    <w:rsid w:val="0041494D"/>
    <w:rsid w:val="004211C2"/>
    <w:rsid w:val="00421BEF"/>
    <w:rsid w:val="004228BC"/>
    <w:rsid w:val="004302B5"/>
    <w:rsid w:val="004315F2"/>
    <w:rsid w:val="00431CCA"/>
    <w:rsid w:val="00434158"/>
    <w:rsid w:val="00434B41"/>
    <w:rsid w:val="004369B1"/>
    <w:rsid w:val="00437637"/>
    <w:rsid w:val="00437A6B"/>
    <w:rsid w:val="0044344C"/>
    <w:rsid w:val="00444F4A"/>
    <w:rsid w:val="00445F5B"/>
    <w:rsid w:val="00447D2A"/>
    <w:rsid w:val="00451C38"/>
    <w:rsid w:val="00451D56"/>
    <w:rsid w:val="00453CE2"/>
    <w:rsid w:val="00453FDC"/>
    <w:rsid w:val="00454AD8"/>
    <w:rsid w:val="00455F32"/>
    <w:rsid w:val="00457553"/>
    <w:rsid w:val="00464F7E"/>
    <w:rsid w:val="0046682C"/>
    <w:rsid w:val="0046693C"/>
    <w:rsid w:val="00467143"/>
    <w:rsid w:val="004700D0"/>
    <w:rsid w:val="00470AD0"/>
    <w:rsid w:val="00472DB8"/>
    <w:rsid w:val="00473B82"/>
    <w:rsid w:val="00473F70"/>
    <w:rsid w:val="00474633"/>
    <w:rsid w:val="004746F2"/>
    <w:rsid w:val="004764FE"/>
    <w:rsid w:val="00477838"/>
    <w:rsid w:val="00481EB2"/>
    <w:rsid w:val="00484AB3"/>
    <w:rsid w:val="0049010D"/>
    <w:rsid w:val="004927E9"/>
    <w:rsid w:val="004973D5"/>
    <w:rsid w:val="004976E5"/>
    <w:rsid w:val="004979B0"/>
    <w:rsid w:val="004A6BCA"/>
    <w:rsid w:val="004A7F0D"/>
    <w:rsid w:val="004B023E"/>
    <w:rsid w:val="004B299B"/>
    <w:rsid w:val="004B3C14"/>
    <w:rsid w:val="004B3F72"/>
    <w:rsid w:val="004B560E"/>
    <w:rsid w:val="004B6737"/>
    <w:rsid w:val="004B7A3F"/>
    <w:rsid w:val="004D07AD"/>
    <w:rsid w:val="004D14DB"/>
    <w:rsid w:val="004D66AD"/>
    <w:rsid w:val="004D67F9"/>
    <w:rsid w:val="004D7685"/>
    <w:rsid w:val="004E1882"/>
    <w:rsid w:val="004E432F"/>
    <w:rsid w:val="004E4D21"/>
    <w:rsid w:val="004E65F6"/>
    <w:rsid w:val="004E7B18"/>
    <w:rsid w:val="004F08C6"/>
    <w:rsid w:val="004F22E3"/>
    <w:rsid w:val="004F24AC"/>
    <w:rsid w:val="004F2BB0"/>
    <w:rsid w:val="005007AF"/>
    <w:rsid w:val="005022F9"/>
    <w:rsid w:val="00503AD5"/>
    <w:rsid w:val="0050411B"/>
    <w:rsid w:val="00507A48"/>
    <w:rsid w:val="005119FB"/>
    <w:rsid w:val="005125B0"/>
    <w:rsid w:val="00512C41"/>
    <w:rsid w:val="005138F5"/>
    <w:rsid w:val="00514088"/>
    <w:rsid w:val="005164C4"/>
    <w:rsid w:val="00516EE2"/>
    <w:rsid w:val="005178EA"/>
    <w:rsid w:val="00520C94"/>
    <w:rsid w:val="0052323E"/>
    <w:rsid w:val="0053089E"/>
    <w:rsid w:val="00531BAA"/>
    <w:rsid w:val="005352F7"/>
    <w:rsid w:val="00537794"/>
    <w:rsid w:val="0053783B"/>
    <w:rsid w:val="00537AEC"/>
    <w:rsid w:val="00542591"/>
    <w:rsid w:val="005429FF"/>
    <w:rsid w:val="005445CE"/>
    <w:rsid w:val="00545161"/>
    <w:rsid w:val="005505B0"/>
    <w:rsid w:val="00552AE0"/>
    <w:rsid w:val="0055346B"/>
    <w:rsid w:val="00553C66"/>
    <w:rsid w:val="0055424A"/>
    <w:rsid w:val="00555A6F"/>
    <w:rsid w:val="0055664D"/>
    <w:rsid w:val="00557E62"/>
    <w:rsid w:val="00561999"/>
    <w:rsid w:val="00561FC0"/>
    <w:rsid w:val="00562716"/>
    <w:rsid w:val="005631FD"/>
    <w:rsid w:val="005670E1"/>
    <w:rsid w:val="00567B07"/>
    <w:rsid w:val="00571C61"/>
    <w:rsid w:val="00571ED1"/>
    <w:rsid w:val="00572043"/>
    <w:rsid w:val="005720E5"/>
    <w:rsid w:val="00576F0C"/>
    <w:rsid w:val="00577720"/>
    <w:rsid w:val="005838AC"/>
    <w:rsid w:val="005853ED"/>
    <w:rsid w:val="00591473"/>
    <w:rsid w:val="00593364"/>
    <w:rsid w:val="005A1473"/>
    <w:rsid w:val="005A27D0"/>
    <w:rsid w:val="005A34A6"/>
    <w:rsid w:val="005A34AD"/>
    <w:rsid w:val="005A3BD8"/>
    <w:rsid w:val="005A76EA"/>
    <w:rsid w:val="005B0101"/>
    <w:rsid w:val="005B0775"/>
    <w:rsid w:val="005B1B89"/>
    <w:rsid w:val="005B31C7"/>
    <w:rsid w:val="005B4DF8"/>
    <w:rsid w:val="005B6F4E"/>
    <w:rsid w:val="005B71B8"/>
    <w:rsid w:val="005C2DC1"/>
    <w:rsid w:val="005C4904"/>
    <w:rsid w:val="005C4F26"/>
    <w:rsid w:val="005C5817"/>
    <w:rsid w:val="005C61AC"/>
    <w:rsid w:val="005C6301"/>
    <w:rsid w:val="005C6922"/>
    <w:rsid w:val="005C7523"/>
    <w:rsid w:val="005D0D8C"/>
    <w:rsid w:val="005D1375"/>
    <w:rsid w:val="005D1892"/>
    <w:rsid w:val="005D214D"/>
    <w:rsid w:val="005D2DC6"/>
    <w:rsid w:val="005D6F1D"/>
    <w:rsid w:val="005D7E4A"/>
    <w:rsid w:val="005E04F5"/>
    <w:rsid w:val="005E1029"/>
    <w:rsid w:val="005E1133"/>
    <w:rsid w:val="005E276E"/>
    <w:rsid w:val="005E31AF"/>
    <w:rsid w:val="005E4BAF"/>
    <w:rsid w:val="005E5E33"/>
    <w:rsid w:val="005F245D"/>
    <w:rsid w:val="005F4ADC"/>
    <w:rsid w:val="005F7116"/>
    <w:rsid w:val="005F726F"/>
    <w:rsid w:val="005F77DF"/>
    <w:rsid w:val="005F7A5E"/>
    <w:rsid w:val="0060069D"/>
    <w:rsid w:val="00600E7F"/>
    <w:rsid w:val="00601378"/>
    <w:rsid w:val="00604180"/>
    <w:rsid w:val="00605557"/>
    <w:rsid w:val="0061147B"/>
    <w:rsid w:val="00611CFE"/>
    <w:rsid w:val="00615D78"/>
    <w:rsid w:val="00616130"/>
    <w:rsid w:val="00616136"/>
    <w:rsid w:val="00616553"/>
    <w:rsid w:val="006170E3"/>
    <w:rsid w:val="00620624"/>
    <w:rsid w:val="006206EE"/>
    <w:rsid w:val="006215F8"/>
    <w:rsid w:val="00622985"/>
    <w:rsid w:val="00624B00"/>
    <w:rsid w:val="0062500D"/>
    <w:rsid w:val="006252FE"/>
    <w:rsid w:val="00625968"/>
    <w:rsid w:val="00625FC7"/>
    <w:rsid w:val="006308C6"/>
    <w:rsid w:val="006316C9"/>
    <w:rsid w:val="0063188F"/>
    <w:rsid w:val="00635659"/>
    <w:rsid w:val="00636431"/>
    <w:rsid w:val="0063718E"/>
    <w:rsid w:val="006379BC"/>
    <w:rsid w:val="00641321"/>
    <w:rsid w:val="00644034"/>
    <w:rsid w:val="00646CC4"/>
    <w:rsid w:val="006473B9"/>
    <w:rsid w:val="00651489"/>
    <w:rsid w:val="00652504"/>
    <w:rsid w:val="00655B5A"/>
    <w:rsid w:val="006567FB"/>
    <w:rsid w:val="0066009E"/>
    <w:rsid w:val="0066122C"/>
    <w:rsid w:val="00662048"/>
    <w:rsid w:val="00664281"/>
    <w:rsid w:val="00671A92"/>
    <w:rsid w:val="0067500D"/>
    <w:rsid w:val="00675B68"/>
    <w:rsid w:val="006762E2"/>
    <w:rsid w:val="00677D8A"/>
    <w:rsid w:val="00681239"/>
    <w:rsid w:val="00683656"/>
    <w:rsid w:val="006845A4"/>
    <w:rsid w:val="00685B72"/>
    <w:rsid w:val="006876C1"/>
    <w:rsid w:val="00687E5C"/>
    <w:rsid w:val="0069207F"/>
    <w:rsid w:val="00692292"/>
    <w:rsid w:val="0069486D"/>
    <w:rsid w:val="00695F10"/>
    <w:rsid w:val="006A042D"/>
    <w:rsid w:val="006A05E2"/>
    <w:rsid w:val="006A18EF"/>
    <w:rsid w:val="006A29E0"/>
    <w:rsid w:val="006A2E46"/>
    <w:rsid w:val="006A6E83"/>
    <w:rsid w:val="006A72C2"/>
    <w:rsid w:val="006A7F83"/>
    <w:rsid w:val="006B1896"/>
    <w:rsid w:val="006B3B1F"/>
    <w:rsid w:val="006B4E2E"/>
    <w:rsid w:val="006B67C9"/>
    <w:rsid w:val="006C290E"/>
    <w:rsid w:val="006C2B4A"/>
    <w:rsid w:val="006C2ECE"/>
    <w:rsid w:val="006C3058"/>
    <w:rsid w:val="006C3264"/>
    <w:rsid w:val="006C48B3"/>
    <w:rsid w:val="006C509B"/>
    <w:rsid w:val="006D0ADE"/>
    <w:rsid w:val="006D4B78"/>
    <w:rsid w:val="006E137B"/>
    <w:rsid w:val="006E186A"/>
    <w:rsid w:val="006E1ED6"/>
    <w:rsid w:val="006E358F"/>
    <w:rsid w:val="006E3ECA"/>
    <w:rsid w:val="006E4439"/>
    <w:rsid w:val="006E4A92"/>
    <w:rsid w:val="006E4D22"/>
    <w:rsid w:val="006E5762"/>
    <w:rsid w:val="006E6882"/>
    <w:rsid w:val="006E6A31"/>
    <w:rsid w:val="006F3375"/>
    <w:rsid w:val="006F33F9"/>
    <w:rsid w:val="006F5093"/>
    <w:rsid w:val="006F524A"/>
    <w:rsid w:val="006F7029"/>
    <w:rsid w:val="00702037"/>
    <w:rsid w:val="00702A9B"/>
    <w:rsid w:val="00705EA4"/>
    <w:rsid w:val="00711742"/>
    <w:rsid w:val="00712B32"/>
    <w:rsid w:val="0071566A"/>
    <w:rsid w:val="00717F9F"/>
    <w:rsid w:val="00721199"/>
    <w:rsid w:val="0072156C"/>
    <w:rsid w:val="00721671"/>
    <w:rsid w:val="00723DF4"/>
    <w:rsid w:val="00724108"/>
    <w:rsid w:val="007244D4"/>
    <w:rsid w:val="007306EB"/>
    <w:rsid w:val="007326C6"/>
    <w:rsid w:val="00735215"/>
    <w:rsid w:val="00735EFA"/>
    <w:rsid w:val="00736096"/>
    <w:rsid w:val="007364A7"/>
    <w:rsid w:val="00741E0C"/>
    <w:rsid w:val="00742DF0"/>
    <w:rsid w:val="00742EA7"/>
    <w:rsid w:val="007437BB"/>
    <w:rsid w:val="0074453A"/>
    <w:rsid w:val="007451B7"/>
    <w:rsid w:val="007514FE"/>
    <w:rsid w:val="00751CA6"/>
    <w:rsid w:val="007528EE"/>
    <w:rsid w:val="00752991"/>
    <w:rsid w:val="00755174"/>
    <w:rsid w:val="0075588D"/>
    <w:rsid w:val="00756840"/>
    <w:rsid w:val="007573E5"/>
    <w:rsid w:val="00764532"/>
    <w:rsid w:val="007651E1"/>
    <w:rsid w:val="00771D1A"/>
    <w:rsid w:val="007760F2"/>
    <w:rsid w:val="0077677C"/>
    <w:rsid w:val="007809A3"/>
    <w:rsid w:val="00780A8D"/>
    <w:rsid w:val="00780E3A"/>
    <w:rsid w:val="007810B5"/>
    <w:rsid w:val="00781A77"/>
    <w:rsid w:val="007824F8"/>
    <w:rsid w:val="007826D6"/>
    <w:rsid w:val="00786576"/>
    <w:rsid w:val="00786FE4"/>
    <w:rsid w:val="00787EFA"/>
    <w:rsid w:val="007902C2"/>
    <w:rsid w:val="007919FC"/>
    <w:rsid w:val="00793B6E"/>
    <w:rsid w:val="00797B07"/>
    <w:rsid w:val="00797DA6"/>
    <w:rsid w:val="00797F0C"/>
    <w:rsid w:val="007A013B"/>
    <w:rsid w:val="007A4FC6"/>
    <w:rsid w:val="007A54B3"/>
    <w:rsid w:val="007A7509"/>
    <w:rsid w:val="007B0374"/>
    <w:rsid w:val="007B1D31"/>
    <w:rsid w:val="007B3BD4"/>
    <w:rsid w:val="007B6AE9"/>
    <w:rsid w:val="007B7D83"/>
    <w:rsid w:val="007C2E5C"/>
    <w:rsid w:val="007C3BD5"/>
    <w:rsid w:val="007D2DE5"/>
    <w:rsid w:val="007D3AB9"/>
    <w:rsid w:val="007D55D3"/>
    <w:rsid w:val="007E0BF0"/>
    <w:rsid w:val="007E26F9"/>
    <w:rsid w:val="007E2C10"/>
    <w:rsid w:val="007E55C0"/>
    <w:rsid w:val="007E71CD"/>
    <w:rsid w:val="007F173A"/>
    <w:rsid w:val="007F343E"/>
    <w:rsid w:val="007F49E3"/>
    <w:rsid w:val="00800A3B"/>
    <w:rsid w:val="008015A8"/>
    <w:rsid w:val="0080212F"/>
    <w:rsid w:val="00802507"/>
    <w:rsid w:val="00804184"/>
    <w:rsid w:val="00807524"/>
    <w:rsid w:val="0081002E"/>
    <w:rsid w:val="008101AD"/>
    <w:rsid w:val="00812573"/>
    <w:rsid w:val="00812D8F"/>
    <w:rsid w:val="00815094"/>
    <w:rsid w:val="008166D0"/>
    <w:rsid w:val="0081726D"/>
    <w:rsid w:val="00822C3F"/>
    <w:rsid w:val="00823102"/>
    <w:rsid w:val="00823ABF"/>
    <w:rsid w:val="008240C6"/>
    <w:rsid w:val="008257DE"/>
    <w:rsid w:val="00830389"/>
    <w:rsid w:val="008341CE"/>
    <w:rsid w:val="00835B13"/>
    <w:rsid w:val="008363B6"/>
    <w:rsid w:val="00837736"/>
    <w:rsid w:val="00840076"/>
    <w:rsid w:val="00841386"/>
    <w:rsid w:val="00841F0B"/>
    <w:rsid w:val="00843519"/>
    <w:rsid w:val="008447C4"/>
    <w:rsid w:val="00844E5C"/>
    <w:rsid w:val="00851356"/>
    <w:rsid w:val="00851EA3"/>
    <w:rsid w:val="008540DC"/>
    <w:rsid w:val="00856629"/>
    <w:rsid w:val="00862A45"/>
    <w:rsid w:val="008663CA"/>
    <w:rsid w:val="00866DA0"/>
    <w:rsid w:val="008674EE"/>
    <w:rsid w:val="00870BA9"/>
    <w:rsid w:val="00870E09"/>
    <w:rsid w:val="008730F9"/>
    <w:rsid w:val="00873D80"/>
    <w:rsid w:val="00874628"/>
    <w:rsid w:val="00876917"/>
    <w:rsid w:val="00880090"/>
    <w:rsid w:val="0088392C"/>
    <w:rsid w:val="00885C7F"/>
    <w:rsid w:val="00886F5A"/>
    <w:rsid w:val="00890A13"/>
    <w:rsid w:val="0089162E"/>
    <w:rsid w:val="00891CEC"/>
    <w:rsid w:val="008937E8"/>
    <w:rsid w:val="00894E28"/>
    <w:rsid w:val="00895416"/>
    <w:rsid w:val="008958DB"/>
    <w:rsid w:val="008A0879"/>
    <w:rsid w:val="008A1BA2"/>
    <w:rsid w:val="008A2D0E"/>
    <w:rsid w:val="008A2D15"/>
    <w:rsid w:val="008A33CC"/>
    <w:rsid w:val="008A35CA"/>
    <w:rsid w:val="008A4DC4"/>
    <w:rsid w:val="008A73E0"/>
    <w:rsid w:val="008A774A"/>
    <w:rsid w:val="008B0E87"/>
    <w:rsid w:val="008B2EBD"/>
    <w:rsid w:val="008B3DEC"/>
    <w:rsid w:val="008B42AF"/>
    <w:rsid w:val="008B4F31"/>
    <w:rsid w:val="008B6E2A"/>
    <w:rsid w:val="008B7025"/>
    <w:rsid w:val="008C49F3"/>
    <w:rsid w:val="008C4B88"/>
    <w:rsid w:val="008C527C"/>
    <w:rsid w:val="008C5D99"/>
    <w:rsid w:val="008C705B"/>
    <w:rsid w:val="008D2838"/>
    <w:rsid w:val="008D39A7"/>
    <w:rsid w:val="008D3AA7"/>
    <w:rsid w:val="008D4103"/>
    <w:rsid w:val="008D440A"/>
    <w:rsid w:val="008D66EF"/>
    <w:rsid w:val="008D7E24"/>
    <w:rsid w:val="008E1717"/>
    <w:rsid w:val="008E33A2"/>
    <w:rsid w:val="008E4C26"/>
    <w:rsid w:val="008E50B5"/>
    <w:rsid w:val="008E62B0"/>
    <w:rsid w:val="008F0744"/>
    <w:rsid w:val="008F38E5"/>
    <w:rsid w:val="008F3D2E"/>
    <w:rsid w:val="008F7143"/>
    <w:rsid w:val="008F7AD6"/>
    <w:rsid w:val="00902163"/>
    <w:rsid w:val="00903554"/>
    <w:rsid w:val="00903B81"/>
    <w:rsid w:val="0090467A"/>
    <w:rsid w:val="009048E2"/>
    <w:rsid w:val="00905114"/>
    <w:rsid w:val="00905230"/>
    <w:rsid w:val="0091168B"/>
    <w:rsid w:val="0091181E"/>
    <w:rsid w:val="00915F71"/>
    <w:rsid w:val="00916939"/>
    <w:rsid w:val="0092035F"/>
    <w:rsid w:val="00923205"/>
    <w:rsid w:val="00924941"/>
    <w:rsid w:val="00924947"/>
    <w:rsid w:val="00924A72"/>
    <w:rsid w:val="00925EC4"/>
    <w:rsid w:val="00931D87"/>
    <w:rsid w:val="00932D93"/>
    <w:rsid w:val="00933C99"/>
    <w:rsid w:val="00936C53"/>
    <w:rsid w:val="00936E91"/>
    <w:rsid w:val="00937595"/>
    <w:rsid w:val="00937835"/>
    <w:rsid w:val="00940910"/>
    <w:rsid w:val="00943659"/>
    <w:rsid w:val="009436F2"/>
    <w:rsid w:val="00944280"/>
    <w:rsid w:val="00944394"/>
    <w:rsid w:val="00944B1C"/>
    <w:rsid w:val="00945819"/>
    <w:rsid w:val="009461D2"/>
    <w:rsid w:val="00953933"/>
    <w:rsid w:val="00954EAF"/>
    <w:rsid w:val="00955BB1"/>
    <w:rsid w:val="009600C8"/>
    <w:rsid w:val="00961F67"/>
    <w:rsid w:val="0096240B"/>
    <w:rsid w:val="00962E66"/>
    <w:rsid w:val="009677C0"/>
    <w:rsid w:val="00967E79"/>
    <w:rsid w:val="009714A9"/>
    <w:rsid w:val="009716E8"/>
    <w:rsid w:val="009745BB"/>
    <w:rsid w:val="00982AC4"/>
    <w:rsid w:val="009834F5"/>
    <w:rsid w:val="0098368C"/>
    <w:rsid w:val="00983A13"/>
    <w:rsid w:val="00986D5F"/>
    <w:rsid w:val="00991F09"/>
    <w:rsid w:val="00992748"/>
    <w:rsid w:val="00993337"/>
    <w:rsid w:val="00993D4D"/>
    <w:rsid w:val="009943AF"/>
    <w:rsid w:val="0099536D"/>
    <w:rsid w:val="00996E42"/>
    <w:rsid w:val="00996E4F"/>
    <w:rsid w:val="0099728C"/>
    <w:rsid w:val="0099776A"/>
    <w:rsid w:val="00997F24"/>
    <w:rsid w:val="009A09C1"/>
    <w:rsid w:val="009A1CDC"/>
    <w:rsid w:val="009A30D9"/>
    <w:rsid w:val="009A34A5"/>
    <w:rsid w:val="009A3F6E"/>
    <w:rsid w:val="009A76E1"/>
    <w:rsid w:val="009A7904"/>
    <w:rsid w:val="009B135B"/>
    <w:rsid w:val="009B1DCB"/>
    <w:rsid w:val="009B3C7A"/>
    <w:rsid w:val="009B4F70"/>
    <w:rsid w:val="009B62ED"/>
    <w:rsid w:val="009C0EB0"/>
    <w:rsid w:val="009C1E4E"/>
    <w:rsid w:val="009C34B7"/>
    <w:rsid w:val="009C3695"/>
    <w:rsid w:val="009C4A72"/>
    <w:rsid w:val="009C6A2B"/>
    <w:rsid w:val="009C6FEB"/>
    <w:rsid w:val="009D1F7B"/>
    <w:rsid w:val="009D2198"/>
    <w:rsid w:val="009D3916"/>
    <w:rsid w:val="009D780F"/>
    <w:rsid w:val="009E1BCE"/>
    <w:rsid w:val="009E304D"/>
    <w:rsid w:val="009E36F1"/>
    <w:rsid w:val="009E5B03"/>
    <w:rsid w:val="009E6738"/>
    <w:rsid w:val="009E6F2A"/>
    <w:rsid w:val="009F0B87"/>
    <w:rsid w:val="009F1065"/>
    <w:rsid w:val="009F1861"/>
    <w:rsid w:val="009F3092"/>
    <w:rsid w:val="00A00B26"/>
    <w:rsid w:val="00A02B25"/>
    <w:rsid w:val="00A03C65"/>
    <w:rsid w:val="00A107D6"/>
    <w:rsid w:val="00A117D7"/>
    <w:rsid w:val="00A11906"/>
    <w:rsid w:val="00A12E25"/>
    <w:rsid w:val="00A14C49"/>
    <w:rsid w:val="00A218ED"/>
    <w:rsid w:val="00A21993"/>
    <w:rsid w:val="00A230B2"/>
    <w:rsid w:val="00A240A7"/>
    <w:rsid w:val="00A25DEC"/>
    <w:rsid w:val="00A26980"/>
    <w:rsid w:val="00A27ABB"/>
    <w:rsid w:val="00A33FAD"/>
    <w:rsid w:val="00A36875"/>
    <w:rsid w:val="00A40164"/>
    <w:rsid w:val="00A405D3"/>
    <w:rsid w:val="00A40EC6"/>
    <w:rsid w:val="00A43525"/>
    <w:rsid w:val="00A45C91"/>
    <w:rsid w:val="00A50048"/>
    <w:rsid w:val="00A509F8"/>
    <w:rsid w:val="00A51DDD"/>
    <w:rsid w:val="00A578D8"/>
    <w:rsid w:val="00A6074A"/>
    <w:rsid w:val="00A613E8"/>
    <w:rsid w:val="00A62189"/>
    <w:rsid w:val="00A62B42"/>
    <w:rsid w:val="00A63200"/>
    <w:rsid w:val="00A63E09"/>
    <w:rsid w:val="00A646FC"/>
    <w:rsid w:val="00A64917"/>
    <w:rsid w:val="00A65BBE"/>
    <w:rsid w:val="00A65E5A"/>
    <w:rsid w:val="00A65FDF"/>
    <w:rsid w:val="00A677D7"/>
    <w:rsid w:val="00A67F24"/>
    <w:rsid w:val="00A70005"/>
    <w:rsid w:val="00A71316"/>
    <w:rsid w:val="00A77A34"/>
    <w:rsid w:val="00A809D5"/>
    <w:rsid w:val="00A82886"/>
    <w:rsid w:val="00A82889"/>
    <w:rsid w:val="00A9281B"/>
    <w:rsid w:val="00A931B6"/>
    <w:rsid w:val="00A935A7"/>
    <w:rsid w:val="00A9396B"/>
    <w:rsid w:val="00A94BF4"/>
    <w:rsid w:val="00A952BA"/>
    <w:rsid w:val="00A963CA"/>
    <w:rsid w:val="00AA3178"/>
    <w:rsid w:val="00AA3408"/>
    <w:rsid w:val="00AA3CAA"/>
    <w:rsid w:val="00AA4116"/>
    <w:rsid w:val="00AA4EC1"/>
    <w:rsid w:val="00AA5685"/>
    <w:rsid w:val="00AA56AC"/>
    <w:rsid w:val="00AA6E07"/>
    <w:rsid w:val="00AA76B0"/>
    <w:rsid w:val="00AB0594"/>
    <w:rsid w:val="00AB08AB"/>
    <w:rsid w:val="00AB0AD8"/>
    <w:rsid w:val="00AB0CA6"/>
    <w:rsid w:val="00AB208D"/>
    <w:rsid w:val="00AB3160"/>
    <w:rsid w:val="00AB369E"/>
    <w:rsid w:val="00AB521E"/>
    <w:rsid w:val="00AC150F"/>
    <w:rsid w:val="00AC25E7"/>
    <w:rsid w:val="00AC47A2"/>
    <w:rsid w:val="00AC49FB"/>
    <w:rsid w:val="00AC596F"/>
    <w:rsid w:val="00AC7093"/>
    <w:rsid w:val="00AD0830"/>
    <w:rsid w:val="00AD10D7"/>
    <w:rsid w:val="00AD2907"/>
    <w:rsid w:val="00AD386B"/>
    <w:rsid w:val="00AD3D48"/>
    <w:rsid w:val="00AD46E2"/>
    <w:rsid w:val="00AD49F3"/>
    <w:rsid w:val="00AD534B"/>
    <w:rsid w:val="00AD7256"/>
    <w:rsid w:val="00AE178F"/>
    <w:rsid w:val="00AE3127"/>
    <w:rsid w:val="00AE462F"/>
    <w:rsid w:val="00AE60FB"/>
    <w:rsid w:val="00AE6697"/>
    <w:rsid w:val="00AF03A8"/>
    <w:rsid w:val="00AF05CE"/>
    <w:rsid w:val="00AF25A4"/>
    <w:rsid w:val="00AF5072"/>
    <w:rsid w:val="00AF51D1"/>
    <w:rsid w:val="00AF5DE1"/>
    <w:rsid w:val="00AF6323"/>
    <w:rsid w:val="00AF6426"/>
    <w:rsid w:val="00B005A6"/>
    <w:rsid w:val="00B01DA2"/>
    <w:rsid w:val="00B022F5"/>
    <w:rsid w:val="00B04E2B"/>
    <w:rsid w:val="00B04F94"/>
    <w:rsid w:val="00B0569E"/>
    <w:rsid w:val="00B05765"/>
    <w:rsid w:val="00B059C5"/>
    <w:rsid w:val="00B1018B"/>
    <w:rsid w:val="00B13B7F"/>
    <w:rsid w:val="00B141B8"/>
    <w:rsid w:val="00B1427F"/>
    <w:rsid w:val="00B15D52"/>
    <w:rsid w:val="00B15EEC"/>
    <w:rsid w:val="00B165CB"/>
    <w:rsid w:val="00B16A12"/>
    <w:rsid w:val="00B17C13"/>
    <w:rsid w:val="00B22F0D"/>
    <w:rsid w:val="00B23027"/>
    <w:rsid w:val="00B268C2"/>
    <w:rsid w:val="00B26DEA"/>
    <w:rsid w:val="00B3089A"/>
    <w:rsid w:val="00B31301"/>
    <w:rsid w:val="00B32956"/>
    <w:rsid w:val="00B32F87"/>
    <w:rsid w:val="00B33DD0"/>
    <w:rsid w:val="00B34DB6"/>
    <w:rsid w:val="00B4132C"/>
    <w:rsid w:val="00B41AE8"/>
    <w:rsid w:val="00B427BD"/>
    <w:rsid w:val="00B42B54"/>
    <w:rsid w:val="00B43896"/>
    <w:rsid w:val="00B44184"/>
    <w:rsid w:val="00B44C91"/>
    <w:rsid w:val="00B46792"/>
    <w:rsid w:val="00B50692"/>
    <w:rsid w:val="00B509F1"/>
    <w:rsid w:val="00B50CB3"/>
    <w:rsid w:val="00B51957"/>
    <w:rsid w:val="00B54B10"/>
    <w:rsid w:val="00B55812"/>
    <w:rsid w:val="00B56812"/>
    <w:rsid w:val="00B56A74"/>
    <w:rsid w:val="00B600AB"/>
    <w:rsid w:val="00B62D9B"/>
    <w:rsid w:val="00B62FD1"/>
    <w:rsid w:val="00B645CC"/>
    <w:rsid w:val="00B64E58"/>
    <w:rsid w:val="00B65D6E"/>
    <w:rsid w:val="00B66236"/>
    <w:rsid w:val="00B6667D"/>
    <w:rsid w:val="00B667E4"/>
    <w:rsid w:val="00B66D02"/>
    <w:rsid w:val="00B720F1"/>
    <w:rsid w:val="00B73203"/>
    <w:rsid w:val="00B73B93"/>
    <w:rsid w:val="00B73CE0"/>
    <w:rsid w:val="00B7407B"/>
    <w:rsid w:val="00B74688"/>
    <w:rsid w:val="00B7720F"/>
    <w:rsid w:val="00B81971"/>
    <w:rsid w:val="00B85A77"/>
    <w:rsid w:val="00B90B4B"/>
    <w:rsid w:val="00B9309E"/>
    <w:rsid w:val="00BA08A8"/>
    <w:rsid w:val="00BA15A8"/>
    <w:rsid w:val="00BA1ABA"/>
    <w:rsid w:val="00BA2161"/>
    <w:rsid w:val="00BA46B9"/>
    <w:rsid w:val="00BA7E87"/>
    <w:rsid w:val="00BB0144"/>
    <w:rsid w:val="00BB23F6"/>
    <w:rsid w:val="00BB2B65"/>
    <w:rsid w:val="00BB3FEA"/>
    <w:rsid w:val="00BB40CD"/>
    <w:rsid w:val="00BB46A8"/>
    <w:rsid w:val="00BB5205"/>
    <w:rsid w:val="00BB76D5"/>
    <w:rsid w:val="00BC00CC"/>
    <w:rsid w:val="00BC14DC"/>
    <w:rsid w:val="00BC1762"/>
    <w:rsid w:val="00BC2B94"/>
    <w:rsid w:val="00BC4CE9"/>
    <w:rsid w:val="00BC6847"/>
    <w:rsid w:val="00BC6ABE"/>
    <w:rsid w:val="00BD052F"/>
    <w:rsid w:val="00BD33DB"/>
    <w:rsid w:val="00BD457F"/>
    <w:rsid w:val="00BD5A01"/>
    <w:rsid w:val="00BD5DD5"/>
    <w:rsid w:val="00BD63F8"/>
    <w:rsid w:val="00BD7F2A"/>
    <w:rsid w:val="00BE057E"/>
    <w:rsid w:val="00BE251D"/>
    <w:rsid w:val="00BF05CA"/>
    <w:rsid w:val="00BF32B6"/>
    <w:rsid w:val="00BF72A9"/>
    <w:rsid w:val="00BF7E7E"/>
    <w:rsid w:val="00C01662"/>
    <w:rsid w:val="00C0298B"/>
    <w:rsid w:val="00C03837"/>
    <w:rsid w:val="00C057ED"/>
    <w:rsid w:val="00C06D21"/>
    <w:rsid w:val="00C10D22"/>
    <w:rsid w:val="00C11141"/>
    <w:rsid w:val="00C11DC7"/>
    <w:rsid w:val="00C13FDD"/>
    <w:rsid w:val="00C1409A"/>
    <w:rsid w:val="00C16C76"/>
    <w:rsid w:val="00C20E1D"/>
    <w:rsid w:val="00C255DE"/>
    <w:rsid w:val="00C257C9"/>
    <w:rsid w:val="00C2631B"/>
    <w:rsid w:val="00C2752A"/>
    <w:rsid w:val="00C27AA0"/>
    <w:rsid w:val="00C27CC8"/>
    <w:rsid w:val="00C32D7F"/>
    <w:rsid w:val="00C3777D"/>
    <w:rsid w:val="00C427C0"/>
    <w:rsid w:val="00C43B22"/>
    <w:rsid w:val="00C447A9"/>
    <w:rsid w:val="00C45A3C"/>
    <w:rsid w:val="00C45AFC"/>
    <w:rsid w:val="00C47352"/>
    <w:rsid w:val="00C50C58"/>
    <w:rsid w:val="00C519C3"/>
    <w:rsid w:val="00C52A22"/>
    <w:rsid w:val="00C539EB"/>
    <w:rsid w:val="00C5503D"/>
    <w:rsid w:val="00C56DBD"/>
    <w:rsid w:val="00C577F7"/>
    <w:rsid w:val="00C64157"/>
    <w:rsid w:val="00C6415B"/>
    <w:rsid w:val="00C64EED"/>
    <w:rsid w:val="00C656CA"/>
    <w:rsid w:val="00C65794"/>
    <w:rsid w:val="00C65C71"/>
    <w:rsid w:val="00C668DD"/>
    <w:rsid w:val="00C67A77"/>
    <w:rsid w:val="00C716CE"/>
    <w:rsid w:val="00C725E6"/>
    <w:rsid w:val="00C75DA9"/>
    <w:rsid w:val="00C76CEE"/>
    <w:rsid w:val="00C77C56"/>
    <w:rsid w:val="00C807B1"/>
    <w:rsid w:val="00C83701"/>
    <w:rsid w:val="00C90BA5"/>
    <w:rsid w:val="00C943ED"/>
    <w:rsid w:val="00C94DE4"/>
    <w:rsid w:val="00CA4476"/>
    <w:rsid w:val="00CA4485"/>
    <w:rsid w:val="00CA4EF8"/>
    <w:rsid w:val="00CA5028"/>
    <w:rsid w:val="00CB5C74"/>
    <w:rsid w:val="00CB6B23"/>
    <w:rsid w:val="00CB70F7"/>
    <w:rsid w:val="00CB783B"/>
    <w:rsid w:val="00CB7B1A"/>
    <w:rsid w:val="00CC2D9B"/>
    <w:rsid w:val="00CC5D9F"/>
    <w:rsid w:val="00CC5E7C"/>
    <w:rsid w:val="00CD1C0F"/>
    <w:rsid w:val="00CD2418"/>
    <w:rsid w:val="00CD4B79"/>
    <w:rsid w:val="00CE3C25"/>
    <w:rsid w:val="00CE4554"/>
    <w:rsid w:val="00CE4A52"/>
    <w:rsid w:val="00CE56FC"/>
    <w:rsid w:val="00CE7065"/>
    <w:rsid w:val="00CF3132"/>
    <w:rsid w:val="00CF4D68"/>
    <w:rsid w:val="00CF5704"/>
    <w:rsid w:val="00CF5A5D"/>
    <w:rsid w:val="00D0144F"/>
    <w:rsid w:val="00D0278A"/>
    <w:rsid w:val="00D05211"/>
    <w:rsid w:val="00D06885"/>
    <w:rsid w:val="00D07E29"/>
    <w:rsid w:val="00D10C2A"/>
    <w:rsid w:val="00D12651"/>
    <w:rsid w:val="00D126CD"/>
    <w:rsid w:val="00D12FFB"/>
    <w:rsid w:val="00D1424F"/>
    <w:rsid w:val="00D210E1"/>
    <w:rsid w:val="00D2162C"/>
    <w:rsid w:val="00D2300C"/>
    <w:rsid w:val="00D24E9F"/>
    <w:rsid w:val="00D25A8E"/>
    <w:rsid w:val="00D27A6F"/>
    <w:rsid w:val="00D3184B"/>
    <w:rsid w:val="00D32FF5"/>
    <w:rsid w:val="00D33296"/>
    <w:rsid w:val="00D3334D"/>
    <w:rsid w:val="00D3765A"/>
    <w:rsid w:val="00D44E69"/>
    <w:rsid w:val="00D45F04"/>
    <w:rsid w:val="00D46377"/>
    <w:rsid w:val="00D47650"/>
    <w:rsid w:val="00D50A54"/>
    <w:rsid w:val="00D51A48"/>
    <w:rsid w:val="00D547E2"/>
    <w:rsid w:val="00D55234"/>
    <w:rsid w:val="00D60C91"/>
    <w:rsid w:val="00D62271"/>
    <w:rsid w:val="00D62AC0"/>
    <w:rsid w:val="00D6369A"/>
    <w:rsid w:val="00D642F5"/>
    <w:rsid w:val="00D644D8"/>
    <w:rsid w:val="00D671B8"/>
    <w:rsid w:val="00D75090"/>
    <w:rsid w:val="00D77782"/>
    <w:rsid w:val="00D80B10"/>
    <w:rsid w:val="00D8162B"/>
    <w:rsid w:val="00D8522F"/>
    <w:rsid w:val="00D85863"/>
    <w:rsid w:val="00D913B1"/>
    <w:rsid w:val="00D919B6"/>
    <w:rsid w:val="00D91A17"/>
    <w:rsid w:val="00D92BA6"/>
    <w:rsid w:val="00D9462D"/>
    <w:rsid w:val="00D974B9"/>
    <w:rsid w:val="00D97B7F"/>
    <w:rsid w:val="00D97F01"/>
    <w:rsid w:val="00D97F9F"/>
    <w:rsid w:val="00DA325F"/>
    <w:rsid w:val="00DA38A9"/>
    <w:rsid w:val="00DA480E"/>
    <w:rsid w:val="00DB1A70"/>
    <w:rsid w:val="00DB1B9A"/>
    <w:rsid w:val="00DB264B"/>
    <w:rsid w:val="00DB6744"/>
    <w:rsid w:val="00DC0877"/>
    <w:rsid w:val="00DC25D3"/>
    <w:rsid w:val="00DC2787"/>
    <w:rsid w:val="00DC2DA6"/>
    <w:rsid w:val="00DC4D7D"/>
    <w:rsid w:val="00DC54DA"/>
    <w:rsid w:val="00DC5CA5"/>
    <w:rsid w:val="00DC60BE"/>
    <w:rsid w:val="00DD388C"/>
    <w:rsid w:val="00DD3C3F"/>
    <w:rsid w:val="00DD4C14"/>
    <w:rsid w:val="00DE1EC8"/>
    <w:rsid w:val="00DE3D5F"/>
    <w:rsid w:val="00DE43AE"/>
    <w:rsid w:val="00DF0210"/>
    <w:rsid w:val="00DF13EB"/>
    <w:rsid w:val="00DF2AFB"/>
    <w:rsid w:val="00DF4CC1"/>
    <w:rsid w:val="00DF50F5"/>
    <w:rsid w:val="00E00E0C"/>
    <w:rsid w:val="00E02036"/>
    <w:rsid w:val="00E02276"/>
    <w:rsid w:val="00E028CD"/>
    <w:rsid w:val="00E029F4"/>
    <w:rsid w:val="00E046E5"/>
    <w:rsid w:val="00E06DDF"/>
    <w:rsid w:val="00E0706E"/>
    <w:rsid w:val="00E10B47"/>
    <w:rsid w:val="00E11760"/>
    <w:rsid w:val="00E12407"/>
    <w:rsid w:val="00E14B50"/>
    <w:rsid w:val="00E14F08"/>
    <w:rsid w:val="00E15BE8"/>
    <w:rsid w:val="00E16DB7"/>
    <w:rsid w:val="00E22584"/>
    <w:rsid w:val="00E23B2E"/>
    <w:rsid w:val="00E23D60"/>
    <w:rsid w:val="00E30903"/>
    <w:rsid w:val="00E30C28"/>
    <w:rsid w:val="00E31C42"/>
    <w:rsid w:val="00E322BB"/>
    <w:rsid w:val="00E32F8D"/>
    <w:rsid w:val="00E33180"/>
    <w:rsid w:val="00E35077"/>
    <w:rsid w:val="00E35715"/>
    <w:rsid w:val="00E35E3F"/>
    <w:rsid w:val="00E40750"/>
    <w:rsid w:val="00E4348C"/>
    <w:rsid w:val="00E442A8"/>
    <w:rsid w:val="00E44BD8"/>
    <w:rsid w:val="00E45087"/>
    <w:rsid w:val="00E45498"/>
    <w:rsid w:val="00E45D05"/>
    <w:rsid w:val="00E543C2"/>
    <w:rsid w:val="00E5464B"/>
    <w:rsid w:val="00E5534B"/>
    <w:rsid w:val="00E557D8"/>
    <w:rsid w:val="00E55D35"/>
    <w:rsid w:val="00E603F8"/>
    <w:rsid w:val="00E61E67"/>
    <w:rsid w:val="00E629B7"/>
    <w:rsid w:val="00E62A0D"/>
    <w:rsid w:val="00E66591"/>
    <w:rsid w:val="00E66F0E"/>
    <w:rsid w:val="00E674BE"/>
    <w:rsid w:val="00E678D9"/>
    <w:rsid w:val="00E700F5"/>
    <w:rsid w:val="00E7039D"/>
    <w:rsid w:val="00E70E59"/>
    <w:rsid w:val="00E71A3E"/>
    <w:rsid w:val="00E71BBB"/>
    <w:rsid w:val="00E72535"/>
    <w:rsid w:val="00E72B72"/>
    <w:rsid w:val="00E76A62"/>
    <w:rsid w:val="00E82FD2"/>
    <w:rsid w:val="00E83DCE"/>
    <w:rsid w:val="00E84405"/>
    <w:rsid w:val="00E8464B"/>
    <w:rsid w:val="00E84A33"/>
    <w:rsid w:val="00E9091E"/>
    <w:rsid w:val="00E9122D"/>
    <w:rsid w:val="00E940B3"/>
    <w:rsid w:val="00E94484"/>
    <w:rsid w:val="00E97625"/>
    <w:rsid w:val="00E97BFD"/>
    <w:rsid w:val="00E97E54"/>
    <w:rsid w:val="00EA1AF5"/>
    <w:rsid w:val="00EB06BD"/>
    <w:rsid w:val="00EB2631"/>
    <w:rsid w:val="00EB2676"/>
    <w:rsid w:val="00EB290C"/>
    <w:rsid w:val="00EB2BC9"/>
    <w:rsid w:val="00EB3399"/>
    <w:rsid w:val="00EB3AAB"/>
    <w:rsid w:val="00EB5D79"/>
    <w:rsid w:val="00EC1A45"/>
    <w:rsid w:val="00ED0CB4"/>
    <w:rsid w:val="00ED194F"/>
    <w:rsid w:val="00ED2360"/>
    <w:rsid w:val="00ED2ED8"/>
    <w:rsid w:val="00ED3344"/>
    <w:rsid w:val="00ED42E5"/>
    <w:rsid w:val="00ED698A"/>
    <w:rsid w:val="00ED774F"/>
    <w:rsid w:val="00EE10E1"/>
    <w:rsid w:val="00EE231F"/>
    <w:rsid w:val="00EE2651"/>
    <w:rsid w:val="00EE3936"/>
    <w:rsid w:val="00EF04A8"/>
    <w:rsid w:val="00EF1A0A"/>
    <w:rsid w:val="00EF27B9"/>
    <w:rsid w:val="00EF3D14"/>
    <w:rsid w:val="00EF523B"/>
    <w:rsid w:val="00EF60F7"/>
    <w:rsid w:val="00EF6C25"/>
    <w:rsid w:val="00F018CF"/>
    <w:rsid w:val="00F01A9F"/>
    <w:rsid w:val="00F01C18"/>
    <w:rsid w:val="00F01D9D"/>
    <w:rsid w:val="00F01F75"/>
    <w:rsid w:val="00F024FC"/>
    <w:rsid w:val="00F026B4"/>
    <w:rsid w:val="00F02866"/>
    <w:rsid w:val="00F02B45"/>
    <w:rsid w:val="00F046F2"/>
    <w:rsid w:val="00F04D0A"/>
    <w:rsid w:val="00F04E45"/>
    <w:rsid w:val="00F05081"/>
    <w:rsid w:val="00F06D66"/>
    <w:rsid w:val="00F10C44"/>
    <w:rsid w:val="00F12B01"/>
    <w:rsid w:val="00F140E1"/>
    <w:rsid w:val="00F14D5B"/>
    <w:rsid w:val="00F16786"/>
    <w:rsid w:val="00F16C94"/>
    <w:rsid w:val="00F17232"/>
    <w:rsid w:val="00F21032"/>
    <w:rsid w:val="00F21626"/>
    <w:rsid w:val="00F2208E"/>
    <w:rsid w:val="00F231A6"/>
    <w:rsid w:val="00F243F5"/>
    <w:rsid w:val="00F257F9"/>
    <w:rsid w:val="00F267FC"/>
    <w:rsid w:val="00F27834"/>
    <w:rsid w:val="00F27B8D"/>
    <w:rsid w:val="00F308F9"/>
    <w:rsid w:val="00F310FC"/>
    <w:rsid w:val="00F31BF9"/>
    <w:rsid w:val="00F3289F"/>
    <w:rsid w:val="00F34DFC"/>
    <w:rsid w:val="00F35444"/>
    <w:rsid w:val="00F41034"/>
    <w:rsid w:val="00F418EA"/>
    <w:rsid w:val="00F436BA"/>
    <w:rsid w:val="00F44251"/>
    <w:rsid w:val="00F45D57"/>
    <w:rsid w:val="00F46181"/>
    <w:rsid w:val="00F50345"/>
    <w:rsid w:val="00F507DA"/>
    <w:rsid w:val="00F565B6"/>
    <w:rsid w:val="00F566A6"/>
    <w:rsid w:val="00F61329"/>
    <w:rsid w:val="00F62A45"/>
    <w:rsid w:val="00F63538"/>
    <w:rsid w:val="00F644C8"/>
    <w:rsid w:val="00F65592"/>
    <w:rsid w:val="00F65748"/>
    <w:rsid w:val="00F6632D"/>
    <w:rsid w:val="00F67B40"/>
    <w:rsid w:val="00F70F70"/>
    <w:rsid w:val="00F7110D"/>
    <w:rsid w:val="00F71345"/>
    <w:rsid w:val="00F734F9"/>
    <w:rsid w:val="00F73B85"/>
    <w:rsid w:val="00F77A5D"/>
    <w:rsid w:val="00F8054D"/>
    <w:rsid w:val="00F80CAD"/>
    <w:rsid w:val="00F80CD5"/>
    <w:rsid w:val="00F82BD2"/>
    <w:rsid w:val="00F8692C"/>
    <w:rsid w:val="00F87245"/>
    <w:rsid w:val="00F92519"/>
    <w:rsid w:val="00F93F04"/>
    <w:rsid w:val="00F964E7"/>
    <w:rsid w:val="00F970D0"/>
    <w:rsid w:val="00F974E7"/>
    <w:rsid w:val="00FA0A38"/>
    <w:rsid w:val="00FA1EDE"/>
    <w:rsid w:val="00FA61E9"/>
    <w:rsid w:val="00FA77F3"/>
    <w:rsid w:val="00FB58C7"/>
    <w:rsid w:val="00FC0E9F"/>
    <w:rsid w:val="00FC1BF5"/>
    <w:rsid w:val="00FC4A32"/>
    <w:rsid w:val="00FD1246"/>
    <w:rsid w:val="00FD2CC8"/>
    <w:rsid w:val="00FD4185"/>
    <w:rsid w:val="00FD6239"/>
    <w:rsid w:val="00FD6EA8"/>
    <w:rsid w:val="00FE34C3"/>
    <w:rsid w:val="00FE3B00"/>
    <w:rsid w:val="00FE401C"/>
    <w:rsid w:val="00FE48C2"/>
    <w:rsid w:val="00FE71E8"/>
    <w:rsid w:val="00FE7CE1"/>
    <w:rsid w:val="00FE7F2F"/>
    <w:rsid w:val="00FF0B33"/>
    <w:rsid w:val="00FF355A"/>
    <w:rsid w:val="00FF40D6"/>
    <w:rsid w:val="00FF45CE"/>
    <w:rsid w:val="00FF4B12"/>
    <w:rsid w:val="00FF6628"/>
    <w:rsid w:val="00FF690C"/>
    <w:rsid w:val="00FF7D8A"/>
    <w:rsid w:val="0206ADF6"/>
    <w:rsid w:val="02A6F117"/>
    <w:rsid w:val="081270B8"/>
    <w:rsid w:val="085876C0"/>
    <w:rsid w:val="0E838AA3"/>
    <w:rsid w:val="0ED75F84"/>
    <w:rsid w:val="0F48093F"/>
    <w:rsid w:val="0F7EE947"/>
    <w:rsid w:val="0F9A6554"/>
    <w:rsid w:val="113635B5"/>
    <w:rsid w:val="11801A3A"/>
    <w:rsid w:val="11BB2B65"/>
    <w:rsid w:val="12E4E73F"/>
    <w:rsid w:val="17C6277A"/>
    <w:rsid w:val="1ABFB473"/>
    <w:rsid w:val="1AFDC83C"/>
    <w:rsid w:val="203B4145"/>
    <w:rsid w:val="2093372D"/>
    <w:rsid w:val="21F79A49"/>
    <w:rsid w:val="232FB085"/>
    <w:rsid w:val="25E38A87"/>
    <w:rsid w:val="2735BB5D"/>
    <w:rsid w:val="2C52CC0B"/>
    <w:rsid w:val="30656D05"/>
    <w:rsid w:val="307C11E2"/>
    <w:rsid w:val="30C25D61"/>
    <w:rsid w:val="310D8695"/>
    <w:rsid w:val="37001DA3"/>
    <w:rsid w:val="3DAFF360"/>
    <w:rsid w:val="41897743"/>
    <w:rsid w:val="41C4ECA1"/>
    <w:rsid w:val="4324B02C"/>
    <w:rsid w:val="4ED2EE04"/>
    <w:rsid w:val="4F5E5084"/>
    <w:rsid w:val="51B0172E"/>
    <w:rsid w:val="541638D5"/>
    <w:rsid w:val="5FF098CF"/>
    <w:rsid w:val="676A5750"/>
    <w:rsid w:val="6B7638B9"/>
    <w:rsid w:val="6BB4A3E3"/>
    <w:rsid w:val="77238ABE"/>
    <w:rsid w:val="77484A59"/>
    <w:rsid w:val="77CA0795"/>
    <w:rsid w:val="77DD3C66"/>
    <w:rsid w:val="7D301A6A"/>
    <w:rsid w:val="7ECBEACB"/>
    <w:rsid w:val="7F69492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FFECA"/>
  <w15:docId w15:val="{9CF3655B-3EDD-46DF-BB14-76174608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aliases w:val="TituloPrincipal"/>
    <w:basedOn w:val="Normal"/>
    <w:next w:val="Normal"/>
    <w:link w:val="Ttulo1Car"/>
    <w:uiPriority w:val="9"/>
    <w:qFormat/>
    <w:rsid w:val="00DF2AFB"/>
    <w:pPr>
      <w:keepNext/>
      <w:keepLines/>
      <w:spacing w:before="240"/>
      <w:outlineLvl w:val="0"/>
    </w:pPr>
    <w:rPr>
      <w:rFonts w:asciiTheme="majorHAnsi" w:eastAsiaTheme="majorEastAsia" w:hAnsiTheme="majorHAnsi"/>
      <w:color w:val="365F91" w:themeColor="accent1" w:themeShade="BF"/>
      <w:sz w:val="32"/>
      <w:szCs w:val="32"/>
    </w:rPr>
  </w:style>
  <w:style w:type="paragraph" w:styleId="Ttulo2">
    <w:name w:val="heading 2"/>
    <w:basedOn w:val="Normal"/>
    <w:next w:val="Normal"/>
    <w:link w:val="Ttulo2Car"/>
    <w:uiPriority w:val="9"/>
    <w:unhideWhenUsed/>
    <w:qFormat/>
    <w:rsid w:val="00DF2AFB"/>
    <w:pPr>
      <w:keepNext/>
      <w:keepLines/>
      <w:spacing w:before="40"/>
      <w:outlineLvl w:val="1"/>
    </w:pPr>
    <w:rPr>
      <w:rFonts w:asciiTheme="majorHAnsi" w:eastAsiaTheme="majorEastAsia" w:hAnsiTheme="majorHAnsi"/>
      <w:color w:val="365F91" w:themeColor="accent1" w:themeShade="BF"/>
      <w:sz w:val="26"/>
      <w:szCs w:val="26"/>
    </w:rPr>
  </w:style>
  <w:style w:type="paragraph" w:styleId="Ttulo3">
    <w:name w:val="heading 3"/>
    <w:basedOn w:val="Normal"/>
    <w:next w:val="Normal"/>
    <w:link w:val="Ttulo3Car"/>
    <w:uiPriority w:val="9"/>
    <w:unhideWhenUsed/>
    <w:qFormat/>
    <w:rsid w:val="00DF2AFB"/>
    <w:pPr>
      <w:keepNext/>
      <w:keepLines/>
      <w:spacing w:before="40"/>
      <w:outlineLvl w:val="2"/>
    </w:pPr>
    <w:rPr>
      <w:rFonts w:asciiTheme="majorHAnsi" w:eastAsiaTheme="majorEastAsia" w:hAnsiTheme="majorHAns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Principal Car"/>
    <w:basedOn w:val="Fuentedeprrafopredeter"/>
    <w:link w:val="Ttulo1"/>
    <w:uiPriority w:val="9"/>
    <w:rsid w:val="00DF2AFB"/>
    <w:rPr>
      <w:rFonts w:asciiTheme="majorHAnsi" w:eastAsiaTheme="majorEastAsia" w:hAnsiTheme="majorHAnsi" w:cs="Times New Roman"/>
      <w:color w:val="365F91" w:themeColor="accent1" w:themeShade="BF"/>
      <w:sz w:val="32"/>
      <w:szCs w:val="32"/>
      <w:lang w:val="es-ES" w:eastAsia="es-ES"/>
    </w:rPr>
  </w:style>
  <w:style w:type="character" w:customStyle="1" w:styleId="Ttulo2Car">
    <w:name w:val="Título 2 Car"/>
    <w:basedOn w:val="Fuentedeprrafopredeter"/>
    <w:link w:val="Ttulo2"/>
    <w:uiPriority w:val="9"/>
    <w:rsid w:val="00DF2AFB"/>
    <w:rPr>
      <w:rFonts w:asciiTheme="majorHAnsi" w:eastAsiaTheme="majorEastAsia" w:hAnsiTheme="majorHAnsi" w:cs="Times New Roman"/>
      <w:color w:val="365F91" w:themeColor="accent1" w:themeShade="BF"/>
      <w:sz w:val="26"/>
      <w:szCs w:val="26"/>
      <w:lang w:val="es-ES" w:eastAsia="es-ES"/>
    </w:rPr>
  </w:style>
  <w:style w:type="character" w:customStyle="1" w:styleId="Ttulo3Car">
    <w:name w:val="Título 3 Car"/>
    <w:basedOn w:val="Fuentedeprrafopredeter"/>
    <w:link w:val="Ttulo3"/>
    <w:uiPriority w:val="9"/>
    <w:rsid w:val="00DF2AFB"/>
    <w:rPr>
      <w:rFonts w:asciiTheme="majorHAnsi" w:eastAsiaTheme="majorEastAsia" w:hAnsiTheme="majorHAnsi" w:cs="Times New Roman"/>
      <w:color w:val="243F60" w:themeColor="accent1" w:themeShade="7F"/>
      <w:sz w:val="24"/>
      <w:szCs w:val="24"/>
      <w:lang w:val="es-ES" w:eastAsia="es-ES"/>
    </w:rPr>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ormal. Viñetas,Lista1,titulo 3,Ha,Bullets,Lista vistosa - Énfasis 11,Cuadrícula clara - Énfasis 31,Num Bullet 1,List"/>
    <w:basedOn w:val="Normal"/>
    <w:link w:val="PrrafodelistaCar"/>
    <w:uiPriority w:val="34"/>
    <w:qFormat/>
    <w:rsid w:val="005E04F5"/>
    <w:pPr>
      <w:ind w:left="720"/>
      <w:contextualSpacing/>
    </w:pPr>
  </w:style>
  <w:style w:type="character" w:customStyle="1" w:styleId="PrrafodelistaCar">
    <w:name w:val="Párrafo de lista Car"/>
    <w:aliases w:val="Normal. Viñetas Car,Lista1 Car,titulo 3 Car,Ha Car,Bullets Car,Lista vistosa - Énfasis 11 Car,Cuadrícula clara - Énfasis 31 Car,Num Bullet 1 Car,List Car"/>
    <w:link w:val="Prrafodelista"/>
    <w:uiPriority w:val="34"/>
    <w:locked/>
    <w:rsid w:val="00DF2AFB"/>
    <w:rPr>
      <w:rFonts w:ascii="Times New Roman" w:eastAsia="MS Mincho" w:hAnsi="Times New Roman" w:cs="Times New Roman"/>
      <w:sz w:val="24"/>
      <w:szCs w:val="24"/>
      <w:lang w:val="es-ES" w:eastAsia="es-ES"/>
    </w:r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customStyle="1" w:styleId="SinespaciadoCar">
    <w:name w:val="Sin espaciado Car"/>
    <w:aliases w:val="Subtitulo Car"/>
    <w:basedOn w:val="Fuentedeprrafopredeter"/>
    <w:link w:val="Sinespaciado"/>
    <w:uiPriority w:val="1"/>
    <w:locked/>
    <w:rsid w:val="00DF2AFB"/>
  </w:style>
  <w:style w:type="character" w:styleId="Refdecomentario">
    <w:name w:val="annotation reference"/>
    <w:basedOn w:val="Fuentedeprrafopredeter"/>
    <w:uiPriority w:val="99"/>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paragraph" w:customStyle="1" w:styleId="Body">
    <w:name w:val="Body"/>
    <w:uiPriority w:val="99"/>
    <w:rsid w:val="00DF2AFB"/>
    <w:rPr>
      <w:rFonts w:ascii="Helvetica" w:eastAsia="ヒラギノ角ゴ Pro W3" w:hAnsi="Helvetica" w:cs="Times New Roman"/>
      <w:color w:val="000000"/>
      <w:sz w:val="24"/>
      <w:szCs w:val="20"/>
      <w:lang w:val="en-US" w:eastAsia="es-CO"/>
    </w:rPr>
  </w:style>
  <w:style w:type="paragraph" w:styleId="Textoindependiente2">
    <w:name w:val="Body Text 2"/>
    <w:basedOn w:val="Normal"/>
    <w:link w:val="Textoindependiente2Car"/>
    <w:uiPriority w:val="99"/>
    <w:rsid w:val="00DF2AFB"/>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rsid w:val="00DF2AFB"/>
    <w:rPr>
      <w:rFonts w:ascii="Arial" w:eastAsia="Times New Roman" w:hAnsi="Arial" w:cs="Times New Roman"/>
      <w:sz w:val="20"/>
      <w:szCs w:val="20"/>
      <w:lang w:val="es-ES_tradnl" w:eastAsia="es-ES"/>
    </w:rPr>
  </w:style>
  <w:style w:type="character" w:styleId="nfasissutil">
    <w:name w:val="Subtle Emphasis"/>
    <w:aliases w:val="Notas al pie"/>
    <w:basedOn w:val="Fuentedeprrafopredeter"/>
    <w:uiPriority w:val="19"/>
    <w:qFormat/>
    <w:rsid w:val="00DF2AFB"/>
    <w:rPr>
      <w:rFonts w:ascii="Arial" w:hAnsi="Arial" w:cs="Times New Roman"/>
      <w:iCs/>
      <w:color w:val="auto"/>
      <w:sz w:val="16"/>
    </w:rPr>
  </w:style>
  <w:style w:type="paragraph" w:styleId="Subttulo">
    <w:name w:val="Subtitle"/>
    <w:aliases w:val="Tablas"/>
    <w:basedOn w:val="Normal"/>
    <w:next w:val="Normal"/>
    <w:link w:val="SubttuloCar"/>
    <w:uiPriority w:val="11"/>
    <w:qFormat/>
    <w:rsid w:val="00DF2AFB"/>
    <w:pPr>
      <w:numPr>
        <w:ilvl w:val="1"/>
      </w:numPr>
      <w:jc w:val="both"/>
    </w:pPr>
    <w:rPr>
      <w:rFonts w:ascii="Arial" w:eastAsiaTheme="majorEastAsia" w:hAnsi="Arial"/>
      <w:iCs/>
      <w:spacing w:val="15"/>
      <w:sz w:val="16"/>
    </w:rPr>
  </w:style>
  <w:style w:type="character" w:customStyle="1" w:styleId="SubttuloCar">
    <w:name w:val="Subtítulo Car"/>
    <w:aliases w:val="Tablas Car"/>
    <w:basedOn w:val="Fuentedeprrafopredeter"/>
    <w:link w:val="Subttulo"/>
    <w:uiPriority w:val="11"/>
    <w:rsid w:val="00DF2AFB"/>
    <w:rPr>
      <w:rFonts w:ascii="Arial" w:eastAsiaTheme="majorEastAsia" w:hAnsi="Arial" w:cs="Times New Roman"/>
      <w:iCs/>
      <w:spacing w:val="15"/>
      <w:sz w:val="16"/>
      <w:szCs w:val="24"/>
      <w:lang w:val="es-ES" w:eastAsia="es-ES"/>
    </w:rPr>
  </w:style>
  <w:style w:type="paragraph" w:customStyle="1" w:styleId="Default">
    <w:name w:val="Default"/>
    <w:uiPriority w:val="99"/>
    <w:rsid w:val="00DF2AFB"/>
    <w:pPr>
      <w:autoSpaceDE w:val="0"/>
      <w:autoSpaceDN w:val="0"/>
      <w:adjustRightInd w:val="0"/>
    </w:pPr>
    <w:rPr>
      <w:rFonts w:ascii="Arial" w:eastAsia="Times New Roman" w:hAnsi="Arial" w:cs="Arial"/>
      <w:color w:val="000000"/>
      <w:sz w:val="24"/>
      <w:szCs w:val="24"/>
      <w:lang w:val="en-US"/>
    </w:rPr>
  </w:style>
  <w:style w:type="paragraph" w:styleId="Ttulo">
    <w:name w:val="Title"/>
    <w:aliases w:val="Subtitulo2"/>
    <w:basedOn w:val="Sinespaciado"/>
    <w:next w:val="Normal"/>
    <w:link w:val="TtuloCar"/>
    <w:autoRedefine/>
    <w:uiPriority w:val="10"/>
    <w:qFormat/>
    <w:rsid w:val="00DF2AFB"/>
    <w:pPr>
      <w:ind w:left="284" w:hanging="329"/>
      <w:jc w:val="both"/>
      <w:outlineLvl w:val="1"/>
    </w:pPr>
    <w:rPr>
      <w:rFonts w:ascii="Arial" w:eastAsia="Times New Roman" w:hAnsi="Arial" w:cs="Arial"/>
      <w:b/>
      <w:sz w:val="20"/>
      <w:lang w:val="es-ES_tradnl"/>
    </w:rPr>
  </w:style>
  <w:style w:type="character" w:customStyle="1" w:styleId="TtuloCar">
    <w:name w:val="Título Car"/>
    <w:aliases w:val="Subtitulo2 Car"/>
    <w:basedOn w:val="Fuentedeprrafopredeter"/>
    <w:link w:val="Ttulo"/>
    <w:uiPriority w:val="10"/>
    <w:rsid w:val="00DF2AFB"/>
    <w:rPr>
      <w:rFonts w:ascii="Arial" w:eastAsia="Times New Roman" w:hAnsi="Arial" w:cs="Arial"/>
      <w:b/>
      <w:sz w:val="20"/>
      <w:lang w:val="es-ES_tradnl"/>
    </w:rPr>
  </w:style>
  <w:style w:type="paragraph" w:customStyle="1" w:styleId="CONPESTexto">
    <w:name w:val="CONPES Texto"/>
    <w:basedOn w:val="Normal"/>
    <w:uiPriority w:val="99"/>
    <w:qFormat/>
    <w:rsid w:val="00DF2AFB"/>
    <w:pPr>
      <w:spacing w:before="120" w:after="120" w:line="276" w:lineRule="auto"/>
      <w:ind w:firstLine="567"/>
      <w:jc w:val="both"/>
    </w:pPr>
    <w:rPr>
      <w:rFonts w:ascii="Futura Std Book" w:eastAsia="Times New Roman" w:hAnsi="Futura Std Book"/>
      <w:color w:val="000000"/>
      <w:sz w:val="22"/>
      <w:lang w:val="es-CO" w:eastAsia="en-US" w:bidi="he-IL"/>
    </w:rPr>
  </w:style>
  <w:style w:type="paragraph" w:customStyle="1" w:styleId="CONPESGrficosyTablas">
    <w:name w:val="CONPES Gráficos y Tablas"/>
    <w:basedOn w:val="CONPESTexto"/>
    <w:next w:val="CONPESTexto"/>
    <w:uiPriority w:val="99"/>
    <w:qFormat/>
    <w:rsid w:val="00DF2AFB"/>
    <w:pPr>
      <w:keepNext/>
      <w:spacing w:before="240"/>
      <w:ind w:firstLine="0"/>
      <w:jc w:val="center"/>
    </w:pPr>
    <w:rPr>
      <w:b/>
    </w:rPr>
  </w:style>
  <w:style w:type="paragraph" w:customStyle="1" w:styleId="CONPESfuentenotaobjetos">
    <w:name w:val="CONPES fuente/nota objetos"/>
    <w:basedOn w:val="Normal"/>
    <w:uiPriority w:val="99"/>
    <w:qFormat/>
    <w:rsid w:val="00DF2AFB"/>
    <w:pPr>
      <w:spacing w:before="60" w:after="240"/>
      <w:jc w:val="both"/>
    </w:pPr>
    <w:rPr>
      <w:rFonts w:ascii="Futura Std Book" w:eastAsia="Times New Roman" w:hAnsi="Futura Std Book"/>
      <w:sz w:val="18"/>
      <w:szCs w:val="20"/>
      <w:lang w:bidi="he-IL"/>
    </w:rPr>
  </w:style>
  <w:style w:type="paragraph" w:styleId="Textonotapie">
    <w:name w:val="footnote text"/>
    <w:aliases w:val="Ref. de nota al pie1,Texto de nota al pie,Footnotes refss,referencia nota al pie,BVI fnr,Ref. de nota al pie 2,Footnote Text Char,Footnote Text Char Char Char Char,Footnote Text Char Char Char Char Char Char Char Char,FA Fu"/>
    <w:basedOn w:val="Normal"/>
    <w:link w:val="TextonotapieCar"/>
    <w:unhideWhenUsed/>
    <w:rsid w:val="00DF2AFB"/>
    <w:rPr>
      <w:sz w:val="20"/>
      <w:szCs w:val="20"/>
    </w:rPr>
  </w:style>
  <w:style w:type="character" w:customStyle="1" w:styleId="TextonotapieCar">
    <w:name w:val="Texto nota pie Car"/>
    <w:aliases w:val="Ref. de nota al pie1 Car,Texto de nota al pie Car,Footnotes refss Car,referencia nota al pie Car,BVI fnr Car,Ref. de nota al pie 2 Car,Footnote Text Char Car,Footnote Text Char Char Char Char Car,FA Fu Car"/>
    <w:basedOn w:val="Fuentedeprrafopredeter"/>
    <w:link w:val="Textonotapie"/>
    <w:rsid w:val="00DF2AFB"/>
    <w:rPr>
      <w:rFonts w:ascii="Times New Roman" w:eastAsia="MS Mincho" w:hAnsi="Times New Roman" w:cs="Times New Roman"/>
      <w:sz w:val="20"/>
      <w:szCs w:val="20"/>
      <w:lang w:val="es-ES" w:eastAsia="es-ES"/>
    </w:rPr>
  </w:style>
  <w:style w:type="character" w:styleId="Refdenotaalpie">
    <w:name w:val="footnote reference"/>
    <w:basedOn w:val="Fuentedeprrafopredeter"/>
    <w:uiPriority w:val="99"/>
    <w:unhideWhenUsed/>
    <w:rsid w:val="00DF2AFB"/>
    <w:rPr>
      <w:rFonts w:cs="Times New Roman"/>
      <w:vertAlign w:val="superscript"/>
    </w:rPr>
  </w:style>
  <w:style w:type="character" w:customStyle="1" w:styleId="apple-converted-space">
    <w:name w:val="apple-converted-space"/>
    <w:basedOn w:val="Fuentedeprrafopredeter"/>
    <w:rsid w:val="00DF2AFB"/>
    <w:rPr>
      <w:rFonts w:cs="Times New Roman"/>
    </w:rPr>
  </w:style>
  <w:style w:type="character" w:customStyle="1" w:styleId="SangradetextonormalCar">
    <w:name w:val="Sangría de texto normal Car"/>
    <w:basedOn w:val="Fuentedeprrafopredeter"/>
    <w:link w:val="Sangradetextonormal"/>
    <w:uiPriority w:val="99"/>
    <w:semiHidden/>
    <w:rsid w:val="00DF2AFB"/>
    <w:rPr>
      <w:rFonts w:ascii="Arial" w:eastAsia="MS Mincho" w:hAnsi="Arial" w:cs="Times New Roman"/>
      <w:szCs w:val="24"/>
      <w:lang w:val="es-ES" w:eastAsia="es-ES"/>
    </w:rPr>
  </w:style>
  <w:style w:type="paragraph" w:styleId="Sangradetextonormal">
    <w:name w:val="Body Text Indent"/>
    <w:basedOn w:val="Normal"/>
    <w:link w:val="SangradetextonormalCar"/>
    <w:uiPriority w:val="99"/>
    <w:semiHidden/>
    <w:unhideWhenUsed/>
    <w:rsid w:val="00DF2AFB"/>
    <w:pPr>
      <w:spacing w:after="120"/>
      <w:ind w:left="283"/>
      <w:jc w:val="both"/>
    </w:pPr>
    <w:rPr>
      <w:rFonts w:ascii="Arial" w:hAnsi="Arial"/>
      <w:sz w:val="22"/>
    </w:rPr>
  </w:style>
  <w:style w:type="paragraph" w:customStyle="1" w:styleId="paragraph">
    <w:name w:val="paragraph"/>
    <w:basedOn w:val="Normal"/>
    <w:uiPriority w:val="99"/>
    <w:rsid w:val="00DF2AFB"/>
    <w:pPr>
      <w:spacing w:before="100" w:beforeAutospacing="1" w:after="100" w:afterAutospacing="1"/>
    </w:pPr>
    <w:rPr>
      <w:rFonts w:eastAsia="Times New Roman"/>
      <w:lang w:val="es-CO" w:eastAsia="es-ES_tradnl"/>
    </w:rPr>
  </w:style>
  <w:style w:type="character" w:customStyle="1" w:styleId="normaltextrun">
    <w:name w:val="normaltextrun"/>
    <w:basedOn w:val="Fuentedeprrafopredeter"/>
    <w:rsid w:val="00DF2AFB"/>
    <w:rPr>
      <w:rFonts w:cs="Times New Roman"/>
    </w:rPr>
  </w:style>
  <w:style w:type="character" w:customStyle="1" w:styleId="eop">
    <w:name w:val="eop"/>
    <w:basedOn w:val="Fuentedeprrafopredeter"/>
    <w:rsid w:val="00DF2AFB"/>
    <w:rPr>
      <w:rFonts w:cs="Times New Roman"/>
    </w:rPr>
  </w:style>
  <w:style w:type="character" w:customStyle="1" w:styleId="textrun">
    <w:name w:val="textrun"/>
    <w:basedOn w:val="Fuentedeprrafopredeter"/>
    <w:rsid w:val="00DF2AFB"/>
    <w:rPr>
      <w:rFonts w:cs="Times New Roman"/>
    </w:rPr>
  </w:style>
  <w:style w:type="character" w:styleId="Hipervnculovisitado">
    <w:name w:val="FollowedHyperlink"/>
    <w:basedOn w:val="Fuentedeprrafopredeter"/>
    <w:uiPriority w:val="99"/>
    <w:semiHidden/>
    <w:unhideWhenUsed/>
    <w:rsid w:val="00A64917"/>
    <w:rPr>
      <w:color w:val="800080" w:themeColor="followedHyperlink"/>
      <w:u w:val="single"/>
    </w:rPr>
  </w:style>
  <w:style w:type="character" w:customStyle="1" w:styleId="Ttulo1Car1">
    <w:name w:val="Título 1 Car1"/>
    <w:aliases w:val="TituloPrincipal Car1"/>
    <w:basedOn w:val="Fuentedeprrafopredeter"/>
    <w:uiPriority w:val="9"/>
    <w:rsid w:val="00A64917"/>
    <w:rPr>
      <w:rFonts w:asciiTheme="majorHAnsi" w:eastAsiaTheme="majorEastAsia" w:hAnsiTheme="majorHAnsi" w:cstheme="majorBidi"/>
      <w:color w:val="365F91" w:themeColor="accent1" w:themeShade="BF"/>
      <w:sz w:val="32"/>
      <w:szCs w:val="32"/>
      <w:lang w:val="es-CO" w:eastAsia="es-MX"/>
    </w:rPr>
  </w:style>
  <w:style w:type="paragraph" w:customStyle="1" w:styleId="msonormal0">
    <w:name w:val="msonormal"/>
    <w:basedOn w:val="Normal"/>
    <w:uiPriority w:val="99"/>
    <w:rsid w:val="00A64917"/>
    <w:pPr>
      <w:spacing w:before="100" w:beforeAutospacing="1" w:after="119"/>
    </w:pPr>
    <w:rPr>
      <w:rFonts w:eastAsia="Calibri"/>
    </w:rPr>
  </w:style>
  <w:style w:type="character" w:customStyle="1" w:styleId="TextonotapieCar1">
    <w:name w:val="Texto nota pie Car1"/>
    <w:aliases w:val="Ref. de nota al pie1 Car1,Texto de nota al pie Car1,Footnotes refss Car1,referencia nota al pie Car1,BVI fnr Car1,Ref. de nota al pie 2 Car1,Footnote Text Char Car1,Footnote Text Char Char Char Char Car1,FA Fu Car1"/>
    <w:basedOn w:val="Fuentedeprrafopredeter"/>
    <w:semiHidden/>
    <w:rsid w:val="00A64917"/>
    <w:rPr>
      <w:rFonts w:ascii="Times New Roman" w:eastAsia="Times New Roman" w:hAnsi="Times New Roman" w:cs="Times New Roman"/>
      <w:sz w:val="20"/>
      <w:szCs w:val="20"/>
      <w:lang w:eastAsia="es-MX"/>
    </w:rPr>
  </w:style>
  <w:style w:type="character" w:customStyle="1" w:styleId="TtuloCar1">
    <w:name w:val="Título Car1"/>
    <w:aliases w:val="Subtitulo2 Car1"/>
    <w:basedOn w:val="Fuentedeprrafopredeter"/>
    <w:uiPriority w:val="10"/>
    <w:rsid w:val="00A64917"/>
    <w:rPr>
      <w:rFonts w:asciiTheme="majorHAnsi" w:eastAsiaTheme="majorEastAsia" w:hAnsiTheme="majorHAnsi" w:cstheme="majorBidi"/>
      <w:spacing w:val="-10"/>
      <w:kern w:val="28"/>
      <w:sz w:val="56"/>
      <w:szCs w:val="56"/>
      <w:lang w:eastAsia="es-MX"/>
    </w:rPr>
  </w:style>
  <w:style w:type="character" w:customStyle="1" w:styleId="SubttuloCar1">
    <w:name w:val="Subtítulo Car1"/>
    <w:aliases w:val="Tablas Car1"/>
    <w:basedOn w:val="Fuentedeprrafopredeter"/>
    <w:uiPriority w:val="11"/>
    <w:rsid w:val="00A64917"/>
    <w:rPr>
      <w:rFonts w:eastAsiaTheme="minorEastAsia"/>
      <w:color w:val="5A5A5A" w:themeColor="text1" w:themeTint="A5"/>
      <w:spacing w:val="15"/>
      <w:lang w:eastAsia="es-MX"/>
    </w:rPr>
  </w:style>
  <w:style w:type="character" w:customStyle="1" w:styleId="Mencinsinresolver1">
    <w:name w:val="Mención sin resolver1"/>
    <w:basedOn w:val="Fuentedeprrafopredeter"/>
    <w:uiPriority w:val="99"/>
    <w:rsid w:val="00A64917"/>
    <w:rPr>
      <w:color w:val="605E5C"/>
      <w:shd w:val="clear" w:color="auto" w:fill="E1DFDD"/>
    </w:rPr>
  </w:style>
  <w:style w:type="table" w:styleId="Tabladecuadrcula4">
    <w:name w:val="Grid Table 4"/>
    <w:basedOn w:val="Tablanormal"/>
    <w:uiPriority w:val="49"/>
    <w:rsid w:val="00A64917"/>
    <w:rPr>
      <w:lang w:val="es-E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21">
    <w:name w:val="Tabla normal 21"/>
    <w:basedOn w:val="Tablanormal"/>
    <w:uiPriority w:val="42"/>
    <w:rsid w:val="00A64917"/>
    <w:rPr>
      <w:rFonts w:ascii="Times New Roman" w:eastAsia="Calibri" w:hAnsi="Times New Roman" w:cs="Times New Roman"/>
      <w:sz w:val="20"/>
      <w:szCs w:val="20"/>
      <w:lang w:val="es-ES" w:eastAsia="es-E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
    <w:name w:val="Tabla con cuadrícula1"/>
    <w:basedOn w:val="Tablanormal"/>
    <w:uiPriority w:val="59"/>
    <w:rsid w:val="00A64917"/>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572043"/>
    <w:rPr>
      <w:color w:val="605E5C"/>
      <w:shd w:val="clear" w:color="auto" w:fill="E1DFDD"/>
    </w:rPr>
  </w:style>
  <w:style w:type="paragraph" w:styleId="Revisin">
    <w:name w:val="Revision"/>
    <w:hidden/>
    <w:uiPriority w:val="99"/>
    <w:semiHidden/>
    <w:rsid w:val="00DC0877"/>
    <w:rPr>
      <w:rFonts w:ascii="Times New Roman" w:eastAsia="MS Mincho"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EC1A45"/>
    <w:rPr>
      <w:color w:val="605E5C"/>
      <w:shd w:val="clear" w:color="auto" w:fill="E1DFDD"/>
    </w:rPr>
  </w:style>
  <w:style w:type="character" w:customStyle="1" w:styleId="ui-provider">
    <w:name w:val="ui-provider"/>
    <w:basedOn w:val="Fuentedeprrafopredeter"/>
    <w:rsid w:val="000675CB"/>
  </w:style>
  <w:style w:type="character" w:styleId="Mencinsinresolver">
    <w:name w:val="Unresolved Mention"/>
    <w:basedOn w:val="Fuentedeprrafopredeter"/>
    <w:uiPriority w:val="99"/>
    <w:semiHidden/>
    <w:unhideWhenUsed/>
    <w:rsid w:val="00961F67"/>
    <w:rPr>
      <w:color w:val="605E5C"/>
      <w:shd w:val="clear" w:color="auto" w:fill="E1DFDD"/>
    </w:rPr>
  </w:style>
  <w:style w:type="character" w:customStyle="1" w:styleId="SangradetextonormalCar1">
    <w:name w:val="Sangría de texto normal Car1"/>
    <w:basedOn w:val="Fuentedeprrafopredeter"/>
    <w:uiPriority w:val="99"/>
    <w:semiHidden/>
    <w:rsid w:val="00081708"/>
    <w:rPr>
      <w:rFonts w:ascii="Times New Roman" w:eastAsia="MS Mincho" w:hAnsi="Times New Roman" w:cs="Times New Roman" w:hint="default"/>
      <w:sz w:val="24"/>
      <w:szCs w:val="24"/>
      <w:lang w:val="es-ES" w:eastAsia="es-ES"/>
    </w:rPr>
  </w:style>
  <w:style w:type="table" w:customStyle="1" w:styleId="Tablaconcuadrcula2">
    <w:name w:val="Tabla con cuadrícula2"/>
    <w:basedOn w:val="Tablanormal"/>
    <w:next w:val="Tablaconcuadrcula"/>
    <w:uiPriority w:val="99"/>
    <w:rsid w:val="00081708"/>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
    <w:name w:val="Tabla de cuadrícula 41"/>
    <w:basedOn w:val="Tablanormal"/>
    <w:next w:val="Tabladecuadrcula4"/>
    <w:uiPriority w:val="49"/>
    <w:rsid w:val="00081708"/>
    <w:rPr>
      <w:rFonts w:ascii="Calibri" w:eastAsia="Calibri" w:hAnsi="Calibri" w:cs="Arial"/>
      <w:lang w:val="es-E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1">
    <w:name w:val="Tabla con cuadrícula11"/>
    <w:basedOn w:val="Tablanormal"/>
    <w:uiPriority w:val="59"/>
    <w:rsid w:val="00081708"/>
    <w:rPr>
      <w:rFonts w:ascii="Calibri" w:eastAsia="Calibri" w:hAnsi="Calibri" w:cs="Arial"/>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0410">
      <w:bodyDiv w:val="1"/>
      <w:marLeft w:val="0"/>
      <w:marRight w:val="0"/>
      <w:marTop w:val="0"/>
      <w:marBottom w:val="0"/>
      <w:divBdr>
        <w:top w:val="none" w:sz="0" w:space="0" w:color="auto"/>
        <w:left w:val="none" w:sz="0" w:space="0" w:color="auto"/>
        <w:bottom w:val="none" w:sz="0" w:space="0" w:color="auto"/>
        <w:right w:val="none" w:sz="0" w:space="0" w:color="auto"/>
      </w:divBdr>
    </w:div>
    <w:div w:id="72361612">
      <w:marLeft w:val="0"/>
      <w:marRight w:val="0"/>
      <w:marTop w:val="0"/>
      <w:marBottom w:val="0"/>
      <w:divBdr>
        <w:top w:val="none" w:sz="0" w:space="0" w:color="auto"/>
        <w:left w:val="none" w:sz="0" w:space="0" w:color="auto"/>
        <w:bottom w:val="none" w:sz="0" w:space="0" w:color="auto"/>
        <w:right w:val="none" w:sz="0" w:space="0" w:color="auto"/>
      </w:divBdr>
      <w:divsChild>
        <w:div w:id="1813867764">
          <w:marLeft w:val="0"/>
          <w:marRight w:val="0"/>
          <w:marTop w:val="0"/>
          <w:marBottom w:val="0"/>
          <w:divBdr>
            <w:top w:val="none" w:sz="0" w:space="0" w:color="auto"/>
            <w:left w:val="none" w:sz="0" w:space="0" w:color="auto"/>
            <w:bottom w:val="none" w:sz="0" w:space="0" w:color="auto"/>
            <w:right w:val="none" w:sz="0" w:space="0" w:color="auto"/>
          </w:divBdr>
        </w:div>
      </w:divsChild>
    </w:div>
    <w:div w:id="73357323">
      <w:marLeft w:val="0"/>
      <w:marRight w:val="0"/>
      <w:marTop w:val="0"/>
      <w:marBottom w:val="0"/>
      <w:divBdr>
        <w:top w:val="none" w:sz="0" w:space="0" w:color="auto"/>
        <w:left w:val="none" w:sz="0" w:space="0" w:color="auto"/>
        <w:bottom w:val="none" w:sz="0" w:space="0" w:color="auto"/>
        <w:right w:val="none" w:sz="0" w:space="0" w:color="auto"/>
      </w:divBdr>
      <w:divsChild>
        <w:div w:id="251663141">
          <w:marLeft w:val="0"/>
          <w:marRight w:val="0"/>
          <w:marTop w:val="0"/>
          <w:marBottom w:val="0"/>
          <w:divBdr>
            <w:top w:val="none" w:sz="0" w:space="0" w:color="auto"/>
            <w:left w:val="none" w:sz="0" w:space="0" w:color="auto"/>
            <w:bottom w:val="none" w:sz="0" w:space="0" w:color="auto"/>
            <w:right w:val="none" w:sz="0" w:space="0" w:color="auto"/>
          </w:divBdr>
        </w:div>
      </w:divsChild>
    </w:div>
    <w:div w:id="143664951">
      <w:marLeft w:val="0"/>
      <w:marRight w:val="0"/>
      <w:marTop w:val="0"/>
      <w:marBottom w:val="0"/>
      <w:divBdr>
        <w:top w:val="none" w:sz="0" w:space="0" w:color="auto"/>
        <w:left w:val="none" w:sz="0" w:space="0" w:color="auto"/>
        <w:bottom w:val="none" w:sz="0" w:space="0" w:color="auto"/>
        <w:right w:val="none" w:sz="0" w:space="0" w:color="auto"/>
      </w:divBdr>
      <w:divsChild>
        <w:div w:id="233468773">
          <w:marLeft w:val="0"/>
          <w:marRight w:val="0"/>
          <w:marTop w:val="0"/>
          <w:marBottom w:val="0"/>
          <w:divBdr>
            <w:top w:val="none" w:sz="0" w:space="0" w:color="auto"/>
            <w:left w:val="none" w:sz="0" w:space="0" w:color="auto"/>
            <w:bottom w:val="none" w:sz="0" w:space="0" w:color="auto"/>
            <w:right w:val="none" w:sz="0" w:space="0" w:color="auto"/>
          </w:divBdr>
        </w:div>
      </w:divsChild>
    </w:div>
    <w:div w:id="163712870">
      <w:marLeft w:val="0"/>
      <w:marRight w:val="0"/>
      <w:marTop w:val="0"/>
      <w:marBottom w:val="0"/>
      <w:divBdr>
        <w:top w:val="none" w:sz="0" w:space="0" w:color="auto"/>
        <w:left w:val="none" w:sz="0" w:space="0" w:color="auto"/>
        <w:bottom w:val="none" w:sz="0" w:space="0" w:color="auto"/>
        <w:right w:val="none" w:sz="0" w:space="0" w:color="auto"/>
      </w:divBdr>
      <w:divsChild>
        <w:div w:id="325984659">
          <w:marLeft w:val="0"/>
          <w:marRight w:val="0"/>
          <w:marTop w:val="0"/>
          <w:marBottom w:val="0"/>
          <w:divBdr>
            <w:top w:val="none" w:sz="0" w:space="0" w:color="auto"/>
            <w:left w:val="none" w:sz="0" w:space="0" w:color="auto"/>
            <w:bottom w:val="none" w:sz="0" w:space="0" w:color="auto"/>
            <w:right w:val="none" w:sz="0" w:space="0" w:color="auto"/>
          </w:divBdr>
        </w:div>
      </w:divsChild>
    </w:div>
    <w:div w:id="167715279">
      <w:bodyDiv w:val="1"/>
      <w:marLeft w:val="0"/>
      <w:marRight w:val="0"/>
      <w:marTop w:val="0"/>
      <w:marBottom w:val="0"/>
      <w:divBdr>
        <w:top w:val="none" w:sz="0" w:space="0" w:color="auto"/>
        <w:left w:val="none" w:sz="0" w:space="0" w:color="auto"/>
        <w:bottom w:val="none" w:sz="0" w:space="0" w:color="auto"/>
        <w:right w:val="none" w:sz="0" w:space="0" w:color="auto"/>
      </w:divBdr>
    </w:div>
    <w:div w:id="169953525">
      <w:marLeft w:val="0"/>
      <w:marRight w:val="0"/>
      <w:marTop w:val="0"/>
      <w:marBottom w:val="0"/>
      <w:divBdr>
        <w:top w:val="none" w:sz="0" w:space="0" w:color="auto"/>
        <w:left w:val="none" w:sz="0" w:space="0" w:color="auto"/>
        <w:bottom w:val="none" w:sz="0" w:space="0" w:color="auto"/>
        <w:right w:val="none" w:sz="0" w:space="0" w:color="auto"/>
      </w:divBdr>
      <w:divsChild>
        <w:div w:id="757750307">
          <w:marLeft w:val="0"/>
          <w:marRight w:val="0"/>
          <w:marTop w:val="0"/>
          <w:marBottom w:val="0"/>
          <w:divBdr>
            <w:top w:val="none" w:sz="0" w:space="0" w:color="auto"/>
            <w:left w:val="none" w:sz="0" w:space="0" w:color="auto"/>
            <w:bottom w:val="none" w:sz="0" w:space="0" w:color="auto"/>
            <w:right w:val="none" w:sz="0" w:space="0" w:color="auto"/>
          </w:divBdr>
        </w:div>
      </w:divsChild>
    </w:div>
    <w:div w:id="196939568">
      <w:marLeft w:val="0"/>
      <w:marRight w:val="0"/>
      <w:marTop w:val="0"/>
      <w:marBottom w:val="0"/>
      <w:divBdr>
        <w:top w:val="none" w:sz="0" w:space="0" w:color="auto"/>
        <w:left w:val="none" w:sz="0" w:space="0" w:color="auto"/>
        <w:bottom w:val="none" w:sz="0" w:space="0" w:color="auto"/>
        <w:right w:val="none" w:sz="0" w:space="0" w:color="auto"/>
      </w:divBdr>
      <w:divsChild>
        <w:div w:id="1464303145">
          <w:marLeft w:val="0"/>
          <w:marRight w:val="0"/>
          <w:marTop w:val="0"/>
          <w:marBottom w:val="0"/>
          <w:divBdr>
            <w:top w:val="none" w:sz="0" w:space="0" w:color="auto"/>
            <w:left w:val="none" w:sz="0" w:space="0" w:color="auto"/>
            <w:bottom w:val="none" w:sz="0" w:space="0" w:color="auto"/>
            <w:right w:val="none" w:sz="0" w:space="0" w:color="auto"/>
          </w:divBdr>
        </w:div>
      </w:divsChild>
    </w:div>
    <w:div w:id="204949687">
      <w:bodyDiv w:val="1"/>
      <w:marLeft w:val="0"/>
      <w:marRight w:val="0"/>
      <w:marTop w:val="0"/>
      <w:marBottom w:val="0"/>
      <w:divBdr>
        <w:top w:val="none" w:sz="0" w:space="0" w:color="auto"/>
        <w:left w:val="none" w:sz="0" w:space="0" w:color="auto"/>
        <w:bottom w:val="none" w:sz="0" w:space="0" w:color="auto"/>
        <w:right w:val="none" w:sz="0" w:space="0" w:color="auto"/>
      </w:divBdr>
    </w:div>
    <w:div w:id="210459936">
      <w:marLeft w:val="0"/>
      <w:marRight w:val="0"/>
      <w:marTop w:val="0"/>
      <w:marBottom w:val="0"/>
      <w:divBdr>
        <w:top w:val="none" w:sz="0" w:space="0" w:color="auto"/>
        <w:left w:val="none" w:sz="0" w:space="0" w:color="auto"/>
        <w:bottom w:val="none" w:sz="0" w:space="0" w:color="auto"/>
        <w:right w:val="none" w:sz="0" w:space="0" w:color="auto"/>
      </w:divBdr>
      <w:divsChild>
        <w:div w:id="846947869">
          <w:marLeft w:val="0"/>
          <w:marRight w:val="0"/>
          <w:marTop w:val="0"/>
          <w:marBottom w:val="0"/>
          <w:divBdr>
            <w:top w:val="none" w:sz="0" w:space="0" w:color="auto"/>
            <w:left w:val="none" w:sz="0" w:space="0" w:color="auto"/>
            <w:bottom w:val="none" w:sz="0" w:space="0" w:color="auto"/>
            <w:right w:val="none" w:sz="0" w:space="0" w:color="auto"/>
          </w:divBdr>
        </w:div>
      </w:divsChild>
    </w:div>
    <w:div w:id="214784012">
      <w:marLeft w:val="0"/>
      <w:marRight w:val="0"/>
      <w:marTop w:val="0"/>
      <w:marBottom w:val="0"/>
      <w:divBdr>
        <w:top w:val="none" w:sz="0" w:space="0" w:color="auto"/>
        <w:left w:val="none" w:sz="0" w:space="0" w:color="auto"/>
        <w:bottom w:val="none" w:sz="0" w:space="0" w:color="auto"/>
        <w:right w:val="none" w:sz="0" w:space="0" w:color="auto"/>
      </w:divBdr>
      <w:divsChild>
        <w:div w:id="1229725805">
          <w:marLeft w:val="0"/>
          <w:marRight w:val="0"/>
          <w:marTop w:val="0"/>
          <w:marBottom w:val="0"/>
          <w:divBdr>
            <w:top w:val="none" w:sz="0" w:space="0" w:color="auto"/>
            <w:left w:val="none" w:sz="0" w:space="0" w:color="auto"/>
            <w:bottom w:val="none" w:sz="0" w:space="0" w:color="auto"/>
            <w:right w:val="none" w:sz="0" w:space="0" w:color="auto"/>
          </w:divBdr>
        </w:div>
      </w:divsChild>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57955552">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05471799">
      <w:marLeft w:val="0"/>
      <w:marRight w:val="0"/>
      <w:marTop w:val="0"/>
      <w:marBottom w:val="0"/>
      <w:divBdr>
        <w:top w:val="none" w:sz="0" w:space="0" w:color="auto"/>
        <w:left w:val="none" w:sz="0" w:space="0" w:color="auto"/>
        <w:bottom w:val="none" w:sz="0" w:space="0" w:color="auto"/>
        <w:right w:val="none" w:sz="0" w:space="0" w:color="auto"/>
      </w:divBdr>
      <w:divsChild>
        <w:div w:id="1613589836">
          <w:marLeft w:val="0"/>
          <w:marRight w:val="0"/>
          <w:marTop w:val="0"/>
          <w:marBottom w:val="0"/>
          <w:divBdr>
            <w:top w:val="none" w:sz="0" w:space="0" w:color="auto"/>
            <w:left w:val="none" w:sz="0" w:space="0" w:color="auto"/>
            <w:bottom w:val="none" w:sz="0" w:space="0" w:color="auto"/>
            <w:right w:val="none" w:sz="0" w:space="0" w:color="auto"/>
          </w:divBdr>
        </w:div>
      </w:divsChild>
    </w:div>
    <w:div w:id="318075899">
      <w:bodyDiv w:val="1"/>
      <w:marLeft w:val="0"/>
      <w:marRight w:val="0"/>
      <w:marTop w:val="0"/>
      <w:marBottom w:val="0"/>
      <w:divBdr>
        <w:top w:val="none" w:sz="0" w:space="0" w:color="auto"/>
        <w:left w:val="none" w:sz="0" w:space="0" w:color="auto"/>
        <w:bottom w:val="none" w:sz="0" w:space="0" w:color="auto"/>
        <w:right w:val="none" w:sz="0" w:space="0" w:color="auto"/>
      </w:divBdr>
    </w:div>
    <w:div w:id="378628618">
      <w:bodyDiv w:val="1"/>
      <w:marLeft w:val="0"/>
      <w:marRight w:val="0"/>
      <w:marTop w:val="0"/>
      <w:marBottom w:val="0"/>
      <w:divBdr>
        <w:top w:val="none" w:sz="0" w:space="0" w:color="auto"/>
        <w:left w:val="none" w:sz="0" w:space="0" w:color="auto"/>
        <w:bottom w:val="none" w:sz="0" w:space="0" w:color="auto"/>
        <w:right w:val="none" w:sz="0" w:space="0" w:color="auto"/>
      </w:divBdr>
    </w:div>
    <w:div w:id="379985815">
      <w:bodyDiv w:val="1"/>
      <w:marLeft w:val="0"/>
      <w:marRight w:val="0"/>
      <w:marTop w:val="0"/>
      <w:marBottom w:val="0"/>
      <w:divBdr>
        <w:top w:val="none" w:sz="0" w:space="0" w:color="auto"/>
        <w:left w:val="none" w:sz="0" w:space="0" w:color="auto"/>
        <w:bottom w:val="none" w:sz="0" w:space="0" w:color="auto"/>
        <w:right w:val="none" w:sz="0" w:space="0" w:color="auto"/>
      </w:divBdr>
    </w:div>
    <w:div w:id="433088580">
      <w:bodyDiv w:val="1"/>
      <w:marLeft w:val="0"/>
      <w:marRight w:val="0"/>
      <w:marTop w:val="0"/>
      <w:marBottom w:val="0"/>
      <w:divBdr>
        <w:top w:val="none" w:sz="0" w:space="0" w:color="auto"/>
        <w:left w:val="none" w:sz="0" w:space="0" w:color="auto"/>
        <w:bottom w:val="none" w:sz="0" w:space="0" w:color="auto"/>
        <w:right w:val="none" w:sz="0" w:space="0" w:color="auto"/>
      </w:divBdr>
    </w:div>
    <w:div w:id="478693600">
      <w:bodyDiv w:val="1"/>
      <w:marLeft w:val="0"/>
      <w:marRight w:val="0"/>
      <w:marTop w:val="0"/>
      <w:marBottom w:val="0"/>
      <w:divBdr>
        <w:top w:val="none" w:sz="0" w:space="0" w:color="auto"/>
        <w:left w:val="none" w:sz="0" w:space="0" w:color="auto"/>
        <w:bottom w:val="none" w:sz="0" w:space="0" w:color="auto"/>
        <w:right w:val="none" w:sz="0" w:space="0" w:color="auto"/>
      </w:divBdr>
    </w:div>
    <w:div w:id="568268895">
      <w:marLeft w:val="0"/>
      <w:marRight w:val="0"/>
      <w:marTop w:val="0"/>
      <w:marBottom w:val="0"/>
      <w:divBdr>
        <w:top w:val="none" w:sz="0" w:space="0" w:color="auto"/>
        <w:left w:val="none" w:sz="0" w:space="0" w:color="auto"/>
        <w:bottom w:val="none" w:sz="0" w:space="0" w:color="auto"/>
        <w:right w:val="none" w:sz="0" w:space="0" w:color="auto"/>
      </w:divBdr>
      <w:divsChild>
        <w:div w:id="2045715890">
          <w:marLeft w:val="0"/>
          <w:marRight w:val="0"/>
          <w:marTop w:val="0"/>
          <w:marBottom w:val="0"/>
          <w:divBdr>
            <w:top w:val="none" w:sz="0" w:space="0" w:color="auto"/>
            <w:left w:val="none" w:sz="0" w:space="0" w:color="auto"/>
            <w:bottom w:val="none" w:sz="0" w:space="0" w:color="auto"/>
            <w:right w:val="none" w:sz="0" w:space="0" w:color="auto"/>
          </w:divBdr>
        </w:div>
      </w:divsChild>
    </w:div>
    <w:div w:id="568615121">
      <w:bodyDiv w:val="1"/>
      <w:marLeft w:val="0"/>
      <w:marRight w:val="0"/>
      <w:marTop w:val="0"/>
      <w:marBottom w:val="0"/>
      <w:divBdr>
        <w:top w:val="none" w:sz="0" w:space="0" w:color="auto"/>
        <w:left w:val="none" w:sz="0" w:space="0" w:color="auto"/>
        <w:bottom w:val="none" w:sz="0" w:space="0" w:color="auto"/>
        <w:right w:val="none" w:sz="0" w:space="0" w:color="auto"/>
      </w:divBdr>
    </w:div>
    <w:div w:id="581261457">
      <w:marLeft w:val="0"/>
      <w:marRight w:val="0"/>
      <w:marTop w:val="0"/>
      <w:marBottom w:val="0"/>
      <w:divBdr>
        <w:top w:val="none" w:sz="0" w:space="0" w:color="auto"/>
        <w:left w:val="none" w:sz="0" w:space="0" w:color="auto"/>
        <w:bottom w:val="none" w:sz="0" w:space="0" w:color="auto"/>
        <w:right w:val="none" w:sz="0" w:space="0" w:color="auto"/>
      </w:divBdr>
      <w:divsChild>
        <w:div w:id="1664357552">
          <w:marLeft w:val="0"/>
          <w:marRight w:val="0"/>
          <w:marTop w:val="0"/>
          <w:marBottom w:val="0"/>
          <w:divBdr>
            <w:top w:val="none" w:sz="0" w:space="0" w:color="auto"/>
            <w:left w:val="none" w:sz="0" w:space="0" w:color="auto"/>
            <w:bottom w:val="none" w:sz="0" w:space="0" w:color="auto"/>
            <w:right w:val="none" w:sz="0" w:space="0" w:color="auto"/>
          </w:divBdr>
        </w:div>
      </w:divsChild>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63512575">
      <w:marLeft w:val="0"/>
      <w:marRight w:val="0"/>
      <w:marTop w:val="0"/>
      <w:marBottom w:val="0"/>
      <w:divBdr>
        <w:top w:val="none" w:sz="0" w:space="0" w:color="auto"/>
        <w:left w:val="none" w:sz="0" w:space="0" w:color="auto"/>
        <w:bottom w:val="none" w:sz="0" w:space="0" w:color="auto"/>
        <w:right w:val="none" w:sz="0" w:space="0" w:color="auto"/>
      </w:divBdr>
      <w:divsChild>
        <w:div w:id="586575741">
          <w:marLeft w:val="0"/>
          <w:marRight w:val="0"/>
          <w:marTop w:val="0"/>
          <w:marBottom w:val="0"/>
          <w:divBdr>
            <w:top w:val="none" w:sz="0" w:space="0" w:color="auto"/>
            <w:left w:val="none" w:sz="0" w:space="0" w:color="auto"/>
            <w:bottom w:val="none" w:sz="0" w:space="0" w:color="auto"/>
            <w:right w:val="none" w:sz="0" w:space="0" w:color="auto"/>
          </w:divBdr>
        </w:div>
      </w:divsChild>
    </w:div>
    <w:div w:id="695931144">
      <w:marLeft w:val="0"/>
      <w:marRight w:val="0"/>
      <w:marTop w:val="0"/>
      <w:marBottom w:val="0"/>
      <w:divBdr>
        <w:top w:val="none" w:sz="0" w:space="0" w:color="auto"/>
        <w:left w:val="none" w:sz="0" w:space="0" w:color="auto"/>
        <w:bottom w:val="none" w:sz="0" w:space="0" w:color="auto"/>
        <w:right w:val="none" w:sz="0" w:space="0" w:color="auto"/>
      </w:divBdr>
      <w:divsChild>
        <w:div w:id="1519403">
          <w:marLeft w:val="0"/>
          <w:marRight w:val="0"/>
          <w:marTop w:val="0"/>
          <w:marBottom w:val="0"/>
          <w:divBdr>
            <w:top w:val="none" w:sz="0" w:space="0" w:color="auto"/>
            <w:left w:val="none" w:sz="0" w:space="0" w:color="auto"/>
            <w:bottom w:val="none" w:sz="0" w:space="0" w:color="auto"/>
            <w:right w:val="none" w:sz="0" w:space="0" w:color="auto"/>
          </w:divBdr>
        </w:div>
      </w:divsChild>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63399924">
      <w:marLeft w:val="0"/>
      <w:marRight w:val="0"/>
      <w:marTop w:val="0"/>
      <w:marBottom w:val="0"/>
      <w:divBdr>
        <w:top w:val="none" w:sz="0" w:space="0" w:color="auto"/>
        <w:left w:val="none" w:sz="0" w:space="0" w:color="auto"/>
        <w:bottom w:val="none" w:sz="0" w:space="0" w:color="auto"/>
        <w:right w:val="none" w:sz="0" w:space="0" w:color="auto"/>
      </w:divBdr>
      <w:divsChild>
        <w:div w:id="1966112101">
          <w:marLeft w:val="0"/>
          <w:marRight w:val="0"/>
          <w:marTop w:val="0"/>
          <w:marBottom w:val="0"/>
          <w:divBdr>
            <w:top w:val="none" w:sz="0" w:space="0" w:color="auto"/>
            <w:left w:val="none" w:sz="0" w:space="0" w:color="auto"/>
            <w:bottom w:val="none" w:sz="0" w:space="0" w:color="auto"/>
            <w:right w:val="none" w:sz="0" w:space="0" w:color="auto"/>
          </w:divBdr>
        </w:div>
      </w:divsChild>
    </w:div>
    <w:div w:id="1079208460">
      <w:bodyDiv w:val="1"/>
      <w:marLeft w:val="0"/>
      <w:marRight w:val="0"/>
      <w:marTop w:val="0"/>
      <w:marBottom w:val="0"/>
      <w:divBdr>
        <w:top w:val="none" w:sz="0" w:space="0" w:color="auto"/>
        <w:left w:val="none" w:sz="0" w:space="0" w:color="auto"/>
        <w:bottom w:val="none" w:sz="0" w:space="0" w:color="auto"/>
        <w:right w:val="none" w:sz="0" w:space="0" w:color="auto"/>
      </w:divBdr>
      <w:divsChild>
        <w:div w:id="1590432144">
          <w:marLeft w:val="0"/>
          <w:marRight w:val="0"/>
          <w:marTop w:val="0"/>
          <w:marBottom w:val="0"/>
          <w:divBdr>
            <w:top w:val="none" w:sz="0" w:space="0" w:color="auto"/>
            <w:left w:val="none" w:sz="0" w:space="0" w:color="auto"/>
            <w:bottom w:val="none" w:sz="0" w:space="0" w:color="auto"/>
            <w:right w:val="none" w:sz="0" w:space="0" w:color="auto"/>
          </w:divBdr>
          <w:divsChild>
            <w:div w:id="23020504">
              <w:marLeft w:val="0"/>
              <w:marRight w:val="0"/>
              <w:marTop w:val="0"/>
              <w:marBottom w:val="0"/>
              <w:divBdr>
                <w:top w:val="none" w:sz="0" w:space="0" w:color="auto"/>
                <w:left w:val="none" w:sz="0" w:space="0" w:color="auto"/>
                <w:bottom w:val="none" w:sz="0" w:space="0" w:color="auto"/>
                <w:right w:val="none" w:sz="0" w:space="0" w:color="auto"/>
              </w:divBdr>
            </w:div>
          </w:divsChild>
        </w:div>
        <w:div w:id="1398359940">
          <w:marLeft w:val="0"/>
          <w:marRight w:val="0"/>
          <w:marTop w:val="0"/>
          <w:marBottom w:val="0"/>
          <w:divBdr>
            <w:top w:val="none" w:sz="0" w:space="0" w:color="auto"/>
            <w:left w:val="none" w:sz="0" w:space="0" w:color="auto"/>
            <w:bottom w:val="none" w:sz="0" w:space="0" w:color="auto"/>
            <w:right w:val="none" w:sz="0" w:space="0" w:color="auto"/>
          </w:divBdr>
          <w:divsChild>
            <w:div w:id="13643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29784">
      <w:marLeft w:val="0"/>
      <w:marRight w:val="0"/>
      <w:marTop w:val="0"/>
      <w:marBottom w:val="0"/>
      <w:divBdr>
        <w:top w:val="none" w:sz="0" w:space="0" w:color="auto"/>
        <w:left w:val="none" w:sz="0" w:space="0" w:color="auto"/>
        <w:bottom w:val="none" w:sz="0" w:space="0" w:color="auto"/>
        <w:right w:val="none" w:sz="0" w:space="0" w:color="auto"/>
      </w:divBdr>
      <w:divsChild>
        <w:div w:id="1667172337">
          <w:marLeft w:val="0"/>
          <w:marRight w:val="0"/>
          <w:marTop w:val="0"/>
          <w:marBottom w:val="0"/>
          <w:divBdr>
            <w:top w:val="none" w:sz="0" w:space="0" w:color="auto"/>
            <w:left w:val="none" w:sz="0" w:space="0" w:color="auto"/>
            <w:bottom w:val="none" w:sz="0" w:space="0" w:color="auto"/>
            <w:right w:val="none" w:sz="0" w:space="0" w:color="auto"/>
          </w:divBdr>
        </w:div>
      </w:divsChild>
    </w:div>
    <w:div w:id="1199198409">
      <w:marLeft w:val="0"/>
      <w:marRight w:val="0"/>
      <w:marTop w:val="0"/>
      <w:marBottom w:val="0"/>
      <w:divBdr>
        <w:top w:val="none" w:sz="0" w:space="0" w:color="auto"/>
        <w:left w:val="none" w:sz="0" w:space="0" w:color="auto"/>
        <w:bottom w:val="none" w:sz="0" w:space="0" w:color="auto"/>
        <w:right w:val="none" w:sz="0" w:space="0" w:color="auto"/>
      </w:divBdr>
      <w:divsChild>
        <w:div w:id="1084761960">
          <w:marLeft w:val="0"/>
          <w:marRight w:val="0"/>
          <w:marTop w:val="0"/>
          <w:marBottom w:val="0"/>
          <w:divBdr>
            <w:top w:val="none" w:sz="0" w:space="0" w:color="auto"/>
            <w:left w:val="none" w:sz="0" w:space="0" w:color="auto"/>
            <w:bottom w:val="none" w:sz="0" w:space="0" w:color="auto"/>
            <w:right w:val="none" w:sz="0" w:space="0" w:color="auto"/>
          </w:divBdr>
        </w:div>
      </w:divsChild>
    </w:div>
    <w:div w:id="1226994197">
      <w:marLeft w:val="0"/>
      <w:marRight w:val="0"/>
      <w:marTop w:val="0"/>
      <w:marBottom w:val="0"/>
      <w:divBdr>
        <w:top w:val="none" w:sz="0" w:space="0" w:color="auto"/>
        <w:left w:val="none" w:sz="0" w:space="0" w:color="auto"/>
        <w:bottom w:val="none" w:sz="0" w:space="0" w:color="auto"/>
        <w:right w:val="none" w:sz="0" w:space="0" w:color="auto"/>
      </w:divBdr>
      <w:divsChild>
        <w:div w:id="1839495165">
          <w:marLeft w:val="0"/>
          <w:marRight w:val="0"/>
          <w:marTop w:val="0"/>
          <w:marBottom w:val="0"/>
          <w:divBdr>
            <w:top w:val="none" w:sz="0" w:space="0" w:color="auto"/>
            <w:left w:val="none" w:sz="0" w:space="0" w:color="auto"/>
            <w:bottom w:val="none" w:sz="0" w:space="0" w:color="auto"/>
            <w:right w:val="none" w:sz="0" w:space="0" w:color="auto"/>
          </w:divBdr>
        </w:div>
      </w:divsChild>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71884389">
      <w:marLeft w:val="0"/>
      <w:marRight w:val="0"/>
      <w:marTop w:val="0"/>
      <w:marBottom w:val="0"/>
      <w:divBdr>
        <w:top w:val="none" w:sz="0" w:space="0" w:color="auto"/>
        <w:left w:val="none" w:sz="0" w:space="0" w:color="auto"/>
        <w:bottom w:val="none" w:sz="0" w:space="0" w:color="auto"/>
        <w:right w:val="none" w:sz="0" w:space="0" w:color="auto"/>
      </w:divBdr>
      <w:divsChild>
        <w:div w:id="1976138833">
          <w:marLeft w:val="0"/>
          <w:marRight w:val="0"/>
          <w:marTop w:val="0"/>
          <w:marBottom w:val="0"/>
          <w:divBdr>
            <w:top w:val="none" w:sz="0" w:space="0" w:color="auto"/>
            <w:left w:val="none" w:sz="0" w:space="0" w:color="auto"/>
            <w:bottom w:val="none" w:sz="0" w:space="0" w:color="auto"/>
            <w:right w:val="none" w:sz="0" w:space="0" w:color="auto"/>
          </w:divBdr>
        </w:div>
      </w:divsChild>
    </w:div>
    <w:div w:id="1507087387">
      <w:bodyDiv w:val="1"/>
      <w:marLeft w:val="0"/>
      <w:marRight w:val="0"/>
      <w:marTop w:val="0"/>
      <w:marBottom w:val="0"/>
      <w:divBdr>
        <w:top w:val="none" w:sz="0" w:space="0" w:color="auto"/>
        <w:left w:val="none" w:sz="0" w:space="0" w:color="auto"/>
        <w:bottom w:val="none" w:sz="0" w:space="0" w:color="auto"/>
        <w:right w:val="none" w:sz="0" w:space="0" w:color="auto"/>
      </w:divBdr>
    </w:div>
    <w:div w:id="1533763470">
      <w:bodyDiv w:val="1"/>
      <w:marLeft w:val="0"/>
      <w:marRight w:val="0"/>
      <w:marTop w:val="0"/>
      <w:marBottom w:val="0"/>
      <w:divBdr>
        <w:top w:val="none" w:sz="0" w:space="0" w:color="auto"/>
        <w:left w:val="none" w:sz="0" w:space="0" w:color="auto"/>
        <w:bottom w:val="none" w:sz="0" w:space="0" w:color="auto"/>
        <w:right w:val="none" w:sz="0" w:space="0" w:color="auto"/>
      </w:divBdr>
    </w:div>
    <w:div w:id="1586458477">
      <w:bodyDiv w:val="1"/>
      <w:marLeft w:val="0"/>
      <w:marRight w:val="0"/>
      <w:marTop w:val="0"/>
      <w:marBottom w:val="0"/>
      <w:divBdr>
        <w:top w:val="none" w:sz="0" w:space="0" w:color="auto"/>
        <w:left w:val="none" w:sz="0" w:space="0" w:color="auto"/>
        <w:bottom w:val="none" w:sz="0" w:space="0" w:color="auto"/>
        <w:right w:val="none" w:sz="0" w:space="0" w:color="auto"/>
      </w:divBdr>
      <w:divsChild>
        <w:div w:id="980964695">
          <w:marLeft w:val="0"/>
          <w:marRight w:val="0"/>
          <w:marTop w:val="0"/>
          <w:marBottom w:val="0"/>
          <w:divBdr>
            <w:top w:val="none" w:sz="0" w:space="0" w:color="auto"/>
            <w:left w:val="none" w:sz="0" w:space="0" w:color="auto"/>
            <w:bottom w:val="none" w:sz="0" w:space="0" w:color="auto"/>
            <w:right w:val="none" w:sz="0" w:space="0" w:color="auto"/>
          </w:divBdr>
        </w:div>
        <w:div w:id="121731537">
          <w:marLeft w:val="0"/>
          <w:marRight w:val="0"/>
          <w:marTop w:val="0"/>
          <w:marBottom w:val="0"/>
          <w:divBdr>
            <w:top w:val="none" w:sz="0" w:space="0" w:color="auto"/>
            <w:left w:val="none" w:sz="0" w:space="0" w:color="auto"/>
            <w:bottom w:val="none" w:sz="0" w:space="0" w:color="auto"/>
            <w:right w:val="none" w:sz="0" w:space="0" w:color="auto"/>
          </w:divBdr>
        </w:div>
        <w:div w:id="167253711">
          <w:marLeft w:val="0"/>
          <w:marRight w:val="0"/>
          <w:marTop w:val="0"/>
          <w:marBottom w:val="0"/>
          <w:divBdr>
            <w:top w:val="none" w:sz="0" w:space="0" w:color="auto"/>
            <w:left w:val="none" w:sz="0" w:space="0" w:color="auto"/>
            <w:bottom w:val="none" w:sz="0" w:space="0" w:color="auto"/>
            <w:right w:val="none" w:sz="0" w:space="0" w:color="auto"/>
          </w:divBdr>
        </w:div>
        <w:div w:id="62797006">
          <w:marLeft w:val="0"/>
          <w:marRight w:val="0"/>
          <w:marTop w:val="0"/>
          <w:marBottom w:val="0"/>
          <w:divBdr>
            <w:top w:val="none" w:sz="0" w:space="0" w:color="auto"/>
            <w:left w:val="none" w:sz="0" w:space="0" w:color="auto"/>
            <w:bottom w:val="none" w:sz="0" w:space="0" w:color="auto"/>
            <w:right w:val="none" w:sz="0" w:space="0" w:color="auto"/>
          </w:divBdr>
        </w:div>
        <w:div w:id="61415200">
          <w:marLeft w:val="0"/>
          <w:marRight w:val="0"/>
          <w:marTop w:val="0"/>
          <w:marBottom w:val="0"/>
          <w:divBdr>
            <w:top w:val="none" w:sz="0" w:space="0" w:color="auto"/>
            <w:left w:val="none" w:sz="0" w:space="0" w:color="auto"/>
            <w:bottom w:val="none" w:sz="0" w:space="0" w:color="auto"/>
            <w:right w:val="none" w:sz="0" w:space="0" w:color="auto"/>
          </w:divBdr>
        </w:div>
        <w:div w:id="735129691">
          <w:marLeft w:val="0"/>
          <w:marRight w:val="0"/>
          <w:marTop w:val="0"/>
          <w:marBottom w:val="0"/>
          <w:divBdr>
            <w:top w:val="none" w:sz="0" w:space="0" w:color="auto"/>
            <w:left w:val="none" w:sz="0" w:space="0" w:color="auto"/>
            <w:bottom w:val="none" w:sz="0" w:space="0" w:color="auto"/>
            <w:right w:val="none" w:sz="0" w:space="0" w:color="auto"/>
          </w:divBdr>
        </w:div>
        <w:div w:id="740559755">
          <w:marLeft w:val="0"/>
          <w:marRight w:val="0"/>
          <w:marTop w:val="0"/>
          <w:marBottom w:val="0"/>
          <w:divBdr>
            <w:top w:val="none" w:sz="0" w:space="0" w:color="auto"/>
            <w:left w:val="none" w:sz="0" w:space="0" w:color="auto"/>
            <w:bottom w:val="none" w:sz="0" w:space="0" w:color="auto"/>
            <w:right w:val="none" w:sz="0" w:space="0" w:color="auto"/>
          </w:divBdr>
        </w:div>
      </w:divsChild>
    </w:div>
    <w:div w:id="1592927421">
      <w:marLeft w:val="0"/>
      <w:marRight w:val="0"/>
      <w:marTop w:val="0"/>
      <w:marBottom w:val="0"/>
      <w:divBdr>
        <w:top w:val="none" w:sz="0" w:space="0" w:color="auto"/>
        <w:left w:val="none" w:sz="0" w:space="0" w:color="auto"/>
        <w:bottom w:val="none" w:sz="0" w:space="0" w:color="auto"/>
        <w:right w:val="none" w:sz="0" w:space="0" w:color="auto"/>
      </w:divBdr>
      <w:divsChild>
        <w:div w:id="1941833864">
          <w:marLeft w:val="0"/>
          <w:marRight w:val="0"/>
          <w:marTop w:val="0"/>
          <w:marBottom w:val="0"/>
          <w:divBdr>
            <w:top w:val="none" w:sz="0" w:space="0" w:color="auto"/>
            <w:left w:val="none" w:sz="0" w:space="0" w:color="auto"/>
            <w:bottom w:val="none" w:sz="0" w:space="0" w:color="auto"/>
            <w:right w:val="none" w:sz="0" w:space="0" w:color="auto"/>
          </w:divBdr>
        </w:div>
      </w:divsChild>
    </w:div>
    <w:div w:id="1601528489">
      <w:bodyDiv w:val="1"/>
      <w:marLeft w:val="0"/>
      <w:marRight w:val="0"/>
      <w:marTop w:val="0"/>
      <w:marBottom w:val="0"/>
      <w:divBdr>
        <w:top w:val="none" w:sz="0" w:space="0" w:color="auto"/>
        <w:left w:val="none" w:sz="0" w:space="0" w:color="auto"/>
        <w:bottom w:val="none" w:sz="0" w:space="0" w:color="auto"/>
        <w:right w:val="none" w:sz="0" w:space="0" w:color="auto"/>
      </w:divBdr>
    </w:div>
    <w:div w:id="1664511326">
      <w:marLeft w:val="0"/>
      <w:marRight w:val="0"/>
      <w:marTop w:val="0"/>
      <w:marBottom w:val="0"/>
      <w:divBdr>
        <w:top w:val="none" w:sz="0" w:space="0" w:color="auto"/>
        <w:left w:val="none" w:sz="0" w:space="0" w:color="auto"/>
        <w:bottom w:val="none" w:sz="0" w:space="0" w:color="auto"/>
        <w:right w:val="none" w:sz="0" w:space="0" w:color="auto"/>
      </w:divBdr>
      <w:divsChild>
        <w:div w:id="876893950">
          <w:marLeft w:val="0"/>
          <w:marRight w:val="0"/>
          <w:marTop w:val="0"/>
          <w:marBottom w:val="0"/>
          <w:divBdr>
            <w:top w:val="none" w:sz="0" w:space="0" w:color="auto"/>
            <w:left w:val="none" w:sz="0" w:space="0" w:color="auto"/>
            <w:bottom w:val="none" w:sz="0" w:space="0" w:color="auto"/>
            <w:right w:val="none" w:sz="0" w:space="0" w:color="auto"/>
          </w:divBdr>
        </w:div>
      </w:divsChild>
    </w:div>
    <w:div w:id="1673337686">
      <w:bodyDiv w:val="1"/>
      <w:marLeft w:val="0"/>
      <w:marRight w:val="0"/>
      <w:marTop w:val="0"/>
      <w:marBottom w:val="0"/>
      <w:divBdr>
        <w:top w:val="none" w:sz="0" w:space="0" w:color="auto"/>
        <w:left w:val="none" w:sz="0" w:space="0" w:color="auto"/>
        <w:bottom w:val="none" w:sz="0" w:space="0" w:color="auto"/>
        <w:right w:val="none" w:sz="0" w:space="0" w:color="auto"/>
      </w:divBdr>
    </w:div>
    <w:div w:id="1722897444">
      <w:marLeft w:val="0"/>
      <w:marRight w:val="0"/>
      <w:marTop w:val="0"/>
      <w:marBottom w:val="0"/>
      <w:divBdr>
        <w:top w:val="none" w:sz="0" w:space="0" w:color="auto"/>
        <w:left w:val="none" w:sz="0" w:space="0" w:color="auto"/>
        <w:bottom w:val="none" w:sz="0" w:space="0" w:color="auto"/>
        <w:right w:val="none" w:sz="0" w:space="0" w:color="auto"/>
      </w:divBdr>
      <w:divsChild>
        <w:div w:id="69082283">
          <w:marLeft w:val="0"/>
          <w:marRight w:val="0"/>
          <w:marTop w:val="0"/>
          <w:marBottom w:val="0"/>
          <w:divBdr>
            <w:top w:val="none" w:sz="0" w:space="0" w:color="auto"/>
            <w:left w:val="none" w:sz="0" w:space="0" w:color="auto"/>
            <w:bottom w:val="none" w:sz="0" w:space="0" w:color="auto"/>
            <w:right w:val="none" w:sz="0" w:space="0" w:color="auto"/>
          </w:divBdr>
        </w:div>
      </w:divsChild>
    </w:div>
    <w:div w:id="1779520814">
      <w:marLeft w:val="0"/>
      <w:marRight w:val="0"/>
      <w:marTop w:val="0"/>
      <w:marBottom w:val="0"/>
      <w:divBdr>
        <w:top w:val="none" w:sz="0" w:space="0" w:color="auto"/>
        <w:left w:val="none" w:sz="0" w:space="0" w:color="auto"/>
        <w:bottom w:val="none" w:sz="0" w:space="0" w:color="auto"/>
        <w:right w:val="none" w:sz="0" w:space="0" w:color="auto"/>
      </w:divBdr>
      <w:divsChild>
        <w:div w:id="1655639774">
          <w:marLeft w:val="0"/>
          <w:marRight w:val="0"/>
          <w:marTop w:val="0"/>
          <w:marBottom w:val="0"/>
          <w:divBdr>
            <w:top w:val="none" w:sz="0" w:space="0" w:color="auto"/>
            <w:left w:val="none" w:sz="0" w:space="0" w:color="auto"/>
            <w:bottom w:val="none" w:sz="0" w:space="0" w:color="auto"/>
            <w:right w:val="none" w:sz="0" w:space="0" w:color="auto"/>
          </w:divBdr>
        </w:div>
      </w:divsChild>
    </w:div>
    <w:div w:id="1787694253">
      <w:marLeft w:val="0"/>
      <w:marRight w:val="0"/>
      <w:marTop w:val="0"/>
      <w:marBottom w:val="0"/>
      <w:divBdr>
        <w:top w:val="none" w:sz="0" w:space="0" w:color="auto"/>
        <w:left w:val="none" w:sz="0" w:space="0" w:color="auto"/>
        <w:bottom w:val="none" w:sz="0" w:space="0" w:color="auto"/>
        <w:right w:val="none" w:sz="0" w:space="0" w:color="auto"/>
      </w:divBdr>
      <w:divsChild>
        <w:div w:id="699861028">
          <w:marLeft w:val="0"/>
          <w:marRight w:val="0"/>
          <w:marTop w:val="0"/>
          <w:marBottom w:val="0"/>
          <w:divBdr>
            <w:top w:val="none" w:sz="0" w:space="0" w:color="auto"/>
            <w:left w:val="none" w:sz="0" w:space="0" w:color="auto"/>
            <w:bottom w:val="none" w:sz="0" w:space="0" w:color="auto"/>
            <w:right w:val="none" w:sz="0" w:space="0" w:color="auto"/>
          </w:divBdr>
        </w:div>
      </w:divsChild>
    </w:div>
    <w:div w:id="1812940883">
      <w:marLeft w:val="0"/>
      <w:marRight w:val="0"/>
      <w:marTop w:val="0"/>
      <w:marBottom w:val="0"/>
      <w:divBdr>
        <w:top w:val="none" w:sz="0" w:space="0" w:color="auto"/>
        <w:left w:val="none" w:sz="0" w:space="0" w:color="auto"/>
        <w:bottom w:val="none" w:sz="0" w:space="0" w:color="auto"/>
        <w:right w:val="none" w:sz="0" w:space="0" w:color="auto"/>
      </w:divBdr>
      <w:divsChild>
        <w:div w:id="1140998388">
          <w:marLeft w:val="0"/>
          <w:marRight w:val="0"/>
          <w:marTop w:val="0"/>
          <w:marBottom w:val="0"/>
          <w:divBdr>
            <w:top w:val="none" w:sz="0" w:space="0" w:color="auto"/>
            <w:left w:val="none" w:sz="0" w:space="0" w:color="auto"/>
            <w:bottom w:val="none" w:sz="0" w:space="0" w:color="auto"/>
            <w:right w:val="none" w:sz="0" w:space="0" w:color="auto"/>
          </w:divBdr>
        </w:div>
      </w:divsChild>
    </w:div>
    <w:div w:id="1832595992">
      <w:marLeft w:val="0"/>
      <w:marRight w:val="0"/>
      <w:marTop w:val="0"/>
      <w:marBottom w:val="0"/>
      <w:divBdr>
        <w:top w:val="none" w:sz="0" w:space="0" w:color="auto"/>
        <w:left w:val="none" w:sz="0" w:space="0" w:color="auto"/>
        <w:bottom w:val="none" w:sz="0" w:space="0" w:color="auto"/>
        <w:right w:val="none" w:sz="0" w:space="0" w:color="auto"/>
      </w:divBdr>
      <w:divsChild>
        <w:div w:id="1164200231">
          <w:marLeft w:val="0"/>
          <w:marRight w:val="0"/>
          <w:marTop w:val="0"/>
          <w:marBottom w:val="0"/>
          <w:divBdr>
            <w:top w:val="none" w:sz="0" w:space="0" w:color="auto"/>
            <w:left w:val="none" w:sz="0" w:space="0" w:color="auto"/>
            <w:bottom w:val="none" w:sz="0" w:space="0" w:color="auto"/>
            <w:right w:val="none" w:sz="0" w:space="0" w:color="auto"/>
          </w:divBdr>
        </w:div>
      </w:divsChild>
    </w:div>
    <w:div w:id="1878665235">
      <w:marLeft w:val="0"/>
      <w:marRight w:val="0"/>
      <w:marTop w:val="0"/>
      <w:marBottom w:val="0"/>
      <w:divBdr>
        <w:top w:val="none" w:sz="0" w:space="0" w:color="auto"/>
        <w:left w:val="none" w:sz="0" w:space="0" w:color="auto"/>
        <w:bottom w:val="none" w:sz="0" w:space="0" w:color="auto"/>
        <w:right w:val="none" w:sz="0" w:space="0" w:color="auto"/>
      </w:divBdr>
      <w:divsChild>
        <w:div w:id="961233747">
          <w:marLeft w:val="0"/>
          <w:marRight w:val="0"/>
          <w:marTop w:val="0"/>
          <w:marBottom w:val="0"/>
          <w:divBdr>
            <w:top w:val="none" w:sz="0" w:space="0" w:color="auto"/>
            <w:left w:val="none" w:sz="0" w:space="0" w:color="auto"/>
            <w:bottom w:val="none" w:sz="0" w:space="0" w:color="auto"/>
            <w:right w:val="none" w:sz="0" w:space="0" w:color="auto"/>
          </w:divBdr>
        </w:div>
      </w:divsChild>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47419133">
      <w:marLeft w:val="0"/>
      <w:marRight w:val="0"/>
      <w:marTop w:val="0"/>
      <w:marBottom w:val="0"/>
      <w:divBdr>
        <w:top w:val="none" w:sz="0" w:space="0" w:color="auto"/>
        <w:left w:val="none" w:sz="0" w:space="0" w:color="auto"/>
        <w:bottom w:val="none" w:sz="0" w:space="0" w:color="auto"/>
        <w:right w:val="none" w:sz="0" w:space="0" w:color="auto"/>
      </w:divBdr>
      <w:divsChild>
        <w:div w:id="678315586">
          <w:marLeft w:val="0"/>
          <w:marRight w:val="0"/>
          <w:marTop w:val="0"/>
          <w:marBottom w:val="0"/>
          <w:divBdr>
            <w:top w:val="none" w:sz="0" w:space="0" w:color="auto"/>
            <w:left w:val="none" w:sz="0" w:space="0" w:color="auto"/>
            <w:bottom w:val="none" w:sz="0" w:space="0" w:color="auto"/>
            <w:right w:val="none" w:sz="0" w:space="0" w:color="auto"/>
          </w:divBdr>
        </w:div>
      </w:divsChild>
    </w:div>
    <w:div w:id="1993097809">
      <w:marLeft w:val="0"/>
      <w:marRight w:val="0"/>
      <w:marTop w:val="0"/>
      <w:marBottom w:val="0"/>
      <w:divBdr>
        <w:top w:val="none" w:sz="0" w:space="0" w:color="auto"/>
        <w:left w:val="none" w:sz="0" w:space="0" w:color="auto"/>
        <w:bottom w:val="none" w:sz="0" w:space="0" w:color="auto"/>
        <w:right w:val="none" w:sz="0" w:space="0" w:color="auto"/>
      </w:divBdr>
      <w:divsChild>
        <w:div w:id="1719476506">
          <w:marLeft w:val="0"/>
          <w:marRight w:val="0"/>
          <w:marTop w:val="0"/>
          <w:marBottom w:val="0"/>
          <w:divBdr>
            <w:top w:val="none" w:sz="0" w:space="0" w:color="auto"/>
            <w:left w:val="none" w:sz="0" w:space="0" w:color="auto"/>
            <w:bottom w:val="none" w:sz="0" w:space="0" w:color="auto"/>
            <w:right w:val="none" w:sz="0" w:space="0" w:color="auto"/>
          </w:divBdr>
        </w:div>
      </w:divsChild>
    </w:div>
    <w:div w:id="2016179058">
      <w:marLeft w:val="0"/>
      <w:marRight w:val="0"/>
      <w:marTop w:val="0"/>
      <w:marBottom w:val="0"/>
      <w:divBdr>
        <w:top w:val="none" w:sz="0" w:space="0" w:color="auto"/>
        <w:left w:val="none" w:sz="0" w:space="0" w:color="auto"/>
        <w:bottom w:val="none" w:sz="0" w:space="0" w:color="auto"/>
        <w:right w:val="none" w:sz="0" w:space="0" w:color="auto"/>
      </w:divBdr>
      <w:divsChild>
        <w:div w:id="1595551420">
          <w:marLeft w:val="0"/>
          <w:marRight w:val="0"/>
          <w:marTop w:val="0"/>
          <w:marBottom w:val="0"/>
          <w:divBdr>
            <w:top w:val="none" w:sz="0" w:space="0" w:color="auto"/>
            <w:left w:val="none" w:sz="0" w:space="0" w:color="auto"/>
            <w:bottom w:val="none" w:sz="0" w:space="0" w:color="auto"/>
            <w:right w:val="none" w:sz="0" w:space="0" w:color="auto"/>
          </w:divBdr>
        </w:div>
      </w:divsChild>
    </w:div>
    <w:div w:id="2016226555">
      <w:marLeft w:val="0"/>
      <w:marRight w:val="0"/>
      <w:marTop w:val="0"/>
      <w:marBottom w:val="0"/>
      <w:divBdr>
        <w:top w:val="none" w:sz="0" w:space="0" w:color="auto"/>
        <w:left w:val="none" w:sz="0" w:space="0" w:color="auto"/>
        <w:bottom w:val="none" w:sz="0" w:space="0" w:color="auto"/>
        <w:right w:val="none" w:sz="0" w:space="0" w:color="auto"/>
      </w:divBdr>
      <w:divsChild>
        <w:div w:id="1549032644">
          <w:marLeft w:val="0"/>
          <w:marRight w:val="0"/>
          <w:marTop w:val="0"/>
          <w:marBottom w:val="0"/>
          <w:divBdr>
            <w:top w:val="none" w:sz="0" w:space="0" w:color="auto"/>
            <w:left w:val="none" w:sz="0" w:space="0" w:color="auto"/>
            <w:bottom w:val="none" w:sz="0" w:space="0" w:color="auto"/>
            <w:right w:val="none" w:sz="0" w:space="0" w:color="auto"/>
          </w:divBdr>
        </w:div>
      </w:divsChild>
    </w:div>
    <w:div w:id="2020426288">
      <w:marLeft w:val="0"/>
      <w:marRight w:val="0"/>
      <w:marTop w:val="0"/>
      <w:marBottom w:val="0"/>
      <w:divBdr>
        <w:top w:val="none" w:sz="0" w:space="0" w:color="auto"/>
        <w:left w:val="none" w:sz="0" w:space="0" w:color="auto"/>
        <w:bottom w:val="none" w:sz="0" w:space="0" w:color="auto"/>
        <w:right w:val="none" w:sz="0" w:space="0" w:color="auto"/>
      </w:divBdr>
      <w:divsChild>
        <w:div w:id="1595894177">
          <w:marLeft w:val="0"/>
          <w:marRight w:val="0"/>
          <w:marTop w:val="0"/>
          <w:marBottom w:val="0"/>
          <w:divBdr>
            <w:top w:val="none" w:sz="0" w:space="0" w:color="auto"/>
            <w:left w:val="none" w:sz="0" w:space="0" w:color="auto"/>
            <w:bottom w:val="none" w:sz="0" w:space="0" w:color="auto"/>
            <w:right w:val="none" w:sz="0" w:space="0" w:color="auto"/>
          </w:divBdr>
        </w:div>
      </w:divsChild>
    </w:div>
    <w:div w:id="2053337413">
      <w:bodyDiv w:val="1"/>
      <w:marLeft w:val="0"/>
      <w:marRight w:val="0"/>
      <w:marTop w:val="0"/>
      <w:marBottom w:val="0"/>
      <w:divBdr>
        <w:top w:val="none" w:sz="0" w:space="0" w:color="auto"/>
        <w:left w:val="none" w:sz="0" w:space="0" w:color="auto"/>
        <w:bottom w:val="none" w:sz="0" w:space="0" w:color="auto"/>
        <w:right w:val="none" w:sz="0" w:space="0" w:color="auto"/>
      </w:divBdr>
    </w:div>
    <w:div w:id="2058554095">
      <w:marLeft w:val="0"/>
      <w:marRight w:val="0"/>
      <w:marTop w:val="0"/>
      <w:marBottom w:val="0"/>
      <w:divBdr>
        <w:top w:val="none" w:sz="0" w:space="0" w:color="auto"/>
        <w:left w:val="none" w:sz="0" w:space="0" w:color="auto"/>
        <w:bottom w:val="none" w:sz="0" w:space="0" w:color="auto"/>
        <w:right w:val="none" w:sz="0" w:space="0" w:color="auto"/>
      </w:divBdr>
      <w:divsChild>
        <w:div w:id="973556588">
          <w:marLeft w:val="0"/>
          <w:marRight w:val="0"/>
          <w:marTop w:val="0"/>
          <w:marBottom w:val="0"/>
          <w:divBdr>
            <w:top w:val="none" w:sz="0" w:space="0" w:color="auto"/>
            <w:left w:val="none" w:sz="0" w:space="0" w:color="auto"/>
            <w:bottom w:val="none" w:sz="0" w:space="0" w:color="auto"/>
            <w:right w:val="none" w:sz="0" w:space="0" w:color="auto"/>
          </w:divBdr>
        </w:div>
      </w:divsChild>
    </w:div>
    <w:div w:id="2060474772">
      <w:marLeft w:val="0"/>
      <w:marRight w:val="0"/>
      <w:marTop w:val="0"/>
      <w:marBottom w:val="0"/>
      <w:divBdr>
        <w:top w:val="none" w:sz="0" w:space="0" w:color="auto"/>
        <w:left w:val="none" w:sz="0" w:space="0" w:color="auto"/>
        <w:bottom w:val="none" w:sz="0" w:space="0" w:color="auto"/>
        <w:right w:val="none" w:sz="0" w:space="0" w:color="auto"/>
      </w:divBdr>
      <w:divsChild>
        <w:div w:id="2028748190">
          <w:marLeft w:val="0"/>
          <w:marRight w:val="0"/>
          <w:marTop w:val="0"/>
          <w:marBottom w:val="0"/>
          <w:divBdr>
            <w:top w:val="none" w:sz="0" w:space="0" w:color="auto"/>
            <w:left w:val="none" w:sz="0" w:space="0" w:color="auto"/>
            <w:bottom w:val="none" w:sz="0" w:space="0" w:color="auto"/>
            <w:right w:val="none" w:sz="0" w:space="0" w:color="auto"/>
          </w:divBdr>
        </w:div>
      </w:divsChild>
    </w:div>
    <w:div w:id="2068333162">
      <w:marLeft w:val="0"/>
      <w:marRight w:val="0"/>
      <w:marTop w:val="0"/>
      <w:marBottom w:val="0"/>
      <w:divBdr>
        <w:top w:val="none" w:sz="0" w:space="0" w:color="auto"/>
        <w:left w:val="none" w:sz="0" w:space="0" w:color="auto"/>
        <w:bottom w:val="none" w:sz="0" w:space="0" w:color="auto"/>
        <w:right w:val="none" w:sz="0" w:space="0" w:color="auto"/>
      </w:divBdr>
      <w:divsChild>
        <w:div w:id="1969389340">
          <w:marLeft w:val="0"/>
          <w:marRight w:val="0"/>
          <w:marTop w:val="0"/>
          <w:marBottom w:val="0"/>
          <w:divBdr>
            <w:top w:val="none" w:sz="0" w:space="0" w:color="auto"/>
            <w:left w:val="none" w:sz="0" w:space="0" w:color="auto"/>
            <w:bottom w:val="none" w:sz="0" w:space="0" w:color="auto"/>
            <w:right w:val="none" w:sz="0" w:space="0" w:color="auto"/>
          </w:divBdr>
        </w:div>
      </w:divsChild>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 w:id="21363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gestiondoc.minhacienda.red/PortalEmpleado/rees/reesmng.do?formAction=btPreview&amp;au=true&amp;idSolicitud=845961&amp;v=04&amp;tareasSIC=tru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ortalgestiondoc.minhacienda.red/PortalEmpleado/rees/reesmng.do?formAction=btPreview&amp;au=true&amp;idSolicitud=621626&amp;v=04&amp;tareasSIC=tru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1" ma:contentTypeDescription="Crear nuevo documento." ma:contentTypeScope="" ma:versionID="95c742ab715e99821918e1f63b0b25f8">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d5835e5f055d4bd16bc0795399cb00c2"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TaxCatchAll xmlns="fb81f478-06d5-40fe-9ac3-32aa24d1e628" xsi:nil="true"/>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4B1EB7D1-6CE1-4EEF-B848-99FAD94AB16C}"/>
</file>

<file path=customXml/itemProps2.xml><?xml version="1.0" encoding="utf-8"?>
<ds:datastoreItem xmlns:ds="http://schemas.openxmlformats.org/officeDocument/2006/customXml" ds:itemID="{3CFBE30F-61C1-414D-B630-DFB488A1D00C}">
  <ds:schemaRefs>
    <ds:schemaRef ds:uri="http://schemas.microsoft.com/office/2006/metadata/properties"/>
    <ds:schemaRef ds:uri="http://schemas.microsoft.com/office/infopath/2007/PartnerControls"/>
    <ds:schemaRef ds:uri="642b9254-8ff6-4406-97c0-eaec56a46be9"/>
    <ds:schemaRef ds:uri="84922039-3944-4df8-8868-f5d62b3b2a6f"/>
  </ds:schemaRefs>
</ds:datastoreItem>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7C7E07E6-2A14-4E4E-BD2C-6B3D54F50FA2}">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34</Pages>
  <Words>16042</Words>
  <Characters>88234</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104068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2023-07-19T21:28:00Z</cp:lastPrinted>
  <dcterms:created xsi:type="dcterms:W3CDTF">2023-12-14T21:24:00Z</dcterms:created>
  <dcterms:modified xsi:type="dcterms:W3CDTF">2023-12-14T21:24:00Z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y fmtid="{D5CDD505-2E9C-101B-9397-08002B2CF9AE}" pid="4" name="MediaServiceImageTags">
    <vt:lpwstr/>
  </property>
</Properties>
</file>